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5.xml" ContentType="application/vnd.openxmlformats-officedocument.wordprocessingml.footer+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jc w:val="left"/>
        <w:spacing w:line="360" w:lineRule="auto"/>
        <w:rPr>
          <w:rFonts w:ascii="Times New Roman" w:hAnsi="Times New Roman"/>
          <w:sz w:val="24"/>
        </w:rPr>
      </w:pPr>
      <w:r>
        <w:rPr>
          <w:rFonts w:ascii="Times New Roman" w:hAnsi="Times New Roman"/>
          <w:sz w:val="24"/>
        </w:rPr>
        <w:t xml:space="preserve"> </w:t>
      </w:r>
      <w:r>
        <w:rPr>
          <w:rFonts w:ascii="Times New Roman" w:hAnsi="Times New Roman"/>
          <w:sz w:val="24"/>
        </w:rPr>
      </w:r>
      <w:r/>
    </w:p>
    <w:p>
      <w:pPr>
        <w:pStyle w:val="926"/>
        <w:jc w:val="center"/>
        <w:spacing w:before="120" w:after="120" w:line="360" w:lineRule="auto"/>
        <w:rPr>
          <w:rFonts w:ascii="Times New Roman" w:hAnsi="Times New Roman"/>
          <w:b/>
          <w:bCs/>
          <w:sz w:val="84"/>
          <w:szCs w:val="84"/>
        </w:rPr>
      </w:pPr>
      <w:r>
        <w:rPr>
          <w:rFonts w:ascii="Times New Roman" w:hAnsi="Times New Roman"/>
          <w:b/>
          <w:bCs/>
          <w:sz w:val="84"/>
          <w:szCs w:val="84"/>
        </w:rPr>
        <w:t xml:space="preserve"> </w:t>
      </w:r>
      <w:r>
        <w:rPr>
          <w:rFonts w:ascii="Times New Roman" w:hAnsi="Times New Roman"/>
          <w:b/>
          <w:bCs/>
          <w:sz w:val="84"/>
          <w:szCs w:val="84"/>
        </w:rPr>
      </w:r>
      <w:r/>
    </w:p>
    <w:p>
      <w:pPr>
        <w:pStyle w:val="1042"/>
        <w:ind w:firstLine="0"/>
        <w:jc w:val="center"/>
        <w:rPr>
          <w:rFonts w:ascii="Times New Roman" w:hAnsi="Times New Roman"/>
          <w:b/>
          <w:bCs/>
          <w:sz w:val="72"/>
          <w:szCs w:val="72"/>
        </w:rPr>
      </w:pPr>
      <w:r>
        <w:rPr>
          <w:rFonts w:ascii="Times New Roman" w:hAnsi="Times New Roman"/>
          <w:b/>
          <w:bCs/>
          <w:sz w:val="72"/>
          <w:szCs w:val="72"/>
        </w:rPr>
        <w:t xml:space="preserve">招　标　文　件</w:t>
      </w:r>
      <w:r>
        <w:rPr>
          <w:rFonts w:ascii="Times New Roman" w:hAnsi="Times New Roman"/>
          <w:b/>
          <w:bCs/>
          <w:sz w:val="72"/>
          <w:szCs w:val="72"/>
        </w:rPr>
      </w:r>
      <w:r/>
    </w:p>
    <w:p>
      <w:pPr>
        <w:pStyle w:val="1042"/>
        <w:ind w:firstLine="0"/>
        <w:jc w:val="center"/>
        <w:rPr>
          <w:rFonts w:ascii="Times New Roman" w:hAnsi="Times New Roman"/>
          <w:b/>
          <w:bCs/>
          <w:sz w:val="32"/>
          <w:szCs w:val="32"/>
        </w:rPr>
      </w:pPr>
      <w:r>
        <w:rPr>
          <w:rFonts w:ascii="Times New Roman" w:hAnsi="Times New Roman"/>
          <w:b/>
          <w:bCs/>
          <w:sz w:val="32"/>
          <w:szCs w:val="32"/>
        </w:rPr>
        <w:t xml:space="preserve">项目名称：2024-2026年长防处大中型闸站标准化管护项目</w:t>
      </w:r>
      <w:r>
        <w:rPr>
          <w:rFonts w:ascii="Times New Roman" w:hAnsi="Times New Roman"/>
          <w:b/>
          <w:bCs/>
          <w:sz w:val="32"/>
          <w:szCs w:val="32"/>
        </w:rPr>
      </w:r>
      <w:r/>
    </w:p>
    <w:p>
      <w:pPr>
        <w:pStyle w:val="1042"/>
        <w:ind w:firstLine="0"/>
        <w:jc w:val="center"/>
        <w:rPr>
          <w:rFonts w:ascii="Times New Roman" w:hAnsi="Times New Roman"/>
          <w:sz w:val="32"/>
          <w:szCs w:val="32"/>
        </w:rPr>
      </w:pPr>
      <w:r>
        <w:rPr>
          <w:rFonts w:ascii="Times New Roman" w:hAnsi="Times New Roman"/>
          <w:b/>
          <w:sz w:val="32"/>
          <w:szCs w:val="32"/>
        </w:rPr>
        <w:t xml:space="preserve">标</w:t>
      </w:r>
      <w:r>
        <w:rPr>
          <w:rFonts w:ascii="Times New Roman" w:hAnsi="Times New Roman"/>
          <w:b/>
          <w:bCs/>
          <w:sz w:val="32"/>
          <w:szCs w:val="32"/>
        </w:rPr>
        <w:t xml:space="preserve">书编号：JSZC-320582-HDZB-G2024-0005</w:t>
      </w: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t xml:space="preserve">                        </w:t>
      </w:r>
      <w:r>
        <w:rPr>
          <w:rFonts w:ascii="Times New Roman" w:hAnsi="Times New Roman"/>
          <w:b/>
          <w:sz w:val="32"/>
          <w:szCs w:val="32"/>
        </w:rPr>
        <w:t xml:space="preserve">项目属性：服务类</w:t>
      </w: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1042"/>
        <w:ind w:firstLine="0"/>
        <w:spacing w:before="0" w:after="0"/>
        <w:rPr>
          <w:rFonts w:ascii="Times New Roman" w:hAnsi="Times New Roman"/>
          <w:sz w:val="32"/>
          <w:szCs w:val="32"/>
        </w:rPr>
      </w:pPr>
      <w:r>
        <w:rPr>
          <w:rFonts w:ascii="Times New Roman" w:hAnsi="Times New Roman"/>
          <w:sz w:val="32"/>
          <w:szCs w:val="32"/>
        </w:rPr>
      </w:r>
      <w:r/>
    </w:p>
    <w:p>
      <w:pPr>
        <w:pStyle w:val="968"/>
        <w:jc w:val="center"/>
        <w:spacing w:line="360" w:lineRule="auto"/>
        <w:rPr>
          <w:rFonts w:ascii="Times New Roman" w:hAnsi="Times New Roman"/>
          <w:b/>
          <w:bCs/>
          <w:sz w:val="32"/>
          <w:szCs w:val="32"/>
        </w:rPr>
      </w:pPr>
      <w:r>
        <w:rPr>
          <w:rFonts w:ascii="Times New Roman" w:hAnsi="Times New Roman"/>
          <w:b/>
          <w:bCs/>
          <w:sz w:val="32"/>
          <w:szCs w:val="32"/>
        </w:rPr>
        <w:t xml:space="preserve">张家港禾达招投标咨询服务有限公司</w:t>
      </w:r>
      <w:r>
        <w:rPr>
          <w:rFonts w:ascii="Times New Roman" w:hAnsi="Times New Roman"/>
          <w:b/>
          <w:bCs/>
          <w:sz w:val="32"/>
          <w:szCs w:val="32"/>
        </w:rPr>
      </w:r>
      <w:r/>
    </w:p>
    <w:p>
      <w:pPr>
        <w:pStyle w:val="1042"/>
        <w:ind w:firstLine="0"/>
        <w:jc w:val="center"/>
        <w:rPr>
          <w:rFonts w:ascii="Times New Roman" w:hAnsi="Times New Roman"/>
          <w:b/>
          <w:bCs/>
          <w:sz w:val="32"/>
          <w:szCs w:val="32"/>
        </w:rPr>
      </w:pPr>
      <w:r/>
      <w:bookmarkStart w:id="0" w:name="EB52307051e0d04806912e5842f73c8551"/>
      <w:r>
        <w:rPr>
          <w:rFonts w:ascii="Times New Roman" w:hAnsi="Times New Roman"/>
          <w:b/>
          <w:bCs/>
          <w:sz w:val="32"/>
          <w:szCs w:val="32"/>
        </w:rPr>
        <w:t xml:space="preserve">2024年04月</w:t>
      </w:r>
      <w:bookmarkEnd w:id="0"/>
      <w:r>
        <w:rPr>
          <w:rFonts w:ascii="Times New Roman" w:hAnsi="Times New Roman"/>
          <w:b/>
          <w:bCs/>
          <w:sz w:val="32"/>
          <w:szCs w:val="32"/>
        </w:rPr>
        <w:t xml:space="preserve">03日</w:t>
      </w:r>
      <w:r>
        <w:rPr>
          <w:rFonts w:ascii="Times New Roman" w:hAnsi="Times New Roman"/>
          <w:b/>
          <w:bCs/>
          <w:sz w:val="32"/>
          <w:szCs w:val="32"/>
        </w:rPr>
      </w:r>
      <w:r/>
    </w:p>
    <w:p>
      <w:pPr>
        <w:pStyle w:val="926"/>
        <w:jc w:val="center"/>
        <w:spacing w:before="120" w:after="120" w:line="360" w:lineRule="auto"/>
        <w:rPr>
          <w:rFonts w:ascii="Times New Roman" w:hAnsi="Times New Roman"/>
          <w:sz w:val="24"/>
        </w:rPr>
      </w:pPr>
      <w:r>
        <w:rPr>
          <w:rFonts w:ascii="Times New Roman" w:hAnsi="Times New Roman"/>
          <w:sz w:val="24"/>
        </w:rPr>
        <w:t xml:space="preserve"> </w:t>
      </w:r>
      <w:r>
        <w:rPr>
          <w:rFonts w:ascii="Times New Roman" w:hAnsi="Times New Roman"/>
          <w:sz w:val="24"/>
        </w:rPr>
      </w:r>
      <w:r/>
    </w:p>
    <w:p>
      <w:pPr>
        <w:pStyle w:val="926"/>
        <w:jc w:val="center"/>
        <w:spacing w:before="120" w:after="120" w:line="360" w:lineRule="auto"/>
        <w:rPr>
          <w:rFonts w:ascii="Times New Roman" w:hAnsi="Times New Roman"/>
          <w:sz w:val="24"/>
        </w:rPr>
      </w:pPr>
      <w:r>
        <w:rPr>
          <w:rFonts w:ascii="Times New Roman" w:hAnsi="Times New Roman"/>
          <w:sz w:val="24"/>
        </w:rPr>
        <w:t xml:space="preserve"> </w:t>
      </w:r>
      <w:r>
        <w:rPr>
          <w:rFonts w:ascii="Times New Roman" w:hAnsi="Times New Roman"/>
          <w:sz w:val="24"/>
        </w:rPr>
      </w:r>
      <w:r/>
    </w:p>
    <w:p>
      <w:pPr>
        <w:pStyle w:val="926"/>
        <w:jc w:val="center"/>
        <w:spacing w:before="120" w:after="120" w:line="360" w:lineRule="auto"/>
        <w:rPr>
          <w:rFonts w:ascii="Times New Roman" w:hAnsi="Times New Roman"/>
          <w:sz w:val="24"/>
        </w:rPr>
      </w:pPr>
      <w:r>
        <w:rPr>
          <w:rFonts w:ascii="Times New Roman" w:hAnsi="Times New Roman"/>
          <w:sz w:val="24"/>
        </w:rPr>
        <w:t xml:space="preserve"> </w:t>
      </w:r>
      <w:r>
        <w:rPr>
          <w:rFonts w:ascii="Times New Roman" w:hAnsi="Times New Roman"/>
          <w:sz w:val="24"/>
        </w:rPr>
      </w:r>
      <w:r/>
    </w:p>
    <w:p>
      <w:pPr>
        <w:pStyle w:val="926"/>
        <w:jc w:val="center"/>
        <w:spacing w:line="360" w:lineRule="auto"/>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 xml:space="preserve">总  目  录</w:t>
      </w:r>
      <w:r>
        <w:rPr>
          <w:rFonts w:ascii="Times New Roman" w:hAnsi="Times New Roman"/>
          <w:b/>
          <w:bCs/>
          <w:sz w:val="44"/>
          <w:szCs w:val="44"/>
        </w:rPr>
      </w:r>
      <w:r/>
    </w:p>
    <w:p>
      <w:pPr>
        <w:pStyle w:val="977"/>
        <w:tabs>
          <w:tab w:val="right" w:pos="10082" w:leader="dot"/>
        </w:tabs>
        <w:rPr>
          <w:rFonts w:ascii="Times New Roman" w:hAnsi="Times New Roman" w:eastAsia="等线" w:cs="Times New Roman"/>
          <w:b w:val="0"/>
          <w:bCs w:val="0"/>
          <w:caps w:val="0"/>
          <w:sz w:val="22"/>
          <w:szCs w:val="24"/>
        </w:rPr>
      </w:pPr>
      <w:r>
        <w:rPr>
          <w:rFonts w:ascii="Times New Roman" w:hAnsi="Times New Roman" w:cs="Times New Roman"/>
          <w:b w:val="0"/>
          <w:bCs w:val="0"/>
          <w:sz w:val="28"/>
          <w:szCs w:val="28"/>
        </w:rPr>
        <w:fldChar w:fldCharType="begin"/>
      </w:r>
      <w:r>
        <w:rPr>
          <w:rFonts w:ascii="Times New Roman" w:hAnsi="Times New Roman" w:cs="Times New Roman"/>
          <w:b w:val="0"/>
          <w:bCs w:val="0"/>
          <w:sz w:val="28"/>
          <w:szCs w:val="28"/>
        </w:rPr>
        <w:instrText xml:space="preserve"> TOC \o "1-2" \h \z \u </w:instrText>
      </w:r>
      <w:r>
        <w:rPr>
          <w:rFonts w:ascii="Times New Roman" w:hAnsi="Times New Roman" w:cs="Times New Roman"/>
          <w:b w:val="0"/>
          <w:bCs w:val="0"/>
          <w:sz w:val="28"/>
          <w:szCs w:val="28"/>
        </w:rPr>
        <w:fldChar w:fldCharType="separate"/>
      </w:r>
      <w:r/>
    </w:p>
    <w:sdt>
      <w:sdtPr>
        <w15:appearance w15:val="boundingBox"/>
        <w:placeholder>
          <w:docPart w:val="DefaultPlaceholder_TEXT"/>
        </w:placeholder>
        <w:docPartObj>
          <w:docPartGallery w:val="Table of Contents"/>
          <w:docPartUnique w:val="true"/>
        </w:docPartObj>
        <w:rPr>
          <w:rFonts w:ascii="Times New Roman" w:hAnsi="Times New Roman" w:cs="Times New Roman"/>
          <w:b w:val="0"/>
          <w:bCs w:val="0"/>
          <w:sz w:val="28"/>
          <w:szCs w:val="28"/>
        </w:rPr>
      </w:sdtPr>
      <w:sdtContent>
        <w:p>
          <w:pPr>
            <w:pStyle w:val="915"/>
            <w:tabs>
              <w:tab w:val="right" w:pos="10092" w:leader="dot"/>
            </w:tabs>
            <w:rPr>
              <w:rFonts w:ascii="Times New Roman" w:hAnsi="Times New Roman" w:eastAsia="宋体"/>
            </w:rPr>
          </w:pPr>
          <w:r>
            <w:rPr>
              <w:rFonts w:ascii="Times New Roman" w:hAnsi="Times New Roman" w:cs="Times New Roman"/>
              <w:b w:val="0"/>
              <w:bCs w:val="0"/>
              <w:sz w:val="28"/>
              <w:szCs w:val="28"/>
            </w:rPr>
          </w:r>
          <w:r>
            <w:fldChar w:fldCharType="begin"/>
            <w:instrText xml:space="preserve">TOC \o "1-2" \h </w:instrText>
            <w:fldChar w:fldCharType="separate"/>
          </w:r>
          <w:r>
            <w:rPr>
              <w:rFonts w:ascii="Times New Roman" w:hAnsi="Times New Roman" w:cs="Times New Roman"/>
              <w:b w:val="0"/>
              <w:bCs w:val="0"/>
              <w:sz w:val="28"/>
              <w:szCs w:val="28"/>
            </w:rPr>
          </w:r>
          <w:hyperlink w:tooltip="#_Toc1" w:anchor="_Toc1" w:history="1">
            <w:r>
              <w:rPr>
                <w:rStyle w:val="1007"/>
              </w:rPr>
            </w:r>
            <w:r>
              <w:rPr>
                <w:rStyle w:val="1007"/>
                <w:rFonts w:ascii="Times New Roman" w:hAnsi="Times New Roman" w:eastAsia="宋体"/>
              </w:rPr>
              <w:t xml:space="preserve">第一章  投标邀请</w:t>
            </w:r>
            <w:r>
              <w:rPr>
                <w:rStyle w:val="1007"/>
              </w:rPr>
            </w:r>
            <w:r>
              <w:tab/>
            </w:r>
            <w:r>
              <w:fldChar w:fldCharType="begin"/>
              <w:instrText xml:space="preserve">PAGEREF _Toc1 \h</w:instrText>
              <w:fldChar w:fldCharType="separate"/>
              <w:t xml:space="preserve">3</w:t>
              <w:fldChar w:fldCharType="end"/>
            </w:r>
          </w:hyperlink>
          <w:r>
            <w:rPr>
              <w:rFonts w:ascii="Times New Roman" w:hAnsi="Times New Roman" w:eastAsia="宋体"/>
            </w:rPr>
          </w:r>
          <w:r/>
        </w:p>
        <w:p>
          <w:pPr>
            <w:pStyle w:val="915"/>
            <w:tabs>
              <w:tab w:val="right" w:pos="10092" w:leader="dot"/>
            </w:tabs>
            <w:rPr>
              <w:rFonts w:ascii="Times New Roman" w:hAnsi="Times New Roman" w:eastAsia="宋体"/>
            </w:rPr>
          </w:pPr>
          <w:r/>
          <w:hyperlink w:tooltip="#_Toc2" w:anchor="_Toc2" w:history="1">
            <w:r>
              <w:rPr>
                <w:rStyle w:val="1007"/>
              </w:rPr>
            </w:r>
            <w:r>
              <w:rPr>
                <w:rStyle w:val="1007"/>
                <w:rFonts w:ascii="Times New Roman" w:hAnsi="Times New Roman" w:eastAsia="宋体"/>
              </w:rPr>
              <w:t xml:space="preserve">第二章  </w:t>
            </w:r>
            <w:r>
              <w:rPr>
                <w:rStyle w:val="1007"/>
                <w:rFonts w:ascii="Times New Roman" w:hAnsi="Times New Roman" w:eastAsia="宋体"/>
              </w:rPr>
              <w:t xml:space="preserve">投标人须知</w:t>
            </w:r>
            <w:r>
              <w:rPr>
                <w:rStyle w:val="1007"/>
              </w:rPr>
            </w:r>
            <w:r>
              <w:tab/>
            </w:r>
            <w:r>
              <w:fldChar w:fldCharType="begin"/>
              <w:instrText xml:space="preserve">PAGEREF _Toc2 \h</w:instrText>
              <w:fldChar w:fldCharType="separate"/>
              <w:t xml:space="preserve">7</w:t>
              <w:fldChar w:fldCharType="end"/>
            </w:r>
          </w:hyperlink>
          <w:r>
            <w:rPr>
              <w:rFonts w:ascii="Times New Roman" w:hAnsi="Times New Roman" w:eastAsia="宋体"/>
            </w:rPr>
          </w:r>
          <w:r/>
        </w:p>
        <w:p>
          <w:pPr>
            <w:pStyle w:val="916"/>
            <w:tabs>
              <w:tab w:val="right" w:pos="10092" w:leader="dot"/>
            </w:tabs>
            <w:rPr>
              <w:rStyle w:val="1036"/>
              <w:rFonts w:ascii="Times New Roman" w:hAnsi="Times New Roman"/>
            </w:rPr>
          </w:pPr>
          <w:r/>
          <w:hyperlink w:tooltip="#_Toc3" w:anchor="_Toc3" w:history="1">
            <w:r>
              <w:rPr>
                <w:rStyle w:val="1007"/>
              </w:rPr>
            </w:r>
            <w:r>
              <w:rPr>
                <w:rStyle w:val="1007"/>
                <w:rFonts w:ascii="Times New Roman" w:hAnsi="Times New Roman"/>
              </w:rPr>
              <w:t xml:space="preserve">一、总则</w:t>
            </w:r>
            <w:r>
              <w:rPr>
                <w:rStyle w:val="1007"/>
              </w:rPr>
            </w:r>
            <w:r>
              <w:tab/>
            </w:r>
            <w:r>
              <w:fldChar w:fldCharType="begin"/>
              <w:instrText xml:space="preserve">PAGEREF _Toc3 \h</w:instrText>
              <w:fldChar w:fldCharType="separate"/>
              <w:t xml:space="preserve">7</w:t>
              <w:fldChar w:fldCharType="end"/>
            </w:r>
          </w:hyperlink>
          <w:r>
            <w:rPr>
              <w:rStyle w:val="1036"/>
              <w:rFonts w:ascii="Times New Roman" w:hAnsi="Times New Roman"/>
            </w:rPr>
          </w:r>
          <w:r/>
        </w:p>
        <w:p>
          <w:pPr>
            <w:pStyle w:val="916"/>
            <w:tabs>
              <w:tab w:val="right" w:pos="10092" w:leader="dot"/>
            </w:tabs>
            <w:rPr>
              <w:rStyle w:val="1036"/>
              <w:rFonts w:ascii="Times New Roman" w:hAnsi="Times New Roman"/>
            </w:rPr>
          </w:pPr>
          <w:r/>
          <w:hyperlink w:tooltip="#_Toc4" w:anchor="_Toc4" w:history="1">
            <w:r>
              <w:rPr>
                <w:rStyle w:val="1007"/>
              </w:rPr>
            </w:r>
            <w:r>
              <w:rPr>
                <w:rStyle w:val="1007"/>
                <w:rFonts w:ascii="Times New Roman" w:hAnsi="Times New Roman"/>
              </w:rPr>
              <w:t xml:space="preserve">二、招标文件</w:t>
            </w:r>
            <w:r>
              <w:rPr>
                <w:rStyle w:val="1007"/>
              </w:rPr>
            </w:r>
            <w:r>
              <w:tab/>
            </w:r>
            <w:r>
              <w:fldChar w:fldCharType="begin"/>
              <w:instrText xml:space="preserve">PAGEREF _Toc4 \h</w:instrText>
              <w:fldChar w:fldCharType="separate"/>
              <w:t xml:space="preserve">7</w:t>
              <w:fldChar w:fldCharType="end"/>
            </w:r>
          </w:hyperlink>
          <w:r>
            <w:rPr>
              <w:rStyle w:val="1036"/>
              <w:rFonts w:ascii="Times New Roman" w:hAnsi="Times New Roman"/>
            </w:rPr>
          </w:r>
          <w:r/>
        </w:p>
        <w:p>
          <w:pPr>
            <w:pStyle w:val="916"/>
            <w:tabs>
              <w:tab w:val="right" w:pos="10092" w:leader="dot"/>
            </w:tabs>
            <w:rPr>
              <w:rStyle w:val="1036"/>
              <w:rFonts w:ascii="Times New Roman" w:hAnsi="Times New Roman"/>
            </w:rPr>
          </w:pPr>
          <w:r/>
          <w:hyperlink w:tooltip="#_Toc5" w:anchor="_Toc5" w:history="1">
            <w:r>
              <w:rPr>
                <w:rStyle w:val="1007"/>
              </w:rPr>
            </w:r>
            <w:r>
              <w:rPr>
                <w:rStyle w:val="1007"/>
                <w:rFonts w:ascii="Times New Roman" w:hAnsi="Times New Roman"/>
              </w:rPr>
              <w:t xml:space="preserve">三、投标文件的编制</w:t>
            </w:r>
            <w:r>
              <w:rPr>
                <w:rStyle w:val="1007"/>
              </w:rPr>
            </w:r>
            <w:r>
              <w:tab/>
            </w:r>
            <w:r>
              <w:fldChar w:fldCharType="begin"/>
              <w:instrText xml:space="preserve">PAGEREF _Toc5 \h</w:instrText>
              <w:fldChar w:fldCharType="separate"/>
              <w:t xml:space="preserve">8</w:t>
              <w:fldChar w:fldCharType="end"/>
            </w:r>
          </w:hyperlink>
          <w:r>
            <w:rPr>
              <w:rStyle w:val="1036"/>
              <w:rFonts w:ascii="Times New Roman" w:hAnsi="Times New Roman"/>
            </w:rPr>
          </w:r>
          <w:r/>
        </w:p>
        <w:p>
          <w:pPr>
            <w:pStyle w:val="916"/>
            <w:tabs>
              <w:tab w:val="right" w:pos="10092" w:leader="dot"/>
            </w:tabs>
            <w:rPr>
              <w:rFonts w:ascii="Times New Roman" w:hAnsi="Times New Roman" w:eastAsia="宋体"/>
            </w:rPr>
          </w:pPr>
          <w:r/>
          <w:hyperlink w:tooltip="#_Toc6" w:anchor="_Toc6" w:history="1">
            <w:r>
              <w:rPr>
                <w:rStyle w:val="1007"/>
              </w:rPr>
            </w:r>
            <w:r>
              <w:rPr>
                <w:rStyle w:val="1007"/>
                <w:rFonts w:ascii="Times New Roman" w:hAnsi="Times New Roman"/>
              </w:rPr>
              <w:t xml:space="preserve">四、投标文件的制作、上传、递交</w:t>
            </w:r>
            <w:r>
              <w:rPr>
                <w:rStyle w:val="1007"/>
              </w:rPr>
            </w:r>
            <w:r>
              <w:tab/>
            </w:r>
            <w:r>
              <w:fldChar w:fldCharType="begin"/>
              <w:instrText xml:space="preserve">PAGEREF _Toc6 \h</w:instrText>
              <w:fldChar w:fldCharType="separate"/>
              <w:t xml:space="preserve">10</w:t>
              <w:fldChar w:fldCharType="end"/>
            </w:r>
          </w:hyperlink>
          <w:r>
            <w:rPr>
              <w:rFonts w:ascii="Times New Roman" w:hAnsi="Times New Roman" w:eastAsia="宋体"/>
            </w:rPr>
          </w:r>
          <w:r/>
        </w:p>
        <w:p>
          <w:pPr>
            <w:pStyle w:val="916"/>
            <w:tabs>
              <w:tab w:val="right" w:pos="10092" w:leader="dot"/>
            </w:tabs>
            <w:rPr>
              <w:rStyle w:val="1036"/>
              <w:rFonts w:ascii="Times New Roman" w:hAnsi="Times New Roman"/>
            </w:rPr>
          </w:pPr>
          <w:r/>
          <w:hyperlink w:tooltip="#_Toc7" w:anchor="_Toc7" w:history="1">
            <w:r>
              <w:rPr>
                <w:rStyle w:val="1007"/>
              </w:rPr>
            </w:r>
            <w:r>
              <w:rPr>
                <w:rStyle w:val="1007"/>
                <w:rFonts w:ascii="Times New Roman" w:hAnsi="Times New Roman"/>
              </w:rPr>
              <w:t xml:space="preserve">五、开标与评标</w:t>
            </w:r>
            <w:r>
              <w:rPr>
                <w:rStyle w:val="1007"/>
              </w:rPr>
            </w:r>
            <w:r>
              <w:tab/>
            </w:r>
            <w:r>
              <w:fldChar w:fldCharType="begin"/>
              <w:instrText xml:space="preserve">PAGEREF _Toc7 \h</w:instrText>
              <w:fldChar w:fldCharType="separate"/>
              <w:t xml:space="preserve">11</w:t>
              <w:fldChar w:fldCharType="end"/>
            </w:r>
          </w:hyperlink>
          <w:r>
            <w:rPr>
              <w:rStyle w:val="1036"/>
              <w:rFonts w:ascii="Times New Roman" w:hAnsi="Times New Roman"/>
            </w:rPr>
          </w:r>
          <w:r/>
        </w:p>
        <w:p>
          <w:pPr>
            <w:pStyle w:val="916"/>
            <w:tabs>
              <w:tab w:val="right" w:pos="10092" w:leader="dot"/>
            </w:tabs>
            <w:rPr>
              <w:rStyle w:val="1036"/>
              <w:rFonts w:ascii="Times New Roman" w:hAnsi="Times New Roman"/>
            </w:rPr>
          </w:pPr>
          <w:r/>
          <w:hyperlink w:tooltip="#_Toc8" w:anchor="_Toc8" w:history="1">
            <w:r>
              <w:rPr>
                <w:rStyle w:val="1007"/>
              </w:rPr>
            </w:r>
            <w:r>
              <w:rPr>
                <w:rStyle w:val="1007"/>
                <w:rFonts w:ascii="Times New Roman" w:hAnsi="Times New Roman"/>
              </w:rPr>
              <w:t xml:space="preserve">六、</w:t>
            </w:r>
            <w:r>
              <w:rPr>
                <w:rStyle w:val="1007"/>
                <w:rFonts w:ascii="Times New Roman" w:hAnsi="Times New Roman"/>
              </w:rPr>
              <w:t xml:space="preserve">定标</w:t>
            </w:r>
            <w:r>
              <w:rPr>
                <w:rStyle w:val="1007"/>
              </w:rPr>
            </w:r>
            <w:r>
              <w:tab/>
            </w:r>
            <w:r>
              <w:fldChar w:fldCharType="begin"/>
              <w:instrText xml:space="preserve">PAGEREF _Toc8 \h</w:instrText>
              <w:fldChar w:fldCharType="separate"/>
              <w:t xml:space="preserve">15</w:t>
              <w:fldChar w:fldCharType="end"/>
            </w:r>
          </w:hyperlink>
          <w:r>
            <w:rPr>
              <w:rStyle w:val="1036"/>
              <w:rFonts w:ascii="Times New Roman" w:hAnsi="Times New Roman"/>
            </w:rPr>
          </w:r>
          <w:r/>
        </w:p>
        <w:p>
          <w:pPr>
            <w:pStyle w:val="915"/>
            <w:tabs>
              <w:tab w:val="right" w:pos="10092" w:leader="dot"/>
            </w:tabs>
            <w:rPr>
              <w:rFonts w:ascii="Times New Roman" w:hAnsi="Times New Roman" w:eastAsia="宋体"/>
            </w:rPr>
          </w:pPr>
          <w:r/>
          <w:hyperlink w:tooltip="#_Toc9" w:anchor="_Toc9" w:history="1">
            <w:r>
              <w:rPr>
                <w:rStyle w:val="1007"/>
              </w:rPr>
            </w:r>
            <w:r>
              <w:rPr>
                <w:rStyle w:val="1007"/>
                <w:rFonts w:ascii="Times New Roman" w:hAnsi="Times New Roman" w:eastAsia="宋体"/>
              </w:rPr>
              <w:t xml:space="preserve">第三章  合同条款及格式</w:t>
            </w:r>
            <w:r>
              <w:rPr>
                <w:rStyle w:val="1007"/>
              </w:rPr>
            </w:r>
            <w:r>
              <w:tab/>
            </w:r>
            <w:r>
              <w:fldChar w:fldCharType="begin"/>
              <w:instrText xml:space="preserve">PAGEREF _Toc9 \h</w:instrText>
              <w:fldChar w:fldCharType="separate"/>
              <w:t xml:space="preserve">18</w:t>
              <w:fldChar w:fldCharType="end"/>
            </w:r>
          </w:hyperlink>
          <w:r>
            <w:rPr>
              <w:rFonts w:ascii="Times New Roman" w:hAnsi="Times New Roman" w:eastAsia="宋体"/>
            </w:rPr>
          </w:r>
          <w:r/>
        </w:p>
        <w:p>
          <w:pPr>
            <w:pStyle w:val="915"/>
            <w:tabs>
              <w:tab w:val="right" w:pos="10092" w:leader="dot"/>
            </w:tabs>
            <w:rPr>
              <w:rFonts w:ascii="Times New Roman" w:hAnsi="Times New Roman" w:eastAsia="宋体"/>
            </w:rPr>
          </w:pPr>
          <w:r/>
          <w:hyperlink w:tooltip="#_Toc10" w:anchor="_Toc10" w:history="1">
            <w:r>
              <w:rPr>
                <w:rStyle w:val="1007"/>
              </w:rPr>
            </w:r>
            <w:r>
              <w:rPr>
                <w:rStyle w:val="1007"/>
                <w:rFonts w:ascii="Times New Roman" w:hAnsi="Times New Roman" w:eastAsia="宋体"/>
              </w:rPr>
              <w:t xml:space="preserve">第</w:t>
            </w:r>
            <w:r>
              <w:rPr>
                <w:rStyle w:val="1007"/>
                <w:rFonts w:ascii="Times New Roman" w:hAnsi="Times New Roman" w:eastAsia="宋体"/>
              </w:rPr>
              <w:t xml:space="preserve">四章 项目需求</w:t>
            </w:r>
            <w:r>
              <w:rPr>
                <w:rStyle w:val="1007"/>
              </w:rPr>
            </w:r>
            <w:r>
              <w:tab/>
            </w:r>
            <w:r>
              <w:fldChar w:fldCharType="begin"/>
              <w:instrText xml:space="preserve">PAGEREF _Toc10 \h</w:instrText>
              <w:fldChar w:fldCharType="separate"/>
              <w:t xml:space="preserve">22</w:t>
              <w:fldChar w:fldCharType="end"/>
            </w:r>
          </w:hyperlink>
          <w:r>
            <w:rPr>
              <w:rFonts w:ascii="Times New Roman" w:hAnsi="Times New Roman" w:eastAsia="宋体"/>
            </w:rPr>
          </w:r>
          <w:r/>
        </w:p>
        <w:p>
          <w:pPr>
            <w:pStyle w:val="915"/>
            <w:tabs>
              <w:tab w:val="right" w:pos="10092" w:leader="dot"/>
            </w:tabs>
            <w:rPr>
              <w:rFonts w:ascii="Times New Roman" w:hAnsi="Times New Roman" w:eastAsia="宋体"/>
            </w:rPr>
          </w:pPr>
          <w:r/>
          <w:hyperlink w:tooltip="#_Toc11" w:anchor="_Toc11" w:history="1">
            <w:r>
              <w:rPr>
                <w:rStyle w:val="1007"/>
              </w:rPr>
            </w:r>
            <w:r>
              <w:rPr>
                <w:rStyle w:val="1007"/>
                <w:rFonts w:ascii="Times New Roman" w:hAnsi="Times New Roman" w:eastAsia="宋体"/>
              </w:rPr>
              <w:t xml:space="preserve">第五章  评标方法与评标标准</w:t>
            </w:r>
            <w:r>
              <w:rPr>
                <w:rStyle w:val="1007"/>
              </w:rPr>
            </w:r>
            <w:r>
              <w:tab/>
            </w:r>
            <w:r>
              <w:fldChar w:fldCharType="begin"/>
              <w:instrText xml:space="preserve">PAGEREF _Toc11 \h</w:instrText>
              <w:fldChar w:fldCharType="separate"/>
              <w:t xml:space="preserve">74</w:t>
              <w:fldChar w:fldCharType="end"/>
            </w:r>
          </w:hyperlink>
          <w:r>
            <w:rPr>
              <w:rFonts w:ascii="Times New Roman" w:hAnsi="Times New Roman" w:eastAsia="宋体"/>
            </w:rPr>
          </w:r>
          <w:r/>
        </w:p>
        <w:p>
          <w:pPr>
            <w:pStyle w:val="916"/>
            <w:tabs>
              <w:tab w:val="right" w:pos="10092" w:leader="dot"/>
            </w:tabs>
            <w:rPr>
              <w:rStyle w:val="1036"/>
              <w:rFonts w:ascii="Times New Roman" w:hAnsi="Times New Roman"/>
            </w:rPr>
          </w:pPr>
          <w:r/>
          <w:hyperlink w:tooltip="#_Toc12" w:anchor="_Toc12" w:history="1">
            <w:r>
              <w:rPr>
                <w:rStyle w:val="1007"/>
              </w:rPr>
            </w:r>
            <w:r>
              <w:rPr>
                <w:rStyle w:val="1007"/>
                <w:rFonts w:ascii="Times New Roman" w:hAnsi="Times New Roman"/>
              </w:rPr>
              <w:t xml:space="preserve">一、评标方法与定标原则</w:t>
            </w:r>
            <w:r>
              <w:rPr>
                <w:rStyle w:val="1007"/>
              </w:rPr>
            </w:r>
            <w:r>
              <w:tab/>
            </w:r>
            <w:r>
              <w:fldChar w:fldCharType="begin"/>
              <w:instrText xml:space="preserve">PAGEREF _Toc12 \h</w:instrText>
              <w:fldChar w:fldCharType="separate"/>
              <w:t xml:space="preserve">74</w:t>
              <w:fldChar w:fldCharType="end"/>
            </w:r>
          </w:hyperlink>
          <w:r>
            <w:rPr>
              <w:rStyle w:val="1036"/>
              <w:rFonts w:ascii="Times New Roman" w:hAnsi="Times New Roman"/>
            </w:rPr>
          </w:r>
          <w:r/>
        </w:p>
        <w:p>
          <w:pPr>
            <w:pStyle w:val="916"/>
            <w:tabs>
              <w:tab w:val="right" w:pos="10092" w:leader="dot"/>
            </w:tabs>
            <w:rPr>
              <w:rFonts w:ascii="Times New Roman" w:hAnsi="Times New Roman" w:eastAsia="宋体"/>
            </w:rPr>
          </w:pPr>
          <w:r/>
          <w:hyperlink w:tooltip="#_Toc13" w:anchor="_Toc13" w:history="1">
            <w:r>
              <w:rPr>
                <w:rStyle w:val="1007"/>
              </w:rPr>
            </w:r>
            <w:r>
              <w:rPr>
                <w:rStyle w:val="1007"/>
                <w:rFonts w:ascii="Times New Roman" w:hAnsi="Times New Roman"/>
              </w:rPr>
              <w:t xml:space="preserve">二、评标标准</w:t>
            </w:r>
            <w:r>
              <w:rPr>
                <w:rStyle w:val="1007"/>
              </w:rPr>
            </w:r>
            <w:r>
              <w:tab/>
            </w:r>
            <w:r>
              <w:fldChar w:fldCharType="begin"/>
              <w:instrText xml:space="preserve">PAGEREF _Toc13 \h</w:instrText>
              <w:fldChar w:fldCharType="separate"/>
              <w:t xml:space="preserve">74</w:t>
              <w:fldChar w:fldCharType="end"/>
            </w:r>
          </w:hyperlink>
          <w:r>
            <w:rPr>
              <w:rFonts w:ascii="Times New Roman" w:hAnsi="Times New Roman" w:eastAsia="宋体"/>
            </w:rPr>
          </w:r>
          <w:r/>
        </w:p>
        <w:p>
          <w:pPr>
            <w:pStyle w:val="915"/>
            <w:tabs>
              <w:tab w:val="right" w:pos="10092" w:leader="dot"/>
            </w:tabs>
            <w:rPr>
              <w:rFonts w:ascii="Times New Roman" w:hAnsi="Times New Roman" w:eastAsia="宋体"/>
            </w:rPr>
          </w:pPr>
          <w:r/>
          <w:hyperlink w:tooltip="#_Toc14" w:anchor="_Toc14" w:history="1">
            <w:r>
              <w:rPr>
                <w:rStyle w:val="1007"/>
              </w:rPr>
            </w:r>
            <w:r>
              <w:rPr>
                <w:rStyle w:val="1007"/>
                <w:rFonts w:ascii="Times New Roman" w:hAnsi="Times New Roman" w:eastAsia="宋体"/>
              </w:rPr>
              <w:t xml:space="preserve">第六章 投标文件格式</w:t>
            </w:r>
            <w:r>
              <w:rPr>
                <w:rStyle w:val="1007"/>
              </w:rPr>
            </w:r>
            <w:r>
              <w:tab/>
            </w:r>
            <w:r>
              <w:fldChar w:fldCharType="begin"/>
              <w:instrText xml:space="preserve">PAGEREF _Toc14 \h</w:instrText>
              <w:fldChar w:fldCharType="separate"/>
              <w:t xml:space="preserve">78</w:t>
              <w:fldChar w:fldCharType="end"/>
            </w:r>
          </w:hyperlink>
          <w:r>
            <w:rPr>
              <w:rFonts w:ascii="Times New Roman" w:hAnsi="Times New Roman" w:eastAsia="宋体"/>
            </w:rPr>
          </w:r>
          <w:r/>
        </w:p>
        <w:p>
          <w:pPr>
            <w:pStyle w:val="916"/>
            <w:tabs>
              <w:tab w:val="right" w:pos="10092" w:leader="dot"/>
            </w:tabs>
            <w:rPr>
              <w:rFonts w:eastAsia="宋体"/>
            </w:rPr>
          </w:pPr>
          <w:r/>
          <w:hyperlink w:tooltip="#_Toc15" w:anchor="_Toc15" w:history="1">
            <w:r>
              <w:rPr>
                <w:rStyle w:val="1007"/>
              </w:rPr>
            </w:r>
            <w:r>
              <w:rPr>
                <w:rStyle w:val="1007"/>
                <w:rFonts w:eastAsia="宋体"/>
                <w:b/>
              </w:rPr>
              <w:t xml:space="preserve">一、封面</w:t>
            </w:r>
            <w:r>
              <w:rPr>
                <w:rStyle w:val="1007"/>
              </w:rPr>
            </w:r>
            <w:r>
              <w:tab/>
            </w:r>
            <w:r>
              <w:fldChar w:fldCharType="begin"/>
              <w:instrText xml:space="preserve">PAGEREF _Toc15 \h</w:instrText>
              <w:fldChar w:fldCharType="separate"/>
              <w:t xml:space="preserve">80</w:t>
              <w:fldChar w:fldCharType="end"/>
            </w:r>
          </w:hyperlink>
          <w:r>
            <w:rPr>
              <w:rFonts w:eastAsia="宋体"/>
            </w:rPr>
          </w:r>
          <w:r/>
        </w:p>
        <w:p>
          <w:pPr>
            <w:pStyle w:val="916"/>
            <w:tabs>
              <w:tab w:val="right" w:pos="10092" w:leader="dot"/>
            </w:tabs>
            <w:rPr>
              <w:rFonts w:eastAsia="宋体"/>
            </w:rPr>
          </w:pPr>
          <w:r/>
          <w:hyperlink w:tooltip="#_Toc16" w:anchor="_Toc16" w:history="1">
            <w:r>
              <w:rPr>
                <w:rStyle w:val="1007"/>
              </w:rPr>
            </w:r>
            <w:r>
              <w:rPr>
                <w:rStyle w:val="1007"/>
                <w:rFonts w:eastAsia="宋体"/>
                <w:b/>
              </w:rPr>
              <w:t xml:space="preserve">二、投标函格式</w:t>
            </w:r>
            <w:r>
              <w:rPr>
                <w:rStyle w:val="1007"/>
              </w:rPr>
            </w:r>
            <w:r>
              <w:tab/>
            </w:r>
            <w:r>
              <w:fldChar w:fldCharType="begin"/>
              <w:instrText xml:space="preserve">PAGEREF _Toc16 \h</w:instrText>
              <w:fldChar w:fldCharType="separate"/>
              <w:t xml:space="preserve">81</w:t>
              <w:fldChar w:fldCharType="end"/>
            </w:r>
          </w:hyperlink>
          <w:r>
            <w:rPr>
              <w:rFonts w:eastAsia="宋体"/>
            </w:rPr>
          </w:r>
          <w:r/>
        </w:p>
        <w:p>
          <w:pPr>
            <w:pStyle w:val="916"/>
            <w:tabs>
              <w:tab w:val="right" w:pos="10092" w:leader="dot"/>
            </w:tabs>
            <w:rPr>
              <w:rFonts w:eastAsia="宋体"/>
            </w:rPr>
          </w:pPr>
          <w:r/>
          <w:hyperlink w:tooltip="#_Toc17" w:anchor="_Toc17" w:history="1">
            <w:r>
              <w:rPr>
                <w:rStyle w:val="1007"/>
              </w:rPr>
            </w:r>
            <w:r>
              <w:rPr>
                <w:rStyle w:val="1007"/>
                <w:rFonts w:eastAsia="宋体"/>
                <w:b/>
              </w:rPr>
              <w:t xml:space="preserve">三、开标一览表</w:t>
            </w:r>
            <w:r>
              <w:rPr>
                <w:rStyle w:val="1007"/>
              </w:rPr>
            </w:r>
            <w:r>
              <w:tab/>
            </w:r>
            <w:r>
              <w:fldChar w:fldCharType="begin"/>
              <w:instrText xml:space="preserve">PAGEREF _Toc17 \h</w:instrText>
              <w:fldChar w:fldCharType="separate"/>
              <w:t xml:space="preserve">82</w:t>
              <w:fldChar w:fldCharType="end"/>
            </w:r>
          </w:hyperlink>
          <w:r>
            <w:rPr>
              <w:rFonts w:eastAsia="宋体"/>
            </w:rPr>
          </w:r>
          <w:r/>
        </w:p>
        <w:p>
          <w:pPr>
            <w:pStyle w:val="916"/>
            <w:tabs>
              <w:tab w:val="right" w:pos="10092" w:leader="dot"/>
            </w:tabs>
            <w:rPr>
              <w:rFonts w:eastAsia="宋体"/>
            </w:rPr>
          </w:pPr>
          <w:r/>
          <w:hyperlink w:tooltip="#_Toc18" w:anchor="_Toc18" w:history="1">
            <w:r>
              <w:rPr>
                <w:rStyle w:val="1007"/>
              </w:rPr>
            </w:r>
            <w:r>
              <w:rPr>
                <w:rStyle w:val="1007"/>
                <w:rFonts w:eastAsia="宋体"/>
                <w:b/>
              </w:rPr>
              <w:t xml:space="preserve">四、资格证明文件</w:t>
            </w:r>
            <w:r>
              <w:rPr>
                <w:rStyle w:val="1007"/>
              </w:rPr>
            </w:r>
            <w:r>
              <w:tab/>
            </w:r>
            <w:r>
              <w:fldChar w:fldCharType="begin"/>
              <w:instrText xml:space="preserve">PAGEREF _Toc18 \h</w:instrText>
              <w:fldChar w:fldCharType="separate"/>
              <w:t xml:space="preserve">83</w:t>
              <w:fldChar w:fldCharType="end"/>
            </w:r>
          </w:hyperlink>
          <w:r>
            <w:rPr>
              <w:rFonts w:eastAsia="宋体"/>
            </w:rPr>
          </w:r>
          <w:r/>
        </w:p>
        <w:p>
          <w:pPr>
            <w:pStyle w:val="916"/>
            <w:tabs>
              <w:tab w:val="right" w:pos="10092" w:leader="dot"/>
            </w:tabs>
            <w:rPr>
              <w:rFonts w:eastAsia="宋体"/>
            </w:rPr>
          </w:pPr>
          <w:r/>
          <w:hyperlink w:tooltip="#_Toc19" w:anchor="_Toc19" w:history="1">
            <w:r>
              <w:rPr>
                <w:rStyle w:val="1007"/>
              </w:rPr>
            </w:r>
            <w:r>
              <w:rPr>
                <w:rStyle w:val="1007"/>
                <w:rFonts w:eastAsia="宋体"/>
                <w:b/>
              </w:rPr>
              <w:t xml:space="preserve">五、第四章项目需求中实质性要求响应对照表</w:t>
            </w:r>
            <w:r>
              <w:rPr>
                <w:rStyle w:val="1007"/>
              </w:rPr>
            </w:r>
            <w:r>
              <w:tab/>
            </w:r>
            <w:r>
              <w:fldChar w:fldCharType="begin"/>
              <w:instrText xml:space="preserve">PAGEREF _Toc19 \h</w:instrText>
              <w:fldChar w:fldCharType="separate"/>
              <w:t xml:space="preserve">97</w:t>
              <w:fldChar w:fldCharType="end"/>
            </w:r>
          </w:hyperlink>
          <w:r>
            <w:rPr>
              <w:rFonts w:eastAsia="宋体"/>
            </w:rPr>
          </w:r>
          <w:r/>
        </w:p>
        <w:p>
          <w:pPr>
            <w:pStyle w:val="916"/>
            <w:tabs>
              <w:tab w:val="right" w:pos="10092" w:leader="dot"/>
            </w:tabs>
            <w:rPr>
              <w:rFonts w:eastAsia="宋体"/>
            </w:rPr>
          </w:pPr>
          <w:r/>
          <w:hyperlink w:tooltip="#_Toc20" w:anchor="_Toc20" w:history="1">
            <w:r>
              <w:rPr>
                <w:rStyle w:val="1007"/>
              </w:rPr>
            </w:r>
            <w:r>
              <w:rPr>
                <w:rStyle w:val="1007"/>
                <w:rFonts w:eastAsia="宋体"/>
                <w:b/>
              </w:rPr>
              <w:t xml:space="preserve">六、服务方案</w:t>
            </w:r>
            <w:r>
              <w:rPr>
                <w:rStyle w:val="1007"/>
              </w:rPr>
            </w:r>
            <w:r>
              <w:tab/>
            </w:r>
            <w:r>
              <w:fldChar w:fldCharType="begin"/>
              <w:instrText xml:space="preserve">PAGEREF _Toc20 \h</w:instrText>
              <w:fldChar w:fldCharType="separate"/>
              <w:t xml:space="preserve">98</w:t>
              <w:fldChar w:fldCharType="end"/>
            </w:r>
          </w:hyperlink>
          <w:r>
            <w:rPr>
              <w:rFonts w:eastAsia="宋体"/>
            </w:rPr>
          </w:r>
          <w:r/>
        </w:p>
        <w:p>
          <w:pPr>
            <w:pStyle w:val="916"/>
            <w:tabs>
              <w:tab w:val="right" w:pos="10092" w:leader="dot"/>
            </w:tabs>
            <w:rPr>
              <w:rFonts w:eastAsia="宋体"/>
            </w:rPr>
          </w:pPr>
          <w:r/>
          <w:hyperlink w:tooltip="#_Toc21" w:anchor="_Toc21" w:history="1">
            <w:r>
              <w:rPr>
                <w:rStyle w:val="1007"/>
              </w:rPr>
            </w:r>
            <w:r>
              <w:rPr>
                <w:rStyle w:val="1007"/>
                <w:rFonts w:eastAsia="宋体"/>
                <w:b/>
              </w:rPr>
              <w:t xml:space="preserve">七、投标人情况介绍</w:t>
            </w:r>
            <w:r>
              <w:rPr>
                <w:rStyle w:val="1007"/>
              </w:rPr>
            </w:r>
            <w:r>
              <w:tab/>
            </w:r>
            <w:r>
              <w:fldChar w:fldCharType="begin"/>
              <w:instrText xml:space="preserve">PAGEREF _Toc21 \h</w:instrText>
              <w:fldChar w:fldCharType="separate"/>
              <w:t xml:space="preserve">99</w:t>
              <w:fldChar w:fldCharType="end"/>
            </w:r>
          </w:hyperlink>
          <w:r>
            <w:rPr>
              <w:rFonts w:eastAsia="宋体"/>
            </w:rPr>
          </w:r>
          <w:r/>
        </w:p>
        <w:p>
          <w:pPr>
            <w:pStyle w:val="916"/>
            <w:tabs>
              <w:tab w:val="right" w:pos="10092" w:leader="dot"/>
            </w:tabs>
            <w:rPr>
              <w:rFonts w:eastAsia="宋体"/>
            </w:rPr>
          </w:pPr>
          <w:r/>
          <w:hyperlink w:tooltip="#_Toc22" w:anchor="_Toc22" w:history="1">
            <w:r>
              <w:rPr>
                <w:rStyle w:val="1007"/>
              </w:rPr>
            </w:r>
            <w:r>
              <w:rPr>
                <w:rStyle w:val="1007"/>
                <w:rFonts w:eastAsia="宋体"/>
                <w:b/>
              </w:rPr>
              <w:t xml:space="preserve">八、投标配置及分项报价表</w:t>
            </w:r>
            <w:r>
              <w:rPr>
                <w:rStyle w:val="1007"/>
              </w:rPr>
            </w:r>
            <w:r>
              <w:tab/>
            </w:r>
            <w:r>
              <w:fldChar w:fldCharType="begin"/>
              <w:instrText xml:space="preserve">PAGEREF _Toc22 \h</w:instrText>
              <w:fldChar w:fldCharType="separate"/>
              <w:t xml:space="preserve">104</w:t>
              <w:fldChar w:fldCharType="end"/>
            </w:r>
          </w:hyperlink>
          <w:r>
            <w:rPr>
              <w:rFonts w:eastAsia="宋体"/>
            </w:rPr>
          </w:r>
          <w:r/>
        </w:p>
        <w:p>
          <w:pPr>
            <w:pStyle w:val="916"/>
            <w:tabs>
              <w:tab w:val="right" w:pos="10092" w:leader="dot"/>
            </w:tabs>
            <w:rPr>
              <w:rFonts w:ascii="Times New Roman" w:hAnsi="Times New Roman"/>
              <w:b/>
            </w:rPr>
            <w:suppressLineNumbers w:val="0"/>
          </w:pPr>
          <w:r/>
          <w:hyperlink w:tooltip="#_Toc23" w:anchor="_Toc23" w:history="1">
            <w:r>
              <w:rPr>
                <w:rStyle w:val="1007"/>
              </w:rPr>
            </w:r>
            <w:r>
              <w:rPr>
                <w:rStyle w:val="1007"/>
                <w:rFonts w:ascii="Times New Roman" w:hAnsi="Times New Roman"/>
                <w:b/>
              </w:rPr>
              <w:t xml:space="preserve">九、其他材料</w:t>
            </w:r>
            <w:r>
              <w:rPr>
                <w:rStyle w:val="1007"/>
              </w:rPr>
            </w:r>
            <w:r>
              <w:tab/>
            </w:r>
            <w:r>
              <w:fldChar w:fldCharType="begin"/>
              <w:instrText xml:space="preserve">PAGEREF _Toc23 \h</w:instrText>
              <w:fldChar w:fldCharType="separate"/>
              <w:t xml:space="preserve">105</w:t>
              <w:fldChar w:fldCharType="end"/>
            </w:r>
          </w:hyperlink>
          <w:r>
            <w:rPr>
              <w:rFonts w:ascii="Times New Roman" w:hAnsi="Times New Roman"/>
              <w:b/>
            </w:rPr>
          </w:r>
          <w:r/>
        </w:p>
        <w:p>
          <w:pPr>
            <w:rPr>
              <w:rFonts w:ascii="Times New Roman" w:hAnsi="Times New Roman" w:cs="Times New Roman"/>
              <w:b w:val="0"/>
              <w:bCs w:val="0"/>
              <w:sz w:val="28"/>
              <w:szCs w:val="28"/>
            </w:rPr>
          </w:pPr>
          <w:r>
            <w:fldChar w:fldCharType="end"/>
          </w:r>
          <w:r>
            <w:rPr>
              <w:rFonts w:ascii="Times New Roman" w:hAnsi="Times New Roman" w:cs="Times New Roman"/>
              <w:b w:val="0"/>
              <w:bCs w:val="0"/>
              <w:sz w:val="28"/>
              <w:szCs w:val="28"/>
            </w:rPr>
          </w:r>
          <w:r/>
        </w:p>
      </w:sdtContent>
    </w:sdt>
    <w:p>
      <w:pPr>
        <w:pStyle w:val="926"/>
        <w:rPr>
          <w:rFonts w:ascii="Times New Roman" w:hAnsi="Times New Roman"/>
        </w:rPr>
      </w:pPr>
      <w:r>
        <w:rPr>
          <w:rFonts w:ascii="Times New Roman" w:hAnsi="Times New Roman"/>
        </w:rPr>
      </w:r>
      <w:r/>
    </w:p>
    <w:p>
      <w:pPr>
        <w:pStyle w:val="926"/>
        <w:spacing w:line="360" w:lineRule="auto"/>
        <w:tabs>
          <w:tab w:val="left" w:pos="1440" w:leader="none"/>
        </w:tabs>
        <w:rPr>
          <w:rFonts w:ascii="Times New Roman" w:hAnsi="Times New Roman"/>
          <w:b/>
          <w:bCs/>
          <w:sz w:val="28"/>
          <w:szCs w:val="28"/>
        </w:rPr>
        <w:sectPr>
          <w:headerReference w:type="default" r:id="rId10"/>
          <w:footerReference w:type="default" r:id="rId11"/>
          <w:footerReference w:type="even" r:id="rId12"/>
          <w:footnotePr/>
          <w:endnotePr/>
          <w:type w:val="nextPage"/>
          <w:pgSz w:w="11906" w:h="16838" w:orient="portrait"/>
          <w:pgMar w:top="1440" w:right="737" w:bottom="1440" w:left="1077" w:header="851" w:footer="992" w:gutter="0"/>
          <w:cols w:num="1" w:sep="0" w:space="1701" w:equalWidth="1"/>
          <w:docGrid w:linePitch="360"/>
          <w:titlePg/>
        </w:sectPr>
      </w:pPr>
      <w:r>
        <w:rPr>
          <w:rFonts w:ascii="Times New Roman" w:hAnsi="Times New Roman"/>
          <w:bCs/>
          <w:szCs w:val="28"/>
        </w:rPr>
        <w:fldChar w:fldCharType="end"/>
      </w:r>
      <w:r>
        <w:rPr>
          <w:rFonts w:ascii="Times New Roman" w:hAnsi="Times New Roman"/>
          <w:b/>
          <w:bCs/>
          <w:sz w:val="28"/>
          <w:szCs w:val="28"/>
        </w:rPr>
      </w:r>
      <w:r/>
    </w:p>
    <w:p>
      <w:pPr>
        <w:pStyle w:val="995"/>
        <w:spacing w:line="360" w:lineRule="auto"/>
        <w:rPr>
          <w:rFonts w:ascii="Times New Roman" w:hAnsi="Times New Roman" w:eastAsia="宋体"/>
        </w:rPr>
      </w:pPr>
      <w:r/>
      <w:bookmarkStart w:id="290" w:name="_Toc1"/>
      <w:r>
        <w:rPr>
          <w:rFonts w:ascii="Times New Roman" w:hAnsi="Times New Roman" w:eastAsia="宋体"/>
        </w:rPr>
        <w:t xml:space="preserve">第一章  投标邀请</w:t>
      </w:r>
      <w:r>
        <w:rPr>
          <w:rFonts w:ascii="Times New Roman" w:hAnsi="Times New Roman" w:eastAsia="宋体"/>
        </w:rPr>
      </w:r>
      <w:bookmarkEnd w:id="290"/>
      <w:r/>
      <w:r/>
    </w:p>
    <w:p>
      <w:pPr>
        <w:pStyle w:val="926"/>
        <w:spacing w:line="440" w:lineRule="exact"/>
        <w:shd w:val="clear" w:color="auto" w:fill="ffffff"/>
        <w:widowControl/>
        <w:rPr>
          <w:rFonts w:ascii="Times New Roman" w:hAnsi="Times New Roman"/>
          <w:spacing w:val="8"/>
          <w:sz w:val="24"/>
          <w:szCs w:val="24"/>
        </w:rPr>
      </w:pPr>
      <w:r>
        <w:rPr>
          <w:rFonts w:ascii="Times New Roman" w:hAnsi="Times New Roman"/>
          <w:sz w:val="24"/>
          <w:szCs w:val="24"/>
        </w:rPr>
        <w:t xml:space="preserve">2024-2026年长防处大中型闸站标准化管护项目招标项目的潜在投标人应在“苏采云政府采购一体化平台”中参与项目并下载获取电子招标文件，并于</w:t>
      </w:r>
      <w:bookmarkStart w:id="12" w:name="EB49bf6e8a132943fba15dfdc1bf3bba75"/>
      <w:r>
        <w:rPr>
          <w:rFonts w:ascii="Times New Roman" w:hAnsi="Times New Roman"/>
          <w:sz w:val="24"/>
          <w:szCs w:val="24"/>
        </w:rPr>
        <w:t xml:space="preserve">2024年04月24日 14:</w:t>
      </w:r>
      <w:bookmarkEnd w:id="12"/>
      <w:r>
        <w:rPr>
          <w:rFonts w:ascii="Times New Roman" w:hAnsi="Times New Roman"/>
          <w:sz w:val="24"/>
          <w:szCs w:val="24"/>
        </w:rPr>
        <w:t xml:space="preserve">00（北京时间）前递交投标文件。</w:t>
      </w:r>
      <w:r>
        <w:rPr>
          <w:rFonts w:ascii="Times New Roman" w:hAnsi="Times New Roman"/>
          <w:spacing w:val="8"/>
          <w:sz w:val="24"/>
          <w:szCs w:val="24"/>
        </w:rPr>
      </w:r>
      <w:r/>
    </w:p>
    <w:p>
      <w:pPr>
        <w:pStyle w:val="926"/>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一、项目基本情况</w:t>
      </w:r>
      <w:r>
        <w:rPr>
          <w:rFonts w:ascii="Times New Roman" w:hAnsi="Times New Roman"/>
          <w:spacing w:val="8"/>
          <w:sz w:val="24"/>
        </w:rPr>
      </w:r>
      <w:r/>
    </w:p>
    <w:p>
      <w:pPr>
        <w:pStyle w:val="926"/>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项目编号：JSZC-320582-HDZB-G2024-0005</w:t>
      </w:r>
      <w:r>
        <w:rPr>
          <w:rFonts w:ascii="Times New Roman" w:hAnsi="Times New Roman"/>
          <w:spacing w:val="8"/>
          <w:sz w:val="24"/>
        </w:rPr>
      </w:r>
      <w:r/>
    </w:p>
    <w:p>
      <w:pPr>
        <w:pStyle w:val="926"/>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项目名称：2024-2026年长防处大中型闸站标准化管护项目</w:t>
      </w:r>
      <w:r>
        <w:rPr>
          <w:rFonts w:ascii="Times New Roman" w:hAnsi="Times New Roman"/>
          <w:spacing w:val="8"/>
          <w:sz w:val="24"/>
        </w:rPr>
      </w:r>
      <w:r/>
    </w:p>
    <w:p>
      <w:pPr>
        <w:pStyle w:val="926"/>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预算金额：</w:t>
      </w:r>
      <w:bookmarkStart w:id="13" w:name="EB1a0e1eba70434d918dcf5b8e03079bcd"/>
      <w:r>
        <w:rPr>
          <w:rFonts w:ascii="Times New Roman" w:hAnsi="Times New Roman"/>
          <w:spacing w:val="8"/>
          <w:sz w:val="24"/>
          <w:szCs w:val="24"/>
        </w:rPr>
        <w:t xml:space="preserve">3600000元</w:t>
      </w:r>
      <w:bookmarkEnd w:id="13"/>
      <w:r>
        <w:rPr>
          <w:rFonts w:ascii="Times New Roman" w:hAnsi="Times New Roman"/>
          <w:spacing w:val="8"/>
          <w:sz w:val="24"/>
        </w:rPr>
      </w:r>
      <w:r/>
    </w:p>
    <w:p>
      <w:pPr>
        <w:pStyle w:val="926"/>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最高限价：</w:t>
      </w:r>
      <w:bookmarkStart w:id="14" w:name="EB974fe10e1b834f1ab596364ccab62ca9"/>
      <w:r>
        <w:rPr>
          <w:rFonts w:ascii="Times New Roman" w:hAnsi="Times New Roman"/>
          <w:spacing w:val="8"/>
          <w:sz w:val="24"/>
          <w:szCs w:val="24"/>
        </w:rPr>
        <w:t xml:space="preserve">3500000元</w:t>
      </w:r>
      <w:bookmarkEnd w:id="14"/>
      <w:r>
        <w:rPr>
          <w:rFonts w:ascii="Times New Roman" w:hAnsi="Times New Roman"/>
          <w:spacing w:val="8"/>
          <w:sz w:val="24"/>
        </w:rPr>
      </w:r>
      <w:r/>
    </w:p>
    <w:p>
      <w:pPr>
        <w:pStyle w:val="926"/>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采购需求：</w:t>
      </w:r>
      <w:r>
        <w:rPr>
          <w:rFonts w:ascii="Times New Roman" w:hAnsi="Times New Roman"/>
          <w:spacing w:val="8"/>
          <w:sz w:val="24"/>
          <w:szCs w:val="24"/>
        </w:rPr>
        <w:t xml:space="preserve">为满足张家港市水务局长防处对4座中大中型闸站，更好</w:t>
      </w:r>
      <w:r>
        <w:rPr>
          <w:rFonts w:hint="eastAsia" w:ascii="Times New Roman" w:hAnsi="Times New Roman"/>
          <w:spacing w:val="8"/>
          <w:sz w:val="24"/>
          <w:szCs w:val="24"/>
          <w:lang w:eastAsia="zh-CN"/>
        </w:rPr>
        <w:t xml:space="preserve">地</w:t>
      </w:r>
      <w:r>
        <w:rPr>
          <w:rFonts w:ascii="Times New Roman" w:hAnsi="Times New Roman"/>
          <w:spacing w:val="8"/>
          <w:sz w:val="24"/>
          <w:szCs w:val="24"/>
        </w:rPr>
        <w:t xml:space="preserve">推进管养分离，实行市场化运行，按照水利部标准化管理要求进行管理服务，保障主要水利工程设施的安全运行和提升管理水平。</w:t>
      </w:r>
      <w:r>
        <w:rPr>
          <w:rFonts w:ascii="Times New Roman" w:hAnsi="Times New Roman"/>
          <w:spacing w:val="8"/>
          <w:sz w:val="24"/>
        </w:rPr>
      </w:r>
      <w:r/>
    </w:p>
    <w:p>
      <w:pPr>
        <w:pStyle w:val="926"/>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rPr>
        <w:t xml:space="preserve">合同履行期限：</w:t>
      </w:r>
      <w:r>
        <w:rPr>
          <w:rFonts w:ascii="Times New Roman" w:hAnsi="Times New Roman"/>
          <w:spacing w:val="8"/>
          <w:sz w:val="24"/>
          <w:szCs w:val="24"/>
        </w:rPr>
        <w:t xml:space="preserve">自2024年5月1日起至2026年4月30日止，具体以实际服务时间为准。</w:t>
      </w:r>
      <w:r>
        <w:rPr>
          <w:rFonts w:ascii="Times New Roman" w:hAnsi="Times New Roman"/>
          <w:spacing w:val="8"/>
          <w:sz w:val="24"/>
          <w:szCs w:val="24"/>
        </w:rPr>
      </w:r>
      <w:r/>
    </w:p>
    <w:p>
      <w:pPr>
        <w:pStyle w:val="926"/>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15" w:name="EB43e22fc7b3ec4c6ab41cadcaa583bb1d"/>
      <w:r>
        <w:rPr>
          <w:rFonts w:ascii="Times New Roman" w:hAnsi="Times New Roman"/>
          <w:i/>
          <w:spacing w:val="8"/>
          <w:sz w:val="24"/>
          <w:u w:val="single"/>
        </w:rPr>
        <w:t xml:space="preserve">不接受</w:t>
      </w:r>
      <w:bookmarkEnd w:id="15"/>
      <w:r>
        <w:rPr>
          <w:rFonts w:ascii="Times New Roman" w:hAnsi="Times New Roman"/>
          <w:i/>
          <w:spacing w:val="8"/>
          <w:sz w:val="24"/>
          <w:u w:val="single"/>
        </w:rPr>
        <w:t xml:space="preserve">联合体投标。</w:t>
      </w:r>
      <w:r>
        <w:rPr>
          <w:rFonts w:ascii="Times New Roman" w:hAnsi="Times New Roman"/>
          <w:i/>
          <w:spacing w:val="8"/>
          <w:sz w:val="24"/>
          <w:u w:val="single"/>
        </w:rPr>
      </w:r>
      <w:r/>
    </w:p>
    <w:p>
      <w:pPr>
        <w:pStyle w:val="926"/>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16" w:name="EBf23c5c8d1a2a4bd8a1b4170606046283"/>
      <w:r>
        <w:rPr>
          <w:rFonts w:ascii="Times New Roman" w:hAnsi="Times New Roman"/>
          <w:i/>
          <w:spacing w:val="8"/>
          <w:sz w:val="24"/>
          <w:u w:val="single"/>
        </w:rPr>
        <w:t xml:space="preserve">不允许</w:t>
      </w:r>
      <w:bookmarkEnd w:id="16"/>
      <w:r>
        <w:rPr>
          <w:rFonts w:ascii="Times New Roman" w:hAnsi="Times New Roman"/>
          <w:i/>
          <w:spacing w:val="8"/>
          <w:sz w:val="24"/>
          <w:u w:val="single"/>
        </w:rPr>
        <w:t xml:space="preserve">进口产品投标。</w:t>
      </w:r>
      <w:r>
        <w:rPr>
          <w:rFonts w:ascii="Times New Roman" w:hAnsi="Times New Roman"/>
          <w:i/>
          <w:spacing w:val="8"/>
          <w:sz w:val="24"/>
          <w:u w:val="single"/>
        </w:rPr>
      </w:r>
      <w:r/>
    </w:p>
    <w:p>
      <w:pPr>
        <w:pStyle w:val="926"/>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二、申请人的资格要求：</w:t>
      </w:r>
      <w:r>
        <w:rPr>
          <w:rFonts w:ascii="Times New Roman" w:hAnsi="Times New Roman"/>
          <w:spacing w:val="8"/>
          <w:sz w:val="24"/>
        </w:rPr>
      </w:r>
      <w:r/>
    </w:p>
    <w:p>
      <w:pPr>
        <w:pStyle w:val="926"/>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1.满足《中华人民共和国政府采购法》第二十二条规定；</w:t>
      </w:r>
      <w:r>
        <w:rPr>
          <w:rFonts w:ascii="Times New Roman" w:hAnsi="Times New Roman"/>
          <w:spacing w:val="8"/>
          <w:sz w:val="24"/>
        </w:rPr>
      </w:r>
      <w:r/>
    </w:p>
    <w:p>
      <w:pPr>
        <w:pStyle w:val="926"/>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2.落实政府采购政策需满足的资格要求:</w:t>
      </w:r>
      <w:r>
        <w:rPr>
          <w:rFonts w:ascii="Times New Roman" w:hAnsi="Times New Roman"/>
          <w:spacing w:val="8"/>
          <w:sz w:val="24"/>
        </w:rPr>
      </w:r>
      <w:r/>
    </w:p>
    <w:p>
      <w:pPr>
        <w:pStyle w:val="1280"/>
        <w:ind w:firstLine="500"/>
        <w:spacing w:line="440" w:lineRule="exact"/>
        <w:rPr>
          <w:rFonts w:eastAsia="宋体"/>
          <w:spacing w:val="7"/>
        </w:rPr>
      </w:pPr>
      <w:r>
        <w:rPr>
          <w:rFonts w:eastAsia="宋体"/>
          <w:spacing w:val="7"/>
        </w:rPr>
        <w:t xml:space="preserve">2.1本项目专门面向中小企业采购</w:t>
      </w:r>
      <w:r>
        <w:rPr>
          <w:rFonts w:eastAsia="宋体"/>
          <w:spacing w:val="7"/>
        </w:rPr>
      </w:r>
      <w:r/>
    </w:p>
    <w:p>
      <w:pPr>
        <w:pStyle w:val="1280"/>
        <w:ind w:firstLine="500"/>
        <w:spacing w:line="440" w:lineRule="exact"/>
        <w:rPr>
          <w:rFonts w:eastAsia="宋体"/>
          <w:spacing w:val="8"/>
          <w:lang w:val="en-US" w:eastAsia="zh-CN"/>
        </w:rPr>
      </w:pPr>
      <w:r>
        <w:rPr>
          <w:rFonts w:eastAsia="宋体"/>
          <w:spacing w:val="8"/>
          <w:lang w:val="en-US" w:eastAsia="zh-CN"/>
        </w:rPr>
        <w:t xml:space="preserve">注：1.根据《关于促进残疾人就业政府采购政策的通知》（财库〔2017〕141号）的通知规定，在政府采购活动中，残疾人福利性单位视同小型、微型企业。</w:t>
      </w:r>
      <w:r>
        <w:rPr>
          <w:rFonts w:eastAsia="宋体"/>
          <w:spacing w:val="8"/>
          <w:lang w:val="en-US" w:eastAsia="zh-CN"/>
        </w:rPr>
      </w:r>
      <w:r/>
    </w:p>
    <w:p>
      <w:pPr>
        <w:pStyle w:val="1280"/>
        <w:ind w:firstLine="500"/>
        <w:spacing w:line="440" w:lineRule="exact"/>
        <w:rPr>
          <w:rFonts w:eastAsia="宋体"/>
          <w:spacing w:val="8"/>
          <w:lang w:val="en-US" w:eastAsia="zh-CN"/>
        </w:rPr>
      </w:pPr>
      <w:r>
        <w:rPr>
          <w:rFonts w:eastAsia="宋体"/>
          <w:spacing w:val="8"/>
          <w:lang w:val="en-US" w:eastAsia="zh-CN"/>
        </w:rPr>
        <w:t xml:space="preserve">2.根据《关于政府采购支持监狱企业发展有关问题的通知》（财库〔2014〕68号）的通知规定，在政府采购活动中，监狱企业视同小型、微型企业。</w:t>
      </w:r>
      <w:r>
        <w:rPr>
          <w:rFonts w:eastAsia="宋体"/>
          <w:spacing w:val="8"/>
          <w:lang w:val="en-US" w:eastAsia="zh-CN"/>
        </w:rPr>
      </w:r>
      <w:r/>
    </w:p>
    <w:p>
      <w:pPr>
        <w:pStyle w:val="926"/>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3.本项目的特定资格要求：</w:t>
      </w:r>
      <w:r>
        <w:rPr>
          <w:rFonts w:ascii="Times New Roman" w:hAnsi="Times New Roman"/>
          <w:spacing w:val="8"/>
          <w:sz w:val="24"/>
        </w:rPr>
      </w:r>
      <w:r/>
    </w:p>
    <w:p>
      <w:pPr>
        <w:pStyle w:val="1281"/>
        <w:ind w:firstLine="500"/>
        <w:spacing w:line="440" w:lineRule="exact"/>
        <w:rPr>
          <w:rFonts w:eastAsia="宋体"/>
          <w:spacing w:val="7"/>
          <w:lang w:eastAsia="zh-CN"/>
        </w:rPr>
      </w:pPr>
      <w:r>
        <w:rPr>
          <w:rFonts w:eastAsia="宋体"/>
          <w:spacing w:val="7"/>
        </w:rPr>
        <w:t xml:space="preserve">无</w:t>
      </w:r>
      <w:bookmarkStart w:id="17" w:name="EB2e222552591745cd9af6e9d18c1a40c7"/>
      <w:r/>
      <w:bookmarkEnd w:id="17"/>
      <w:r>
        <w:rPr>
          <w:rFonts w:eastAsia="宋体"/>
          <w:spacing w:val="7"/>
          <w:lang w:eastAsia="zh-CN"/>
        </w:rPr>
      </w:r>
      <w:r/>
    </w:p>
    <w:p>
      <w:pPr>
        <w:pStyle w:val="926"/>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三、获取招标文件</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时间：</w:t>
      </w:r>
      <w:bookmarkStart w:id="18" w:name="EB446df91d580b4ebaac62d73ab338d4ec"/>
      <w:r>
        <w:rPr>
          <w:rFonts w:ascii="Times New Roman" w:hAnsi="Times New Roman"/>
          <w:spacing w:val="8"/>
          <w:sz w:val="24"/>
        </w:rPr>
        <w:t xml:space="preserve">2024年04月03日</w:t>
      </w:r>
      <w:bookmarkEnd w:id="18"/>
      <w:r>
        <w:rPr>
          <w:rFonts w:ascii="Times New Roman" w:hAnsi="Times New Roman"/>
          <w:spacing w:val="8"/>
          <w:sz w:val="24"/>
        </w:rPr>
        <w:t xml:space="preserve">至</w:t>
      </w:r>
      <w:bookmarkStart w:id="19" w:name="EB0c87f03174494a9681e9fae7497a4017"/>
      <w:r>
        <w:rPr>
          <w:rFonts w:ascii="Times New Roman" w:hAnsi="Times New Roman"/>
          <w:spacing w:val="8"/>
          <w:sz w:val="24"/>
        </w:rPr>
        <w:t xml:space="preserve">2024年04月11日</w:t>
      </w:r>
      <w:bookmarkEnd w:id="19"/>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地点：</w:t>
      </w:r>
      <w:r>
        <w:rPr>
          <w:rFonts w:ascii="Times New Roman" w:hAnsi="Times New Roman"/>
          <w:sz w:val="24"/>
        </w:rPr>
        <w:t xml:space="preserve">苏采云政府采购一体化平台（网址：http://jszfcg.jsczt.cn/）</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1.CA证书办理</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w:t>
      </w:r>
      <w:r>
        <w:rPr>
          <w:rFonts w:ascii="Times New Roman" w:hAnsi="Times New Roman"/>
          <w:spacing w:val="8"/>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2.参与采购活动</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3.电子投标准备</w:t>
      </w:r>
      <w:r>
        <w:rPr>
          <w:rFonts w:ascii="Times New Roman" w:hAnsi="Times New Roman"/>
          <w:spacing w:val="8"/>
          <w:sz w:val="24"/>
        </w:rPr>
      </w:r>
      <w:r/>
    </w:p>
    <w:p>
      <w:pPr>
        <w:pStyle w:val="926"/>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注册咨询：18261002950；</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CA技术咨询电话：400-608-6099；</w:t>
      </w:r>
      <w:r>
        <w:rPr>
          <w:rFonts w:ascii="Times New Roman" w:hAnsi="Times New Roman"/>
          <w:spacing w:val="8"/>
          <w:sz w:val="24"/>
        </w:rPr>
      </w:r>
      <w:r/>
    </w:p>
    <w:p>
      <w:pPr>
        <w:pStyle w:val="926"/>
        <w:ind w:firstLine="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    签章使用问题：025-83633811、025-83633812、15380932027、15371015030；</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系统使用指导与咨询：18261002950、0512-69820854。</w:t>
      </w:r>
      <w:r>
        <w:rPr>
          <w:rFonts w:ascii="Times New Roman" w:hAnsi="Times New Roman"/>
          <w:spacing w:val="8"/>
          <w:sz w:val="24"/>
        </w:rPr>
      </w:r>
      <w:r/>
    </w:p>
    <w:p>
      <w:pPr>
        <w:pStyle w:val="938"/>
        <w:spacing w:line="440" w:lineRule="exact"/>
        <w:rPr>
          <w:rFonts w:ascii="Times New Roman" w:hAnsi="Times New Roman" w:cs="Times New Roman"/>
        </w:rPr>
      </w:pPr>
      <w:r>
        <w:rPr>
          <w:rFonts w:ascii="Times New Roman" w:hAnsi="Times New Roman" w:eastAsia="宋体" w:cs="Times New Roman"/>
          <w:spacing w:val="8"/>
          <w:sz w:val="24"/>
        </w:rPr>
        <w:t xml:space="preserve">4.售价：无</w:t>
      </w:r>
      <w:r>
        <w:rPr>
          <w:rFonts w:ascii="Times New Roman" w:hAnsi="Times New Roman" w:cs="Times New Roman"/>
        </w:rPr>
      </w:r>
      <w:r/>
    </w:p>
    <w:p>
      <w:pPr>
        <w:pStyle w:val="926"/>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四、提交投标文件截止时间、开标时间和地点</w:t>
      </w:r>
      <w:r>
        <w:rPr>
          <w:rFonts w:ascii="Times New Roman" w:hAnsi="Times New Roman"/>
          <w:spacing w:val="8"/>
          <w:sz w:val="24"/>
        </w:rPr>
      </w:r>
      <w:r/>
    </w:p>
    <w:p>
      <w:pPr>
        <w:pStyle w:val="926"/>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1.时间：</w:t>
      </w:r>
      <w:bookmarkStart w:id="20" w:name="EB47b1af47eddb4c2d87568ed0f320c968"/>
      <w:r>
        <w:rPr>
          <w:rFonts w:ascii="Times New Roman" w:hAnsi="Times New Roman"/>
          <w:spacing w:val="8"/>
          <w:sz w:val="24"/>
        </w:rPr>
        <w:t xml:space="preserve">2024年04月24日 14:</w:t>
      </w:r>
      <w:bookmarkEnd w:id="20"/>
      <w:r>
        <w:rPr>
          <w:rFonts w:ascii="Times New Roman" w:hAnsi="Times New Roman"/>
          <w:spacing w:val="8"/>
          <w:sz w:val="24"/>
        </w:rPr>
        <w:t xml:space="preserve">00（北京时间）</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2.开标地点：江苏省政府采购一体化不见面开标（采购）大厅</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ascii="Times New Roman" w:hAnsi="Times New Roman"/>
          <w:spacing w:val="8"/>
          <w:sz w:val="24"/>
        </w:rPr>
      </w:r>
      <w:r/>
    </w:p>
    <w:p>
      <w:pPr>
        <w:pStyle w:val="926"/>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请供应商确保电脑、系统及其他设备（视频输入输出设备等）无误，且开标直至项目结束始终保持系统在线状态。</w:t>
      </w:r>
      <w:r>
        <w:rPr>
          <w:rFonts w:ascii="Times New Roman" w:hAnsi="Times New Roman"/>
          <w:spacing w:val="8"/>
          <w:sz w:val="24"/>
        </w:rPr>
      </w:r>
      <w:r/>
    </w:p>
    <w:p>
      <w:pPr>
        <w:pStyle w:val="926"/>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五、公告期限</w:t>
      </w:r>
      <w:r>
        <w:rPr>
          <w:rFonts w:ascii="Times New Roman" w:hAnsi="Times New Roman"/>
          <w:spacing w:val="8"/>
          <w:sz w:val="24"/>
        </w:rPr>
      </w:r>
      <w:r/>
    </w:p>
    <w:p>
      <w:pPr>
        <w:pStyle w:val="926"/>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自本公告发布之日起5个工作日。</w:t>
      </w:r>
      <w:r>
        <w:rPr>
          <w:rFonts w:ascii="Times New Roman" w:hAnsi="Times New Roman"/>
          <w:spacing w:val="8"/>
          <w:sz w:val="24"/>
        </w:rPr>
      </w:r>
      <w:r/>
    </w:p>
    <w:p>
      <w:pPr>
        <w:pStyle w:val="926"/>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六、其他补充事宜</w:t>
      </w:r>
      <w:r>
        <w:rPr>
          <w:rFonts w:ascii="Times New Roman" w:hAnsi="Times New Roman"/>
          <w:spacing w:val="8"/>
          <w:sz w:val="24"/>
        </w:rPr>
      </w:r>
      <w:r/>
    </w:p>
    <w:p>
      <w:pPr>
        <w:pStyle w:val="926"/>
        <w:ind w:firstLine="384"/>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rPr>
        <w:t xml:space="preserve">（一）拒绝下述供应商参加本次采购活动：</w:t>
      </w:r>
      <w:r>
        <w:rPr>
          <w:rFonts w:ascii="Times New Roman" w:hAnsi="Times New Roman"/>
          <w:i/>
          <w:spacing w:val="8"/>
          <w:sz w:val="24"/>
        </w:rPr>
      </w:r>
      <w:r/>
    </w:p>
    <w:p>
      <w:pPr>
        <w:ind w:firstLine="384"/>
        <w:spacing w:line="440" w:lineRule="exact"/>
        <w:shd w:val="clear" w:color="auto" w:fill="ffffff"/>
        <w:widowControl/>
        <w:rPr>
          <w:rFonts w:ascii="Times New Roman" w:hAnsi="Times New Roman"/>
          <w:bCs/>
          <w:i/>
          <w:spacing w:val="8"/>
          <w:sz w:val="24"/>
          <w:szCs w:val="24"/>
          <w:u w:val="single"/>
        </w:rPr>
      </w:pPr>
      <w:r>
        <w:rPr>
          <w:rFonts w:ascii="Times New Roman" w:hAnsi="Times New Roman"/>
          <w:i/>
          <w:spacing w:val="8"/>
          <w:sz w:val="24"/>
        </w:rPr>
      </w:r>
      <w:r>
        <w:rPr>
          <w:rFonts w:ascii="Times New Roman" w:hAnsi="Times New Roman"/>
          <w:i/>
          <w:spacing w:val="8"/>
          <w:sz w:val="24"/>
          <w:u w:val="single"/>
        </w:rPr>
        <w:t xml:space="preserve">  1、单位负责人为同一人或者存在直接控股、管理关系的不同供应商，不得参加同一合同下的政府采购活动；</w:t>
      </w:r>
      <w:r>
        <w:rPr>
          <w:rFonts w:ascii="Times New Roman" w:hAnsi="Times New Roman"/>
          <w:bCs/>
          <w:i/>
          <w:spacing w:val="8"/>
          <w:sz w:val="24"/>
          <w:szCs w:val="24"/>
        </w:rPr>
      </w:r>
      <w:r/>
    </w:p>
    <w:p>
      <w:pPr>
        <w:ind w:firstLine="384"/>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u w:val="single"/>
        </w:rPr>
      </w:r>
      <w:r>
        <w:rPr>
          <w:rFonts w:ascii="Times New Roman" w:hAnsi="Times New Roman"/>
          <w:i/>
          <w:spacing w:val="8"/>
          <w:sz w:val="24"/>
          <w:u w:val="single"/>
        </w:rPr>
        <w:t xml:space="preserve"> </w:t>
      </w:r>
      <w:r>
        <w:rPr>
          <w:rFonts w:ascii="Times New Roman" w:hAnsi="Times New Roman" w:eastAsia="Times New Roman" w:cs="Times New Roman"/>
          <w:i/>
          <w:color w:val="000000"/>
          <w:spacing w:val="8"/>
          <w:sz w:val="24"/>
          <w:u w:val="single"/>
        </w:rPr>
        <w:t xml:space="preserve">2</w:t>
      </w:r>
      <w:r>
        <w:rPr>
          <w:rFonts w:ascii="SimSun" w:hAnsi="SimSun" w:eastAsia="SimSun" w:cs="SimSun"/>
          <w:i/>
          <w:color w:val="000000"/>
          <w:spacing w:val="8"/>
          <w:sz w:val="24"/>
          <w:u w:val="single"/>
        </w:rPr>
        <w:t xml:space="preserve">、</w:t>
      </w:r>
      <w:r>
        <w:rPr>
          <w:rFonts w:ascii="SimSun" w:hAnsi="SimSun" w:eastAsia="SimSun" w:cs="SimSun"/>
          <w:i/>
          <w:color w:val="333333"/>
          <w:spacing w:val="7"/>
          <w:sz w:val="24"/>
          <w:u w:val="single"/>
        </w:rPr>
        <w:t xml:space="preserve">根据政府采购法及相关法规，以及《国务院关于建立完善守信联合激励和失信联合惩戒制度加快推进社会诚信建设的指导意见》（国发〔</w:t>
      </w:r>
      <w:r>
        <w:rPr>
          <w:rFonts w:ascii="Times New Roman" w:hAnsi="Times New Roman" w:eastAsia="Times New Roman" w:cs="Times New Roman"/>
          <w:i/>
          <w:color w:val="333333"/>
          <w:spacing w:val="7"/>
          <w:sz w:val="24"/>
          <w:u w:val="single"/>
        </w:rPr>
        <w:t xml:space="preserve">2016</w:t>
      </w:r>
      <w:r>
        <w:rPr>
          <w:rFonts w:ascii="SimSun" w:hAnsi="SimSun" w:eastAsia="SimSun" w:cs="SimSun"/>
          <w:i/>
          <w:color w:val="333333"/>
          <w:spacing w:val="7"/>
          <w:sz w:val="24"/>
          <w:u w:val="single"/>
        </w:rPr>
        <w:t xml:space="preserve">〕</w:t>
      </w:r>
      <w:r>
        <w:rPr>
          <w:rFonts w:ascii="Times New Roman" w:hAnsi="Times New Roman" w:eastAsia="Times New Roman" w:cs="Times New Roman"/>
          <w:i/>
          <w:color w:val="333333"/>
          <w:spacing w:val="7"/>
          <w:sz w:val="24"/>
          <w:u w:val="single"/>
        </w:rPr>
        <w:t xml:space="preserve">33</w:t>
      </w:r>
      <w:r>
        <w:rPr>
          <w:rFonts w:ascii="SimSun" w:hAnsi="SimSun" w:eastAsia="SimSun" w:cs="SimSun"/>
          <w:i/>
          <w:color w:val="333333"/>
          <w:spacing w:val="7"/>
          <w:sz w:val="24"/>
          <w:u w:val="single"/>
        </w:rPr>
        <w:t xml:space="preserve">号）《财政部关于在政府采购活动中查询及使用信用记录有关问题的通知》（财库（</w:t>
      </w:r>
      <w:r>
        <w:rPr>
          <w:rFonts w:ascii="Times New Roman" w:hAnsi="Times New Roman" w:eastAsia="Times New Roman" w:cs="Times New Roman"/>
          <w:i/>
          <w:color w:val="333333"/>
          <w:spacing w:val="7"/>
          <w:sz w:val="24"/>
          <w:u w:val="single"/>
        </w:rPr>
        <w:t xml:space="preserve">2016</w:t>
      </w:r>
      <w:r>
        <w:rPr>
          <w:rFonts w:ascii="SimSun" w:hAnsi="SimSun" w:eastAsia="SimSun" w:cs="SimSun"/>
          <w:i/>
          <w:color w:val="333333"/>
          <w:spacing w:val="7"/>
          <w:sz w:val="24"/>
          <w:u w:val="single"/>
        </w:rPr>
        <w:t xml:space="preserve">）</w:t>
      </w:r>
      <w:r>
        <w:rPr>
          <w:rFonts w:ascii="Times New Roman" w:hAnsi="Times New Roman" w:eastAsia="Times New Roman" w:cs="Times New Roman"/>
          <w:i/>
          <w:color w:val="333333"/>
          <w:spacing w:val="7"/>
          <w:sz w:val="24"/>
          <w:u w:val="single"/>
        </w:rPr>
        <w:t xml:space="preserve">125</w:t>
      </w:r>
      <w:r>
        <w:rPr>
          <w:rFonts w:ascii="SimSun" w:hAnsi="SimSun" w:eastAsia="SimSun" w:cs="SimSun"/>
          <w:i/>
          <w:color w:val="333333"/>
          <w:spacing w:val="7"/>
          <w:sz w:val="24"/>
          <w:u w:val="single"/>
        </w:rPr>
        <w:t xml:space="preserve">）文件规定，采购人将对供应商进行信用查询。对列入失信被执行人名单、重大税收违法案件当事人名单、政府采购严重违法失信行为记录名单的供应商，拒绝其参与政府采购活动。</w:t>
      </w:r>
      <w:r>
        <w:rPr>
          <w:rFonts w:ascii="Times New Roman" w:hAnsi="Times New Roman"/>
          <w:bCs/>
          <w:i/>
          <w:spacing w:val="8"/>
          <w:sz w:val="24"/>
          <w:szCs w:val="24"/>
        </w:rPr>
      </w:r>
      <w:r/>
    </w:p>
    <w:p>
      <w:pPr>
        <w:pStyle w:val="926"/>
        <w:ind w:firstLine="420"/>
        <w:jc w:val="left"/>
        <w:spacing w:line="440" w:lineRule="exact"/>
        <w:rPr>
          <w:rFonts w:ascii="Times New Roman" w:hAnsi="Times New Roman"/>
          <w:sz w:val="24"/>
        </w:rPr>
      </w:pPr>
      <w:r>
        <w:rPr>
          <w:rFonts w:ascii="Times New Roman" w:hAnsi="Times New Roman"/>
          <w:spacing w:val="8"/>
          <w:sz w:val="24"/>
        </w:rPr>
        <w:t xml:space="preserve">（二）</w:t>
      </w:r>
      <w:r>
        <w:rPr>
          <w:rFonts w:ascii="Times New Roman" w:hAnsi="Times New Roman"/>
          <w:sz w:val="24"/>
        </w:rPr>
        <w:t xml:space="preserve">招标文件澄清或者修改内容的告知方式：</w:t>
      </w:r>
      <w:r>
        <w:rPr>
          <w:rFonts w:ascii="Times New Roman" w:hAnsi="Times New Roman"/>
          <w:sz w:val="24"/>
        </w:rPr>
        <w:t xml:space="preserve">招标文件的实质性变动或修改将在政府采购公告媒体网通知，投标人可自行下载。</w:t>
      </w:r>
      <w:r>
        <w:rPr>
          <w:rFonts w:ascii="Times New Roman" w:hAnsi="Times New Roman"/>
          <w:sz w:val="24"/>
        </w:rPr>
      </w:r>
      <w:r/>
    </w:p>
    <w:p>
      <w:pPr>
        <w:pStyle w:val="926"/>
        <w:ind w:firstLine="420"/>
        <w:spacing w:line="360" w:lineRule="auto"/>
        <w:rPr>
          <w:rFonts w:ascii="Times New Roman" w:hAnsi="Times New Roman"/>
          <w:sz w:val="24"/>
        </w:rPr>
      </w:pPr>
      <w:r>
        <w:rPr>
          <w:rFonts w:ascii="Times New Roman" w:hAnsi="Times New Roman"/>
          <w:sz w:val="24"/>
        </w:rPr>
        <w:t xml:space="preserve">（三）本次招标不收取投标保证金</w:t>
      </w:r>
      <w:r>
        <w:rPr>
          <w:rFonts w:ascii="Times New Roman" w:hAnsi="Times New Roman"/>
          <w:sz w:val="24"/>
        </w:rPr>
      </w:r>
      <w:r/>
    </w:p>
    <w:p>
      <w:pPr>
        <w:pStyle w:val="926"/>
        <w:jc w:val="left"/>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七、对本次招标提出询问，请按以下方式联系。</w:t>
      </w:r>
      <w:r>
        <w:rPr>
          <w:rFonts w:ascii="Times New Roman" w:hAnsi="Times New Roman"/>
          <w:spacing w:val="8"/>
          <w:sz w:val="24"/>
        </w:rPr>
      </w:r>
      <w:r/>
    </w:p>
    <w:p>
      <w:pPr>
        <w:pStyle w:val="926"/>
        <w:ind w:firstLine="420"/>
        <w:jc w:val="left"/>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1.采购人信息</w:t>
      </w:r>
      <w:r>
        <w:rPr>
          <w:rFonts w:ascii="Times New Roman" w:hAnsi="Times New Roman"/>
          <w:spacing w:val="8"/>
          <w:sz w:val="24"/>
        </w:rPr>
      </w:r>
      <w:r/>
    </w:p>
    <w:p>
      <w:pPr>
        <w:pStyle w:val="926"/>
        <w:ind w:left="420" w:firstLine="420"/>
        <w:jc w:val="left"/>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名 称：张家港市水务局</w:t>
      </w:r>
      <w:r>
        <w:rPr>
          <w:rFonts w:ascii="Times New Roman" w:hAnsi="Times New Roman"/>
          <w:spacing w:val="8"/>
          <w:sz w:val="24"/>
        </w:rPr>
      </w:r>
      <w:r/>
    </w:p>
    <w:p>
      <w:pPr>
        <w:pStyle w:val="926"/>
        <w:ind w:left="420" w:firstLine="420"/>
        <w:jc w:val="left"/>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地址：</w:t>
      </w:r>
      <w:bookmarkStart w:id="21" w:name="EB9c4a1aaeb2f740559d87fd6428ed78cc"/>
      <w:r>
        <w:rPr>
          <w:rFonts w:ascii="Times New Roman" w:hAnsi="Times New Roman"/>
          <w:spacing w:val="8"/>
          <w:sz w:val="24"/>
        </w:rPr>
        <w:t xml:space="preserve">张家港市人民中路60号国脉大厦</w:t>
      </w:r>
      <w:bookmarkEnd w:id="21"/>
      <w:r>
        <w:rPr>
          <w:rFonts w:ascii="Times New Roman" w:hAnsi="Times New Roman"/>
          <w:spacing w:val="8"/>
          <w:sz w:val="24"/>
        </w:rPr>
      </w:r>
      <w:r/>
    </w:p>
    <w:p>
      <w:pPr>
        <w:pStyle w:val="926"/>
        <w:ind w:left="420" w:firstLine="420"/>
        <w:jc w:val="left"/>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联系方式：</w:t>
      </w:r>
      <w:bookmarkStart w:id="22" w:name="EB390ae4918c1e4b7a83628a7b425fb28c"/>
      <w:r>
        <w:rPr>
          <w:rFonts w:ascii="Times New Roman" w:hAnsi="Times New Roman"/>
          <w:spacing w:val="8"/>
          <w:sz w:val="24"/>
        </w:rPr>
        <w:t xml:space="preserve">0512-58952710</w:t>
      </w:r>
      <w:bookmarkEnd w:id="22"/>
      <w:r>
        <w:rPr>
          <w:rFonts w:ascii="Times New Roman" w:hAnsi="Times New Roman"/>
          <w:spacing w:val="8"/>
          <w:sz w:val="24"/>
        </w:rPr>
      </w:r>
      <w:r/>
    </w:p>
    <w:p>
      <w:pPr>
        <w:pStyle w:val="926"/>
        <w:ind w:left="420"/>
        <w:jc w:val="left"/>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2.采购代理机构信息</w:t>
      </w:r>
      <w:r>
        <w:rPr>
          <w:rFonts w:ascii="Times New Roman" w:hAnsi="Times New Roman"/>
          <w:spacing w:val="8"/>
          <w:sz w:val="24"/>
        </w:rPr>
      </w:r>
      <w:r/>
    </w:p>
    <w:p>
      <w:pPr>
        <w:pStyle w:val="926"/>
        <w:ind w:firstLine="840"/>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名 称：张家港禾达招投标咨询服务有限公司</w:t>
      </w:r>
      <w:r>
        <w:rPr>
          <w:rFonts w:ascii="Times New Roman" w:hAnsi="Times New Roman"/>
          <w:spacing w:val="8"/>
          <w:sz w:val="24"/>
        </w:rPr>
      </w:r>
      <w:r/>
    </w:p>
    <w:p>
      <w:pPr>
        <w:pStyle w:val="926"/>
        <w:ind w:firstLine="840"/>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地　址：</w:t>
      </w:r>
      <w:bookmarkStart w:id="23" w:name="EB3628905c7ca0415cbb9a8f0a4d7b3377"/>
      <w:r>
        <w:rPr>
          <w:rFonts w:ascii="Times New Roman" w:hAnsi="Times New Roman"/>
          <w:spacing w:val="8"/>
          <w:sz w:val="24"/>
        </w:rPr>
        <w:t xml:space="preserve">张家港市杨舍镇</w:t>
      </w:r>
      <w:bookmarkEnd w:id="23"/>
      <w:r>
        <w:rPr>
          <w:rFonts w:ascii="Times New Roman" w:hAnsi="Times New Roman"/>
          <w:spacing w:val="8"/>
          <w:sz w:val="24"/>
        </w:rPr>
        <w:t xml:space="preserve">置地甲江南56幢301室</w:t>
      </w:r>
      <w:r>
        <w:rPr>
          <w:rFonts w:ascii="Times New Roman" w:hAnsi="Times New Roman"/>
          <w:spacing w:val="8"/>
          <w:sz w:val="24"/>
        </w:rPr>
      </w:r>
      <w:r/>
    </w:p>
    <w:p>
      <w:pPr>
        <w:pStyle w:val="926"/>
        <w:ind w:firstLine="840"/>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联系方式：0512-56868608</w:t>
      </w:r>
      <w:r>
        <w:rPr>
          <w:rFonts w:ascii="Times New Roman" w:hAnsi="Times New Roman"/>
          <w:spacing w:val="8"/>
          <w:sz w:val="24"/>
        </w:rPr>
      </w:r>
      <w:r/>
    </w:p>
    <w:p>
      <w:pPr>
        <w:pStyle w:val="926"/>
        <w:ind w:firstLine="420"/>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3.项目联系方式</w:t>
      </w:r>
      <w:r>
        <w:rPr>
          <w:rFonts w:ascii="Times New Roman" w:hAnsi="Times New Roman"/>
          <w:spacing w:val="8"/>
          <w:sz w:val="24"/>
        </w:rPr>
      </w:r>
      <w:r/>
    </w:p>
    <w:p>
      <w:pPr>
        <w:pStyle w:val="926"/>
        <w:ind w:left="840"/>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项目联系人：屠益</w:t>
      </w:r>
      <w:r>
        <w:rPr>
          <w:rFonts w:ascii="Times New Roman" w:hAnsi="Times New Roman"/>
          <w:spacing w:val="8"/>
          <w:sz w:val="24"/>
        </w:rPr>
      </w:r>
      <w:r/>
    </w:p>
    <w:p>
      <w:pPr>
        <w:pStyle w:val="926"/>
        <w:ind w:firstLine="840"/>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电　话：18651133345</w:t>
      </w:r>
      <w:r>
        <w:rPr>
          <w:rFonts w:ascii="Times New Roman" w:hAnsi="Times New Roman"/>
          <w:spacing w:val="8"/>
          <w:sz w:val="24"/>
        </w:rPr>
      </w:r>
      <w:r/>
    </w:p>
    <w:p>
      <w:pPr>
        <w:pStyle w:val="995"/>
        <w:pageBreakBefore/>
        <w:spacing w:line="360" w:lineRule="auto"/>
        <w:rPr>
          <w:rFonts w:ascii="Times New Roman" w:hAnsi="Times New Roman" w:eastAsia="宋体"/>
        </w:rPr>
      </w:pPr>
      <w:r/>
      <w:bookmarkStart w:id="291" w:name="_Toc2"/>
      <w:r>
        <w:rPr>
          <w:rFonts w:ascii="Times New Roman" w:hAnsi="Times New Roman" w:eastAsia="宋体"/>
        </w:rPr>
        <w:t xml:space="preserve">第二章  </w:t>
      </w:r>
      <w:r>
        <w:rPr>
          <w:rFonts w:ascii="Times New Roman" w:hAnsi="Times New Roman" w:eastAsia="宋体"/>
        </w:rPr>
        <w:t xml:space="preserve">投标人须知</w:t>
      </w:r>
      <w:r>
        <w:rPr>
          <w:rFonts w:ascii="Times New Roman" w:hAnsi="Times New Roman" w:eastAsia="宋体"/>
        </w:rPr>
      </w:r>
      <w:bookmarkEnd w:id="291"/>
      <w:r/>
      <w:r/>
    </w:p>
    <w:p>
      <w:pPr>
        <w:pStyle w:val="928"/>
        <w:jc w:val="left"/>
        <w:spacing w:before="0" w:after="0" w:line="440" w:lineRule="exact"/>
        <w:rPr>
          <w:rStyle w:val="1036"/>
          <w:rFonts w:ascii="Times New Roman" w:hAnsi="Times New Roman"/>
          <w:bCs w:val="0"/>
        </w:rPr>
      </w:pPr>
      <w:r/>
      <w:bookmarkStart w:id="292" w:name="_Toc3"/>
      <w:r>
        <w:rPr>
          <w:rStyle w:val="1036"/>
          <w:rFonts w:ascii="Times New Roman" w:hAnsi="Times New Roman"/>
          <w:bCs w:val="0"/>
        </w:rPr>
        <w:t xml:space="preserve">一、总则</w:t>
      </w:r>
      <w:r>
        <w:rPr>
          <w:rStyle w:val="1036"/>
          <w:rFonts w:ascii="Times New Roman" w:hAnsi="Times New Roman"/>
          <w:bCs w:val="0"/>
        </w:rPr>
      </w:r>
      <w:bookmarkEnd w:id="292"/>
      <w:r/>
      <w:r/>
    </w:p>
    <w:p>
      <w:pPr>
        <w:pStyle w:val="926"/>
        <w:ind w:firstLine="420"/>
        <w:keepLines/>
        <w:keepNext/>
        <w:spacing w:line="440" w:lineRule="exact"/>
        <w:rPr>
          <w:rFonts w:ascii="Times New Roman" w:hAnsi="Times New Roman"/>
          <w:sz w:val="28"/>
          <w:szCs w:val="28"/>
        </w:rPr>
        <w:outlineLvl w:val="3"/>
      </w:pPr>
      <w:r/>
      <w:bookmarkStart w:id="38" w:name="_Hlt16619475"/>
      <w:r/>
      <w:bookmarkEnd w:id="38"/>
      <w:r>
        <w:rPr>
          <w:rFonts w:ascii="Times New Roman" w:hAnsi="Times New Roman"/>
          <w:sz w:val="28"/>
          <w:szCs w:val="28"/>
        </w:rPr>
        <w:t xml:space="preserve">1</w:t>
      </w:r>
      <w:r>
        <w:rPr>
          <w:rFonts w:ascii="Times New Roman" w:hAnsi="Times New Roman"/>
          <w:b/>
          <w:sz w:val="28"/>
          <w:szCs w:val="28"/>
        </w:rPr>
        <w:t xml:space="preserve">、</w:t>
      </w:r>
      <w:r>
        <w:rPr>
          <w:rFonts w:ascii="Times New Roman" w:hAnsi="Times New Roman"/>
          <w:sz w:val="28"/>
          <w:szCs w:val="28"/>
        </w:rPr>
        <w:t xml:space="preserve">招标方式</w:t>
      </w:r>
      <w:r>
        <w:rPr>
          <w:rFonts w:ascii="Times New Roman" w:hAnsi="Times New Roman"/>
          <w:sz w:val="28"/>
          <w:szCs w:val="28"/>
        </w:rPr>
      </w:r>
      <w:r/>
    </w:p>
    <w:p>
      <w:pPr>
        <w:pStyle w:val="926"/>
        <w:ind w:firstLine="480"/>
        <w:spacing w:line="440" w:lineRule="exact"/>
        <w:rPr>
          <w:rFonts w:ascii="Times New Roman" w:hAnsi="Times New Roman"/>
          <w:sz w:val="24"/>
        </w:rPr>
      </w:pPr>
      <w:r>
        <w:rPr>
          <w:rFonts w:ascii="Times New Roman" w:hAnsi="Times New Roman"/>
          <w:sz w:val="24"/>
        </w:rPr>
        <w:t xml:space="preserve">1.1 本次招标采取公开招标方式，本招标文件仅适用于招标公告中所述项目。</w:t>
      </w:r>
      <w:r>
        <w:rPr>
          <w:rFonts w:ascii="Times New Roman" w:hAnsi="Times New Roman"/>
          <w:sz w:val="24"/>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2、合格的投标人</w:t>
      </w:r>
      <w:r>
        <w:rPr>
          <w:rFonts w:ascii="Times New Roman" w:hAnsi="Times New Roman"/>
          <w:sz w:val="28"/>
          <w:szCs w:val="28"/>
        </w:rPr>
      </w:r>
      <w:r/>
    </w:p>
    <w:p>
      <w:pPr>
        <w:pStyle w:val="926"/>
        <w:ind w:firstLine="480"/>
        <w:spacing w:line="440" w:lineRule="exact"/>
        <w:rPr>
          <w:rFonts w:ascii="Times New Roman" w:hAnsi="Times New Roman"/>
          <w:sz w:val="24"/>
        </w:rPr>
      </w:pPr>
      <w:r>
        <w:rPr>
          <w:rFonts w:ascii="Times New Roman" w:hAnsi="Times New Roman"/>
          <w:sz w:val="24"/>
        </w:rPr>
        <w:t xml:space="preserve">2. 1满足招标公告中投标人的资格要求的规定。</w:t>
      </w:r>
      <w:r>
        <w:rPr>
          <w:rFonts w:ascii="Times New Roman" w:hAnsi="Times New Roman"/>
          <w:sz w:val="24"/>
        </w:rPr>
      </w:r>
      <w:r/>
    </w:p>
    <w:p>
      <w:pPr>
        <w:pStyle w:val="926"/>
        <w:ind w:firstLine="480"/>
        <w:spacing w:line="440" w:lineRule="exact"/>
        <w:rPr>
          <w:rFonts w:ascii="Times New Roman" w:hAnsi="Times New Roman"/>
          <w:b/>
          <w:sz w:val="24"/>
        </w:rPr>
      </w:pPr>
      <w:r>
        <w:rPr>
          <w:rFonts w:ascii="Times New Roman" w:hAnsi="Times New Roman"/>
          <w:sz w:val="24"/>
        </w:rPr>
        <w:t xml:space="preserve">2.2 满足本文件实质性要求的规定</w:t>
      </w:r>
      <w:r>
        <w:rPr>
          <w:rFonts w:ascii="Times New Roman" w:hAnsi="Times New Roman"/>
          <w:b/>
          <w:sz w:val="24"/>
        </w:rPr>
        <w:t xml:space="preserve">（本招标文件中斜体且有下划线部分为实质性要求）。</w:t>
      </w:r>
      <w:r>
        <w:rPr>
          <w:rFonts w:ascii="Times New Roman" w:hAnsi="Times New Roman"/>
          <w:b/>
          <w:sz w:val="24"/>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3、适用法律</w:t>
      </w:r>
      <w:r>
        <w:rPr>
          <w:rFonts w:ascii="Times New Roman" w:hAnsi="Times New Roman"/>
          <w:sz w:val="28"/>
          <w:szCs w:val="28"/>
        </w:rPr>
      </w:r>
      <w:r/>
    </w:p>
    <w:p>
      <w:pPr>
        <w:pStyle w:val="926"/>
        <w:ind w:firstLine="420"/>
        <w:spacing w:line="440" w:lineRule="exact"/>
        <w:rPr>
          <w:rFonts w:ascii="Times New Roman" w:hAnsi="Times New Roman"/>
          <w:sz w:val="24"/>
        </w:rPr>
      </w:pPr>
      <w:r>
        <w:rPr>
          <w:rFonts w:ascii="Times New Roman" w:hAnsi="Times New Roman"/>
          <w:sz w:val="24"/>
        </w:rPr>
        <w:t xml:space="preserve">3.1 本次招标及由此产生的合同受中华人民共和国有关的法律法规制约和保护。</w:t>
      </w:r>
      <w:r>
        <w:rPr>
          <w:rFonts w:ascii="Times New Roman" w:hAnsi="Times New Roman"/>
          <w:sz w:val="24"/>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4、投标费用</w:t>
      </w:r>
      <w:r>
        <w:rPr>
          <w:rFonts w:ascii="Times New Roman" w:hAnsi="Times New Roman"/>
          <w:sz w:val="28"/>
          <w:szCs w:val="28"/>
        </w:rPr>
      </w:r>
      <w:r/>
    </w:p>
    <w:p>
      <w:pPr>
        <w:pStyle w:val="926"/>
        <w:ind w:firstLine="480"/>
        <w:spacing w:line="440" w:lineRule="exact"/>
        <w:rPr>
          <w:rFonts w:ascii="Times New Roman" w:hAnsi="Times New Roman"/>
          <w:sz w:val="24"/>
        </w:rPr>
      </w:pPr>
      <w:r>
        <w:rPr>
          <w:rFonts w:ascii="Times New Roman" w:hAnsi="Times New Roman"/>
          <w:bCs/>
          <w:sz w:val="24"/>
        </w:rPr>
        <w:t xml:space="preserve">4.1</w:t>
      </w:r>
      <w:r>
        <w:rPr>
          <w:rFonts w:ascii="Times New Roman" w:hAnsi="Times New Roman"/>
          <w:sz w:val="24"/>
        </w:rPr>
        <w:t xml:space="preserve"> </w:t>
      </w:r>
      <w:bookmarkStart w:id="53" w:name="EB4bef91ec166246f78c716ddc8194a87a"/>
      <w:r/>
      <w:bookmarkEnd w:id="53"/>
      <w:r>
        <w:rPr>
          <w:rFonts w:ascii="Times New Roman" w:hAnsi="Times New Roman"/>
          <w:sz w:val="24"/>
        </w:rPr>
        <w:t xml:space="preserve">投标人应自行承担所有与参加投标有关的费用，无论投标过程中的做法和结果如何，</w:t>
      </w:r>
      <w:bookmarkStart w:id="54" w:name="EBb149e03d16f547ac9a9b50964f44d5b2"/>
      <w:r>
        <w:rPr>
          <w:rFonts w:ascii="Times New Roman" w:hAnsi="Times New Roman"/>
          <w:sz w:val="24"/>
        </w:rPr>
        <w:t xml:space="preserve">张家港禾达招投标咨询服务有限公司</w:t>
      </w:r>
      <w:bookmarkEnd w:id="54"/>
      <w:r>
        <w:rPr>
          <w:rFonts w:ascii="Times New Roman" w:hAnsi="Times New Roman"/>
          <w:sz w:val="24"/>
        </w:rPr>
        <w:t xml:space="preserve">在任何情况下均无义务和责任承担这些费用。</w:t>
      </w:r>
      <w:r>
        <w:rPr>
          <w:rFonts w:ascii="Times New Roman" w:hAnsi="Times New Roman"/>
          <w:sz w:val="24"/>
        </w:rPr>
      </w:r>
      <w:r/>
    </w:p>
    <w:p>
      <w:pPr>
        <w:pStyle w:val="1267"/>
        <w:ind w:firstLine="500"/>
        <w:spacing w:line="440" w:lineRule="exact"/>
        <w:rPr>
          <w:rFonts w:eastAsia="宋体"/>
          <w:spacing w:val="7"/>
        </w:rPr>
      </w:pPr>
      <w:r>
        <w:rPr>
          <w:rFonts w:eastAsia="宋体"/>
          <w:spacing w:val="7"/>
        </w:rPr>
        <w:t xml:space="preserve">4.2 本次招标采购代理机构收取代理服务费。</w:t>
      </w:r>
      <w:r>
        <w:rPr>
          <w:rFonts w:eastAsia="宋体"/>
          <w:spacing w:val="7"/>
        </w:rPr>
      </w:r>
      <w:r/>
    </w:p>
    <w:p>
      <w:pPr>
        <w:pStyle w:val="1267"/>
        <w:ind w:firstLine="500"/>
        <w:spacing w:line="440" w:lineRule="exact"/>
        <w:rPr>
          <w:rFonts w:eastAsia="宋体"/>
          <w:spacing w:val="7"/>
        </w:rPr>
      </w:pPr>
      <w:r>
        <w:rPr>
          <w:rFonts w:eastAsia="宋体"/>
          <w:spacing w:val="7"/>
        </w:rPr>
        <w:t xml:space="preserve">4.2.1 本项目采购代理服务费由 中标（成交）供应商 支付;</w:t>
      </w:r>
      <w:r>
        <w:rPr>
          <w:rFonts w:eastAsia="宋体"/>
          <w:spacing w:val="7"/>
        </w:rPr>
      </w:r>
      <w:r/>
    </w:p>
    <w:p>
      <w:pPr>
        <w:pStyle w:val="1267"/>
        <w:ind w:firstLine="500"/>
        <w:spacing w:line="440" w:lineRule="exact"/>
        <w:rPr>
          <w:rFonts w:eastAsia="宋体"/>
          <w:spacing w:val="7"/>
          <w:lang w:eastAsia="zh-CN"/>
        </w:rPr>
      </w:pPr>
      <w:r>
        <w:rPr>
          <w:rFonts w:eastAsia="宋体"/>
          <w:spacing w:val="7"/>
        </w:rPr>
        <w:t xml:space="preserve">4.2.2 代理费用收取方式： 代理服务费：由中标人按照预算金额的如下比例进行计算：即100万元内1.5%、100～500万元内1.1%、500～1000万元内0.8%，差额定率累进法计算，不足叁仟元以叁仟元计算。也即</w:t>
      </w:r>
      <w:r>
        <w:rPr>
          <w:rFonts w:eastAsia="宋体"/>
          <w:spacing w:val="7"/>
          <w:lang w:eastAsia="zh-CN"/>
        </w:rPr>
        <w:t xml:space="preserve">29750元。</w:t>
      </w:r>
      <w:r>
        <w:rPr>
          <w:rFonts w:eastAsia="宋体"/>
          <w:spacing w:val="7"/>
          <w:lang w:eastAsia="zh-CN"/>
        </w:rPr>
      </w:r>
      <w:r/>
    </w:p>
    <w:p>
      <w:pPr>
        <w:pStyle w:val="926"/>
        <w:ind w:firstLine="414"/>
        <w:keepLines/>
        <w:keepNext/>
        <w:spacing w:line="440" w:lineRule="exact"/>
        <w:rPr>
          <w:rFonts w:ascii="Times New Roman" w:hAnsi="Times New Roman"/>
          <w:sz w:val="28"/>
          <w:szCs w:val="28"/>
        </w:rPr>
        <w:outlineLvl w:val="3"/>
      </w:pPr>
      <w:r>
        <w:rPr>
          <w:rFonts w:ascii="Times New Roman" w:hAnsi="Times New Roman"/>
          <w:sz w:val="28"/>
          <w:szCs w:val="28"/>
        </w:rPr>
        <w:t xml:space="preserve">5、招标文件的约束力</w:t>
      </w:r>
      <w:r>
        <w:rPr>
          <w:rFonts w:ascii="Times New Roman" w:hAnsi="Times New Roman"/>
          <w:sz w:val="28"/>
          <w:szCs w:val="28"/>
        </w:rPr>
      </w:r>
      <w:r/>
    </w:p>
    <w:p>
      <w:pPr>
        <w:pStyle w:val="926"/>
        <w:ind w:firstLine="480"/>
        <w:spacing w:line="440" w:lineRule="exact"/>
        <w:rPr>
          <w:rFonts w:ascii="Times New Roman" w:hAnsi="Times New Roman"/>
          <w:sz w:val="24"/>
        </w:rPr>
      </w:pPr>
      <w:r>
        <w:rPr>
          <w:rFonts w:ascii="Times New Roman" w:hAnsi="Times New Roman"/>
          <w:bCs/>
          <w:sz w:val="24"/>
        </w:rPr>
        <w:t xml:space="preserve">5.1</w:t>
      </w:r>
      <w:r>
        <w:rPr>
          <w:rFonts w:ascii="Times New Roman" w:hAnsi="Times New Roman"/>
          <w:sz w:val="24"/>
        </w:rPr>
        <w:t xml:space="preserve"> 投标人一旦在“苏采云”系统下载本招标文件决定参加投标，即被认为接受了本招标文件的规定和约束，并且视为已经知道或应当知道自身权益是否受到了损害。</w:t>
      </w:r>
      <w:r>
        <w:rPr>
          <w:rFonts w:ascii="Times New Roman" w:hAnsi="Times New Roman"/>
          <w:sz w:val="24"/>
        </w:rPr>
      </w:r>
      <w:r/>
    </w:p>
    <w:p>
      <w:pPr>
        <w:pStyle w:val="928"/>
        <w:jc w:val="left"/>
        <w:spacing w:before="0" w:after="0" w:line="440" w:lineRule="exact"/>
        <w:rPr>
          <w:rStyle w:val="1036"/>
          <w:rFonts w:ascii="Times New Roman" w:hAnsi="Times New Roman"/>
        </w:rPr>
      </w:pPr>
      <w:r/>
      <w:bookmarkStart w:id="293" w:name="_Toc4"/>
      <w:r>
        <w:rPr>
          <w:rStyle w:val="1036"/>
          <w:rFonts w:ascii="Times New Roman" w:hAnsi="Times New Roman"/>
        </w:rPr>
        <w:t xml:space="preserve">二、招标文件</w:t>
      </w:r>
      <w:r>
        <w:rPr>
          <w:rStyle w:val="1036"/>
          <w:rFonts w:ascii="Times New Roman" w:hAnsi="Times New Roman"/>
        </w:rPr>
      </w:r>
      <w:bookmarkEnd w:id="293"/>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6、招标文件构成</w:t>
      </w:r>
      <w:r>
        <w:rPr>
          <w:rFonts w:ascii="Times New Roman" w:hAnsi="Times New Roman"/>
          <w:sz w:val="28"/>
          <w:szCs w:val="28"/>
        </w:rPr>
      </w:r>
      <w:r/>
    </w:p>
    <w:p>
      <w:pPr>
        <w:pStyle w:val="926"/>
        <w:ind w:firstLine="480"/>
        <w:spacing w:line="440" w:lineRule="exact"/>
        <w:rPr>
          <w:rFonts w:ascii="Times New Roman" w:hAnsi="Times New Roman"/>
          <w:sz w:val="24"/>
        </w:rPr>
      </w:pPr>
      <w:r>
        <w:rPr>
          <w:rFonts w:ascii="Times New Roman" w:hAnsi="Times New Roman"/>
          <w:bCs/>
          <w:sz w:val="24"/>
        </w:rPr>
        <w:t xml:space="preserve">6.1</w:t>
      </w:r>
      <w:r>
        <w:rPr>
          <w:rFonts w:ascii="Times New Roman" w:hAnsi="Times New Roman"/>
          <w:sz w:val="24"/>
        </w:rPr>
        <w:t xml:space="preserve"> 招标文件有以下部分组成：</w:t>
      </w:r>
      <w:r>
        <w:rPr>
          <w:rFonts w:ascii="Times New Roman" w:hAnsi="Times New Roman"/>
          <w:sz w:val="24"/>
        </w:rPr>
      </w:r>
      <w:r/>
    </w:p>
    <w:p>
      <w:pPr>
        <w:pStyle w:val="926"/>
        <w:ind w:firstLine="360"/>
        <w:spacing w:line="440" w:lineRule="exact"/>
        <w:rPr>
          <w:rFonts w:ascii="Times New Roman" w:hAnsi="Times New Roman"/>
          <w:sz w:val="24"/>
        </w:rPr>
      </w:pPr>
      <w:r>
        <w:rPr>
          <w:rFonts w:ascii="Times New Roman" w:hAnsi="Times New Roman"/>
          <w:sz w:val="24"/>
        </w:rPr>
        <w:t xml:space="preserve">（1）投标邀请</w:t>
      </w:r>
      <w:r>
        <w:rPr>
          <w:rFonts w:ascii="Times New Roman" w:hAnsi="Times New Roman"/>
          <w:sz w:val="24"/>
        </w:rPr>
      </w:r>
      <w:r/>
    </w:p>
    <w:p>
      <w:pPr>
        <w:pStyle w:val="926"/>
        <w:ind w:firstLine="360"/>
        <w:spacing w:line="440" w:lineRule="exact"/>
        <w:rPr>
          <w:rFonts w:ascii="Times New Roman" w:hAnsi="Times New Roman"/>
          <w:sz w:val="24"/>
        </w:rPr>
      </w:pPr>
      <w:r>
        <w:rPr>
          <w:rFonts w:ascii="Times New Roman" w:hAnsi="Times New Roman"/>
          <w:sz w:val="24"/>
        </w:rPr>
        <w:t xml:space="preserve">（2）投标人须知</w:t>
      </w:r>
      <w:r>
        <w:rPr>
          <w:rFonts w:ascii="Times New Roman" w:hAnsi="Times New Roman"/>
          <w:sz w:val="24"/>
        </w:rPr>
      </w:r>
      <w:r/>
    </w:p>
    <w:p>
      <w:pPr>
        <w:pStyle w:val="926"/>
        <w:ind w:firstLine="360"/>
        <w:spacing w:line="440" w:lineRule="exact"/>
        <w:rPr>
          <w:rFonts w:ascii="Times New Roman" w:hAnsi="Times New Roman"/>
          <w:sz w:val="24"/>
        </w:rPr>
      </w:pPr>
      <w:r>
        <w:rPr>
          <w:rFonts w:ascii="Times New Roman" w:hAnsi="Times New Roman"/>
          <w:sz w:val="24"/>
        </w:rPr>
        <w:t xml:space="preserve">（3）合同条款及格式</w:t>
      </w:r>
      <w:r>
        <w:rPr>
          <w:rFonts w:ascii="Times New Roman" w:hAnsi="Times New Roman"/>
          <w:sz w:val="24"/>
        </w:rPr>
      </w:r>
      <w:r/>
    </w:p>
    <w:p>
      <w:pPr>
        <w:pStyle w:val="926"/>
        <w:ind w:firstLine="360"/>
        <w:spacing w:line="440" w:lineRule="exact"/>
        <w:rPr>
          <w:rFonts w:ascii="Times New Roman" w:hAnsi="Times New Roman"/>
          <w:sz w:val="24"/>
        </w:rPr>
      </w:pPr>
      <w:r>
        <w:rPr>
          <w:rFonts w:ascii="Times New Roman" w:hAnsi="Times New Roman"/>
          <w:sz w:val="24"/>
        </w:rPr>
        <w:t xml:space="preserve">（4）项目需求</w:t>
      </w:r>
      <w:r>
        <w:rPr>
          <w:rFonts w:ascii="Times New Roman" w:hAnsi="Times New Roman"/>
          <w:sz w:val="24"/>
        </w:rPr>
      </w:r>
      <w:r/>
    </w:p>
    <w:p>
      <w:pPr>
        <w:pStyle w:val="926"/>
        <w:ind w:firstLine="360"/>
        <w:spacing w:line="440" w:lineRule="exact"/>
        <w:rPr>
          <w:rFonts w:ascii="Times New Roman" w:hAnsi="Times New Roman"/>
          <w:sz w:val="24"/>
        </w:rPr>
      </w:pPr>
      <w:r>
        <w:rPr>
          <w:rFonts w:ascii="Times New Roman" w:hAnsi="Times New Roman"/>
          <w:sz w:val="24"/>
        </w:rPr>
        <w:t xml:space="preserve">（5）评标方法与评标标准</w:t>
      </w:r>
      <w:r>
        <w:rPr>
          <w:rFonts w:ascii="Times New Roman" w:hAnsi="Times New Roman"/>
          <w:sz w:val="24"/>
        </w:rPr>
      </w:r>
      <w:r/>
    </w:p>
    <w:p>
      <w:pPr>
        <w:pStyle w:val="926"/>
        <w:ind w:firstLine="360"/>
        <w:spacing w:line="440" w:lineRule="exact"/>
        <w:rPr>
          <w:rFonts w:ascii="Times New Roman" w:hAnsi="Times New Roman"/>
          <w:sz w:val="24"/>
        </w:rPr>
      </w:pPr>
      <w:r>
        <w:rPr>
          <w:rFonts w:ascii="Times New Roman" w:hAnsi="Times New Roman"/>
          <w:sz w:val="24"/>
        </w:rPr>
        <w:t xml:space="preserve">（6）投标文件格式</w:t>
      </w:r>
      <w:r>
        <w:rPr>
          <w:rFonts w:ascii="Times New Roman" w:hAnsi="Times New Roman"/>
          <w:sz w:val="24"/>
        </w:rPr>
      </w:r>
      <w:r/>
    </w:p>
    <w:p>
      <w:pPr>
        <w:pStyle w:val="926"/>
        <w:ind w:firstLine="480"/>
        <w:spacing w:line="440" w:lineRule="exact"/>
        <w:rPr>
          <w:rFonts w:ascii="Times New Roman" w:hAnsi="Times New Roman"/>
          <w:sz w:val="24"/>
        </w:rPr>
      </w:pPr>
      <w:r>
        <w:rPr>
          <w:rFonts w:ascii="Times New Roman" w:hAnsi="Times New Roman"/>
          <w:sz w:val="24"/>
        </w:rPr>
        <w:t xml:space="preserve">请仔细检查招标文件是否齐全，如有缺漏请立即与张家港禾达招投标咨询服务有限公司联系解决。</w:t>
      </w:r>
      <w:r>
        <w:rPr>
          <w:rFonts w:ascii="Times New Roman" w:hAnsi="Times New Roman"/>
          <w:sz w:val="24"/>
        </w:rPr>
      </w:r>
      <w:r/>
    </w:p>
    <w:p>
      <w:pPr>
        <w:pStyle w:val="926"/>
        <w:ind w:firstLine="480"/>
        <w:spacing w:line="440" w:lineRule="exact"/>
        <w:rPr>
          <w:rFonts w:ascii="Times New Roman" w:hAnsi="Times New Roman"/>
          <w:sz w:val="24"/>
        </w:rPr>
      </w:pPr>
      <w:r>
        <w:rPr>
          <w:rFonts w:ascii="Times New Roman" w:hAnsi="Times New Roman"/>
          <w:bCs/>
          <w:sz w:val="24"/>
        </w:rPr>
        <w:t xml:space="preserve">6.2</w:t>
      </w:r>
      <w:r>
        <w:rPr>
          <w:rFonts w:ascii="Times New Roman" w:hAnsi="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sz w:val="24"/>
        </w:rPr>
      </w:r>
      <w:r/>
    </w:p>
    <w:p>
      <w:pPr>
        <w:pStyle w:val="926"/>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7、招标文件的澄清或修改</w:t>
      </w:r>
      <w:r>
        <w:rPr>
          <w:rFonts w:ascii="Times New Roman" w:hAnsi="Times New Roman"/>
          <w:sz w:val="28"/>
          <w:szCs w:val="28"/>
        </w:rPr>
      </w:r>
      <w:r/>
    </w:p>
    <w:p>
      <w:pPr>
        <w:pStyle w:val="926"/>
        <w:ind w:firstLine="480"/>
        <w:spacing w:line="440" w:lineRule="exact"/>
        <w:rPr>
          <w:rFonts w:ascii="Times New Roman" w:hAnsi="Times New Roman"/>
          <w:sz w:val="24"/>
        </w:rPr>
      </w:pPr>
      <w:r>
        <w:rPr>
          <w:rFonts w:ascii="Times New Roman" w:hAnsi="Times New Roman"/>
          <w:bCs/>
          <w:sz w:val="24"/>
        </w:rPr>
        <w:t xml:space="preserve">7.1</w:t>
      </w:r>
      <w:r>
        <w:rPr>
          <w:rFonts w:ascii="Times New Roman" w:hAnsi="Times New Roman"/>
          <w:sz w:val="24"/>
        </w:rPr>
        <w:t xml:space="preserve">在投标截止时间前。张家港禾达招投标咨询服务有限公司可以对招标文件进行澄清或修改。</w:t>
      </w:r>
      <w:r>
        <w:rPr>
          <w:rFonts w:ascii="Times New Roman" w:hAnsi="Times New Roman"/>
          <w:sz w:val="24"/>
        </w:rPr>
      </w:r>
      <w:r/>
    </w:p>
    <w:p>
      <w:pPr>
        <w:pStyle w:val="926"/>
        <w:ind w:firstLine="480"/>
        <w:spacing w:line="440" w:lineRule="exact"/>
        <w:rPr>
          <w:rFonts w:ascii="Times New Roman" w:hAnsi="Times New Roman"/>
          <w:sz w:val="28"/>
          <w:szCs w:val="28"/>
        </w:rPr>
      </w:pPr>
      <w:r>
        <w:rPr>
          <w:rFonts w:ascii="Times New Roman" w:hAnsi="Times New Roman"/>
          <w:bCs/>
          <w:sz w:val="24"/>
        </w:rPr>
        <w:t xml:space="preserve">7.2张家港禾达招投标咨询服务有限公司</w:t>
      </w:r>
      <w:r>
        <w:rPr>
          <w:rFonts w:ascii="Times New Roman" w:hAnsi="Times New Roman"/>
          <w:sz w:val="24"/>
        </w:rPr>
        <w:t xml:space="preserve">有权按照法定的要求推迟投标截止日期和开标日期。</w:t>
      </w:r>
      <w:r>
        <w:rPr>
          <w:rFonts w:ascii="Times New Roman" w:hAnsi="Times New Roman"/>
          <w:sz w:val="28"/>
          <w:szCs w:val="28"/>
        </w:rPr>
      </w:r>
      <w:r/>
    </w:p>
    <w:p>
      <w:pPr>
        <w:pStyle w:val="926"/>
        <w:ind w:firstLine="480"/>
        <w:spacing w:line="440" w:lineRule="exact"/>
        <w:rPr>
          <w:rFonts w:ascii="Times New Roman" w:hAnsi="Times New Roman"/>
          <w:sz w:val="24"/>
        </w:rPr>
      </w:pPr>
      <w:r>
        <w:rPr>
          <w:rFonts w:ascii="Times New Roman" w:hAnsi="Times New Roman"/>
          <w:bCs/>
          <w:sz w:val="24"/>
        </w:rPr>
        <w:t xml:space="preserve">7.3</w:t>
      </w:r>
      <w:r>
        <w:rPr>
          <w:rFonts w:ascii="Times New Roman" w:hAnsi="Times New Roman"/>
          <w:sz w:val="24"/>
        </w:rPr>
        <w:t xml:space="preserve">招标文件的实质性变动或修改将在政府采购公告媒体网通知，投标人可自行下载。补充文件将作为招标文件的组成部分，并对投标人具有约束力。</w:t>
      </w:r>
      <w:r>
        <w:rPr>
          <w:rFonts w:ascii="Times New Roman" w:hAnsi="Times New Roman"/>
          <w:sz w:val="24"/>
        </w:rPr>
      </w:r>
      <w:r/>
    </w:p>
    <w:p>
      <w:pPr>
        <w:pStyle w:val="928"/>
        <w:jc w:val="left"/>
        <w:spacing w:before="0" w:after="0" w:line="440" w:lineRule="exact"/>
        <w:rPr>
          <w:rStyle w:val="1036"/>
          <w:rFonts w:ascii="Times New Roman" w:hAnsi="Times New Roman"/>
          <w:bCs w:val="0"/>
        </w:rPr>
      </w:pPr>
      <w:r/>
      <w:bookmarkStart w:id="294" w:name="_Toc5"/>
      <w:r>
        <w:rPr>
          <w:rStyle w:val="1036"/>
          <w:rFonts w:ascii="Times New Roman" w:hAnsi="Times New Roman"/>
          <w:bCs w:val="0"/>
        </w:rPr>
        <w:t xml:space="preserve">三、投标文件的编制</w:t>
      </w:r>
      <w:r>
        <w:rPr>
          <w:rStyle w:val="1036"/>
          <w:rFonts w:ascii="Times New Roman" w:hAnsi="Times New Roman"/>
          <w:bCs w:val="0"/>
        </w:rPr>
      </w:r>
      <w:bookmarkEnd w:id="294"/>
      <w:r/>
      <w:r/>
    </w:p>
    <w:p>
      <w:pPr>
        <w:pStyle w:val="926"/>
        <w:ind w:firstLine="560"/>
        <w:keepLines/>
        <w:keepNext/>
        <w:spacing w:line="440" w:lineRule="exact"/>
        <w:rPr>
          <w:rFonts w:ascii="Times New Roman" w:hAnsi="Times New Roman"/>
          <w:b/>
          <w:sz w:val="28"/>
          <w:szCs w:val="28"/>
        </w:rPr>
        <w:outlineLvl w:val="3"/>
      </w:pPr>
      <w:r>
        <w:rPr>
          <w:rFonts w:ascii="Times New Roman" w:hAnsi="Times New Roman"/>
          <w:sz w:val="28"/>
          <w:szCs w:val="28"/>
        </w:rPr>
        <w:t xml:space="preserve">8、投标文件的语言及度量衡单位</w:t>
      </w:r>
      <w:r>
        <w:rPr>
          <w:rFonts w:ascii="Times New Roman" w:hAnsi="Times New Roman"/>
          <w:b/>
          <w:sz w:val="28"/>
          <w:szCs w:val="28"/>
        </w:rPr>
      </w:r>
      <w:r/>
    </w:p>
    <w:p>
      <w:pPr>
        <w:pStyle w:val="926"/>
        <w:ind w:firstLine="480"/>
        <w:spacing w:line="440" w:lineRule="exact"/>
        <w:rPr>
          <w:rFonts w:ascii="Times New Roman" w:hAnsi="Times New Roman"/>
          <w:sz w:val="24"/>
        </w:rPr>
      </w:pPr>
      <w:r>
        <w:rPr>
          <w:rFonts w:ascii="Times New Roman" w:hAnsi="Times New Roman"/>
          <w:bCs/>
          <w:sz w:val="24"/>
        </w:rPr>
        <w:t xml:space="preserve">8.1</w:t>
      </w:r>
      <w:r>
        <w:rPr>
          <w:rFonts w:ascii="Times New Roman" w:hAnsi="Times New Roman"/>
          <w:sz w:val="24"/>
        </w:rPr>
        <w:t xml:space="preserve"> 投标人提交的投标文件以及投标人与张家港禾达招投标咨询服务有限公司就有关投标的所有来往通知、函件和文件均应使用</w:t>
      </w:r>
      <w:r>
        <w:rPr>
          <w:rFonts w:ascii="Times New Roman" w:hAnsi="Times New Roman"/>
          <w:b/>
          <w:bCs/>
          <w:sz w:val="24"/>
        </w:rPr>
        <w:t xml:space="preserve">简体中文</w:t>
      </w:r>
      <w:r>
        <w:rPr>
          <w:rFonts w:ascii="Times New Roman" w:hAnsi="Times New Roman"/>
          <w:sz w:val="24"/>
        </w:rPr>
        <w:t xml:space="preserve">。</w:t>
      </w:r>
      <w:r>
        <w:rPr>
          <w:rFonts w:ascii="Times New Roman" w:hAnsi="Times New Roman"/>
          <w:sz w:val="24"/>
        </w:rPr>
      </w:r>
      <w:r/>
    </w:p>
    <w:p>
      <w:pPr>
        <w:pStyle w:val="926"/>
        <w:ind w:firstLine="480"/>
        <w:spacing w:line="440" w:lineRule="exact"/>
        <w:rPr>
          <w:rFonts w:ascii="Times New Roman" w:hAnsi="Times New Roman"/>
          <w:sz w:val="24"/>
        </w:rPr>
      </w:pPr>
      <w:r>
        <w:rPr>
          <w:rFonts w:ascii="Times New Roman" w:hAnsi="Times New Roman"/>
          <w:bCs/>
          <w:sz w:val="24"/>
        </w:rPr>
        <w:t xml:space="preserve">8.2</w:t>
      </w:r>
      <w:r>
        <w:rPr>
          <w:rFonts w:ascii="Times New Roman" w:hAnsi="Times New Roman"/>
          <w:sz w:val="24"/>
        </w:rPr>
        <w:t xml:space="preserve"> 除技术性能另有规定外，投标文件所使用的度量衡单位，均须采用国家法定计量单位。</w:t>
      </w:r>
      <w:r>
        <w:rPr>
          <w:rFonts w:ascii="Times New Roman" w:hAnsi="Times New Roman"/>
          <w:sz w:val="24"/>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9、投标文件构成</w:t>
      </w:r>
      <w:r>
        <w:rPr>
          <w:rFonts w:ascii="Times New Roman" w:hAnsi="Times New Roman"/>
          <w:sz w:val="28"/>
          <w:szCs w:val="28"/>
        </w:rPr>
      </w:r>
      <w:r/>
    </w:p>
    <w:p>
      <w:pPr>
        <w:pStyle w:val="926"/>
        <w:ind w:firstLine="480"/>
        <w:spacing w:line="440" w:lineRule="exact"/>
        <w:rPr>
          <w:rFonts w:ascii="Times New Roman" w:hAnsi="Times New Roman"/>
          <w:sz w:val="24"/>
        </w:rPr>
      </w:pPr>
      <w:r>
        <w:rPr>
          <w:rFonts w:ascii="Times New Roman" w:hAnsi="Times New Roman"/>
          <w:sz w:val="24"/>
        </w:rPr>
        <w:t xml:space="preserve">9.1 投标人编写的投标文件应包括投标函、开标一览表、投标配置与分项报价表、资格证明文件、技术人员介绍、第四章项目需求中实质性要求响应对照表、技术及服务方案、投标人情况介绍等部分。</w:t>
      </w:r>
      <w:r>
        <w:rPr>
          <w:rFonts w:ascii="Times New Roman" w:hAnsi="Times New Roman"/>
          <w:sz w:val="24"/>
        </w:rPr>
      </w:r>
      <w:r/>
    </w:p>
    <w:p>
      <w:pPr>
        <w:pStyle w:val="926"/>
        <w:ind w:firstLine="480"/>
        <w:spacing w:line="440" w:lineRule="exact"/>
        <w:rPr>
          <w:rFonts w:ascii="Times New Roman" w:hAnsi="Times New Roman"/>
          <w:sz w:val="24"/>
        </w:rPr>
      </w:pPr>
      <w:r>
        <w:rPr>
          <w:rFonts w:ascii="Times New Roman" w:hAnsi="Times New Roman"/>
          <w:sz w:val="24"/>
        </w:rPr>
        <w:t xml:space="preserve">9.2</w:t>
      </w:r>
      <w:r>
        <w:rPr>
          <w:rFonts w:ascii="Times New Roman" w:hAnsi="Times New Roman"/>
          <w:b/>
          <w:bCs/>
          <w:sz w:val="24"/>
        </w:rPr>
        <w:t xml:space="preserve"> </w:t>
      </w:r>
      <w:r>
        <w:rPr>
          <w:rFonts w:ascii="Times New Roman" w:hAnsi="Times New Roman"/>
          <w:sz w:val="24"/>
        </w:rPr>
        <w:t xml:space="preserve">特别提醒：投标人必须在投标文件接收截止时间之前在系统中提交所有与开评标相关的资料。开评标现场不接收任何资料。</w:t>
      </w:r>
      <w:r>
        <w:rPr>
          <w:rFonts w:ascii="Times New Roman" w:hAnsi="Times New Roman"/>
          <w:sz w:val="24"/>
        </w:rPr>
      </w:r>
      <w:r/>
    </w:p>
    <w:p>
      <w:pPr>
        <w:pStyle w:val="926"/>
        <w:ind w:firstLine="420"/>
        <w:keepLines/>
        <w:keepNext/>
        <w:spacing w:line="440" w:lineRule="exact"/>
        <w:rPr>
          <w:rFonts w:ascii="Times New Roman" w:hAnsi="Times New Roman"/>
          <w:sz w:val="28"/>
          <w:szCs w:val="28"/>
        </w:rPr>
        <w:outlineLvl w:val="3"/>
      </w:pPr>
      <w:r/>
      <w:bookmarkStart w:id="87" w:name="_Hlt26670360"/>
      <w:r/>
      <w:bookmarkEnd w:id="87"/>
      <w:r/>
      <w:bookmarkStart w:id="88" w:name="_Hlt26954838"/>
      <w:r/>
      <w:bookmarkEnd w:id="88"/>
      <w:r/>
      <w:bookmarkStart w:id="92" w:name="_Hlt26668975"/>
      <w:r/>
      <w:bookmarkEnd w:id="92"/>
      <w:r>
        <w:rPr>
          <w:rFonts w:ascii="Times New Roman" w:hAnsi="Times New Roman"/>
          <w:sz w:val="28"/>
          <w:szCs w:val="28"/>
        </w:rPr>
        <w:t xml:space="preserve">10、投标函和开标一览表</w:t>
      </w:r>
      <w:r>
        <w:rPr>
          <w:rFonts w:ascii="Times New Roman" w:hAnsi="Times New Roman"/>
          <w:sz w:val="28"/>
          <w:szCs w:val="28"/>
        </w:rPr>
      </w:r>
      <w:r/>
    </w:p>
    <w:p>
      <w:pPr>
        <w:pStyle w:val="926"/>
        <w:ind w:firstLine="480"/>
        <w:spacing w:line="440" w:lineRule="exact"/>
        <w:rPr>
          <w:rFonts w:ascii="Times New Roman" w:hAnsi="Times New Roman"/>
          <w:sz w:val="24"/>
        </w:rPr>
      </w:pPr>
      <w:r>
        <w:rPr>
          <w:rFonts w:ascii="Times New Roman" w:hAnsi="Times New Roman"/>
          <w:bCs/>
          <w:sz w:val="24"/>
        </w:rPr>
        <w:t xml:space="preserve">10.1</w:t>
      </w:r>
      <w:r>
        <w:rPr>
          <w:rFonts w:ascii="Times New Roman" w:hAnsi="Times New Roman"/>
          <w:sz w:val="24"/>
        </w:rPr>
        <w:t xml:space="preserve"> 投标人应按照招标文件中提供的格式完整、正确填写投标函、开标一览表。</w:t>
      </w:r>
      <w:r>
        <w:rPr>
          <w:rFonts w:ascii="Times New Roman" w:hAnsi="Times New Roman"/>
          <w:sz w:val="24"/>
        </w:rPr>
      </w:r>
      <w:r/>
    </w:p>
    <w:p>
      <w:pPr>
        <w:pStyle w:val="926"/>
        <w:ind w:firstLine="480"/>
        <w:spacing w:line="440" w:lineRule="exact"/>
        <w:rPr>
          <w:rFonts w:ascii="Times New Roman" w:hAnsi="Times New Roman"/>
          <w:sz w:val="24"/>
        </w:rPr>
      </w:pPr>
      <w:r>
        <w:rPr>
          <w:rFonts w:ascii="Times New Roman" w:hAnsi="Times New Roman"/>
          <w:bCs/>
          <w:sz w:val="24"/>
        </w:rPr>
        <w:t xml:space="preserve">10.2</w:t>
      </w:r>
      <w:r>
        <w:rPr>
          <w:rFonts w:ascii="Times New Roman" w:hAnsi="Times New Roman"/>
          <w:sz w:val="24"/>
        </w:rPr>
        <w:t xml:space="preserve"> </w:t>
      </w:r>
      <w:r>
        <w:rPr>
          <w:rFonts w:ascii="Times New Roman" w:hAnsi="Times New Roman"/>
          <w:bCs/>
          <w:sz w:val="24"/>
        </w:rPr>
        <w:t xml:space="preserve">开标一览表中的价格应与投标文件中投标配置与分项报价表（或经费测算表）中的价格一致，若出现价格不一致的情况，评标时一律按开标一览表中价格为准</w:t>
      </w:r>
      <w:r>
        <w:rPr>
          <w:rFonts w:ascii="Times New Roman" w:hAnsi="Times New Roman"/>
          <w:b/>
          <w:bCs/>
          <w:sz w:val="24"/>
        </w:rPr>
        <w:t xml:space="preserve">。</w:t>
      </w:r>
      <w:r>
        <w:rPr>
          <w:rFonts w:ascii="Times New Roman" w:hAnsi="Times New Roman"/>
          <w:sz w:val="24"/>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11、投标人资格证明文件</w:t>
      </w:r>
      <w:r>
        <w:rPr>
          <w:rFonts w:ascii="Times New Roman" w:hAnsi="Times New Roman"/>
          <w:sz w:val="28"/>
          <w:szCs w:val="28"/>
        </w:rPr>
      </w:r>
      <w:r/>
    </w:p>
    <w:p>
      <w:pPr>
        <w:pStyle w:val="926"/>
        <w:ind w:firstLine="480"/>
        <w:spacing w:line="440" w:lineRule="exact"/>
        <w:rPr>
          <w:rFonts w:ascii="Times New Roman" w:hAnsi="Times New Roman"/>
          <w:sz w:val="24"/>
        </w:rPr>
      </w:pPr>
      <w:r>
        <w:rPr>
          <w:rFonts w:ascii="Times New Roman" w:hAnsi="Times New Roman"/>
          <w:sz w:val="24"/>
        </w:rPr>
        <w:t xml:space="preserve">11.1</w:t>
      </w:r>
      <w:bookmarkStart w:id="96" w:name="_Hlt26668999"/>
      <w:r/>
      <w:bookmarkEnd w:id="96"/>
      <w:r>
        <w:rPr>
          <w:rFonts w:ascii="Times New Roman" w:hAnsi="Times New Roman"/>
          <w:sz w:val="24"/>
        </w:rPr>
        <w:t xml:space="preserve">投标人应按招标文件的要求提交资格证明文件。</w:t>
      </w:r>
      <w:r>
        <w:rPr>
          <w:rFonts w:ascii="Times New Roman" w:hAnsi="Times New Roman"/>
          <w:sz w:val="24"/>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12、投标配置与分项报价</w:t>
      </w:r>
      <w:bookmarkStart w:id="99" w:name="_Hlt26670373"/>
      <w:r/>
      <w:bookmarkEnd w:id="99"/>
      <w:r>
        <w:rPr>
          <w:rFonts w:ascii="Times New Roman" w:hAnsi="Times New Roman"/>
          <w:sz w:val="28"/>
          <w:szCs w:val="28"/>
        </w:rPr>
        <w:t xml:space="preserve">表</w:t>
      </w:r>
      <w:r>
        <w:rPr>
          <w:rFonts w:ascii="Times New Roman" w:hAnsi="Times New Roman"/>
          <w:sz w:val="28"/>
          <w:szCs w:val="28"/>
        </w:rPr>
        <w:t xml:space="preserve">（或经费测算表）</w:t>
      </w:r>
      <w:r>
        <w:rPr>
          <w:rFonts w:ascii="Times New Roman" w:hAnsi="Times New Roman"/>
          <w:sz w:val="28"/>
          <w:szCs w:val="28"/>
        </w:rPr>
      </w:r>
      <w:r/>
    </w:p>
    <w:p>
      <w:pPr>
        <w:pStyle w:val="926"/>
        <w:ind w:firstLine="480"/>
        <w:spacing w:line="440" w:lineRule="exact"/>
        <w:rPr>
          <w:rFonts w:ascii="Times New Roman" w:hAnsi="Times New Roman"/>
          <w:sz w:val="24"/>
        </w:rPr>
      </w:pPr>
      <w:r>
        <w:rPr>
          <w:rFonts w:ascii="Times New Roman" w:hAnsi="Times New Roman"/>
          <w:bCs/>
          <w:sz w:val="24"/>
        </w:rPr>
        <w:t xml:space="preserve">12.1</w:t>
      </w:r>
      <w:r>
        <w:rPr>
          <w:rFonts w:ascii="Times New Roman" w:hAnsi="Times New Roman"/>
          <w:sz w:val="24"/>
        </w:rPr>
        <w:t xml:space="preserve"> 投</w:t>
      </w:r>
      <w:bookmarkStart w:id="100" w:name="_Hlt26954840"/>
      <w:r/>
      <w:bookmarkEnd w:id="100"/>
      <w:r>
        <w:rPr>
          <w:rFonts w:ascii="Times New Roman" w:hAnsi="Times New Roman"/>
          <w:sz w:val="24"/>
        </w:rPr>
        <w:t xml:space="preserve">标人应按照招标文件规定格式填报投标配置与分项报价表</w:t>
      </w:r>
      <w:bookmarkStart w:id="101" w:name="_Hlt26670399"/>
      <w:r/>
      <w:bookmarkEnd w:id="101"/>
      <w:r>
        <w:rPr>
          <w:rFonts w:ascii="Times New Roman" w:hAnsi="Times New Roman"/>
          <w:sz w:val="24"/>
        </w:rPr>
        <w:t xml:space="preserve">，在表中标明所提供设备及主要部件的品牌、型号规格、产地、数量等。</w:t>
      </w:r>
      <w:r>
        <w:rPr>
          <w:rFonts w:ascii="Times New Roman" w:hAnsi="Times New Roman"/>
          <w:b/>
          <w:sz w:val="24"/>
        </w:rPr>
        <w:t xml:space="preserve">每项货物和服务等只允许有一个报价</w:t>
      </w:r>
      <w:r>
        <w:rPr>
          <w:rFonts w:ascii="Times New Roman" w:hAnsi="Times New Roman"/>
          <w:sz w:val="24"/>
        </w:rPr>
        <w:t xml:space="preserve"> (如有备选配件，备选配件的报价不属于选择的报价)。</w:t>
      </w:r>
      <w:r>
        <w:rPr>
          <w:rFonts w:ascii="Times New Roman" w:hAnsi="Times New Roman"/>
          <w:sz w:val="24"/>
        </w:rPr>
      </w:r>
      <w:r/>
    </w:p>
    <w:p>
      <w:pPr>
        <w:pStyle w:val="926"/>
        <w:ind w:firstLine="480"/>
        <w:spacing w:line="440" w:lineRule="exact"/>
        <w:rPr>
          <w:rFonts w:ascii="Times New Roman" w:hAnsi="Times New Roman"/>
          <w:sz w:val="24"/>
        </w:rPr>
      </w:pPr>
      <w:r>
        <w:rPr>
          <w:rFonts w:ascii="Times New Roman" w:hAnsi="Times New Roman"/>
          <w:sz w:val="24"/>
        </w:rPr>
        <w:t xml:space="preserve">12.2 标的物</w:t>
      </w:r>
      <w:r>
        <w:rPr>
          <w:rFonts w:ascii="Times New Roman" w:hAnsi="Times New Roman"/>
          <w:sz w:val="24"/>
        </w:rPr>
      </w:r>
      <w:r/>
    </w:p>
    <w:p>
      <w:pPr>
        <w:pStyle w:val="926"/>
        <w:ind w:firstLine="480"/>
        <w:spacing w:line="440" w:lineRule="exact"/>
        <w:rPr>
          <w:rFonts w:ascii="Times New Roman" w:hAnsi="Times New Roman"/>
          <w:sz w:val="24"/>
        </w:rPr>
      </w:pPr>
      <w:r>
        <w:rPr>
          <w:rFonts w:ascii="Times New Roman" w:hAnsi="Times New Roman"/>
          <w:sz w:val="24"/>
        </w:rPr>
        <w:t xml:space="preserve">12.2.1采购人需求的货物、供应、安装，调试及有关技术服务等。</w:t>
      </w:r>
      <w:r>
        <w:rPr>
          <w:rFonts w:ascii="Times New Roman" w:hAnsi="Times New Roman"/>
          <w:sz w:val="24"/>
        </w:rPr>
      </w:r>
      <w:r/>
    </w:p>
    <w:p>
      <w:pPr>
        <w:pStyle w:val="959"/>
        <w:ind w:firstLine="480"/>
        <w:spacing w:line="440" w:lineRule="exact"/>
        <w:rPr>
          <w:rFonts w:ascii="Times New Roman" w:hAnsi="Times New Roman" w:eastAsia="宋体"/>
        </w:rPr>
      </w:pPr>
      <w:r>
        <w:rPr>
          <w:rFonts w:ascii="Times New Roman" w:hAnsi="Times New Roman" w:eastAsia="宋体"/>
          <w:bCs/>
          <w:sz w:val="24"/>
          <w:szCs w:val="24"/>
        </w:rPr>
        <w:t xml:space="preserve">12.2.2若采购需求中对采购标的的质量明确执行标准的，按采购需求明确的标准执行。若采购需求中对采购标的的质量没有明确执行标准的，但有国家标准</w:t>
      </w:r>
      <w:r>
        <w:rPr>
          <w:rFonts w:hint="eastAsia" w:ascii="Times New Roman" w:hAnsi="Times New Roman" w:eastAsia="宋体"/>
          <w:bCs/>
          <w:sz w:val="24"/>
          <w:szCs w:val="24"/>
          <w:lang w:eastAsia="zh-CN"/>
        </w:rPr>
        <w:t xml:space="preserve">或</w:t>
      </w:r>
      <w:r>
        <w:rPr>
          <w:rFonts w:ascii="Times New Roman" w:hAnsi="Times New Roman" w:eastAsia="宋体"/>
          <w:bCs/>
          <w:sz w:val="24"/>
          <w:szCs w:val="24"/>
        </w:rPr>
        <w:t xml:space="preserve">行业标准</w:t>
      </w:r>
      <w:r>
        <w:rPr>
          <w:rFonts w:hint="eastAsia" w:ascii="Times New Roman" w:hAnsi="Times New Roman" w:eastAsia="宋体"/>
          <w:bCs/>
          <w:sz w:val="24"/>
          <w:szCs w:val="24"/>
          <w:lang w:eastAsia="zh-CN"/>
        </w:rPr>
        <w:t xml:space="preserve">或</w:t>
      </w:r>
      <w:r>
        <w:rPr>
          <w:rFonts w:ascii="Times New Roman" w:hAnsi="Times New Roman" w:eastAsia="宋体"/>
          <w:bCs/>
          <w:sz w:val="24"/>
          <w:szCs w:val="24"/>
        </w:rPr>
        <w:t xml:space="preserve">地方标准</w:t>
      </w:r>
      <w:r>
        <w:rPr>
          <w:rFonts w:hint="eastAsia" w:ascii="Times New Roman" w:hAnsi="Times New Roman" w:eastAsia="宋体"/>
          <w:bCs/>
          <w:sz w:val="24"/>
          <w:szCs w:val="24"/>
          <w:lang w:eastAsia="zh-CN"/>
        </w:rPr>
        <w:t xml:space="preserve">或</w:t>
      </w:r>
      <w:r>
        <w:rPr>
          <w:rFonts w:ascii="Times New Roman" w:hAnsi="Times New Roman" w:eastAsia="宋体"/>
          <w:bCs/>
          <w:sz w:val="24"/>
          <w:szCs w:val="24"/>
        </w:rPr>
        <w:t xml:space="preserve">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Times New Roman" w:hAnsi="Times New Roman" w:eastAsia="宋体"/>
        </w:rPr>
      </w:r>
      <w:r/>
    </w:p>
    <w:p>
      <w:pPr>
        <w:pStyle w:val="926"/>
        <w:ind w:firstLine="480"/>
        <w:spacing w:line="440" w:lineRule="exact"/>
        <w:rPr>
          <w:rFonts w:ascii="Times New Roman" w:hAnsi="Times New Roman"/>
          <w:sz w:val="24"/>
        </w:rPr>
      </w:pPr>
      <w:r>
        <w:rPr>
          <w:rFonts w:ascii="Times New Roman" w:hAnsi="Times New Roman"/>
          <w:sz w:val="24"/>
        </w:rPr>
        <w:t xml:space="preserve">12.3投标货币</w:t>
      </w:r>
      <w:r>
        <w:rPr>
          <w:rFonts w:ascii="Times New Roman" w:hAnsi="Times New Roman"/>
          <w:sz w:val="24"/>
        </w:rPr>
      </w:r>
      <w:r/>
    </w:p>
    <w:p>
      <w:pPr>
        <w:pStyle w:val="926"/>
        <w:ind w:firstLine="480"/>
        <w:spacing w:line="440" w:lineRule="exact"/>
        <w:rPr>
          <w:rFonts w:ascii="Times New Roman" w:hAnsi="Times New Roman"/>
          <w:bCs/>
          <w:sz w:val="24"/>
        </w:rPr>
      </w:pPr>
      <w:r>
        <w:rPr>
          <w:rFonts w:ascii="Times New Roman" w:hAnsi="Times New Roman"/>
          <w:sz w:val="24"/>
        </w:rPr>
        <w:t xml:space="preserve">投标文件中的货物单价和总价无特殊规定的采用人民币报价，以元为</w:t>
      </w:r>
      <w:r>
        <w:rPr>
          <w:rFonts w:ascii="Times New Roman" w:hAnsi="Times New Roman"/>
          <w:bCs/>
          <w:sz w:val="24"/>
        </w:rPr>
        <w:t xml:space="preserve">单位标注。招标文件中另有规定的按规定执行。</w:t>
      </w:r>
      <w:r>
        <w:rPr>
          <w:rFonts w:ascii="Times New Roman" w:hAnsi="Times New Roman"/>
          <w:bCs/>
          <w:sz w:val="24"/>
        </w:rPr>
      </w:r>
      <w:r/>
    </w:p>
    <w:p>
      <w:pPr>
        <w:pStyle w:val="926"/>
        <w:ind w:firstLine="307"/>
        <w:spacing w:line="440" w:lineRule="exact"/>
        <w:rPr>
          <w:rFonts w:ascii="Times New Roman" w:hAnsi="Times New Roman"/>
          <w:bCs/>
          <w:sz w:val="24"/>
        </w:rPr>
      </w:pPr>
      <w:r>
        <w:rPr>
          <w:rFonts w:ascii="Times New Roman" w:hAnsi="Times New Roman"/>
          <w:bCs/>
          <w:sz w:val="24"/>
        </w:rPr>
        <w:t xml:space="preserve">12.4 投标配置与分项报价表上的价格应按下列方式分开填写：</w:t>
      </w:r>
      <w:r>
        <w:rPr>
          <w:rFonts w:ascii="Times New Roman" w:hAnsi="Times New Roman"/>
          <w:bCs/>
          <w:sz w:val="24"/>
        </w:rPr>
      </w:r>
      <w:r/>
    </w:p>
    <w:p>
      <w:pPr>
        <w:pStyle w:val="926"/>
        <w:ind w:firstLine="307"/>
        <w:spacing w:line="440" w:lineRule="exact"/>
        <w:rPr>
          <w:rFonts w:ascii="Times New Roman" w:hAnsi="Times New Roman"/>
          <w:spacing w:val="7"/>
        </w:rPr>
      </w:pPr>
      <w:r>
        <w:rPr>
          <w:rFonts w:ascii="Times New Roman" w:hAnsi="Times New Roman"/>
          <w:bCs/>
          <w:sz w:val="24"/>
        </w:rPr>
        <w:t xml:space="preserve">12.4.1</w:t>
      </w:r>
      <w:r>
        <w:rPr>
          <w:rFonts w:ascii="Times New Roman" w:hAnsi="Times New Roman"/>
          <w:sz w:val="24"/>
        </w:rPr>
        <w:t xml:space="preserve"> 项目总价应包括但不限于人员费用（工资、福利、培训、社会保险等）、服务所用设备工具购置及维修费用、服务所用材料消耗费用、管理费用、利润、税金、政策性文件规定及合同包含的所有风险、责任等各项应有费用。</w:t>
      </w:r>
      <w:r>
        <w:rPr>
          <w:rFonts w:ascii="Times New Roman" w:hAnsi="Times New Roman"/>
          <w:spacing w:val="7"/>
        </w:rPr>
      </w:r>
      <w:r/>
    </w:p>
    <w:p>
      <w:pPr>
        <w:pStyle w:val="926"/>
        <w:ind w:firstLine="307"/>
        <w:spacing w:line="440" w:lineRule="exact"/>
        <w:rPr>
          <w:rFonts w:ascii="Times New Roman" w:hAnsi="Times New Roman"/>
          <w:bCs/>
          <w:sz w:val="24"/>
        </w:rPr>
      </w:pPr>
      <w:r>
        <w:rPr>
          <w:rFonts w:ascii="Times New Roman" w:hAnsi="Times New Roman"/>
          <w:bCs/>
          <w:sz w:val="24"/>
        </w:rPr>
        <w:t xml:space="preserve">12.4.2 项目单价按投标配置及分项报价表中要求填报。</w:t>
      </w:r>
      <w:r>
        <w:rPr>
          <w:rFonts w:ascii="Times New Roman" w:hAnsi="Times New Roman"/>
          <w:bCs/>
          <w:sz w:val="24"/>
        </w:rPr>
      </w:r>
      <w:r/>
    </w:p>
    <w:p>
      <w:pPr>
        <w:pStyle w:val="926"/>
        <w:ind w:firstLine="307"/>
        <w:spacing w:line="440" w:lineRule="exact"/>
        <w:rPr>
          <w:rFonts w:ascii="Times New Roman" w:hAnsi="Times New Roman"/>
          <w:bCs/>
          <w:sz w:val="24"/>
        </w:rPr>
      </w:pPr>
      <w:r>
        <w:rPr>
          <w:rFonts w:ascii="Times New Roman" w:hAnsi="Times New Roman"/>
          <w:bCs/>
          <w:sz w:val="24"/>
        </w:rPr>
        <w:t xml:space="preserve">12.5 本报价必须充分考虑所有可能影响到报价的价格因素，一旦投标结束最终成交，如发生漏、缺、少项，都将被认为是中标人的报价让利行为。</w:t>
      </w:r>
      <w:bookmarkStart w:id="102" w:name="_Hlt26670486"/>
      <w:r/>
      <w:bookmarkEnd w:id="102"/>
      <w:r/>
      <w:bookmarkStart w:id="103" w:name="_Hlt26954848"/>
      <w:r/>
      <w:bookmarkEnd w:id="103"/>
      <w:r/>
      <w:bookmarkStart w:id="104" w:name="_Hlt26954731"/>
      <w:r/>
      <w:bookmarkEnd w:id="104"/>
      <w:r/>
      <w:bookmarkStart w:id="105" w:name="_Hlt26670482"/>
      <w:r/>
      <w:bookmarkEnd w:id="105"/>
      <w:r/>
      <w:bookmarkStart w:id="106" w:name="_Hlt26954846"/>
      <w:r/>
      <w:bookmarkEnd w:id="106"/>
      <w:r>
        <w:rPr>
          <w:rFonts w:ascii="Times New Roman" w:hAnsi="Times New Roman"/>
          <w:bCs/>
          <w:sz w:val="24"/>
        </w:rPr>
      </w:r>
      <w:r/>
    </w:p>
    <w:p>
      <w:pPr>
        <w:pStyle w:val="926"/>
        <w:ind w:firstLine="358"/>
        <w:spacing w:line="440" w:lineRule="exact"/>
        <w:rPr>
          <w:rFonts w:ascii="Times New Roman" w:hAnsi="Times New Roman"/>
          <w:bCs/>
          <w:sz w:val="24"/>
        </w:rPr>
      </w:pPr>
      <w:r>
        <w:rPr>
          <w:rFonts w:ascii="Times New Roman" w:hAnsi="Times New Roman"/>
          <w:bCs/>
          <w:sz w:val="28"/>
          <w:szCs w:val="28"/>
        </w:rPr>
        <w:t xml:space="preserve">13</w:t>
      </w:r>
      <w:r>
        <w:rPr>
          <w:rFonts w:ascii="Times New Roman" w:hAnsi="Times New Roman"/>
          <w:bCs/>
          <w:szCs w:val="21"/>
        </w:rPr>
        <w:t xml:space="preserve">、</w:t>
      </w:r>
      <w:r>
        <w:rPr>
          <w:rFonts w:ascii="Times New Roman" w:hAnsi="Times New Roman"/>
          <w:sz w:val="28"/>
          <w:szCs w:val="28"/>
        </w:rPr>
        <w:t xml:space="preserve">技术参数响应及偏离表、商务条款响应及偏离表 </w:t>
      </w:r>
      <w:r>
        <w:rPr>
          <w:rFonts w:ascii="Times New Roman" w:hAnsi="Times New Roman"/>
          <w:bCs/>
          <w:sz w:val="24"/>
        </w:rPr>
      </w:r>
      <w:r/>
    </w:p>
    <w:p>
      <w:pPr>
        <w:pStyle w:val="926"/>
        <w:ind w:firstLine="307"/>
        <w:spacing w:line="440" w:lineRule="exact"/>
        <w:rPr>
          <w:rFonts w:ascii="Times New Roman" w:hAnsi="Times New Roman"/>
          <w:bCs/>
          <w:sz w:val="24"/>
        </w:rPr>
      </w:pPr>
      <w:r>
        <w:rPr>
          <w:rFonts w:ascii="Times New Roman" w:hAnsi="Times New Roman"/>
          <w:bCs/>
          <w:sz w:val="24"/>
        </w:rPr>
        <w:t xml:space="preserve">13.1 对招标文件中的技术参数与商务条款要求逐项作出响应或偏离，并说明原因。</w:t>
      </w:r>
      <w:r>
        <w:rPr>
          <w:rFonts w:ascii="Times New Roman" w:hAnsi="Times New Roman"/>
          <w:bCs/>
          <w:sz w:val="24"/>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14、技术方案及实施方案</w:t>
      </w:r>
      <w:r>
        <w:rPr>
          <w:rFonts w:ascii="Times New Roman" w:hAnsi="Times New Roman"/>
          <w:sz w:val="28"/>
          <w:szCs w:val="28"/>
        </w:rPr>
      </w:r>
      <w:r/>
    </w:p>
    <w:p>
      <w:pPr>
        <w:pStyle w:val="926"/>
        <w:ind w:firstLine="480"/>
        <w:spacing w:line="440" w:lineRule="exact"/>
        <w:rPr>
          <w:rFonts w:ascii="Times New Roman" w:hAnsi="Times New Roman"/>
          <w:sz w:val="28"/>
          <w:szCs w:val="28"/>
        </w:rPr>
      </w:pPr>
      <w:r>
        <w:rPr>
          <w:rFonts w:ascii="Times New Roman" w:hAnsi="Times New Roman"/>
          <w:bCs/>
          <w:sz w:val="24"/>
        </w:rPr>
        <w:t xml:space="preserve">14.1投标文件中应体现技术方案、服务承诺、培训承诺和优惠承诺及各项计划。</w:t>
      </w:r>
      <w:r>
        <w:rPr>
          <w:rFonts w:ascii="Times New Roman" w:hAnsi="Times New Roman"/>
          <w:sz w:val="28"/>
          <w:szCs w:val="28"/>
        </w:rPr>
      </w:r>
      <w:r/>
    </w:p>
    <w:p>
      <w:pPr>
        <w:pStyle w:val="926"/>
        <w:ind w:firstLine="420"/>
        <w:keepLines/>
        <w:keepNext/>
        <w:spacing w:line="440" w:lineRule="exact"/>
        <w:rPr>
          <w:rFonts w:ascii="Times New Roman" w:hAnsi="Times New Roman"/>
          <w:sz w:val="24"/>
        </w:rPr>
        <w:outlineLvl w:val="3"/>
      </w:pPr>
      <w:r>
        <w:rPr>
          <w:rFonts w:ascii="Times New Roman" w:hAnsi="Times New Roman"/>
          <w:sz w:val="28"/>
          <w:szCs w:val="28"/>
        </w:rPr>
        <w:t xml:space="preserve">15、投标人情况介绍</w:t>
      </w:r>
      <w:r>
        <w:rPr>
          <w:rFonts w:ascii="Times New Roman" w:hAnsi="Times New Roman"/>
          <w:sz w:val="24"/>
        </w:rPr>
      </w:r>
      <w:r/>
    </w:p>
    <w:p>
      <w:pPr>
        <w:pStyle w:val="1269"/>
        <w:ind w:firstLine="500"/>
        <w:spacing w:line="440" w:lineRule="exact"/>
        <w:rPr>
          <w:rFonts w:eastAsia="宋体"/>
          <w:spacing w:val="7"/>
        </w:rPr>
      </w:pPr>
      <w:r>
        <w:rPr>
          <w:rFonts w:eastAsia="宋体"/>
          <w:spacing w:val="7"/>
        </w:rPr>
        <w:t xml:space="preserve">1</w:t>
      </w:r>
      <w:r>
        <w:rPr>
          <w:rFonts w:eastAsia="宋体"/>
          <w:spacing w:val="7"/>
          <w:lang w:val="en-US" w:eastAsia="zh-CN"/>
        </w:rPr>
        <w:t xml:space="preserve">5</w:t>
      </w:r>
      <w:r>
        <w:rPr>
          <w:rFonts w:eastAsia="宋体"/>
          <w:spacing w:val="7"/>
        </w:rPr>
        <w:t xml:space="preserve">.1 投标人的总体情况应在电子投标文件中作出说明。</w:t>
      </w:r>
      <w:r>
        <w:rPr>
          <w:rFonts w:eastAsia="宋体"/>
          <w:spacing w:val="7"/>
        </w:rPr>
      </w:r>
      <w:r/>
    </w:p>
    <w:p>
      <w:pPr>
        <w:pStyle w:val="926"/>
        <w:ind w:firstLine="480"/>
        <w:spacing w:line="440" w:lineRule="exact"/>
        <w:rPr>
          <w:rFonts w:ascii="Times New Roman" w:hAnsi="Times New Roman"/>
          <w:sz w:val="24"/>
        </w:rPr>
      </w:pPr>
      <w:r/>
      <w:bookmarkStart w:id="109" w:name="EBf6e5e332cb7245ab8f3a9801503c122b"/>
      <w:r/>
      <w:bookmarkEnd w:id="109"/>
      <w:r>
        <w:rPr>
          <w:rFonts w:ascii="Times New Roman" w:hAnsi="Times New Roman"/>
          <w:sz w:val="24"/>
        </w:rPr>
      </w:r>
      <w:r/>
    </w:p>
    <w:p>
      <w:pPr>
        <w:pStyle w:val="926"/>
        <w:ind w:firstLine="420"/>
        <w:keepLines/>
        <w:keepNext/>
        <w:spacing w:line="440" w:lineRule="exact"/>
        <w:rPr>
          <w:rFonts w:ascii="Times New Roman" w:hAnsi="Times New Roman"/>
          <w:sz w:val="28"/>
          <w:szCs w:val="28"/>
        </w:rPr>
        <w:outlineLvl w:val="3"/>
      </w:pPr>
      <w:r/>
      <w:bookmarkStart w:id="110" w:name="_Hlt26954734"/>
      <w:r/>
      <w:bookmarkEnd w:id="110"/>
      <w:r/>
      <w:bookmarkStart w:id="111" w:name="_Hlt26954850"/>
      <w:r/>
      <w:bookmarkEnd w:id="111"/>
      <w:r/>
      <w:bookmarkStart w:id="112" w:name="_Hlt26670489"/>
      <w:r/>
      <w:bookmarkEnd w:id="112"/>
      <w:r>
        <w:rPr>
          <w:rFonts w:ascii="Times New Roman" w:hAnsi="Times New Roman"/>
          <w:sz w:val="28"/>
          <w:szCs w:val="28"/>
        </w:rPr>
        <w:t xml:space="preserve">16、投标保证金</w:t>
      </w:r>
      <w:r>
        <w:rPr>
          <w:rFonts w:ascii="Times New Roman" w:hAnsi="Times New Roman"/>
          <w:sz w:val="28"/>
          <w:szCs w:val="28"/>
        </w:rPr>
      </w:r>
      <w:r/>
    </w:p>
    <w:p>
      <w:pPr>
        <w:pStyle w:val="1240"/>
        <w:ind w:firstLine="480"/>
        <w:spacing w:line="440" w:lineRule="exact"/>
        <w:rPr>
          <w:rFonts w:ascii="Times New Roman" w:hAnsi="Times New Roman" w:cs="Times New Roman"/>
          <w:sz w:val="24"/>
          <w:szCs w:val="24"/>
        </w:rPr>
      </w:pPr>
      <w:r>
        <w:rPr>
          <w:rFonts w:ascii="Times New Roman" w:hAnsi="Times New Roman" w:cs="Times New Roman"/>
          <w:sz w:val="24"/>
          <w:szCs w:val="24"/>
        </w:rPr>
        <w:t xml:space="preserve">16.1本次招标不收取投标保证金。</w:t>
      </w:r>
      <w:r>
        <w:rPr>
          <w:rFonts w:ascii="Times New Roman" w:hAnsi="Times New Roman" w:cs="Times New Roman"/>
          <w:sz w:val="24"/>
          <w:szCs w:val="24"/>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17、投标有效期</w:t>
      </w:r>
      <w:r>
        <w:rPr>
          <w:rFonts w:ascii="Times New Roman" w:hAnsi="Times New Roman"/>
          <w:sz w:val="28"/>
          <w:szCs w:val="28"/>
        </w:rPr>
      </w:r>
      <w:r/>
    </w:p>
    <w:p>
      <w:pPr>
        <w:pStyle w:val="926"/>
        <w:ind w:firstLine="480"/>
        <w:spacing w:line="440" w:lineRule="exact"/>
        <w:rPr>
          <w:rFonts w:ascii="Times New Roman" w:hAnsi="Times New Roman"/>
          <w:bCs/>
          <w:sz w:val="24"/>
        </w:rPr>
      </w:pPr>
      <w:r>
        <w:rPr>
          <w:rFonts w:ascii="Times New Roman" w:hAnsi="Times New Roman"/>
          <w:sz w:val="24"/>
        </w:rPr>
        <w:t xml:space="preserve">17.1</w:t>
      </w:r>
      <w:r>
        <w:rPr>
          <w:rFonts w:ascii="Times New Roman" w:hAnsi="Times New Roman"/>
          <w:bCs/>
          <w:sz w:val="24"/>
        </w:rPr>
        <w:t xml:space="preserve"> 投标有效期为张家港禾达招投标咨询服务有限公司规定的开标之日后</w:t>
      </w:r>
      <w:r>
        <w:rPr>
          <w:rFonts w:ascii="Times New Roman" w:hAnsi="Times New Roman"/>
          <w:b/>
          <w:bCs/>
          <w:sz w:val="24"/>
        </w:rPr>
        <w:t xml:space="preserve">九十（90）天</w:t>
      </w:r>
      <w:r>
        <w:rPr>
          <w:rFonts w:ascii="Times New Roman" w:hAnsi="Times New Roman"/>
          <w:bCs/>
          <w:sz w:val="24"/>
        </w:rPr>
        <w:t xml:space="preserve">。投标有效期比规定短的将被视为非响应性投标而予以拒绝。</w:t>
      </w:r>
      <w:r>
        <w:rPr>
          <w:rFonts w:ascii="Times New Roman" w:hAnsi="Times New Roman"/>
          <w:bCs/>
          <w:sz w:val="24"/>
        </w:rPr>
      </w:r>
      <w:r/>
    </w:p>
    <w:p>
      <w:pPr>
        <w:pStyle w:val="926"/>
        <w:ind w:firstLine="480"/>
        <w:spacing w:line="440" w:lineRule="exact"/>
        <w:rPr>
          <w:rFonts w:ascii="Times New Roman" w:hAnsi="Times New Roman"/>
          <w:bCs/>
          <w:sz w:val="24"/>
        </w:rPr>
      </w:pPr>
      <w:r>
        <w:rPr>
          <w:rFonts w:ascii="Times New Roman" w:hAnsi="Times New Roman"/>
          <w:sz w:val="24"/>
        </w:rPr>
        <w:t xml:space="preserve">17.2</w:t>
      </w:r>
      <w:r>
        <w:rPr>
          <w:rFonts w:ascii="Times New Roman" w:hAnsi="Times New Roman"/>
          <w:bCs/>
          <w:sz w:val="24"/>
        </w:rPr>
        <w:t xml:space="preserve"> 在特殊情况下，张家港禾达招投标咨询服务有限公司于原投标有效期满之前，可向投标人提出延长投标有效期的要求。这种要求与答复均应采用书面形式。投标人可以拒绝张家港禾达招投标咨询服务有限公司的这一要求而放弃投标</w:t>
      </w:r>
      <w:r>
        <w:rPr>
          <w:rFonts w:ascii="Times New Roman" w:hAnsi="Times New Roman"/>
          <w:sz w:val="24"/>
        </w:rPr>
        <w:t xml:space="preserve">。</w:t>
      </w:r>
      <w:r>
        <w:rPr>
          <w:rFonts w:ascii="Times New Roman" w:hAnsi="Times New Roman"/>
          <w:bCs/>
          <w:sz w:val="24"/>
        </w:rPr>
        <w:t xml:space="preserve">同意延长投标有效期的投标人既不能要求也不允许修改其投标文件。</w:t>
      </w:r>
      <w:r>
        <w:rPr>
          <w:rFonts w:ascii="Times New Roman" w:hAnsi="Times New Roman"/>
          <w:bCs/>
          <w:sz w:val="24"/>
        </w:rPr>
      </w:r>
      <w:r/>
    </w:p>
    <w:p>
      <w:pPr>
        <w:pStyle w:val="1270"/>
        <w:ind w:firstLine="500"/>
        <w:spacing w:line="440" w:lineRule="exact"/>
        <w:rPr>
          <w:rFonts w:eastAsia="宋体"/>
          <w:spacing w:val="7"/>
        </w:rPr>
        <w:outlineLvl w:val="3"/>
      </w:pPr>
      <w:r>
        <w:rPr>
          <w:rFonts w:eastAsia="宋体"/>
          <w:spacing w:val="7"/>
        </w:rPr>
        <w:t xml:space="preserve">1</w:t>
      </w:r>
      <w:r>
        <w:rPr>
          <w:rFonts w:eastAsia="宋体"/>
          <w:spacing w:val="7"/>
          <w:lang w:val="en-US" w:eastAsia="zh-CN"/>
        </w:rPr>
        <w:t xml:space="preserve">8</w:t>
      </w:r>
      <w:r>
        <w:rPr>
          <w:rFonts w:eastAsia="宋体"/>
          <w:spacing w:val="7"/>
        </w:rPr>
        <w:t xml:space="preserve">、投标文件的签署</w:t>
      </w:r>
      <w:r>
        <w:rPr>
          <w:rFonts w:eastAsia="宋体"/>
          <w:spacing w:val="7"/>
        </w:rPr>
      </w:r>
      <w:r/>
    </w:p>
    <w:p>
      <w:pPr>
        <w:pStyle w:val="1270"/>
        <w:ind w:firstLine="500"/>
        <w:spacing w:line="440" w:lineRule="exact"/>
        <w:rPr>
          <w:rFonts w:eastAsia="宋体"/>
          <w:spacing w:val="7"/>
          <w:lang w:eastAsia="zh-CN"/>
        </w:rPr>
      </w:pPr>
      <w:r>
        <w:rPr>
          <w:rFonts w:eastAsia="宋体"/>
          <w:spacing w:val="7"/>
          <w:lang w:val="en-US" w:eastAsia="zh-CN"/>
        </w:rPr>
        <w:t xml:space="preserve">18</w:t>
      </w:r>
      <w:r>
        <w:rPr>
          <w:rFonts w:eastAsia="宋体"/>
          <w:spacing w:val="7"/>
        </w:rPr>
        <w:t xml:space="preserve">.1 本招标文件所表述（指定）的公章是指法定名称章，不包括合同专用章、业务专用章等印章。</w:t>
      </w:r>
      <w:bookmarkStart w:id="115" w:name="_Hlt26954739"/>
      <w:r/>
      <w:bookmarkEnd w:id="115"/>
      <w:r/>
      <w:bookmarkStart w:id="116" w:name="_Hlt26954852"/>
      <w:r/>
      <w:bookmarkEnd w:id="116"/>
      <w:r/>
      <w:bookmarkStart w:id="117" w:name="EBfdb2e00cf1ee477a9cdb47d13b603829"/>
      <w:r/>
      <w:bookmarkEnd w:id="117"/>
      <w:r>
        <w:rPr>
          <w:rFonts w:eastAsia="宋体"/>
          <w:spacing w:val="7"/>
          <w:lang w:eastAsia="zh-CN"/>
        </w:rPr>
      </w:r>
      <w:r/>
    </w:p>
    <w:p>
      <w:pPr>
        <w:pStyle w:val="928"/>
        <w:jc w:val="left"/>
        <w:spacing w:before="0" w:after="0" w:line="440" w:lineRule="exact"/>
        <w:rPr>
          <w:rFonts w:ascii="Times New Roman" w:hAnsi="Times New Roman" w:eastAsia="宋体"/>
          <w:bCs w:val="0"/>
          <w:sz w:val="32"/>
          <w:szCs w:val="32"/>
        </w:rPr>
      </w:pPr>
      <w:r/>
      <w:bookmarkStart w:id="295" w:name="_Toc6"/>
      <w:r>
        <w:rPr>
          <w:rStyle w:val="1036"/>
          <w:rFonts w:ascii="Times New Roman" w:hAnsi="Times New Roman"/>
        </w:rPr>
        <w:t xml:space="preserve">四、投标文件的制作、上传、递交</w:t>
      </w:r>
      <w:r>
        <w:rPr>
          <w:rFonts w:ascii="Times New Roman" w:hAnsi="Times New Roman" w:eastAsia="宋体"/>
          <w:bCs w:val="0"/>
          <w:sz w:val="32"/>
          <w:szCs w:val="32"/>
        </w:rPr>
      </w:r>
      <w:bookmarkEnd w:id="295"/>
      <w:r/>
      <w:r/>
    </w:p>
    <w:p>
      <w:pPr>
        <w:pStyle w:val="1271"/>
        <w:ind w:firstLine="500"/>
        <w:spacing w:line="440" w:lineRule="exact"/>
        <w:rPr>
          <w:rFonts w:eastAsia="宋体"/>
          <w:spacing w:val="7"/>
          <w:sz w:val="28"/>
        </w:rPr>
        <w:outlineLvl w:val="3"/>
      </w:pPr>
      <w:r>
        <w:rPr>
          <w:rFonts w:eastAsia="宋体"/>
          <w:spacing w:val="7"/>
          <w:sz w:val="28"/>
        </w:rPr>
        <w:t xml:space="preserve">1</w:t>
      </w:r>
      <w:r>
        <w:rPr>
          <w:rFonts w:eastAsia="宋体"/>
          <w:spacing w:val="7"/>
          <w:sz w:val="28"/>
          <w:lang w:val="en-US" w:eastAsia="zh-CN"/>
        </w:rPr>
        <w:t xml:space="preserve">9</w:t>
      </w:r>
      <w:r>
        <w:rPr>
          <w:rFonts w:eastAsia="宋体"/>
          <w:spacing w:val="7"/>
          <w:sz w:val="28"/>
        </w:rPr>
        <w:t xml:space="preserve">、投标文件的递交</w:t>
      </w:r>
      <w:r>
        <w:rPr>
          <w:rFonts w:eastAsia="宋体"/>
          <w:spacing w:val="7"/>
          <w:sz w:val="28"/>
        </w:rPr>
      </w:r>
      <w:r/>
    </w:p>
    <w:p>
      <w:pPr>
        <w:pStyle w:val="1271"/>
        <w:ind w:firstLine="500"/>
        <w:spacing w:line="440" w:lineRule="exact"/>
        <w:rPr>
          <w:rFonts w:eastAsia="宋体"/>
          <w:spacing w:val="7"/>
        </w:rPr>
      </w:pPr>
      <w:r>
        <w:rPr>
          <w:rFonts w:eastAsia="宋体"/>
          <w:spacing w:val="7"/>
          <w:lang w:val="en-US" w:eastAsia="zh-CN"/>
        </w:rPr>
        <w:t xml:space="preserve">19</w:t>
      </w:r>
      <w:r>
        <w:rPr>
          <w:rFonts w:eastAsia="宋体"/>
          <w:spacing w:val="7"/>
        </w:rPr>
        <w:t xml:space="preserve">.1 电子投标文件的递交</w:t>
      </w:r>
      <w:r>
        <w:rPr>
          <w:rFonts w:eastAsia="宋体"/>
          <w:spacing w:val="7"/>
        </w:rPr>
      </w:r>
      <w:r/>
    </w:p>
    <w:p>
      <w:pPr>
        <w:pStyle w:val="1271"/>
        <w:ind w:firstLine="500"/>
        <w:spacing w:line="440" w:lineRule="exact"/>
        <w:rPr>
          <w:rFonts w:eastAsia="宋体"/>
          <w:spacing w:val="7"/>
          <w:lang w:eastAsia="zh-CN"/>
        </w:rPr>
      </w:pPr>
      <w:r>
        <w:rPr>
          <w:rFonts w:eastAsia="宋体"/>
          <w:spacing w:val="7"/>
        </w:rPr>
        <w:t xml:space="preserve">投标人应当按照《苏采云系统供应商操作手册》规定，在投标截止时间前制作并上传电子投标文件。</w:t>
      </w:r>
      <w:bookmarkStart w:id="128" w:name="EB5e78b12e89984a20ab881c475623475b"/>
      <w:r/>
      <w:bookmarkEnd w:id="128"/>
      <w:r>
        <w:rPr>
          <w:rFonts w:eastAsia="宋体"/>
          <w:spacing w:val="7"/>
          <w:lang w:eastAsia="zh-CN"/>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20、投标截止日期</w:t>
      </w:r>
      <w:r>
        <w:rPr>
          <w:rFonts w:ascii="Times New Roman" w:hAnsi="Times New Roman"/>
          <w:sz w:val="28"/>
          <w:szCs w:val="28"/>
        </w:rPr>
      </w:r>
      <w:r/>
    </w:p>
    <w:p>
      <w:pPr>
        <w:pStyle w:val="1272"/>
        <w:ind w:firstLine="500"/>
        <w:spacing w:line="440" w:lineRule="exact"/>
        <w:rPr>
          <w:rFonts w:eastAsia="宋体"/>
          <w:spacing w:val="7"/>
        </w:rPr>
      </w:pPr>
      <w:r>
        <w:rPr>
          <w:rFonts w:eastAsia="宋体"/>
          <w:spacing w:val="7"/>
          <w:lang w:val="en-US" w:eastAsia="zh-CN"/>
        </w:rPr>
        <w:t xml:space="preserve">20</w:t>
      </w:r>
      <w:r>
        <w:rPr>
          <w:rFonts w:eastAsia="宋体"/>
          <w:spacing w:val="7"/>
        </w:rPr>
        <w:t xml:space="preserve">.1 投标人上传电子投标文件的时间不得迟于招标公告中规定的投标截止时间。</w:t>
      </w:r>
      <w:r>
        <w:rPr>
          <w:rFonts w:eastAsia="宋体"/>
          <w:spacing w:val="7"/>
        </w:rPr>
      </w:r>
      <w:r/>
    </w:p>
    <w:p>
      <w:pPr>
        <w:pStyle w:val="1272"/>
        <w:ind w:firstLine="500"/>
        <w:spacing w:line="440" w:lineRule="exact"/>
        <w:rPr>
          <w:rFonts w:eastAsia="宋体"/>
          <w:spacing w:val="7"/>
          <w:lang w:eastAsia="zh-CN"/>
        </w:rPr>
      </w:pPr>
      <w:r>
        <w:rPr>
          <w:rFonts w:eastAsia="宋体"/>
          <w:spacing w:val="7"/>
        </w:rPr>
        <w:t xml:space="preserve">投标人应</w:t>
      </w:r>
      <w:r>
        <w:rPr>
          <w:rFonts w:hint="eastAsia" w:eastAsia="宋体"/>
          <w:spacing w:val="7"/>
          <w:lang w:eastAsia="zh-CN"/>
        </w:rPr>
        <w:t xml:space="preserve">充分考虑</w:t>
      </w:r>
      <w:r>
        <w:rPr>
          <w:rFonts w:eastAsia="宋体"/>
          <w:spacing w:val="7"/>
        </w:rPr>
        <w:t xml:space="preserve">网络环境、网络带宽等风险因素，如因投标人自身原因造成的电子投标文件上传不成功由投标人自行承担全部责任。</w:t>
      </w:r>
      <w:bookmarkStart w:id="131" w:name="EB4c6421107b4c4e38bf2769d0237905a7"/>
      <w:r/>
      <w:bookmarkEnd w:id="131"/>
      <w:r>
        <w:rPr>
          <w:rFonts w:eastAsia="宋体"/>
          <w:spacing w:val="7"/>
          <w:lang w:eastAsia="zh-CN"/>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21、投标文件的递交</w:t>
      </w:r>
      <w:r>
        <w:rPr>
          <w:rFonts w:ascii="Times New Roman" w:hAnsi="Times New Roman"/>
          <w:sz w:val="28"/>
          <w:szCs w:val="28"/>
        </w:rPr>
      </w:r>
      <w:r/>
    </w:p>
    <w:p>
      <w:pPr>
        <w:pStyle w:val="926"/>
        <w:ind w:firstLine="480"/>
        <w:spacing w:line="440" w:lineRule="exact"/>
        <w:rPr>
          <w:rFonts w:ascii="Times New Roman" w:hAnsi="Times New Roman"/>
          <w:sz w:val="24"/>
        </w:rPr>
      </w:pPr>
      <w:r>
        <w:rPr>
          <w:rFonts w:ascii="Times New Roman" w:hAnsi="Times New Roman"/>
          <w:sz w:val="24"/>
        </w:rPr>
        <w:t xml:space="preserve">21.1张家港禾达招投标咨询服务有限公司拒绝接收在其规定的投标截止时间后递交的任何投标文件。</w:t>
      </w:r>
      <w:r>
        <w:rPr>
          <w:rFonts w:ascii="Times New Roman" w:hAnsi="Times New Roman"/>
          <w:sz w:val="24"/>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22、投标文件的修改和撤回</w:t>
      </w:r>
      <w:r>
        <w:rPr>
          <w:rFonts w:ascii="Times New Roman" w:hAnsi="Times New Roman"/>
          <w:sz w:val="28"/>
          <w:szCs w:val="28"/>
        </w:rPr>
      </w:r>
      <w:r/>
    </w:p>
    <w:p>
      <w:pPr>
        <w:pStyle w:val="127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2</w:t>
      </w:r>
      <w:r>
        <w:rPr>
          <w:rFonts w:eastAsia="宋体"/>
          <w:spacing w:val="7"/>
        </w:rPr>
        <w:t xml:space="preserve">.1 投标人在递交投标文件后，可以修改或撤回其投标文件，但这种修改和撤回，必须在规定的投标截止时间前，具体操作方法见《苏采云系统供应商操作手册》。</w:t>
      </w:r>
      <w:r>
        <w:rPr>
          <w:rFonts w:eastAsia="宋体"/>
          <w:spacing w:val="7"/>
        </w:rPr>
      </w:r>
      <w:r/>
    </w:p>
    <w:p>
      <w:pPr>
        <w:pStyle w:val="127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2</w:t>
      </w:r>
      <w:r>
        <w:rPr>
          <w:rFonts w:eastAsia="宋体"/>
          <w:spacing w:val="7"/>
        </w:rPr>
        <w:t xml:space="preserve">.2 投标人撤回电子投标文件，则认为其不再参与本项目投标活动。</w:t>
      </w:r>
      <w:r>
        <w:rPr>
          <w:rFonts w:eastAsia="宋体"/>
          <w:spacing w:val="7"/>
        </w:rPr>
      </w:r>
      <w:r/>
    </w:p>
    <w:p>
      <w:pPr>
        <w:pStyle w:val="127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2</w:t>
      </w:r>
      <w:r>
        <w:rPr>
          <w:rFonts w:eastAsia="宋体"/>
          <w:spacing w:val="7"/>
        </w:rPr>
        <w:t xml:space="preserve">.3 在投标截止时间之后，投标人不得对其电子投标文件作任何修改。</w:t>
      </w:r>
      <w:r>
        <w:rPr>
          <w:rFonts w:eastAsia="宋体"/>
          <w:spacing w:val="7"/>
        </w:rPr>
      </w:r>
      <w:r/>
    </w:p>
    <w:p>
      <w:pPr>
        <w:pStyle w:val="127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2</w:t>
      </w:r>
      <w:r>
        <w:rPr>
          <w:rFonts w:eastAsia="宋体"/>
          <w:spacing w:val="7"/>
        </w:rPr>
        <w:t xml:space="preserve">.4 在投标截止时间至招标文件中规定的投标有效期满之间的这段时间内，投标人不得撤销其投标。</w:t>
      </w:r>
      <w:r>
        <w:rPr>
          <w:rFonts w:eastAsia="宋体"/>
          <w:spacing w:val="7"/>
        </w:rPr>
      </w:r>
      <w:r/>
    </w:p>
    <w:p>
      <w:pPr>
        <w:pStyle w:val="1273"/>
        <w:ind w:firstLine="500"/>
        <w:spacing w:line="440" w:lineRule="exact"/>
        <w:rPr>
          <w:rFonts w:eastAsia="宋体"/>
          <w:spacing w:val="7"/>
          <w:lang w:eastAsia="zh-CN"/>
        </w:rPr>
      </w:pPr>
      <w:r>
        <w:rPr>
          <w:rFonts w:eastAsia="宋体"/>
          <w:spacing w:val="7"/>
        </w:rPr>
        <w:t xml:space="preserve">2</w:t>
      </w:r>
      <w:r>
        <w:rPr>
          <w:rFonts w:eastAsia="宋体"/>
          <w:spacing w:val="7"/>
          <w:lang w:val="en-US" w:eastAsia="zh-CN"/>
        </w:rPr>
        <w:t xml:space="preserve">2</w:t>
      </w:r>
      <w:r>
        <w:rPr>
          <w:rFonts w:eastAsia="宋体"/>
          <w:spacing w:val="7"/>
        </w:rPr>
        <w:t xml:space="preserve">.5 不论投标人中标与否，投标文件均不退回。</w:t>
      </w:r>
      <w:bookmarkStart w:id="136" w:name="EB7c302f080cf342679641097daf23b42b"/>
      <w:r/>
      <w:bookmarkEnd w:id="136"/>
      <w:r>
        <w:rPr>
          <w:rFonts w:eastAsia="宋体"/>
          <w:spacing w:val="7"/>
          <w:lang w:eastAsia="zh-CN"/>
        </w:rPr>
      </w:r>
      <w:r/>
    </w:p>
    <w:p>
      <w:pPr>
        <w:pStyle w:val="928"/>
        <w:jc w:val="left"/>
        <w:spacing w:before="0" w:after="0" w:line="440" w:lineRule="exact"/>
        <w:rPr>
          <w:rStyle w:val="1036"/>
          <w:rFonts w:ascii="Times New Roman" w:hAnsi="Times New Roman"/>
          <w:bCs w:val="0"/>
        </w:rPr>
      </w:pPr>
      <w:r/>
      <w:bookmarkStart w:id="296" w:name="_Toc7"/>
      <w:r>
        <w:rPr>
          <w:rStyle w:val="1036"/>
          <w:rFonts w:ascii="Times New Roman" w:hAnsi="Times New Roman"/>
          <w:bCs w:val="0"/>
        </w:rPr>
        <w:t xml:space="preserve">五、开标与评标</w:t>
      </w:r>
      <w:r>
        <w:rPr>
          <w:rStyle w:val="1036"/>
          <w:rFonts w:ascii="Times New Roman" w:hAnsi="Times New Roman"/>
          <w:bCs w:val="0"/>
        </w:rPr>
      </w:r>
      <w:bookmarkEnd w:id="296"/>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23、开标</w:t>
      </w:r>
      <w:r>
        <w:rPr>
          <w:rFonts w:ascii="Times New Roman" w:hAnsi="Times New Roman"/>
          <w:sz w:val="28"/>
          <w:szCs w:val="28"/>
        </w:rPr>
      </w:r>
      <w:r/>
    </w:p>
    <w:p>
      <w:pPr>
        <w:pStyle w:val="926"/>
        <w:ind w:firstLine="480"/>
        <w:spacing w:line="440" w:lineRule="exact"/>
        <w:rPr>
          <w:rFonts w:ascii="Times New Roman" w:hAnsi="Times New Roman"/>
          <w:spacing w:val="7"/>
          <w:sz w:val="24"/>
        </w:rPr>
      </w:pPr>
      <w:r/>
      <w:bookmarkStart w:id="151" w:name="EB45a41a7a147945c0bb92535f2d40058d"/>
      <w:r/>
      <w:bookmarkEnd w:id="151"/>
      <w:r>
        <w:rPr>
          <w:rFonts w:ascii="Times New Roman" w:hAnsi="Times New Roman"/>
          <w:spacing w:val="7"/>
          <w:sz w:val="24"/>
        </w:rPr>
        <w:t xml:space="preserve">23.1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Times New Roman" w:hAnsi="Times New Roman"/>
          <w:spacing w:val="7"/>
          <w:sz w:val="24"/>
        </w:rPr>
      </w:r>
      <w:r/>
    </w:p>
    <w:p>
      <w:pPr>
        <w:pStyle w:val="926"/>
        <w:ind w:firstLine="480"/>
        <w:spacing w:line="440" w:lineRule="exact"/>
        <w:rPr>
          <w:rFonts w:ascii="Times New Roman" w:hAnsi="Times New Roman"/>
          <w:sz w:val="24"/>
        </w:rPr>
      </w:pPr>
      <w:r>
        <w:rPr>
          <w:rFonts w:ascii="Times New Roman" w:hAnsi="Times New Roman"/>
          <w:spacing w:val="7"/>
          <w:sz w:val="24"/>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Times New Roman" w:hAnsi="Times New Roman"/>
          <w:sz w:val="24"/>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24、评标委员会</w:t>
      </w:r>
      <w:r>
        <w:rPr>
          <w:rFonts w:ascii="Times New Roman" w:hAnsi="Times New Roman"/>
          <w:sz w:val="28"/>
          <w:szCs w:val="28"/>
        </w:rPr>
      </w:r>
      <w:r/>
    </w:p>
    <w:p>
      <w:pPr>
        <w:pStyle w:val="926"/>
        <w:ind w:firstLine="480"/>
        <w:spacing w:line="440" w:lineRule="exact"/>
        <w:rPr>
          <w:rFonts w:ascii="Times New Roman" w:hAnsi="Times New Roman"/>
          <w:b/>
          <w:bCs/>
          <w:sz w:val="24"/>
        </w:rPr>
      </w:pPr>
      <w:r>
        <w:rPr>
          <w:rFonts w:ascii="Times New Roman" w:hAnsi="Times New Roman"/>
          <w:sz w:val="24"/>
        </w:rPr>
        <w:t xml:space="preserve">24.1</w:t>
      </w:r>
      <w:r>
        <w:rPr>
          <w:rFonts w:ascii="Times New Roman" w:hAnsi="Times New Roman"/>
          <w:b/>
          <w:bCs/>
          <w:sz w:val="24"/>
        </w:rPr>
        <w:t xml:space="preserve"> </w:t>
      </w:r>
      <w:r>
        <w:rPr>
          <w:rFonts w:ascii="Times New Roman" w:hAnsi="Times New Roman"/>
          <w:sz w:val="24"/>
        </w:rPr>
        <w:t xml:space="preserve">开标后，张家港禾达招投标咨询服务有限公司将立即组织评标委员会（以下简称评委会）进行评标。</w:t>
      </w:r>
      <w:r>
        <w:rPr>
          <w:rFonts w:ascii="Times New Roman" w:hAnsi="Times New Roman"/>
          <w:b/>
          <w:bCs/>
          <w:sz w:val="24"/>
        </w:rPr>
      </w:r>
      <w:r/>
    </w:p>
    <w:p>
      <w:pPr>
        <w:pStyle w:val="926"/>
        <w:ind w:firstLine="480"/>
        <w:spacing w:line="440" w:lineRule="exact"/>
        <w:rPr>
          <w:rFonts w:ascii="Times New Roman" w:hAnsi="Times New Roman"/>
          <w:sz w:val="24"/>
        </w:rPr>
      </w:pPr>
      <w:r>
        <w:rPr>
          <w:rFonts w:ascii="Times New Roman" w:hAnsi="Times New Roman"/>
          <w:sz w:val="24"/>
        </w:rPr>
        <w:t xml:space="preserve">24.2 评委会由评审专家、采购人代表组成，且人员构成符合政府采购有关规定。</w:t>
      </w:r>
      <w:r>
        <w:rPr>
          <w:rFonts w:ascii="Times New Roman" w:hAnsi="Times New Roman"/>
          <w:sz w:val="24"/>
        </w:rPr>
      </w:r>
      <w:r/>
    </w:p>
    <w:p>
      <w:pPr>
        <w:pStyle w:val="926"/>
        <w:ind w:firstLine="480"/>
        <w:spacing w:line="440" w:lineRule="exact"/>
        <w:rPr>
          <w:rFonts w:ascii="Times New Roman" w:hAnsi="Times New Roman"/>
          <w:sz w:val="24"/>
        </w:rPr>
      </w:pPr>
      <w:r>
        <w:rPr>
          <w:rFonts w:ascii="Times New Roman" w:hAnsi="Times New Roman"/>
          <w:sz w:val="24"/>
        </w:rPr>
        <w:t xml:space="preserve">24.3评委会应以科学、公正的态度参加评审工作并推荐中标候选人。评审专家和采购人代表在评审过程中不受任何干扰，独立、负责地提出评审意见，并对自己的评审意见承担责任。</w:t>
      </w:r>
      <w:r>
        <w:rPr>
          <w:rFonts w:ascii="Times New Roman" w:hAnsi="Times New Roman"/>
          <w:sz w:val="24"/>
        </w:rPr>
      </w:r>
      <w:r/>
    </w:p>
    <w:p>
      <w:pPr>
        <w:pStyle w:val="926"/>
        <w:ind w:firstLine="480"/>
        <w:spacing w:line="440" w:lineRule="exact"/>
        <w:rPr>
          <w:rFonts w:ascii="Times New Roman" w:hAnsi="Times New Roman"/>
          <w:sz w:val="24"/>
        </w:rPr>
      </w:pPr>
      <w:r>
        <w:rPr>
          <w:rFonts w:ascii="Times New Roman" w:hAnsi="Times New Roman"/>
          <w:sz w:val="24"/>
        </w:rPr>
        <w:t xml:space="preserve">24.4评委会将对投标人的商业、技术秘密予以保密。</w:t>
      </w:r>
      <w:r>
        <w:rPr>
          <w:rFonts w:ascii="Times New Roman" w:hAnsi="Times New Roman"/>
          <w:sz w:val="24"/>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25．评标过程的保密</w:t>
      </w:r>
      <w:r>
        <w:rPr>
          <w:rFonts w:ascii="Times New Roman" w:hAnsi="Times New Roman"/>
          <w:sz w:val="28"/>
          <w:szCs w:val="28"/>
        </w:rPr>
        <w:t xml:space="preserve">与公正</w:t>
      </w:r>
      <w:r>
        <w:rPr>
          <w:rFonts w:ascii="Times New Roman" w:hAnsi="Times New Roman"/>
          <w:sz w:val="28"/>
          <w:szCs w:val="28"/>
        </w:rPr>
      </w:r>
      <w:r/>
    </w:p>
    <w:p>
      <w:pPr>
        <w:pStyle w:val="926"/>
        <w:ind w:firstLine="480"/>
        <w:spacing w:line="440" w:lineRule="exact"/>
        <w:rPr>
          <w:rFonts w:ascii="Times New Roman" w:hAnsi="Times New Roman"/>
          <w:bCs/>
          <w:sz w:val="24"/>
        </w:rPr>
      </w:pPr>
      <w:r>
        <w:rPr>
          <w:rFonts w:ascii="Times New Roman" w:hAnsi="Times New Roman"/>
          <w:sz w:val="24"/>
        </w:rPr>
        <w:t xml:space="preserve">25.1</w:t>
      </w:r>
      <w:r>
        <w:rPr>
          <w:rFonts w:ascii="Times New Roman" w:hAnsi="Times New Roman"/>
          <w:bCs/>
          <w:sz w:val="24"/>
        </w:rPr>
        <w:t xml:space="preserve">公开开标后，直至向中标的投标人授予合同时止，凡是与审查、澄清、评价和比较投标的有关资料以及授标建议等，均不得向投标人或与评标无关的其他人员透露。</w:t>
      </w:r>
      <w:r>
        <w:rPr>
          <w:rFonts w:ascii="Times New Roman" w:hAnsi="Times New Roman"/>
          <w:bCs/>
          <w:sz w:val="24"/>
        </w:rPr>
      </w:r>
      <w:r/>
    </w:p>
    <w:p>
      <w:pPr>
        <w:pStyle w:val="926"/>
        <w:ind w:firstLine="480"/>
        <w:spacing w:line="440" w:lineRule="exact"/>
        <w:rPr>
          <w:rFonts w:ascii="Times New Roman" w:hAnsi="Times New Roman"/>
          <w:sz w:val="24"/>
        </w:rPr>
      </w:pPr>
      <w:r>
        <w:rPr>
          <w:rFonts w:ascii="Times New Roman" w:hAnsi="Times New Roman"/>
          <w:sz w:val="24"/>
        </w:rPr>
        <w:t xml:space="preserve">25.2在评标过程中，如果投标人试图向张家港禾达招投标咨询服务有限公司和参与评标的人员施加任何影响，都将会导致其投标被拒绝。</w:t>
      </w:r>
      <w:r>
        <w:rPr>
          <w:rFonts w:ascii="Times New Roman" w:hAnsi="Times New Roman"/>
          <w:sz w:val="24"/>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26．投标的澄清</w:t>
      </w:r>
      <w:r>
        <w:rPr>
          <w:rFonts w:ascii="Times New Roman" w:hAnsi="Times New Roman"/>
          <w:sz w:val="28"/>
          <w:szCs w:val="28"/>
        </w:rPr>
      </w:r>
      <w:r/>
    </w:p>
    <w:p>
      <w:pPr>
        <w:pStyle w:val="926"/>
        <w:ind w:firstLine="480"/>
        <w:spacing w:line="440" w:lineRule="exact"/>
        <w:rPr>
          <w:rFonts w:ascii="Times New Roman" w:hAnsi="Times New Roman"/>
          <w:sz w:val="24"/>
        </w:rPr>
      </w:pPr>
      <w:r>
        <w:rPr>
          <w:rFonts w:ascii="Times New Roman" w:hAnsi="Times New Roman"/>
          <w:sz w:val="24"/>
        </w:rPr>
        <w:t xml:space="preserve">26.1评标期间，为有助于对投标文件的审查、评价和比较，评委会有权要求投标人对其投标文件进行澄清，但并非对每个投标人都作澄清要求。</w:t>
      </w:r>
      <w:r>
        <w:rPr>
          <w:rFonts w:ascii="Times New Roman" w:hAnsi="Times New Roman"/>
          <w:sz w:val="24"/>
        </w:rPr>
      </w:r>
      <w:r/>
    </w:p>
    <w:p>
      <w:pPr>
        <w:pStyle w:val="1275"/>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6</w:t>
      </w:r>
      <w:r>
        <w:rPr>
          <w:rFonts w:eastAsia="宋体"/>
          <w:spacing w:val="7"/>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eastAsia="宋体"/>
          <w:spacing w:val="7"/>
        </w:rPr>
      </w:r>
      <w:r/>
    </w:p>
    <w:p>
      <w:pPr>
        <w:pStyle w:val="926"/>
        <w:ind w:firstLine="510"/>
        <w:spacing w:line="440" w:lineRule="exact"/>
        <w:rPr>
          <w:rFonts w:ascii="Times New Roman" w:hAnsi="Times New Roman"/>
          <w:szCs w:val="21"/>
          <w:lang w:val="zh-CN"/>
        </w:rPr>
      </w:pPr>
      <w:r>
        <w:rPr>
          <w:rFonts w:ascii="Times New Roman" w:hAnsi="Times New Roman"/>
          <w:b/>
          <w:bCs/>
          <w:spacing w:val="7"/>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Times New Roman" w:hAnsi="Times New Roman"/>
          <w:spacing w:val="7"/>
          <w:sz w:val="24"/>
          <w:szCs w:val="24"/>
          <w:lang w:val="zh-CN"/>
        </w:rPr>
        <w:t xml:space="preserve">(此处规定时间的计算以系统中的倒计时间为准，供应商应随</w:t>
      </w:r>
      <w:r>
        <w:rPr>
          <w:rFonts w:ascii="Times New Roman" w:hAnsi="Times New Roman"/>
          <w:spacing w:val="7"/>
          <w:sz w:val="24"/>
          <w:szCs w:val="24"/>
          <w:lang w:val="zh-CN"/>
        </w:rPr>
        <w:t xml:space="preserve">时保持系统在线，如因供应商自身原因未在规定时间内提交澄清确认资料的，导致的不利后果由供应商自行承担。）</w:t>
      </w:r>
      <w:r>
        <w:rPr>
          <w:rFonts w:ascii="Times New Roman" w:hAnsi="Times New Roman"/>
          <w:szCs w:val="21"/>
          <w:lang w:val="zh-CN"/>
        </w:rPr>
      </w:r>
      <w:r/>
    </w:p>
    <w:p>
      <w:pPr>
        <w:pStyle w:val="926"/>
        <w:ind w:firstLine="480"/>
        <w:spacing w:line="440" w:lineRule="exact"/>
        <w:rPr>
          <w:rFonts w:ascii="Times New Roman" w:hAnsi="Times New Roman"/>
          <w:sz w:val="24"/>
        </w:rPr>
      </w:pPr>
      <w:r>
        <w:rPr>
          <w:rFonts w:ascii="Times New Roman" w:hAnsi="Times New Roman"/>
          <w:sz w:val="24"/>
        </w:rPr>
        <w:t xml:space="preserve">26.3接到评委会澄清要求的投标人如未按规定做出澄清，其风险由投标人自行承担。</w:t>
      </w:r>
      <w:r>
        <w:rPr>
          <w:rFonts w:ascii="Times New Roman" w:hAnsi="Times New Roman"/>
          <w:sz w:val="24"/>
        </w:rPr>
      </w:r>
      <w:r/>
    </w:p>
    <w:p>
      <w:pPr>
        <w:pStyle w:val="926"/>
        <w:ind w:firstLine="420"/>
        <w:keepLines/>
        <w:keepNext/>
        <w:spacing w:line="440" w:lineRule="exact"/>
        <w:rPr>
          <w:rFonts w:ascii="Times New Roman" w:hAnsi="Times New Roman"/>
          <w:b/>
          <w:bCs/>
          <w:sz w:val="28"/>
          <w:szCs w:val="28"/>
        </w:rPr>
        <w:outlineLvl w:val="3"/>
      </w:pPr>
      <w:r>
        <w:rPr>
          <w:rFonts w:ascii="Times New Roman" w:hAnsi="Times New Roman"/>
          <w:sz w:val="28"/>
          <w:szCs w:val="28"/>
        </w:rPr>
        <w:t xml:space="preserve">27、</w:t>
      </w:r>
      <w:r>
        <w:rPr>
          <w:rFonts w:ascii="Times New Roman" w:hAnsi="Times New Roman"/>
          <w:b/>
          <w:bCs/>
          <w:sz w:val="28"/>
          <w:szCs w:val="28"/>
        </w:rPr>
        <w:t xml:space="preserve">对投标文件的初审</w:t>
      </w:r>
      <w:r>
        <w:rPr>
          <w:rFonts w:ascii="Times New Roman" w:hAnsi="Times New Roman"/>
          <w:b/>
          <w:bCs/>
          <w:sz w:val="28"/>
          <w:szCs w:val="28"/>
        </w:rPr>
      </w:r>
      <w:r/>
    </w:p>
    <w:p>
      <w:pPr>
        <w:pStyle w:val="926"/>
        <w:ind w:firstLine="480"/>
        <w:jc w:val="left"/>
        <w:spacing w:line="440" w:lineRule="exact"/>
        <w:rPr>
          <w:rFonts w:ascii="Times New Roman" w:hAnsi="Times New Roman"/>
          <w:sz w:val="24"/>
          <w:szCs w:val="24"/>
        </w:rPr>
      </w:pPr>
      <w:r>
        <w:rPr>
          <w:rFonts w:ascii="Times New Roman" w:hAnsi="Times New Roman"/>
          <w:sz w:val="24"/>
          <w:szCs w:val="24"/>
        </w:rPr>
        <w:t xml:space="preserve">27.1</w:t>
      </w:r>
      <w:r>
        <w:rPr>
          <w:rFonts w:ascii="Times New Roman" w:hAnsi="Times New Roman"/>
          <w:bCs/>
          <w:sz w:val="24"/>
          <w:szCs w:val="24"/>
        </w:rPr>
        <w:t xml:space="preserve">投标文件初审分为资格审查和符合性审查。</w:t>
      </w:r>
      <w:r>
        <w:rPr>
          <w:rFonts w:ascii="Times New Roman" w:hAnsi="Times New Roman"/>
          <w:sz w:val="24"/>
          <w:szCs w:val="24"/>
        </w:rPr>
      </w:r>
      <w:r/>
    </w:p>
    <w:p>
      <w:pPr>
        <w:pStyle w:val="926"/>
        <w:ind w:firstLine="480"/>
        <w:spacing w:line="440" w:lineRule="exact"/>
        <w:rPr>
          <w:rFonts w:ascii="Times New Roman" w:hAnsi="Times New Roman"/>
          <w:bCs/>
          <w:sz w:val="24"/>
          <w:szCs w:val="24"/>
        </w:rPr>
      </w:pPr>
      <w:r>
        <w:rPr>
          <w:rFonts w:ascii="Times New Roman" w:hAnsi="Times New Roman"/>
          <w:sz w:val="24"/>
          <w:szCs w:val="24"/>
        </w:rPr>
        <w:t xml:space="preserve">27.1.1</w:t>
      </w:r>
      <w:r>
        <w:rPr>
          <w:rFonts w:ascii="Times New Roman" w:hAnsi="Times New Roman"/>
          <w:bCs/>
          <w:sz w:val="24"/>
          <w:szCs w:val="24"/>
        </w:rPr>
        <w:t xml:space="preserve">资格性审查</w:t>
      </w:r>
      <w:r>
        <w:rPr>
          <w:rFonts w:ascii="Times New Roman" w:hAnsi="Times New Roman"/>
          <w:bCs/>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采购人或者采购代理机构依法对投标人的资格进行审查。</w:t>
      </w:r>
      <w:r>
        <w:rPr>
          <w:rFonts w:ascii="Times New Roman" w:hAnsi="Times New Roman"/>
          <w:sz w:val="24"/>
          <w:szCs w:val="24"/>
        </w:rPr>
      </w:r>
      <w:r/>
    </w:p>
    <w:p>
      <w:pPr>
        <w:pStyle w:val="926"/>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w:t>
      </w:r>
      <w:r>
        <w:rPr>
          <w:rFonts w:ascii="Times New Roman" w:hAnsi="Times New Roman"/>
          <w:sz w:val="24"/>
          <w:szCs w:val="24"/>
          <w:lang w:val="zh-CN"/>
        </w:rPr>
        <w:t xml:space="preserve">关于信用查询：</w:t>
      </w:r>
      <w:r>
        <w:rPr>
          <w:rFonts w:ascii="Times New Roman" w:hAnsi="Times New Roman"/>
          <w:sz w:val="24"/>
          <w:szCs w:val="24"/>
          <w:lang w:val="zh-CN"/>
        </w:rPr>
      </w:r>
      <w:r/>
    </w:p>
    <w:p>
      <w:pPr>
        <w:pStyle w:val="926"/>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1.1.1.1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对供应商进行信用查询。</w:t>
      </w:r>
      <w:r>
        <w:rPr>
          <w:rFonts w:ascii="Times New Roman" w:hAnsi="Times New Roman"/>
          <w:sz w:val="24"/>
          <w:szCs w:val="24"/>
          <w:lang w:val="zh-CN"/>
        </w:rPr>
      </w:r>
      <w:r/>
    </w:p>
    <w:p>
      <w:pPr>
        <w:pStyle w:val="926"/>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1.1.2</w:t>
      </w:r>
      <w:r>
        <w:rPr>
          <w:rFonts w:ascii="Times New Roman" w:hAnsi="Times New Roman"/>
          <w:sz w:val="24"/>
          <w:szCs w:val="24"/>
          <w:lang w:val="zh-CN"/>
        </w:rPr>
        <w:t xml:space="preserve">查询时间：投标文件递交截止时间。</w:t>
      </w:r>
      <w:r>
        <w:rPr>
          <w:rFonts w:ascii="Times New Roman" w:hAnsi="Times New Roman"/>
          <w:sz w:val="24"/>
          <w:szCs w:val="24"/>
          <w:lang w:val="zh-CN"/>
        </w:rPr>
      </w:r>
      <w:r/>
    </w:p>
    <w:p>
      <w:pPr>
        <w:pStyle w:val="926"/>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w:t>
      </w:r>
      <w:r>
        <w:rPr>
          <w:rFonts w:ascii="Times New Roman" w:hAnsi="Times New Roman"/>
          <w:sz w:val="24"/>
          <w:szCs w:val="24"/>
        </w:rPr>
        <w:t xml:space="preserve">3</w:t>
      </w:r>
      <w:r>
        <w:rPr>
          <w:rFonts w:ascii="Times New Roman" w:hAnsi="Times New Roman"/>
          <w:sz w:val="24"/>
          <w:szCs w:val="24"/>
          <w:lang w:val="zh-CN"/>
        </w:rPr>
        <w:t xml:space="preserve">查询渠道：通过“信用中国”网站等渠道查询相关主体信用记录。</w:t>
      </w:r>
      <w:r>
        <w:rPr>
          <w:rFonts w:ascii="Times New Roman" w:hAnsi="Times New Roman"/>
          <w:sz w:val="24"/>
          <w:szCs w:val="24"/>
          <w:lang w:val="zh-CN"/>
        </w:rPr>
      </w:r>
      <w:r/>
    </w:p>
    <w:p>
      <w:pPr>
        <w:pStyle w:val="926"/>
        <w:ind w:firstLine="480"/>
        <w:spacing w:line="440" w:lineRule="exact"/>
        <w:rPr>
          <w:rFonts w:ascii="Times New Roman" w:hAnsi="Times New Roman"/>
          <w:bCs/>
          <w:sz w:val="24"/>
          <w:szCs w:val="24"/>
        </w:rPr>
      </w:pPr>
      <w:r>
        <w:rPr>
          <w:rFonts w:ascii="Times New Roman" w:hAnsi="Times New Roman"/>
          <w:sz w:val="24"/>
          <w:szCs w:val="24"/>
        </w:rPr>
        <w:t xml:space="preserve">27.1.2</w:t>
      </w:r>
      <w:r>
        <w:rPr>
          <w:rFonts w:ascii="Times New Roman" w:hAnsi="Times New Roman"/>
          <w:bCs/>
          <w:sz w:val="24"/>
          <w:szCs w:val="24"/>
        </w:rPr>
        <w:t xml:space="preserve">符合性审查：</w:t>
      </w:r>
      <w:r>
        <w:rPr>
          <w:rFonts w:ascii="Times New Roman" w:hAnsi="Times New Roman"/>
          <w:bCs/>
          <w:sz w:val="24"/>
          <w:szCs w:val="24"/>
        </w:rPr>
      </w:r>
      <w:r/>
    </w:p>
    <w:p>
      <w:pPr>
        <w:pStyle w:val="926"/>
        <w:ind w:firstLine="480"/>
        <w:spacing w:line="440" w:lineRule="exact"/>
        <w:rPr>
          <w:rFonts w:ascii="Times New Roman" w:hAnsi="Times New Roman"/>
          <w:bCs/>
          <w:sz w:val="24"/>
          <w:szCs w:val="24"/>
        </w:rPr>
      </w:pPr>
      <w:r>
        <w:rPr>
          <w:rFonts w:ascii="Times New Roman" w:hAnsi="Times New Roman"/>
          <w:bCs/>
          <w:sz w:val="24"/>
          <w:szCs w:val="24"/>
        </w:rPr>
        <w:t xml:space="preserve">依据招标文件的规定，由评委会对投标文件进行审查，以确定是否对招标文件的实质性要求作出响应。</w:t>
      </w:r>
      <w:r>
        <w:rPr>
          <w:rFonts w:ascii="Times New Roman" w:hAnsi="Times New Roman"/>
          <w:bCs/>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27.2 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sz w:val="24"/>
          <w:szCs w:val="24"/>
        </w:rPr>
      </w:r>
      <w:r/>
    </w:p>
    <w:p>
      <w:pPr>
        <w:pStyle w:val="926"/>
        <w:ind w:firstLine="480"/>
        <w:spacing w:line="440" w:lineRule="exact"/>
        <w:rPr>
          <w:rFonts w:ascii="Times New Roman" w:hAnsi="Times New Roman"/>
          <w:bCs/>
          <w:sz w:val="24"/>
          <w:szCs w:val="24"/>
        </w:rPr>
      </w:pPr>
      <w:r>
        <w:rPr>
          <w:rFonts w:ascii="Times New Roman" w:hAnsi="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sz w:val="24"/>
          <w:szCs w:val="24"/>
        </w:rPr>
        <w:t xml:space="preserve">评委会决定投标文件的响应性只根据投标文件本身的内容，而不寻求外部的证据。</w:t>
      </w:r>
      <w:r>
        <w:rPr>
          <w:rFonts w:ascii="Times New Roman" w:hAnsi="Times New Roman"/>
          <w:bCs/>
          <w:sz w:val="24"/>
          <w:szCs w:val="24"/>
        </w:rPr>
      </w:r>
      <w:r/>
    </w:p>
    <w:p>
      <w:pPr>
        <w:pStyle w:val="926"/>
        <w:ind w:firstLine="480"/>
        <w:spacing w:line="440" w:lineRule="exact"/>
        <w:rPr>
          <w:rFonts w:ascii="Times New Roman" w:hAnsi="Times New Roman"/>
          <w:bCs/>
          <w:sz w:val="24"/>
          <w:szCs w:val="24"/>
        </w:rPr>
      </w:pPr>
      <w:r>
        <w:rPr>
          <w:rFonts w:ascii="Times New Roman" w:hAnsi="Times New Roman"/>
          <w:sz w:val="24"/>
          <w:szCs w:val="24"/>
        </w:rPr>
        <w:t xml:space="preserve">27.3 </w:t>
      </w:r>
      <w:r>
        <w:rPr>
          <w:rFonts w:ascii="Times New Roman" w:hAnsi="Times New Roman"/>
          <w:bCs/>
          <w:sz w:val="24"/>
          <w:szCs w:val="24"/>
        </w:rPr>
        <w:t xml:space="preserve">如果投标文件实质上没有响应招标文件的要求，评委会将予以拒绝，投标人不得通过修改或撤销不合要求的偏离或保留而使其投标成为实质性响应的投标。</w:t>
      </w:r>
      <w:r>
        <w:rPr>
          <w:rFonts w:ascii="Times New Roman" w:hAnsi="Times New Roman"/>
          <w:bCs/>
          <w:sz w:val="24"/>
          <w:szCs w:val="24"/>
        </w:rPr>
      </w:r>
      <w:r/>
    </w:p>
    <w:p>
      <w:pPr>
        <w:pStyle w:val="926"/>
        <w:ind w:firstLine="480"/>
        <w:spacing w:line="440" w:lineRule="exact"/>
        <w:rPr>
          <w:rFonts w:ascii="Times New Roman" w:hAnsi="Times New Roman"/>
          <w:bCs/>
          <w:sz w:val="24"/>
          <w:szCs w:val="24"/>
        </w:rPr>
      </w:pPr>
      <w:r>
        <w:rPr>
          <w:rFonts w:ascii="Times New Roman" w:hAnsi="Times New Roman"/>
          <w:sz w:val="24"/>
          <w:szCs w:val="24"/>
        </w:rPr>
        <w:t xml:space="preserve">27.4 投标文件报价出现前后不一致的，按下列规定修正：</w:t>
      </w:r>
      <w:r>
        <w:rPr>
          <w:rFonts w:ascii="Times New Roman" w:hAnsi="Times New Roman"/>
          <w:bCs/>
          <w:sz w:val="24"/>
          <w:szCs w:val="24"/>
        </w:rPr>
        <w:t xml:space="preserve"> </w:t>
      </w:r>
      <w:r>
        <w:rPr>
          <w:rFonts w:ascii="Times New Roman" w:hAnsi="Times New Roman"/>
          <w:bCs/>
          <w:sz w:val="24"/>
          <w:szCs w:val="24"/>
        </w:rPr>
      </w:r>
      <w:r/>
    </w:p>
    <w:p>
      <w:pPr>
        <w:pStyle w:val="926"/>
        <w:ind w:firstLine="480"/>
        <w:jc w:val="left"/>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投标文件中开标一览表（报价表）内容与投标文件中相应内容不一致的，以开标一览表（报价表）为准；</w:t>
      </w:r>
      <w:r>
        <w:rPr>
          <w:rFonts w:ascii="Times New Roman" w:hAnsi="Times New Roman"/>
          <w:sz w:val="24"/>
          <w:szCs w:val="24"/>
        </w:rPr>
      </w:r>
      <w:r/>
    </w:p>
    <w:p>
      <w:pPr>
        <w:pStyle w:val="926"/>
        <w:ind w:firstLine="480"/>
        <w:jc w:val="left"/>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大写金额和小写金额不一致的，以大写金额为准；</w:t>
      </w:r>
      <w:r>
        <w:rPr>
          <w:rFonts w:ascii="Times New Roman" w:hAnsi="Times New Roman"/>
          <w:sz w:val="24"/>
          <w:szCs w:val="24"/>
        </w:rPr>
      </w:r>
      <w:r/>
    </w:p>
    <w:p>
      <w:pPr>
        <w:pStyle w:val="926"/>
        <w:ind w:firstLine="480"/>
        <w:jc w:val="left"/>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单价金额小数点或者百分比有明显错位的，以开标一览表的总价为准，并修改单价；</w:t>
      </w:r>
      <w:r>
        <w:rPr>
          <w:rFonts w:ascii="Times New Roman" w:hAnsi="Times New Roman"/>
          <w:sz w:val="24"/>
          <w:szCs w:val="24"/>
        </w:rPr>
      </w:r>
      <w:r/>
    </w:p>
    <w:p>
      <w:pPr>
        <w:pStyle w:val="926"/>
        <w:ind w:firstLine="480"/>
        <w:jc w:val="left"/>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总价金额与按单价汇总金额不一致的，以单价金额计算结果为准。</w:t>
      </w:r>
      <w:r>
        <w:rPr>
          <w:rFonts w:ascii="Times New Roman" w:hAnsi="Times New Roman"/>
          <w:sz w:val="24"/>
          <w:szCs w:val="24"/>
        </w:rPr>
      </w:r>
      <w:r/>
    </w:p>
    <w:p>
      <w:pPr>
        <w:pStyle w:val="926"/>
        <w:ind w:firstLine="480"/>
        <w:jc w:val="left"/>
        <w:spacing w:line="440" w:lineRule="exact"/>
        <w:rPr>
          <w:rFonts w:ascii="Times New Roman" w:hAnsi="Times New Roman"/>
          <w:sz w:val="24"/>
          <w:szCs w:val="24"/>
        </w:rPr>
      </w:pPr>
      <w:r>
        <w:rPr>
          <w:rFonts w:ascii="Times New Roman" w:hAnsi="Times New Roman"/>
          <w:sz w:val="24"/>
          <w:szCs w:val="24"/>
        </w:rPr>
        <w:t xml:space="preserve">同时出现两种以上不一致的，按照前款规定的顺序修正。修正后的报价按照财政部87号令第五十一条第二款的规定经投标人确认后产生约束力。</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27.5 评委会将允许修正投标文件中不构成重大偏离的、微小的、非正规的、不一致的或不规则的地方，但这些修改不能影响任何投标人相应的名次排列。</w:t>
      </w:r>
      <w:bookmarkStart w:id="158" w:name="EB8e3ec86c09a94dac9cc9034e6027ee19"/>
      <w:r/>
      <w:bookmarkEnd w:id="158"/>
      <w:r>
        <w:rPr>
          <w:rFonts w:ascii="Times New Roman" w:hAnsi="Times New Roman"/>
          <w:sz w:val="24"/>
          <w:szCs w:val="24"/>
        </w:rPr>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28、</w:t>
      </w:r>
      <w:r>
        <w:rPr>
          <w:rFonts w:ascii="Times New Roman" w:hAnsi="Times New Roman"/>
          <w:sz w:val="28"/>
          <w:szCs w:val="28"/>
        </w:rPr>
        <w:t xml:space="preserve">无效投标条款和废标条款</w:t>
      </w:r>
      <w:r>
        <w:rPr>
          <w:rFonts w:ascii="Times New Roman" w:hAnsi="Times New Roman"/>
          <w:sz w:val="28"/>
          <w:szCs w:val="28"/>
        </w:rPr>
      </w:r>
      <w:r/>
    </w:p>
    <w:p>
      <w:pPr>
        <w:pStyle w:val="1282"/>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 无效投标条款</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.1.1 投标人未按照招标文件要求上传电子投标文件的；</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.1.2 投标人在规定时间内不解密投标文件或未成功解密投标文件的（因系统原因导致的除外)；</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.1.3 投标文件中没有《开标一览表》或《开标一览表》未加盖投标人公章的； </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.1.4 投标文件中任何有选择的报价；</w:t>
      </w:r>
      <w:r>
        <w:rPr>
          <w:rFonts w:eastAsia="宋体"/>
          <w:spacing w:val="7"/>
        </w:rPr>
      </w:r>
      <w:r/>
    </w:p>
    <w:p>
      <w:pPr>
        <w:pStyle w:val="1283"/>
        <w:ind w:firstLine="500"/>
        <w:spacing w:line="440" w:lineRule="exact"/>
        <w:rPr>
          <w:rFonts w:eastAsia="宋体"/>
          <w:spacing w:val="7"/>
        </w:rPr>
      </w:pPr>
      <w:r>
        <w:rPr>
          <w:rFonts w:eastAsia="宋体"/>
          <w:spacing w:val="7"/>
        </w:rPr>
        <w:t xml:space="preserve"> 2</w:t>
      </w:r>
      <w:r>
        <w:rPr>
          <w:rFonts w:eastAsia="宋体"/>
          <w:spacing w:val="7"/>
          <w:lang w:val="en-US" w:eastAsia="zh-CN"/>
        </w:rPr>
        <w:t xml:space="preserve">8</w:t>
      </w:r>
      <w:r>
        <w:rPr>
          <w:rFonts w:eastAsia="宋体"/>
          <w:spacing w:val="7"/>
        </w:rPr>
        <w:t xml:space="preserve">.1.5 投标文件报价出现前后不一致的，按招标文件规定修正后投标人不确认的； </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.1.6 不同投标人的投标文件由同一单位或者个人编制； </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.1.7 不同投标人委托同一单位或者个人办理投标事宜； </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.1.8 不同投标人的投标文件载明的项目管理成员或者联系人员为同一人；</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.1.9 不同投标人的投标文件异常一致或者投标报价呈规律性差异；</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.1.1</w:t>
      </w:r>
      <w:r>
        <w:rPr>
          <w:rFonts w:eastAsia="宋体"/>
          <w:spacing w:val="7"/>
          <w:lang w:val="en-US" w:eastAsia="zh-CN"/>
        </w:rPr>
        <w:t xml:space="preserve">0</w:t>
      </w:r>
      <w:r>
        <w:rPr>
          <w:rFonts w:eastAsia="宋体"/>
          <w:spacing w:val="7"/>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.1.1</w:t>
      </w:r>
      <w:r>
        <w:rPr>
          <w:rFonts w:eastAsia="宋体"/>
          <w:spacing w:val="7"/>
          <w:lang w:val="en-US" w:eastAsia="zh-CN"/>
        </w:rPr>
        <w:t xml:space="preserve">1</w:t>
      </w:r>
      <w:r>
        <w:rPr>
          <w:rFonts w:eastAsia="宋体"/>
          <w:spacing w:val="7"/>
        </w:rPr>
        <w:t xml:space="preserve"> 凡“节能产品政府采购品目清单”中以</w:t>
      </w:r>
      <w:r>
        <w:rPr>
          <w:rFonts w:ascii="Segoe UI Symbol" w:hAnsi="Segoe UI Symbol" w:eastAsia="宋体" w:cs="Segoe UI Symbol"/>
          <w:spacing w:val="7"/>
        </w:rPr>
        <w:t xml:space="preserve">★</w:t>
      </w:r>
      <w:r>
        <w:rPr>
          <w:rFonts w:eastAsia="宋体"/>
          <w:spacing w:val="7"/>
        </w:rPr>
        <w:t xml:space="preserve">标注的政府强制采购产品，投标文件中未提供国家确定的认证机构出具的、处于有效期之内的节能产品认证证书的（若证书有附件（附录）的，附件（附录）须随证书一起提供)；</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.1.1</w:t>
      </w:r>
      <w:r>
        <w:rPr>
          <w:rFonts w:eastAsia="宋体"/>
          <w:spacing w:val="7"/>
          <w:lang w:val="en-US" w:eastAsia="zh-CN"/>
        </w:rPr>
        <w:t xml:space="preserve">2</w:t>
      </w:r>
      <w:r>
        <w:rPr>
          <w:rFonts w:eastAsia="宋体"/>
          <w:spacing w:val="7"/>
        </w:rPr>
        <w:t xml:space="preserve"> 供应商被列入失信被执行人名单、重大税收违法案件当事人名单、政府采购严重违法失信行为记录名单以及其他不符合《中华人民共和国政府采购法》第二十二条规定条件的信用记录的；</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.1.1</w:t>
      </w:r>
      <w:r>
        <w:rPr>
          <w:rFonts w:eastAsia="宋体"/>
          <w:spacing w:val="7"/>
          <w:lang w:val="en-US" w:eastAsia="zh-CN"/>
        </w:rPr>
        <w:t xml:space="preserve">3</w:t>
      </w:r>
      <w:r>
        <w:rPr>
          <w:rFonts w:eastAsia="宋体"/>
          <w:spacing w:val="7"/>
        </w:rPr>
        <w:t xml:space="preserve"> 不同供应商的单位负责人为同一人或者存在直接控股、管理关系的；</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.1.1</w:t>
      </w:r>
      <w:r>
        <w:rPr>
          <w:rFonts w:eastAsia="宋体"/>
          <w:spacing w:val="7"/>
          <w:lang w:val="en-US" w:eastAsia="zh-CN"/>
        </w:rPr>
        <w:t xml:space="preserve">4</w:t>
      </w:r>
      <w:r>
        <w:rPr>
          <w:rFonts w:eastAsia="宋体"/>
          <w:spacing w:val="7"/>
        </w:rPr>
        <w:t xml:space="preserve"> 为采购项目提供整体设计、规范编制或者项目管理、监理、检测等服务的；</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.1.1</w:t>
      </w:r>
      <w:r>
        <w:rPr>
          <w:rFonts w:eastAsia="宋体"/>
          <w:spacing w:val="7"/>
          <w:lang w:val="en-US" w:eastAsia="zh-CN"/>
        </w:rPr>
        <w:t xml:space="preserve">5</w:t>
      </w:r>
      <w:r>
        <w:rPr>
          <w:rFonts w:eastAsia="宋体"/>
          <w:spacing w:val="7"/>
        </w:rPr>
        <w:t xml:space="preserve"> 资格证明文件中要求加盖公章而未加盖公章的； </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.1.1</w:t>
      </w:r>
      <w:r>
        <w:rPr>
          <w:rFonts w:eastAsia="宋体"/>
          <w:spacing w:val="7"/>
          <w:lang w:val="en-US" w:eastAsia="zh-CN"/>
        </w:rPr>
        <w:t xml:space="preserve">6</w:t>
      </w:r>
      <w:r>
        <w:rPr>
          <w:rFonts w:eastAsia="宋体"/>
          <w:spacing w:val="7"/>
        </w:rPr>
        <w:t xml:space="preserve"> 投标文件未按招标文件要求签署、盖章的； </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.1.1</w:t>
      </w:r>
      <w:r>
        <w:rPr>
          <w:rFonts w:eastAsia="宋体"/>
          <w:spacing w:val="7"/>
          <w:lang w:val="en-US" w:eastAsia="zh-CN"/>
        </w:rPr>
        <w:t xml:space="preserve">7</w:t>
      </w:r>
      <w:r>
        <w:rPr>
          <w:rFonts w:eastAsia="宋体"/>
          <w:spacing w:val="7"/>
        </w:rPr>
        <w:t xml:space="preserve"> 不具备招标文件中规定的资格要求或未按招标文件规定的要求提供资格证明文件的； </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.1.1</w:t>
      </w:r>
      <w:r>
        <w:rPr>
          <w:rFonts w:eastAsia="宋体"/>
          <w:spacing w:val="7"/>
          <w:lang w:val="en-US" w:eastAsia="zh-CN"/>
        </w:rPr>
        <w:t xml:space="preserve">8</w:t>
      </w:r>
      <w:r>
        <w:rPr>
          <w:rFonts w:eastAsia="宋体"/>
          <w:spacing w:val="7"/>
        </w:rPr>
        <w:t xml:space="preserve"> 报价超过招标文件中规定的预算金额或者最高限价的； </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w:t>
      </w:r>
      <w:r>
        <w:rPr>
          <w:rFonts w:eastAsia="宋体"/>
          <w:spacing w:val="7"/>
          <w:lang w:val="en-US" w:eastAsia="zh-CN"/>
        </w:rPr>
        <w:t xml:space="preserve">19</w:t>
      </w:r>
      <w:r>
        <w:rPr>
          <w:rFonts w:eastAsia="宋体"/>
          <w:spacing w:val="7"/>
        </w:rPr>
        <w:t xml:space="preserve"> 投标文件含有采购人不能接受的附加条件的； </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.1.2</w:t>
      </w:r>
      <w:r>
        <w:rPr>
          <w:rFonts w:eastAsia="宋体"/>
          <w:spacing w:val="7"/>
          <w:lang w:val="en-US" w:eastAsia="zh-CN"/>
        </w:rPr>
        <w:t xml:space="preserve">0</w:t>
      </w:r>
      <w:r>
        <w:rPr>
          <w:rFonts w:eastAsia="宋体"/>
          <w:spacing w:val="7"/>
        </w:rPr>
        <w:t xml:space="preserve"> 不响应招标文件中规定的实质性要求的（本招标文件中斜体且有下划线部分为实质性要求）； </w:t>
      </w:r>
      <w:r>
        <w:rPr>
          <w:rFonts w:eastAsia="宋体"/>
          <w:spacing w:val="7"/>
        </w:rPr>
      </w:r>
      <w:r/>
    </w:p>
    <w:p>
      <w:pPr>
        <w:pStyle w:val="1283"/>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.1.2</w:t>
      </w:r>
      <w:r>
        <w:rPr>
          <w:rFonts w:eastAsia="宋体"/>
          <w:spacing w:val="7"/>
          <w:lang w:val="en-US" w:eastAsia="zh-CN"/>
        </w:rPr>
        <w:t xml:space="preserve">1</w:t>
      </w:r>
      <w:r>
        <w:rPr>
          <w:rFonts w:eastAsia="宋体"/>
          <w:spacing w:val="7"/>
        </w:rPr>
        <w:t xml:space="preserve"> 法律、法规和采购文件规定的其他无效情形; </w:t>
      </w:r>
      <w:r>
        <w:rPr>
          <w:rFonts w:eastAsia="宋体"/>
          <w:spacing w:val="7"/>
        </w:rPr>
      </w:r>
      <w:r/>
    </w:p>
    <w:p>
      <w:pPr>
        <w:pStyle w:val="1284"/>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.2 废标条款：</w:t>
      </w:r>
      <w:r>
        <w:rPr>
          <w:rFonts w:eastAsia="宋体"/>
          <w:spacing w:val="7"/>
        </w:rPr>
      </w:r>
      <w:r/>
    </w:p>
    <w:p>
      <w:pPr>
        <w:pStyle w:val="1284"/>
        <w:ind w:firstLine="500"/>
        <w:spacing w:line="440" w:lineRule="exact"/>
        <w:rPr>
          <w:rFonts w:eastAsia="宋体"/>
          <w:spacing w:val="7"/>
        </w:rPr>
      </w:pPr>
      <w:r>
        <w:rPr>
          <w:rFonts w:eastAsia="宋体"/>
          <w:spacing w:val="7"/>
        </w:rPr>
        <w:t xml:space="preserve">(1)符合专业条件的供应商或者对招标文件作实质响应的供应商不足三家的； </w:t>
      </w:r>
      <w:r>
        <w:rPr>
          <w:rFonts w:eastAsia="宋体"/>
          <w:spacing w:val="7"/>
        </w:rPr>
      </w:r>
      <w:r/>
    </w:p>
    <w:p>
      <w:pPr>
        <w:pStyle w:val="1284"/>
        <w:ind w:firstLine="500"/>
        <w:spacing w:line="440" w:lineRule="exact"/>
        <w:rPr>
          <w:rFonts w:eastAsia="宋体"/>
          <w:spacing w:val="7"/>
        </w:rPr>
      </w:pPr>
      <w:r>
        <w:rPr>
          <w:rFonts w:eastAsia="宋体"/>
          <w:spacing w:val="7"/>
        </w:rPr>
        <w:t xml:space="preserve">(2)出现影响采购公正的违法、违规行为的；</w:t>
      </w:r>
      <w:r>
        <w:rPr>
          <w:rFonts w:eastAsia="宋体"/>
          <w:spacing w:val="7"/>
        </w:rPr>
      </w:r>
      <w:r/>
    </w:p>
    <w:p>
      <w:pPr>
        <w:pStyle w:val="1284"/>
        <w:ind w:firstLine="500"/>
        <w:spacing w:line="440" w:lineRule="exact"/>
        <w:rPr>
          <w:rFonts w:eastAsia="宋体"/>
          <w:spacing w:val="7"/>
        </w:rPr>
      </w:pPr>
      <w:r>
        <w:rPr>
          <w:rFonts w:eastAsia="宋体"/>
          <w:spacing w:val="7"/>
        </w:rPr>
        <w:t xml:space="preserve">(3)投标人的报价均超过了采购预算，采购人不能支付的；</w:t>
      </w:r>
      <w:r>
        <w:rPr>
          <w:rFonts w:eastAsia="宋体"/>
          <w:spacing w:val="7"/>
        </w:rPr>
      </w:r>
      <w:r/>
    </w:p>
    <w:p>
      <w:pPr>
        <w:pStyle w:val="1284"/>
        <w:ind w:firstLine="500"/>
        <w:spacing w:line="440" w:lineRule="exact"/>
        <w:rPr>
          <w:rFonts w:eastAsia="宋体"/>
          <w:spacing w:val="7"/>
        </w:rPr>
      </w:pPr>
      <w:r>
        <w:rPr>
          <w:rFonts w:eastAsia="宋体"/>
          <w:spacing w:val="7"/>
        </w:rPr>
        <w:t xml:space="preserve">(4)因重大变故，采购任务取消的。</w:t>
      </w:r>
      <w:r>
        <w:rPr>
          <w:rFonts w:eastAsia="宋体"/>
          <w:spacing w:val="7"/>
        </w:rPr>
      </w:r>
      <w:r/>
    </w:p>
    <w:p>
      <w:pPr>
        <w:pStyle w:val="1284"/>
        <w:ind w:firstLine="500"/>
        <w:spacing w:line="440" w:lineRule="exact"/>
        <w:rPr>
          <w:rFonts w:eastAsia="宋体"/>
          <w:spacing w:val="7"/>
        </w:rPr>
      </w:pPr>
      <w:r>
        <w:rPr>
          <w:rFonts w:eastAsia="宋体"/>
          <w:spacing w:val="7"/>
        </w:rPr>
        <w:t xml:space="preserve">(</w:t>
      </w:r>
      <w:r>
        <w:rPr>
          <w:rFonts w:eastAsia="宋体"/>
          <w:spacing w:val="7"/>
          <w:lang w:val="en-US" w:eastAsia="zh-CN"/>
        </w:rPr>
        <w:t xml:space="preserve">5</w:t>
      </w:r>
      <w:r>
        <w:rPr>
          <w:rFonts w:eastAsia="宋体"/>
          <w:spacing w:val="7"/>
        </w:rPr>
        <w:t xml:space="preserve">)因苏采云</w:t>
      </w:r>
      <w:r>
        <w:rPr>
          <w:rFonts w:hint="eastAsia" w:eastAsia="宋体"/>
          <w:spacing w:val="7"/>
          <w:lang w:eastAsia="zh-CN"/>
        </w:rPr>
        <w:t xml:space="preserve">系统故障</w:t>
      </w:r>
      <w:r>
        <w:rPr>
          <w:rFonts w:eastAsia="宋体"/>
          <w:spacing w:val="7"/>
        </w:rPr>
        <w:t xml:space="preserve">原因造成开标不成功的。</w:t>
      </w:r>
      <w:r>
        <w:rPr>
          <w:rFonts w:eastAsia="宋体"/>
          <w:spacing w:val="7"/>
        </w:rPr>
      </w:r>
      <w:r/>
    </w:p>
    <w:p>
      <w:pPr>
        <w:pStyle w:val="1284"/>
        <w:ind w:firstLine="500"/>
        <w:spacing w:line="440" w:lineRule="exact"/>
        <w:rPr>
          <w:rFonts w:eastAsia="宋体"/>
          <w:spacing w:val="7"/>
        </w:rPr>
      </w:pPr>
      <w:r>
        <w:rPr>
          <w:rFonts w:eastAsia="宋体"/>
          <w:spacing w:val="7"/>
        </w:rPr>
        <w:t xml:space="preserve">2</w:t>
      </w:r>
      <w:r>
        <w:rPr>
          <w:rFonts w:eastAsia="宋体"/>
          <w:spacing w:val="7"/>
          <w:lang w:val="en-US" w:eastAsia="zh-CN"/>
        </w:rPr>
        <w:t xml:space="preserve">8</w:t>
      </w:r>
      <w:r>
        <w:rPr>
          <w:rFonts w:eastAsia="宋体"/>
          <w:spacing w:val="7"/>
        </w:rPr>
        <w:t xml:space="preserve">.3 投标截止时间结束后参加投标的供应商不足三家的处理：</w:t>
      </w:r>
      <w:r>
        <w:rPr>
          <w:rFonts w:eastAsia="宋体"/>
          <w:spacing w:val="7"/>
        </w:rPr>
      </w:r>
      <w:r/>
    </w:p>
    <w:p>
      <w:pPr>
        <w:pStyle w:val="1284"/>
        <w:ind w:firstLine="500"/>
        <w:spacing w:line="440" w:lineRule="exact"/>
        <w:rPr>
          <w:rFonts w:eastAsia="宋体"/>
          <w:spacing w:val="7"/>
          <w:lang w:eastAsia="zh-CN"/>
        </w:rPr>
      </w:pPr>
      <w:r>
        <w:rPr>
          <w:rFonts w:eastAsia="宋体"/>
          <w:spacing w:val="7"/>
        </w:rPr>
        <w:t xml:space="preserve">2</w:t>
      </w:r>
      <w:r>
        <w:rPr>
          <w:rFonts w:eastAsia="宋体"/>
          <w:spacing w:val="7"/>
          <w:lang w:val="en-US" w:eastAsia="zh-CN"/>
        </w:rPr>
        <w:t xml:space="preserve">8</w:t>
      </w:r>
      <w:r>
        <w:rPr>
          <w:rFonts w:eastAsia="宋体"/>
          <w:spacing w:val="7"/>
        </w:rPr>
        <w:t xml:space="preserve">.3.1 如出现投标截止时间结束后参加投标的供应商或者在评标期间对招标文件做出实质响应的供应商不足三家情况，按财政部第87号令第四十三条的规定执行。</w:t>
      </w:r>
      <w:bookmarkStart w:id="163" w:name="EB369a3ca3706348fd9a6451dab4968a5b"/>
      <w:r/>
      <w:bookmarkEnd w:id="163"/>
      <w:r>
        <w:rPr>
          <w:rFonts w:eastAsia="宋体"/>
          <w:spacing w:val="7"/>
          <w:lang w:eastAsia="zh-CN"/>
        </w:rPr>
      </w:r>
      <w:r/>
    </w:p>
    <w:p>
      <w:pPr>
        <w:pStyle w:val="928"/>
        <w:jc w:val="left"/>
        <w:spacing w:before="0" w:after="0" w:line="440" w:lineRule="exact"/>
        <w:rPr>
          <w:rStyle w:val="1036"/>
          <w:rFonts w:ascii="Times New Roman" w:hAnsi="Times New Roman"/>
        </w:rPr>
      </w:pPr>
      <w:r/>
      <w:bookmarkStart w:id="297" w:name="_Toc8"/>
      <w:r>
        <w:rPr>
          <w:rStyle w:val="1036"/>
          <w:rFonts w:ascii="Times New Roman" w:hAnsi="Times New Roman"/>
        </w:rPr>
        <w:t xml:space="preserve">六、</w:t>
      </w:r>
      <w:r>
        <w:rPr>
          <w:rStyle w:val="1036"/>
          <w:rFonts w:ascii="Times New Roman" w:hAnsi="Times New Roman"/>
        </w:rPr>
        <w:t xml:space="preserve">定标</w:t>
      </w:r>
      <w:r>
        <w:rPr>
          <w:rStyle w:val="1036"/>
          <w:rFonts w:ascii="Times New Roman" w:hAnsi="Times New Roman"/>
        </w:rPr>
      </w:r>
      <w:bookmarkEnd w:id="297"/>
      <w:r/>
      <w:r/>
    </w:p>
    <w:p>
      <w:pPr>
        <w:pStyle w:val="926"/>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29、</w:t>
      </w:r>
      <w:r>
        <w:rPr>
          <w:rFonts w:ascii="Times New Roman" w:hAnsi="Times New Roman"/>
          <w:sz w:val="28"/>
          <w:szCs w:val="28"/>
        </w:rPr>
        <w:t xml:space="preserve">确定</w:t>
      </w:r>
      <w:r>
        <w:rPr>
          <w:rFonts w:ascii="Times New Roman" w:hAnsi="Times New Roman"/>
          <w:sz w:val="28"/>
          <w:szCs w:val="28"/>
        </w:rPr>
        <w:t xml:space="preserve">中标单位</w:t>
      </w:r>
      <w:r>
        <w:rPr>
          <w:rFonts w:ascii="Times New Roman" w:hAnsi="Times New Roman"/>
          <w:sz w:val="28"/>
          <w:szCs w:val="28"/>
        </w:rPr>
      </w:r>
      <w:r/>
    </w:p>
    <w:p>
      <w:pPr>
        <w:pStyle w:val="926"/>
        <w:ind w:firstLine="480"/>
        <w:spacing w:line="440" w:lineRule="exact"/>
        <w:rPr>
          <w:rFonts w:ascii="Times New Roman" w:hAnsi="Times New Roman"/>
          <w:bCs/>
          <w:sz w:val="24"/>
        </w:rPr>
      </w:pPr>
      <w:r>
        <w:rPr>
          <w:rFonts w:ascii="Times New Roman" w:hAnsi="Times New Roman"/>
          <w:bCs/>
          <w:sz w:val="24"/>
        </w:rPr>
        <w:t xml:space="preserve">29.1</w:t>
      </w:r>
      <w:r>
        <w:rPr>
          <w:rFonts w:ascii="Times New Roman" w:hAnsi="Times New Roman"/>
          <w:bCs/>
          <w:sz w:val="24"/>
        </w:rPr>
        <w:t xml:space="preserve">评委会根据本招标文件规定评标办法与评标标准向采购人推荐出3名中标候选人。</w:t>
      </w:r>
      <w:r>
        <w:rPr>
          <w:rFonts w:ascii="Times New Roman" w:hAnsi="Times New Roman"/>
          <w:bCs/>
          <w:sz w:val="24"/>
        </w:rPr>
      </w:r>
      <w:r/>
    </w:p>
    <w:p>
      <w:pPr>
        <w:pStyle w:val="926"/>
        <w:ind w:firstLine="480"/>
        <w:spacing w:line="440" w:lineRule="exact"/>
        <w:rPr>
          <w:rFonts w:ascii="Times New Roman" w:hAnsi="Times New Roman"/>
          <w:bCs/>
          <w:sz w:val="24"/>
        </w:rPr>
      </w:pPr>
      <w:r>
        <w:rPr>
          <w:rFonts w:ascii="Times New Roman" w:hAnsi="Times New Roman"/>
          <w:bCs/>
          <w:sz w:val="24"/>
        </w:rPr>
        <w:t xml:space="preserve">29.2 采购人应根据评委会推荐的中标候选人确定中标人。</w:t>
      </w:r>
      <w:r>
        <w:rPr>
          <w:rFonts w:ascii="Times New Roman" w:hAnsi="Times New Roman"/>
          <w:bCs/>
          <w:sz w:val="24"/>
        </w:rPr>
      </w:r>
      <w:r/>
    </w:p>
    <w:p>
      <w:pPr>
        <w:pStyle w:val="926"/>
        <w:ind w:firstLine="480"/>
        <w:spacing w:line="440" w:lineRule="exact"/>
        <w:rPr>
          <w:rFonts w:ascii="Times New Roman" w:hAnsi="Times New Roman"/>
          <w:sz w:val="24"/>
        </w:rPr>
      </w:pPr>
      <w:r>
        <w:rPr>
          <w:rFonts w:ascii="Times New Roman" w:hAnsi="Times New Roman"/>
          <w:bCs/>
          <w:sz w:val="24"/>
        </w:rPr>
        <w:t xml:space="preserve">29.3</w:t>
      </w:r>
      <w:r>
        <w:rPr>
          <w:rFonts w:ascii="Times New Roman" w:hAnsi="Times New Roman"/>
          <w:sz w:val="24"/>
        </w:rPr>
        <w:t xml:space="preserve">自中标人确定之日起2个工作日内，中标结果将在省级以上财政部门指定的媒体上进行公告，公告期限为1个工作日。</w:t>
      </w:r>
      <w:r>
        <w:rPr>
          <w:rFonts w:ascii="Times New Roman" w:hAnsi="Times New Roman"/>
          <w:sz w:val="24"/>
        </w:rPr>
      </w:r>
      <w:r/>
    </w:p>
    <w:p>
      <w:pPr>
        <w:pStyle w:val="926"/>
        <w:ind w:firstLine="480"/>
        <w:spacing w:line="440" w:lineRule="exact"/>
        <w:rPr>
          <w:rFonts w:ascii="Times New Roman" w:hAnsi="Times New Roman"/>
          <w:sz w:val="24"/>
        </w:rPr>
      </w:pPr>
      <w:r>
        <w:rPr>
          <w:rFonts w:ascii="Times New Roman" w:hAnsi="Times New Roman"/>
          <w:sz w:val="24"/>
        </w:rPr>
        <w:t xml:space="preserve">29.4若有充分证据证明，中标人出现下列情况之一的，一经查实，中标无效：</w:t>
      </w:r>
      <w:r>
        <w:rPr>
          <w:rFonts w:ascii="Times New Roman" w:hAnsi="Times New Roman"/>
          <w:sz w:val="24"/>
        </w:rPr>
      </w:r>
      <w:r/>
    </w:p>
    <w:p>
      <w:pPr>
        <w:pStyle w:val="926"/>
        <w:ind w:firstLine="480"/>
        <w:spacing w:line="440" w:lineRule="exact"/>
        <w:rPr>
          <w:rFonts w:ascii="Times New Roman" w:hAnsi="Times New Roman"/>
          <w:sz w:val="24"/>
          <w:lang w:val="zh-CN"/>
        </w:rPr>
      </w:pPr>
      <w:r>
        <w:rPr>
          <w:rFonts w:ascii="Times New Roman" w:hAnsi="Times New Roman"/>
          <w:sz w:val="24"/>
          <w:lang w:val="zh-CN"/>
        </w:rPr>
        <w:t xml:space="preserve">（1）提供虚假材料谋取中标的；</w:t>
      </w:r>
      <w:r>
        <w:rPr>
          <w:rFonts w:ascii="Times New Roman" w:hAnsi="Times New Roman"/>
          <w:sz w:val="24"/>
          <w:lang w:val="zh-CN"/>
        </w:rPr>
      </w:r>
      <w:r/>
    </w:p>
    <w:p>
      <w:pPr>
        <w:pStyle w:val="926"/>
        <w:ind w:firstLine="480"/>
        <w:spacing w:line="440" w:lineRule="exact"/>
        <w:rPr>
          <w:rFonts w:ascii="Times New Roman" w:hAnsi="Times New Roman"/>
          <w:sz w:val="24"/>
          <w:lang w:val="zh-CN"/>
        </w:rPr>
      </w:pPr>
      <w:r>
        <w:rPr>
          <w:rFonts w:ascii="Times New Roman" w:hAnsi="Times New Roman"/>
          <w:sz w:val="24"/>
          <w:lang w:val="zh-CN"/>
        </w:rPr>
        <w:t xml:space="preserve">（2）采取不正当手段诋毁、排挤其他供应商的；</w:t>
      </w:r>
      <w:r>
        <w:rPr>
          <w:rFonts w:ascii="Times New Roman" w:hAnsi="Times New Roman"/>
          <w:sz w:val="24"/>
          <w:lang w:val="zh-CN"/>
        </w:rPr>
      </w:r>
      <w:r/>
    </w:p>
    <w:p>
      <w:pPr>
        <w:pStyle w:val="926"/>
        <w:ind w:firstLine="480"/>
        <w:spacing w:line="440" w:lineRule="exact"/>
        <w:rPr>
          <w:rFonts w:ascii="Times New Roman" w:hAnsi="Times New Roman"/>
          <w:sz w:val="24"/>
          <w:lang w:val="zh-CN"/>
        </w:rPr>
      </w:pPr>
      <w:r>
        <w:rPr>
          <w:rFonts w:ascii="Times New Roman" w:hAnsi="Times New Roman"/>
          <w:sz w:val="24"/>
          <w:lang w:val="zh-CN"/>
        </w:rPr>
        <w:t xml:space="preserve">（3）与采购人、其他供应商或者采购代理机构恶意串通的；</w:t>
      </w:r>
      <w:r>
        <w:rPr>
          <w:rFonts w:ascii="Times New Roman" w:hAnsi="Times New Roman"/>
          <w:sz w:val="24"/>
          <w:lang w:val="zh-CN"/>
        </w:rPr>
      </w:r>
      <w:r/>
    </w:p>
    <w:p>
      <w:pPr>
        <w:pStyle w:val="926"/>
        <w:ind w:firstLine="480"/>
        <w:spacing w:line="440" w:lineRule="exact"/>
        <w:rPr>
          <w:rFonts w:ascii="Times New Roman" w:hAnsi="Times New Roman"/>
          <w:sz w:val="24"/>
          <w:lang w:val="zh-CN"/>
        </w:rPr>
      </w:pPr>
      <w:r>
        <w:rPr>
          <w:rFonts w:ascii="Times New Roman" w:hAnsi="Times New Roman"/>
          <w:sz w:val="24"/>
          <w:lang w:val="zh-CN"/>
        </w:rPr>
        <w:t xml:space="preserve">（4）向采购人、采购代理机构行贿或者提供其他不正当利益的；</w:t>
      </w:r>
      <w:r>
        <w:rPr>
          <w:rFonts w:ascii="Times New Roman" w:hAnsi="Times New Roman"/>
          <w:sz w:val="24"/>
          <w:lang w:val="zh-CN"/>
        </w:rPr>
      </w:r>
      <w:r/>
    </w:p>
    <w:p>
      <w:pPr>
        <w:pStyle w:val="926"/>
        <w:ind w:firstLine="480"/>
        <w:spacing w:line="440" w:lineRule="exact"/>
        <w:rPr>
          <w:rFonts w:ascii="Times New Roman" w:hAnsi="Times New Roman"/>
          <w:sz w:val="24"/>
          <w:lang w:val="zh-CN"/>
        </w:rPr>
      </w:pPr>
      <w:r>
        <w:rPr>
          <w:rFonts w:ascii="Times New Roman" w:hAnsi="Times New Roman"/>
          <w:sz w:val="24"/>
          <w:lang w:val="zh-CN"/>
        </w:rPr>
        <w:t xml:space="preserve">（5）在招标采购过程中与采购人进行协商谈判的；</w:t>
      </w:r>
      <w:r>
        <w:rPr>
          <w:rFonts w:ascii="Times New Roman" w:hAnsi="Times New Roman"/>
          <w:sz w:val="24"/>
          <w:lang w:val="zh-CN"/>
        </w:rPr>
      </w:r>
      <w:r/>
    </w:p>
    <w:p>
      <w:pPr>
        <w:pStyle w:val="926"/>
        <w:ind w:firstLine="480"/>
        <w:spacing w:line="440" w:lineRule="exact"/>
        <w:rPr>
          <w:rFonts w:ascii="Times New Roman" w:hAnsi="Times New Roman"/>
          <w:sz w:val="24"/>
          <w:lang w:val="zh-CN"/>
        </w:rPr>
      </w:pPr>
      <w:r>
        <w:rPr>
          <w:rFonts w:ascii="Times New Roman" w:hAnsi="Times New Roman"/>
          <w:sz w:val="24"/>
          <w:lang w:val="zh-CN"/>
        </w:rPr>
        <w:t xml:space="preserve">（6）向评标委员会行贿或者提供其他不正当利益。</w:t>
      </w:r>
      <w:r>
        <w:rPr>
          <w:rFonts w:ascii="Times New Roman" w:hAnsi="Times New Roman"/>
          <w:sz w:val="24"/>
          <w:lang w:val="zh-CN"/>
        </w:rPr>
      </w:r>
      <w:r/>
    </w:p>
    <w:p>
      <w:pPr>
        <w:pStyle w:val="926"/>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30、质疑</w:t>
      </w:r>
      <w:r>
        <w:rPr>
          <w:rFonts w:ascii="Times New Roman" w:hAnsi="Times New Roman"/>
          <w:sz w:val="28"/>
          <w:szCs w:val="28"/>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30.1质疑形式</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禾达招投标咨询服务有限公司提出）。非书面形式、七个工作日之外提交的质疑将不予受理。</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30.1.2质疑必须按《政府采购法》、《政府采购法实施条例》及财政部94号令的相关规定提交，未按上述要求提交的质疑函张家港禾达招投标咨询服务有限公司有权不予受理。</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30.1.3质疑函应当包括下列内容：</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30.1.3.1供应商的姓名或者名称、地址、邮编、联系人及联系电话；</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30.1.3.2质疑项目的名称、编号；</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30.1.3.3具体、明确的质疑事项和与质疑事项相关的请求；</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30.1.3.4事实依据；</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30.1.3.5必要的法律依据；</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30.1.3.6提出质疑的日期。</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30.1.4质疑函应当由法定代表人、主要负责人，或者其授权代表签字或者盖章，并加盖公章。匿名提交的质疑将不予受理。</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30.1.5质疑的送达方式</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30.1.5.1质疑函应采用邮寄送达或直接送达或</w:t>
      </w:r>
      <w:r>
        <w:rPr>
          <w:rFonts w:ascii="Times New Roman" w:hAnsi="Times New Roman"/>
          <w:color w:val="000000"/>
          <w:sz w:val="24"/>
          <w:szCs w:val="24"/>
        </w:rPr>
        <w:t xml:space="preserve">登录“苏采云”系统，进入“项目质疑申请”栏目完成质疑提交和回复查看</w:t>
      </w:r>
      <w:r>
        <w:rPr>
          <w:rFonts w:ascii="Times New Roman" w:hAnsi="Times New Roman"/>
          <w:sz w:val="24"/>
          <w:szCs w:val="24"/>
        </w:rPr>
        <w:t xml:space="preserve">的方式递交，采用其他方式送达（含传真、电子邮件等）的，张家港禾达招投标咨询服务有限公司有权不予受理。</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30.2特别提示</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30.2.1根据财政部94号令第十一条规定，提出质疑的供应商应当是参与所质疑项目采购活动的供应商。</w:t>
      </w:r>
      <w:r>
        <w:rPr>
          <w:rFonts w:ascii="Times New Roman" w:hAnsi="Times New Roman"/>
          <w:b/>
          <w:bCs/>
          <w:sz w:val="24"/>
          <w:szCs w:val="24"/>
        </w:rPr>
        <w:t xml:space="preserve">因此凡是对招标文件提出质疑的供应商，必须是依法获取招标文件，请将合法获取招标文件的证明材料（即《投标供应商确认函》）与质疑函一起递交，否则不予受理。</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30.2.2供应商在法定质疑期内应一次性提出针对同一采购程序环节的质疑。</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30.2.3供应商提出质疑必须有理、有据，不得恶意质疑或提交虚假质疑。否则，一经查实，采购人或张家港禾达招投标咨询服务有限公司有权依据政府采购的有关规定，报请政府采购监管部门对该投标人进行相应的行政处罚。</w:t>
      </w:r>
      <w:r>
        <w:rPr>
          <w:rFonts w:ascii="Times New Roman" w:hAnsi="Times New Roman"/>
          <w:sz w:val="24"/>
          <w:szCs w:val="24"/>
        </w:rPr>
      </w:r>
      <w:r/>
    </w:p>
    <w:p>
      <w:pPr>
        <w:pStyle w:val="926"/>
        <w:ind w:firstLine="480"/>
        <w:spacing w:line="440" w:lineRule="exact"/>
        <w:rPr>
          <w:rFonts w:ascii="Times New Roman" w:hAnsi="Times New Roman"/>
          <w:sz w:val="24"/>
          <w:szCs w:val="24"/>
        </w:rPr>
      </w:pPr>
      <w:r>
        <w:rPr>
          <w:rFonts w:ascii="Times New Roman" w:hAnsi="Times New Roman"/>
          <w:sz w:val="24"/>
          <w:szCs w:val="24"/>
        </w:rPr>
        <w:t xml:space="preserve">30.3其他</w:t>
      </w:r>
      <w:r>
        <w:rPr>
          <w:rFonts w:ascii="Times New Roman" w:hAnsi="Times New Roman"/>
          <w:sz w:val="24"/>
          <w:szCs w:val="24"/>
        </w:rPr>
      </w:r>
      <w:r/>
    </w:p>
    <w:p>
      <w:pPr>
        <w:pStyle w:val="926"/>
        <w:ind w:firstLine="480"/>
        <w:spacing w:line="440" w:lineRule="exact"/>
        <w:rPr>
          <w:rFonts w:ascii="Times New Roman" w:hAnsi="Times New Roman"/>
          <w:sz w:val="28"/>
          <w:szCs w:val="28"/>
        </w:rPr>
      </w:pPr>
      <w:r>
        <w:rPr>
          <w:rFonts w:ascii="Times New Roman" w:hAnsi="Times New Roman"/>
          <w:sz w:val="24"/>
          <w:szCs w:val="24"/>
        </w:rPr>
        <w:t xml:space="preserve">30.3.1采购人或张家港禾达招投标咨询服务有限公司将在收到供应商的质疑后七个工作日内作出答复，答复的内容不涉及商业秘密。</w:t>
      </w:r>
      <w:r>
        <w:rPr>
          <w:rFonts w:ascii="Times New Roman" w:hAnsi="Times New Roman"/>
          <w:sz w:val="28"/>
          <w:szCs w:val="28"/>
        </w:rPr>
      </w:r>
      <w:r/>
    </w:p>
    <w:p>
      <w:pPr>
        <w:pStyle w:val="926"/>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31、中标通知书</w:t>
      </w:r>
      <w:r>
        <w:rPr>
          <w:rFonts w:ascii="Times New Roman" w:hAnsi="Times New Roman"/>
          <w:sz w:val="28"/>
          <w:szCs w:val="28"/>
        </w:rPr>
      </w:r>
      <w:r/>
    </w:p>
    <w:p>
      <w:pPr>
        <w:pStyle w:val="926"/>
        <w:ind w:firstLine="480"/>
        <w:spacing w:line="440" w:lineRule="exact"/>
        <w:rPr>
          <w:rFonts w:ascii="Times New Roman" w:hAnsi="Times New Roman"/>
          <w:sz w:val="24"/>
          <w:szCs w:val="24"/>
        </w:rPr>
      </w:pPr>
      <w:r>
        <w:rPr>
          <w:rFonts w:ascii="Times New Roman" w:hAnsi="Times New Roman"/>
          <w:sz w:val="24"/>
        </w:rPr>
        <w:t xml:space="preserve">31.l在中标结果确定后2个工作日内，张家港禾达招投标咨询服务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w:hAnsi="Times New Roman"/>
          <w:sz w:val="24"/>
          <w:szCs w:val="24"/>
        </w:rPr>
      </w:r>
      <w:r/>
    </w:p>
    <w:p>
      <w:pPr>
        <w:pStyle w:val="926"/>
        <w:ind w:firstLine="480"/>
        <w:spacing w:line="440" w:lineRule="exact"/>
        <w:rPr>
          <w:rFonts w:ascii="Times New Roman" w:hAnsi="Times New Roman"/>
          <w:sz w:val="24"/>
        </w:rPr>
      </w:pPr>
      <w:r>
        <w:rPr>
          <w:rFonts w:ascii="Times New Roman" w:hAnsi="Times New Roman"/>
          <w:sz w:val="24"/>
        </w:rPr>
        <w:t xml:space="preserve">31.2 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sz w:val="24"/>
        </w:rPr>
      </w:r>
      <w:r/>
    </w:p>
    <w:p>
      <w:pPr>
        <w:pStyle w:val="926"/>
        <w:spacing w:line="440" w:lineRule="exact"/>
        <w:rPr>
          <w:rFonts w:ascii="Times New Roman" w:hAnsi="Times New Roman"/>
          <w:bCs/>
          <w:sz w:val="32"/>
          <w:szCs w:val="32"/>
        </w:rPr>
      </w:pPr>
      <w:r>
        <w:rPr>
          <w:rFonts w:ascii="Times New Roman" w:hAnsi="Times New Roman"/>
          <w:bCs/>
          <w:sz w:val="32"/>
          <w:szCs w:val="32"/>
        </w:rPr>
        <w:t xml:space="preserve">七、授予合同</w:t>
      </w:r>
      <w:r>
        <w:rPr>
          <w:rFonts w:ascii="Times New Roman" w:hAnsi="Times New Roman"/>
          <w:bCs/>
          <w:sz w:val="32"/>
          <w:szCs w:val="32"/>
        </w:rPr>
      </w:r>
      <w:r/>
    </w:p>
    <w:p>
      <w:pPr>
        <w:pStyle w:val="926"/>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32. 签订合同</w:t>
      </w:r>
      <w:r>
        <w:rPr>
          <w:rFonts w:ascii="Times New Roman" w:hAnsi="Times New Roman"/>
          <w:bCs/>
          <w:sz w:val="28"/>
          <w:szCs w:val="28"/>
        </w:rPr>
      </w:r>
      <w:r/>
    </w:p>
    <w:p>
      <w:pPr>
        <w:pStyle w:val="926"/>
        <w:ind w:firstLine="480"/>
        <w:spacing w:line="440" w:lineRule="exact"/>
        <w:rPr>
          <w:rFonts w:ascii="Times New Roman" w:hAnsi="Times New Roman"/>
          <w:b/>
          <w:sz w:val="24"/>
        </w:rPr>
      </w:pPr>
      <w:r>
        <w:rPr>
          <w:rFonts w:ascii="Times New Roman" w:hAnsi="Times New Roman"/>
          <w:bCs/>
          <w:sz w:val="24"/>
        </w:rPr>
        <w:t xml:space="preserve">32.l</w:t>
      </w:r>
      <w:r>
        <w:rPr>
          <w:rFonts w:ascii="Times New Roman" w:hAnsi="Times New Roman"/>
          <w:b/>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Times New Roman" w:hAnsi="Times New Roman"/>
          <w:b/>
          <w:sz w:val="24"/>
        </w:rPr>
      </w:r>
      <w:r/>
    </w:p>
    <w:p>
      <w:pPr>
        <w:pStyle w:val="926"/>
        <w:ind w:firstLine="480"/>
        <w:spacing w:line="440" w:lineRule="exact"/>
        <w:rPr>
          <w:rFonts w:ascii="Times New Roman" w:hAnsi="Times New Roman"/>
          <w:bCs/>
          <w:sz w:val="24"/>
        </w:rPr>
      </w:pPr>
      <w:r>
        <w:rPr>
          <w:rFonts w:ascii="Times New Roman" w:hAnsi="Times New Roman"/>
          <w:bCs/>
          <w:sz w:val="24"/>
        </w:rPr>
        <w:t xml:space="preserve">32.2 招标文件、中标人的投标文件及招标过程中有关澄清、承诺文件均应作为合同附件。</w:t>
      </w:r>
      <w:r>
        <w:rPr>
          <w:rFonts w:ascii="Times New Roman" w:hAnsi="Times New Roman"/>
          <w:bCs/>
          <w:sz w:val="24"/>
        </w:rPr>
      </w:r>
      <w:r/>
    </w:p>
    <w:p>
      <w:pPr>
        <w:pStyle w:val="926"/>
        <w:ind w:firstLine="480"/>
        <w:spacing w:line="440" w:lineRule="exact"/>
        <w:rPr>
          <w:rFonts w:ascii="Times New Roman" w:hAnsi="Times New Roman"/>
          <w:sz w:val="24"/>
        </w:rPr>
      </w:pPr>
      <w:r>
        <w:rPr>
          <w:rFonts w:ascii="Times New Roman" w:hAnsi="Times New Roman"/>
          <w:bCs/>
          <w:sz w:val="24"/>
        </w:rPr>
        <w:t xml:space="preserve">32.3 签订合同后，中标人不得将货物及其他相关服务进行转包和分包</w:t>
      </w:r>
      <w:r>
        <w:rPr>
          <w:rFonts w:ascii="Times New Roman" w:hAnsi="Times New Roman"/>
          <w:sz w:val="24"/>
        </w:rPr>
        <w:t xml:space="preserve">。</w:t>
      </w:r>
      <w:r>
        <w:rPr>
          <w:rFonts w:ascii="Times New Roman" w:hAnsi="Times New Roman"/>
          <w:sz w:val="24"/>
        </w:rPr>
      </w:r>
      <w:r/>
    </w:p>
    <w:p>
      <w:pPr>
        <w:pStyle w:val="926"/>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33、履约保证金</w:t>
      </w:r>
      <w:r>
        <w:rPr>
          <w:rFonts w:ascii="Times New Roman" w:hAnsi="Times New Roman"/>
          <w:bCs/>
          <w:sz w:val="28"/>
          <w:szCs w:val="28"/>
        </w:rPr>
      </w:r>
      <w:r/>
    </w:p>
    <w:p>
      <w:pPr>
        <w:pStyle w:val="1342"/>
        <w:ind w:firstLine="500"/>
        <w:spacing w:line="440" w:lineRule="exact"/>
        <w:rPr>
          <w:rFonts w:eastAsia="宋体"/>
          <w:spacing w:val="7"/>
          <w:lang w:eastAsia="zh-CN"/>
        </w:rPr>
      </w:pPr>
      <w:r/>
      <w:bookmarkStart w:id="175" w:name="EB8c6891da72364e93a7598f4884fbe954"/>
      <w:r/>
      <w:bookmarkEnd w:id="175"/>
      <w:r>
        <w:rPr>
          <w:rFonts w:eastAsia="宋体"/>
          <w:spacing w:val="7"/>
        </w:rPr>
        <w:t xml:space="preserve">32.1 合同签订前，中标人向采购单位交付的履约保证金为0元。</w:t>
      </w:r>
      <w:r>
        <w:rPr>
          <w:rFonts w:eastAsia="宋体"/>
          <w:spacing w:val="7"/>
          <w:lang w:eastAsia="zh-CN"/>
        </w:rPr>
      </w:r>
      <w:r/>
    </w:p>
    <w:p>
      <w:pPr>
        <w:pStyle w:val="926"/>
        <w:ind w:firstLine="480"/>
        <w:spacing w:line="440" w:lineRule="exact"/>
        <w:rPr>
          <w:rFonts w:ascii="Times New Roman" w:hAnsi="Times New Roman"/>
          <w:bCs/>
          <w:sz w:val="24"/>
        </w:rPr>
      </w:pPr>
      <w:r>
        <w:rPr>
          <w:rFonts w:ascii="Times New Roman" w:hAnsi="Times New Roman"/>
          <w:bCs/>
          <w:sz w:val="24"/>
        </w:rPr>
        <w:t xml:space="preserve">33.2 履约保证金必须是人民币。</w:t>
      </w:r>
      <w:r>
        <w:rPr>
          <w:rFonts w:ascii="Times New Roman" w:hAnsi="Times New Roman"/>
          <w:sz w:val="24"/>
        </w:rPr>
        <w:t xml:space="preserve">履约保证金应当以支票、汇票、本票或者金融机构、担保机构出具的保函等非现金形式提交。</w:t>
      </w:r>
      <w:r>
        <w:rPr>
          <w:rFonts w:ascii="Times New Roman" w:hAnsi="Times New Roman"/>
          <w:bCs/>
          <w:sz w:val="24"/>
        </w:rPr>
      </w:r>
      <w:r/>
    </w:p>
    <w:p>
      <w:pPr>
        <w:pStyle w:val="926"/>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34、货物和服务的追加、减少和添购。</w:t>
      </w:r>
      <w:r>
        <w:rPr>
          <w:rFonts w:ascii="Times New Roman" w:hAnsi="Times New Roman"/>
          <w:bCs/>
          <w:sz w:val="28"/>
          <w:szCs w:val="28"/>
        </w:rPr>
      </w:r>
      <w:r/>
    </w:p>
    <w:p>
      <w:pPr>
        <w:pStyle w:val="926"/>
        <w:ind w:firstLine="480"/>
        <w:spacing w:line="440" w:lineRule="exact"/>
        <w:rPr>
          <w:rFonts w:ascii="Times New Roman" w:hAnsi="Times New Roman"/>
          <w:bCs/>
          <w:sz w:val="24"/>
        </w:rPr>
      </w:pPr>
      <w:r>
        <w:rPr>
          <w:rFonts w:ascii="Times New Roman" w:hAnsi="Times New Roman"/>
          <w:bCs/>
          <w:sz w:val="24"/>
        </w:rPr>
        <w:t xml:space="preserve">34.1政府采购合同履行中，采购人需追加与合同标的相同的货物和服务的，在不改变合同其他条款的前提下，可以与中标人协商签订补充合同，但所有补充合同的采购金额不超过原合同金额10%。</w:t>
      </w:r>
      <w:r>
        <w:rPr>
          <w:rFonts w:ascii="Times New Roman" w:hAnsi="Times New Roman"/>
          <w:bCs/>
          <w:sz w:val="24"/>
        </w:rPr>
      </w:r>
      <w:r/>
    </w:p>
    <w:p>
      <w:pPr>
        <w:pStyle w:val="926"/>
        <w:ind w:firstLine="480"/>
        <w:spacing w:line="440" w:lineRule="exact"/>
        <w:rPr>
          <w:rFonts w:ascii="Times New Roman" w:hAnsi="Times New Roman"/>
          <w:bCs/>
          <w:sz w:val="24"/>
        </w:rPr>
      </w:pPr>
      <w:r>
        <w:rPr>
          <w:rFonts w:ascii="Times New Roman" w:hAnsi="Times New Roman"/>
          <w:bCs/>
          <w:sz w:val="24"/>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rFonts w:ascii="Times New Roman" w:hAnsi="Times New Roman"/>
          <w:bCs/>
          <w:sz w:val="24"/>
        </w:rPr>
      </w:r>
      <w:r/>
    </w:p>
    <w:p>
      <w:pPr>
        <w:pStyle w:val="926"/>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35、监督</w:t>
      </w:r>
      <w:r>
        <w:rPr>
          <w:rFonts w:ascii="Times New Roman" w:hAnsi="Times New Roman"/>
          <w:bCs/>
          <w:sz w:val="28"/>
          <w:szCs w:val="28"/>
        </w:rPr>
      </w:r>
      <w:r/>
    </w:p>
    <w:p>
      <w:pPr>
        <w:pStyle w:val="926"/>
        <w:ind w:firstLine="480"/>
        <w:spacing w:line="440" w:lineRule="exact"/>
        <w:rPr>
          <w:rFonts w:ascii="Times New Roman" w:hAnsi="Times New Roman"/>
          <w:bCs/>
          <w:sz w:val="24"/>
        </w:rPr>
      </w:pPr>
      <w:r>
        <w:rPr>
          <w:rFonts w:ascii="Times New Roman" w:hAnsi="Times New Roman"/>
          <w:bCs/>
          <w:sz w:val="24"/>
        </w:rPr>
        <w:t xml:space="preserve">35.1政府有关监督部门将对投标全过程进行监督。</w:t>
      </w:r>
      <w:r>
        <w:rPr>
          <w:rFonts w:ascii="Times New Roman" w:hAnsi="Times New Roman"/>
          <w:bCs/>
          <w:sz w:val="24"/>
        </w:rPr>
      </w:r>
      <w:r/>
    </w:p>
    <w:p>
      <w:pPr>
        <w:pStyle w:val="928"/>
        <w:jc w:val="left"/>
        <w:rPr>
          <w:rFonts w:ascii="Times New Roman" w:hAnsi="Times New Roman"/>
          <w:bCs w:val="0"/>
          <w:sz w:val="24"/>
        </w:rPr>
      </w:pPr>
      <w:r>
        <w:rPr>
          <w:rFonts w:ascii="Times New Roman" w:hAnsi="Times New Roman"/>
          <w:bCs w:val="0"/>
          <w:sz w:val="24"/>
        </w:rPr>
      </w:r>
      <w:r/>
    </w:p>
    <w:p>
      <w:pPr>
        <w:pStyle w:val="995"/>
        <w:pageBreakBefore/>
        <w:spacing w:line="440" w:lineRule="exact"/>
        <w:rPr>
          <w:rFonts w:ascii="Times New Roman" w:hAnsi="Times New Roman" w:eastAsia="宋体"/>
        </w:rPr>
      </w:pPr>
      <w:r/>
      <w:bookmarkStart w:id="298" w:name="_Toc9"/>
      <w:r>
        <w:rPr>
          <w:rFonts w:ascii="Times New Roman" w:hAnsi="Times New Roman" w:eastAsia="宋体"/>
        </w:rPr>
        <w:t xml:space="preserve">第三章  合同条款及格式</w:t>
      </w:r>
      <w:r>
        <w:rPr>
          <w:rFonts w:ascii="Times New Roman" w:hAnsi="Times New Roman" w:eastAsia="宋体"/>
        </w:rPr>
      </w:r>
      <w:bookmarkEnd w:id="298"/>
      <w:r/>
      <w:r/>
    </w:p>
    <w:p>
      <w:pPr>
        <w:pStyle w:val="926"/>
        <w:rPr>
          <w:rFonts w:ascii="Times New Roman" w:hAnsi="Times New Roman"/>
        </w:rPr>
      </w:pPr>
      <w:r/>
      <w:bookmarkStart w:id="179" w:name="EB0c436cda110d4e31977602d633a36593"/>
      <w:r>
        <w:rPr>
          <w:rFonts w:ascii="Times New Roman" w:hAnsi="Times New Roman"/>
        </w:rPr>
      </w:r>
      <w:r/>
    </w:p>
    <w:p>
      <w:pPr>
        <w:pStyle w:val="926"/>
        <w:ind w:firstLine="480"/>
        <w:spacing w:line="440" w:lineRule="exact"/>
        <w:rPr>
          <w:rFonts w:ascii="Times New Roman" w:hAnsi="Times New Roman" w:eastAsia="Times New Roman"/>
          <w:bCs/>
          <w:sz w:val="24"/>
          <w:szCs w:val="24"/>
        </w:rPr>
      </w:pPr>
      <w:r>
        <w:rPr>
          <w:rFonts w:hint="eastAsia" w:ascii="宋体" w:hAnsi="宋体" w:cs="宋体"/>
          <w:bCs/>
          <w:sz w:val="24"/>
          <w:szCs w:val="24"/>
        </w:rPr>
        <w:t xml:space="preserve">以下为中标</w:t>
      </w:r>
      <w:r>
        <w:rPr>
          <w:rFonts w:ascii="Times New Roman" w:hAnsi="Times New Roman" w:eastAsia="Times New Roman"/>
          <w:bCs/>
          <w:sz w:val="24"/>
          <w:szCs w:val="24"/>
        </w:rPr>
        <w:t xml:space="preserve">(</w:t>
      </w:r>
      <w:r>
        <w:rPr>
          <w:rFonts w:hint="eastAsia" w:ascii="宋体" w:hAnsi="宋体" w:cs="宋体"/>
          <w:bCs/>
          <w:sz w:val="24"/>
          <w:szCs w:val="24"/>
        </w:rPr>
        <w:t xml:space="preserve">成交</w:t>
      </w:r>
      <w:r>
        <w:rPr>
          <w:rFonts w:ascii="Times New Roman" w:hAnsi="Times New Roman" w:eastAsia="Times New Roman"/>
          <w:bCs/>
          <w:sz w:val="24"/>
          <w:szCs w:val="24"/>
        </w:rPr>
        <w:t xml:space="preserve">)</w:t>
      </w:r>
      <w:r>
        <w:rPr>
          <w:rFonts w:hint="eastAsia" w:ascii="宋体" w:hAnsi="宋体" w:cs="宋体"/>
          <w:bCs/>
          <w:sz w:val="24"/>
          <w:szCs w:val="24"/>
        </w:rPr>
        <w:t xml:space="preserve">后签定本项目合同的通用条款，中标</w:t>
      </w:r>
      <w:r>
        <w:rPr>
          <w:rFonts w:ascii="Times New Roman" w:hAnsi="Times New Roman" w:eastAsia="Times New Roman"/>
          <w:bCs/>
          <w:sz w:val="24"/>
          <w:szCs w:val="24"/>
        </w:rPr>
        <w:t xml:space="preserve">(</w:t>
      </w:r>
      <w:r>
        <w:rPr>
          <w:rFonts w:hint="eastAsia" w:ascii="宋体" w:hAnsi="宋体" w:cs="宋体"/>
          <w:bCs/>
          <w:sz w:val="24"/>
          <w:szCs w:val="24"/>
        </w:rPr>
        <w:t xml:space="preserve">成交</w:t>
      </w:r>
      <w:r>
        <w:rPr>
          <w:rFonts w:ascii="Times New Roman" w:hAnsi="Times New Roman" w:eastAsia="Times New Roman"/>
          <w:bCs/>
          <w:sz w:val="24"/>
          <w:szCs w:val="24"/>
        </w:rPr>
        <w:t xml:space="preserve">)</w:t>
      </w:r>
      <w:r>
        <w:rPr>
          <w:rFonts w:hint="eastAsia" w:ascii="宋体" w:hAnsi="宋体" w:cs="宋体"/>
          <w:bCs/>
          <w:sz w:val="24"/>
          <w:szCs w:val="24"/>
        </w:rPr>
        <w:t xml:space="preserve">供应商不得提出实质性的修改。</w:t>
      </w:r>
      <w:r>
        <w:rPr>
          <w:rFonts w:ascii="Times New Roman" w:hAnsi="Times New Roman" w:eastAsia="Times New Roman"/>
          <w:bCs/>
          <w:sz w:val="24"/>
          <w:szCs w:val="24"/>
        </w:rPr>
      </w:r>
      <w:r/>
    </w:p>
    <w:p>
      <w:pPr>
        <w:pStyle w:val="926"/>
        <w:jc w:val="center"/>
        <w:rPr>
          <w:rFonts w:ascii="Times New Roman" w:hAnsi="Times New Roman"/>
          <w:b/>
          <w:bCs/>
          <w:sz w:val="32"/>
          <w:szCs w:val="32"/>
        </w:rPr>
      </w:pPr>
      <w:r>
        <w:rPr>
          <w:rFonts w:ascii="Times New Roman" w:hAnsi="Times New Roman"/>
          <w:b/>
          <w:bCs/>
          <w:sz w:val="32"/>
          <w:szCs w:val="32"/>
        </w:rPr>
        <w:t xml:space="preserve">张家港市政府采购合同</w:t>
      </w:r>
      <w:r>
        <w:rPr>
          <w:rFonts w:ascii="Times New Roman" w:hAnsi="Times New Roman"/>
          <w:b/>
          <w:bCs/>
          <w:sz w:val="32"/>
          <w:szCs w:val="32"/>
        </w:rPr>
      </w:r>
      <w:r/>
    </w:p>
    <w:p>
      <w:pPr>
        <w:pStyle w:val="1265"/>
        <w:ind w:firstLine="480"/>
        <w:rPr>
          <w:sz w:val="24"/>
        </w:rPr>
      </w:pPr>
      <w:r/>
      <w:bookmarkStart w:id="180" w:name="_Hlk65328514"/>
      <w:r>
        <w:rPr>
          <w:sz w:val="24"/>
        </w:rPr>
        <w:t xml:space="preserve">项目名称：</w:t>
      </w:r>
      <w:bookmarkStart w:id="181" w:name="biaoduanname_1"/>
      <w:r>
        <w:rPr>
          <w:sz w:val="24"/>
        </w:rPr>
        <w:t xml:space="preserve">             </w:t>
      </w:r>
      <w:bookmarkEnd w:id="181"/>
      <w:r>
        <w:rPr>
          <w:sz w:val="24"/>
        </w:rPr>
        <w:t xml:space="preserve">               </w:t>
      </w:r>
      <w:r>
        <w:rPr>
          <w:sz w:val="24"/>
        </w:rPr>
      </w:r>
      <w:r/>
    </w:p>
    <w:p>
      <w:pPr>
        <w:pStyle w:val="1265"/>
        <w:ind w:firstLine="480"/>
        <w:rPr>
          <w:sz w:val="24"/>
        </w:rPr>
      </w:pPr>
      <w:r>
        <w:rPr>
          <w:sz w:val="24"/>
        </w:rPr>
        <w:t xml:space="preserve">项目编号：</w:t>
      </w:r>
      <w:bookmarkStart w:id="182" w:name="projectno"/>
      <w:r>
        <w:rPr>
          <w:sz w:val="24"/>
        </w:rPr>
        <w:t xml:space="preserve">           </w:t>
      </w:r>
      <w:bookmarkEnd w:id="182"/>
      <w:r>
        <w:rPr>
          <w:sz w:val="24"/>
        </w:rPr>
      </w:r>
      <w:r/>
    </w:p>
    <w:p>
      <w:pPr>
        <w:pStyle w:val="1265"/>
        <w:ind w:firstLine="480"/>
        <w:rPr>
          <w:sz w:val="24"/>
        </w:rPr>
      </w:pPr>
      <w:r>
        <w:rPr>
          <w:sz w:val="24"/>
        </w:rPr>
        <w:t xml:space="preserve">甲方：（买方）</w:t>
      </w:r>
      <w:r>
        <w:rPr>
          <w:sz w:val="24"/>
          <w:u w:val="single"/>
        </w:rPr>
        <w:t xml:space="preserve"> </w:t>
      </w:r>
      <w:bookmarkStart w:id="183" w:name="jianshedanwei_1"/>
      <w:r>
        <w:rPr>
          <w:sz w:val="24"/>
          <w:u w:val="single"/>
        </w:rPr>
        <w:t xml:space="preserve">        </w:t>
      </w:r>
      <w:bookmarkEnd w:id="183"/>
      <w:r>
        <w:rPr>
          <w:sz w:val="24"/>
          <w:u w:val="single"/>
        </w:rPr>
        <w:t xml:space="preserve"> </w:t>
      </w:r>
      <w:r>
        <w:rPr>
          <w:sz w:val="24"/>
        </w:rPr>
      </w:r>
      <w:r/>
    </w:p>
    <w:p>
      <w:pPr>
        <w:pStyle w:val="1265"/>
        <w:ind w:firstLine="480"/>
        <w:rPr>
          <w:sz w:val="24"/>
        </w:rPr>
      </w:pPr>
      <w:r>
        <w:rPr>
          <w:sz w:val="24"/>
        </w:rPr>
        <w:t xml:space="preserve">乙方：（卖方）</w:t>
      </w:r>
      <w:r>
        <w:rPr>
          <w:sz w:val="24"/>
          <w:u w:val="single"/>
        </w:rPr>
        <w:t xml:space="preserve"> </w:t>
      </w:r>
      <w:bookmarkStart w:id="184" w:name="zhongbiaodanweiname_1"/>
      <w:r>
        <w:rPr>
          <w:sz w:val="24"/>
          <w:u w:val="single"/>
        </w:rPr>
        <w:t xml:space="preserve">          </w:t>
      </w:r>
      <w:bookmarkEnd w:id="184"/>
      <w:r>
        <w:rPr>
          <w:sz w:val="24"/>
          <w:u w:val="single"/>
        </w:rPr>
        <w:t xml:space="preserve"> </w:t>
      </w:r>
      <w:r>
        <w:rPr>
          <w:sz w:val="24"/>
        </w:rPr>
      </w:r>
      <w:r/>
    </w:p>
    <w:p>
      <w:pPr>
        <w:pStyle w:val="1265"/>
        <w:ind w:firstLine="480"/>
        <w:rPr>
          <w:b/>
          <w:bCs/>
          <w:sz w:val="24"/>
        </w:rPr>
      </w:pPr>
      <w:r>
        <w:rPr>
          <w:sz w:val="24"/>
        </w:rPr>
        <w:t xml:space="preserve">甲、乙双方根据张家港禾达招投标咨询服务有限公司</w:t>
      </w:r>
      <w:r>
        <w:rPr>
          <w:sz w:val="24"/>
          <w:u w:val="single"/>
        </w:rPr>
        <w:t xml:space="preserve"> </w:t>
      </w:r>
      <w:bookmarkStart w:id="185" w:name="biaoduanname_2"/>
      <w:r>
        <w:rPr>
          <w:sz w:val="24"/>
          <w:u w:val="single"/>
        </w:rPr>
        <w:t xml:space="preserve">    </w:t>
      </w:r>
      <w:bookmarkEnd w:id="185"/>
      <w:r>
        <w:rPr>
          <w:sz w:val="24"/>
          <w:u w:val="single"/>
        </w:rPr>
        <w:t xml:space="preserve"> </w:t>
      </w:r>
      <w:r>
        <w:rPr>
          <w:sz w:val="24"/>
        </w:rPr>
        <w:t xml:space="preserve">项目公开招标的结果，签署本合同。</w:t>
      </w:r>
      <w:r>
        <w:rPr>
          <w:b/>
          <w:bCs/>
          <w:sz w:val="24"/>
        </w:rPr>
      </w:r>
      <w:r/>
    </w:p>
    <w:p>
      <w:pPr>
        <w:pStyle w:val="1265"/>
        <w:ind w:firstLine="482"/>
        <w:rPr>
          <w:b/>
          <w:bCs/>
          <w:sz w:val="24"/>
        </w:rPr>
      </w:pPr>
      <w:r>
        <w:rPr>
          <w:b/>
          <w:bCs/>
          <w:sz w:val="24"/>
        </w:rPr>
        <w:t xml:space="preserve">一、服务内容</w:t>
      </w:r>
      <w:r>
        <w:rPr>
          <w:b/>
          <w:bCs/>
          <w:sz w:val="24"/>
        </w:rPr>
      </w:r>
      <w:r/>
    </w:p>
    <w:tbl>
      <w:tblPr>
        <w:tblW w:w="7920"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W w:w="2723" w:type="dxa"/>
            <w:vAlign w:val="center"/>
            <w:textDirection w:val="lrTb"/>
            <w:noWrap w:val="false"/>
          </w:tcPr>
          <w:p>
            <w:pPr>
              <w:pStyle w:val="1265"/>
              <w:jc w:val="center"/>
              <w:rPr>
                <w:sz w:val="24"/>
              </w:rPr>
            </w:pPr>
            <w:r>
              <w:rPr>
                <w:sz w:val="24"/>
              </w:rPr>
              <w:t xml:space="preserve">项目名称</w:t>
            </w:r>
            <w:r>
              <w:rPr>
                <w:sz w:val="24"/>
              </w:rPr>
            </w:r>
            <w:r/>
          </w:p>
        </w:tc>
        <w:tc>
          <w:tcPr>
            <w:tcW w:w="2722" w:type="dxa"/>
            <w:vAlign w:val="center"/>
            <w:textDirection w:val="lrTb"/>
            <w:noWrap w:val="false"/>
          </w:tcPr>
          <w:p>
            <w:pPr>
              <w:pStyle w:val="1265"/>
              <w:ind w:firstLine="480"/>
              <w:jc w:val="center"/>
              <w:rPr>
                <w:sz w:val="24"/>
              </w:rPr>
            </w:pPr>
            <w:r>
              <w:rPr>
                <w:sz w:val="24"/>
              </w:rPr>
              <w:t xml:space="preserve">总价（元）</w:t>
            </w:r>
            <w:r>
              <w:rPr>
                <w:sz w:val="24"/>
              </w:rPr>
            </w:r>
            <w:r/>
          </w:p>
        </w:tc>
        <w:tc>
          <w:tcPr>
            <w:tcW w:w="2475" w:type="dxa"/>
            <w:vAlign w:val="center"/>
            <w:textDirection w:val="lrTb"/>
            <w:noWrap w:val="false"/>
          </w:tcPr>
          <w:p>
            <w:pPr>
              <w:pStyle w:val="1265"/>
              <w:ind w:firstLine="240"/>
              <w:rPr>
                <w:sz w:val="24"/>
              </w:rPr>
            </w:pPr>
            <w:r>
              <w:rPr>
                <w:sz w:val="24"/>
              </w:rPr>
              <w:t xml:space="preserve">服务内容</w:t>
            </w:r>
            <w:r>
              <w:rPr>
                <w:sz w:val="24"/>
              </w:rPr>
            </w:r>
            <w:r/>
          </w:p>
        </w:tc>
      </w:tr>
      <w:tr>
        <w:trPr>
          <w:cantSplit/>
          <w:trHeight w:val="658"/>
        </w:trPr>
        <w:tc>
          <w:tcPr>
            <w:tcW w:w="2723" w:type="dxa"/>
            <w:vAlign w:val="center"/>
            <w:textDirection w:val="lrTb"/>
            <w:noWrap w:val="false"/>
          </w:tcPr>
          <w:p>
            <w:pPr>
              <w:pStyle w:val="1265"/>
              <w:rPr>
                <w:sz w:val="24"/>
              </w:rPr>
            </w:pPr>
            <w:r>
              <w:rPr>
                <w:sz w:val="24"/>
              </w:rPr>
              <w:t xml:space="preserve">   </w:t>
            </w:r>
            <w:bookmarkStart w:id="186" w:name="biaoduanname_3"/>
            <w:r>
              <w:rPr>
                <w:sz w:val="24"/>
              </w:rPr>
              <w:t xml:space="preserve">         </w:t>
            </w:r>
            <w:bookmarkEnd w:id="186"/>
            <w:r>
              <w:rPr>
                <w:sz w:val="24"/>
              </w:rPr>
              <w:t xml:space="preserve">   </w:t>
            </w:r>
            <w:r>
              <w:rPr>
                <w:sz w:val="24"/>
              </w:rPr>
            </w:r>
            <w:r/>
          </w:p>
        </w:tc>
        <w:tc>
          <w:tcPr>
            <w:tcW w:w="2722" w:type="dxa"/>
            <w:vAlign w:val="center"/>
            <w:textDirection w:val="lrTb"/>
            <w:noWrap w:val="false"/>
          </w:tcPr>
          <w:p>
            <w:pPr>
              <w:pStyle w:val="1265"/>
              <w:rPr>
                <w:sz w:val="24"/>
              </w:rPr>
            </w:pPr>
            <w:r>
              <w:rPr>
                <w:sz w:val="24"/>
              </w:rPr>
              <w:t xml:space="preserve">   </w:t>
            </w:r>
            <w:bookmarkStart w:id="187" w:name="zhongbiaopricelow_1"/>
            <w:r>
              <w:rPr>
                <w:sz w:val="24"/>
              </w:rPr>
              <w:t xml:space="preserve">         </w:t>
            </w:r>
            <w:bookmarkEnd w:id="187"/>
            <w:r>
              <w:rPr>
                <w:sz w:val="24"/>
              </w:rPr>
              <w:t xml:space="preserve">    </w:t>
            </w:r>
            <w:r>
              <w:rPr>
                <w:sz w:val="24"/>
              </w:rPr>
            </w:r>
            <w:r/>
          </w:p>
        </w:tc>
        <w:tc>
          <w:tcPr>
            <w:tcW w:w="2475" w:type="dxa"/>
            <w:vAlign w:val="center"/>
            <w:textDirection w:val="lrTb"/>
            <w:noWrap w:val="false"/>
          </w:tcPr>
          <w:p>
            <w:pPr>
              <w:pStyle w:val="1265"/>
              <w:rPr>
                <w:sz w:val="24"/>
              </w:rPr>
            </w:pPr>
            <w:r>
              <w:rPr>
                <w:sz w:val="24"/>
              </w:rPr>
              <w:t xml:space="preserve">  </w:t>
            </w:r>
            <w:bookmarkStart w:id="188" w:name="fuwuneirong"/>
            <w:r>
              <w:rPr>
                <w:sz w:val="24"/>
              </w:rPr>
              <w:t xml:space="preserve">        </w:t>
            </w:r>
            <w:bookmarkEnd w:id="188"/>
            <w:r>
              <w:rPr>
                <w:sz w:val="24"/>
              </w:rPr>
              <w:t xml:space="preserve">   </w:t>
            </w:r>
            <w:r>
              <w:rPr>
                <w:sz w:val="24"/>
              </w:rPr>
            </w:r>
            <w:r/>
          </w:p>
        </w:tc>
      </w:tr>
    </w:tbl>
    <w:p>
      <w:pPr>
        <w:pStyle w:val="1265"/>
        <w:ind w:firstLine="472"/>
        <w:spacing w:line="440" w:lineRule="exact"/>
        <w:rPr>
          <w:b/>
          <w:bCs/>
          <w:sz w:val="24"/>
        </w:rPr>
      </w:pPr>
      <w:r>
        <w:rPr>
          <w:b/>
          <w:bCs/>
          <w:sz w:val="24"/>
        </w:rPr>
        <w:t xml:space="preserve">二、合同金额</w:t>
      </w:r>
      <w:r>
        <w:rPr>
          <w:b/>
          <w:bCs/>
          <w:sz w:val="24"/>
        </w:rPr>
      </w:r>
      <w:r/>
    </w:p>
    <w:p>
      <w:pPr>
        <w:pStyle w:val="1265"/>
        <w:ind w:firstLine="480"/>
        <w:spacing w:line="440" w:lineRule="exact"/>
        <w:rPr>
          <w:b/>
          <w:bCs/>
          <w:sz w:val="24"/>
        </w:rPr>
      </w:pPr>
      <w:r>
        <w:rPr>
          <w:sz w:val="24"/>
        </w:rPr>
        <w:t xml:space="preserve">2.1 本合同金额为（大写）：</w:t>
      </w:r>
      <w:r>
        <w:rPr>
          <w:sz w:val="24"/>
          <w:u w:val="single"/>
        </w:rPr>
        <w:t xml:space="preserve"> </w:t>
      </w:r>
      <w:bookmarkStart w:id="189" w:name="zhongbiaopriceup"/>
      <w:r>
        <w:rPr>
          <w:sz w:val="24"/>
          <w:u w:val="single"/>
        </w:rPr>
        <w:t xml:space="preserve">                   </w:t>
      </w:r>
      <w:bookmarkEnd w:id="189"/>
      <w:r>
        <w:rPr>
          <w:sz w:val="24"/>
        </w:rPr>
        <w:t xml:space="preserve">（</w:t>
      </w:r>
      <w:r>
        <w:rPr>
          <w:sz w:val="24"/>
          <w:u w:val="single"/>
        </w:rPr>
        <w:t xml:space="preserve"> </w:t>
      </w:r>
      <w:bookmarkStart w:id="190" w:name="zhongbiaopricelow_2"/>
      <w:r>
        <w:rPr>
          <w:sz w:val="24"/>
          <w:u w:val="single"/>
        </w:rPr>
        <w:t xml:space="preserve">             </w:t>
      </w:r>
      <w:bookmarkEnd w:id="190"/>
      <w:r>
        <w:rPr>
          <w:sz w:val="24"/>
          <w:u w:val="single"/>
        </w:rPr>
        <w:t xml:space="preserve"> </w:t>
      </w:r>
      <w:r>
        <w:rPr>
          <w:sz w:val="24"/>
        </w:rPr>
        <w:t xml:space="preserve">元）人民币。</w:t>
      </w:r>
      <w:r>
        <w:rPr>
          <w:b/>
          <w:bCs/>
          <w:sz w:val="24"/>
        </w:rPr>
      </w:r>
      <w:r/>
    </w:p>
    <w:p>
      <w:pPr>
        <w:pStyle w:val="1265"/>
        <w:ind w:firstLine="480"/>
        <w:jc w:val="left"/>
        <w:spacing w:line="440" w:lineRule="exact"/>
        <w:rPr>
          <w:sz w:val="24"/>
        </w:rPr>
      </w:pPr>
      <w:r>
        <w:rPr>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sz w:val="24"/>
        </w:rPr>
      </w:r>
      <w:r/>
    </w:p>
    <w:p>
      <w:pPr>
        <w:pStyle w:val="1265"/>
        <w:ind w:firstLine="482"/>
        <w:spacing w:line="440" w:lineRule="exact"/>
        <w:rPr>
          <w:sz w:val="24"/>
          <w:u w:val="single"/>
        </w:rPr>
      </w:pPr>
      <w:r>
        <w:rPr>
          <w:b/>
          <w:bCs/>
          <w:sz w:val="24"/>
        </w:rPr>
        <w:t xml:space="preserve">三、履约保证金</w:t>
      </w:r>
      <w:r>
        <w:rPr>
          <w:sz w:val="24"/>
          <w:u w:val="single"/>
        </w:rPr>
      </w:r>
      <w:r/>
    </w:p>
    <w:p>
      <w:pPr>
        <w:pStyle w:val="1265"/>
        <w:ind w:firstLine="480"/>
        <w:spacing w:line="440" w:lineRule="exact"/>
        <w:rPr>
          <w:strike/>
          <w:sz w:val="24"/>
        </w:rPr>
      </w:pPr>
      <w:r>
        <w:rPr>
          <w:sz w:val="24"/>
        </w:rPr>
        <w:t xml:space="preserve">3.1合同签订前，乙方向采购单位交纳人民币</w:t>
      </w:r>
      <w:r>
        <w:rPr>
          <w:sz w:val="24"/>
          <w:u w:val="single"/>
        </w:rPr>
        <w:t xml:space="preserve"> </w:t>
      </w:r>
      <w:bookmarkStart w:id="191" w:name="lvbzj"/>
      <w:r>
        <w:rPr>
          <w:sz w:val="24"/>
          <w:u w:val="single"/>
        </w:rPr>
        <w:t xml:space="preserve">  </w:t>
      </w:r>
      <w:bookmarkEnd w:id="191"/>
      <w:r>
        <w:rPr>
          <w:sz w:val="24"/>
          <w:u w:val="single"/>
        </w:rPr>
        <w:t xml:space="preserve"> </w:t>
      </w:r>
      <w:r>
        <w:rPr>
          <w:sz w:val="24"/>
        </w:rPr>
        <w:t xml:space="preserve">元作为本合同的履约保证金。履约保证金应当以支票、汇票、本票或者金融机构、担保机构出具的保函等非现金形式提交。</w:t>
      </w:r>
      <w:r>
        <w:rPr>
          <w:strike/>
          <w:sz w:val="24"/>
        </w:rPr>
      </w:r>
      <w:r/>
    </w:p>
    <w:p>
      <w:pPr>
        <w:pStyle w:val="1265"/>
        <w:ind w:firstLine="480"/>
        <w:spacing w:line="440" w:lineRule="exact"/>
        <w:rPr>
          <w:sz w:val="24"/>
        </w:rPr>
      </w:pPr>
      <w:r>
        <w:rPr>
          <w:sz w:val="24"/>
        </w:rPr>
        <w:t xml:space="preserve">3.2甲方付清全部合同金额的同时返还履约保证金。逾期退还的，应当支付逾期利息，且逾期利息的利率不得低于合同订立时1年期贷款市场报价利率。</w:t>
      </w:r>
      <w:r>
        <w:rPr>
          <w:sz w:val="24"/>
        </w:rPr>
      </w:r>
      <w:r/>
    </w:p>
    <w:p>
      <w:pPr>
        <w:pStyle w:val="1265"/>
        <w:ind w:firstLine="480"/>
        <w:spacing w:line="440" w:lineRule="exact"/>
        <w:rPr>
          <w:sz w:val="24"/>
        </w:rPr>
      </w:pPr>
      <w:r>
        <w:rPr>
          <w:sz w:val="24"/>
        </w:rPr>
        <w:t xml:space="preserve">3.3乙方不履行与甲方订立的合同的，履约保证金不予退还。</w:t>
      </w:r>
      <w:r>
        <w:rPr>
          <w:sz w:val="24"/>
        </w:rPr>
      </w:r>
      <w:r/>
    </w:p>
    <w:p>
      <w:pPr>
        <w:pStyle w:val="1265"/>
        <w:ind w:firstLine="472"/>
        <w:spacing w:line="440" w:lineRule="exact"/>
        <w:rPr>
          <w:b/>
          <w:sz w:val="24"/>
        </w:rPr>
      </w:pPr>
      <w:r>
        <w:rPr>
          <w:b/>
          <w:sz w:val="24"/>
        </w:rPr>
        <w:t xml:space="preserve">四、转包或分包</w:t>
      </w:r>
      <w:r>
        <w:rPr>
          <w:b/>
          <w:sz w:val="24"/>
        </w:rPr>
      </w:r>
      <w:r/>
    </w:p>
    <w:p>
      <w:pPr>
        <w:pStyle w:val="1265"/>
        <w:ind w:firstLine="480"/>
        <w:spacing w:line="440" w:lineRule="exact"/>
        <w:rPr>
          <w:sz w:val="24"/>
        </w:rPr>
      </w:pPr>
      <w:r>
        <w:rPr>
          <w:sz w:val="24"/>
        </w:rPr>
        <w:t xml:space="preserve">4.1 本合同范围的服务，应由乙方直接提供，不得转让他人提供；</w:t>
      </w:r>
      <w:r>
        <w:rPr>
          <w:sz w:val="24"/>
        </w:rPr>
      </w:r>
      <w:r/>
    </w:p>
    <w:p>
      <w:pPr>
        <w:pStyle w:val="1265"/>
        <w:ind w:firstLine="480"/>
        <w:spacing w:line="440" w:lineRule="exact"/>
        <w:rPr>
          <w:sz w:val="24"/>
        </w:rPr>
      </w:pPr>
      <w:r>
        <w:rPr>
          <w:sz w:val="24"/>
        </w:rPr>
        <w:t xml:space="preserve">4.2 如有转包和分包行为，甲方有权给予终止合同。</w:t>
      </w:r>
      <w:r>
        <w:rPr>
          <w:sz w:val="24"/>
        </w:rPr>
      </w:r>
      <w:r/>
    </w:p>
    <w:p>
      <w:pPr>
        <w:pStyle w:val="1265"/>
        <w:ind w:firstLine="472"/>
        <w:spacing w:line="440" w:lineRule="exact"/>
        <w:rPr>
          <w:b/>
          <w:bCs/>
          <w:sz w:val="24"/>
        </w:rPr>
      </w:pPr>
      <w:r>
        <w:rPr>
          <w:b/>
          <w:bCs/>
          <w:sz w:val="24"/>
        </w:rPr>
        <w:t xml:space="preserve">五、服务期限：</w:t>
      </w:r>
      <w:r>
        <w:rPr>
          <w:b/>
          <w:bCs/>
          <w:sz w:val="24"/>
        </w:rPr>
      </w:r>
      <w:r/>
    </w:p>
    <w:p>
      <w:pPr>
        <w:pStyle w:val="1265"/>
        <w:ind w:firstLine="470"/>
        <w:spacing w:line="440" w:lineRule="exact"/>
        <w:rPr>
          <w:sz w:val="24"/>
        </w:rPr>
      </w:pPr>
      <w:r>
        <w:rPr>
          <w:sz w:val="24"/>
        </w:rPr>
        <w:t xml:space="preserve">服务期限为</w:t>
      </w:r>
      <w:r>
        <w:rPr>
          <w:sz w:val="24"/>
          <w:u w:val="single"/>
        </w:rPr>
        <w:t xml:space="preserve"> </w:t>
      </w:r>
      <w:bookmarkStart w:id="192" w:name="fuwuqixian"/>
      <w:r>
        <w:rPr>
          <w:sz w:val="24"/>
          <w:u w:val="single"/>
        </w:rPr>
        <w:t xml:space="preserve"> </w:t>
      </w:r>
      <w:bookmarkEnd w:id="192"/>
      <w:r>
        <w:rPr>
          <w:sz w:val="24"/>
        </w:rPr>
      </w:r>
      <w:r/>
    </w:p>
    <w:p>
      <w:pPr>
        <w:pStyle w:val="1265"/>
        <w:ind w:firstLine="472"/>
        <w:spacing w:line="440" w:lineRule="exact"/>
        <w:rPr>
          <w:b/>
          <w:bCs/>
          <w:sz w:val="24"/>
        </w:rPr>
      </w:pPr>
      <w:r>
        <w:rPr>
          <w:b/>
          <w:bCs/>
          <w:sz w:val="24"/>
        </w:rPr>
        <w:t xml:space="preserve">六、货款支付</w:t>
      </w:r>
      <w:r>
        <w:rPr>
          <w:b/>
          <w:bCs/>
          <w:sz w:val="24"/>
        </w:rPr>
      </w:r>
      <w:r/>
    </w:p>
    <w:p>
      <w:pPr>
        <w:pStyle w:val="1265"/>
        <w:ind w:firstLine="480"/>
        <w:spacing w:line="440" w:lineRule="exact"/>
        <w:rPr>
          <w:sz w:val="24"/>
        </w:rPr>
      </w:pPr>
      <w:r>
        <w:rPr>
          <w:bCs/>
          <w:sz w:val="24"/>
        </w:rPr>
        <w:t xml:space="preserve">6.1 </w:t>
      </w:r>
      <w:r>
        <w:rPr>
          <w:sz w:val="24"/>
        </w:rPr>
        <w:t xml:space="preserve">结付程序：</w:t>
      </w:r>
      <w:r>
        <w:rPr>
          <w:sz w:val="24"/>
        </w:rPr>
      </w:r>
      <w:r/>
    </w:p>
    <w:p>
      <w:pPr>
        <w:pStyle w:val="1293"/>
        <w:ind w:firstLine="500"/>
        <w:spacing w:line="440" w:lineRule="exact"/>
        <w:rPr>
          <w:rFonts w:eastAsia="宋体"/>
          <w:iCs/>
          <w:spacing w:val="7"/>
          <w:u w:val="single"/>
          <w:lang w:eastAsia="zh-CN"/>
        </w:rPr>
      </w:pPr>
      <w:r>
        <w:rPr>
          <w:rFonts w:eastAsia="宋体"/>
          <w:iCs/>
          <w:spacing w:val="7"/>
          <w:u w:val="single"/>
          <w:lang w:eastAsia="zh-CN"/>
        </w:rPr>
        <w:t xml:space="preserve">     </w:t>
      </w:r>
      <w:r>
        <w:rPr>
          <w:rFonts w:eastAsia="宋体"/>
          <w:iCs/>
          <w:spacing w:val="7"/>
          <w:u w:val="single"/>
          <w:lang w:eastAsia="zh-CN"/>
        </w:rPr>
      </w:r>
      <w:r/>
    </w:p>
    <w:p>
      <w:pPr>
        <w:pStyle w:val="1265"/>
        <w:ind w:firstLine="480"/>
        <w:spacing w:line="440" w:lineRule="exact"/>
        <w:rPr>
          <w:sz w:val="24"/>
        </w:rPr>
      </w:pPr>
      <w:r>
        <w:rPr>
          <w:sz w:val="24"/>
        </w:rPr>
        <w:t xml:space="preserve">6.2结付期限：</w:t>
      </w:r>
      <w:r>
        <w:rPr>
          <w:sz w:val="24"/>
        </w:rPr>
      </w:r>
      <w:r/>
    </w:p>
    <w:p>
      <w:pPr>
        <w:pStyle w:val="1293"/>
        <w:ind w:firstLine="500"/>
        <w:spacing w:line="440" w:lineRule="exact"/>
        <w:rPr>
          <w:rFonts w:eastAsia="宋体"/>
          <w:i/>
          <w:spacing w:val="7"/>
          <w:u w:val="single"/>
          <w:lang w:eastAsia="zh-CN"/>
        </w:rPr>
      </w:pPr>
      <w:r>
        <w:rPr>
          <w:rFonts w:eastAsia="宋体"/>
          <w:i/>
          <w:spacing w:val="7"/>
          <w:u w:val="single"/>
          <w:lang w:eastAsia="zh-CN"/>
        </w:rPr>
        <w:t xml:space="preserve">      </w:t>
      </w:r>
      <w:r>
        <w:rPr>
          <w:rFonts w:eastAsia="宋体"/>
          <w:i/>
          <w:spacing w:val="7"/>
          <w:u w:val="single"/>
          <w:lang w:eastAsia="zh-CN"/>
        </w:rPr>
      </w:r>
      <w:r/>
    </w:p>
    <w:p>
      <w:pPr>
        <w:pStyle w:val="1265"/>
        <w:ind w:firstLine="470"/>
        <w:spacing w:line="440" w:lineRule="exact"/>
        <w:rPr>
          <w:sz w:val="24"/>
          <w:u w:val="single"/>
        </w:rPr>
      </w:pPr>
      <w:r>
        <w:rPr>
          <w:sz w:val="24"/>
        </w:rPr>
        <w:t xml:space="preserve">6.3乙方收款账户：</w:t>
      </w:r>
      <w:r>
        <w:rPr>
          <w:sz w:val="24"/>
          <w:u w:val="single"/>
        </w:rPr>
        <w:t xml:space="preserve"> </w:t>
      </w:r>
      <w:bookmarkStart w:id="193" w:name="yifangzhanghao"/>
      <w:r>
        <w:rPr>
          <w:sz w:val="24"/>
          <w:u w:val="single"/>
        </w:rPr>
        <w:t xml:space="preserve">                                     </w:t>
      </w:r>
      <w:bookmarkEnd w:id="193"/>
      <w:r>
        <w:rPr>
          <w:sz w:val="24"/>
          <w:u w:val="single"/>
        </w:rPr>
        <w:t xml:space="preserve"> </w:t>
      </w:r>
      <w:r>
        <w:rPr>
          <w:sz w:val="24"/>
          <w:u w:val="single"/>
        </w:rPr>
      </w:r>
      <w:r/>
    </w:p>
    <w:p>
      <w:pPr>
        <w:pStyle w:val="1266"/>
        <w:spacing w:line="440" w:lineRule="exact"/>
        <w:rPr>
          <w:rFonts w:ascii="Times New Roman" w:hAnsi="Times New Roman"/>
        </w:rPr>
      </w:pPr>
      <w:r>
        <w:rPr>
          <w:rFonts w:ascii="Times New Roman" w:hAnsi="Times New Roman"/>
        </w:rPr>
        <w:t xml:space="preserve">6.4甲方合同款支付方式：</w:t>
      </w:r>
      <w:r>
        <w:rPr>
          <w:rFonts w:ascii="Times New Roman" w:hAnsi="Times New Roman"/>
          <w:u w:val="single"/>
        </w:rPr>
        <w:t xml:space="preserve"> </w:t>
      </w:r>
      <w:bookmarkStart w:id="194" w:name="hetongzhifutype"/>
      <w:r>
        <w:rPr>
          <w:rFonts w:ascii="Times New Roman" w:hAnsi="Times New Roman"/>
          <w:u w:val="single"/>
        </w:rPr>
        <w:t xml:space="preserve">                      </w:t>
      </w:r>
      <w:bookmarkEnd w:id="194"/>
      <w:r>
        <w:rPr>
          <w:rFonts w:ascii="Times New Roman" w:hAnsi="Times New Roman"/>
          <w:u w:val="single"/>
        </w:rPr>
        <w:t xml:space="preserve"> </w:t>
      </w:r>
      <w:r>
        <w:rPr>
          <w:rFonts w:ascii="Times New Roman" w:hAnsi="Times New Roman"/>
        </w:rPr>
        <w:t xml:space="preserve">（若乙方为中小企业，不得强制其接受非现金支付方式）</w:t>
      </w:r>
      <w:r>
        <w:rPr>
          <w:rFonts w:ascii="Times New Roman" w:hAnsi="Times New Roman"/>
        </w:rPr>
      </w:r>
      <w:r/>
    </w:p>
    <w:p>
      <w:pPr>
        <w:pStyle w:val="1265"/>
        <w:ind w:firstLine="482"/>
        <w:spacing w:line="440" w:lineRule="exact"/>
        <w:tabs>
          <w:tab w:val="center" w:pos="5131" w:leader="none"/>
        </w:tabs>
        <w:rPr>
          <w:b/>
          <w:bCs/>
          <w:sz w:val="24"/>
        </w:rPr>
      </w:pPr>
      <w:r>
        <w:rPr>
          <w:b/>
          <w:bCs/>
          <w:sz w:val="24"/>
        </w:rPr>
        <w:t xml:space="preserve">七、税</w:t>
      </w:r>
      <w:r>
        <w:rPr>
          <w:b/>
          <w:bCs/>
          <w:sz w:val="24"/>
        </w:rPr>
      </w:r>
      <w:r/>
    </w:p>
    <w:p>
      <w:pPr>
        <w:pStyle w:val="1265"/>
        <w:ind w:firstLine="480"/>
        <w:spacing w:line="440" w:lineRule="exact"/>
        <w:rPr>
          <w:sz w:val="24"/>
        </w:rPr>
      </w:pPr>
      <w:r>
        <w:rPr>
          <w:sz w:val="24"/>
        </w:rPr>
        <w:t xml:space="preserve">7.1 本合同执行中相关的一切税费均由乙方负担。</w:t>
      </w:r>
      <w:r>
        <w:rPr>
          <w:sz w:val="24"/>
        </w:rPr>
      </w:r>
      <w:r/>
    </w:p>
    <w:p>
      <w:pPr>
        <w:pStyle w:val="1265"/>
        <w:ind w:firstLine="482"/>
        <w:spacing w:line="440" w:lineRule="exact"/>
        <w:rPr>
          <w:sz w:val="24"/>
        </w:rPr>
      </w:pPr>
      <w:r>
        <w:rPr>
          <w:b/>
          <w:bCs/>
          <w:sz w:val="24"/>
        </w:rPr>
        <w:t xml:space="preserve">八、</w:t>
      </w:r>
      <w:r>
        <w:rPr>
          <w:b/>
          <w:sz w:val="24"/>
        </w:rPr>
        <w:t xml:space="preserve">管理事项</w:t>
      </w:r>
      <w:r>
        <w:rPr>
          <w:sz w:val="24"/>
        </w:rPr>
      </w:r>
      <w:r/>
    </w:p>
    <w:p>
      <w:pPr>
        <w:pStyle w:val="1265"/>
        <w:ind w:firstLine="480"/>
        <w:spacing w:line="440" w:lineRule="exact"/>
        <w:rPr>
          <w:sz w:val="24"/>
        </w:rPr>
      </w:pPr>
      <w:r>
        <w:rPr>
          <w:sz w:val="24"/>
        </w:rPr>
        <w:t xml:space="preserve">按招标内容要求以及响应单位的承诺项目阐述。</w:t>
      </w:r>
      <w:r>
        <w:rPr>
          <w:sz w:val="24"/>
        </w:rPr>
      </w:r>
      <w:r/>
    </w:p>
    <w:p>
      <w:pPr>
        <w:pStyle w:val="1265"/>
        <w:ind w:firstLine="482"/>
        <w:spacing w:line="440" w:lineRule="exact"/>
        <w:rPr>
          <w:b/>
          <w:sz w:val="24"/>
        </w:rPr>
      </w:pPr>
      <w:r>
        <w:rPr>
          <w:b/>
          <w:sz w:val="24"/>
        </w:rPr>
        <w:t xml:space="preserve">九、双方权利义务</w:t>
      </w:r>
      <w:r>
        <w:rPr>
          <w:b/>
          <w:sz w:val="24"/>
        </w:rPr>
      </w:r>
      <w:r/>
    </w:p>
    <w:p>
      <w:pPr>
        <w:pStyle w:val="1265"/>
        <w:ind w:firstLine="480"/>
        <w:spacing w:line="440" w:lineRule="exact"/>
        <w:rPr>
          <w:sz w:val="24"/>
        </w:rPr>
      </w:pPr>
      <w:r>
        <w:rPr>
          <w:sz w:val="24"/>
        </w:rPr>
        <w:t xml:space="preserve">9.1 甲方的权利和义务</w:t>
      </w:r>
      <w:r>
        <w:rPr>
          <w:sz w:val="24"/>
        </w:rPr>
      </w:r>
      <w:r/>
    </w:p>
    <w:p>
      <w:pPr>
        <w:pStyle w:val="1265"/>
        <w:ind w:firstLine="480"/>
        <w:spacing w:line="440" w:lineRule="exact"/>
        <w:rPr>
          <w:sz w:val="24"/>
        </w:rPr>
      </w:pPr>
      <w:r>
        <w:rPr>
          <w:sz w:val="24"/>
        </w:rPr>
        <w:t xml:space="preserve">(1)甲方制定的委托乙方承担的项目管理内容。（详见项目需求）</w:t>
      </w:r>
      <w:r>
        <w:rPr>
          <w:sz w:val="24"/>
        </w:rPr>
      </w:r>
      <w:r/>
    </w:p>
    <w:p>
      <w:pPr>
        <w:pStyle w:val="1265"/>
        <w:ind w:firstLine="480"/>
        <w:spacing w:line="440" w:lineRule="exact"/>
        <w:rPr>
          <w:sz w:val="24"/>
        </w:rPr>
      </w:pPr>
      <w:r>
        <w:rPr>
          <w:sz w:val="24"/>
        </w:rPr>
        <w:t xml:space="preserve">(2)检查监督乙方管理工作的实施及制度的执行情况，并进行考核。</w:t>
      </w:r>
      <w:r>
        <w:rPr>
          <w:sz w:val="24"/>
        </w:rPr>
      </w:r>
      <w:r/>
    </w:p>
    <w:p>
      <w:pPr>
        <w:pStyle w:val="1265"/>
        <w:ind w:firstLine="480"/>
        <w:spacing w:line="440" w:lineRule="exact"/>
        <w:rPr>
          <w:sz w:val="24"/>
        </w:rPr>
      </w:pPr>
      <w:r>
        <w:rPr>
          <w:sz w:val="24"/>
        </w:rPr>
        <w:t xml:space="preserve">(3)审定乙方提出的项目管理计划。</w:t>
      </w:r>
      <w:r>
        <w:rPr>
          <w:sz w:val="24"/>
        </w:rPr>
      </w:r>
      <w:r/>
    </w:p>
    <w:p>
      <w:pPr>
        <w:pStyle w:val="1265"/>
        <w:ind w:firstLine="480"/>
        <w:spacing w:line="440" w:lineRule="exact"/>
        <w:rPr>
          <w:sz w:val="24"/>
        </w:rPr>
      </w:pPr>
      <w:r>
        <w:rPr>
          <w:sz w:val="24"/>
        </w:rPr>
        <w:t xml:space="preserve">(4)协调处理本合同生效前发生的管理遗留问题。</w:t>
      </w:r>
      <w:r>
        <w:rPr>
          <w:sz w:val="24"/>
        </w:rPr>
      </w:r>
      <w:r/>
    </w:p>
    <w:p>
      <w:pPr>
        <w:pStyle w:val="1265"/>
        <w:ind w:firstLine="480"/>
        <w:spacing w:line="440" w:lineRule="exact"/>
        <w:rPr>
          <w:sz w:val="24"/>
        </w:rPr>
      </w:pPr>
      <w:r>
        <w:rPr>
          <w:sz w:val="24"/>
        </w:rPr>
        <w:t xml:space="preserve">(5)协助乙方做好项目管理工作的宣传教育。</w:t>
      </w:r>
      <w:r>
        <w:rPr>
          <w:sz w:val="24"/>
        </w:rPr>
      </w:r>
      <w:r/>
    </w:p>
    <w:p>
      <w:pPr>
        <w:pStyle w:val="1265"/>
        <w:ind w:firstLine="480"/>
        <w:spacing w:line="440" w:lineRule="exact"/>
        <w:rPr>
          <w:sz w:val="24"/>
        </w:rPr>
      </w:pPr>
      <w:r>
        <w:rPr>
          <w:sz w:val="24"/>
        </w:rPr>
        <w:t xml:space="preserve">(6)乙方有违约行为的，甲方有权解除合同并没收履约保证金及向乙方支付实际合同期内扣除考核扣款后的全部余款。</w:t>
      </w:r>
      <w:r>
        <w:rPr>
          <w:sz w:val="24"/>
        </w:rPr>
      </w:r>
      <w:r/>
    </w:p>
    <w:p>
      <w:pPr>
        <w:pStyle w:val="1265"/>
        <w:ind w:firstLine="480"/>
        <w:spacing w:line="440" w:lineRule="exact"/>
        <w:rPr>
          <w:sz w:val="24"/>
        </w:rPr>
      </w:pPr>
      <w:r>
        <w:rPr>
          <w:sz w:val="24"/>
        </w:rPr>
        <w:t xml:space="preserve">（7）甲方有权对中标后再转包或分包的乙方终止承包合同。</w:t>
      </w:r>
      <w:r>
        <w:rPr>
          <w:sz w:val="24"/>
        </w:rPr>
      </w:r>
      <w:r/>
    </w:p>
    <w:p>
      <w:pPr>
        <w:pStyle w:val="1265"/>
        <w:ind w:firstLine="480"/>
        <w:spacing w:line="440" w:lineRule="exact"/>
        <w:rPr>
          <w:sz w:val="24"/>
        </w:rPr>
      </w:pPr>
      <w:r>
        <w:rPr>
          <w:sz w:val="24"/>
        </w:rPr>
        <w:t xml:space="preserve">（8）甲方有权在服务期内根据实际情况提出修改考核细则，并经与乙方协商确认后，按新的考核细则执行考核。</w:t>
      </w:r>
      <w:r>
        <w:rPr>
          <w:sz w:val="24"/>
        </w:rPr>
      </w:r>
      <w:r/>
    </w:p>
    <w:p>
      <w:pPr>
        <w:pStyle w:val="1266"/>
        <w:ind w:firstLine="508"/>
        <w:spacing w:line="440" w:lineRule="exact"/>
        <w:rPr>
          <w:rFonts w:ascii="Times New Roman" w:hAnsi="Times New Roman"/>
          <w:iCs/>
          <w:spacing w:val="7"/>
        </w:rPr>
      </w:pPr>
      <w:r>
        <w:rPr>
          <w:rFonts w:ascii="Times New Roman" w:hAnsi="Times New Roman"/>
          <w:iCs/>
          <w:spacing w:val="7"/>
        </w:rPr>
        <w:t xml:space="preserve">（9）合同执行期间，甲方如有闸站增加或减少，应提前一个月通知乙方，如增加则参考类似闸站报价确定价格，如减少则扣除相应报价。</w:t>
      </w:r>
      <w:r>
        <w:rPr>
          <w:rFonts w:ascii="Times New Roman" w:hAnsi="Times New Roman"/>
          <w:iCs/>
          <w:spacing w:val="7"/>
        </w:rPr>
      </w:r>
      <w:r/>
    </w:p>
    <w:p>
      <w:pPr>
        <w:pStyle w:val="1265"/>
        <w:ind w:firstLine="480"/>
        <w:spacing w:line="440" w:lineRule="exact"/>
        <w:rPr>
          <w:sz w:val="24"/>
        </w:rPr>
      </w:pPr>
      <w:r>
        <w:rPr>
          <w:sz w:val="24"/>
        </w:rPr>
        <w:t xml:space="preserve">9.2 乙方的权利和义务</w:t>
      </w:r>
      <w:r>
        <w:rPr>
          <w:sz w:val="24"/>
        </w:rPr>
      </w:r>
      <w:r/>
    </w:p>
    <w:p>
      <w:pPr>
        <w:pStyle w:val="1265"/>
        <w:ind w:firstLine="480"/>
        <w:spacing w:line="440" w:lineRule="exact"/>
        <w:rPr>
          <w:sz w:val="24"/>
        </w:rPr>
      </w:pPr>
      <w:r>
        <w:rPr>
          <w:sz w:val="24"/>
        </w:rPr>
        <w:t xml:space="preserve">(1)根据有关法律、法规及本合同的约定，制订项目管理制度。</w:t>
      </w:r>
      <w:r>
        <w:rPr>
          <w:sz w:val="24"/>
        </w:rPr>
      </w:r>
      <w:r/>
    </w:p>
    <w:p>
      <w:pPr>
        <w:pStyle w:val="1265"/>
        <w:ind w:firstLine="480"/>
        <w:spacing w:line="440" w:lineRule="exact"/>
        <w:rPr>
          <w:sz w:val="24"/>
        </w:rPr>
      </w:pPr>
      <w:r>
        <w:rPr>
          <w:sz w:val="24"/>
        </w:rPr>
        <w:t xml:space="preserve">(2)按合同约定，履行项目服务职责。</w:t>
      </w:r>
      <w:r>
        <w:rPr>
          <w:sz w:val="24"/>
        </w:rPr>
      </w:r>
      <w:r/>
    </w:p>
    <w:p>
      <w:pPr>
        <w:pStyle w:val="1265"/>
        <w:ind w:firstLine="480"/>
        <w:spacing w:line="440" w:lineRule="exact"/>
        <w:rPr>
          <w:sz w:val="24"/>
        </w:rPr>
      </w:pPr>
      <w:r>
        <w:rPr>
          <w:sz w:val="24"/>
        </w:rPr>
        <w:t xml:space="preserve">(3)负责编制项目服务年度计划。</w:t>
      </w:r>
      <w:r>
        <w:rPr>
          <w:sz w:val="24"/>
        </w:rPr>
      </w:r>
      <w:r/>
    </w:p>
    <w:p>
      <w:pPr>
        <w:pStyle w:val="1265"/>
        <w:ind w:firstLine="480"/>
        <w:spacing w:line="440" w:lineRule="exact"/>
        <w:rPr>
          <w:sz w:val="24"/>
        </w:rPr>
      </w:pPr>
      <w:r>
        <w:rPr>
          <w:sz w:val="24"/>
        </w:rPr>
        <w:t xml:space="preserve">(4)</w:t>
      </w:r>
      <w:r>
        <w:rPr>
          <w:bCs/>
          <w:sz w:val="24"/>
        </w:rPr>
        <w:t xml:space="preserve">工作人员统一着装，并</w:t>
      </w:r>
      <w:r>
        <w:rPr>
          <w:rFonts w:hint="eastAsia"/>
          <w:bCs/>
          <w:sz w:val="24"/>
          <w:lang w:eastAsia="zh-CN"/>
        </w:rPr>
        <w:t xml:space="preserve">做好</w:t>
      </w:r>
      <w:r>
        <w:rPr>
          <w:bCs/>
          <w:sz w:val="24"/>
        </w:rPr>
        <w:t xml:space="preserve">相关劳动安全防护工作，严格遵守各项管理规定。</w:t>
      </w:r>
      <w:r>
        <w:rPr>
          <w:sz w:val="24"/>
        </w:rPr>
      </w:r>
      <w:r/>
    </w:p>
    <w:p>
      <w:pPr>
        <w:pStyle w:val="1265"/>
        <w:ind w:firstLine="480"/>
        <w:spacing w:line="440" w:lineRule="exact"/>
        <w:rPr>
          <w:sz w:val="24"/>
        </w:rPr>
      </w:pPr>
      <w:r>
        <w:rPr>
          <w:sz w:val="24"/>
        </w:rPr>
        <w:t xml:space="preserve">(5)</w:t>
      </w:r>
      <w:r>
        <w:rPr>
          <w:sz w:val="24"/>
          <w:lang w:bidi="en-US"/>
        </w:rPr>
        <w:t xml:space="preserve">乙方应严格按照已确认的运行养护管理实施方案进行，并应无条件地接受甲方的监督和检查，若发现有不符合养护及控制运用要求或未全面响应有关招标文件、相关合同内容的，由甲方发出整改通知，乙方应无条件接受，并做到及时整改。</w:t>
      </w:r>
      <w:r>
        <w:rPr>
          <w:bCs/>
          <w:sz w:val="24"/>
          <w:lang w:bidi="en-US"/>
        </w:rPr>
        <w:t xml:space="preserve">如遇张家港市的各项重要活动、参观接待时，乙方应及时组织人员到位，完成各项突击任务。</w:t>
      </w:r>
      <w:r>
        <w:rPr>
          <w:sz w:val="24"/>
        </w:rPr>
      </w:r>
      <w:r/>
    </w:p>
    <w:p>
      <w:pPr>
        <w:pStyle w:val="1354"/>
        <w:ind w:firstLine="480"/>
        <w:rPr>
          <w:sz w:val="24"/>
          <w:szCs w:val="24"/>
        </w:rPr>
      </w:pPr>
      <w:r>
        <w:rPr>
          <w:sz w:val="24"/>
          <w:szCs w:val="24"/>
        </w:rPr>
        <w:t xml:space="preserve">(6)</w:t>
      </w:r>
      <w:r>
        <w:rPr>
          <w:sz w:val="24"/>
          <w:szCs w:val="24"/>
          <w:lang w:bidi="en-US"/>
        </w:rPr>
        <w:t xml:space="preserve">乙方需在每个泵闸站配备一台安卓智能手机，满足自动化办公、巡查使用。</w:t>
      </w:r>
      <w:bookmarkStart w:id="195" w:name="_GoBack"/>
      <w:r/>
      <w:bookmarkEnd w:id="195"/>
      <w:r>
        <w:rPr>
          <w:sz w:val="24"/>
          <w:szCs w:val="24"/>
        </w:rPr>
      </w:r>
      <w:r/>
    </w:p>
    <w:p>
      <w:pPr>
        <w:pStyle w:val="1354"/>
        <w:ind w:firstLine="316"/>
        <w:rPr>
          <w:sz w:val="24"/>
          <w:szCs w:val="24"/>
        </w:rPr>
      </w:pPr>
      <w:r>
        <w:rPr>
          <w:sz w:val="24"/>
          <w:szCs w:val="24"/>
        </w:rPr>
        <w:t xml:space="preserve">（7）本合同终止时，乙方须向甲方移交项目管理全部档案资料。</w:t>
      </w:r>
      <w:r>
        <w:rPr>
          <w:sz w:val="24"/>
          <w:szCs w:val="24"/>
        </w:rPr>
      </w:r>
      <w:r/>
    </w:p>
    <w:p>
      <w:pPr>
        <w:pStyle w:val="1265"/>
        <w:ind w:firstLine="482"/>
        <w:spacing w:line="440" w:lineRule="exact"/>
        <w:rPr>
          <w:b/>
          <w:sz w:val="24"/>
        </w:rPr>
      </w:pPr>
      <w:r>
        <w:rPr>
          <w:b/>
          <w:sz w:val="24"/>
        </w:rPr>
        <w:t xml:space="preserve">十、服务质量</w:t>
      </w:r>
      <w:r>
        <w:rPr>
          <w:b/>
          <w:sz w:val="24"/>
        </w:rPr>
      </w:r>
      <w:r/>
    </w:p>
    <w:p>
      <w:pPr>
        <w:pStyle w:val="1265"/>
        <w:ind w:firstLine="480"/>
        <w:spacing w:line="440" w:lineRule="exact"/>
        <w:rPr>
          <w:sz w:val="24"/>
        </w:rPr>
      </w:pPr>
      <w:r>
        <w:rPr>
          <w:sz w:val="24"/>
        </w:rPr>
        <w:t xml:space="preserve">乙方提供的管理服务应达到投标文件所约定的目标。对达标的理解有异议的，由双方共同认可的第三方予以评定。</w:t>
      </w:r>
      <w:r>
        <w:rPr>
          <w:sz w:val="24"/>
        </w:rPr>
      </w:r>
      <w:r/>
    </w:p>
    <w:p>
      <w:pPr>
        <w:pStyle w:val="1265"/>
        <w:ind w:firstLine="482"/>
        <w:spacing w:line="440" w:lineRule="exact"/>
        <w:rPr>
          <w:sz w:val="24"/>
        </w:rPr>
      </w:pPr>
      <w:r>
        <w:rPr>
          <w:b/>
          <w:bCs/>
          <w:sz w:val="24"/>
        </w:rPr>
        <w:t xml:space="preserve">十一、</w:t>
      </w:r>
      <w:r>
        <w:rPr>
          <w:b/>
          <w:sz w:val="24"/>
        </w:rPr>
        <w:t xml:space="preserve">违约责任</w:t>
      </w:r>
      <w:r>
        <w:rPr>
          <w:sz w:val="24"/>
        </w:rPr>
      </w:r>
      <w:r/>
    </w:p>
    <w:p>
      <w:pPr>
        <w:pStyle w:val="1265"/>
        <w:ind w:firstLine="480"/>
        <w:spacing w:line="440" w:lineRule="exact"/>
        <w:rPr>
          <w:sz w:val="24"/>
        </w:rPr>
      </w:pPr>
      <w:r>
        <w:rPr>
          <w:sz w:val="24"/>
        </w:rPr>
        <w:t xml:space="preserve">11.1甲方违反合同的约定，使乙方未完成规定管理目标，乙方有权要求甲方在一定期限内解决，逾期未解决的，乙方有权终止合同，造成乙方经济损失的，甲方给予乙方经济赔偿。</w:t>
      </w:r>
      <w:r>
        <w:rPr>
          <w:sz w:val="24"/>
        </w:rPr>
      </w:r>
      <w:r/>
    </w:p>
    <w:p>
      <w:pPr>
        <w:pStyle w:val="1265"/>
        <w:ind w:firstLine="480"/>
        <w:spacing w:line="440" w:lineRule="exact"/>
        <w:rPr>
          <w:sz w:val="24"/>
        </w:rPr>
      </w:pPr>
      <w:r>
        <w:rPr>
          <w:sz w:val="24"/>
        </w:rPr>
        <w:t xml:space="preserve">11.2甲方对乙方进行考核</w:t>
      </w:r>
      <w:r>
        <w:rPr>
          <w:b/>
          <w:sz w:val="24"/>
        </w:rPr>
        <w:t xml:space="preserve">，</w:t>
      </w:r>
      <w:r>
        <w:rPr>
          <w:bCs/>
          <w:sz w:val="24"/>
        </w:rPr>
        <w:t xml:space="preserve">按考核结果给付费用。</w:t>
      </w:r>
      <w:r>
        <w:rPr>
          <w:sz w:val="24"/>
        </w:rPr>
        <w:t xml:space="preserve">甲方逾期办理合同款支付的,应当支付逾期利息，且逾期利息的利率不得低于合同订立时1年期贷款市场报价利率。</w:t>
      </w:r>
      <w:r>
        <w:rPr>
          <w:sz w:val="24"/>
        </w:rPr>
      </w:r>
      <w:r/>
    </w:p>
    <w:p>
      <w:pPr>
        <w:pStyle w:val="1265"/>
        <w:ind w:firstLine="480"/>
        <w:spacing w:line="440" w:lineRule="exact"/>
        <w:rPr>
          <w:sz w:val="24"/>
        </w:rPr>
      </w:pPr>
      <w:r>
        <w:rPr>
          <w:sz w:val="24"/>
        </w:rPr>
        <w:t xml:space="preserve">11.3乙方违反合同的约定，未能达到约定的管理目标，甲方有权要求乙方限期整改，逾期未整改的，甲方有权终止合同，造成甲方经济损失的，乙方给予甲方赔偿。</w:t>
      </w:r>
      <w:r>
        <w:rPr>
          <w:sz w:val="24"/>
        </w:rPr>
      </w:r>
      <w:r/>
    </w:p>
    <w:p>
      <w:pPr>
        <w:pStyle w:val="1265"/>
        <w:ind w:firstLine="480"/>
        <w:spacing w:line="440" w:lineRule="exact"/>
        <w:rPr>
          <w:sz w:val="24"/>
        </w:rPr>
      </w:pPr>
      <w:r>
        <w:rPr>
          <w:sz w:val="24"/>
        </w:rPr>
        <w:t xml:space="preserve">11.4 本合同生效后，甲乙双方任何一方无正当理由要求终止合同的，除双方签订补充协议外，责任方须按本合同及其补充协议的有关条款之规定承担违约责任，并应向对方支付合同金额10%的违约金。</w:t>
      </w:r>
      <w:r>
        <w:rPr>
          <w:sz w:val="24"/>
        </w:rPr>
      </w:r>
      <w:r/>
    </w:p>
    <w:p>
      <w:pPr>
        <w:pStyle w:val="1265"/>
        <w:ind w:firstLine="472"/>
        <w:spacing w:line="440" w:lineRule="exact"/>
        <w:rPr>
          <w:b/>
          <w:bCs/>
          <w:sz w:val="24"/>
        </w:rPr>
      </w:pPr>
      <w:r>
        <w:rPr>
          <w:b/>
          <w:bCs/>
          <w:sz w:val="24"/>
        </w:rPr>
        <w:t xml:space="preserve">十二、不可抗力事件处理</w:t>
      </w:r>
      <w:r>
        <w:rPr>
          <w:b/>
          <w:bCs/>
          <w:sz w:val="24"/>
        </w:rPr>
      </w:r>
      <w:r/>
    </w:p>
    <w:p>
      <w:pPr>
        <w:pStyle w:val="1265"/>
        <w:ind w:firstLine="480"/>
        <w:spacing w:line="440" w:lineRule="exact"/>
        <w:rPr>
          <w:sz w:val="24"/>
        </w:rPr>
      </w:pPr>
      <w:r>
        <w:rPr>
          <w:sz w:val="24"/>
        </w:rPr>
        <w:t xml:space="preserve">12.1 在合同有效期内，任何一方因不可抗力事件导致不能履行合同，则合同履行期可延长，其延长期与不可抗力影响期相同。</w:t>
      </w:r>
      <w:r>
        <w:rPr>
          <w:sz w:val="24"/>
        </w:rPr>
      </w:r>
      <w:r/>
    </w:p>
    <w:p>
      <w:pPr>
        <w:pStyle w:val="1265"/>
        <w:ind w:firstLine="480"/>
        <w:spacing w:line="440" w:lineRule="exact"/>
        <w:rPr>
          <w:sz w:val="24"/>
        </w:rPr>
      </w:pPr>
      <w:r>
        <w:rPr>
          <w:sz w:val="24"/>
        </w:rPr>
        <w:t xml:space="preserve">12.2 不可抗力事件发生后，应立即通知对方，并寄送有关权威机构出具的证明。</w:t>
      </w:r>
      <w:r>
        <w:rPr>
          <w:sz w:val="24"/>
        </w:rPr>
      </w:r>
      <w:r/>
    </w:p>
    <w:p>
      <w:pPr>
        <w:pStyle w:val="1265"/>
        <w:ind w:firstLine="470"/>
        <w:spacing w:line="440" w:lineRule="exact"/>
        <w:rPr>
          <w:sz w:val="24"/>
        </w:rPr>
      </w:pPr>
      <w:r>
        <w:rPr>
          <w:sz w:val="24"/>
        </w:rPr>
        <w:t xml:space="preserve">12.3 不可抗力事件延续120天以上，双方应通过友好协商，确定是否继续履行合同。</w:t>
      </w:r>
      <w:r>
        <w:rPr>
          <w:sz w:val="24"/>
        </w:rPr>
      </w:r>
      <w:r/>
    </w:p>
    <w:p>
      <w:pPr>
        <w:pStyle w:val="1265"/>
        <w:ind w:firstLine="472"/>
        <w:spacing w:line="440" w:lineRule="exact"/>
        <w:rPr>
          <w:b/>
          <w:bCs/>
          <w:sz w:val="24"/>
        </w:rPr>
      </w:pPr>
      <w:r>
        <w:rPr>
          <w:b/>
          <w:bCs/>
          <w:sz w:val="24"/>
        </w:rPr>
        <w:t xml:space="preserve">十三、诉讼</w:t>
      </w:r>
      <w:r>
        <w:rPr>
          <w:b/>
          <w:bCs/>
          <w:sz w:val="24"/>
        </w:rPr>
      </w:r>
      <w:r/>
    </w:p>
    <w:p>
      <w:pPr>
        <w:pStyle w:val="1265"/>
        <w:ind w:firstLine="480"/>
        <w:spacing w:line="440" w:lineRule="exact"/>
        <w:rPr>
          <w:sz w:val="24"/>
        </w:rPr>
      </w:pPr>
      <w:r>
        <w:rPr>
          <w:sz w:val="24"/>
        </w:rPr>
        <w:t xml:space="preserve">13.1 双方在执行合同中所发生的一切争议，应通过协商解决。如协商不成，可向合同签订地法院起诉，合同签订地在此约定为张家港市。</w:t>
      </w:r>
      <w:r>
        <w:rPr>
          <w:sz w:val="24"/>
        </w:rPr>
      </w:r>
      <w:r/>
    </w:p>
    <w:p>
      <w:pPr>
        <w:pStyle w:val="1265"/>
        <w:ind w:firstLine="472"/>
        <w:spacing w:line="440" w:lineRule="exact"/>
        <w:rPr>
          <w:b/>
          <w:bCs/>
          <w:sz w:val="24"/>
        </w:rPr>
      </w:pPr>
      <w:r>
        <w:rPr>
          <w:b/>
          <w:bCs/>
          <w:sz w:val="24"/>
        </w:rPr>
        <w:t xml:space="preserve">十四、合同其他文件</w:t>
      </w:r>
      <w:r>
        <w:rPr>
          <w:b/>
          <w:bCs/>
          <w:sz w:val="24"/>
        </w:rPr>
      </w:r>
      <w:r/>
    </w:p>
    <w:p>
      <w:pPr>
        <w:pStyle w:val="1265"/>
        <w:ind w:firstLine="480"/>
        <w:spacing w:line="440" w:lineRule="exact"/>
        <w:rPr>
          <w:sz w:val="24"/>
        </w:rPr>
      </w:pPr>
      <w:r>
        <w:rPr>
          <w:sz w:val="24"/>
        </w:rPr>
        <w:t xml:space="preserve">14.1下列文件为本合同不可分割</w:t>
      </w:r>
      <w:r>
        <w:rPr>
          <w:rFonts w:hint="eastAsia"/>
          <w:sz w:val="24"/>
          <w:lang w:eastAsia="zh-CN"/>
        </w:rPr>
        <w:t xml:space="preserve">部分</w:t>
      </w:r>
      <w:r>
        <w:rPr>
          <w:sz w:val="24"/>
        </w:rPr>
        <w:t xml:space="preserve">，与本合同具有同等效力。</w:t>
      </w:r>
      <w:r>
        <w:rPr>
          <w:sz w:val="24"/>
        </w:rPr>
      </w:r>
      <w:r/>
    </w:p>
    <w:p>
      <w:pPr>
        <w:pStyle w:val="1265"/>
        <w:ind w:firstLine="480"/>
        <w:spacing w:line="440" w:lineRule="exact"/>
        <w:rPr>
          <w:sz w:val="24"/>
        </w:rPr>
      </w:pPr>
      <w:r>
        <w:rPr>
          <w:sz w:val="24"/>
        </w:rPr>
        <w:t xml:space="preserve">(1)中标通知书；</w:t>
      </w:r>
      <w:r>
        <w:rPr>
          <w:sz w:val="24"/>
        </w:rPr>
      </w:r>
      <w:r/>
    </w:p>
    <w:p>
      <w:pPr>
        <w:pStyle w:val="1265"/>
        <w:ind w:firstLine="480"/>
        <w:spacing w:line="440" w:lineRule="exact"/>
        <w:rPr>
          <w:sz w:val="24"/>
        </w:rPr>
      </w:pPr>
      <w:r>
        <w:rPr>
          <w:sz w:val="24"/>
        </w:rPr>
        <w:t xml:space="preserve">(2)供方中标的投标书；</w:t>
      </w:r>
      <w:r>
        <w:rPr>
          <w:sz w:val="24"/>
        </w:rPr>
      </w:r>
      <w:r/>
    </w:p>
    <w:p>
      <w:pPr>
        <w:pStyle w:val="1265"/>
        <w:ind w:firstLine="480"/>
        <w:spacing w:line="440" w:lineRule="exact"/>
        <w:rPr>
          <w:sz w:val="24"/>
        </w:rPr>
      </w:pPr>
      <w:r>
        <w:rPr>
          <w:sz w:val="24"/>
        </w:rPr>
        <w:t xml:space="preserve">(3)招标文件；</w:t>
      </w:r>
      <w:r>
        <w:rPr>
          <w:sz w:val="24"/>
        </w:rPr>
      </w:r>
      <w:r/>
    </w:p>
    <w:p>
      <w:pPr>
        <w:pStyle w:val="1265"/>
        <w:ind w:firstLine="480"/>
        <w:spacing w:line="440" w:lineRule="exact"/>
        <w:rPr>
          <w:sz w:val="24"/>
        </w:rPr>
      </w:pPr>
      <w:r>
        <w:rPr>
          <w:sz w:val="24"/>
        </w:rPr>
        <w:t xml:space="preserve">(4)供方在招投标过程中所作的其他承诺、声明、书面澄清等。</w:t>
      </w:r>
      <w:r>
        <w:rPr>
          <w:sz w:val="24"/>
        </w:rPr>
      </w:r>
      <w:r/>
    </w:p>
    <w:p>
      <w:pPr>
        <w:pStyle w:val="1265"/>
        <w:ind w:firstLine="470"/>
        <w:spacing w:line="440" w:lineRule="exact"/>
        <w:rPr>
          <w:b/>
          <w:bCs/>
          <w:sz w:val="24"/>
        </w:rPr>
      </w:pPr>
      <w:r>
        <w:rPr>
          <w:b/>
          <w:bCs/>
          <w:sz w:val="24"/>
        </w:rPr>
        <w:t xml:space="preserve">十五、合同生效</w:t>
      </w:r>
      <w:r>
        <w:rPr>
          <w:rFonts w:hint="eastAsia"/>
          <w:b/>
          <w:bCs/>
          <w:sz w:val="24"/>
          <w:lang w:eastAsia="zh-CN"/>
        </w:rPr>
        <w:t xml:space="preserve">及其他</w:t>
      </w:r>
      <w:r>
        <w:rPr>
          <w:b/>
          <w:bCs/>
          <w:sz w:val="24"/>
        </w:rPr>
      </w:r>
      <w:r/>
    </w:p>
    <w:p>
      <w:pPr>
        <w:pStyle w:val="1265"/>
        <w:ind w:firstLine="480"/>
        <w:spacing w:line="440" w:lineRule="exact"/>
        <w:rPr>
          <w:sz w:val="24"/>
        </w:rPr>
      </w:pPr>
      <w:r>
        <w:rPr>
          <w:sz w:val="24"/>
        </w:rPr>
        <w:t xml:space="preserve">15.1合同经双方法定代表人</w:t>
      </w:r>
      <w:r>
        <w:rPr>
          <w:bCs/>
          <w:sz w:val="24"/>
        </w:rPr>
        <w:t xml:space="preserve">（或负责人）</w:t>
      </w:r>
      <w:r>
        <w:rPr>
          <w:sz w:val="24"/>
        </w:rPr>
        <w:t xml:space="preserve">或授权委托代表人签字并加盖单位公章后生效,生效后至张家港市政府采购管理中心备案。</w:t>
      </w:r>
      <w:r>
        <w:rPr>
          <w:sz w:val="24"/>
        </w:rPr>
      </w:r>
      <w:r/>
    </w:p>
    <w:p>
      <w:pPr>
        <w:pStyle w:val="1265"/>
        <w:ind w:firstLine="480"/>
        <w:spacing w:line="440" w:lineRule="exact"/>
        <w:rPr>
          <w:sz w:val="24"/>
        </w:rPr>
      </w:pPr>
      <w:r>
        <w:rPr>
          <w:sz w:val="24"/>
        </w:rPr>
        <w:t xml:space="preserve">15.2 本合同未尽事宜，遵照《民法典》合同编经甲乙双方协商一致可签订补充协议。</w:t>
      </w:r>
      <w:r>
        <w:rPr>
          <w:sz w:val="24"/>
        </w:rPr>
      </w:r>
      <w:r/>
    </w:p>
    <w:p>
      <w:pPr>
        <w:pStyle w:val="926"/>
        <w:ind w:left="480" w:hanging="480"/>
        <w:spacing w:line="420" w:lineRule="exact"/>
        <w:rPr>
          <w:rFonts w:ascii="Times New Roman" w:hAnsi="Times New Roman"/>
          <w:sz w:val="24"/>
          <w:szCs w:val="24"/>
        </w:rPr>
      </w:pPr>
      <w:r>
        <w:rPr>
          <w:rFonts w:ascii="Times New Roman" w:hAnsi="Times New Roman"/>
          <w:sz w:val="24"/>
          <w:szCs w:val="24"/>
        </w:rPr>
        <w:t xml:space="preserve">  甲方：</w:t>
      </w:r>
      <w:bookmarkStart w:id="196" w:name="jianshedanwei_2"/>
      <w:r>
        <w:rPr>
          <w:rFonts w:ascii="Times New Roman" w:hAnsi="Times New Roman"/>
          <w:sz w:val="24"/>
          <w:szCs w:val="24"/>
        </w:rPr>
        <w:t xml:space="preserve">                </w:t>
      </w:r>
      <w:bookmarkEnd w:id="196"/>
      <w:r>
        <w:rPr>
          <w:rFonts w:ascii="Times New Roman" w:hAnsi="Times New Roman"/>
          <w:sz w:val="24"/>
          <w:szCs w:val="24"/>
        </w:rPr>
        <w:t xml:space="preserve">        </w:t>
      </w:r>
      <w:r>
        <w:rPr>
          <w:rFonts w:ascii="Times New Roman" w:hAnsi="Times New Roman"/>
          <w:sz w:val="24"/>
          <w:szCs w:val="24"/>
        </w:rPr>
      </w:r>
      <w:r/>
    </w:p>
    <w:p>
      <w:pPr>
        <w:pStyle w:val="926"/>
        <w:spacing w:line="420" w:lineRule="exact"/>
        <w:rPr>
          <w:rFonts w:ascii="Times New Roman" w:hAnsi="Times New Roman"/>
          <w:sz w:val="24"/>
          <w:szCs w:val="24"/>
        </w:rPr>
      </w:pPr>
      <w:r>
        <w:rPr>
          <w:rFonts w:ascii="Times New Roman" w:hAnsi="Times New Roman"/>
          <w:sz w:val="24"/>
          <w:szCs w:val="24"/>
        </w:rPr>
        <w:t xml:space="preserve">  地址：</w:t>
      </w:r>
      <w:bookmarkStart w:id="197" w:name="jianshedanweiaddress"/>
      <w:r>
        <w:rPr>
          <w:rFonts w:ascii="Times New Roman" w:hAnsi="Times New Roman"/>
          <w:sz w:val="24"/>
          <w:szCs w:val="24"/>
        </w:rPr>
        <w:t xml:space="preserve">               </w:t>
      </w:r>
      <w:bookmarkEnd w:id="197"/>
      <w:r>
        <w:rPr>
          <w:rFonts w:ascii="Times New Roman" w:hAnsi="Times New Roman"/>
          <w:sz w:val="24"/>
          <w:szCs w:val="24"/>
        </w:rPr>
        <w:t xml:space="preserve">         </w:t>
      </w:r>
      <w:r>
        <w:rPr>
          <w:rFonts w:ascii="Times New Roman" w:hAnsi="Times New Roman"/>
          <w:sz w:val="24"/>
          <w:szCs w:val="24"/>
        </w:rPr>
      </w:r>
      <w:r/>
    </w:p>
    <w:p>
      <w:pPr>
        <w:pStyle w:val="926"/>
        <w:spacing w:line="420" w:lineRule="exact"/>
        <w:rPr>
          <w:rFonts w:ascii="Times New Roman" w:hAnsi="Times New Roman"/>
          <w:sz w:val="24"/>
          <w:szCs w:val="24"/>
        </w:rPr>
      </w:pPr>
      <w:r>
        <w:rPr>
          <w:rFonts w:ascii="Times New Roman" w:hAnsi="Times New Roman"/>
          <w:sz w:val="24"/>
          <w:szCs w:val="24"/>
        </w:rPr>
        <w:t xml:space="preserve">  法定代表人或授权代表：</w:t>
      </w:r>
      <w:bookmarkStart w:id="198" w:name="jianshedanweifaren"/>
      <w:r>
        <w:rPr>
          <w:rFonts w:ascii="Times New Roman" w:hAnsi="Times New Roman"/>
          <w:sz w:val="24"/>
          <w:szCs w:val="24"/>
        </w:rPr>
        <w:t xml:space="preserve">        </w:t>
      </w:r>
      <w:bookmarkEnd w:id="198"/>
      <w:r>
        <w:rPr>
          <w:rFonts w:ascii="Times New Roman" w:hAnsi="Times New Roman"/>
          <w:sz w:val="24"/>
          <w:szCs w:val="24"/>
        </w:rPr>
      </w:r>
      <w:r/>
    </w:p>
    <w:p>
      <w:pPr>
        <w:pStyle w:val="926"/>
        <w:spacing w:line="420" w:lineRule="exact"/>
        <w:rPr>
          <w:rFonts w:ascii="Times New Roman" w:hAnsi="Times New Roman"/>
          <w:sz w:val="24"/>
          <w:szCs w:val="24"/>
        </w:rPr>
      </w:pPr>
      <w:r>
        <w:rPr>
          <w:rFonts w:ascii="Times New Roman" w:hAnsi="Times New Roman"/>
          <w:sz w:val="24"/>
          <w:szCs w:val="24"/>
        </w:rPr>
        <w:t xml:space="preserve">  联系电话：</w:t>
      </w:r>
      <w:bookmarkStart w:id="199" w:name="jianshedanweifarentel"/>
      <w:r>
        <w:rPr>
          <w:rFonts w:ascii="Times New Roman" w:hAnsi="Times New Roman"/>
          <w:sz w:val="24"/>
          <w:szCs w:val="24"/>
        </w:rPr>
        <w:t xml:space="preserve">                   </w:t>
      </w:r>
      <w:bookmarkEnd w:id="199"/>
      <w:r>
        <w:rPr>
          <w:rFonts w:ascii="Times New Roman" w:hAnsi="Times New Roman"/>
          <w:sz w:val="24"/>
          <w:szCs w:val="24"/>
        </w:rPr>
        <w:t xml:space="preserve">  </w:t>
      </w:r>
      <w:r>
        <w:rPr>
          <w:rFonts w:ascii="Times New Roman" w:hAnsi="Times New Roman"/>
          <w:sz w:val="24"/>
          <w:szCs w:val="24"/>
        </w:rPr>
      </w:r>
      <w:r/>
    </w:p>
    <w:p>
      <w:pPr>
        <w:pStyle w:val="926"/>
        <w:ind w:left="5850" w:hanging="5640"/>
        <w:spacing w:line="420" w:lineRule="exact"/>
        <w:rPr>
          <w:rFonts w:ascii="Times New Roman" w:hAnsi="Times New Roman"/>
          <w:sz w:val="24"/>
          <w:szCs w:val="24"/>
        </w:rPr>
      </w:pPr>
      <w:r>
        <w:rPr>
          <w:rFonts w:ascii="Times New Roman" w:hAnsi="Times New Roman"/>
          <w:sz w:val="24"/>
          <w:szCs w:val="24"/>
        </w:rPr>
        <w:t xml:space="preserve">签订日期： </w:t>
      </w:r>
      <w:bookmarkStart w:id="200" w:name="jiafangqiandingdate"/>
      <w:r>
        <w:rPr>
          <w:rFonts w:ascii="Times New Roman" w:hAnsi="Times New Roman"/>
          <w:sz w:val="24"/>
          <w:szCs w:val="24"/>
        </w:rPr>
        <w:t xml:space="preserve">     年    月  日</w:t>
      </w:r>
      <w:bookmarkEnd w:id="200"/>
      <w:r>
        <w:rPr>
          <w:rFonts w:ascii="Times New Roman" w:hAnsi="Times New Roman"/>
          <w:sz w:val="24"/>
          <w:szCs w:val="24"/>
        </w:rPr>
        <w:t xml:space="preserve">   </w:t>
      </w:r>
      <w:r>
        <w:rPr>
          <w:rFonts w:ascii="Times New Roman" w:hAnsi="Times New Roman"/>
          <w:sz w:val="24"/>
          <w:szCs w:val="24"/>
        </w:rPr>
      </w:r>
      <w:r/>
    </w:p>
    <w:p>
      <w:pPr>
        <w:pStyle w:val="926"/>
        <w:ind w:left="5850" w:hanging="5640"/>
        <w:spacing w:line="420" w:lineRule="exact"/>
        <w:rPr>
          <w:rFonts w:ascii="Times New Roman" w:hAnsi="Times New Roman"/>
          <w:sz w:val="24"/>
          <w:szCs w:val="24"/>
        </w:rPr>
      </w:pPr>
      <w:r/>
      <w:bookmarkEnd w:id="180"/>
      <w:r>
        <w:rPr>
          <w:rFonts w:ascii="Times New Roman" w:hAnsi="Times New Roman"/>
          <w:sz w:val="24"/>
          <w:szCs w:val="24"/>
        </w:rPr>
      </w:r>
      <w:r/>
    </w:p>
    <w:p>
      <w:pPr>
        <w:pStyle w:val="926"/>
        <w:ind w:left="58" w:firstLine="152"/>
        <w:spacing w:line="420" w:lineRule="exact"/>
        <w:rPr>
          <w:rFonts w:ascii="Times New Roman" w:hAnsi="Times New Roman"/>
          <w:sz w:val="24"/>
          <w:szCs w:val="24"/>
        </w:rPr>
      </w:pPr>
      <w:r>
        <w:rPr>
          <w:rFonts w:ascii="Times New Roman" w:hAnsi="Times New Roman"/>
          <w:sz w:val="24"/>
          <w:szCs w:val="24"/>
        </w:rPr>
        <w:t xml:space="preserve">乙方：</w:t>
      </w:r>
      <w:bookmarkStart w:id="201" w:name="zhongbiaodanweiname_2"/>
      <w:r>
        <w:rPr>
          <w:rFonts w:ascii="Times New Roman" w:hAnsi="Times New Roman"/>
          <w:sz w:val="24"/>
          <w:szCs w:val="24"/>
        </w:rPr>
        <w:t xml:space="preserve">                     </w:t>
      </w:r>
      <w:bookmarkEnd w:id="201"/>
      <w:r>
        <w:rPr>
          <w:rFonts w:ascii="Times New Roman" w:hAnsi="Times New Roman"/>
          <w:sz w:val="24"/>
          <w:szCs w:val="24"/>
        </w:rPr>
      </w:r>
      <w:r/>
    </w:p>
    <w:p>
      <w:pPr>
        <w:pStyle w:val="926"/>
        <w:ind w:firstLine="210"/>
        <w:spacing w:line="420" w:lineRule="exact"/>
        <w:rPr>
          <w:rFonts w:ascii="Times New Roman" w:hAnsi="Times New Roman"/>
          <w:sz w:val="24"/>
          <w:szCs w:val="24"/>
        </w:rPr>
      </w:pPr>
      <w:r>
        <w:rPr>
          <w:rFonts w:ascii="Times New Roman" w:hAnsi="Times New Roman"/>
          <w:sz w:val="24"/>
          <w:szCs w:val="24"/>
        </w:rPr>
        <w:t xml:space="preserve">地址：</w:t>
      </w:r>
      <w:bookmarkStart w:id="202" w:name="zhongbiaodanweiaddress"/>
      <w:r>
        <w:rPr>
          <w:rFonts w:ascii="Times New Roman" w:hAnsi="Times New Roman"/>
          <w:sz w:val="24"/>
          <w:szCs w:val="24"/>
        </w:rPr>
        <w:t xml:space="preserve">              </w:t>
      </w:r>
      <w:bookmarkEnd w:id="202"/>
      <w:r>
        <w:rPr>
          <w:rFonts w:ascii="Times New Roman" w:hAnsi="Times New Roman"/>
          <w:sz w:val="24"/>
          <w:szCs w:val="24"/>
        </w:rPr>
      </w:r>
      <w:r/>
    </w:p>
    <w:p>
      <w:pPr>
        <w:pStyle w:val="926"/>
        <w:ind w:firstLine="210"/>
        <w:spacing w:line="420" w:lineRule="exact"/>
        <w:rPr>
          <w:rFonts w:ascii="Times New Roman" w:hAnsi="Times New Roman"/>
          <w:sz w:val="24"/>
          <w:szCs w:val="24"/>
        </w:rPr>
      </w:pPr>
      <w:r>
        <w:rPr>
          <w:rFonts w:ascii="Times New Roman" w:hAnsi="Times New Roman"/>
          <w:sz w:val="24"/>
          <w:szCs w:val="24"/>
        </w:rPr>
        <w:t xml:space="preserve">法定代表人</w:t>
      </w:r>
      <w:r>
        <w:rPr>
          <w:rFonts w:ascii="Times New Roman" w:hAnsi="Times New Roman"/>
          <w:bCs/>
          <w:sz w:val="24"/>
          <w:szCs w:val="24"/>
        </w:rPr>
        <w:t xml:space="preserve">（或负责人）</w:t>
      </w:r>
      <w:r>
        <w:rPr>
          <w:rFonts w:ascii="Times New Roman" w:hAnsi="Times New Roman"/>
          <w:sz w:val="24"/>
          <w:szCs w:val="24"/>
        </w:rPr>
        <w:t xml:space="preserve">或授权代表：</w:t>
      </w:r>
      <w:bookmarkStart w:id="203" w:name="zhongbiaodanweifaren"/>
      <w:r>
        <w:rPr>
          <w:rFonts w:ascii="Times New Roman" w:hAnsi="Times New Roman"/>
          <w:sz w:val="24"/>
          <w:szCs w:val="24"/>
        </w:rPr>
        <w:t xml:space="preserve">               </w:t>
      </w:r>
      <w:bookmarkEnd w:id="203"/>
      <w:r>
        <w:rPr>
          <w:rFonts w:ascii="Times New Roman" w:hAnsi="Times New Roman"/>
          <w:sz w:val="24"/>
          <w:szCs w:val="24"/>
        </w:rPr>
        <w:t xml:space="preserve"> </w:t>
      </w:r>
      <w:r>
        <w:rPr>
          <w:rFonts w:ascii="Times New Roman" w:hAnsi="Times New Roman"/>
          <w:sz w:val="24"/>
          <w:szCs w:val="24"/>
        </w:rPr>
      </w:r>
      <w:r/>
    </w:p>
    <w:p>
      <w:pPr>
        <w:pStyle w:val="926"/>
        <w:ind w:firstLine="210"/>
        <w:spacing w:line="420" w:lineRule="exact"/>
        <w:rPr>
          <w:rFonts w:ascii="Times New Roman" w:hAnsi="Times New Roman"/>
          <w:sz w:val="24"/>
          <w:szCs w:val="24"/>
        </w:rPr>
      </w:pPr>
      <w:r>
        <w:rPr>
          <w:rFonts w:ascii="Times New Roman" w:hAnsi="Times New Roman"/>
          <w:sz w:val="24"/>
          <w:szCs w:val="24"/>
        </w:rPr>
        <w:t xml:space="preserve">联系电话：</w:t>
      </w:r>
      <w:bookmarkStart w:id="204" w:name="zhongbiaodanweifarentel"/>
      <w:r>
        <w:rPr>
          <w:rFonts w:ascii="Times New Roman" w:hAnsi="Times New Roman"/>
          <w:sz w:val="24"/>
          <w:szCs w:val="24"/>
        </w:rPr>
        <w:t xml:space="preserve">                 </w:t>
      </w:r>
      <w:bookmarkEnd w:id="204"/>
      <w:r>
        <w:rPr>
          <w:rFonts w:ascii="Times New Roman" w:hAnsi="Times New Roman"/>
          <w:sz w:val="24"/>
          <w:szCs w:val="24"/>
        </w:rPr>
      </w:r>
      <w:r/>
    </w:p>
    <w:p>
      <w:pPr>
        <w:pStyle w:val="926"/>
        <w:ind w:left="5850" w:hanging="5640"/>
        <w:spacing w:line="420" w:lineRule="exact"/>
        <w:rPr>
          <w:rFonts w:ascii="Times New Roman" w:hAnsi="Times New Roman"/>
          <w:sz w:val="24"/>
          <w:szCs w:val="24"/>
        </w:rPr>
      </w:pPr>
      <w:r>
        <w:rPr>
          <w:rFonts w:ascii="Times New Roman" w:hAnsi="Times New Roman"/>
          <w:sz w:val="24"/>
          <w:szCs w:val="24"/>
        </w:rPr>
        <w:t xml:space="preserve">签订日期： </w:t>
      </w:r>
      <w:bookmarkStart w:id="205" w:name="yifangqiandingdate"/>
      <w:r>
        <w:rPr>
          <w:rFonts w:ascii="Times New Roman" w:hAnsi="Times New Roman"/>
          <w:sz w:val="24"/>
          <w:szCs w:val="24"/>
        </w:rPr>
        <w:t xml:space="preserve">     年    月  日</w:t>
      </w:r>
      <w:bookmarkEnd w:id="205"/>
      <w:r>
        <w:rPr>
          <w:rFonts w:ascii="Times New Roman" w:hAnsi="Times New Roman"/>
          <w:sz w:val="24"/>
          <w:szCs w:val="24"/>
        </w:rPr>
      </w:r>
      <w:r/>
    </w:p>
    <w:p>
      <w:pPr>
        <w:pStyle w:val="926"/>
        <w:rPr>
          <w:rFonts w:ascii="Times New Roman" w:hAnsi="Times New Roman"/>
          <w:sz w:val="20"/>
        </w:rPr>
      </w:pPr>
      <w:r/>
      <w:bookmarkEnd w:id="179"/>
      <w:r>
        <w:rPr>
          <w:rFonts w:ascii="Times New Roman" w:hAnsi="Times New Roman"/>
          <w:sz w:val="20"/>
        </w:rPr>
      </w:r>
      <w:r/>
    </w:p>
    <w:p>
      <w:pPr>
        <w:pStyle w:val="995"/>
        <w:pageBreakBefore/>
        <w:spacing w:line="360" w:lineRule="auto"/>
        <w:rPr>
          <w:rFonts w:ascii="Times New Roman" w:hAnsi="Times New Roman" w:eastAsia="宋体"/>
        </w:rPr>
      </w:pPr>
      <w:r/>
      <w:bookmarkStart w:id="299" w:name="_Toc10"/>
      <w:r/>
      <w:bookmarkStart w:id="206" w:name="_Hlt16619350"/>
      <w:r>
        <w:rPr>
          <w:rFonts w:ascii="Times New Roman" w:hAnsi="Times New Roman" w:eastAsia="宋体"/>
        </w:rPr>
        <w:t xml:space="preserve">第</w:t>
      </w:r>
      <w:bookmarkEnd w:id="206"/>
      <w:r>
        <w:rPr>
          <w:rFonts w:ascii="Times New Roman" w:hAnsi="Times New Roman" w:eastAsia="宋体"/>
        </w:rPr>
        <w:t xml:space="preserve">四章 项目需求</w:t>
      </w:r>
      <w:r>
        <w:rPr>
          <w:rFonts w:ascii="Times New Roman" w:hAnsi="Times New Roman" w:eastAsia="宋体"/>
        </w:rPr>
      </w:r>
      <w:bookmarkEnd w:id="299"/>
      <w:r/>
      <w:r/>
    </w:p>
    <w:p>
      <w:pPr>
        <w:pStyle w:val="926"/>
        <w:spacing w:line="360" w:lineRule="auto"/>
        <w:rPr>
          <w:rFonts w:ascii="Times New Roman" w:hAnsi="Times New Roman"/>
          <w:b/>
          <w:sz w:val="28"/>
          <w:szCs w:val="28"/>
        </w:rPr>
      </w:pPr>
      <w:r>
        <w:rPr>
          <w:rFonts w:ascii="Times New Roman" w:hAnsi="Times New Roman"/>
          <w:b/>
          <w:sz w:val="28"/>
          <w:szCs w:val="28"/>
        </w:rPr>
        <w:t xml:space="preserve">一、清单</w:t>
      </w:r>
      <w:r>
        <w:rPr>
          <w:rFonts w:ascii="Times New Roman" w:hAnsi="Times New Roman"/>
          <w:b/>
          <w:sz w:val="28"/>
          <w:szCs w:val="28"/>
        </w:rPr>
      </w:r>
      <w:r/>
    </w:p>
    <w:p>
      <w:pPr>
        <w:pStyle w:val="1285"/>
        <w:ind w:firstLine="500"/>
        <w:spacing w:line="440" w:lineRule="exact"/>
        <w:rPr>
          <w:rFonts w:eastAsia="宋体"/>
          <w:spacing w:val="7"/>
        </w:rPr>
      </w:pPr>
      <w:r>
        <w:rPr>
          <w:rFonts w:eastAsia="宋体"/>
          <w:spacing w:val="7"/>
        </w:rPr>
        <w:t xml:space="preserve">1.清单</w:t>
      </w:r>
      <w:r>
        <w:rPr>
          <w:rFonts w:eastAsia="宋体"/>
          <w:spacing w:val="7"/>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00"/>
        <w:gridCol w:w="1973"/>
        <w:gridCol w:w="647"/>
        <w:gridCol w:w="500"/>
        <w:gridCol w:w="500"/>
        <w:gridCol w:w="3474"/>
        <w:gridCol w:w="676"/>
        <w:gridCol w:w="589"/>
      </w:tblGrid>
      <w:tr>
        <w:trPr/>
        <w:tc>
          <w:tcPr>
            <w:tcMar>
              <w:top w:w="100" w:type="dxa"/>
              <w:bottom w:w="100" w:type="dxa"/>
            </w:tcMar>
            <w:tcW w:w="500" w:type="dxa"/>
            <w:vAlign w:val="center"/>
            <w:textDirection w:val="lrTb"/>
            <w:noWrap w:val="false"/>
          </w:tcPr>
          <w:p>
            <w:pPr>
              <w:pStyle w:val="1286"/>
              <w:jc w:val="center"/>
              <w:rPr>
                <w:rFonts w:eastAsia="宋体"/>
              </w:rPr>
            </w:pPr>
            <w:r>
              <w:rPr>
                <w:rFonts w:eastAsia="宋体"/>
              </w:rPr>
              <w:t xml:space="preserve">序号</w:t>
            </w:r>
            <w:r>
              <w:rPr>
                <w:rFonts w:eastAsia="宋体"/>
              </w:rPr>
            </w:r>
            <w:r/>
          </w:p>
        </w:tc>
        <w:tc>
          <w:tcPr>
            <w:tcMar>
              <w:top w:w="100" w:type="dxa"/>
              <w:bottom w:w="100" w:type="dxa"/>
            </w:tcMar>
            <w:tcW w:w="1973" w:type="dxa"/>
            <w:vAlign w:val="center"/>
            <w:textDirection w:val="lrTb"/>
            <w:noWrap w:val="false"/>
          </w:tcPr>
          <w:p>
            <w:pPr>
              <w:pStyle w:val="1286"/>
              <w:jc w:val="center"/>
              <w:rPr>
                <w:rFonts w:eastAsia="宋体"/>
              </w:rPr>
            </w:pPr>
            <w:r>
              <w:rPr>
                <w:rFonts w:eastAsia="宋体"/>
              </w:rPr>
              <w:t xml:space="preserve">名称</w:t>
            </w:r>
            <w:r>
              <w:rPr>
                <w:rFonts w:eastAsia="宋体"/>
              </w:rPr>
            </w:r>
            <w:r/>
          </w:p>
        </w:tc>
        <w:tc>
          <w:tcPr>
            <w:tcMar>
              <w:top w:w="100" w:type="dxa"/>
              <w:bottom w:w="100" w:type="dxa"/>
            </w:tcMar>
            <w:tcW w:w="647" w:type="dxa"/>
            <w:vAlign w:val="center"/>
            <w:textDirection w:val="lrTb"/>
            <w:noWrap w:val="false"/>
          </w:tcPr>
          <w:p>
            <w:pPr>
              <w:pStyle w:val="1286"/>
              <w:jc w:val="center"/>
              <w:rPr>
                <w:rFonts w:eastAsia="宋体"/>
              </w:rPr>
            </w:pPr>
            <w:r>
              <w:rPr>
                <w:rFonts w:eastAsia="宋体"/>
              </w:rPr>
              <w:t xml:space="preserve">数量</w:t>
            </w:r>
            <w:r>
              <w:rPr>
                <w:rFonts w:eastAsia="宋体"/>
              </w:rPr>
            </w:r>
            <w:r/>
          </w:p>
        </w:tc>
        <w:tc>
          <w:tcPr>
            <w:tcMar>
              <w:top w:w="100" w:type="dxa"/>
              <w:bottom w:w="100" w:type="dxa"/>
            </w:tcMar>
            <w:tcW w:w="500" w:type="dxa"/>
            <w:vAlign w:val="center"/>
            <w:textDirection w:val="lrTb"/>
            <w:noWrap w:val="false"/>
          </w:tcPr>
          <w:p>
            <w:pPr>
              <w:pStyle w:val="1286"/>
              <w:jc w:val="center"/>
              <w:rPr>
                <w:rFonts w:eastAsia="宋体"/>
              </w:rPr>
            </w:pPr>
            <w:r>
              <w:rPr>
                <w:rFonts w:eastAsia="宋体"/>
              </w:rPr>
              <w:t xml:space="preserve">单位</w:t>
            </w:r>
            <w:r>
              <w:rPr>
                <w:rFonts w:eastAsia="宋体"/>
              </w:rPr>
            </w:r>
            <w:r/>
          </w:p>
        </w:tc>
        <w:tc>
          <w:tcPr>
            <w:tcMar>
              <w:top w:w="100" w:type="dxa"/>
              <w:bottom w:w="100" w:type="dxa"/>
            </w:tcMar>
            <w:tcW w:w="500" w:type="dxa"/>
            <w:vAlign w:val="center"/>
            <w:textDirection w:val="lrTb"/>
            <w:noWrap w:val="false"/>
          </w:tcPr>
          <w:p>
            <w:pPr>
              <w:pStyle w:val="1286"/>
              <w:jc w:val="center"/>
              <w:rPr>
                <w:rFonts w:eastAsia="宋体"/>
              </w:rPr>
            </w:pPr>
            <w:r>
              <w:rPr>
                <w:rFonts w:eastAsia="宋体"/>
              </w:rPr>
              <w:t xml:space="preserve">图片</w:t>
            </w:r>
            <w:r>
              <w:rPr>
                <w:rFonts w:eastAsia="宋体"/>
              </w:rPr>
            </w:r>
            <w:r/>
          </w:p>
        </w:tc>
        <w:tc>
          <w:tcPr>
            <w:tcMar>
              <w:top w:w="100" w:type="dxa"/>
              <w:bottom w:w="100" w:type="dxa"/>
            </w:tcMar>
            <w:tcW w:w="3474" w:type="dxa"/>
            <w:vAlign w:val="center"/>
            <w:textDirection w:val="lrTb"/>
            <w:noWrap w:val="false"/>
          </w:tcPr>
          <w:p>
            <w:pPr>
              <w:pStyle w:val="1286"/>
              <w:jc w:val="center"/>
              <w:rPr>
                <w:rFonts w:eastAsia="宋体"/>
              </w:rPr>
            </w:pPr>
            <w:r>
              <w:rPr>
                <w:rFonts w:eastAsia="宋体"/>
              </w:rPr>
              <w:t xml:space="preserve">所属行业</w:t>
            </w:r>
            <w:r>
              <w:rPr>
                <w:rFonts w:eastAsia="宋体"/>
              </w:rPr>
            </w:r>
            <w:r/>
          </w:p>
        </w:tc>
        <w:tc>
          <w:tcPr>
            <w:tcMar>
              <w:top w:w="100" w:type="dxa"/>
              <w:bottom w:w="100" w:type="dxa"/>
            </w:tcMar>
            <w:tcW w:w="676" w:type="dxa"/>
            <w:vAlign w:val="center"/>
            <w:textDirection w:val="lrTb"/>
            <w:noWrap w:val="false"/>
          </w:tcPr>
          <w:p>
            <w:pPr>
              <w:pStyle w:val="1286"/>
              <w:jc w:val="center"/>
              <w:rPr>
                <w:rFonts w:eastAsia="宋体"/>
              </w:rPr>
            </w:pPr>
            <w:r>
              <w:rPr>
                <w:rFonts w:eastAsia="宋体"/>
              </w:rPr>
              <w:t xml:space="preserve">标的类型</w:t>
            </w:r>
            <w:r>
              <w:rPr>
                <w:rFonts w:eastAsia="宋体"/>
              </w:rPr>
            </w:r>
            <w:r/>
          </w:p>
        </w:tc>
        <w:tc>
          <w:tcPr>
            <w:tcMar>
              <w:top w:w="100" w:type="dxa"/>
              <w:bottom w:w="100" w:type="dxa"/>
            </w:tcMar>
            <w:tcW w:w="589" w:type="dxa"/>
            <w:vAlign w:val="center"/>
            <w:textDirection w:val="lrTb"/>
            <w:noWrap w:val="false"/>
          </w:tcPr>
          <w:p>
            <w:pPr>
              <w:pStyle w:val="1286"/>
              <w:jc w:val="center"/>
              <w:rPr>
                <w:rFonts w:eastAsia="宋体"/>
              </w:rPr>
            </w:pPr>
            <w:r>
              <w:rPr>
                <w:rFonts w:eastAsia="宋体"/>
              </w:rPr>
              <w:t xml:space="preserve">标的属性</w:t>
            </w:r>
            <w:r>
              <w:rPr>
                <w:rFonts w:eastAsia="宋体"/>
              </w:rPr>
            </w:r>
            <w:r/>
          </w:p>
        </w:tc>
      </w:tr>
      <w:tr>
        <w:trPr/>
        <w:tc>
          <w:tcPr>
            <w:tcMar>
              <w:top w:w="100" w:type="dxa"/>
              <w:bottom w:w="100" w:type="dxa"/>
            </w:tcMar>
            <w:tcW w:w="500" w:type="dxa"/>
            <w:vAlign w:val="center"/>
            <w:textDirection w:val="lrTb"/>
            <w:noWrap w:val="false"/>
          </w:tcPr>
          <w:p>
            <w:pPr>
              <w:pStyle w:val="1286"/>
              <w:jc w:val="center"/>
              <w:rPr>
                <w:rFonts w:eastAsia="宋体"/>
              </w:rPr>
            </w:pPr>
            <w:r>
              <w:rPr>
                <w:rFonts w:eastAsia="宋体"/>
              </w:rPr>
              <w:t xml:space="preserve">1</w:t>
            </w:r>
            <w:r>
              <w:rPr>
                <w:rFonts w:eastAsia="宋体"/>
              </w:rPr>
            </w:r>
            <w:r/>
          </w:p>
        </w:tc>
        <w:tc>
          <w:tcPr>
            <w:tcMar>
              <w:top w:w="100" w:type="dxa"/>
              <w:bottom w:w="100" w:type="dxa"/>
            </w:tcMar>
            <w:tcW w:w="1973" w:type="dxa"/>
            <w:vAlign w:val="center"/>
            <w:textDirection w:val="lrTb"/>
            <w:noWrap w:val="false"/>
          </w:tcPr>
          <w:p>
            <w:pPr>
              <w:pStyle w:val="1286"/>
              <w:jc w:val="center"/>
              <w:rPr>
                <w:rFonts w:eastAsia="宋体"/>
                <w:lang w:eastAsia="zh-CN"/>
              </w:rPr>
            </w:pPr>
            <w:r>
              <w:rPr>
                <w:rFonts w:eastAsia="宋体"/>
                <w:lang w:eastAsia="zh-CN"/>
              </w:rPr>
              <w:t xml:space="preserve">2024-2026年长防处大中型闸站标准</w:t>
            </w:r>
            <w:r>
              <w:rPr>
                <w:rFonts w:eastAsia="宋体"/>
                <w:lang w:val="en-US" w:eastAsia="zh-CN"/>
              </w:rPr>
              <w:t xml:space="preserve">化</w:t>
            </w:r>
            <w:r>
              <w:rPr>
                <w:rFonts w:eastAsia="宋体"/>
                <w:lang w:eastAsia="zh-CN"/>
              </w:rPr>
              <w:t xml:space="preserve">管护项目</w:t>
            </w:r>
            <w:r>
              <w:rPr>
                <w:rFonts w:eastAsia="宋体"/>
                <w:lang w:eastAsia="zh-CN"/>
              </w:rPr>
            </w:r>
            <w:r/>
          </w:p>
        </w:tc>
        <w:tc>
          <w:tcPr>
            <w:tcMar>
              <w:top w:w="100" w:type="dxa"/>
              <w:bottom w:w="100" w:type="dxa"/>
            </w:tcMar>
            <w:tcW w:w="647" w:type="dxa"/>
            <w:vAlign w:val="center"/>
            <w:textDirection w:val="lrTb"/>
            <w:noWrap w:val="false"/>
          </w:tcPr>
          <w:p>
            <w:pPr>
              <w:pStyle w:val="1286"/>
              <w:jc w:val="center"/>
              <w:rPr>
                <w:rFonts w:eastAsia="宋体"/>
              </w:rPr>
            </w:pPr>
            <w:r>
              <w:rPr>
                <w:rFonts w:eastAsia="宋体"/>
              </w:rPr>
              <w:t xml:space="preserve">1.00</w:t>
            </w:r>
            <w:r>
              <w:rPr>
                <w:rFonts w:eastAsia="宋体"/>
              </w:rPr>
            </w:r>
            <w:r/>
          </w:p>
        </w:tc>
        <w:tc>
          <w:tcPr>
            <w:tcMar>
              <w:top w:w="100" w:type="dxa"/>
              <w:bottom w:w="100" w:type="dxa"/>
            </w:tcMar>
            <w:tcW w:w="500" w:type="dxa"/>
            <w:vAlign w:val="center"/>
            <w:textDirection w:val="lrTb"/>
            <w:noWrap w:val="false"/>
          </w:tcPr>
          <w:p>
            <w:pPr>
              <w:pStyle w:val="1286"/>
              <w:jc w:val="center"/>
              <w:rPr>
                <w:rFonts w:eastAsia="宋体"/>
              </w:rPr>
            </w:pPr>
            <w:r>
              <w:rPr>
                <w:rFonts w:eastAsia="宋体"/>
              </w:rPr>
              <w:t xml:space="preserve">项</w:t>
            </w:r>
            <w:r>
              <w:rPr>
                <w:rFonts w:eastAsia="宋体"/>
              </w:rPr>
            </w:r>
            <w:r/>
          </w:p>
        </w:tc>
        <w:tc>
          <w:tcPr>
            <w:tcMar>
              <w:top w:w="100" w:type="dxa"/>
              <w:bottom w:w="100" w:type="dxa"/>
            </w:tcMar>
            <w:tcW w:w="500" w:type="dxa"/>
            <w:vAlign w:val="center"/>
            <w:textDirection w:val="lrTb"/>
            <w:noWrap w:val="false"/>
          </w:tcPr>
          <w:p>
            <w:pPr>
              <w:pStyle w:val="1286"/>
              <w:rPr>
                <w:rFonts w:eastAsia="宋体"/>
              </w:rPr>
            </w:pPr>
            <w:r>
              <w:rPr>
                <w:rFonts w:eastAsia="宋体"/>
              </w:rPr>
              <w:t xml:space="preserve">无</w:t>
            </w:r>
            <w:r>
              <w:rPr>
                <w:rFonts w:eastAsia="宋体"/>
              </w:rPr>
            </w:r>
            <w:r/>
          </w:p>
        </w:tc>
        <w:tc>
          <w:tcPr>
            <w:tcMar>
              <w:top w:w="100" w:type="dxa"/>
              <w:bottom w:w="100" w:type="dxa"/>
            </w:tcMar>
            <w:tcW w:w="3474" w:type="dxa"/>
            <w:vAlign w:val="center"/>
            <w:textDirection w:val="lrTb"/>
            <w:noWrap w:val="false"/>
          </w:tcPr>
          <w:p>
            <w:pPr>
              <w:pStyle w:val="1286"/>
              <w:jc w:val="center"/>
              <w:rPr>
                <w:rFonts w:eastAsia="宋体"/>
              </w:rPr>
            </w:pPr>
            <w:r>
              <w:rPr>
                <w:rFonts w:eastAsia="宋体"/>
              </w:rPr>
              <w:t xml:space="preserve">其他未列明行业（包括科学研究和技术服务业，水利、环境和公共设施管理业，居民服务、修理和其他服务业，社会工作，文化、体育和娱乐业等）</w:t>
            </w:r>
            <w:r>
              <w:rPr>
                <w:rFonts w:eastAsia="宋体"/>
              </w:rPr>
            </w:r>
            <w:r/>
          </w:p>
        </w:tc>
        <w:tc>
          <w:tcPr>
            <w:tcMar>
              <w:top w:w="100" w:type="dxa"/>
              <w:bottom w:w="100" w:type="dxa"/>
            </w:tcMar>
            <w:tcW w:w="676" w:type="dxa"/>
            <w:vAlign w:val="center"/>
            <w:textDirection w:val="lrTb"/>
            <w:noWrap w:val="false"/>
          </w:tcPr>
          <w:p>
            <w:pPr>
              <w:pStyle w:val="1286"/>
              <w:jc w:val="center"/>
              <w:rPr>
                <w:rFonts w:eastAsia="宋体"/>
              </w:rPr>
            </w:pPr>
            <w:r>
              <w:rPr>
                <w:rFonts w:eastAsia="宋体"/>
              </w:rPr>
              <w:t xml:space="preserve">主要采购标的</w:t>
            </w:r>
            <w:r>
              <w:rPr>
                <w:rFonts w:eastAsia="宋体"/>
              </w:rPr>
            </w:r>
            <w:r/>
          </w:p>
        </w:tc>
        <w:tc>
          <w:tcPr>
            <w:tcMar>
              <w:top w:w="100" w:type="dxa"/>
              <w:bottom w:w="100" w:type="dxa"/>
            </w:tcMar>
            <w:tcW w:w="589" w:type="dxa"/>
            <w:vAlign w:val="center"/>
            <w:textDirection w:val="lrTb"/>
            <w:noWrap w:val="false"/>
          </w:tcPr>
          <w:p>
            <w:pPr>
              <w:pStyle w:val="1286"/>
              <w:jc w:val="center"/>
              <w:rPr>
                <w:rFonts w:eastAsia="宋体"/>
              </w:rPr>
            </w:pPr>
            <w:r>
              <w:rPr>
                <w:rFonts w:eastAsia="宋体"/>
              </w:rPr>
              <w:t xml:space="preserve">服务类</w:t>
            </w:r>
            <w:r>
              <w:rPr>
                <w:rFonts w:eastAsia="宋体"/>
              </w:rPr>
            </w:r>
            <w:r/>
          </w:p>
        </w:tc>
      </w:tr>
    </w:tbl>
    <w:p>
      <w:pPr>
        <w:pStyle w:val="1286"/>
        <w:jc w:val="center"/>
        <w:rPr>
          <w:rFonts w:eastAsia="宋体"/>
        </w:rPr>
      </w:pPr>
      <w:r>
        <w:rPr>
          <w:rFonts w:eastAsia="宋体"/>
        </w:rPr>
      </w:r>
      <w:r/>
    </w:p>
    <w:p>
      <w:pPr>
        <w:pStyle w:val="1287"/>
        <w:ind w:firstLine="500"/>
        <w:spacing w:line="440" w:lineRule="exact"/>
        <w:rPr>
          <w:rFonts w:eastAsia="宋体"/>
          <w:spacing w:val="7"/>
        </w:rPr>
      </w:pPr>
      <w:r>
        <w:rPr>
          <w:rFonts w:eastAsia="宋体"/>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eastAsia="宋体"/>
          <w:spacing w:val="7"/>
        </w:rPr>
      </w:r>
      <w:r/>
    </w:p>
    <w:p>
      <w:pPr>
        <w:pStyle w:val="1288"/>
        <w:ind w:firstLine="500"/>
        <w:spacing w:line="440" w:lineRule="exact"/>
        <w:rPr>
          <w:rFonts w:eastAsia="宋体"/>
          <w:spacing w:val="7"/>
        </w:rPr>
      </w:pPr>
      <w:r>
        <w:rPr>
          <w:rFonts w:eastAsia="宋体"/>
          <w:spacing w:val="7"/>
        </w:rPr>
        <w:t xml:space="preserve">2.核心产品清单</w:t>
      </w:r>
      <w:r>
        <w:rPr>
          <w:rFonts w:eastAsia="宋体"/>
          <w:spacing w:val="7"/>
        </w:rPr>
      </w:r>
      <w:r/>
    </w:p>
    <w:p>
      <w:pPr>
        <w:pStyle w:val="1288"/>
        <w:ind w:firstLine="500"/>
        <w:spacing w:line="440" w:lineRule="exact"/>
        <w:rPr>
          <w:rFonts w:eastAsia="宋体"/>
          <w:spacing w:val="7"/>
        </w:rPr>
      </w:pPr>
      <w:r>
        <w:rPr>
          <w:rFonts w:eastAsia="宋体"/>
          <w:spacing w:val="7"/>
        </w:rPr>
        <w:t xml:space="preserve">无</w:t>
      </w:r>
      <w:r>
        <w:rPr>
          <w:rFonts w:eastAsia="宋体"/>
          <w:spacing w:val="7"/>
        </w:rPr>
      </w:r>
      <w:r/>
    </w:p>
    <w:p>
      <w:pPr>
        <w:pStyle w:val="1289"/>
        <w:ind w:firstLine="500"/>
        <w:spacing w:line="440" w:lineRule="exact"/>
        <w:rPr>
          <w:rFonts w:eastAsia="宋体"/>
          <w:spacing w:val="7"/>
        </w:rPr>
      </w:pPr>
      <w:r>
        <w:rPr>
          <w:rFonts w:eastAsia="宋体"/>
          <w:spacing w:val="7"/>
        </w:rPr>
        <w:t xml:space="preserve">3、节能、环境标志产品清单(请提供国家确定的认证机构出具的、处于有效期之内的节能产品、环境标志产品认证证书（若证书有附件（附录）的，附件（附录）须随证书一起提供)）</w:t>
      </w:r>
      <w:r>
        <w:rPr>
          <w:rFonts w:eastAsia="宋体"/>
          <w:spacing w:val="7"/>
        </w:rPr>
      </w:r>
      <w:r/>
    </w:p>
    <w:p>
      <w:pPr>
        <w:pStyle w:val="1289"/>
        <w:ind w:firstLine="500"/>
        <w:spacing w:line="440" w:lineRule="exact"/>
        <w:rPr>
          <w:rFonts w:eastAsia="宋体"/>
          <w:spacing w:val="7"/>
        </w:rPr>
      </w:pPr>
      <w:r>
        <w:rPr>
          <w:rFonts w:eastAsia="宋体"/>
          <w:spacing w:val="7"/>
        </w:rPr>
        <w:t xml:space="preserve">节能产品政府采购品目清单： </w:t>
      </w:r>
      <w:r>
        <w:rPr>
          <w:rFonts w:eastAsia="宋体"/>
          <w:spacing w:val="7"/>
        </w:rPr>
      </w:r>
      <w:r/>
    </w:p>
    <w:p>
      <w:pPr>
        <w:pStyle w:val="1289"/>
        <w:ind w:firstLine="500"/>
        <w:spacing w:line="440" w:lineRule="exact"/>
        <w:rPr>
          <w:rFonts w:eastAsia="宋体"/>
          <w:spacing w:val="7"/>
        </w:rPr>
      </w:pPr>
      <w:r>
        <w:rPr>
          <w:rFonts w:eastAsia="宋体"/>
          <w:spacing w:val="7"/>
        </w:rPr>
        <w:t xml:space="preserve">无 </w:t>
      </w:r>
      <w:r>
        <w:rPr>
          <w:rFonts w:eastAsia="宋体"/>
          <w:spacing w:val="7"/>
        </w:rPr>
      </w:r>
      <w:r/>
    </w:p>
    <w:p>
      <w:pPr>
        <w:pStyle w:val="1290"/>
        <w:ind w:firstLine="500"/>
        <w:spacing w:line="440" w:lineRule="exact"/>
        <w:rPr>
          <w:rFonts w:eastAsia="宋体"/>
          <w:spacing w:val="7"/>
        </w:rPr>
      </w:pPr>
      <w:r>
        <w:rPr>
          <w:rFonts w:eastAsia="宋体"/>
          <w:spacing w:val="7"/>
        </w:rPr>
        <w:t xml:space="preserve">环境标志产品政府采购品目清单:</w:t>
      </w:r>
      <w:r>
        <w:rPr>
          <w:rFonts w:eastAsia="宋体"/>
          <w:spacing w:val="7"/>
        </w:rPr>
      </w:r>
      <w:r/>
    </w:p>
    <w:p>
      <w:pPr>
        <w:pStyle w:val="1290"/>
        <w:ind w:firstLine="500"/>
        <w:spacing w:line="440" w:lineRule="exact"/>
        <w:rPr>
          <w:rFonts w:eastAsia="宋体"/>
          <w:spacing w:val="7"/>
        </w:rPr>
      </w:pPr>
      <w:r>
        <w:rPr>
          <w:rFonts w:eastAsia="宋体"/>
          <w:spacing w:val="7"/>
        </w:rPr>
        <w:t xml:space="preserve">无</w:t>
      </w:r>
      <w:r>
        <w:rPr>
          <w:rFonts w:eastAsia="宋体"/>
          <w:spacing w:val="7"/>
        </w:rPr>
      </w:r>
      <w:r/>
    </w:p>
    <w:p>
      <w:pPr>
        <w:pStyle w:val="1090"/>
        <w:ind w:firstLine="0"/>
        <w:rPr>
          <w:rFonts w:ascii="Times New Roman" w:hAnsi="Times New Roman"/>
          <w:szCs w:val="24"/>
        </w:rPr>
      </w:pPr>
      <w:r/>
      <w:bookmarkStart w:id="222" w:name="EB408f2104b2e44804a6615a1921eee37c"/>
      <w:r/>
      <w:bookmarkEnd w:id="222"/>
      <w:r>
        <w:rPr>
          <w:rFonts w:ascii="Times New Roman" w:hAnsi="Times New Roman"/>
          <w:szCs w:val="24"/>
        </w:rPr>
      </w:r>
      <w:r/>
    </w:p>
    <w:p>
      <w:pPr>
        <w:pStyle w:val="926"/>
        <w:spacing w:before="120" w:after="120" w:line="440" w:lineRule="exact"/>
        <w:rPr>
          <w:rFonts w:ascii="Times New Roman" w:hAnsi="Times New Roman"/>
          <w:b/>
          <w:sz w:val="28"/>
          <w:szCs w:val="28"/>
        </w:rPr>
      </w:pPr>
      <w:r>
        <w:rPr>
          <w:rFonts w:ascii="Times New Roman" w:hAnsi="Times New Roman"/>
          <w:b/>
          <w:sz w:val="28"/>
          <w:szCs w:val="28"/>
        </w:rPr>
        <w:t xml:space="preserve">二、技术要求</w:t>
      </w:r>
      <w:r>
        <w:rPr>
          <w:rFonts w:ascii="Times New Roman" w:hAnsi="Times New Roman"/>
          <w:b/>
          <w:sz w:val="28"/>
          <w:szCs w:val="28"/>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9"/>
        <w:gridCol w:w="429"/>
        <w:gridCol w:w="7890"/>
      </w:tblGrid>
      <w:tr>
        <w:trPr/>
        <w:tc>
          <w:tcPr>
            <w:tcMar>
              <w:left w:w="108" w:type="dxa"/>
              <w:top w:w="100" w:type="dxa"/>
              <w:right w:w="108" w:type="dxa"/>
              <w:bottom w:w="100" w:type="dxa"/>
            </w:tcMar>
            <w:tcW w:w="429" w:type="dxa"/>
            <w:vAlign w:val="center"/>
            <w:textDirection w:val="lrTb"/>
            <w:noWrap w:val="false"/>
          </w:tcPr>
          <w:p>
            <w:pPr>
              <w:pStyle w:val="1292"/>
              <w:jc w:val="center"/>
              <w:spacing w:line="440" w:lineRule="exact"/>
              <w:rPr>
                <w:rFonts w:eastAsia="宋体"/>
              </w:rPr>
            </w:pPr>
            <w:r/>
            <w:bookmarkStart w:id="223" w:name="_Hlk160095828"/>
            <w:r>
              <w:rPr>
                <w:rFonts w:eastAsia="宋体"/>
              </w:rPr>
              <w:t xml:space="preserve">序号</w:t>
            </w:r>
            <w:r>
              <w:rPr>
                <w:rFonts w:eastAsia="宋体"/>
              </w:rPr>
            </w:r>
            <w:r/>
          </w:p>
        </w:tc>
        <w:tc>
          <w:tcPr>
            <w:tcMar>
              <w:left w:w="108" w:type="dxa"/>
              <w:top w:w="100" w:type="dxa"/>
              <w:right w:w="108" w:type="dxa"/>
              <w:bottom w:w="100" w:type="dxa"/>
            </w:tcMar>
            <w:tcW w:w="429" w:type="dxa"/>
            <w:vAlign w:val="center"/>
            <w:textDirection w:val="lrTb"/>
            <w:noWrap w:val="false"/>
          </w:tcPr>
          <w:p>
            <w:pPr>
              <w:pStyle w:val="1292"/>
              <w:jc w:val="center"/>
              <w:spacing w:line="440" w:lineRule="exact"/>
              <w:rPr>
                <w:rFonts w:eastAsia="宋体"/>
              </w:rPr>
            </w:pPr>
            <w:r>
              <w:rPr>
                <w:rFonts w:eastAsia="宋体"/>
              </w:rPr>
              <w:t xml:space="preserve">名称</w:t>
            </w:r>
            <w:r>
              <w:rPr>
                <w:rFonts w:eastAsia="宋体"/>
              </w:rPr>
            </w:r>
            <w:r/>
          </w:p>
        </w:tc>
        <w:tc>
          <w:tcPr>
            <w:tcMar>
              <w:left w:w="108" w:type="dxa"/>
              <w:top w:w="100" w:type="dxa"/>
              <w:right w:w="108" w:type="dxa"/>
              <w:bottom w:w="100" w:type="dxa"/>
            </w:tcMar>
            <w:tcW w:w="7890" w:type="dxa"/>
            <w:vAlign w:val="center"/>
            <w:textDirection w:val="lrTb"/>
            <w:noWrap w:val="false"/>
          </w:tcPr>
          <w:p>
            <w:pPr>
              <w:pStyle w:val="1292"/>
              <w:jc w:val="center"/>
              <w:spacing w:line="440" w:lineRule="exact"/>
              <w:rPr>
                <w:rFonts w:eastAsia="宋体"/>
              </w:rPr>
            </w:pPr>
            <w:r>
              <w:rPr>
                <w:rFonts w:eastAsia="宋体"/>
              </w:rPr>
              <w:t xml:space="preserve">内容</w:t>
            </w:r>
            <w:r>
              <w:rPr>
                <w:rFonts w:eastAsia="宋体"/>
              </w:rPr>
            </w:r>
            <w:r/>
          </w:p>
        </w:tc>
      </w:tr>
      <w:tr>
        <w:trPr/>
        <w:tc>
          <w:tcPr>
            <w:tcMar>
              <w:left w:w="108" w:type="dxa"/>
              <w:top w:w="100" w:type="dxa"/>
              <w:right w:w="108" w:type="dxa"/>
              <w:bottom w:w="100" w:type="dxa"/>
            </w:tcMar>
            <w:tcW w:w="429" w:type="dxa"/>
            <w:vAlign w:val="center"/>
            <w:vMerge w:val="restart"/>
            <w:textDirection w:val="lrTb"/>
            <w:noWrap w:val="false"/>
          </w:tcPr>
          <w:p>
            <w:pPr>
              <w:pStyle w:val="1292"/>
              <w:jc w:val="center"/>
              <w:spacing w:line="440" w:lineRule="exact"/>
              <w:rPr>
                <w:rFonts w:eastAsia="宋体"/>
                <w:lang w:eastAsia="zh-CN"/>
              </w:rPr>
            </w:pPr>
            <w:r>
              <w:rPr>
                <w:rFonts w:eastAsia="宋体"/>
                <w:lang w:eastAsia="zh-CN"/>
              </w:rPr>
              <w:t xml:space="preserve">1</w:t>
            </w:r>
            <w:r>
              <w:rPr>
                <w:rFonts w:eastAsia="宋体"/>
                <w:lang w:eastAsia="zh-CN"/>
              </w:rPr>
            </w:r>
            <w:r/>
          </w:p>
        </w:tc>
        <w:tc>
          <w:tcPr>
            <w:tcMar>
              <w:left w:w="108" w:type="dxa"/>
              <w:top w:w="100" w:type="dxa"/>
              <w:right w:w="108" w:type="dxa"/>
              <w:bottom w:w="100" w:type="dxa"/>
            </w:tcMar>
            <w:tcW w:w="429" w:type="dxa"/>
            <w:vAlign w:val="center"/>
            <w:vMerge w:val="restart"/>
            <w:textDirection w:val="lrTb"/>
            <w:noWrap w:val="false"/>
          </w:tcPr>
          <w:p>
            <w:pPr>
              <w:pStyle w:val="1292"/>
              <w:jc w:val="center"/>
              <w:spacing w:line="440" w:lineRule="exact"/>
              <w:rPr>
                <w:rFonts w:eastAsia="宋体"/>
              </w:rPr>
            </w:pPr>
            <w:r>
              <w:rPr>
                <w:rFonts w:eastAsia="宋体"/>
              </w:rPr>
              <w:t xml:space="preserve">闸站概况</w:t>
            </w:r>
            <w:r>
              <w:rPr>
                <w:rFonts w:eastAsia="宋体"/>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lang w:eastAsia="zh-CN"/>
              </w:rPr>
            </w:pPr>
            <w:r>
              <w:rPr>
                <w:rFonts w:eastAsia="宋体"/>
                <w:lang w:eastAsia="zh-CN"/>
              </w:rPr>
              <w:t xml:space="preserve">1.1 </w:t>
            </w:r>
            <w:r>
              <w:rPr>
                <w:rFonts w:eastAsia="宋体"/>
              </w:rPr>
              <w:t xml:space="preserve">太字圩港闸站概况</w:t>
            </w:r>
            <w:r>
              <w:rPr>
                <w:rFonts w:eastAsia="宋体"/>
                <w:lang w:eastAsia="zh-CN"/>
              </w:rPr>
            </w:r>
            <w:r/>
          </w:p>
        </w:tc>
      </w:tr>
      <w:tr>
        <w:trPr/>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lang w:eastAsia="zh-CN"/>
              </w:rPr>
            </w:pPr>
            <w:r>
              <w:rPr>
                <w:rFonts w:eastAsia="宋体"/>
                <w:lang w:eastAsia="zh-CN"/>
              </w:rPr>
            </w:r>
            <w:r/>
          </w:p>
        </w:tc>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rPr>
            </w:pPr>
            <w:r>
              <w:rPr>
                <w:rFonts w:eastAsia="宋体"/>
              </w:rPr>
            </w:r>
            <w:r/>
          </w:p>
        </w:tc>
        <w:tc>
          <w:tcPr>
            <w:tcMar>
              <w:left w:w="108" w:type="dxa"/>
              <w:top w:w="100" w:type="dxa"/>
              <w:right w:w="108" w:type="dxa"/>
              <w:bottom w:w="100" w:type="dxa"/>
            </w:tcMar>
            <w:tcW w:w="7890" w:type="dxa"/>
            <w:vAlign w:val="center"/>
            <w:textDirection w:val="lrTb"/>
            <w:noWrap w:val="false"/>
          </w:tcPr>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1）太字圩港闸站主要任务为确保经开区(杨舍镇)和保税区(金港镇）境内防洪排涝安全，沟通经开区(杨舍镇)和保税区(金港镇）内部水系，增强排涝和引清能力，改善城区水环境，实现调活水系、改善水质。工程标准：工程等别为Ⅱ等，主要建筑物工程级别为2级，次要建筑物工程级别为3级，临时工程级别为4级。防洪标准为100年一遇高潮位设计，300年一遇高潮位校核。排涝标准为20年一遇24小时降雨雨后24小时排除。</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rPr>
              <w:t xml:space="preserve">（2）</w:t>
            </w:r>
            <w:r>
              <w:rPr>
                <w:rFonts w:ascii="Times New Roman" w:hAnsi="Times New Roman"/>
                <w:shd w:val="clear" w:color="auto" w:fill="ffffff"/>
              </w:rPr>
              <w:t xml:space="preserve">本程主要包括：节制闸总净宽28m（</w:t>
            </w:r>
            <w:r>
              <w:rPr>
                <w:rFonts w:ascii="Times New Roman" w:hAnsi="Times New Roman"/>
                <w:shd w:val="clear" w:color="auto" w:fill="ffffff"/>
              </w:rPr>
              <w:t xml:space="preserve">中孔16m，2边孔×6m），闸室底板为平底板，底板面高程-0.50m。边孔采用胸墙+直升式钢闸门，门底高程-0.50m，门高6.00m，门顶高程5.50m；胸墙采用梁板式，其底高程5.00m，顶高程8.90m，QPB-2*200kN 闭式卷扬启闭机启闭。中孔采用升卧式钢闸门，门底高程-0.50m，门高 8.80m，门顶高程8.30m，QPB-2*500kN闭式卷扬启闭机启闭。闸下游侧设交通桥，桥面净宽7.00m。检修闸门采用叠梁门，共计5节，单节高度1.752m。另配置一台120kW 的自启动柴油发电机组。</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rPr>
              <w:t xml:space="preserve">（3）</w:t>
            </w:r>
            <w:r>
              <w:rPr>
                <w:rFonts w:ascii="Times New Roman" w:hAnsi="Times New Roman"/>
                <w:shd w:val="clear" w:color="auto" w:fill="ffffff"/>
              </w:rPr>
              <w:t xml:space="preserve">泵站为单向排涝泵站，主泵选用竖井式贯流泵，共2台套，单机设计流量15m³/s，总流量为30m³/s，泵站设计净扬程3.14m，叶轮直径为2200mm，水泵转速为151r/min，水泵型号为2200ZGB15-3.14，配用10kV异步电机，泵站的站变系统由双回10kV母线接入，电机额定功率为850kW , 转速741r/min，采用水冷却，齿轮箱传动，传动比4.32。</w:t>
            </w:r>
            <w:r>
              <w:rPr>
                <w:rFonts w:ascii="Times New Roman" w:hAnsi="Times New Roman"/>
                <w:shd w:val="clear" w:color="auto" w:fill="ffffff"/>
              </w:rPr>
            </w:r>
            <w:r/>
          </w:p>
          <w:p>
            <w:pPr>
              <w:pStyle w:val="1292"/>
              <w:spacing w:line="440" w:lineRule="exact"/>
              <w:rPr>
                <w:rFonts w:eastAsia="宋体"/>
              </w:rPr>
            </w:pPr>
            <w:r>
              <w:rPr>
                <w:rFonts w:eastAsia="宋体"/>
              </w:rPr>
              <w:t xml:space="preserve">（4）</w:t>
            </w:r>
            <w:r>
              <w:rPr>
                <w:rFonts w:eastAsia="宋体"/>
                <w:shd w:val="clear" w:color="auto" w:fill="ffffff"/>
              </w:rPr>
              <w:t xml:space="preserve">底板尺寸（长*宽）34.20m*22.37m，底面高程</w:t>
            </w:r>
            <w:r>
              <w:rPr>
                <w:rFonts w:hint="eastAsia" w:ascii="宋体" w:hAnsi="宋体" w:eastAsia="宋体" w:cs="宋体"/>
                <w:shd w:val="clear" w:color="auto" w:fill="ffffff"/>
              </w:rPr>
              <w:t xml:space="preserve">▽</w:t>
            </w:r>
            <w:r>
              <w:rPr>
                <w:rFonts w:eastAsia="宋体"/>
                <w:shd w:val="clear" w:color="auto" w:fill="ffffff"/>
              </w:rPr>
              <w:t xml:space="preserve">-4.00，顶面高程</w:t>
            </w:r>
            <w:r>
              <w:rPr>
                <w:rFonts w:hint="eastAsia" w:ascii="宋体" w:hAnsi="宋体" w:eastAsia="宋体" w:cs="宋体"/>
                <w:shd w:val="clear" w:color="auto" w:fill="ffffff"/>
              </w:rPr>
              <w:t xml:space="preserve">▽</w:t>
            </w:r>
            <w:r>
              <w:rPr>
                <w:rFonts w:eastAsia="宋体"/>
                <w:shd w:val="clear" w:color="auto" w:fill="ffffff"/>
              </w:rPr>
              <w:t xml:space="preserve">-1.50-2.20，水泵安装中心线高程</w:t>
            </w:r>
            <w:r>
              <w:rPr>
                <w:rFonts w:hint="eastAsia" w:ascii="宋体" w:hAnsi="宋体" w:eastAsia="宋体" w:cs="宋体"/>
                <w:shd w:val="clear" w:color="auto" w:fill="ffffff"/>
              </w:rPr>
              <w:t xml:space="preserve">▽</w:t>
            </w:r>
            <w:r>
              <w:rPr>
                <w:rFonts w:eastAsia="宋体"/>
                <w:shd w:val="clear" w:color="auto" w:fill="ffffff"/>
              </w:rPr>
              <w:t xml:space="preserve">-0.200。泵站进水口工作闸门、出水口工作闸门均采用平面钢闸门，双主梁实腹式结构、悬臂式滚轮支承。进水口工作门叶尺寸为6.69×3.50m（宽×高下同）共2扇</w:t>
            </w:r>
            <w:r>
              <w:rPr>
                <w:rFonts w:eastAsia="宋体"/>
                <w:shd w:val="clear" w:color="auto" w:fill="ffffff"/>
              </w:rPr>
              <w:t xml:space="preserve">，采用 QPBk-2*160kN 快速闭式卷扬启闭机，启闭机共 2 套。泵站出水口工作门叶尺寸为6.69×3.50m（宽×高下同）共4扇，采用QPBk-2*160kN 快速闭式卷扬启闭机，启闭机共 4 套。为减少站前水草等污物对泵站机组的影响，提高机组运行效率，在泵站内河侧各设置一道活动式垂直布置拦污栅，栅孔净宽4.23m，净高8.3m，拦污栅叶尺寸为4.5×8.5m，栅格净距为40mm，共计3孔，单套栅叶重量167kN，栅槽单重20kN。为清污方便在内河侧前池入口处共配备3台回转式清污机，皮带输送机一套。</w:t>
            </w:r>
            <w:r>
              <w:rPr>
                <w:rFonts w:eastAsia="宋体"/>
              </w:rPr>
            </w:r>
            <w:r/>
          </w:p>
        </w:tc>
      </w:tr>
      <w:tr>
        <w:trPr/>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lang w:eastAsia="zh-CN"/>
              </w:rPr>
            </w:pPr>
            <w:r>
              <w:rPr>
                <w:rFonts w:eastAsia="宋体"/>
                <w:lang w:eastAsia="zh-CN"/>
              </w:rPr>
            </w:r>
            <w:r/>
          </w:p>
        </w:tc>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rPr>
            </w:pPr>
            <w:r>
              <w:rPr>
                <w:rFonts w:eastAsia="宋体"/>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lang w:eastAsia="zh-CN"/>
              </w:rPr>
            </w:pPr>
            <w:r>
              <w:rPr>
                <w:rFonts w:eastAsia="宋体"/>
                <w:lang w:eastAsia="zh-CN"/>
              </w:rPr>
              <w:t xml:space="preserve">1.2 </w:t>
            </w:r>
            <w:r>
              <w:rPr>
                <w:rFonts w:eastAsia="宋体"/>
                <w:shd w:val="clear" w:color="auto" w:fill="ffffff"/>
              </w:rPr>
              <w:t xml:space="preserve">四干河江边枢纽概况</w:t>
            </w:r>
            <w:r>
              <w:rPr>
                <w:rFonts w:eastAsia="宋体"/>
                <w:lang w:eastAsia="zh-CN"/>
              </w:rPr>
            </w:r>
            <w:r/>
          </w:p>
        </w:tc>
      </w:tr>
      <w:tr>
        <w:trPr/>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lang w:eastAsia="zh-CN"/>
              </w:rPr>
            </w:pPr>
            <w:r>
              <w:rPr>
                <w:rFonts w:eastAsia="宋体"/>
                <w:lang w:eastAsia="zh-CN"/>
              </w:rPr>
            </w:r>
            <w:r/>
          </w:p>
        </w:tc>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rPr>
            </w:pPr>
            <w:r>
              <w:rPr>
                <w:rFonts w:eastAsia="宋体"/>
              </w:rPr>
            </w:r>
            <w:r/>
          </w:p>
        </w:tc>
        <w:tc>
          <w:tcPr>
            <w:tcMar>
              <w:left w:w="108" w:type="dxa"/>
              <w:top w:w="100" w:type="dxa"/>
              <w:right w:w="108" w:type="dxa"/>
              <w:bottom w:w="100" w:type="dxa"/>
            </w:tcMar>
            <w:tcW w:w="7890" w:type="dxa"/>
            <w:vAlign w:val="center"/>
            <w:textDirection w:val="lrTb"/>
            <w:noWrap w:val="false"/>
          </w:tcPr>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rPr>
              <w:t xml:space="preserve">（1）</w:t>
            </w:r>
            <w:r>
              <w:rPr>
                <w:rFonts w:ascii="Times New Roman" w:hAnsi="Times New Roman"/>
                <w:shd w:val="clear" w:color="auto" w:fill="ffffff"/>
              </w:rPr>
              <w:t xml:space="preserve">四干河江边枢纽：四干河属于通江河道，根据《张家港水资源综合规划报告》出江水闸规划直接影响到北部水利片的河道最高控制水位，因此四干河闸主要任务为防洪、挡潮、排涝、引水。四干河泵站主要任务是排涝以及辅助引水灌溉。因此四干河闸站工程所对应的工程任务主要为防洪、排涝及水资源调度。工程标准：工程等别为Ⅱ等，主要建筑物工程级别为2级，次要建筑物工程级别为3级，临时工程级别为4级。防洪标准为100年一遇高潮位设计，300年一遇高潮位校核。排涝标准为20年一遇24小时降雨雨后24小时排除。</w:t>
            </w:r>
            <w:r>
              <w:rPr>
                <w:rFonts w:ascii="Times New Roman" w:hAnsi="Times New Roman"/>
                <w:shd w:val="clear" w:color="auto" w:fill="ffffff"/>
              </w:rPr>
            </w:r>
            <w:r/>
          </w:p>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rPr>
              <w:t xml:space="preserve">（2）</w:t>
            </w:r>
            <w:r>
              <w:rPr>
                <w:rFonts w:ascii="Times New Roman" w:hAnsi="Times New Roman"/>
                <w:shd w:val="clear" w:color="auto" w:fill="ffffff"/>
              </w:rPr>
              <w:t xml:space="preserve">本程主要包括：节制闸总净宽28m（中孔12m，2边孔×8m），底板顺水流方向长20.0</w:t>
            </w:r>
            <w:r>
              <w:rPr>
                <w:rFonts w:ascii="Times New Roman" w:hAnsi="Times New Roman"/>
                <w:shd w:val="clear" w:color="auto" w:fill="ffffff"/>
              </w:rPr>
              <w:t xml:space="preserve">m，闸室底板顶面高程0.0m。边孔节制闸工作门为直升式平面滚轮钢闸门，门叶尺寸为8.09×5.2m，共2扇，配套QSWY-2*200kN-11m液压启闭机两台。中孔节制闸工作闸门为升卧式平面滚轮钢闸门，门叶尺寸12.24×8.1m，共1扇，采用QSWY-2×300kN液压启闭机。闸下游侧设交通桥，公路-Ⅱ级桥面总宽7.4，桥面高程9.50分别在节制闸工作的内、外河两侧设置简易检修门槽，门槽宽300mm，深度250mm，以方便检修工作闸门时使用。另配置一台120kW的自启动柴油发电机组作为保安和消防电源使用。</w:t>
            </w:r>
            <w:r>
              <w:rPr>
                <w:rFonts w:ascii="Times New Roman" w:hAnsi="Times New Roman"/>
                <w:shd w:val="clear" w:color="auto" w:fill="ffffff"/>
              </w:rPr>
            </w:r>
            <w:r/>
          </w:p>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rPr>
              <w:t xml:space="preserve">（3）</w:t>
            </w:r>
            <w:r>
              <w:rPr>
                <w:rFonts w:ascii="Times New Roman" w:hAnsi="Times New Roman"/>
                <w:shd w:val="clear" w:color="auto" w:fill="ffffff"/>
              </w:rPr>
              <w:t xml:space="preserve">泵站为排涝泵站，主泵选用立式轴流泵，共3台套，单机设计流量13.4m3/s，总流量为40.2m3/s，泵站设计净扬程2.75（排涝）1.30（引水），叶轮直径为2100mm，水泵转速为187.5r/min，水泵型号为2100ZLK13.4-2.95，配用10kV立式同步电机，泵站的站变系统由双回10kV母线接入，电机额定功率为800kW,转速187.5r/min，采用水冷却。</w:t>
            </w:r>
            <w:r>
              <w:rPr>
                <w:rFonts w:ascii="Times New Roman" w:hAnsi="Times New Roman"/>
                <w:shd w:val="clear" w:color="auto" w:fill="ffffff"/>
              </w:rPr>
            </w:r>
            <w:r/>
          </w:p>
          <w:p>
            <w:pPr>
              <w:pStyle w:val="1292"/>
              <w:spacing w:line="440" w:lineRule="exact"/>
              <w:rPr>
                <w:rFonts w:eastAsia="宋体"/>
              </w:rPr>
            </w:pPr>
            <w:r>
              <w:rPr>
                <w:rFonts w:eastAsia="宋体"/>
              </w:rPr>
              <w:t xml:space="preserve">（4）</w:t>
            </w:r>
            <w:r>
              <w:rPr>
                <w:rFonts w:eastAsia="宋体"/>
                <w:shd w:val="clear" w:color="auto" w:fill="ffffff"/>
              </w:rPr>
              <w:t xml:space="preserve">底板平面尺寸（长×宽）分别为30×23.7m，底面高程</w:t>
            </w:r>
            <w:r>
              <w:rPr>
                <w:rFonts w:hint="eastAsia" w:ascii="宋体" w:hAnsi="宋体" w:eastAsia="宋体" w:cs="宋体"/>
                <w:shd w:val="clear" w:color="auto" w:fill="ffffff"/>
              </w:rPr>
              <w:t xml:space="preserve">▽</w:t>
            </w:r>
            <w:r>
              <w:rPr>
                <w:rFonts w:eastAsia="宋体"/>
                <w:shd w:val="clear" w:color="auto" w:fill="ffffff"/>
              </w:rPr>
              <w:t xml:space="preserve">-5.3，顶面高程</w:t>
            </w:r>
            <w:r>
              <w:rPr>
                <w:rFonts w:hint="eastAsia" w:ascii="宋体" w:hAnsi="宋体" w:eastAsia="宋体" w:cs="宋体"/>
                <w:shd w:val="clear" w:color="auto" w:fill="ffffff"/>
              </w:rPr>
              <w:t xml:space="preserve">▽</w:t>
            </w:r>
            <w:r>
              <w:rPr>
                <w:rFonts w:eastAsia="宋体"/>
                <w:shd w:val="clear" w:color="auto" w:fill="ffffff"/>
              </w:rPr>
              <w:t xml:space="preserve">-4.10m，水泵安装中心线高程</w:t>
            </w:r>
            <w:r>
              <w:rPr>
                <w:rFonts w:hint="eastAsia" w:ascii="宋体" w:hAnsi="宋体" w:eastAsia="宋体" w:cs="宋体"/>
                <w:shd w:val="clear" w:color="auto" w:fill="ffffff"/>
              </w:rPr>
              <w:t xml:space="preserve">▽</w:t>
            </w:r>
            <w:r>
              <w:rPr>
                <w:rFonts w:eastAsia="宋体"/>
                <w:shd w:val="clear" w:color="auto" w:fill="ffffff"/>
              </w:rPr>
              <w:t xml:space="preserve">-1.50。进水口工作闸门、出水口工作闸门、节制闸工作闸门均采用平面钢闸门，双主梁实腹式结构、悬臂式滚轮支承。泵站进水口工作门叶尺寸为6.49×3.0m（宽×高下同）共3扇，采用QPKYⅡ-2×125KN-7.2m-2液压启闭机，启闭机共3套。泵站出水口工作门叶尺寸为6.49×2.9m（宽×高下同）共3扇，采用QPKYⅡ-2×125KN-3.6m-2液压启闭机，启闭机共3套。中孔节制闸工作闸门为升卧式平面滚轮钢闸门，门叶尺寸12</w:t>
            </w:r>
            <w:r>
              <w:rPr>
                <w:rFonts w:eastAsia="宋体"/>
                <w:shd w:val="clear" w:color="auto" w:fill="ffffff"/>
              </w:rPr>
              <w:t xml:space="preserve">.24×8.1m，共1扇，采用QSWY-2×300kN液压启闭机。边孔节制闸工作门为直升式平面滚轮钢闸门，门叶尺寸为8.09×5.2m，共2扇，配套QSWY-2*200kN-11m液压启闭机两台。为减少站前水草等污物对泵站机组的影响，提高机组运行效率，在泵站内外河侧各设置一道活动式垂直布置拦污栅，栅孔净宽6.3m，净高6.3m，拦污栅叶尺寸为6.6×6.5m，栅格净距为40mm，共计3孔，单套栅叶重量为167kN，栅槽单重20kN。为清污方便在上下游前池入口处各配备4台回转式清污机，每台清污容量为10kN。</w:t>
            </w:r>
            <w:r>
              <w:rPr>
                <w:rFonts w:eastAsia="宋体"/>
              </w:rPr>
            </w:r>
            <w:r/>
          </w:p>
        </w:tc>
      </w:tr>
      <w:tr>
        <w:trPr/>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lang w:eastAsia="zh-CN"/>
              </w:rPr>
            </w:pPr>
            <w:r>
              <w:rPr>
                <w:rFonts w:eastAsia="宋体"/>
                <w:lang w:eastAsia="zh-CN"/>
              </w:rPr>
            </w:r>
            <w:r/>
          </w:p>
        </w:tc>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rPr>
            </w:pPr>
            <w:r>
              <w:rPr>
                <w:rFonts w:eastAsia="宋体"/>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lang w:eastAsia="zh-CN"/>
              </w:rPr>
            </w:pPr>
            <w:r>
              <w:rPr>
                <w:rFonts w:eastAsia="宋体"/>
                <w:lang w:eastAsia="zh-CN"/>
              </w:rPr>
              <w:t xml:space="preserve">1.3 </w:t>
            </w:r>
            <w:r>
              <w:rPr>
                <w:rFonts w:eastAsia="宋体"/>
                <w:shd w:val="clear" w:color="auto" w:fill="ffffff"/>
              </w:rPr>
              <w:t xml:space="preserve">十一圩江边枢纽概况</w:t>
            </w:r>
            <w:r>
              <w:rPr>
                <w:rFonts w:eastAsia="宋体"/>
                <w:lang w:eastAsia="zh-CN"/>
              </w:rPr>
            </w:r>
            <w:r/>
          </w:p>
        </w:tc>
      </w:tr>
      <w:tr>
        <w:trPr/>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lang w:eastAsia="zh-CN"/>
              </w:rPr>
            </w:pPr>
            <w:r>
              <w:rPr>
                <w:rFonts w:eastAsia="宋体"/>
                <w:lang w:eastAsia="zh-CN"/>
              </w:rPr>
            </w:r>
            <w:r/>
          </w:p>
        </w:tc>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rPr>
            </w:pPr>
            <w:r>
              <w:rPr>
                <w:rFonts w:eastAsia="宋体"/>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shd w:val="clear" w:color="auto" w:fill="ffffff"/>
              </w:rPr>
            </w:pPr>
            <w:r>
              <w:rPr>
                <w:rFonts w:eastAsia="宋体"/>
              </w:rPr>
              <w:t xml:space="preserve">（1）</w:t>
            </w:r>
            <w:r>
              <w:rPr>
                <w:rFonts w:eastAsia="宋体"/>
                <w:shd w:val="clear" w:color="auto" w:fill="ffffff"/>
              </w:rPr>
              <w:t xml:space="preserve">十一圩江边枢纽位于十一圩港河道入江河口处，既是太湖流域武澄锡虞区的引排骨干</w:t>
            </w:r>
            <w:r>
              <w:rPr>
                <w:rFonts w:eastAsia="宋体"/>
                <w:shd w:val="clear" w:color="auto" w:fill="ffffff"/>
              </w:rPr>
              <w:t xml:space="preserve">水利工程，又是锡十一圩线航道进出长江的通航建筑物，具有防洪防潮、行洪排涝、引水、航运等综合利用功能。工程标准：十一圩江边枢纽的工程等别为Ⅱ等。节制闸、泵站、套闸外闸首等主要建筑物级别为2级；与江堤连接的外河侧堤防、翼墙等建筑物级别为2级；套闸内闸首、套闸闸室等主要建筑物级别为3级，清污机桥、内外河侧靠船建筑物及内河侧翼墙、堤防等次要建筑物级别为3级；临时建筑物级别为4级。防洪标准为：长江侧按照100年一遇潮位设计，300年一遇潮位校核。十一圩港内河侧堤防设计防洪标准取50年一遇。排涝标准为：20年一遇设计。</w:t>
            </w:r>
            <w:r>
              <w:rPr>
                <w:rFonts w:eastAsia="宋体"/>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rPr>
              <w:t xml:space="preserve">（2）</w:t>
            </w:r>
            <w:r>
              <w:rPr>
                <w:rFonts w:ascii="Times New Roman" w:hAnsi="Times New Roman"/>
                <w:shd w:val="clear" w:color="auto" w:fill="ffffff"/>
              </w:rPr>
              <w:t xml:space="preserve">本程主要包括:节制闸总净宽28m(中孔16m，2边孔×6m)，闸室底板为平底板，闸底板面高程-1.00m，闸门采用升卧式平板钢闸门，配卷扬式启闭机。中孔配1台QH 2*800kN闭式卷扬启闭机启闭，边孔配2台QH 2*800kN闭式卷扬启闭机启闭。在制闸闸室外河侧设交通桥一座，交通桥净宽7m、检修闸门采用叠梁型式，单节高度1.75m，共计5节，总高度8.75m。</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rPr>
              <w:t xml:space="preserve">（3）</w:t>
            </w:r>
            <w:r>
              <w:rPr>
                <w:rFonts w:ascii="Times New Roman" w:hAnsi="Times New Roman"/>
                <w:shd w:val="clear" w:color="auto" w:fill="ffffff"/>
              </w:rPr>
              <w:t xml:space="preserve">泵站为单向排涝泵站，水泵为竖井贯流式，共3台套，单机设计量20m³/s，总流量为 60m³/s，泵站设计净扬程 2.71m，叶轮直径为 2600mm，水泵转速为132r/min，水泵型号为 2600ZGB20 型，配用10kV高压异步电机，泵站的站变系统由双回10kV母线接入，电机额定功率1000kW，同步转速 750r/min，采用水冷却，齿轮箱传动，传动比5.68。</w:t>
            </w:r>
            <w:r>
              <w:rPr>
                <w:rFonts w:ascii="Times New Roman" w:hAnsi="Times New Roman"/>
                <w:shd w:val="clear" w:color="auto" w:fill="ffffff"/>
              </w:rPr>
            </w:r>
            <w:r/>
          </w:p>
          <w:p>
            <w:pPr>
              <w:pStyle w:val="1292"/>
              <w:spacing w:line="440" w:lineRule="exact"/>
              <w:rPr>
                <w:rFonts w:eastAsia="宋体"/>
              </w:rPr>
            </w:pPr>
            <w:r>
              <w:rPr>
                <w:rFonts w:eastAsia="宋体"/>
                <w:shd w:val="clear" w:color="auto" w:fill="ffffff"/>
              </w:rPr>
              <w:t xml:space="preserve">（4）泵站采用块基型整体结构，站身底板顺水流方向长度为38m，垂直水流向宽度为25.8m，机组中心距为8.2m，内河侧墩墙厚度1.2m，外河侧中墩厚度2.2m，边墩厚度 1.7m，底板顶面高程-2.35m~-2.10m，水泵安装高程定为-0.6</w:t>
            </w:r>
            <w:r>
              <w:rPr>
                <w:rFonts w:eastAsia="宋体"/>
                <w:shd w:val="clear" w:color="auto" w:fill="ffffff"/>
              </w:rPr>
              <w:t xml:space="preserve">0m，地面层高程8.10m，站身防洪高程8.80m。泵站进水口工作闸门、出水口工作闸门均采用潜孔平面定轮钢闸门。内河侧工作闸门门叶尺寸为7.0×3.50m共4扇，采用2×200KN型螺杆启闭机，启闭机共4套。泵站长江侧快速闸门、事故闸门尺寸为6.0×3.0m共8扇，采用2×200KN-3.80m QPKY型液压启闭机，启闭机共8套。在泵站内河侧各设置一道活动式垂直布置拦污栅，栅孔净宽7.0m，净高3.5m，底槛高程-1.0m，安装平台高程为6.0m，在内河侧前池入口处共配备6台回转式清污机，皮带输送机一套。</w:t>
            </w:r>
            <w:r>
              <w:rPr>
                <w:rFonts w:eastAsia="宋体"/>
              </w:rPr>
            </w:r>
            <w:r/>
          </w:p>
        </w:tc>
      </w:tr>
      <w:tr>
        <w:trPr/>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lang w:eastAsia="zh-CN"/>
              </w:rPr>
            </w:pPr>
            <w:r>
              <w:rPr>
                <w:rFonts w:eastAsia="宋体"/>
                <w:lang w:eastAsia="zh-CN"/>
              </w:rPr>
            </w:r>
            <w:r/>
          </w:p>
        </w:tc>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rPr>
            </w:pPr>
            <w:r>
              <w:rPr>
                <w:rFonts w:eastAsia="宋体"/>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lang w:eastAsia="zh-CN"/>
              </w:rPr>
            </w:pPr>
            <w:r>
              <w:rPr>
                <w:rFonts w:eastAsia="宋体"/>
                <w:lang w:eastAsia="zh-CN"/>
              </w:rPr>
              <w:t xml:space="preserve">1.4 </w:t>
            </w:r>
            <w:r>
              <w:rPr>
                <w:rFonts w:eastAsia="宋体"/>
                <w:shd w:val="clear" w:color="auto" w:fill="ffffff"/>
              </w:rPr>
              <w:t xml:space="preserve">走马塘江边枢纽概况</w:t>
            </w:r>
            <w:r>
              <w:rPr>
                <w:rFonts w:eastAsia="宋体"/>
                <w:lang w:eastAsia="zh-CN"/>
              </w:rPr>
            </w:r>
            <w:r/>
          </w:p>
        </w:tc>
      </w:tr>
      <w:tr>
        <w:trPr/>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lang w:eastAsia="zh-CN"/>
              </w:rPr>
            </w:pPr>
            <w:r>
              <w:rPr>
                <w:rFonts w:eastAsia="宋体"/>
                <w:lang w:eastAsia="zh-CN"/>
              </w:rPr>
            </w:r>
            <w:r/>
          </w:p>
        </w:tc>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rPr>
            </w:pPr>
            <w:r>
              <w:rPr>
                <w:rFonts w:eastAsia="宋体"/>
              </w:rPr>
            </w:r>
            <w:r/>
          </w:p>
        </w:tc>
        <w:tc>
          <w:tcPr>
            <w:tcMar>
              <w:left w:w="108" w:type="dxa"/>
              <w:top w:w="100" w:type="dxa"/>
              <w:right w:w="108" w:type="dxa"/>
              <w:bottom w:w="100" w:type="dxa"/>
            </w:tcMar>
            <w:tcW w:w="7890" w:type="dxa"/>
            <w:vAlign w:val="center"/>
            <w:textDirection w:val="lrTb"/>
            <w:noWrap w:val="false"/>
          </w:tcPr>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1）走马塘江边枢纽位置在长江堤防以西的七干河河线上，距离长江口约600m。主要作用为改善水环境、挡潮防洪、排涝、航运、引水以及过鱼等综合功能。节制闸均采用钢筋砼整体坞式结构，节制闸三孔总净宽36m（3*12m），鱼道尺寸2m×59.5m，设闸门控制。节制闸中孔（长×宽×高，单位m）11.94×1.4×9</w:t>
            </w:r>
            <w:r>
              <w:rPr>
                <w:rFonts w:ascii="Times New Roman" w:hAnsi="Times New Roman"/>
                <w:shd w:val="clear" w:color="auto" w:fill="ffffff"/>
              </w:rPr>
              <w:t xml:space="preserve">，边孔（长×宽×高，单位m）11.94×1.4×8.5。三孔节制闸工作闸门配液压启闭机QSWY-2×400kN-12.5mm。鱼道门工作门QPPYⅡ-100kN/10kN-3.5m，启门力100kN，闭门力10kN，启闭门速度~1m/min，设计行程3.3m。三孔节制闸及鱼道共用一套液压泵站。电气设备安装工程中的电气设备包括：变压器（SC10-400/10）1台，10kV高压开关柜2台，低压开关柜5台，柴油发电机组1套。防洪标注为上游内河侧为50年一遇，下游长江侧按照100年潮位设计，300年一遇潮位校核。</w:t>
            </w:r>
            <w:r>
              <w:rPr>
                <w:rFonts w:ascii="Times New Roman" w:hAnsi="Times New Roman"/>
                <w:shd w:val="clear" w:color="auto" w:fill="ffffff"/>
              </w:rPr>
            </w:r>
            <w:r/>
          </w:p>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（2）走马塘江边枢纽泵站工程主要任务为提高区域防洪除涝能力，增强排水能力。新建的走马塘江边泵站将成为走马塘后续工程的重要组成，也是走马塘江边枢纽的重要组成，与走马塘其他工程共同发挥效益。</w:t>
            </w:r>
            <w:r>
              <w:rPr>
                <w:rFonts w:ascii="Times New Roman" w:hAnsi="Times New Roman"/>
                <w:shd w:val="clear" w:color="auto" w:fill="ffffff"/>
              </w:rPr>
            </w:r>
            <w:r/>
          </w:p>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3）走马塘江边泵站工程等别为Ⅱ等，长江堤防级别为2级，泵站站身、出水池及长江侧翼墙等主要建筑物为2级，内河侧翼墙、内河侧堤防等次要建筑物为3级。长江侧防洪标准按100年一遇高潮位设计，300年一遇高潮位校核；排涝标准按20年一遇设计；站上交通桥设计汽车荷载等级为公路-Ⅱ级。 </w:t>
            </w:r>
            <w:r>
              <w:rPr>
                <w:rFonts w:ascii="Times New Roman" w:hAnsi="Times New Roman"/>
                <w:shd w:val="clear" w:color="auto" w:fill="ffffff"/>
              </w:rPr>
            </w:r>
            <w:r/>
          </w:p>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（4）泵站为单向排涝泵站，选用竖井贯流泵，共4台套，单泵流量20m³/s，总装机流量80m³/s，水泵设计扬程2.71m，叶轮直径为2600 mm，水泵转速为132r/min，水泵型号为2600ZGB20，配备4台1000kw异步电动机，供电电源采用双回10kV线路供电，转速 750r/min，采用水冷却，传动方式： 齿轮箱减速传动，传动比5.68。</w:t>
            </w:r>
            <w:r>
              <w:rPr>
                <w:rFonts w:ascii="Times New Roman" w:hAnsi="Times New Roman"/>
                <w:shd w:val="clear" w:color="auto" w:fill="ffffff"/>
              </w:rPr>
            </w:r>
            <w:r/>
          </w:p>
          <w:p>
            <w:pPr>
              <w:pStyle w:val="1292"/>
              <w:spacing w:line="440" w:lineRule="exact"/>
              <w:rPr>
                <w:rFonts w:eastAsia="宋体"/>
              </w:rPr>
            </w:pPr>
            <w:r>
              <w:rPr>
                <w:rFonts w:eastAsia="宋体"/>
                <w:shd w:val="clear" w:color="auto" w:fill="ffffff"/>
              </w:rPr>
              <w:t xml:space="preserve">（5）底板尺寸(长*宽37.0m*34.0m)，底板底面高程</w:t>
            </w:r>
            <w:r>
              <w:rPr>
                <w:rFonts w:hint="eastAsia" w:ascii="宋体" w:hAnsi="宋体" w:eastAsia="宋体" w:cs="宋体"/>
                <w:shd w:val="clear" w:color="auto" w:fill="ffffff"/>
              </w:rPr>
              <w:t xml:space="preserve">▽</w:t>
            </w:r>
            <w:r>
              <w:rPr>
                <w:rFonts w:eastAsia="宋体"/>
                <w:shd w:val="clear" w:color="auto" w:fill="ffffff"/>
              </w:rPr>
              <w:t xml:space="preserve">-4.35/-4.10m，底板顶面高程</w:t>
            </w:r>
            <w:r>
              <w:rPr>
                <w:rFonts w:hint="eastAsia" w:ascii="宋体" w:hAnsi="宋体" w:eastAsia="宋体" w:cs="宋体"/>
                <w:shd w:val="clear" w:color="auto" w:fill="ffffff"/>
              </w:rPr>
              <w:t xml:space="preserve">▽</w:t>
            </w:r>
            <w:r>
              <w:rPr>
                <w:rFonts w:eastAsia="宋体"/>
                <w:shd w:val="clear" w:color="auto" w:fill="ffffff"/>
              </w:rPr>
              <w:t xml:space="preserve">-2.75/-2.50m，水泵安装中心线高程</w:t>
            </w:r>
            <w:r>
              <w:rPr>
                <w:rFonts w:hint="eastAsia" w:ascii="宋体" w:hAnsi="宋体" w:eastAsia="宋体" w:cs="宋体"/>
                <w:shd w:val="clear" w:color="auto" w:fill="ffffff"/>
              </w:rPr>
              <w:t xml:space="preserve">▽</w:t>
            </w:r>
            <w:r>
              <w:rPr>
                <w:rFonts w:eastAsia="宋体"/>
                <w:shd w:val="clear" w:color="auto" w:fill="ffffff"/>
              </w:rPr>
              <w:t xml:space="preserve">-1.0m。泵站进水口工作闸门、出水口工作闸门均采用潜孔平面定轮钢闸门。内河侧工作闸门门叶尺寸为7.0×3.50m共4扇，采用2×200KN-6.8mQL 型螺杆启闭机，启闭机共4套。泵站长江侧快速闸门、事故闸门尺寸为6.0×3.0m共8扇，采用2×200KN-3.80m QPKY 型液压启闭机，启闭机共8套。在泵站内河侧各设置一道活动式垂直布置拦污栅，栅孔净宽7.0m，净高3.5m，底槛高程-1.0m，安装平台高程为6.0m，在内河侧前池入口处共配备8台回转式清污机，皮带输送机一套。</w:t>
            </w:r>
            <w:r>
              <w:rPr>
                <w:rFonts w:eastAsia="宋体"/>
              </w:rPr>
            </w:r>
            <w:r/>
          </w:p>
        </w:tc>
      </w:tr>
      <w:tr>
        <w:trPr/>
        <w:tc>
          <w:tcPr>
            <w:tcMar>
              <w:left w:w="108" w:type="dxa"/>
              <w:top w:w="100" w:type="dxa"/>
              <w:right w:w="108" w:type="dxa"/>
              <w:bottom w:w="100" w:type="dxa"/>
            </w:tcMar>
            <w:tcW w:w="429" w:type="dxa"/>
            <w:vAlign w:val="center"/>
            <w:vMerge w:val="restart"/>
            <w:textDirection w:val="lrTb"/>
            <w:noWrap w:val="false"/>
          </w:tcPr>
          <w:p>
            <w:pPr>
              <w:pStyle w:val="1292"/>
              <w:jc w:val="center"/>
              <w:spacing w:line="440" w:lineRule="exact"/>
              <w:rPr>
                <w:rFonts w:eastAsia="宋体"/>
              </w:rPr>
            </w:pPr>
            <w:r>
              <w:rPr>
                <w:rFonts w:eastAsia="宋体"/>
              </w:rPr>
              <w:t xml:space="preserve">2</w:t>
            </w:r>
            <w:r>
              <w:rPr>
                <w:rFonts w:eastAsia="宋体"/>
              </w:rPr>
            </w:r>
            <w:r/>
          </w:p>
        </w:tc>
        <w:tc>
          <w:tcPr>
            <w:tcMar>
              <w:left w:w="108" w:type="dxa"/>
              <w:top w:w="100" w:type="dxa"/>
              <w:right w:w="108" w:type="dxa"/>
              <w:bottom w:w="100" w:type="dxa"/>
            </w:tcMar>
            <w:tcW w:w="429" w:type="dxa"/>
            <w:vAlign w:val="center"/>
            <w:vMerge w:val="restart"/>
            <w:textDirection w:val="lrTb"/>
            <w:noWrap w:val="false"/>
          </w:tcPr>
          <w:p>
            <w:pPr>
              <w:pStyle w:val="1292"/>
              <w:spacing w:line="440" w:lineRule="exact"/>
              <w:rPr>
                <w:rFonts w:eastAsia="宋体"/>
              </w:rPr>
            </w:pPr>
            <w:r>
              <w:rPr>
                <w:rFonts w:eastAsia="宋体"/>
              </w:rPr>
              <w:t xml:space="preserve">管护服务</w:t>
            </w:r>
            <w:r>
              <w:rPr>
                <w:rFonts w:eastAsia="宋体"/>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rPr>
              <w:t xml:space="preserve">2.1 管护服务对象</w:t>
            </w:r>
            <w:r>
              <w:rPr>
                <w:rFonts w:eastAsia="宋体"/>
              </w:rPr>
            </w:r>
            <w:r/>
          </w:p>
        </w:tc>
      </w:tr>
      <w:tr>
        <w:trPr/>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rPr>
            </w:pPr>
            <w:r>
              <w:rPr>
                <w:rFonts w:eastAsia="宋体"/>
              </w:rPr>
            </w:r>
            <w:r/>
          </w:p>
        </w:tc>
        <w:tc>
          <w:tcPr>
            <w:tcMar>
              <w:left w:w="108" w:type="dxa"/>
              <w:top w:w="100" w:type="dxa"/>
              <w:right w:w="108" w:type="dxa"/>
              <w:bottom w:w="100" w:type="dxa"/>
            </w:tcMar>
            <w:tcW w:w="429" w:type="dxa"/>
            <w:vAlign w:val="center"/>
            <w:vMerge w:val="continue"/>
            <w:textDirection w:val="lrTb"/>
            <w:noWrap w:val="false"/>
          </w:tcPr>
          <w:p>
            <w:pPr>
              <w:pStyle w:val="1292"/>
              <w:spacing w:line="440" w:lineRule="exact"/>
              <w:rPr>
                <w:rFonts w:eastAsia="宋体"/>
              </w:rPr>
            </w:pPr>
            <w:r>
              <w:rPr>
                <w:rFonts w:eastAsia="宋体"/>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i/>
                <w:iCs/>
                <w:u w:val="single"/>
                <w:shd w:val="clear" w:color="auto" w:fill="ffffff"/>
                <w:lang w:val="en-US" w:eastAsia="zh-CN"/>
              </w:rPr>
            </w:pPr>
            <w:r>
              <w:rPr>
                <w:rFonts w:eastAsia="宋体"/>
                <w:i/>
                <w:iCs/>
                <w:u w:val="single"/>
                <w:shd w:val="clear" w:color="auto" w:fill="ffffff"/>
              </w:rPr>
              <w:t xml:space="preserve">投标人需完成太字圩港闸站、四干河江边枢纽、走马塘江边枢纽、十一圩江边枢纽的</w:t>
            </w:r>
            <w:r>
              <w:rPr>
                <w:rFonts w:eastAsia="宋体"/>
                <w:u w:val="single"/>
              </w:rPr>
              <w:t xml:space="preserve">管护</w:t>
            </w:r>
            <w:r>
              <w:rPr>
                <w:rFonts w:eastAsia="宋体"/>
                <w:i/>
                <w:iCs/>
                <w:u w:val="single"/>
                <w:shd w:val="clear" w:color="auto" w:fill="ffffff"/>
              </w:rPr>
              <w:t xml:space="preserve">服务。</w:t>
            </w:r>
            <w:r>
              <w:rPr>
                <w:rFonts w:eastAsia="宋体"/>
                <w:i/>
                <w:iCs/>
                <w:u w:val="single"/>
                <w:shd w:val="clear" w:color="auto" w:fill="ffffff"/>
                <w:lang w:val="en-US" w:eastAsia="zh-CN"/>
              </w:rPr>
            </w:r>
            <w:r/>
          </w:p>
        </w:tc>
      </w:tr>
      <w:tr>
        <w:trPr/>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rPr>
            </w:pPr>
            <w:r>
              <w:rPr>
                <w:rFonts w:eastAsia="宋体"/>
              </w:rPr>
            </w:r>
            <w:r/>
          </w:p>
        </w:tc>
        <w:tc>
          <w:tcPr>
            <w:tcMar>
              <w:left w:w="108" w:type="dxa"/>
              <w:top w:w="100" w:type="dxa"/>
              <w:right w:w="108" w:type="dxa"/>
              <w:bottom w:w="100" w:type="dxa"/>
            </w:tcMar>
            <w:tcW w:w="429" w:type="dxa"/>
            <w:vAlign w:val="center"/>
            <w:vMerge w:val="continue"/>
            <w:textDirection w:val="lrTb"/>
            <w:noWrap w:val="false"/>
          </w:tcPr>
          <w:p>
            <w:pPr>
              <w:pStyle w:val="1292"/>
              <w:spacing w:line="440" w:lineRule="exact"/>
              <w:rPr>
                <w:rFonts w:eastAsia="宋体"/>
              </w:rPr>
            </w:pPr>
            <w:r>
              <w:rPr>
                <w:rFonts w:eastAsia="宋体"/>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lang w:val="en-US" w:eastAsia="zh-CN"/>
              </w:rPr>
              <w:t xml:space="preserve">2</w:t>
            </w:r>
            <w:r>
              <w:rPr>
                <w:rFonts w:eastAsia="宋体"/>
              </w:rPr>
              <w:t xml:space="preserve">.</w:t>
            </w:r>
            <w:r>
              <w:rPr>
                <w:rFonts w:eastAsia="宋体"/>
                <w:lang w:val="en-US" w:eastAsia="zh-CN"/>
              </w:rPr>
              <w:t xml:space="preserve">2</w:t>
            </w:r>
            <w:r>
              <w:rPr>
                <w:rFonts w:eastAsia="宋体"/>
              </w:rPr>
              <w:t xml:space="preserve">总体要求</w:t>
            </w:r>
            <w:r>
              <w:rPr>
                <w:rFonts w:eastAsia="宋体"/>
              </w:rPr>
            </w:r>
            <w:r/>
          </w:p>
        </w:tc>
      </w:tr>
      <w:tr>
        <w:trPr/>
        <w:tc>
          <w:tcPr>
            <w:tcMar>
              <w:left w:w="108" w:type="dxa"/>
              <w:top w:w="100" w:type="dxa"/>
              <w:right w:w="108" w:type="dxa"/>
              <w:bottom w:w="100" w:type="dxa"/>
            </w:tcMar>
            <w:tcW w:w="429" w:type="dxa"/>
            <w:vAlign w:val="center"/>
            <w:vMerge w:val="continue"/>
            <w:textDirection w:val="lrTb"/>
            <w:noWrap w:val="false"/>
          </w:tcPr>
          <w:p>
            <w:pPr>
              <w:pStyle w:val="1292"/>
              <w:jc w:val="center"/>
              <w:spacing w:line="440" w:lineRule="exact"/>
              <w:rPr>
                <w:rFonts w:eastAsia="宋体"/>
              </w:rPr>
            </w:pPr>
            <w:r>
              <w:rPr>
                <w:rFonts w:eastAsia="宋体"/>
              </w:rPr>
            </w:r>
            <w:r/>
          </w:p>
        </w:tc>
        <w:tc>
          <w:tcPr>
            <w:tcMar>
              <w:left w:w="108" w:type="dxa"/>
              <w:top w:w="100" w:type="dxa"/>
              <w:right w:w="108" w:type="dxa"/>
              <w:bottom w:w="100" w:type="dxa"/>
            </w:tcMar>
            <w:tcW w:w="429" w:type="dxa"/>
            <w:vAlign w:val="center"/>
            <w:vMerge w:val="continue"/>
            <w:textDirection w:val="lrTb"/>
            <w:noWrap w:val="false"/>
          </w:tcPr>
          <w:p>
            <w:pPr>
              <w:pStyle w:val="1292"/>
              <w:spacing w:line="440" w:lineRule="exact"/>
              <w:rPr>
                <w:rFonts w:eastAsia="宋体"/>
              </w:rPr>
            </w:pPr>
            <w:r>
              <w:rPr>
                <w:rFonts w:eastAsia="宋体"/>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i/>
                <w:iCs/>
                <w:u w:val="single"/>
                <w:shd w:val="clear" w:color="auto" w:fill="ffffff"/>
                <w:lang w:val="en-US" w:eastAsia="zh-CN"/>
              </w:rPr>
            </w:pPr>
            <w:r>
              <w:rPr>
                <w:rFonts w:eastAsia="宋体"/>
                <w:i/>
                <w:iCs/>
                <w:u w:val="single"/>
                <w:shd w:val="clear" w:color="auto" w:fill="ffffff"/>
                <w:lang w:val="en-US" w:eastAsia="zh-CN"/>
              </w:rPr>
              <w:t xml:space="preserve">按照水利部《关于推进水利工程标准化管理的指导意见》《水利工程标准化管理评价办法》及其评价标准、水利部办公厅关于做好大中型灌区、灌排泵站标准化管理评价工作的通知要求，组织开展</w:t>
            </w:r>
            <w:r>
              <w:rPr>
                <w:rFonts w:eastAsia="宋体"/>
                <w:i/>
                <w:iCs/>
                <w:u w:val="single"/>
                <w:shd w:val="clear" w:color="auto" w:fill="ffffff"/>
              </w:rPr>
              <w:t xml:space="preserve">张家港市长江防洪工程管理处下辖的太字圩港闸站、四干河江边枢纽、十一圩江边枢纽、走马塘江边枢纽四个大中型闸站工程的</w:t>
            </w:r>
            <w:r>
              <w:rPr>
                <w:rFonts w:eastAsia="宋体"/>
                <w:i/>
                <w:iCs/>
                <w:u w:val="single"/>
                <w:shd w:val="clear" w:color="auto" w:fill="ffffff"/>
                <w:lang w:val="en-US" w:eastAsia="zh-CN"/>
              </w:rPr>
              <w:t xml:space="preserve">水闸和泵站运行、</w:t>
            </w:r>
            <w:r>
              <w:rPr>
                <w:rFonts w:eastAsia="宋体"/>
                <w:i/>
                <w:iCs/>
                <w:u w:val="single"/>
                <w:shd w:val="clear" w:color="auto" w:fill="ffffff"/>
              </w:rPr>
              <w:t xml:space="preserve">巡查检查</w:t>
            </w:r>
            <w:r>
              <w:rPr>
                <w:rFonts w:eastAsia="宋体"/>
                <w:i/>
                <w:iCs/>
                <w:u w:val="single"/>
                <w:shd w:val="clear" w:color="auto" w:fill="ffffff"/>
                <w:lang w:eastAsia="zh-CN"/>
              </w:rPr>
              <w:t xml:space="preserve">、</w:t>
            </w:r>
            <w:r>
              <w:rPr>
                <w:rFonts w:eastAsia="宋体"/>
                <w:i/>
                <w:iCs/>
                <w:u w:val="single"/>
                <w:shd w:val="clear" w:color="auto" w:fill="ffffff"/>
                <w:lang w:val="en-US" w:eastAsia="zh-CN"/>
              </w:rPr>
              <w:t xml:space="preserve">管理范围内绿化保洁、设备养护维修、技术培训指导、安全管理、达标创建迎检、档案资料整理、管理用房及生活办公设施管理等工作，形成满足</w:t>
            </w:r>
            <w:r>
              <w:rPr>
                <w:rFonts w:eastAsia="宋体"/>
                <w:i/>
                <w:iCs/>
                <w:u w:val="single"/>
                <w:shd w:val="clear" w:color="auto" w:fill="ffffff"/>
              </w:rPr>
              <w:t xml:space="preserve">水利部水利工程</w:t>
            </w:r>
            <w:r>
              <w:rPr>
                <w:rFonts w:eastAsia="宋体"/>
                <w:i/>
                <w:iCs/>
                <w:u w:val="single"/>
                <w:shd w:val="clear" w:color="auto" w:fill="ffffff"/>
                <w:lang w:val="en-US" w:eastAsia="zh-CN"/>
              </w:rPr>
              <w:t xml:space="preserve">标准化管理评审验收要求的技术资料，建立标准化管理机制。按照省水利厅发布的《江苏省水利工程精细化管理评价办法》通知的要求，对十字港闸、段山港节制闸、太字圩港闸站、张家港节制闸、双山南泵枢纽-泵站等中型闸站工程开展省精细化评审工作进行业务指导并协助完成技术资料整编，形成满足江苏省水利厅</w:t>
            </w:r>
            <w:r>
              <w:rPr>
                <w:rFonts w:eastAsia="宋体"/>
                <w:i/>
                <w:iCs/>
                <w:u w:val="single"/>
                <w:shd w:val="clear" w:color="auto" w:fill="ffffff"/>
              </w:rPr>
              <w:t xml:space="preserve">水利工程</w:t>
            </w:r>
            <w:r>
              <w:rPr>
                <w:rFonts w:eastAsia="宋体"/>
                <w:i/>
                <w:iCs/>
                <w:u w:val="single"/>
                <w:shd w:val="clear" w:color="auto" w:fill="ffffff"/>
                <w:lang w:val="en-US" w:eastAsia="zh-CN"/>
              </w:rPr>
              <w:t xml:space="preserve">精细化一级管理评审验收要求的技术资料。</w:t>
            </w:r>
            <w:r>
              <w:rPr>
                <w:rFonts w:eastAsia="宋体"/>
                <w:i/>
                <w:iCs/>
                <w:u w:val="single"/>
                <w:shd w:val="clear" w:color="auto" w:fill="ffffff"/>
                <w:lang w:val="en-US" w:eastAsia="zh-CN"/>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i/>
                <w:iCs/>
                <w:u w:val="single"/>
              </w:rPr>
            </w:pPr>
            <w:r>
              <w:rPr>
                <w:rFonts w:eastAsia="宋体"/>
                <w:lang w:val="en-US" w:eastAsia="zh-CN"/>
              </w:rPr>
              <w:t xml:space="preserve">2</w:t>
            </w:r>
            <w:r>
              <w:rPr>
                <w:rFonts w:eastAsia="宋体"/>
              </w:rPr>
              <w:t xml:space="preserve">.</w:t>
            </w:r>
            <w:r>
              <w:rPr>
                <w:rFonts w:eastAsia="宋体"/>
                <w:lang w:val="en-US" w:eastAsia="zh-CN"/>
              </w:rPr>
              <w:t xml:space="preserve">3</w:t>
            </w:r>
            <w:r>
              <w:rPr>
                <w:rFonts w:eastAsia="宋体"/>
              </w:rPr>
              <w:t xml:space="preserve">管护服务内容</w:t>
            </w:r>
            <w:r>
              <w:rPr>
                <w:rFonts w:eastAsia="宋体"/>
                <w:i/>
                <w:iCs/>
                <w:u w:val="single"/>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shd w:val="clear" w:color="auto" w:fill="ffffff"/>
              </w:rPr>
            </w:pPr>
            <w:r>
              <w:rPr>
                <w:rFonts w:eastAsia="宋体"/>
                <w:lang w:val="en-US" w:eastAsia="zh-CN"/>
              </w:rPr>
              <w:t xml:space="preserve">2.3.1</w:t>
            </w:r>
            <w:r>
              <w:rPr>
                <w:rFonts w:eastAsia="宋体"/>
              </w:rPr>
              <w:t xml:space="preserve"> </w:t>
            </w:r>
            <w:r>
              <w:rPr>
                <w:rFonts w:eastAsia="宋体"/>
                <w:shd w:val="clear" w:color="auto" w:fill="ffffff"/>
                <w:lang w:val="en-US" w:eastAsia="zh-CN"/>
              </w:rPr>
              <w:t xml:space="preserve">闸站</w:t>
            </w:r>
            <w:r>
              <w:rPr>
                <w:rFonts w:eastAsia="宋体"/>
                <w:shd w:val="clear" w:color="auto" w:fill="ffffff"/>
              </w:rPr>
              <w:t xml:space="preserve">管理要求</w:t>
            </w:r>
            <w:r>
              <w:rPr>
                <w:rFonts w:eastAsia="宋体"/>
                <w:shd w:val="clear" w:color="auto" w:fill="ffffff"/>
              </w:rPr>
            </w:r>
            <w:r/>
          </w:p>
          <w:p>
            <w:pPr>
              <w:pStyle w:val="1292"/>
              <w:spacing w:line="440" w:lineRule="exact"/>
              <w:rPr>
                <w:rFonts w:eastAsia="宋体"/>
                <w:shd w:val="clear" w:color="auto" w:fill="ffffff"/>
              </w:rPr>
            </w:pPr>
            <w:r>
              <w:rPr>
                <w:rFonts w:eastAsia="宋体"/>
                <w:lang w:val="en-US" w:eastAsia="zh-CN"/>
              </w:rPr>
              <w:t xml:space="preserve">2.3.1.1</w:t>
            </w:r>
            <w:r>
              <w:rPr>
                <w:rFonts w:eastAsia="宋体"/>
              </w:rPr>
              <w:t xml:space="preserve"> </w:t>
            </w:r>
            <w:r>
              <w:rPr>
                <w:rFonts w:eastAsia="宋体"/>
                <w:shd w:val="clear" w:color="auto" w:fill="ffffff"/>
                <w:lang w:val="en-US" w:eastAsia="zh-CN"/>
              </w:rPr>
              <w:t xml:space="preserve">运行</w:t>
            </w:r>
            <w:r>
              <w:rPr>
                <w:rFonts w:eastAsia="宋体"/>
                <w:shd w:val="clear" w:color="auto" w:fill="ffffff"/>
              </w:rPr>
              <w:t xml:space="preserve">期间管理要求</w:t>
            </w:r>
            <w:r>
              <w:rPr>
                <w:rFonts w:eastAsia="宋体"/>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（1）严格按照工程控制运用原则和采购人的指令做好泵站和水闸的控制运用调度工作，及时作出响应并保证工程的正常运行。</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（2）掌握水情、雨情、工情，做好泵闸配合工作，并按照</w:t>
            </w:r>
            <w:r>
              <w:rPr>
                <w:rFonts w:ascii="Times New Roman" w:hAnsi="Times New Roman"/>
                <w:szCs w:val="24"/>
              </w:rPr>
              <w:t xml:space="preserve">要求上报工情、水情</w:t>
            </w:r>
            <w:r>
              <w:rPr>
                <w:rFonts w:ascii="Times New Roman" w:hAnsi="Times New Roman"/>
                <w:shd w:val="clear" w:color="auto" w:fill="ffffff"/>
              </w:rPr>
              <w:t xml:space="preserve">。</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（3）做好运行前各系统设备的检查工作。运行前15分钟·或运行中每隔30分钟，利用喇叭音箱进行“禁止捕鱼”及“禁止游泳”等安全提醒，以及对上下游河道、进出水口的安全巡查，确保闸站运行安全。</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（4）对采购人的指令应详细记录、复核；执行完毕后，应向采购人报告。</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（5）运行期间，</w:t>
            </w:r>
            <w:r>
              <w:rPr>
                <w:rFonts w:ascii="Times New Roman" w:hAnsi="Times New Roman"/>
                <w:szCs w:val="24"/>
              </w:rPr>
              <w:t xml:space="preserve">严格执行甲方制定的各项规章制度、管理细则，服从甲方管理，人员须24小时在岗、在位，现场工程运行人员需按照采购需求满足每天节制闸引水排涝和机泵连续运行需求，</w:t>
            </w:r>
            <w:r>
              <w:rPr>
                <w:rFonts w:ascii="Times New Roman" w:hAnsi="Times New Roman"/>
                <w:shd w:val="clear" w:color="auto" w:fill="ffffff"/>
              </w:rPr>
              <w:t xml:space="preserve">运行值班长应对采购人参与运行的人员进行管理，带领运行班做好安全运行，严格执行两票三制，做好运行记录，健全各类台账记录。</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（6）机电设备、建筑物、进出水口、引水河道的巡视的间隔、项目和标准不低于采购人的巡视制度规定，机电设备运行参数，应每两小时记录一次，若有特殊要求时，可以缩短记录时间。</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7）闸站运行调度应发挥工程的最大效益，并确保设备的安全运行：运行过程中，应密切注视水雨情的变化，根据水闸始流时闸下安全水位~流量关系曲线、闸门开高~水位~流量关系曲线，调整闸门开高确保工程引排安全。根据水泵装置特征曲线，调整机组的运行状态；若水泵发生汽蚀和振动，应按改善水泵装置汽蚀性能和降低振幅的要求进行调度。</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（8）发现故障及时采取正确处置措施，排除简单故障，向项目负责人及时汇报。发生突发事故时，应按事故紧急处理制度执行，视情况作相应处理并及时向负责人及采购人报告。</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rPr>
            </w:pPr>
            <w:r>
              <w:rPr>
                <w:rFonts w:ascii="Times New Roman" w:hAnsi="Times New Roman"/>
                <w:shd w:val="clear" w:color="auto" w:fill="ffffff"/>
              </w:rPr>
              <w:t xml:space="preserve">（9）定期巡视拦污栅并清理垃圾，及时自行外运。</w:t>
            </w:r>
            <w:r>
              <w:rPr>
                <w:rFonts w:ascii="Times New Roman" w:hAnsi="Times New Roman"/>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2.3.1.2 非运行期间管理要求</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（1）非运行期间，严格执行闸站的巡查、经常检查、值班等制度，记录内容不得漏项缺次，记录填写应规范无涂改；每月形成一次运维工作月报表报采购人。</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（2）做好江堤巡查工作，按要求做好巡查检查台帐记录。</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（3）根据环境湿度情况，及时做好设备防潮除湿工作，确保设备能够正常、安全运行。</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4）根据做好每月一次泵站机组试运行工作，试运行应提前24小时告知采购人，完成后形成试运行报告并于2天内报采购人；按要求做好备用电源试运行工作，必要时增加试运行次数，汛前需至少带负载运行一次，查看供电是否满足要求。做好各项记录。</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（5）开展设备保洁，应保证对各系统机电设备所有部位保洁除尘每周不少于两次。</w:t>
            </w:r>
            <w:r>
              <w:rPr>
                <w:rFonts w:ascii="Times New Roman" w:hAnsi="Times New Roman"/>
                <w:shd w:val="clear" w:color="auto" w:fill="ffffff"/>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jc w:val="both"/>
              <w:spacing w:line="440" w:lineRule="exact"/>
              <w:rPr>
                <w:rFonts w:eastAsia="宋体"/>
                <w:lang w:val="en-US" w:eastAsia="zh-CN"/>
              </w:rPr>
            </w:pPr>
            <w:r>
              <w:rPr>
                <w:rFonts w:eastAsia="宋体"/>
                <w:lang w:val="en-US" w:eastAsia="zh-CN"/>
              </w:rPr>
              <w:t xml:space="preserve">2.3.2</w:t>
            </w:r>
            <w:r>
              <w:rPr>
                <w:rFonts w:eastAsia="宋体"/>
              </w:rPr>
              <w:t xml:space="preserve"> </w:t>
            </w:r>
            <w:r>
              <w:rPr>
                <w:rFonts w:eastAsia="宋体"/>
                <w:lang w:val="en-US" w:eastAsia="zh-CN"/>
              </w:rPr>
              <w:t xml:space="preserve">设备管理要求</w:t>
            </w:r>
            <w:r>
              <w:rPr>
                <w:rFonts w:eastAsia="宋体"/>
                <w:lang w:val="en-US" w:eastAsia="zh-CN"/>
              </w:rPr>
            </w:r>
            <w:r/>
          </w:p>
          <w:p>
            <w:pPr>
              <w:pStyle w:val="1292"/>
              <w:jc w:val="both"/>
              <w:spacing w:line="440" w:lineRule="exact"/>
              <w:rPr>
                <w:rFonts w:eastAsia="宋体"/>
                <w:i/>
                <w:iCs/>
                <w:u w:val="single"/>
                <w:shd w:val="clear" w:color="auto" w:fill="ffffff"/>
                <w:lang w:eastAsia="zh-CN"/>
              </w:rPr>
            </w:pPr>
            <w:r>
              <w:rPr>
                <w:rFonts w:eastAsia="宋体"/>
                <w:i/>
                <w:iCs/>
                <w:u w:val="single"/>
                <w:shd w:val="clear" w:color="auto" w:fill="ffffff"/>
              </w:rPr>
              <w:t xml:space="preserve">投标人需完成太字圩港闸站、四干河江边枢纽、走马塘江边枢纽、十一圩江边枢纽的金属结构机电养护服务。</w:t>
            </w:r>
            <w:r>
              <w:rPr>
                <w:rFonts w:eastAsia="宋体"/>
                <w:i/>
                <w:iCs/>
                <w:u w:val="single"/>
                <w:shd w:val="clear" w:color="auto" w:fill="ffffff"/>
                <w:lang w:eastAsia="zh-CN"/>
              </w:rPr>
            </w:r>
            <w:r/>
          </w:p>
          <w:p>
            <w:pPr>
              <w:pStyle w:val="1292"/>
              <w:jc w:val="both"/>
              <w:spacing w:line="440" w:lineRule="exact"/>
              <w:rPr>
                <w:rFonts w:eastAsia="宋体"/>
              </w:rPr>
            </w:pPr>
            <w:r>
              <w:rPr>
                <w:rFonts w:eastAsia="宋体"/>
              </w:rPr>
              <w:t xml:space="preserve">2.3.2.1 维修养护标准</w:t>
            </w:r>
            <w:r>
              <w:rPr>
                <w:rFonts w:eastAsia="宋体"/>
              </w:rPr>
            </w:r>
            <w:r/>
          </w:p>
          <w:p>
            <w:pPr>
              <w:pStyle w:val="1292"/>
              <w:jc w:val="both"/>
              <w:spacing w:line="440" w:lineRule="exact"/>
              <w:rPr>
                <w:rFonts w:eastAsia="宋体"/>
              </w:rPr>
            </w:pPr>
            <w:r>
              <w:rPr>
                <w:rFonts w:eastAsia="宋体"/>
              </w:rPr>
              <w:t xml:space="preserve">具体标准参照以下规定执行（但不限于）：《江苏省水利工程养护修理预算定额（试行）养护定额分册》《大中型水闸工程标准化管理评价标准》《大中型灌排泵站标准化管理评价标准》《江苏省水利工程精细化管理丛书》《江苏省泵站技术管理办法》《江苏省水闸技术管理办法》《水利水电工程钢闸门制造、安装及验收规范》《起重机钢丝绳保养、维护、检验和报废》《水利水电工程启闭机制造安装及验收》《水工金属结构防腐蚀规范》</w:t>
            </w:r>
            <w:r>
              <w:rPr>
                <w:rFonts w:eastAsia="宋体"/>
              </w:rPr>
            </w:r>
            <w:r/>
          </w:p>
          <w:p>
            <w:pPr>
              <w:pStyle w:val="1292"/>
              <w:jc w:val="both"/>
              <w:spacing w:line="440" w:lineRule="exact"/>
              <w:rPr>
                <w:rFonts w:eastAsia="宋体"/>
                <w:lang w:eastAsia="zh-CN"/>
              </w:rPr>
            </w:pPr>
            <w:r>
              <w:rPr>
                <w:rFonts w:eastAsia="宋体"/>
                <w:lang w:val="en-US" w:eastAsia="zh-CN"/>
              </w:rPr>
              <w:t xml:space="preserve">2.3.2.2 </w:t>
            </w:r>
            <w:r>
              <w:rPr>
                <w:rFonts w:eastAsia="宋体"/>
              </w:rPr>
              <w:t xml:space="preserve">金属结构机电日常养护服务要求</w:t>
            </w:r>
            <w:r>
              <w:rPr>
                <w:rFonts w:eastAsia="宋体"/>
                <w:lang w:eastAsia="zh-CN"/>
              </w:rPr>
            </w:r>
            <w:r/>
          </w:p>
          <w:p>
            <w:pPr>
              <w:pStyle w:val="1292"/>
              <w:ind w:left="-111"/>
              <w:spacing w:line="440" w:lineRule="exact"/>
              <w:rPr>
                <w:rFonts w:eastAsia="宋体"/>
              </w:rPr>
            </w:pPr>
            <w:r>
              <w:rPr>
                <w:rFonts w:eastAsia="宋体"/>
              </w:rPr>
              <w:t xml:space="preserve">（1）养护标准：所有</w:t>
            </w:r>
            <w:r>
              <w:rPr>
                <w:rFonts w:eastAsia="宋体"/>
                <w:lang w:val="en-US" w:eastAsia="zh-CN"/>
              </w:rPr>
              <w:t xml:space="preserve">设施</w:t>
            </w:r>
            <w:r>
              <w:rPr>
                <w:rFonts w:eastAsia="宋体"/>
              </w:rPr>
              <w:t xml:space="preserve">设备检查调试，除尘去污</w:t>
            </w:r>
            <w:r>
              <w:rPr>
                <w:rFonts w:eastAsia="宋体"/>
                <w:lang w:eastAsia="zh-CN"/>
              </w:rPr>
              <w:t xml:space="preserve">（</w:t>
            </w:r>
            <w:r>
              <w:rPr>
                <w:rFonts w:eastAsia="宋体"/>
                <w:shd w:val="clear" w:color="auto" w:fill="ffffff"/>
              </w:rPr>
              <w:t xml:space="preserve">每周不少于两次</w:t>
            </w:r>
            <w:r>
              <w:rPr>
                <w:rFonts w:eastAsia="宋体"/>
                <w:lang w:eastAsia="zh-CN"/>
              </w:rPr>
              <w:t xml:space="preserve">）</w:t>
            </w:r>
            <w:r>
              <w:rPr>
                <w:rFonts w:eastAsia="宋体"/>
              </w:rPr>
              <w:t xml:space="preserve">，零星锈蚀的防腐，转动部件润滑，易损件及耗材的更换，冷却液、齿轮箱油、液压油的</w:t>
            </w:r>
            <w:r>
              <w:rPr>
                <w:rFonts w:eastAsia="宋体"/>
                <w:lang w:val="en-US" w:eastAsia="zh-CN"/>
              </w:rPr>
              <w:t xml:space="preserve">检查</w:t>
            </w:r>
            <w:r>
              <w:rPr>
                <w:rFonts w:eastAsia="宋体"/>
              </w:rPr>
              <w:t xml:space="preserve">补充。</w:t>
            </w:r>
            <w:r>
              <w:rPr>
                <w:rFonts w:eastAsia="宋体"/>
              </w:rPr>
            </w:r>
            <w:r/>
          </w:p>
          <w:p>
            <w:pPr>
              <w:pStyle w:val="1292"/>
              <w:jc w:val="both"/>
              <w:spacing w:line="440" w:lineRule="exact"/>
              <w:rPr>
                <w:rFonts w:eastAsia="宋体"/>
              </w:rPr>
            </w:pPr>
            <w:r>
              <w:rPr>
                <w:rFonts w:eastAsia="宋体"/>
              </w:rPr>
              <w:t xml:space="preserve">（2）养护频率：每月一次。</w:t>
            </w:r>
            <w:r>
              <w:rPr>
                <w:rFonts w:eastAsia="宋体"/>
              </w:rPr>
            </w:r>
            <w:r/>
          </w:p>
          <w:p>
            <w:pPr>
              <w:pStyle w:val="1292"/>
              <w:jc w:val="both"/>
              <w:spacing w:line="440" w:lineRule="exact"/>
              <w:rPr>
                <w:rFonts w:eastAsia="宋体"/>
              </w:rPr>
            </w:pPr>
            <w:r>
              <w:rPr>
                <w:rFonts w:eastAsia="宋体"/>
                <w:lang w:val="en-US" w:eastAsia="zh-CN"/>
              </w:rPr>
              <w:t xml:space="preserve">2.3.2.3</w:t>
            </w:r>
            <w:r>
              <w:rPr>
                <w:rFonts w:eastAsia="宋体"/>
              </w:rPr>
              <w:t xml:space="preserve"> 金属结构机电定期养护服务要求</w:t>
            </w:r>
            <w:r>
              <w:rPr>
                <w:rFonts w:eastAsia="宋体"/>
              </w:rPr>
            </w:r>
            <w:r/>
          </w:p>
          <w:p>
            <w:pPr>
              <w:pStyle w:val="1292"/>
              <w:jc w:val="both"/>
              <w:spacing w:line="440" w:lineRule="exact"/>
              <w:rPr>
                <w:rFonts w:eastAsia="宋体"/>
              </w:rPr>
            </w:pPr>
            <w:r>
              <w:rPr>
                <w:rFonts w:eastAsia="宋体"/>
              </w:rPr>
              <w:t xml:space="preserve">（1）钢闸门表面清洗及运转件维护</w:t>
            </w:r>
            <w:r>
              <w:rPr>
                <w:rFonts w:eastAsia="宋体"/>
              </w:rPr>
            </w:r>
            <w:r/>
          </w:p>
          <w:p>
            <w:pPr>
              <w:pStyle w:val="1292"/>
              <w:jc w:val="both"/>
              <w:spacing w:line="440" w:lineRule="exact"/>
              <w:rPr>
                <w:rFonts w:eastAsia="宋体"/>
              </w:rPr>
            </w:pPr>
            <w:r>
              <w:rPr>
                <w:rFonts w:eastAsia="宋体"/>
              </w:rPr>
              <w:t xml:space="preserve">1）养护标准：对</w:t>
            </w:r>
            <w:r>
              <w:rPr>
                <w:rFonts w:hint="eastAsia" w:ascii="宋体" w:hAnsi="宋体" w:eastAsia="宋体" w:cs="宋体"/>
              </w:rPr>
              <w:t xml:space="preserve">①</w:t>
            </w:r>
            <w:r>
              <w:rPr>
                <w:rFonts w:eastAsia="宋体"/>
              </w:rPr>
              <w:t xml:space="preserve">闸门门叶（面板、梁系、支臂等）清理，表面无水生物泥沙等，观察门体有无变形，表面防腐涂层有无起壳、剥落、锈蚀等现象，对局部锈蚀部位进行处理；</w:t>
            </w:r>
            <w:r>
              <w:rPr>
                <w:rFonts w:hint="eastAsia" w:ascii="宋体" w:hAnsi="宋体" w:eastAsia="宋体" w:cs="宋体"/>
              </w:rPr>
              <w:t xml:space="preserve">②</w:t>
            </w:r>
            <w:r>
              <w:rPr>
                <w:rFonts w:eastAsia="宋体"/>
              </w:rPr>
              <w:t xml:space="preserve">闸门行走支承装置（滚轮是否卡阻，进行加油润滑，滚轮压板（紧固螺丝，对锈蚀磨损的螺丝进行更换）是否牢固、轴镀铬表面是否磨损异常，轴颈、轴尾与加强板是否磨损松动有间隙，止轴板（紧固螺丝，对锈蚀磨损的螺丝进行更换）是否牢固、滚轮衬套磨损是否严重，与轴间隙是否正常、门轨清洁除锈）；</w:t>
            </w:r>
            <w:r>
              <w:rPr>
                <w:rFonts w:hint="eastAsia" w:ascii="宋体" w:hAnsi="宋体" w:eastAsia="宋体" w:cs="宋体"/>
              </w:rPr>
              <w:t xml:space="preserve">③</w:t>
            </w:r>
            <w:r>
              <w:rPr>
                <w:rFonts w:eastAsia="宋体"/>
              </w:rPr>
              <w:t xml:space="preserve">闸门吊耳吊杆及锁定装置进行清洁，观察有无裂纹，开焊，止轴板是否锈蚀严重，止轴板（紧固螺丝，对锈蚀磨损的螺丝进行更换）（如有）、吊杆（丝杆）进行加油润滑、对锁定装置转动部件进行检查和加油润滑；</w:t>
            </w:r>
            <w:r>
              <w:rPr>
                <w:rFonts w:hint="eastAsia" w:ascii="宋体" w:hAnsi="宋体" w:eastAsia="宋体" w:cs="宋体"/>
              </w:rPr>
              <w:t xml:space="preserve">④</w:t>
            </w:r>
            <w:r>
              <w:rPr>
                <w:rFonts w:eastAsia="宋体"/>
              </w:rPr>
              <w:t xml:space="preserve">闸门止水装置（检查橡皮是否老化缺损，压板是否牢固锈蚀，螺丝是否紧固锈蚀，漏水处进行止水调整，此项不含侧止水底座止水的调整）；</w:t>
            </w:r>
            <w:r>
              <w:rPr>
                <w:rFonts w:hint="eastAsia" w:ascii="宋体" w:hAnsi="宋体" w:eastAsia="宋体" w:cs="宋体"/>
              </w:rPr>
              <w:t xml:space="preserve">⑤</w:t>
            </w:r>
            <w:r>
              <w:rPr>
                <w:rFonts w:eastAsia="宋体"/>
              </w:rPr>
              <w:t xml:space="preserve">闸门埋件、检修闸门及相关机械、器具、辅助设施等附件，进行清理清洁、紧固、加油润滑、部件变形矫正、对局部锈蚀部位进行处理等养护。五类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2）养护频率：</w:t>
            </w:r>
            <w:r>
              <w:rPr>
                <w:rStyle w:val="1356"/>
                <w:rFonts w:ascii="Times New Roman" w:hAnsi="Times New Roman" w:eastAsia="宋体"/>
              </w:rPr>
              <w:t xml:space="preserve">见清单。</w:t>
            </w:r>
            <w:r>
              <w:rPr>
                <w:rFonts w:eastAsia="宋体"/>
              </w:rPr>
            </w:r>
            <w:r/>
          </w:p>
          <w:p>
            <w:pPr>
              <w:pStyle w:val="1292"/>
              <w:jc w:val="both"/>
              <w:spacing w:line="440" w:lineRule="exact"/>
              <w:rPr>
                <w:rFonts w:eastAsia="宋体"/>
                <w:lang w:eastAsia="zh-CN"/>
              </w:rPr>
            </w:pPr>
            <w:r>
              <w:rPr>
                <w:rFonts w:eastAsia="宋体"/>
              </w:rPr>
              <w:t xml:space="preserve">（2）钢丝绳清洗养护</w:t>
            </w:r>
            <w:r>
              <w:rPr>
                <w:rFonts w:eastAsia="宋体"/>
                <w:lang w:eastAsia="zh-CN"/>
              </w:rPr>
            </w:r>
            <w:r/>
          </w:p>
          <w:p>
            <w:pPr>
              <w:pStyle w:val="1292"/>
              <w:spacing w:line="440" w:lineRule="exact"/>
              <w:rPr>
                <w:rFonts w:eastAsia="宋体"/>
              </w:rPr>
            </w:pPr>
            <w:r>
              <w:rPr>
                <w:rFonts w:eastAsia="宋体"/>
              </w:rPr>
              <w:t xml:space="preserve">1）养护标准：对钢丝绳、绳套清洗；钢丝绳（</w:t>
            </w:r>
            <w:r>
              <w:rPr>
                <w:rFonts w:hint="eastAsia" w:ascii="宋体" w:hAnsi="宋体" w:eastAsia="宋体" w:cs="宋体"/>
              </w:rPr>
              <w:t xml:space="preserve">①</w:t>
            </w:r>
            <w:r>
              <w:rPr>
                <w:rFonts w:eastAsia="宋体"/>
              </w:rPr>
              <w:t xml:space="preserve">对钢丝绳上原有干裂老化的油脂进行清理清洗；</w:t>
            </w:r>
            <w:r>
              <w:rPr>
                <w:rFonts w:hint="eastAsia" w:ascii="宋体" w:hAnsi="宋体" w:eastAsia="宋体" w:cs="宋体"/>
              </w:rPr>
              <w:t xml:space="preserve">②</w:t>
            </w:r>
            <w:r>
              <w:rPr>
                <w:rFonts w:eastAsia="宋体"/>
              </w:rPr>
              <w:t xml:space="preserve">对钢丝绳下端浸入水中部分进行除锈处理，表面锈蚀清理干净；</w:t>
            </w:r>
            <w:r>
              <w:rPr>
                <w:rFonts w:hint="eastAsia" w:ascii="宋体" w:hAnsi="宋体" w:eastAsia="宋体" w:cs="宋体"/>
              </w:rPr>
              <w:t xml:space="preserve">③</w:t>
            </w:r>
            <w:r>
              <w:rPr>
                <w:rFonts w:eastAsia="宋体"/>
              </w:rPr>
              <w:t xml:space="preserve">观察每根钢丝绳锈蚀、爆丝的情况；</w:t>
            </w:r>
            <w:r>
              <w:rPr>
                <w:rFonts w:hint="eastAsia" w:ascii="宋体" w:hAnsi="宋体" w:eastAsia="宋体" w:cs="宋体"/>
              </w:rPr>
              <w:t xml:space="preserve">④</w:t>
            </w:r>
            <w:r>
              <w:rPr>
                <w:rFonts w:eastAsia="宋体"/>
              </w:rPr>
              <w:t xml:space="preserve">涂钢丝绳专用防水油脂，涂抹均匀无遗漏）；调节螺丝进行加油润滑（</w:t>
            </w:r>
            <w:r>
              <w:rPr>
                <w:rFonts w:hint="eastAsia" w:ascii="宋体" w:hAnsi="宋体" w:eastAsia="宋体" w:cs="宋体"/>
              </w:rPr>
              <w:t xml:space="preserve">①</w:t>
            </w:r>
            <w:r>
              <w:rPr>
                <w:rFonts w:eastAsia="宋体"/>
              </w:rPr>
              <w:t xml:space="preserve">对原有干裂老化油脂清理清洗，</w:t>
            </w:r>
            <w:r>
              <w:rPr>
                <w:rFonts w:hint="eastAsia" w:ascii="宋体" w:hAnsi="宋体" w:eastAsia="宋体" w:cs="宋体"/>
              </w:rPr>
              <w:t xml:space="preserve">②</w:t>
            </w:r>
            <w:r>
              <w:rPr>
                <w:rFonts w:eastAsia="宋体"/>
              </w:rPr>
              <w:t xml:space="preserve">涂抹油脂均匀无遗漏）；</w:t>
            </w:r>
            <w:r>
              <w:rPr>
                <w:rFonts w:eastAsia="宋体"/>
                <w:lang w:val="en-US" w:eastAsia="zh-CN"/>
              </w:rPr>
              <w:t xml:space="preserve">钢丝绳末端用不锈钢套管进行保护；</w:t>
            </w:r>
            <w:r>
              <w:rPr>
                <w:rFonts w:eastAsia="宋体"/>
              </w:rPr>
              <w:t xml:space="preserve">调整钢丝绳长度，闭门状态不得过松（合同内每个涉及钢丝绳保养项目采购方可根据实际需求要求供应商免费提供不少于3次钢丝绳调整服务）；止动板紧固补漆；销轴绳套油漆（钢丝绳长度根据现场原有的确定）。还包括清洗养护所需附件及施工机械、器具、辅助设施等。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2）养护频率：见清单。</w:t>
            </w:r>
            <w:r>
              <w:rPr>
                <w:rFonts w:eastAsia="宋体"/>
              </w:rPr>
            </w:r>
            <w:r/>
          </w:p>
          <w:p>
            <w:pPr>
              <w:pStyle w:val="1292"/>
              <w:jc w:val="both"/>
              <w:spacing w:line="440" w:lineRule="exact"/>
              <w:rPr>
                <w:rFonts w:eastAsia="宋体"/>
              </w:rPr>
            </w:pPr>
            <w:r>
              <w:rPr>
                <w:rFonts w:eastAsia="宋体"/>
              </w:rPr>
              <w:t xml:space="preserve">（3）卷扬启闭机养护（含启闭机罩壳）</w:t>
            </w:r>
            <w:r>
              <w:rPr>
                <w:rFonts w:eastAsia="宋体"/>
              </w:rPr>
            </w:r>
            <w:r/>
          </w:p>
          <w:p>
            <w:pPr>
              <w:pStyle w:val="1292"/>
              <w:jc w:val="both"/>
              <w:spacing w:line="440" w:lineRule="exact"/>
              <w:rPr>
                <w:rFonts w:eastAsia="宋体"/>
              </w:rPr>
            </w:pPr>
            <w:r>
              <w:rPr>
                <w:rFonts w:eastAsia="宋体"/>
              </w:rPr>
              <w:t xml:space="preserve">1）养护标准：对启闭机机架、防护罩（固定到位，对变形部位进行矫正，防止转动部位碰壳）、机</w:t>
            </w:r>
            <w:r>
              <w:rPr>
                <w:rFonts w:eastAsia="宋体"/>
              </w:rPr>
              <w:t xml:space="preserve">体表面进行除尘除锈，进行防腐油漆；注油设施完好油路通畅，进行清洗加油；启闭机连接件紧固；传动轴表面掉漆需涂红色油漆；机械传动装置转动部位加注轮滑油脂（根据启闭机说明要求加注油脂）；检查减速箱油位（保持在上、下限之间），不足进行添加；调整制动装置，确保动作灵活，制动可靠；液压制动器清洗换油（如有）；开式齿轮及齿形联轴节清洁，表面润滑，无损坏锈蚀；上下滑轮组清洁，转动灵活，进行防锈处理，滑轮内钢丝绳不得脱槽卡阻，发现卡阻偏磨需调整；对电机进线绝缘测试。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2）养护频率：见清单。</w:t>
            </w:r>
            <w:r>
              <w:rPr>
                <w:rFonts w:eastAsia="宋体"/>
              </w:rPr>
            </w:r>
            <w:r/>
          </w:p>
          <w:p>
            <w:pPr>
              <w:pStyle w:val="1292"/>
              <w:jc w:val="both"/>
              <w:spacing w:line="440" w:lineRule="exact"/>
              <w:rPr>
                <w:rFonts w:eastAsia="宋体"/>
              </w:rPr>
            </w:pPr>
            <w:r>
              <w:rPr>
                <w:rFonts w:eastAsia="宋体"/>
              </w:rPr>
              <w:t xml:space="preserve">（4）液压启闭机养护</w:t>
            </w:r>
            <w:r>
              <w:rPr>
                <w:rFonts w:eastAsia="宋体"/>
              </w:rPr>
            </w:r>
            <w:r/>
          </w:p>
          <w:p>
            <w:pPr>
              <w:pStyle w:val="1292"/>
              <w:jc w:val="both"/>
              <w:spacing w:line="440" w:lineRule="exact"/>
              <w:rPr>
                <w:rFonts w:eastAsia="宋体"/>
              </w:rPr>
            </w:pPr>
            <w:r>
              <w:rPr>
                <w:rFonts w:eastAsia="宋体"/>
              </w:rPr>
              <w:t xml:space="preserve">1）养护标准：各部件清洗、锈蚀处理及防腐；液压油油质、油位检查，压力表检查，过滤补油（液压油甲供），必要时进行液压油更换；渗漏处理，必要时更换密封圈；限位开关检查及调整；连接件的检查、紧固及更换。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2）养护频率：</w:t>
            </w:r>
            <w:r>
              <w:rPr>
                <w:rStyle w:val="1356"/>
                <w:rFonts w:ascii="Times New Roman" w:hAnsi="Times New Roman" w:eastAsia="宋体"/>
              </w:rPr>
              <w:t xml:space="preserve">见清单。</w:t>
            </w:r>
            <w:r>
              <w:rPr>
                <w:rFonts w:eastAsia="宋体"/>
              </w:rPr>
            </w:r>
            <w:r/>
          </w:p>
          <w:p>
            <w:pPr>
              <w:pStyle w:val="1292"/>
              <w:jc w:val="both"/>
              <w:spacing w:line="440" w:lineRule="exact"/>
              <w:rPr>
                <w:rFonts w:eastAsia="宋体"/>
              </w:rPr>
            </w:pPr>
            <w:r>
              <w:rPr>
                <w:rFonts w:eastAsia="宋体"/>
              </w:rPr>
              <w:t xml:space="preserve">（5）主水泵养护</w:t>
            </w:r>
            <w:r>
              <w:rPr>
                <w:rFonts w:eastAsia="宋体"/>
              </w:rPr>
            </w:r>
            <w:r/>
          </w:p>
          <w:p>
            <w:pPr>
              <w:pStyle w:val="1292"/>
              <w:jc w:val="both"/>
              <w:spacing w:line="440" w:lineRule="exact"/>
              <w:rPr>
                <w:rFonts w:eastAsia="宋体"/>
              </w:rPr>
            </w:pPr>
            <w:r>
              <w:rPr>
                <w:rFonts w:eastAsia="宋体"/>
              </w:rPr>
              <w:t xml:space="preserve">1）水泵定期检查、清洁、除锈、对局部锈蚀部位进行处理、渗漏水处理、渗漏油处理、局部焊接、补加润滑油（推力轴承需打开检查），填料更换（合同内采购方根据需求，每个涉及主水泵养项目中可要求供应商提供不少于3次填料调整服务）；各连接螺栓检查和紧固等。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2）养护频率：</w:t>
            </w:r>
            <w:r>
              <w:rPr>
                <w:rStyle w:val="1356"/>
                <w:rFonts w:ascii="Times New Roman" w:hAnsi="Times New Roman" w:eastAsia="宋体"/>
              </w:rPr>
              <w:t xml:space="preserve">见清单。</w:t>
            </w:r>
            <w:r>
              <w:rPr>
                <w:rFonts w:eastAsia="宋体"/>
              </w:rPr>
            </w:r>
            <w:r/>
          </w:p>
          <w:p>
            <w:pPr>
              <w:pStyle w:val="1292"/>
              <w:jc w:val="both"/>
              <w:spacing w:line="440" w:lineRule="exact"/>
              <w:rPr>
                <w:rFonts w:eastAsia="宋体"/>
              </w:rPr>
            </w:pPr>
            <w:r>
              <w:rPr>
                <w:rFonts w:eastAsia="宋体"/>
              </w:rPr>
              <w:t xml:space="preserve">（6）主电机养护</w:t>
            </w:r>
            <w:r>
              <w:rPr>
                <w:rFonts w:eastAsia="宋体"/>
              </w:rPr>
            </w:r>
            <w:r/>
          </w:p>
          <w:p>
            <w:pPr>
              <w:pStyle w:val="1292"/>
              <w:jc w:val="both"/>
              <w:spacing w:line="440" w:lineRule="exact"/>
              <w:rPr>
                <w:rFonts w:eastAsia="宋体"/>
              </w:rPr>
            </w:pPr>
            <w:r>
              <w:rPr>
                <w:rFonts w:eastAsia="宋体"/>
              </w:rPr>
              <w:t xml:space="preserve">1）电动机定期检查、清洁、除锈、对局部锈蚀部位进行处理、渗漏水处理、渗漏油处理、局部焊接、滚动轴承按照厂家保养要求进行加油润滑、绝缘检测与干燥、碳刷磨损更换（甲供）、透平油或变速箱油补充或过滤（检查后必要时进行，油液甲供）、试验配合等。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2）养护频率：</w:t>
            </w:r>
            <w:r>
              <w:rPr>
                <w:rStyle w:val="1356"/>
                <w:rFonts w:ascii="Times New Roman" w:hAnsi="Times New Roman" w:eastAsia="宋体"/>
              </w:rPr>
              <w:t xml:space="preserve">见清单。</w:t>
            </w:r>
            <w:r>
              <w:rPr>
                <w:rFonts w:eastAsia="宋体"/>
              </w:rPr>
            </w:r>
            <w:r/>
          </w:p>
          <w:p>
            <w:pPr>
              <w:pStyle w:val="1292"/>
              <w:jc w:val="both"/>
              <w:spacing w:line="440" w:lineRule="exact"/>
              <w:rPr>
                <w:rFonts w:eastAsia="宋体"/>
              </w:rPr>
            </w:pPr>
            <w:r>
              <w:rPr>
                <w:rFonts w:eastAsia="宋体"/>
              </w:rPr>
              <w:t xml:space="preserve">（7）高、低压开关柜，控制柜、箱养护</w:t>
            </w:r>
            <w:r>
              <w:rPr>
                <w:rFonts w:eastAsia="宋体"/>
              </w:rPr>
            </w:r>
            <w:r/>
          </w:p>
          <w:p>
            <w:pPr>
              <w:pStyle w:val="1292"/>
              <w:jc w:val="both"/>
              <w:spacing w:line="440" w:lineRule="exact"/>
              <w:rPr>
                <w:rFonts w:eastAsia="宋体"/>
              </w:rPr>
            </w:pPr>
            <w:r>
              <w:rPr>
                <w:rFonts w:eastAsia="宋体"/>
              </w:rPr>
              <w:t xml:space="preserve">1）定期检查电气元件并调试，清洁、除锈、对局部锈蚀部位进行处理，开关、指示灯、熔丝、限位开关等易损件处理与更换，绝缘检查与处理、接线松动处理、试温片的检查和更换，电气试验配合等。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2）养护频率：</w:t>
            </w:r>
            <w:r>
              <w:rPr>
                <w:rStyle w:val="1356"/>
                <w:rFonts w:ascii="Times New Roman" w:hAnsi="Times New Roman" w:eastAsia="宋体"/>
              </w:rPr>
              <w:t xml:space="preserve">见清单。</w:t>
            </w:r>
            <w:r>
              <w:rPr>
                <w:rFonts w:eastAsia="宋体"/>
              </w:rPr>
            </w:r>
            <w:r/>
          </w:p>
          <w:p>
            <w:pPr>
              <w:pStyle w:val="1292"/>
              <w:jc w:val="both"/>
              <w:spacing w:line="440" w:lineRule="exact"/>
              <w:rPr>
                <w:rFonts w:eastAsia="宋体"/>
              </w:rPr>
            </w:pPr>
            <w:r>
              <w:rPr>
                <w:rFonts w:eastAsia="宋体"/>
              </w:rPr>
              <w:t xml:space="preserve">（8）2.8 WKLF-100励磁装置励磁柜、屏养护</w:t>
            </w:r>
            <w:r>
              <w:rPr>
                <w:rFonts w:eastAsia="宋体"/>
              </w:rPr>
            </w:r>
            <w:r/>
          </w:p>
          <w:p>
            <w:pPr>
              <w:pStyle w:val="1292"/>
              <w:jc w:val="both"/>
              <w:spacing w:line="440" w:lineRule="exact"/>
              <w:rPr>
                <w:rFonts w:eastAsia="宋体"/>
              </w:rPr>
            </w:pPr>
            <w:r>
              <w:rPr>
                <w:rFonts w:eastAsia="宋体"/>
              </w:rPr>
              <w:t xml:space="preserve">励磁装置静态调试：</w:t>
            </w:r>
            <w:r>
              <w:rPr>
                <w:rFonts w:eastAsia="宋体"/>
              </w:rPr>
            </w:r>
            <w:r/>
          </w:p>
          <w:p>
            <w:pPr>
              <w:pStyle w:val="1292"/>
              <w:jc w:val="both"/>
              <w:spacing w:line="440" w:lineRule="exact"/>
              <w:rPr>
                <w:rFonts w:eastAsia="宋体"/>
              </w:rPr>
            </w:pPr>
            <w:r>
              <w:rPr>
                <w:rFonts w:eastAsia="宋体"/>
              </w:rPr>
              <w:t xml:space="preserve">1 常规维护</w:t>
            </w:r>
            <w:r>
              <w:rPr>
                <w:rFonts w:eastAsia="宋体"/>
              </w:rPr>
            </w:r>
            <w:r/>
          </w:p>
          <w:p>
            <w:pPr>
              <w:pStyle w:val="1292"/>
              <w:spacing w:line="440" w:lineRule="exact"/>
              <w:rPr>
                <w:rFonts w:eastAsia="宋体"/>
              </w:rPr>
            </w:pPr>
            <w:r>
              <w:rPr>
                <w:rFonts w:eastAsia="宋体"/>
              </w:rPr>
              <w:t xml:space="preserve">1) 紧固装置所有端子，确保各个回路可靠连接。  </w:t>
            </w:r>
            <w:r>
              <w:rPr>
                <w:rFonts w:eastAsia="宋体"/>
              </w:rPr>
            </w:r>
            <w:r/>
          </w:p>
          <w:p>
            <w:pPr>
              <w:pStyle w:val="1292"/>
              <w:spacing w:line="440" w:lineRule="exact"/>
              <w:rPr>
                <w:rFonts w:eastAsia="宋体"/>
              </w:rPr>
            </w:pPr>
            <w:r>
              <w:rPr>
                <w:rFonts w:eastAsia="宋体"/>
              </w:rPr>
              <w:t xml:space="preserve">2) 装置除尘</w:t>
            </w:r>
            <w:r>
              <w:rPr>
                <w:rFonts w:eastAsia="宋体"/>
              </w:rPr>
            </w:r>
            <w:r/>
          </w:p>
          <w:p>
            <w:pPr>
              <w:pStyle w:val="1292"/>
              <w:spacing w:line="440" w:lineRule="exact"/>
              <w:rPr>
                <w:rFonts w:eastAsia="宋体"/>
              </w:rPr>
            </w:pPr>
            <w:r>
              <w:rPr>
                <w:rFonts w:eastAsia="宋体"/>
              </w:rPr>
              <w:t xml:space="preserve">3)装置各个回路测量阻值，测量结果与出厂实验报告一致</w:t>
            </w:r>
            <w:r>
              <w:rPr>
                <w:rFonts w:eastAsia="宋体"/>
              </w:rPr>
            </w:r>
            <w:r/>
          </w:p>
          <w:p>
            <w:pPr>
              <w:pStyle w:val="1292"/>
              <w:spacing w:line="440" w:lineRule="exact"/>
              <w:rPr>
                <w:rFonts w:eastAsia="宋体"/>
              </w:rPr>
            </w:pPr>
            <w:r>
              <w:rPr>
                <w:rFonts w:eastAsia="宋体"/>
              </w:rPr>
              <w:t xml:space="preserve">4)装置各回路对地及各回路之间进行绝缘测量，测量结果应大于2MΩ，个别潮湿地区不得低于0.5MΩ。</w:t>
            </w:r>
            <w:r>
              <w:rPr>
                <w:rFonts w:eastAsia="宋体"/>
              </w:rPr>
            </w:r>
            <w:r/>
          </w:p>
          <w:p>
            <w:pPr>
              <w:pStyle w:val="1292"/>
              <w:spacing w:line="440" w:lineRule="exact"/>
              <w:rPr>
                <w:rFonts w:eastAsia="宋体"/>
              </w:rPr>
            </w:pPr>
            <w:r>
              <w:rPr>
                <w:rFonts w:eastAsia="宋体"/>
              </w:rPr>
              <w:t xml:space="preserve">2 装置送电</w:t>
            </w:r>
            <w:r>
              <w:rPr>
                <w:rFonts w:eastAsia="宋体"/>
              </w:rPr>
            </w:r>
            <w:r/>
          </w:p>
          <w:p>
            <w:pPr>
              <w:pStyle w:val="1292"/>
              <w:spacing w:line="440" w:lineRule="exact"/>
              <w:rPr>
                <w:rFonts w:eastAsia="宋体"/>
              </w:rPr>
            </w:pPr>
            <w:r>
              <w:rPr>
                <w:rFonts w:eastAsia="宋体"/>
              </w:rPr>
              <w:t xml:space="preserve">1)确认柜后左侧端子排X12上给调节器供电的交、直流电源开关-QF2</w:t>
            </w:r>
            <w:r>
              <w:rPr>
                <w:rFonts w:hint="eastAsia" w:ascii="宋体" w:hAnsi="宋体" w:eastAsia="宋体" w:cs="宋体"/>
              </w:rPr>
              <w:t xml:space="preserve">∽</w:t>
            </w:r>
            <w:r>
              <w:rPr>
                <w:rFonts w:eastAsia="宋体"/>
              </w:rPr>
              <w:t xml:space="preserve">-QF5处于分断位。</w:t>
            </w:r>
            <w:r>
              <w:rPr>
                <w:rFonts w:eastAsia="宋体"/>
              </w:rPr>
            </w:r>
            <w:r/>
          </w:p>
          <w:p>
            <w:pPr>
              <w:pStyle w:val="1292"/>
              <w:spacing w:line="440" w:lineRule="exact"/>
              <w:rPr>
                <w:rFonts w:eastAsia="宋体"/>
              </w:rPr>
            </w:pPr>
            <w:r>
              <w:rPr>
                <w:rFonts w:eastAsia="宋体"/>
              </w:rPr>
              <w:t xml:space="preserve">2)给励磁装置送上交、直流电源，确认仪表板上交、直流电源指示灯点亮。测量交、直流电源电压是否符合要求。</w:t>
            </w:r>
            <w:r>
              <w:rPr>
                <w:rFonts w:eastAsia="宋体"/>
              </w:rPr>
            </w:r>
            <w:r/>
          </w:p>
          <w:p>
            <w:pPr>
              <w:pStyle w:val="1292"/>
              <w:jc w:val="both"/>
              <w:spacing w:line="440" w:lineRule="exact"/>
              <w:rPr>
                <w:rFonts w:eastAsia="宋体"/>
              </w:rPr>
            </w:pPr>
            <w:r>
              <w:rPr>
                <w:rFonts w:eastAsia="宋体"/>
              </w:rPr>
              <w:t xml:space="preserve">3)合X12端子排上A、B两套调节器的“交流电源”开关及“直流电源”开关（共四个开关），确认A、B两套调节器正常上电复位后分别按主、备机投入运行（复位期间调节器面板所有指示灯同时点亮约2秒，之后运行灯闪烁，故障灯熄灭，其余指示灯依不同参数配置熄灭、点亮或闪烁，调节器为主机运行时主机运行灯闪烁，为备机运行时备机运行灯闪烁）；确认液晶触摸屏面板投入运行，液晶触摸屏上电复位结束后显示主机调节器的操作显示主画面。</w:t>
            </w:r>
            <w:r>
              <w:rPr>
                <w:rFonts w:eastAsia="宋体"/>
              </w:rPr>
            </w:r>
            <w:r/>
          </w:p>
          <w:p>
            <w:pPr>
              <w:pStyle w:val="1292"/>
              <w:jc w:val="both"/>
              <w:spacing w:line="440" w:lineRule="exact"/>
              <w:rPr>
                <w:rFonts w:eastAsia="宋体"/>
              </w:rPr>
            </w:pPr>
            <w:r>
              <w:rPr>
                <w:rFonts w:eastAsia="宋体"/>
              </w:rPr>
              <w:t xml:space="preserve">4) 确认液晶触摸屏面板主、备机调节器操作显示主画面无故障显示。    </w:t>
            </w:r>
            <w:r>
              <w:rPr>
                <w:rFonts w:eastAsia="宋体"/>
              </w:rPr>
            </w:r>
            <w:r/>
          </w:p>
          <w:p>
            <w:pPr>
              <w:pStyle w:val="1292"/>
              <w:jc w:val="both"/>
              <w:spacing w:line="440" w:lineRule="exact"/>
              <w:rPr>
                <w:rFonts w:eastAsia="宋体"/>
              </w:rPr>
            </w:pPr>
            <w:r>
              <w:rPr>
                <w:rFonts w:eastAsia="宋体"/>
              </w:rPr>
              <w:t xml:space="preserve">5)若有4)有故障显示，应根据显示故障信息排除故障，某些故障会导致励磁事故，在故障排除后励磁事故指示需使用“信号复归”按钮复归。</w:t>
            </w:r>
            <w:r>
              <w:rPr>
                <w:rFonts w:eastAsia="宋体"/>
              </w:rPr>
            </w:r>
            <w:r/>
          </w:p>
          <w:p>
            <w:pPr>
              <w:pStyle w:val="1292"/>
              <w:jc w:val="both"/>
              <w:spacing w:line="440" w:lineRule="exact"/>
              <w:rPr>
                <w:rFonts w:eastAsia="宋体"/>
              </w:rPr>
            </w:pPr>
            <w:r>
              <w:rPr>
                <w:rFonts w:eastAsia="宋体"/>
              </w:rPr>
              <w:t xml:space="preserve">6)实时时钟校准：进入液晶触摸屏面板的触摸屏设置界面，按当前准确时钟校准励磁调节器时钟。</w:t>
            </w:r>
            <w:r>
              <w:rPr>
                <w:rFonts w:eastAsia="宋体"/>
              </w:rPr>
            </w:r>
            <w:r/>
          </w:p>
          <w:p>
            <w:pPr>
              <w:pStyle w:val="1292"/>
              <w:jc w:val="both"/>
              <w:spacing w:line="440" w:lineRule="exact"/>
              <w:rPr>
                <w:rFonts w:eastAsia="宋体"/>
              </w:rPr>
            </w:pPr>
            <w:r>
              <w:rPr>
                <w:rFonts w:eastAsia="宋体"/>
              </w:rPr>
              <w:t xml:space="preserve">7)操作空气开关手柄或进入液晶触摸屏面板主机调节器操作显示扩展画面，点击“合空开”按钮合上空气开关，测量变压器的二次电压应与设计值相符。</w:t>
            </w:r>
            <w:r>
              <w:rPr>
                <w:rFonts w:eastAsia="宋体"/>
              </w:rPr>
            </w:r>
            <w:r/>
          </w:p>
          <w:p>
            <w:pPr>
              <w:pStyle w:val="1292"/>
              <w:jc w:val="both"/>
              <w:spacing w:line="440" w:lineRule="exact"/>
              <w:rPr>
                <w:rFonts w:eastAsia="宋体"/>
              </w:rPr>
            </w:pPr>
            <w:r>
              <w:rPr>
                <w:rFonts w:eastAsia="宋体"/>
              </w:rPr>
              <w:t xml:space="preserve">3 静态调试实验</w:t>
            </w:r>
            <w:r>
              <w:rPr>
                <w:rFonts w:eastAsia="宋体"/>
              </w:rPr>
            </w:r>
            <w:r/>
          </w:p>
          <w:p>
            <w:pPr>
              <w:pStyle w:val="1292"/>
              <w:jc w:val="both"/>
              <w:spacing w:line="440" w:lineRule="exact"/>
              <w:rPr>
                <w:rFonts w:eastAsia="宋体"/>
              </w:rPr>
            </w:pPr>
            <w:r>
              <w:rPr>
                <w:rFonts w:eastAsia="宋体"/>
              </w:rPr>
              <w:t xml:space="preserve">1)投励及启动回路测试:按下“调试/工作”按钮或返回液晶触摸屏面板调节器操作显示主画面，点击“调试”按钮将励磁工况设定为“调试”状态，按下“投励/灭磁” 按钮或点击触摸屏“投励”按钮投励，观察励磁电流、励磁电压表指示是否正常，核实电流、电压表指示值应与液晶屏对应项目显示数值一致；确认液晶屏无故障显示。调试位手动投励时自动进行起动回路开通及关断实验，若无相关故障提示则表明起动回路工作正常。  </w:t>
            </w:r>
            <w:r>
              <w:rPr>
                <w:rFonts w:eastAsia="宋体"/>
              </w:rPr>
            </w:r>
            <w:r/>
          </w:p>
          <w:p>
            <w:pPr>
              <w:pStyle w:val="1292"/>
              <w:jc w:val="both"/>
              <w:spacing w:line="440" w:lineRule="exact"/>
              <w:rPr>
                <w:rFonts w:eastAsia="宋体"/>
              </w:rPr>
            </w:pPr>
            <w:r>
              <w:rPr>
                <w:rFonts w:eastAsia="宋体"/>
              </w:rPr>
              <w:t xml:space="preserve">2)励磁调节实验：观察励磁电流是否有摆动（稳定性）并操作“励磁调节”手柄或触摸屏增、减磁按钮调整励磁电流设定值以考察调节器的跟随性能（快速性）。进入液晶触摸屏面板调节器配置画面中调节器参数配置界面修改励磁电流调节器比例系数及积分系数，使得电流环具有合适的快速性及稳定性；修改完成后操作配置参数及副本保存至EEPROM。对于WKLF-102型装置需对备机调节器的相关参数做同样修改并操作配置参数及副本保存至EEPROM。</w:t>
            </w:r>
            <w:r>
              <w:rPr>
                <w:rFonts w:eastAsia="宋体"/>
              </w:rPr>
            </w:r>
            <w:r/>
          </w:p>
          <w:p>
            <w:pPr>
              <w:pStyle w:val="1292"/>
              <w:jc w:val="both"/>
              <w:spacing w:line="440" w:lineRule="exact"/>
              <w:rPr>
                <w:rFonts w:eastAsia="宋体"/>
              </w:rPr>
            </w:pPr>
            <w:r>
              <w:rPr>
                <w:rFonts w:eastAsia="宋体"/>
              </w:rPr>
              <w:t xml:space="preserve">3)手动切换实验：若A套调节器为主机，进入液晶触摸屏面板A套操作显示扩展画面，点击“切换”按钮，B套调节器转入主机运行（主机运行灯闪烁，备机运行灯熄灭），A套调节器转入备机运行（备机运行灯闪烁，主机运行灯熄灭），切换过程励磁输出无抖；进入B套操作显示扩展画面，点击“切换”按钮则将主机切回至A套，切换过程励磁输出同样无抖。WKLF-101型装置无此项试验。</w:t>
            </w:r>
            <w:r>
              <w:rPr>
                <w:rFonts w:eastAsia="宋体"/>
              </w:rPr>
            </w:r>
            <w:r/>
          </w:p>
          <w:p>
            <w:pPr>
              <w:pStyle w:val="1292"/>
              <w:jc w:val="both"/>
              <w:spacing w:line="440" w:lineRule="exact"/>
              <w:rPr>
                <w:rFonts w:eastAsia="宋体"/>
              </w:rPr>
            </w:pPr>
            <w:r>
              <w:rPr>
                <w:rFonts w:eastAsia="宋体"/>
              </w:rPr>
              <w:t xml:space="preserve">4)增减磁实验：操作“励磁调节”手柄或进入液晶触摸屏面板主机调节器操作显示主画面，点击“增磁”“减磁”按钮，可增减励磁电流，检查励磁手动调节范围及调整速率是否符合要求。（出厂值为35％</w:t>
            </w:r>
            <w:r>
              <w:rPr>
                <w:rFonts w:hint="eastAsia" w:ascii="宋体" w:hAnsi="宋体" w:eastAsia="宋体" w:cs="宋体"/>
              </w:rPr>
              <w:t xml:space="preserve">∽</w:t>
            </w:r>
            <w:r>
              <w:rPr>
                <w:rFonts w:eastAsia="宋体"/>
              </w:rPr>
              <w:t xml:space="preserve">120％）。</w:t>
            </w:r>
            <w:r>
              <w:rPr>
                <w:rFonts w:eastAsia="宋体"/>
              </w:rPr>
            </w:r>
            <w:r/>
          </w:p>
          <w:p>
            <w:pPr>
              <w:pStyle w:val="1292"/>
              <w:jc w:val="both"/>
              <w:spacing w:line="440" w:lineRule="exact"/>
              <w:rPr>
                <w:rFonts w:eastAsia="宋体"/>
              </w:rPr>
            </w:pPr>
            <w:r>
              <w:rPr>
                <w:rFonts w:eastAsia="宋体"/>
              </w:rPr>
              <w:t xml:space="preserve">5)强励输出能力验证：在电机处于冷态时，操作“励磁调节”手柄或进入液晶触摸屏面板主机调节器操作显示主画面，点击“增磁”按钮，增加励磁电流至额定值，读取可控硅触发导前角应大于50度。个别现场由于励磁输出至励磁绕组电缆压降损耗过大，或电机参数中额定励磁电压设计值与实际值差异过大，可能影响励磁的强励输出能力；额定输出时可控硅触发导前角小于50度表明顶值强励倍数达不到1.4倍，应按下式修改反时限强励限制配置参数中“最大值”定值：</w:t>
            </w:r>
            <w:r>
              <w:rPr>
                <w:rFonts w:eastAsia="宋体"/>
              </w:rPr>
            </w:r>
            <w:r/>
          </w:p>
          <w:p>
            <w:pPr>
              <w:pStyle w:val="1292"/>
              <w:jc w:val="both"/>
              <w:spacing w:line="440" w:lineRule="exact"/>
              <w:rPr>
                <w:rFonts w:eastAsia="宋体"/>
              </w:rPr>
            </w:pPr>
            <w:r>
              <w:rPr>
                <w:rFonts w:eastAsia="宋体"/>
              </w:rPr>
              <w:t xml:space="preserve">最大值≤(cos50°/cosX)*1.4     （X&lt;50°时）</w:t>
            </w:r>
            <w:r>
              <w:rPr>
                <w:rFonts w:eastAsia="宋体"/>
              </w:rPr>
            </w:r>
            <w:r/>
          </w:p>
          <w:p>
            <w:pPr>
              <w:pStyle w:val="1292"/>
              <w:jc w:val="both"/>
              <w:spacing w:line="440" w:lineRule="exact"/>
              <w:rPr>
                <w:rFonts w:eastAsia="宋体"/>
              </w:rPr>
            </w:pPr>
            <w:r>
              <w:rPr>
                <w:rFonts w:eastAsia="宋体"/>
              </w:rPr>
              <w:t xml:space="preserve">其中X为额定励磁电流输出时实际显示的可控硅触发导前角度数</w:t>
            </w:r>
            <w:r>
              <w:rPr>
                <w:rFonts w:eastAsia="宋体"/>
              </w:rPr>
            </w:r>
            <w:r/>
          </w:p>
          <w:p>
            <w:pPr>
              <w:pStyle w:val="1292"/>
              <w:jc w:val="both"/>
              <w:spacing w:line="440" w:lineRule="exact"/>
              <w:rPr>
                <w:rFonts w:eastAsia="宋体"/>
              </w:rPr>
            </w:pPr>
            <w:r>
              <w:rPr>
                <w:rFonts w:eastAsia="宋体"/>
              </w:rPr>
              <w:t xml:space="preserve">6)灭磁试验：按下“投励/灭磁”按钮或在液晶触摸屏面板主机调节器操作显示主画面上点击“灭磁”按钮，启动逆变灭磁，灭磁结束，可控硅主桥自动关断。</w:t>
            </w:r>
            <w:r>
              <w:rPr>
                <w:rFonts w:eastAsia="宋体"/>
              </w:rPr>
            </w:r>
            <w:r/>
          </w:p>
          <w:p>
            <w:pPr>
              <w:pStyle w:val="1292"/>
              <w:jc w:val="both"/>
              <w:spacing w:line="440" w:lineRule="exact"/>
              <w:rPr>
                <w:rFonts w:eastAsia="宋体"/>
              </w:rPr>
            </w:pPr>
            <w:r>
              <w:rPr>
                <w:rFonts w:eastAsia="宋体"/>
              </w:rPr>
              <w:t xml:space="preserve">7)配置参数核实：分别进入液晶触摸屏面板A、B套调节器配置中电机与系统参数配置界面，核对配置参数应与电机铭牌一致。</w:t>
            </w:r>
            <w:r>
              <w:rPr>
                <w:rFonts w:eastAsia="宋体"/>
              </w:rPr>
            </w:r>
            <w:r/>
          </w:p>
          <w:p>
            <w:pPr>
              <w:pStyle w:val="1292"/>
              <w:jc w:val="both"/>
              <w:spacing w:line="440" w:lineRule="exact"/>
              <w:rPr>
                <w:rFonts w:eastAsia="宋体"/>
              </w:rPr>
            </w:pPr>
            <w:r>
              <w:rPr>
                <w:rFonts w:eastAsia="宋体"/>
              </w:rPr>
              <w:t xml:space="preserve">8)PT检测：送三相母线电压互感器，并检查电压小母线三相线电压幅值，并确认与液晶触摸屏面板显示数值一致（二者的倍率为电压互感器PT变比）。  </w:t>
            </w:r>
            <w:r>
              <w:rPr>
                <w:rFonts w:eastAsia="宋体"/>
              </w:rPr>
            </w:r>
            <w:r/>
          </w:p>
          <w:p>
            <w:pPr>
              <w:pStyle w:val="1292"/>
              <w:jc w:val="both"/>
              <w:spacing w:line="440" w:lineRule="exact"/>
              <w:rPr>
                <w:rFonts w:eastAsia="宋体"/>
              </w:rPr>
            </w:pPr>
            <w:r>
              <w:rPr>
                <w:rFonts w:eastAsia="宋体"/>
              </w:rPr>
              <w:t xml:space="preserve">9)调节模式：按下“调试/工作”按钮或在液晶触摸屏面板主机调节器操作显示主画面上点击“工作”按钮，将励磁工况设置为工作，励磁工作灯点亮，在无励磁事故指示时励磁就绪继电器吸合。进入操作显示扩展画面点击“手动”按钮将调节方式设置为“手动”。</w:t>
            </w:r>
            <w:r>
              <w:rPr>
                <w:rFonts w:eastAsia="宋体"/>
              </w:rPr>
            </w:r>
            <w:r/>
          </w:p>
          <w:p>
            <w:pPr>
              <w:pStyle w:val="1292"/>
              <w:jc w:val="both"/>
              <w:spacing w:line="440" w:lineRule="exact"/>
              <w:rPr>
                <w:rFonts w:eastAsia="宋体"/>
              </w:rPr>
            </w:pPr>
            <w:r>
              <w:rPr>
                <w:rFonts w:eastAsia="宋体"/>
              </w:rPr>
              <w:t xml:space="preserve">10)模拟开机实验：短接对外二次接线端子排X5的13及16号端子，模拟电机高压断路器合闸；励磁调节器零压计时投励环节启动，2秒后投全压继电器吸合，4秒后自动投入励磁（对应零压计时投励整定为2秒），励磁电流表立即有指示而励磁电压表在投励后约5秒才有指示。解除短接线励磁装置联动灭磁。</w:t>
            </w:r>
            <w:r>
              <w:rPr>
                <w:rFonts w:eastAsia="宋体"/>
              </w:rPr>
            </w:r>
            <w:r/>
          </w:p>
          <w:p>
            <w:pPr>
              <w:pStyle w:val="1292"/>
              <w:jc w:val="both"/>
              <w:spacing w:line="440" w:lineRule="exact"/>
              <w:rPr>
                <w:rFonts w:eastAsia="宋体"/>
              </w:rPr>
            </w:pPr>
            <w:r>
              <w:rPr>
                <w:rFonts w:eastAsia="宋体"/>
              </w:rPr>
              <w:t xml:space="preserve">11)常规保护试验：</w:t>
            </w:r>
            <w:r>
              <w:rPr>
                <w:rFonts w:eastAsia="宋体"/>
              </w:rPr>
            </w:r>
            <w:r/>
          </w:p>
          <w:p>
            <w:pPr>
              <w:pStyle w:val="1292"/>
              <w:jc w:val="both"/>
              <w:spacing w:line="440" w:lineRule="exact"/>
              <w:rPr>
                <w:rFonts w:eastAsia="宋体"/>
              </w:rPr>
            </w:pPr>
            <w:r>
              <w:rPr>
                <w:rFonts w:eastAsia="宋体"/>
              </w:rPr>
              <w:t xml:space="preserve">a：断开风机保险-FU5，故障指示灯点亮，液晶触摸屏面板显示冷却风机故障（调节器配置中风机监视设置为退出时无报警及故障显示）。</w:t>
            </w:r>
            <w:r>
              <w:rPr>
                <w:rFonts w:eastAsia="宋体"/>
              </w:rPr>
            </w:r>
            <w:r/>
          </w:p>
          <w:p>
            <w:pPr>
              <w:pStyle w:val="1292"/>
              <w:jc w:val="both"/>
              <w:spacing w:line="440" w:lineRule="exact"/>
              <w:rPr>
                <w:rFonts w:eastAsia="宋体"/>
              </w:rPr>
            </w:pPr>
            <w:r>
              <w:rPr>
                <w:rFonts w:eastAsia="宋体"/>
              </w:rPr>
              <w:t xml:space="preserve">b：按下快速熔断器-FU1</w:t>
            </w:r>
            <w:r>
              <w:rPr>
                <w:rFonts w:hint="eastAsia" w:ascii="宋体" w:hAnsi="宋体" w:eastAsia="宋体" w:cs="宋体"/>
              </w:rPr>
              <w:t xml:space="preserve">∽</w:t>
            </w:r>
            <w:r>
              <w:rPr>
                <w:rFonts w:eastAsia="宋体"/>
              </w:rPr>
              <w:t xml:space="preserve">-FU3熔断指示微动按钮，故障指示灯点亮，液晶触摸屏面板显示快速熔断器熔断，并提示励磁事故；在主断路器合闸时跳闸继电器吸合0.5秒，主断路器分闸时则分断励磁就绪继电器。</w:t>
            </w:r>
            <w:r>
              <w:rPr>
                <w:rFonts w:eastAsia="宋体"/>
              </w:rPr>
            </w:r>
            <w:r/>
          </w:p>
          <w:p>
            <w:pPr>
              <w:pStyle w:val="1292"/>
              <w:jc w:val="both"/>
              <w:spacing w:line="440" w:lineRule="exact"/>
              <w:rPr>
                <w:rFonts w:eastAsia="宋体"/>
              </w:rPr>
            </w:pPr>
            <w:r>
              <w:rPr>
                <w:rFonts w:eastAsia="宋体"/>
              </w:rPr>
              <w:t xml:space="preserve">C：在未投励状态下，手动分断空气开关，液晶触摸屏面板状态显示栏内空气开关一项显示为分闸。在电机运行（或模拟运行）且投励状态下分断空气开关则为励磁事故，将点亮故障指示灯，液晶触摸屏面板故障显示栏中显示空气开关跳闸，跳闸继电器吸合0.5秒。</w:t>
            </w:r>
            <w:r>
              <w:rPr>
                <w:rFonts w:eastAsia="宋体"/>
              </w:rPr>
            </w:r>
            <w:r/>
          </w:p>
          <w:p>
            <w:pPr>
              <w:pStyle w:val="1292"/>
              <w:jc w:val="both"/>
              <w:spacing w:line="440" w:lineRule="exact"/>
              <w:rPr>
                <w:rFonts w:eastAsia="宋体"/>
              </w:rPr>
            </w:pPr>
            <w:r>
              <w:rPr>
                <w:rFonts w:eastAsia="宋体"/>
              </w:rPr>
              <w:t xml:space="preserve">12)串行通讯试验：在有后台上位机通讯要求的现场，完成后台组态并正确配置调节器串行通讯参数后应能正常通讯，在RS485模式设置为“测控”且励磁屏仪表板操作模式旋钮选择“远方”时应能实现对励磁的远程操作。</w:t>
            </w:r>
            <w:r>
              <w:rPr>
                <w:rFonts w:eastAsia="宋体"/>
              </w:rPr>
            </w:r>
            <w:r/>
          </w:p>
          <w:p>
            <w:pPr>
              <w:pStyle w:val="1292"/>
              <w:jc w:val="both"/>
              <w:spacing w:line="440" w:lineRule="exact"/>
              <w:rPr>
                <w:rFonts w:eastAsia="宋体"/>
              </w:rPr>
            </w:pPr>
            <w:r>
              <w:rPr>
                <w:rFonts w:eastAsia="宋体"/>
              </w:rPr>
              <w:t xml:space="preserve">13)事件记录器性能检验：上述所有操作在励磁调节器中都留有记录，进入液晶触摸屏面板的事件记录器界面均可查阅。</w:t>
            </w:r>
            <w:r>
              <w:rPr>
                <w:rFonts w:eastAsia="宋体"/>
              </w:rPr>
            </w:r>
            <w:r/>
          </w:p>
          <w:p>
            <w:pPr>
              <w:pStyle w:val="1292"/>
              <w:jc w:val="both"/>
              <w:spacing w:line="440" w:lineRule="exact"/>
              <w:rPr>
                <w:rFonts w:eastAsia="宋体"/>
              </w:rPr>
            </w:pPr>
            <w:r>
              <w:rPr>
                <w:rFonts w:eastAsia="宋体"/>
                <w:lang w:eastAsia="zh-CN"/>
              </w:rPr>
              <w:t xml:space="preserve">4 </w:t>
            </w:r>
            <w:r>
              <w:rPr>
                <w:rFonts w:eastAsia="宋体"/>
              </w:rPr>
              <w:t xml:space="preserve">联动试验 </w:t>
            </w:r>
            <w:r>
              <w:rPr>
                <w:rFonts w:eastAsia="宋体"/>
              </w:rPr>
            </w:r>
            <w:r/>
          </w:p>
          <w:p>
            <w:pPr>
              <w:pStyle w:val="1292"/>
              <w:jc w:val="both"/>
              <w:spacing w:line="440" w:lineRule="exact"/>
              <w:rPr>
                <w:rFonts w:eastAsia="宋体"/>
              </w:rPr>
            </w:pPr>
            <w:r>
              <w:rPr>
                <w:rFonts w:eastAsia="宋体"/>
              </w:rPr>
              <w:t xml:space="preserve">电机定子高压断路器置于试验位置，按下“调试/工作”按钮或在液晶触摸屏面板主机调节器操作显示主画面上点击“工作”按钮，将励磁工况设置为工作，励磁工作灯点亮，励磁就绪继电器吸合。</w:t>
            </w:r>
            <w:r>
              <w:rPr>
                <w:rFonts w:eastAsia="宋体"/>
              </w:rPr>
            </w:r>
            <w:r/>
          </w:p>
          <w:p>
            <w:pPr>
              <w:pStyle w:val="1292"/>
              <w:jc w:val="both"/>
              <w:spacing w:line="440" w:lineRule="exact"/>
              <w:rPr>
                <w:rFonts w:eastAsia="宋体"/>
              </w:rPr>
            </w:pPr>
            <w:r>
              <w:rPr>
                <w:rFonts w:eastAsia="宋体"/>
              </w:rPr>
              <w:t xml:space="preserve">1)合高压断路器，励磁装置4秒后自动投励（对应零压计时投励整定为2秒）。</w:t>
            </w:r>
            <w:r>
              <w:rPr>
                <w:rFonts w:eastAsia="宋体"/>
              </w:rPr>
            </w:r>
            <w:r/>
          </w:p>
          <w:p>
            <w:pPr>
              <w:pStyle w:val="1292"/>
              <w:jc w:val="both"/>
              <w:spacing w:line="440" w:lineRule="exact"/>
              <w:rPr>
                <w:rFonts w:eastAsia="宋体"/>
              </w:rPr>
            </w:pPr>
            <w:r>
              <w:rPr>
                <w:rFonts w:eastAsia="宋体"/>
              </w:rPr>
              <w:t xml:space="preserve">2)对于带气动离合器的磨机负载，合气动离合器，励磁装置强励，之后返回正常值。其他负荷类型无此项试验。</w:t>
            </w:r>
            <w:r>
              <w:rPr>
                <w:rFonts w:eastAsia="宋体"/>
              </w:rPr>
            </w:r>
            <w:r/>
          </w:p>
          <w:p>
            <w:pPr>
              <w:pStyle w:val="1292"/>
              <w:jc w:val="both"/>
              <w:spacing w:line="440" w:lineRule="exact"/>
              <w:rPr>
                <w:rFonts w:eastAsia="宋体"/>
              </w:rPr>
            </w:pPr>
            <w:r>
              <w:rPr>
                <w:rFonts w:eastAsia="宋体"/>
              </w:rPr>
              <w:t xml:space="preserve">3) 跳开高压断路器，励磁装置联动灭磁。</w:t>
            </w:r>
            <w:r>
              <w:rPr>
                <w:rFonts w:eastAsia="宋体"/>
              </w:rPr>
            </w:r>
            <w:r/>
          </w:p>
          <w:p>
            <w:pPr>
              <w:pStyle w:val="1292"/>
              <w:jc w:val="both"/>
              <w:spacing w:line="440" w:lineRule="exact"/>
              <w:rPr>
                <w:rFonts w:eastAsia="宋体"/>
              </w:rPr>
            </w:pPr>
            <w:r>
              <w:rPr>
                <w:rFonts w:eastAsia="宋体"/>
              </w:rPr>
              <w:t xml:space="preserve">4)事故停机实验：合高压断路器，励磁自动投励后，手动分断空气开关，高压断路器应立即联动跳闸。</w:t>
            </w:r>
            <w:r>
              <w:rPr>
                <w:rFonts w:eastAsia="宋体"/>
              </w:rPr>
            </w:r>
            <w:r/>
          </w:p>
          <w:p>
            <w:pPr>
              <w:pStyle w:val="1292"/>
              <w:jc w:val="both"/>
              <w:spacing w:line="440" w:lineRule="exact"/>
              <w:rPr>
                <w:rFonts w:eastAsia="宋体"/>
              </w:rPr>
            </w:pPr>
            <w:r>
              <w:rPr>
                <w:rFonts w:eastAsia="宋体"/>
              </w:rPr>
              <w:t xml:space="preserve">5)核对励磁装置引至中控室的励磁事故及励磁故障信号。</w:t>
            </w:r>
            <w:r>
              <w:rPr>
                <w:rFonts w:eastAsia="宋体"/>
              </w:rPr>
            </w:r>
            <w:r/>
          </w:p>
          <w:p>
            <w:pPr>
              <w:pStyle w:val="1292"/>
              <w:jc w:val="both"/>
              <w:spacing w:line="440" w:lineRule="exact"/>
              <w:rPr>
                <w:rFonts w:eastAsia="宋体"/>
              </w:rPr>
            </w:pPr>
            <w:r>
              <w:rPr>
                <w:rFonts w:eastAsia="宋体"/>
              </w:rPr>
              <w:t xml:space="preserve">6)有中控室测控要求的现场</w:t>
            </w:r>
            <w:r>
              <w:rPr>
                <w:rFonts w:eastAsia="宋体"/>
              </w:rPr>
            </w:r>
            <w:r/>
          </w:p>
          <w:p>
            <w:pPr>
              <w:pStyle w:val="1292"/>
              <w:jc w:val="both"/>
              <w:spacing w:line="440" w:lineRule="exact"/>
              <w:rPr>
                <w:rFonts w:eastAsia="宋体"/>
              </w:rPr>
            </w:pPr>
            <w:r>
              <w:rPr>
                <w:rFonts w:eastAsia="宋体"/>
              </w:rPr>
              <w:t xml:space="preserve">a:中控室增减磁试验：合高压断路器，励磁自动投励后操作中控室增、减磁控制手柄应能调节励磁输出。</w:t>
            </w:r>
            <w:r>
              <w:rPr>
                <w:rFonts w:eastAsia="宋体"/>
              </w:rPr>
            </w:r>
            <w:r/>
          </w:p>
          <w:p>
            <w:pPr>
              <w:pStyle w:val="1292"/>
              <w:jc w:val="both"/>
              <w:spacing w:line="440" w:lineRule="exact"/>
              <w:rPr>
                <w:rFonts w:eastAsia="宋体"/>
              </w:rPr>
            </w:pPr>
            <w:r>
              <w:rPr>
                <w:rFonts w:eastAsia="宋体"/>
              </w:rPr>
              <w:t xml:space="preserve">b:遥测试验（非标准配置，只在用户有特殊要求时提供）：在有4－20mA励磁电流及励磁电压变送输出要求的现场，需确认变送器的励磁电流、电压输出（折合计算值）与液晶触摸屏面板的显示值一致。</w:t>
            </w:r>
            <w:r>
              <w:rPr>
                <w:rFonts w:eastAsia="宋体"/>
              </w:rPr>
            </w:r>
            <w:r/>
          </w:p>
          <w:p>
            <w:pPr>
              <w:pStyle w:val="1292"/>
              <w:jc w:val="both"/>
              <w:spacing w:line="440" w:lineRule="exact"/>
              <w:rPr>
                <w:rFonts w:eastAsia="宋体"/>
              </w:rPr>
            </w:pPr>
            <w:r>
              <w:rPr>
                <w:rFonts w:eastAsia="宋体"/>
              </w:rPr>
              <w:t xml:space="preserve">7) 有LCU柜的现场</w:t>
            </w:r>
            <w:r>
              <w:rPr>
                <w:rFonts w:eastAsia="宋体"/>
              </w:rPr>
            </w:r>
            <w:r/>
          </w:p>
          <w:p>
            <w:pPr>
              <w:pStyle w:val="1292"/>
              <w:jc w:val="both"/>
              <w:spacing w:line="440" w:lineRule="exact"/>
              <w:rPr>
                <w:rFonts w:eastAsia="宋体"/>
              </w:rPr>
            </w:pPr>
            <w:r>
              <w:rPr>
                <w:rFonts w:eastAsia="宋体"/>
              </w:rPr>
              <w:t xml:space="preserve">a: 核对励磁装置与LCU柜连线是否准确。</w:t>
            </w:r>
            <w:r>
              <w:rPr>
                <w:rFonts w:eastAsia="宋体"/>
              </w:rPr>
            </w:r>
            <w:r/>
          </w:p>
          <w:p>
            <w:pPr>
              <w:pStyle w:val="1292"/>
              <w:jc w:val="both"/>
              <w:spacing w:line="440" w:lineRule="exact"/>
              <w:rPr>
                <w:rFonts w:eastAsia="宋体"/>
              </w:rPr>
            </w:pPr>
            <w:r>
              <w:rPr>
                <w:rFonts w:eastAsia="宋体"/>
              </w:rPr>
              <w:t xml:space="preserve">b:从LCU柜操作励磁，测试励磁装置是否正确动作，励磁装置输出至LCU柜的指示信号是否正确。</w:t>
            </w:r>
            <w:r>
              <w:rPr>
                <w:rFonts w:eastAsia="宋体"/>
              </w:rPr>
            </w:r>
            <w:r/>
          </w:p>
          <w:p>
            <w:pPr>
              <w:pStyle w:val="1292"/>
              <w:jc w:val="both"/>
              <w:spacing w:line="440" w:lineRule="exact"/>
              <w:rPr>
                <w:rFonts w:eastAsia="宋体"/>
              </w:rPr>
            </w:pPr>
            <w:r>
              <w:rPr>
                <w:rFonts w:eastAsia="宋体"/>
              </w:rPr>
              <w:t xml:space="preserve">试验过程记录 </w:t>
            </w:r>
            <w:r>
              <w:rPr>
                <w:rFonts w:eastAsia="宋体"/>
              </w:rPr>
            </w:r>
            <w:r/>
          </w:p>
          <w:p>
            <w:pPr>
              <w:pStyle w:val="1292"/>
              <w:jc w:val="both"/>
              <w:spacing w:line="440" w:lineRule="exact"/>
              <w:rPr>
                <w:rFonts w:eastAsia="宋体"/>
              </w:rPr>
            </w:pPr>
            <w:r>
              <w:rPr>
                <w:rFonts w:eastAsia="宋体"/>
              </w:rPr>
              <w:t xml:space="preserve">本装置励磁调节器配置有高性能内置录波器，可记录所有与励磁相关的模拟量及8路接点量。在录波前需根据实际需要配置模拟量通道、录波时长（录波分辨率）及录波触发方式。</w:t>
            </w:r>
            <w:r>
              <w:rPr>
                <w:rFonts w:eastAsia="宋体"/>
              </w:rPr>
            </w:r>
            <w:r/>
          </w:p>
          <w:p>
            <w:pPr>
              <w:pStyle w:val="1292"/>
              <w:jc w:val="both"/>
              <w:spacing w:line="440" w:lineRule="exact"/>
              <w:rPr>
                <w:rFonts w:eastAsia="宋体"/>
              </w:rPr>
            </w:pPr>
            <w:r>
              <w:rPr>
                <w:rFonts w:eastAsia="宋体"/>
              </w:rPr>
              <w:t xml:space="preserve">常规记录的暂态过程有：静态手动投励、手动灭磁，电机启动过程、带载正常运行双机切换（对于WKLF-102装置）、带载停机。</w:t>
            </w:r>
            <w:r>
              <w:rPr>
                <w:rFonts w:eastAsia="宋体"/>
              </w:rPr>
            </w:r>
            <w:r/>
          </w:p>
          <w:p>
            <w:pPr>
              <w:pStyle w:val="1292"/>
              <w:jc w:val="both"/>
              <w:spacing w:line="440" w:lineRule="exact"/>
              <w:rPr>
                <w:rFonts w:eastAsia="宋体"/>
              </w:rPr>
            </w:pPr>
            <w:r>
              <w:rPr>
                <w:rFonts w:eastAsia="宋体"/>
              </w:rPr>
              <w:t xml:space="preserve">在试验录波完成后，应将录波器模拟量通道配置为励磁电流和定子电流，录波触发方式配置为只允许断路器分闸启动，以保证每次电机事故停机时准确记录事故现场。检查项目需做成照片等影像资料，并说明保养检查中设备存在问题。</w:t>
            </w:r>
            <w:r>
              <w:rPr>
                <w:rFonts w:eastAsia="宋体"/>
              </w:rPr>
            </w:r>
            <w:r/>
          </w:p>
          <w:p>
            <w:pPr>
              <w:pStyle w:val="1292"/>
              <w:jc w:val="both"/>
              <w:spacing w:line="440" w:lineRule="exact"/>
              <w:rPr>
                <w:rFonts w:eastAsia="宋体"/>
              </w:rPr>
            </w:pPr>
            <w:r>
              <w:rPr>
                <w:rFonts w:eastAsia="宋体"/>
                <w:lang w:eastAsia="zh-CN"/>
              </w:rPr>
              <w:t xml:space="preserve">8）</w:t>
            </w:r>
            <w:r>
              <w:rPr>
                <w:rFonts w:eastAsia="宋体"/>
              </w:rPr>
              <w:t xml:space="preserve">养护频率：</w:t>
            </w:r>
            <w:r>
              <w:rPr>
                <w:rStyle w:val="1356"/>
                <w:rFonts w:ascii="Times New Roman" w:hAnsi="Times New Roman" w:eastAsia="宋体"/>
              </w:rPr>
              <w:t xml:space="preserve">见清单。</w:t>
            </w:r>
            <w:r>
              <w:rPr>
                <w:rFonts w:eastAsia="宋体"/>
              </w:rPr>
              <w:t xml:space="preserve"> </w:t>
            </w:r>
            <w:r>
              <w:rPr>
                <w:rFonts w:eastAsia="宋体"/>
              </w:rPr>
            </w:r>
            <w:r/>
          </w:p>
          <w:p>
            <w:pPr>
              <w:pStyle w:val="1292"/>
              <w:jc w:val="both"/>
              <w:spacing w:line="440" w:lineRule="exact"/>
              <w:rPr>
                <w:rFonts w:eastAsia="宋体"/>
              </w:rPr>
            </w:pPr>
            <w:r>
              <w:rPr>
                <w:rFonts w:eastAsia="宋体"/>
              </w:rPr>
              <w:t xml:space="preserve">（9）空调冷水机组养护</w:t>
            </w:r>
            <w:r>
              <w:rPr>
                <w:rFonts w:eastAsia="宋体"/>
              </w:rPr>
            </w:r>
            <w:r/>
          </w:p>
          <w:p>
            <w:pPr>
              <w:pStyle w:val="1292"/>
              <w:jc w:val="both"/>
              <w:spacing w:line="440" w:lineRule="exact"/>
              <w:rPr>
                <w:rFonts w:eastAsia="宋体"/>
              </w:rPr>
            </w:pPr>
            <w:r>
              <w:rPr>
                <w:rFonts w:eastAsia="宋体"/>
              </w:rPr>
              <w:t xml:space="preserve">1）清洗过滤网、散热器，电器检修调试，保护开关检修，压力开关检查，压力表检查，制冷剂检查，散热风扇检查。检查项目需做成照片等影像资料，并说明保养检查中设备存在问题。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2）养护频率：</w:t>
            </w:r>
            <w:r>
              <w:rPr>
                <w:rStyle w:val="1356"/>
                <w:rFonts w:ascii="Times New Roman" w:hAnsi="Times New Roman" w:eastAsia="宋体"/>
              </w:rPr>
              <w:t xml:space="preserve">见清单。</w:t>
            </w:r>
            <w:r>
              <w:rPr>
                <w:rFonts w:eastAsia="宋体"/>
              </w:rPr>
            </w:r>
            <w:r/>
          </w:p>
          <w:p>
            <w:pPr>
              <w:pStyle w:val="1292"/>
              <w:jc w:val="both"/>
              <w:spacing w:line="440" w:lineRule="exact"/>
              <w:rPr>
                <w:rFonts w:eastAsia="宋体"/>
              </w:rPr>
            </w:pPr>
            <w:r>
              <w:rPr>
                <w:rFonts w:eastAsia="宋体"/>
              </w:rPr>
              <w:t xml:space="preserve">3）按机械使用说明书等规定执行。需要报采购人批准后才可以实施。</w:t>
            </w:r>
            <w:r>
              <w:rPr>
                <w:rFonts w:eastAsia="宋体"/>
              </w:rPr>
            </w:r>
            <w:r/>
          </w:p>
          <w:p>
            <w:pPr>
              <w:pStyle w:val="1292"/>
              <w:jc w:val="both"/>
              <w:spacing w:line="440" w:lineRule="exact"/>
              <w:rPr>
                <w:rFonts w:eastAsia="宋体"/>
              </w:rPr>
            </w:pPr>
            <w:r>
              <w:rPr>
                <w:rFonts w:eastAsia="宋体"/>
              </w:rPr>
              <w:t xml:space="preserve">（10）水系统养护</w:t>
            </w:r>
            <w:r>
              <w:rPr>
                <w:rFonts w:eastAsia="宋体"/>
              </w:rPr>
            </w:r>
            <w:r/>
          </w:p>
          <w:p>
            <w:pPr>
              <w:pStyle w:val="1292"/>
              <w:jc w:val="both"/>
              <w:spacing w:line="440" w:lineRule="exact"/>
              <w:rPr>
                <w:rFonts w:eastAsia="宋体"/>
              </w:rPr>
            </w:pPr>
            <w:r>
              <w:rPr>
                <w:rFonts w:eastAsia="宋体"/>
              </w:rPr>
              <w:t xml:space="preserve">1）供排水系统定期检查，少量部件维修（管阀、示流计和表计更换），标识标牌补充缺失补充，清洁、除锈、局部焊补、调整，渗水处理，更换、补充润滑油，更换、补充填料，供排水泵电机绝缘检测，试运转，压力表计校验等，供水管路局部油漆修补。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2）养护频率：</w:t>
            </w:r>
            <w:r>
              <w:rPr>
                <w:rStyle w:val="1356"/>
                <w:rFonts w:ascii="Times New Roman" w:hAnsi="Times New Roman" w:eastAsia="宋体"/>
              </w:rPr>
              <w:t xml:space="preserve">见清单。</w:t>
            </w:r>
            <w:r>
              <w:rPr>
                <w:rFonts w:eastAsia="宋体"/>
              </w:rPr>
              <w:t xml:space="preserve"> </w:t>
            </w:r>
            <w:r>
              <w:rPr>
                <w:rFonts w:eastAsia="宋体"/>
              </w:rPr>
            </w:r>
            <w:r/>
          </w:p>
          <w:p>
            <w:pPr>
              <w:pStyle w:val="1292"/>
              <w:jc w:val="both"/>
              <w:spacing w:line="440" w:lineRule="exact"/>
              <w:rPr>
                <w:rFonts w:eastAsia="宋体"/>
              </w:rPr>
            </w:pPr>
            <w:r>
              <w:rPr>
                <w:rFonts w:eastAsia="宋体"/>
              </w:rPr>
              <w:t xml:space="preserve">（11）其他金属结构油漆养护要求</w:t>
            </w:r>
            <w:r>
              <w:rPr>
                <w:rFonts w:eastAsia="宋体"/>
              </w:rPr>
            </w:r>
            <w:r/>
          </w:p>
          <w:p>
            <w:pPr>
              <w:pStyle w:val="1292"/>
              <w:jc w:val="both"/>
              <w:spacing w:line="440" w:lineRule="exact"/>
              <w:rPr>
                <w:rFonts w:eastAsia="宋体"/>
              </w:rPr>
            </w:pPr>
            <w:r>
              <w:rPr>
                <w:rFonts w:eastAsia="宋体"/>
              </w:rPr>
              <w:t xml:space="preserve">1）泵站工程：出水压力管道及伸缩器（节）；镇墩；快速闸门、拍门、出口工作阀等断流装置；闸门、拍门及门槽、出口工作阀；拦污栅结构和清污装置；起重设备及其他金属结构；柴油发电机等。</w:t>
            </w:r>
            <w:r>
              <w:rPr>
                <w:rFonts w:eastAsia="宋体"/>
              </w:rPr>
            </w:r>
            <w:r/>
          </w:p>
          <w:p>
            <w:pPr>
              <w:pStyle w:val="1292"/>
              <w:jc w:val="both"/>
              <w:spacing w:line="440" w:lineRule="exact"/>
              <w:rPr>
                <w:rFonts w:eastAsia="宋体"/>
              </w:rPr>
            </w:pPr>
            <w:r>
              <w:rPr>
                <w:rFonts w:eastAsia="宋体"/>
              </w:rPr>
              <w:t xml:space="preserve">2）水闸工程：需采用清洗处理，清理闸门表面污垢，对闸门主梁、次梁、吊座焊缝及检测、涂层等进行检查补锌；工字钢油漆养护等。</w:t>
            </w:r>
            <w:r>
              <w:rPr>
                <w:rFonts w:eastAsia="宋体"/>
              </w:rPr>
            </w:r>
            <w:r/>
          </w:p>
          <w:p>
            <w:pPr>
              <w:pStyle w:val="1292"/>
              <w:jc w:val="both"/>
              <w:spacing w:line="440" w:lineRule="exact"/>
              <w:rPr>
                <w:rFonts w:eastAsia="宋体"/>
              </w:rPr>
            </w:pPr>
            <w:r>
              <w:rPr>
                <w:rFonts w:eastAsia="宋体"/>
              </w:rPr>
              <w:t xml:space="preserve">3）堤防工程：各类标识标牌。</w:t>
            </w:r>
            <w:r>
              <w:rPr>
                <w:rFonts w:eastAsia="宋体"/>
              </w:rPr>
            </w:r>
            <w:r/>
          </w:p>
          <w:p>
            <w:pPr>
              <w:pStyle w:val="1292"/>
              <w:jc w:val="both"/>
              <w:spacing w:line="440" w:lineRule="exact"/>
              <w:rPr>
                <w:rFonts w:eastAsia="宋体"/>
              </w:rPr>
            </w:pPr>
            <w:r>
              <w:rPr>
                <w:rFonts w:eastAsia="宋体"/>
              </w:rPr>
              <w:t xml:space="preserve">4）钢制管道及管件内、外壁防腐采用IPN-8710互穿网络防腐涂料（底漆二道,面漆三道）防腐，防腐前管道表面经喷砂等方法处理应达到Sa2.5级，经手工机械除锈应达到St3级。</w:t>
            </w:r>
            <w:r>
              <w:rPr>
                <w:rFonts w:eastAsia="宋体"/>
              </w:rPr>
            </w:r>
            <w:r/>
          </w:p>
          <w:p>
            <w:pPr>
              <w:pStyle w:val="1292"/>
              <w:jc w:val="both"/>
              <w:spacing w:line="440" w:lineRule="exact"/>
              <w:rPr>
                <w:rFonts w:eastAsia="宋体"/>
              </w:rPr>
            </w:pPr>
            <w:r>
              <w:rPr>
                <w:rFonts w:eastAsia="宋体"/>
              </w:rPr>
              <w:t xml:space="preserve">5）钢闸门防腐：闸门及预埋件使用喷锌防锈层（厚0.18mm），喷锌前表面喷砂处理达到Sa2.5级，粗糙度数值达到40-70um；封闭涂料采用水下（潮湿）水工金属结构涂料配套参考表进行施工。</w:t>
            </w:r>
            <w:r>
              <w:rPr>
                <w:rFonts w:eastAsia="宋体"/>
              </w:rPr>
            </w:r>
            <w:r/>
          </w:p>
          <w:p>
            <w:pPr>
              <w:pStyle w:val="1292"/>
              <w:jc w:val="both"/>
              <w:spacing w:line="440" w:lineRule="exact"/>
              <w:rPr>
                <w:rFonts w:eastAsia="宋体"/>
              </w:rPr>
            </w:pPr>
            <w:r>
              <w:rPr>
                <w:rFonts w:eastAsia="宋体"/>
              </w:rPr>
              <w:t xml:space="preserve">6）其他钢结构油漆：钢结构表面用钢丝刷、电力工具、砂皮除锈；油漆养护。</w:t>
            </w:r>
            <w:r>
              <w:rPr>
                <w:rFonts w:eastAsia="宋体"/>
              </w:rPr>
            </w:r>
            <w:r/>
          </w:p>
          <w:p>
            <w:pPr>
              <w:pStyle w:val="1292"/>
              <w:jc w:val="both"/>
              <w:spacing w:line="440" w:lineRule="exact"/>
              <w:rPr>
                <w:rFonts w:eastAsia="宋体"/>
              </w:rPr>
            </w:pPr>
            <w:r>
              <w:rPr>
                <w:rFonts w:eastAsia="宋体"/>
              </w:rPr>
              <w:t xml:space="preserve">7）设备涂色规定按《DB32T 1360-2009 泵站运行规程》附录B设备涂色规定执行。</w:t>
            </w:r>
            <w:r>
              <w:rPr>
                <w:rFonts w:eastAsia="宋体"/>
              </w:rPr>
            </w:r>
            <w:r/>
          </w:p>
          <w:p>
            <w:pPr>
              <w:pStyle w:val="1292"/>
              <w:jc w:val="both"/>
              <w:spacing w:line="440" w:lineRule="exact"/>
              <w:rPr>
                <w:rFonts w:eastAsia="宋体"/>
              </w:rPr>
            </w:pPr>
            <w:r>
              <w:rPr>
                <w:rFonts w:eastAsia="宋体"/>
              </w:rPr>
              <w:t xml:space="preserve">8）防腐规定按《SL105-2007 水工金属结构防腐蚀规范》执行。</w:t>
            </w:r>
            <w:r>
              <w:rPr>
                <w:rFonts w:eastAsia="宋体"/>
              </w:rPr>
            </w:r>
            <w:r/>
          </w:p>
          <w:p>
            <w:pPr>
              <w:pStyle w:val="1292"/>
              <w:jc w:val="both"/>
              <w:spacing w:line="440" w:lineRule="exact"/>
              <w:rPr>
                <w:rFonts w:eastAsia="宋体"/>
              </w:rPr>
            </w:pPr>
            <w:r>
              <w:rPr>
                <w:rFonts w:eastAsia="宋体"/>
              </w:rPr>
              <w:t xml:space="preserve">9）检查项目需做成照片等影像资料，并说明保养检查中设备存在问题。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10）养护频率：</w:t>
            </w:r>
            <w:r>
              <w:rPr>
                <w:rStyle w:val="1356"/>
                <w:rFonts w:ascii="Times New Roman" w:hAnsi="Times New Roman" w:eastAsia="宋体"/>
              </w:rPr>
              <w:t xml:space="preserve">见清单。</w:t>
            </w:r>
            <w:r>
              <w:rPr>
                <w:rFonts w:eastAsia="宋体"/>
              </w:rPr>
            </w:r>
            <w:r/>
          </w:p>
          <w:p>
            <w:pPr>
              <w:pStyle w:val="1292"/>
              <w:jc w:val="both"/>
              <w:spacing w:line="440" w:lineRule="exact"/>
              <w:rPr>
                <w:rFonts w:eastAsia="宋体"/>
              </w:rPr>
            </w:pPr>
            <w:r>
              <w:rPr>
                <w:rFonts w:eastAsia="宋体"/>
              </w:rPr>
              <w:t xml:space="preserve">（12）电气设备常规养护要求</w:t>
            </w:r>
            <w:r>
              <w:rPr>
                <w:rFonts w:eastAsia="宋体"/>
              </w:rPr>
            </w:r>
            <w:r/>
          </w:p>
          <w:p>
            <w:pPr>
              <w:pStyle w:val="1292"/>
              <w:jc w:val="both"/>
              <w:spacing w:line="440" w:lineRule="exact"/>
              <w:rPr>
                <w:rFonts w:eastAsia="宋体"/>
              </w:rPr>
            </w:pPr>
            <w:r>
              <w:rPr>
                <w:rFonts w:eastAsia="宋体"/>
              </w:rPr>
              <w:t xml:space="preserve">1）对各类电气设备、指示仪表、柴油发电等进行定期检验，并符合规定；配电、控制柜柜内除尘；螺丝钢排紧固；保护整定值调整；显示仪表灯校正更换；收尾标牌缺失补充；柜内外局部锈蚀部位补漆；柜内线路整理等。</w:t>
            </w:r>
            <w:r>
              <w:rPr>
                <w:rFonts w:eastAsia="宋体"/>
              </w:rPr>
            </w:r>
            <w:r/>
          </w:p>
          <w:p>
            <w:pPr>
              <w:pStyle w:val="1292"/>
              <w:jc w:val="both"/>
              <w:spacing w:line="440" w:lineRule="exact"/>
              <w:rPr>
                <w:rFonts w:eastAsia="宋体"/>
              </w:rPr>
            </w:pPr>
            <w:r>
              <w:rPr>
                <w:rFonts w:eastAsia="宋体"/>
              </w:rPr>
              <w:t xml:space="preserve">2）包括养护所需附件及施工机械、器具、辅助设施等。</w:t>
            </w:r>
            <w:r>
              <w:rPr>
                <w:rFonts w:eastAsia="宋体"/>
              </w:rPr>
            </w:r>
            <w:r/>
          </w:p>
          <w:p>
            <w:pPr>
              <w:pStyle w:val="1292"/>
              <w:jc w:val="both"/>
              <w:spacing w:line="440" w:lineRule="exact"/>
              <w:rPr>
                <w:rFonts w:eastAsia="宋体"/>
              </w:rPr>
            </w:pPr>
            <w:r>
              <w:rPr>
                <w:rFonts w:eastAsia="宋体"/>
              </w:rPr>
              <w:t xml:space="preserve">3）检查项目需做成照片等影像资料，并说明保养检查中设备存在问题。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4）养护频率：</w:t>
            </w:r>
            <w:r>
              <w:rPr>
                <w:rStyle w:val="1356"/>
                <w:rFonts w:ascii="Times New Roman" w:hAnsi="Times New Roman" w:eastAsia="宋体"/>
              </w:rPr>
              <w:t xml:space="preserve">见清单。</w:t>
            </w:r>
            <w:r>
              <w:rPr>
                <w:rFonts w:eastAsia="宋体"/>
              </w:rPr>
            </w:r>
            <w:r/>
          </w:p>
          <w:p>
            <w:pPr>
              <w:pStyle w:val="1292"/>
              <w:jc w:val="both"/>
              <w:spacing w:line="440" w:lineRule="exact"/>
              <w:rPr>
                <w:rFonts w:eastAsia="宋体"/>
              </w:rPr>
            </w:pPr>
            <w:r>
              <w:rPr>
                <w:rFonts w:eastAsia="宋体"/>
              </w:rPr>
              <w:t xml:space="preserve">（13）螺杆启闭机常规养护</w:t>
            </w:r>
            <w:r>
              <w:rPr>
                <w:rFonts w:eastAsia="宋体"/>
              </w:rPr>
            </w:r>
            <w:r/>
          </w:p>
          <w:p>
            <w:pPr>
              <w:pStyle w:val="1292"/>
              <w:jc w:val="both"/>
              <w:spacing w:line="440" w:lineRule="exact"/>
              <w:rPr>
                <w:rFonts w:eastAsia="宋体"/>
              </w:rPr>
            </w:pPr>
            <w:r>
              <w:rPr>
                <w:rFonts w:eastAsia="宋体"/>
              </w:rPr>
              <w:t xml:space="preserve">1）养护标准：清理螺杆，涂抹油脂轮滑、保护；螺杆矫正调直并检修推力轴承；修复螺杆螺纹擦伤，检查螺杆螺纹；检查承重螺母、盆型齿轮、伞型齿轮，出现裂纹、断齿或螺纹齿宽磨损量超过允许值时，应更换；更换保持架变形、滚道磨损点蚀、滚梯磨损的推力轴承；检查螺杆与吊耳连接；推力轴承及滚珠轴承必须更换；对电机进线绝缘测试。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2）养护频率：</w:t>
            </w:r>
            <w:r>
              <w:rPr>
                <w:rStyle w:val="1356"/>
                <w:rFonts w:ascii="Times New Roman" w:hAnsi="Times New Roman" w:eastAsia="宋体"/>
              </w:rPr>
              <w:t xml:space="preserve">见清单。</w:t>
            </w:r>
            <w:r>
              <w:rPr>
                <w:rFonts w:eastAsia="宋体"/>
              </w:rPr>
            </w:r>
            <w:r/>
          </w:p>
          <w:p>
            <w:pPr>
              <w:pStyle w:val="1292"/>
              <w:jc w:val="both"/>
              <w:spacing w:line="440" w:lineRule="exact"/>
              <w:rPr>
                <w:rFonts w:eastAsia="宋体"/>
              </w:rPr>
            </w:pPr>
            <w:r>
              <w:rPr>
                <w:rFonts w:eastAsia="宋体"/>
              </w:rPr>
              <w:t xml:space="preserve">（14）清污机、皮带机常规养护</w:t>
            </w:r>
            <w:r>
              <w:rPr>
                <w:rFonts w:eastAsia="宋体"/>
              </w:rPr>
            </w:r>
            <w:r/>
          </w:p>
          <w:p>
            <w:pPr>
              <w:pStyle w:val="1292"/>
              <w:jc w:val="both"/>
              <w:spacing w:line="440" w:lineRule="exact"/>
              <w:rPr>
                <w:rFonts w:eastAsia="宋体"/>
              </w:rPr>
            </w:pPr>
            <w:r>
              <w:rPr>
                <w:rFonts w:eastAsia="宋体"/>
              </w:rPr>
              <w:t xml:space="preserve">1）养护标准：定期检查清理,少量部件焊补,各部位清洁、除锈、油漆、转动部件加油、试运转等；检查齿耙、传动机构、皮带输送机等运动部件；对电机进线绝缘测试。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2）养护频率：</w:t>
            </w:r>
            <w:r>
              <w:rPr>
                <w:rStyle w:val="1356"/>
                <w:rFonts w:ascii="Times New Roman" w:hAnsi="Times New Roman" w:eastAsia="宋体"/>
              </w:rPr>
              <w:t xml:space="preserve">见清单。</w:t>
            </w:r>
            <w:r>
              <w:rPr>
                <w:rFonts w:eastAsia="宋体"/>
              </w:rPr>
            </w:r>
            <w:r/>
          </w:p>
          <w:p>
            <w:pPr>
              <w:pStyle w:val="1292"/>
              <w:jc w:val="both"/>
              <w:spacing w:line="440" w:lineRule="exact"/>
              <w:rPr>
                <w:rFonts w:eastAsia="宋体"/>
              </w:rPr>
            </w:pPr>
            <w:r>
              <w:rPr>
                <w:rFonts w:eastAsia="宋体"/>
              </w:rPr>
              <w:t xml:space="preserve">（15）</w:t>
            </w:r>
            <w:r>
              <w:rPr>
                <w:rFonts w:eastAsia="宋体"/>
                <w:lang w:val="en-US" w:eastAsia="zh-CN"/>
              </w:rPr>
              <w:t xml:space="preserve">电动葫芦</w:t>
            </w:r>
            <w:r>
              <w:rPr>
                <w:rFonts w:eastAsia="宋体"/>
              </w:rPr>
              <w:t xml:space="preserve">常规养护</w:t>
            </w:r>
            <w:r>
              <w:rPr>
                <w:rFonts w:eastAsia="宋体"/>
              </w:rPr>
            </w:r>
            <w:r/>
          </w:p>
          <w:p>
            <w:pPr>
              <w:pStyle w:val="1292"/>
              <w:jc w:val="both"/>
              <w:spacing w:line="440" w:lineRule="exact"/>
              <w:rPr>
                <w:rFonts w:eastAsia="宋体"/>
              </w:rPr>
            </w:pPr>
            <w:r>
              <w:rPr>
                <w:rFonts w:eastAsia="宋体"/>
              </w:rPr>
              <w:t xml:space="preserve">1）养护标准：定期检查，少量部件维修、钢丝绳清洗、除锈、抹黄油等。电动机清洁、除锈、油漆、绝缘检测与处理、更换、补充润滑油，控制、动力线路维护、老化处理、检测配合、试运转等；对电机进线绝缘测试。检查项目需做成照片等影像资料，并说明保养检查中设备存在问题。</w:t>
            </w:r>
            <w:r>
              <w:rPr>
                <w:rFonts w:eastAsia="宋体"/>
              </w:rPr>
            </w:r>
            <w:r/>
          </w:p>
          <w:p>
            <w:pPr>
              <w:pStyle w:val="1292"/>
              <w:jc w:val="both"/>
              <w:spacing w:line="440" w:lineRule="exact"/>
              <w:rPr>
                <w:rFonts w:eastAsia="宋体"/>
              </w:rPr>
            </w:pPr>
            <w:r>
              <w:rPr>
                <w:rFonts w:eastAsia="宋体"/>
              </w:rPr>
              <w:t xml:space="preserve">2）养护频率：</w:t>
            </w:r>
            <w:r>
              <w:rPr>
                <w:rStyle w:val="1356"/>
                <w:rFonts w:ascii="Times New Roman" w:hAnsi="Times New Roman" w:eastAsia="宋体"/>
              </w:rPr>
              <w:t xml:space="preserve">见清单。</w:t>
            </w:r>
            <w:r>
              <w:rPr>
                <w:rFonts w:eastAsia="宋体"/>
              </w:rPr>
            </w:r>
            <w:r/>
          </w:p>
          <w:p>
            <w:pPr>
              <w:pStyle w:val="1292"/>
              <w:jc w:val="both"/>
              <w:spacing w:line="440" w:lineRule="exact"/>
              <w:rPr>
                <w:rFonts w:eastAsia="宋体"/>
              </w:rPr>
            </w:pPr>
            <w:r>
              <w:rPr>
                <w:rFonts w:eastAsia="宋体"/>
              </w:rPr>
              <w:t xml:space="preserve">（16）油液检测、压力表购置安装</w:t>
            </w:r>
            <w:r>
              <w:rPr>
                <w:rFonts w:eastAsia="宋体"/>
              </w:rPr>
            </w:r>
            <w:r/>
          </w:p>
          <w:p>
            <w:pPr>
              <w:pStyle w:val="1292"/>
              <w:jc w:val="both"/>
              <w:spacing w:line="440" w:lineRule="exact"/>
              <w:rPr>
                <w:rFonts w:eastAsia="宋体"/>
              </w:rPr>
            </w:pPr>
            <w:r>
              <w:rPr>
                <w:rFonts w:eastAsia="宋体"/>
              </w:rPr>
              <w:t xml:space="preserve">1）中标人需负责对本项目涉及到的闸站的油液检测安排专业的质检部门做检测，并出具报告。采购人</w:t>
            </w:r>
            <w:r>
              <w:rPr>
                <w:rFonts w:eastAsia="宋体"/>
                <w:lang w:val="en-US" w:eastAsia="zh-CN"/>
              </w:rPr>
              <w:t xml:space="preserve">新</w:t>
            </w:r>
            <w:r>
              <w:rPr>
                <w:rFonts w:eastAsia="宋体"/>
              </w:rPr>
              <w:t xml:space="preserve">压力表</w:t>
            </w:r>
            <w:r>
              <w:rPr>
                <w:rFonts w:eastAsia="宋体"/>
                <w:lang w:val="en-US" w:eastAsia="zh-CN"/>
              </w:rPr>
              <w:t xml:space="preserve">购置安装。2024、2025每年主汛期前完成。</w:t>
            </w:r>
            <w:r>
              <w:rPr>
                <w:rFonts w:eastAsia="宋体"/>
              </w:rPr>
            </w:r>
            <w:r/>
          </w:p>
          <w:p>
            <w:pPr>
              <w:pStyle w:val="1292"/>
              <w:jc w:val="both"/>
              <w:spacing w:line="440" w:lineRule="exact"/>
              <w:rPr>
                <w:rFonts w:eastAsia="宋体"/>
                <w:lang w:val="en-US" w:eastAsia="zh-CN"/>
              </w:rPr>
            </w:pPr>
            <w:r>
              <w:rPr>
                <w:rFonts w:eastAsia="宋体"/>
                <w:lang w:val="en-US" w:eastAsia="zh-CN"/>
              </w:rPr>
              <w:t xml:space="preserve">2.3.2.4 维修服务内容</w:t>
            </w:r>
            <w:r>
              <w:rPr>
                <w:rFonts w:eastAsia="宋体"/>
                <w:lang w:val="en-US" w:eastAsia="zh-CN"/>
              </w:rPr>
            </w:r>
            <w:r/>
          </w:p>
          <w:p>
            <w:pPr>
              <w:pStyle w:val="1292"/>
              <w:spacing w:line="440" w:lineRule="exact"/>
              <w:rPr>
                <w:rFonts w:eastAsia="宋体"/>
                <w:shd w:val="clear" w:color="auto" w:fill="ffffff"/>
              </w:rPr>
            </w:pPr>
            <w:r>
              <w:rPr>
                <w:rFonts w:eastAsia="宋体"/>
                <w:shd w:val="clear" w:color="auto" w:fill="ffffff"/>
              </w:rPr>
              <w:t xml:space="preserve">（1）</w:t>
            </w:r>
            <w:r>
              <w:rPr>
                <w:rFonts w:eastAsia="宋体"/>
                <w:shd w:val="clear" w:color="auto" w:fill="ffffff"/>
                <w:lang w:val="en-US" w:eastAsia="zh-CN"/>
              </w:rPr>
              <w:t xml:space="preserve">除</w:t>
            </w:r>
            <w:r>
              <w:rPr>
                <w:rFonts w:eastAsia="宋体"/>
                <w:shd w:val="clear" w:color="auto" w:fill="ffffff"/>
              </w:rPr>
              <w:t xml:space="preserve">定期对现场设施设备日常养护</w:t>
            </w:r>
            <w:r>
              <w:rPr>
                <w:rFonts w:eastAsia="宋体"/>
                <w:shd w:val="clear" w:color="auto" w:fill="ffffff"/>
                <w:lang w:eastAsia="zh-CN"/>
              </w:rPr>
              <w:t xml:space="preserve">，</w:t>
            </w:r>
            <w:r>
              <w:rPr>
                <w:rFonts w:eastAsia="宋体"/>
                <w:shd w:val="clear" w:color="auto" w:fill="ffffff"/>
                <w:lang w:val="en-US" w:eastAsia="zh-CN"/>
              </w:rPr>
              <w:t xml:space="preserve">对发现问题应及时维修，</w:t>
            </w:r>
            <w:r>
              <w:rPr>
                <w:rFonts w:eastAsia="宋体"/>
                <w:shd w:val="clear" w:color="auto" w:fill="ffffff"/>
              </w:rPr>
              <w:t xml:space="preserve">并做好记录。明确设备管理责任及落实，建立设备建档。及时上报备品备件采购计划，由采购人进行采购；</w:t>
            </w:r>
            <w:r>
              <w:rPr>
                <w:rFonts w:eastAsia="宋体"/>
                <w:shd w:val="clear" w:color="auto" w:fill="ffffff"/>
              </w:rPr>
            </w:r>
            <w:r/>
          </w:p>
          <w:p>
            <w:pPr>
              <w:pStyle w:val="1292"/>
              <w:spacing w:line="440" w:lineRule="exact"/>
              <w:widowControl w:val="off"/>
              <w:rPr>
                <w:rFonts w:eastAsia="宋体"/>
                <w:shd w:val="clear" w:color="auto" w:fill="ffffff"/>
                <w:lang w:val="en-US" w:eastAsia="zh-CN"/>
              </w:rPr>
            </w:pPr>
            <w:r>
              <w:rPr>
                <w:rFonts w:eastAsia="宋体"/>
              </w:rPr>
              <w:t xml:space="preserve">（2）</w:t>
            </w:r>
            <w:r>
              <w:rPr>
                <w:rFonts w:eastAsia="宋体"/>
                <w:shd w:val="clear" w:color="auto" w:fill="ffffff"/>
              </w:rPr>
              <w:t xml:space="preserve">中标人应随时掌握设备设施状况，发现不符合设备基本管理要求的问题及故障，进行简单维修，确保设备的完好和运行安全。对无法现场排除的故障，要找出原因并提出合理维修方案及时报告采购人，维修由采购人负责组织实施，中标人应配合维修人员进行维修。开展简单维修至少包含：设备、线路和管道等的紧固和少量油漆</w:t>
            </w:r>
            <w:r>
              <w:rPr>
                <w:rFonts w:eastAsia="宋体"/>
                <w:shd w:val="clear" w:color="auto" w:fill="ffffff"/>
                <w:lang w:val="en-US" w:eastAsia="zh-CN"/>
              </w:rPr>
              <w:t xml:space="preserve">焊接修补；密封件、</w:t>
            </w:r>
            <w:r>
              <w:rPr>
                <w:rFonts w:eastAsia="宋体"/>
                <w:shd w:val="clear" w:color="auto" w:fill="ffffff"/>
              </w:rPr>
              <w:t xml:space="preserve">闸阀、仪表、灯具、开关、电气设备、标志标牌增补更换、滤芯等的更换；填料函调整；简易脚手能开展的建筑物涂料、踢脚线等的修补；零星水电维修</w:t>
            </w:r>
            <w:r>
              <w:rPr>
                <w:rFonts w:eastAsia="宋体"/>
                <w:shd w:val="clear" w:color="auto" w:fill="ffffff"/>
                <w:lang w:val="en-US" w:eastAsia="zh-CN"/>
              </w:rPr>
              <w:t xml:space="preserve">等</w:t>
            </w:r>
            <w:r>
              <w:rPr>
                <w:rFonts w:eastAsia="宋体"/>
                <w:shd w:val="clear" w:color="auto" w:fill="ffffff"/>
              </w:rPr>
              <w:t xml:space="preserve">。应保证管理范围内的照明、亮化设施处于完好状态，并能及时投入使用。</w:t>
            </w:r>
            <w:r>
              <w:rPr>
                <w:rFonts w:eastAsia="宋体"/>
                <w:shd w:val="clear" w:color="auto" w:fill="ffffff"/>
                <w:lang w:val="en-US" w:eastAsia="zh-CN"/>
              </w:rPr>
              <w:t xml:space="preserve"> </w:t>
            </w:r>
            <w:r>
              <w:rPr>
                <w:rFonts w:eastAsia="宋体"/>
                <w:shd w:val="clear" w:color="auto" w:fill="ffffff"/>
                <w:lang w:val="en-US" w:eastAsia="zh-CN"/>
              </w:rPr>
            </w:r>
            <w:r/>
          </w:p>
          <w:p>
            <w:pPr>
              <w:pStyle w:val="1292"/>
              <w:jc w:val="both"/>
              <w:spacing w:line="440" w:lineRule="exact"/>
              <w:rPr>
                <w:rFonts w:eastAsia="宋体"/>
                <w:i/>
                <w:iCs/>
                <w:u w:val="single"/>
              </w:rPr>
            </w:pPr>
            <w:r>
              <w:rPr>
                <w:rFonts w:eastAsia="宋体"/>
                <w:i/>
                <w:iCs/>
                <w:u w:val="single"/>
              </w:rPr>
              <w:t xml:space="preserve">备注说明：在运行、养护维修过程中涉及的</w:t>
            </w:r>
            <w:r>
              <w:rPr>
                <w:rFonts w:eastAsia="宋体"/>
                <w:i/>
                <w:iCs/>
                <w:u w:val="single"/>
                <w:lang w:val="en-US" w:eastAsia="zh-CN"/>
              </w:rPr>
              <w:t xml:space="preserve">单个</w:t>
            </w:r>
            <w:r>
              <w:rPr>
                <w:rFonts w:eastAsia="宋体"/>
                <w:i/>
                <w:iCs/>
                <w:u w:val="single"/>
              </w:rPr>
              <w:t xml:space="preserve">零部件费用（</w:t>
            </w:r>
            <w:r>
              <w:rPr>
                <w:rFonts w:eastAsia="宋体"/>
                <w:i/>
                <w:iCs/>
                <w:u w:val="single"/>
                <w:lang w:val="en-US" w:eastAsia="zh-CN"/>
              </w:rPr>
              <w:t xml:space="preserve">5</w:t>
            </w:r>
            <w:r>
              <w:rPr>
                <w:rFonts w:eastAsia="宋体"/>
                <w:i/>
                <w:iCs/>
                <w:u w:val="single"/>
              </w:rPr>
              <w:t xml:space="preserve">000元以下）</w:t>
            </w:r>
            <w:r>
              <w:rPr>
                <w:rFonts w:eastAsia="宋体"/>
                <w:i/>
                <w:iCs/>
                <w:u w:val="single"/>
                <w:lang w:eastAsia="zh-CN"/>
              </w:rPr>
              <w:t xml:space="preserve">，</w:t>
            </w:r>
            <w:r>
              <w:rPr>
                <w:rFonts w:eastAsia="宋体"/>
                <w:i/>
                <w:iCs/>
                <w:u w:val="single"/>
                <w:lang w:val="en-US" w:eastAsia="zh-CN"/>
              </w:rPr>
              <w:t xml:space="preserve">单个工程每年累计不超3万元，4个工程标识牌增补更换费用不超过4</w:t>
            </w:r>
            <w:r>
              <w:rPr>
                <w:rFonts w:hint="eastAsia" w:eastAsia="宋体"/>
                <w:i/>
                <w:iCs/>
                <w:u w:val="single"/>
                <w:lang w:val="en-US" w:eastAsia="zh-CN"/>
              </w:rPr>
              <w:t xml:space="preserve">万元</w:t>
            </w:r>
            <w:r>
              <w:rPr>
                <w:rFonts w:eastAsia="宋体"/>
                <w:i/>
                <w:iCs/>
                <w:u w:val="single"/>
              </w:rPr>
              <w:t xml:space="preserve">，</w:t>
            </w:r>
            <w:r>
              <w:rPr>
                <w:rFonts w:eastAsia="宋体"/>
                <w:i/>
                <w:iCs/>
                <w:u w:val="single"/>
                <w:lang w:val="en-US" w:eastAsia="zh-CN"/>
              </w:rPr>
              <w:t xml:space="preserve">以上由中标人承担，费用包含在本次报价中，超出部分</w:t>
            </w:r>
            <w:r>
              <w:rPr>
                <w:rFonts w:eastAsia="宋体"/>
                <w:i/>
                <w:iCs/>
                <w:u w:val="single"/>
              </w:rPr>
              <w:t xml:space="preserve">由双方协商解决。</w:t>
            </w:r>
            <w:r>
              <w:rPr>
                <w:rFonts w:eastAsia="宋体"/>
                <w:i/>
                <w:iCs/>
                <w:u w:val="single"/>
              </w:rPr>
            </w:r>
            <w:r/>
          </w:p>
          <w:p>
            <w:pPr>
              <w:pStyle w:val="1292"/>
              <w:jc w:val="both"/>
              <w:spacing w:line="440" w:lineRule="exact"/>
              <w:rPr>
                <w:rFonts w:eastAsia="宋体"/>
                <w:shd w:val="clear" w:color="auto" w:fill="ffffff"/>
              </w:rPr>
            </w:pPr>
            <w:r>
              <w:rPr>
                <w:rFonts w:eastAsia="宋体"/>
                <w:shd w:val="clear" w:color="auto" w:fill="ffffff"/>
              </w:rPr>
              <w:t xml:space="preserve">（3）中标人应配备简单维修所需工器具及劳动保护用品。闸站出现维修情况，中标人必须在2小时以内赶到现场进行维修，如无法短时间内修复上报采购人，并提供可行性维修方案。</w:t>
            </w:r>
            <w:r>
              <w:rPr>
                <w:rFonts w:eastAsia="宋体"/>
              </w:rPr>
              <w:t xml:space="preserve">维修保养作业，要有详细记录。涉及临水作业、高空作业、密闭空间作业等，维修方案经</w:t>
            </w:r>
            <w:r>
              <w:rPr>
                <w:rFonts w:eastAsia="宋体"/>
                <w:shd w:val="clear" w:color="auto" w:fill="ffffff"/>
              </w:rPr>
              <w:t xml:space="preserve">得采购人</w:t>
            </w:r>
            <w:r>
              <w:rPr>
                <w:rFonts w:eastAsia="宋体"/>
              </w:rPr>
              <w:t xml:space="preserve">批准后,才能进行各项目的维修、安装、调试、试验工作。沿江闸站维修应考虑实际水位情况及引排水调度需求，需由</w:t>
            </w:r>
            <w:r>
              <w:rPr>
                <w:rFonts w:eastAsia="宋体"/>
                <w:shd w:val="clear" w:color="auto" w:fill="ffffff"/>
              </w:rPr>
              <w:t xml:space="preserve">采购人（各所负责人）</w:t>
            </w:r>
            <w:r>
              <w:rPr>
                <w:rFonts w:eastAsia="宋体"/>
              </w:rPr>
              <w:t xml:space="preserve">及现场技术负责人确认后才能施工。</w:t>
            </w:r>
            <w:r>
              <w:rPr>
                <w:rFonts w:eastAsia="宋体"/>
                <w:shd w:val="clear" w:color="auto" w:fill="ffffff"/>
              </w:rPr>
            </w:r>
            <w:r/>
          </w:p>
          <w:p>
            <w:pPr>
              <w:pStyle w:val="1292"/>
              <w:jc w:val="both"/>
              <w:spacing w:line="440" w:lineRule="exact"/>
              <w:rPr>
                <w:rFonts w:eastAsia="宋体"/>
                <w:shd w:val="clear" w:color="auto" w:fill="ffffff"/>
                <w:lang w:eastAsia="zh-CN"/>
              </w:rPr>
            </w:pPr>
            <w:r>
              <w:rPr>
                <w:rFonts w:eastAsia="宋体"/>
                <w:shd w:val="clear" w:color="auto" w:fill="ffffff"/>
              </w:rPr>
              <w:t xml:space="preserve">（4）维修过程中应文明施工、安全施工，现场用电、用气等必须满足规范要求，配带好防护安全工具（防坠落防砸伤防触电防爆防火等），有可靠安全防护设备，安全应急预案，施工过程由中标人安全员负责，不盲目施工。对于可能涉及污染环境的施工，需做好防范措施和应急清理能力才能施工。维修过程必须对相应的设备、地面、墙面等做好保护工作，出现损坏的及时修补，做好卫生保洁工作。更换下来的旧设备、油液等需按照采购人要求进行处理及收集到指定地点。</w:t>
            </w:r>
            <w:r>
              <w:rPr>
                <w:rFonts w:eastAsia="宋体"/>
                <w:shd w:val="clear" w:color="auto" w:fill="ffffff"/>
                <w:lang w:eastAsia="zh-CN"/>
              </w:rPr>
            </w:r>
            <w:r/>
          </w:p>
          <w:p>
            <w:pPr>
              <w:pStyle w:val="1292"/>
              <w:jc w:val="both"/>
              <w:spacing w:line="440" w:lineRule="exact"/>
              <w:rPr>
                <w:rFonts w:eastAsia="宋体"/>
                <w:shd w:val="clear" w:color="auto" w:fill="ffffff"/>
              </w:rPr>
            </w:pPr>
            <w:r>
              <w:rPr>
                <w:rFonts w:eastAsia="宋体"/>
                <w:shd w:val="clear" w:color="auto" w:fill="ffffff"/>
              </w:rPr>
              <w:t xml:space="preserve">2.3.2.3  安全用具</w:t>
            </w:r>
            <w:r>
              <w:rPr>
                <w:rFonts w:eastAsia="宋体"/>
                <w:shd w:val="clear" w:color="auto" w:fill="ffffff"/>
              </w:rPr>
            </w:r>
            <w:r/>
          </w:p>
          <w:p>
            <w:pPr>
              <w:pStyle w:val="1292"/>
              <w:jc w:val="both"/>
              <w:spacing w:line="440" w:lineRule="exact"/>
              <w:rPr>
                <w:rFonts w:eastAsia="宋体"/>
                <w:shd w:val="clear" w:color="auto" w:fill="ffffff"/>
              </w:rPr>
            </w:pPr>
            <w:r>
              <w:rPr>
                <w:rFonts w:eastAsia="宋体"/>
                <w:shd w:val="clear" w:color="auto" w:fill="ffffff"/>
              </w:rPr>
              <w:t xml:space="preserve">服务内容：完成太字圩港闸站、四干河江边枢纽、走马塘江边枢纽、十一圩江边枢纽的安全工器具检测服务。</w:t>
            </w:r>
            <w:r>
              <w:rPr>
                <w:rFonts w:eastAsia="宋体"/>
                <w:shd w:val="clear" w:color="auto" w:fill="ffffff"/>
              </w:rPr>
            </w:r>
            <w:r/>
          </w:p>
          <w:p>
            <w:pPr>
              <w:pStyle w:val="1292"/>
              <w:jc w:val="both"/>
              <w:spacing w:line="440" w:lineRule="exact"/>
              <w:rPr>
                <w:rStyle w:val="1355"/>
                <w:rFonts w:ascii="Times New Roman" w:hAnsi="Times New Roman" w:eastAsia="宋体"/>
                <w:shd w:val="clear" w:color="auto" w:fill="ffffff"/>
                <w:lang w:eastAsia="zh-CN"/>
              </w:rPr>
            </w:pPr>
            <w:r>
              <w:rPr>
                <w:rStyle w:val="1355"/>
                <w:rFonts w:ascii="Times New Roman" w:hAnsi="Times New Roman" w:eastAsia="宋体"/>
                <w:shd w:val="clear" w:color="auto" w:fill="ffffff"/>
              </w:rPr>
              <w:t xml:space="preserve">依据：《江苏省水闸技术管理办法》，《江苏省泵站技术管理办法》，《电力设备预防性试验规程》DL/T  596，《电力安全工器具预防性试验规程》DL/T  1476</w:t>
            </w:r>
            <w:r>
              <w:rPr>
                <w:rFonts w:eastAsia="宋体"/>
                <w:shd w:val="clear" w:color="auto" w:fill="ffffff"/>
                <w:lang w:eastAsia="zh-CN"/>
              </w:rPr>
              <w:t xml:space="preserve">。</w:t>
            </w:r>
            <w:r>
              <w:rPr>
                <w:rStyle w:val="1355"/>
                <w:rFonts w:ascii="Times New Roman" w:hAnsi="Times New Roman" w:eastAsia="宋体"/>
                <w:shd w:val="clear" w:color="auto" w:fill="ffffff"/>
                <w:lang w:eastAsia="zh-CN"/>
              </w:rPr>
            </w:r>
            <w:r/>
          </w:p>
          <w:p>
            <w:pPr>
              <w:pStyle w:val="1292"/>
              <w:jc w:val="both"/>
              <w:spacing w:line="440" w:lineRule="exact"/>
              <w:rPr>
                <w:rStyle w:val="1355"/>
                <w:rFonts w:ascii="Times New Roman" w:hAnsi="Times New Roman" w:eastAsia="宋体"/>
                <w:shd w:val="clear" w:color="auto" w:fill="ffffff"/>
              </w:rPr>
            </w:pPr>
            <w:r>
              <w:rPr>
                <w:rStyle w:val="1355"/>
                <w:rFonts w:ascii="Times New Roman" w:hAnsi="Times New Roman" w:eastAsia="宋体"/>
                <w:shd w:val="clear" w:color="auto" w:fill="ffffff"/>
              </w:rPr>
              <w:t xml:space="preserve">安全用具</w:t>
            </w:r>
            <w:r>
              <w:rPr>
                <w:rFonts w:eastAsia="宋体"/>
                <w:shd w:val="clear" w:color="auto" w:fill="ffffff"/>
              </w:rPr>
              <w:t xml:space="preserve">检测</w:t>
            </w:r>
            <w:r>
              <w:rPr>
                <w:rStyle w:val="1355"/>
                <w:rFonts w:ascii="Times New Roman" w:hAnsi="Times New Roman" w:eastAsia="宋体"/>
                <w:shd w:val="clear" w:color="auto" w:fill="ffffff"/>
              </w:rPr>
              <w:t xml:space="preserve">：</w:t>
            </w:r>
            <w:r>
              <w:rPr>
                <w:rStyle w:val="1355"/>
                <w:rFonts w:ascii="Times New Roman" w:hAnsi="Times New Roman" w:eastAsia="宋体"/>
                <w:shd w:val="clear" w:color="auto" w:fill="ffffff"/>
              </w:rPr>
            </w:r>
            <w:r/>
          </w:p>
          <w:p>
            <w:pPr>
              <w:pStyle w:val="1292"/>
              <w:jc w:val="both"/>
              <w:spacing w:line="440" w:lineRule="exact"/>
              <w:rPr>
                <w:rFonts w:eastAsia="宋体"/>
                <w:shd w:val="clear" w:color="auto" w:fill="ffffff"/>
              </w:rPr>
            </w:pPr>
            <w:r>
              <w:rPr>
                <w:rFonts w:eastAsia="宋体"/>
                <w:shd w:val="clear" w:color="auto" w:fill="ffffff"/>
              </w:rPr>
              <w:t xml:space="preserve">（1）绝缘手套、绝缘靴、验电器、接地线、万用表、兆欧表。</w:t>
            </w:r>
            <w:r>
              <w:rPr>
                <w:rFonts w:eastAsia="宋体"/>
                <w:shd w:val="clear" w:color="auto" w:fill="ffffff"/>
              </w:rPr>
            </w:r>
            <w:r/>
          </w:p>
          <w:p>
            <w:pPr>
              <w:pStyle w:val="1292"/>
              <w:jc w:val="both"/>
              <w:spacing w:line="440" w:lineRule="exact"/>
              <w:rPr>
                <w:rFonts w:eastAsia="宋体"/>
                <w:shd w:val="clear" w:color="auto" w:fill="ffffff"/>
              </w:rPr>
            </w:pPr>
            <w:r>
              <w:rPr>
                <w:rFonts w:eastAsia="宋体"/>
                <w:shd w:val="clear" w:color="auto" w:fill="ffffff"/>
              </w:rPr>
              <w:t xml:space="preserve">（2）服务周期为服务期限内。</w:t>
            </w:r>
            <w:r>
              <w:rPr>
                <w:rFonts w:eastAsia="宋体"/>
                <w:shd w:val="clear" w:color="auto" w:fill="ffffff"/>
              </w:rPr>
            </w:r>
            <w:r/>
          </w:p>
          <w:p>
            <w:pPr>
              <w:pStyle w:val="1292"/>
              <w:jc w:val="both"/>
              <w:spacing w:line="440" w:lineRule="exact"/>
              <w:rPr>
                <w:rFonts w:eastAsia="宋体"/>
                <w:shd w:val="clear" w:color="auto" w:fill="ffffff"/>
              </w:rPr>
            </w:pPr>
            <w:r>
              <w:rPr>
                <w:rFonts w:eastAsia="宋体"/>
                <w:shd w:val="clear" w:color="auto" w:fill="ffffff"/>
              </w:rPr>
              <w:t xml:space="preserve">（3）按相关办法和规范要求执行。</w:t>
            </w:r>
            <w:r>
              <w:rPr>
                <w:rFonts w:eastAsia="宋体"/>
                <w:shd w:val="clear" w:color="auto" w:fill="ffffff"/>
              </w:rPr>
            </w:r>
            <w:r/>
          </w:p>
          <w:p>
            <w:pPr>
              <w:pStyle w:val="1292"/>
              <w:jc w:val="both"/>
              <w:spacing w:line="440" w:lineRule="exact"/>
              <w:rPr>
                <w:rFonts w:eastAsia="宋体"/>
                <w:shd w:val="clear" w:color="auto" w:fill="ffffff"/>
                <w:lang w:eastAsia="zh-CN"/>
              </w:rPr>
            </w:pPr>
            <w:r>
              <w:rPr>
                <w:rFonts w:eastAsia="宋体"/>
                <w:shd w:val="clear" w:color="auto" w:fill="ffffff"/>
              </w:rPr>
              <w:t xml:space="preserve">（4）对损坏的安全用具进行</w:t>
            </w:r>
            <w:r>
              <w:rPr>
                <w:rFonts w:eastAsia="宋体"/>
                <w:shd w:val="clear" w:color="auto" w:fill="ffffff"/>
                <w:lang w:val="en-US" w:eastAsia="zh-CN"/>
              </w:rPr>
              <w:t xml:space="preserve">及时</w:t>
            </w:r>
            <w:r>
              <w:rPr>
                <w:rFonts w:eastAsia="宋体"/>
                <w:shd w:val="clear" w:color="auto" w:fill="ffffff"/>
              </w:rPr>
              <w:t xml:space="preserve">补充</w:t>
            </w:r>
            <w:r>
              <w:rPr>
                <w:rFonts w:eastAsia="宋体"/>
                <w:shd w:val="clear" w:color="auto" w:fill="ffffff"/>
                <w:lang w:eastAsia="zh-CN"/>
              </w:rPr>
              <w:t xml:space="preserve">。</w:t>
            </w:r>
            <w:r>
              <w:rPr>
                <w:rFonts w:eastAsia="宋体"/>
                <w:shd w:val="clear" w:color="auto" w:fill="ffffff"/>
                <w:lang w:eastAsia="zh-CN"/>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top"/>
            <w:textDirection w:val="lrTb"/>
            <w:noWrap w:val="false"/>
          </w:tcPr>
          <w:p>
            <w:pPr>
              <w:pStyle w:val="1292"/>
              <w:jc w:val="both"/>
              <w:spacing w:line="440" w:lineRule="exact"/>
              <w:rPr>
                <w:rFonts w:eastAsia="宋体"/>
                <w:lang w:val="en-US" w:eastAsia="zh-CN"/>
              </w:rPr>
            </w:pPr>
            <w:r>
              <w:rPr>
                <w:rFonts w:eastAsia="宋体"/>
                <w:lang w:val="en-US" w:eastAsia="zh-CN"/>
              </w:rPr>
              <w:t xml:space="preserve">2.3.3</w:t>
            </w:r>
            <w:r>
              <w:rPr>
                <w:rFonts w:eastAsia="宋体"/>
              </w:rPr>
              <w:t xml:space="preserve"> 巡查要求</w:t>
            </w:r>
            <w:r>
              <w:rPr>
                <w:rFonts w:eastAsia="宋体"/>
                <w:lang w:val="en-US" w:eastAsia="zh-CN"/>
              </w:rPr>
            </w:r>
            <w:r/>
          </w:p>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1）中标人应按照规定要求进行日常巡视、经查检查、运行期间巡检、定期巡查，特别检查，安全检查，工程评级等，发现问题应及时上报处理，并做好记录。检查巡视项目按照《江苏省水闸技术管理办法》、《江苏省泵站技术管理办法》。日常应加强工程管理范围的巡查，确保各种标志无丢失、无损坏；水位测量设施清晰可见、清洁无损坏；加强警戒区内管理宣传，及时制止停泊船只、游泳、捕鱼等影响水闸、泵站运行安全的行为；对管理范围内水事违法活动及时阻止并及时汇报，形成记录。</w:t>
            </w:r>
            <w:r>
              <w:rPr>
                <w:rFonts w:ascii="Times New Roman" w:hAnsi="Times New Roman"/>
                <w:shd w:val="clear" w:color="auto" w:fill="ffffff"/>
              </w:rPr>
            </w:r>
            <w:r/>
          </w:p>
          <w:p>
            <w:pPr>
              <w:pStyle w:val="1292"/>
              <w:jc w:val="both"/>
              <w:spacing w:line="440" w:lineRule="exact"/>
              <w:rPr>
                <w:rFonts w:eastAsia="宋体"/>
                <w:shd w:val="clear" w:color="auto" w:fill="ffffff"/>
                <w:lang w:val="en-US" w:eastAsia="zh-CN"/>
              </w:rPr>
            </w:pPr>
            <w:r>
              <w:rPr>
                <w:rFonts w:eastAsia="宋体"/>
                <w:shd w:val="clear" w:color="auto" w:fill="ffffff"/>
              </w:rPr>
              <w:t xml:space="preserve">（</w:t>
            </w:r>
            <w:r>
              <w:rPr>
                <w:rFonts w:eastAsia="宋体"/>
                <w:shd w:val="clear" w:color="auto" w:fill="ffffff"/>
                <w:lang w:val="en-US" w:eastAsia="zh-CN"/>
              </w:rPr>
              <w:t xml:space="preserve">2</w:t>
            </w:r>
            <w:r>
              <w:rPr>
                <w:rFonts w:eastAsia="宋体"/>
                <w:shd w:val="clear" w:color="auto" w:fill="ffffff"/>
              </w:rPr>
              <w:t xml:space="preserve">）加强堤防管理范围内管理宣传，及时制止违章、种植、捕鱼等影响水利工程运行安全的行为，及时汇报；对堤防工程进行检查，发现损坏及时汇报。太字港闸巡查范围（护漕港闸至张皋汽渡段江堤），十一圩江边枢纽巡查范围（十一圩闸、常通港闸闸港堤），四干河江边枢纽巡查范围（通沙汽渡至四干河闸段江堤（包括老闸段港堤、西水道外围堤）），走马塘江边枢纽巡查范围（长沙河闸至九五圩常熟段江堤（含西水道外围堤））。</w:t>
            </w:r>
            <w:r>
              <w:rPr>
                <w:rFonts w:eastAsia="宋体"/>
              </w:rPr>
              <w:t xml:space="preserve">按要求做好巡查检查台帐记录。</w:t>
            </w:r>
            <w:r>
              <w:rPr>
                <w:rFonts w:eastAsia="宋体"/>
                <w:shd w:val="clear" w:color="auto" w:fill="ffffff"/>
                <w:lang w:val="en-US" w:eastAsia="zh-CN"/>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991"/>
              <w:spacing w:before="0" w:beforeAutospacing="0" w:after="0" w:afterAutospacing="0" w:line="440" w:lineRule="exact"/>
              <w:rPr>
                <w:rFonts w:ascii="Times New Roman" w:hAnsi="Times New Roman"/>
              </w:rPr>
            </w:pPr>
            <w:r>
              <w:rPr>
                <w:rFonts w:ascii="Times New Roman" w:hAnsi="Times New Roman"/>
              </w:rPr>
              <w:t xml:space="preserve">2.3.4 管理范围内绿化保洁要求</w:t>
            </w:r>
            <w:r>
              <w:rPr>
                <w:rFonts w:ascii="Times New Roman" w:hAnsi="Times New Roman"/>
              </w:rPr>
            </w:r>
            <w:r/>
          </w:p>
          <w:p>
            <w:pPr>
              <w:pStyle w:val="991"/>
              <w:spacing w:before="0" w:beforeAutospacing="0" w:after="0" w:afterAutospacing="0" w:line="440" w:lineRule="exact"/>
              <w:rPr>
                <w:rFonts w:ascii="Times New Roman" w:hAnsi="Times New Roman"/>
                <w:i/>
                <w:u w:val="single"/>
              </w:rPr>
            </w:pPr>
            <w:r>
              <w:rPr>
                <w:rFonts w:ascii="Times New Roman" w:hAnsi="Times New Roman"/>
                <w:i/>
                <w:iCs/>
                <w:u w:val="single"/>
              </w:rPr>
              <w:t xml:space="preserve">服务内容：</w:t>
            </w:r>
            <w:r>
              <w:rPr>
                <w:rFonts w:ascii="Times New Roman" w:hAnsi="Times New Roman"/>
                <w:i/>
                <w:u w:val="single"/>
              </w:rPr>
              <w:t xml:space="preserve">投标人需提供四干河江边枢纽、走马塘节制闸等闸站绿化养护服务，包括闸站管理范围和上下游河道护坡边坡。</w:t>
            </w:r>
            <w:r>
              <w:rPr>
                <w:rFonts w:ascii="Times New Roman" w:hAnsi="Times New Roman"/>
                <w:i/>
                <w:u w:val="single"/>
              </w:rPr>
            </w:r>
            <w:r/>
          </w:p>
          <w:p>
            <w:pPr>
              <w:pStyle w:val="991"/>
              <w:spacing w:before="0" w:beforeAutospacing="0" w:after="0" w:afterAutospacing="0" w:line="440" w:lineRule="exact"/>
              <w:rPr>
                <w:rFonts w:ascii="Times New Roman" w:hAnsi="Times New Roman"/>
                <w:i/>
                <w:u w:val="single"/>
              </w:rPr>
            </w:pPr>
            <w:r>
              <w:rPr>
                <w:rFonts w:ascii="Times New Roman" w:hAnsi="Times New Roman"/>
              </w:rPr>
              <w:t xml:space="preserve">2.3.4.1 绿化养护服务内容</w:t>
            </w:r>
            <w:r>
              <w:rPr>
                <w:rFonts w:ascii="Times New Roman" w:hAnsi="Times New Roman"/>
                <w:i/>
                <w:u w:val="single"/>
              </w:rPr>
            </w:r>
            <w:r/>
          </w:p>
          <w:p>
            <w:pPr>
              <w:pStyle w:val="991"/>
              <w:spacing w:before="0" w:beforeAutospacing="0" w:after="0" w:afterAutospacing="0" w:line="440" w:lineRule="exact"/>
              <w:rPr>
                <w:rFonts w:ascii="Times New Roman" w:hAnsi="Times New Roman"/>
              </w:rPr>
            </w:pPr>
            <w:r>
              <w:rPr>
                <w:rFonts w:ascii="Times New Roman" w:hAnsi="Times New Roman"/>
                <w:iCs/>
              </w:rPr>
              <w:t xml:space="preserve">（1</w:t>
            </w:r>
            <w:r>
              <w:rPr>
                <w:rFonts w:hint="eastAsia" w:ascii="Times New Roman" w:hAnsi="Times New Roman"/>
                <w:iCs/>
                <w:lang w:eastAsia="zh-CN"/>
              </w:rPr>
              <w:t xml:space="preserve">）做</w:t>
            </w:r>
            <w:r>
              <w:rPr>
                <w:rFonts w:ascii="Times New Roman" w:hAnsi="Times New Roman"/>
              </w:rPr>
              <w:t xml:space="preserve">好绿地养护台账，中标后，中标人应及时做好绿地交接工作，熟悉、明确各自养护区域，防止在后续养护中出现无人管理区域、养护范围模糊等现象。交接时做好影像资料备份。新建工程的绿化在质保期内不需要进行绿化养护服务，质保期满后需中标人需提供绿化养护服务。绿地养护质量参照标准要求：《张家港市公共绿地养护技术规范》。</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2）修剪：绿篱、绿球及时修剪，做到整齐划一；草坪修剪平坦，高度控制在10CM以下；大小乔灌木修剪，要因树而异，讲究艺术，着重修剪好内膛枝、徒长枝、病虫枝、枯枝败叶等。修剪下的枝叶要及时清理，保证作业现场整洁。 </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（3）抗旱排涝：要根据季节、天情、苗木旱情及时做好抗旱浇水工作，同时保证雨季绿地排水畅通，确保无因干旱或积水而造成的树木花草生长不良或死亡现象。 </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（4）草坪管理：及时清除草坪地内杂草，修剪平整。适当施肥，保证草坪色泽正常，生长良好，不得使用除草剂。 </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（5）突击扶正培土：暴雨大风过后要立即巡查，及时扶正倾斜、倾倒树木，培好土，确保不造成树木死亡。 </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6）病虫防治：经常观察病虫害发生动态，及时做好防治工作。喷药防治要采用无公害、高效低毒的化学药剂，并做到用药配比正确，安全操作，不发生药害。另外对天牛、蚧壳虫等害虫要采用人工捕捉与化学防治相结合的综合防治措施，确保把病虫危害控制到最低限度。 </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（7）卫生保洁：绿地内常年保持整洁，管护人员必须及时清除绿地内的垃圾、杂物。 </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（8）绿化完整性：绿地内要常年派专人巡查，确保无乱搭、乱建及水、电、通讯管道开挖等人为侵占、破坏绿地行为，一旦发现要及时向主管领导报告，并配合一起查处。 </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（9）采购人交代的临时任务。</w:t>
            </w:r>
            <w:r>
              <w:rPr>
                <w:rFonts w:ascii="Times New Roman" w:hAnsi="Times New Roman"/>
              </w:rPr>
            </w:r>
            <w:r/>
          </w:p>
          <w:p>
            <w:pPr>
              <w:pStyle w:val="991"/>
              <w:spacing w:before="0" w:beforeAutospacing="0" w:after="0" w:afterAutospacing="0" w:line="440" w:lineRule="exact"/>
              <w:rPr>
                <w:rFonts w:ascii="Times New Roman" w:hAnsi="Times New Roman"/>
                <w:i/>
                <w:u w:val="single"/>
              </w:rPr>
            </w:pPr>
            <w:r>
              <w:rPr>
                <w:rFonts w:ascii="Times New Roman" w:hAnsi="Times New Roman"/>
              </w:rPr>
              <w:t xml:space="preserve">2.3.4.2 绿化养护服务要求</w:t>
            </w:r>
            <w:r>
              <w:rPr>
                <w:rFonts w:ascii="Times New Roman" w:hAnsi="Times New Roman"/>
                <w:i/>
                <w:u w:val="single"/>
              </w:rPr>
            </w:r>
            <w:r/>
          </w:p>
          <w:p>
            <w:pPr>
              <w:pStyle w:val="991"/>
              <w:spacing w:before="0" w:beforeAutospacing="0" w:after="0" w:afterAutospacing="0" w:line="440" w:lineRule="exact"/>
              <w:rPr>
                <w:rFonts w:ascii="Times New Roman" w:hAnsi="Times New Roman"/>
              </w:rPr>
            </w:pPr>
            <w:r>
              <w:rPr>
                <w:rFonts w:ascii="Times New Roman" w:hAnsi="Times New Roman"/>
              </w:rPr>
              <w:t xml:space="preserve">投标人应根据相关绿化养护行业标准、本项目的绿化养护要求和投标人在投标文件中所作的承诺，对管理区域进行养护。绿化养护作业中应严格按照绿化技术操作规程实施，加强作业人员的安全防范意识。特别是堤防段、泵闸绿化作业，行道树修剪及高空作业等安全文明施工，机械的安全使用、农药的安全使用、安全用电及公共绿地防火。 期间采购人要求加强绿化养护需及时响应。</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除此以外，投标人还需按闸站绿化落实安全措施、安全防护设施，按需进行合理配备，加强养护人员日常安全教育工作。 </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（1）作业工人作业时必须穿着安全警示服装，临水作业穿戴救生衣救生绳。 </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（2）高温天气有防暑降温等安全措施。 </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（3）养护工人车辆不违停，如作业需要停放的应设立安全警示牌。 </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（4）正常养护作业期间现场管理到位，不发生人员伤亡事故并为养护工人购买人身意外保险。</w:t>
            </w:r>
            <w:r>
              <w:rPr>
                <w:rFonts w:ascii="Times New Roman" w:hAnsi="Times New Roman"/>
              </w:rPr>
            </w:r>
            <w:r/>
          </w:p>
          <w:p>
            <w:pPr>
              <w:pStyle w:val="991"/>
              <w:spacing w:before="0" w:beforeAutospacing="0" w:after="0" w:afterAutospacing="0" w:line="440" w:lineRule="exact"/>
              <w:rPr>
                <w:rFonts w:ascii="Times New Roman" w:hAnsi="Times New Roman"/>
                <w:i/>
                <w:u w:val="single"/>
              </w:rPr>
            </w:pPr>
            <w:r>
              <w:rPr>
                <w:rFonts w:ascii="Times New Roman" w:hAnsi="Times New Roman"/>
              </w:rPr>
              <w:t xml:space="preserve">2.3.4.3 垃圾清运要求</w:t>
            </w:r>
            <w:r>
              <w:rPr>
                <w:rFonts w:ascii="Times New Roman" w:hAnsi="Times New Roman"/>
                <w:i/>
                <w:u w:val="single"/>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rPr>
              <w:t xml:space="preserve">对闸站范围产生的生活垃圾、绿化垃圾、运行垃圾等垃圾杂物需及时进行清理，不得影响到闸站整体卫生环境。</w:t>
            </w:r>
            <w:r>
              <w:rPr>
                <w:rFonts w:ascii="Times New Roman" w:hAnsi="Times New Roman"/>
                <w:shd w:val="clear" w:color="auto" w:fill="ffffff"/>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926"/>
              <w:spacing w:line="440" w:lineRule="exact"/>
              <w:rPr>
                <w:rFonts w:ascii="Times New Roman" w:hAnsi="Times New Roman"/>
                <w:sz w:val="24"/>
                <w:szCs w:val="24"/>
              </w:rPr>
            </w:pPr>
            <w:r>
              <w:rPr>
                <w:rFonts w:ascii="Times New Roman" w:hAnsi="Times New Roman"/>
                <w:sz w:val="24"/>
                <w:szCs w:val="24"/>
              </w:rPr>
              <w:t xml:space="preserve">2.3.5 工程观测</w:t>
            </w:r>
            <w:r>
              <w:rPr>
                <w:rFonts w:ascii="Times New Roman" w:hAnsi="Times New Roman"/>
                <w:sz w:val="24"/>
                <w:szCs w:val="24"/>
              </w:rPr>
            </w:r>
            <w:r/>
          </w:p>
          <w:p>
            <w:pPr>
              <w:pStyle w:val="926"/>
              <w:spacing w:line="440" w:lineRule="exact"/>
              <w:rPr>
                <w:rFonts w:ascii="Times New Roman" w:hAnsi="Times New Roman"/>
                <w:sz w:val="24"/>
                <w:szCs w:val="24"/>
              </w:rPr>
            </w:pPr>
            <w:r>
              <w:rPr>
                <w:rFonts w:ascii="Times New Roman" w:hAnsi="Times New Roman"/>
                <w:sz w:val="24"/>
                <w:szCs w:val="24"/>
              </w:rPr>
              <w:t xml:space="preserve">服务内容：投标人需完成太字圩港闸站、四干河江边枢纽、走马塘江边枢纽（不含船闸）、十一圩江边枢纽（不含船闸）的工程观测服务。</w:t>
            </w:r>
            <w:r>
              <w:rPr>
                <w:rFonts w:ascii="Times New Roman" w:hAnsi="Times New Roman"/>
                <w:sz w:val="24"/>
                <w:szCs w:val="24"/>
              </w:rPr>
            </w:r>
            <w:r/>
          </w:p>
          <w:p>
            <w:pPr>
              <w:pStyle w:val="926"/>
              <w:spacing w:line="440" w:lineRule="exact"/>
              <w:rPr>
                <w:rFonts w:ascii="Times New Roman" w:hAnsi="Times New Roman"/>
                <w:sz w:val="24"/>
                <w:szCs w:val="24"/>
              </w:rPr>
            </w:pPr>
            <w:r>
              <w:rPr>
                <w:rFonts w:ascii="Times New Roman" w:hAnsi="Times New Roman"/>
                <w:sz w:val="24"/>
                <w:szCs w:val="24"/>
              </w:rPr>
              <w:t xml:space="preserve">（1）作业依据：《工程测量规范》GB50026-2020;《测绘成果质量检查与验收》GB/T 24356-2009;《测绘技术设计规定》CH/T 1004-2005;《国家三、四等水准测量规范》GB/T 12898-2009;《全球定位系统(GPS)测量规范》GB/T 18314-2009;《测绘产品检查验收规定》CH1002-1995;《测绘技术总结编写规定》CH/T1001-2005;《水利工程观测规程》DB32/T 1713-2011。《水闸安全监测技术规范》SL768-2018.</w:t>
            </w:r>
            <w:r>
              <w:rPr>
                <w:rFonts w:ascii="Times New Roman" w:hAnsi="Times New Roman"/>
                <w:sz w:val="24"/>
                <w:szCs w:val="24"/>
              </w:rPr>
            </w:r>
            <w:r/>
          </w:p>
          <w:p>
            <w:pPr>
              <w:pStyle w:val="926"/>
              <w:spacing w:line="440" w:lineRule="exact"/>
              <w:rPr>
                <w:rFonts w:ascii="Times New Roman" w:hAnsi="Times New Roman"/>
                <w:sz w:val="24"/>
                <w:szCs w:val="24"/>
              </w:rPr>
            </w:pPr>
            <w:r>
              <w:rPr>
                <w:rFonts w:ascii="Times New Roman" w:hAnsi="Times New Roman"/>
                <w:sz w:val="24"/>
                <w:szCs w:val="24"/>
              </w:rPr>
              <w:t xml:space="preserve">（2）观测项目：垂直位移观测、引河道断面观测</w:t>
            </w:r>
            <w:r>
              <w:rPr>
                <w:rFonts w:ascii="Times New Roman" w:hAnsi="Times New Roman"/>
                <w:sz w:val="24"/>
                <w:szCs w:val="24"/>
              </w:rPr>
            </w:r>
            <w:r/>
          </w:p>
          <w:p>
            <w:pPr>
              <w:pStyle w:val="926"/>
              <w:spacing w:line="440" w:lineRule="exact"/>
              <w:rPr>
                <w:rFonts w:ascii="Times New Roman" w:hAnsi="Times New Roman"/>
                <w:sz w:val="24"/>
                <w:szCs w:val="24"/>
              </w:rPr>
            </w:pPr>
            <w:r>
              <w:rPr>
                <w:rFonts w:ascii="Times New Roman" w:hAnsi="Times New Roman"/>
                <w:sz w:val="24"/>
                <w:szCs w:val="24"/>
              </w:rPr>
              <w:t xml:space="preserve">（3）观测频次：</w:t>
            </w:r>
            <w:r>
              <w:rPr>
                <w:rFonts w:ascii="Times New Roman" w:hAnsi="Times New Roman"/>
                <w:sz w:val="24"/>
                <w:szCs w:val="24"/>
              </w:rPr>
            </w:r>
            <w:r/>
          </w:p>
          <w:p>
            <w:pPr>
              <w:pStyle w:val="926"/>
              <w:spacing w:line="440" w:lineRule="exact"/>
              <w:rPr>
                <w:rFonts w:ascii="Times New Roman" w:hAnsi="Times New Roman"/>
                <w:sz w:val="24"/>
                <w:szCs w:val="24"/>
              </w:rPr>
            </w:pPr>
            <w:r>
              <w:rPr>
                <w:rFonts w:ascii="Times New Roman" w:hAnsi="Times New Roman"/>
                <w:sz w:val="24"/>
                <w:szCs w:val="24"/>
              </w:rPr>
              <w:t xml:space="preserve">垂直位移观测：</w:t>
            </w:r>
            <w:r>
              <w:rPr>
                <w:rFonts w:ascii="Times New Roman" w:hAnsi="Times New Roman"/>
                <w:sz w:val="24"/>
                <w:szCs w:val="24"/>
              </w:rPr>
            </w:r>
            <w:r/>
          </w:p>
          <w:p>
            <w:pPr>
              <w:pStyle w:val="926"/>
              <w:spacing w:line="440" w:lineRule="exact"/>
              <w:rPr>
                <w:rFonts w:ascii="Times New Roman" w:hAnsi="Times New Roman"/>
                <w:sz w:val="24"/>
                <w:szCs w:val="24"/>
              </w:rPr>
            </w:pPr>
            <w:r>
              <w:rPr>
                <w:rFonts w:ascii="Times New Roman" w:hAnsi="Times New Roman"/>
                <w:sz w:val="24"/>
                <w:szCs w:val="24"/>
              </w:rPr>
              <w:t xml:space="preserve">四干河江边枢纽：汛前汛后各1次；</w:t>
            </w:r>
            <w:r>
              <w:rPr>
                <w:rFonts w:ascii="Times New Roman" w:hAnsi="Times New Roman"/>
                <w:sz w:val="24"/>
                <w:szCs w:val="24"/>
              </w:rPr>
            </w:r>
            <w:r/>
          </w:p>
          <w:p>
            <w:pPr>
              <w:pStyle w:val="926"/>
              <w:spacing w:line="440" w:lineRule="exact"/>
              <w:rPr>
                <w:rFonts w:ascii="Times New Roman" w:hAnsi="Times New Roman"/>
                <w:sz w:val="24"/>
                <w:szCs w:val="24"/>
              </w:rPr>
            </w:pPr>
            <w:r>
              <w:rPr>
                <w:rFonts w:ascii="Times New Roman" w:hAnsi="Times New Roman"/>
                <w:sz w:val="24"/>
                <w:szCs w:val="24"/>
              </w:rPr>
              <w:t xml:space="preserve">走马塘江边枢纽、十一圩江边枢纽、太字圩港泵闸站：每季度各1次。</w:t>
            </w:r>
            <w:r>
              <w:rPr>
                <w:rFonts w:ascii="Times New Roman" w:hAnsi="Times New Roman"/>
                <w:sz w:val="24"/>
                <w:szCs w:val="24"/>
              </w:rPr>
            </w:r>
            <w:r/>
          </w:p>
          <w:p>
            <w:pPr>
              <w:pStyle w:val="926"/>
              <w:spacing w:line="440" w:lineRule="exact"/>
              <w:rPr>
                <w:rFonts w:ascii="Times New Roman" w:hAnsi="Times New Roman"/>
                <w:sz w:val="24"/>
                <w:szCs w:val="24"/>
              </w:rPr>
            </w:pPr>
            <w:r>
              <w:rPr>
                <w:rFonts w:ascii="Times New Roman" w:hAnsi="Times New Roman"/>
                <w:sz w:val="24"/>
                <w:szCs w:val="24"/>
              </w:rPr>
              <w:t xml:space="preserve">引河道断面测量：</w:t>
            </w:r>
            <w:r>
              <w:rPr>
                <w:rFonts w:ascii="Times New Roman" w:hAnsi="Times New Roman"/>
                <w:sz w:val="24"/>
                <w:szCs w:val="24"/>
              </w:rPr>
            </w:r>
            <w:r/>
          </w:p>
          <w:p>
            <w:pPr>
              <w:pStyle w:val="926"/>
              <w:spacing w:line="440" w:lineRule="exact"/>
              <w:rPr>
                <w:rFonts w:ascii="Times New Roman" w:hAnsi="Times New Roman"/>
                <w:sz w:val="24"/>
                <w:szCs w:val="24"/>
              </w:rPr>
            </w:pPr>
            <w:r>
              <w:rPr>
                <w:rFonts w:ascii="Times New Roman" w:hAnsi="Times New Roman"/>
                <w:sz w:val="24"/>
                <w:szCs w:val="24"/>
              </w:rPr>
              <w:t xml:space="preserve">四干河江边枢纽：汛后1次</w:t>
            </w:r>
            <w:r>
              <w:rPr>
                <w:rFonts w:ascii="Times New Roman" w:hAnsi="Times New Roman"/>
                <w:sz w:val="24"/>
                <w:szCs w:val="24"/>
              </w:rPr>
            </w:r>
            <w:r/>
          </w:p>
          <w:p>
            <w:pPr>
              <w:pStyle w:val="926"/>
              <w:spacing w:line="440" w:lineRule="exact"/>
              <w:rPr>
                <w:rFonts w:ascii="Times New Roman" w:hAnsi="Times New Roman"/>
                <w:sz w:val="24"/>
                <w:szCs w:val="24"/>
              </w:rPr>
            </w:pPr>
            <w:r>
              <w:rPr>
                <w:rFonts w:ascii="Times New Roman" w:hAnsi="Times New Roman"/>
                <w:sz w:val="24"/>
                <w:szCs w:val="24"/>
              </w:rPr>
              <w:t xml:space="preserve">走马塘江边枢纽、十一圩江边枢纽、太字圩港泵闸站：汛前汛后各1次。</w:t>
            </w:r>
            <w:r>
              <w:rPr>
                <w:rFonts w:ascii="Times New Roman" w:hAnsi="Times New Roman"/>
                <w:sz w:val="24"/>
                <w:szCs w:val="24"/>
              </w:rPr>
            </w:r>
            <w:r/>
          </w:p>
          <w:p>
            <w:pPr>
              <w:pStyle w:val="926"/>
              <w:spacing w:line="440" w:lineRule="exact"/>
              <w:rPr>
                <w:rFonts w:ascii="Times New Roman" w:hAnsi="Times New Roman"/>
                <w:sz w:val="24"/>
                <w:szCs w:val="24"/>
              </w:rPr>
            </w:pPr>
            <w:r>
              <w:rPr>
                <w:rFonts w:ascii="Times New Roman" w:hAnsi="Times New Roman"/>
                <w:sz w:val="24"/>
                <w:szCs w:val="24"/>
              </w:rPr>
              <w:t xml:space="preserve">成果整编：需依照上述作业依据相关规定执行，提供电子及纸质资料。</w:t>
            </w:r>
            <w:r>
              <w:rPr>
                <w:rFonts w:ascii="Times New Roman" w:hAnsi="Times New Roman"/>
                <w:sz w:val="24"/>
                <w:szCs w:val="24"/>
              </w:rPr>
            </w:r>
            <w:r/>
          </w:p>
          <w:p>
            <w:pPr>
              <w:pStyle w:val="926"/>
              <w:spacing w:line="440" w:lineRule="exact"/>
              <w:rPr>
                <w:rFonts w:ascii="Times New Roman" w:hAnsi="Times New Roman"/>
                <w:sz w:val="24"/>
                <w:szCs w:val="24"/>
              </w:rPr>
            </w:pPr>
            <w:r>
              <w:rPr>
                <w:rFonts w:ascii="Times New Roman" w:hAnsi="Times New Roman"/>
                <w:sz w:val="24"/>
                <w:szCs w:val="24"/>
              </w:rPr>
              <w:t xml:space="preserve">对观测资料进行比对并进行深度分析，对于存在的问题进行分析并形成报告，观测过程中不符合观测要求的、不规范的，提出整改建议。</w:t>
            </w:r>
            <w:r>
              <w:rPr>
                <w:rFonts w:ascii="Times New Roman" w:hAnsi="Times New Roman"/>
                <w:sz w:val="24"/>
                <w:szCs w:val="24"/>
              </w:rPr>
            </w:r>
            <w:r/>
          </w:p>
          <w:tbl>
            <w:tblPr>
              <w:tblW w:w="8532" w:type="dxa"/>
              <w:tblInd w:w="101" w:type="dxa"/>
              <w:tblLayout w:type="autofit"/>
              <w:tblCellMar>
                <w:left w:w="108" w:type="dxa"/>
                <w:top w:w="0" w:type="dxa"/>
                <w:right w:w="108" w:type="dxa"/>
                <w:bottom w:w="0" w:type="dxa"/>
              </w:tblCellMar>
              <w:tblLook w:val="04A0" w:firstRow="1" w:lastRow="0" w:firstColumn="1" w:lastColumn="0" w:noHBand="0" w:noVBand="1"/>
            </w:tblPr>
            <w:tblGrid>
              <w:gridCol w:w="864"/>
              <w:gridCol w:w="1617"/>
              <w:gridCol w:w="2495"/>
              <w:gridCol w:w="1558"/>
              <w:gridCol w:w="1039"/>
            </w:tblGrid>
            <w:tr>
              <w:trPr>
                <w:trHeight w:val="28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序号</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闸站名称</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垂直位移</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引河道断面测量</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备注</w:t>
                  </w:r>
                  <w:r>
                    <w:rPr>
                      <w:rFonts w:ascii="Times New Roman" w:hAnsi="Times New Roman"/>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1</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pStyle w:val="926"/>
                    <w:spacing w:line="440" w:lineRule="exact"/>
                    <w:rPr>
                      <w:rFonts w:ascii="Times New Roman" w:hAnsi="Times New Roman"/>
                      <w:sz w:val="24"/>
                      <w:szCs w:val="24"/>
                    </w:rPr>
                  </w:pPr>
                  <w:r>
                    <w:rPr>
                      <w:rFonts w:ascii="Times New Roman" w:hAnsi="Times New Roman"/>
                      <w:sz w:val="24"/>
                      <w:szCs w:val="24"/>
                      <w:lang w:bidi="ar"/>
                    </w:rPr>
                    <w:t xml:space="preserve">四干河江边枢纽</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汛前汛后各1次</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汛后1次</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926"/>
                    <w:spacing w:line="440" w:lineRule="exact"/>
                    <w:rPr>
                      <w:rFonts w:ascii="Times New Roman" w:hAnsi="Times New Roman"/>
                      <w:sz w:val="24"/>
                      <w:szCs w:val="24"/>
                    </w:rPr>
                  </w:pPr>
                  <w:r>
                    <w:rPr>
                      <w:rFonts w:ascii="Times New Roman" w:hAnsi="Times New Roman"/>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2</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pStyle w:val="926"/>
                    <w:spacing w:line="440" w:lineRule="exact"/>
                    <w:rPr>
                      <w:rFonts w:ascii="Times New Roman" w:hAnsi="Times New Roman"/>
                      <w:sz w:val="24"/>
                      <w:szCs w:val="24"/>
                    </w:rPr>
                  </w:pPr>
                  <w:r>
                    <w:rPr>
                      <w:rFonts w:ascii="Times New Roman" w:hAnsi="Times New Roman"/>
                      <w:sz w:val="24"/>
                      <w:szCs w:val="24"/>
                      <w:lang w:bidi="ar"/>
                    </w:rPr>
                    <w:t xml:space="preserve">走马塘江边枢纽</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每季度</w:t>
                  </w:r>
                  <w:r>
                    <w:rPr>
                      <w:rFonts w:ascii="Times New Roman" w:hAnsi="Times New Roman"/>
                      <w:sz w:val="24"/>
                      <w:szCs w:val="24"/>
                    </w:rPr>
                    <w:t xml:space="preserve">1次</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汛前汛后各1次</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926"/>
                    <w:spacing w:line="440" w:lineRule="exact"/>
                    <w:rPr>
                      <w:rFonts w:ascii="Times New Roman" w:hAnsi="Times New Roman"/>
                      <w:sz w:val="24"/>
                      <w:szCs w:val="24"/>
                    </w:rPr>
                  </w:pPr>
                  <w:r>
                    <w:rPr>
                      <w:rFonts w:ascii="Times New Roman" w:hAnsi="Times New Roman"/>
                      <w:sz w:val="24"/>
                      <w:szCs w:val="24"/>
                      <w:lang w:bidi="ar"/>
                    </w:rPr>
                    <w:t xml:space="preserve">不含船闸</w:t>
                  </w:r>
                  <w:r>
                    <w:rPr>
                      <w:rFonts w:ascii="Times New Roman" w:hAnsi="Times New Roman"/>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3</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十一圩江边枢纽</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每季度</w:t>
                  </w:r>
                  <w:r>
                    <w:rPr>
                      <w:rFonts w:ascii="Times New Roman" w:hAnsi="Times New Roman"/>
                      <w:sz w:val="24"/>
                      <w:szCs w:val="24"/>
                    </w:rPr>
                    <w:t xml:space="preserve">1次</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汛前汛后各1次</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926"/>
                    <w:spacing w:line="440" w:lineRule="exact"/>
                    <w:rPr>
                      <w:rFonts w:ascii="Times New Roman" w:hAnsi="Times New Roman"/>
                      <w:sz w:val="24"/>
                      <w:szCs w:val="24"/>
                    </w:rPr>
                  </w:pPr>
                  <w:r>
                    <w:rPr>
                      <w:rFonts w:ascii="Times New Roman" w:hAnsi="Times New Roman"/>
                      <w:sz w:val="24"/>
                      <w:szCs w:val="24"/>
                      <w:lang w:bidi="ar"/>
                    </w:rPr>
                    <w:t xml:space="preserve">不含船闸</w:t>
                  </w:r>
                  <w:r>
                    <w:rPr>
                      <w:rFonts w:ascii="Times New Roman" w:hAnsi="Times New Roman"/>
                      <w:sz w:val="24"/>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4</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太字圩港泵闸站</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每季度</w:t>
                  </w:r>
                  <w:r>
                    <w:rPr>
                      <w:rFonts w:ascii="Times New Roman" w:hAnsi="Times New Roman"/>
                      <w:sz w:val="24"/>
                      <w:szCs w:val="24"/>
                    </w:rPr>
                    <w:t xml:space="preserve">1次</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tcPr>
                <w:p>
                  <w:pPr>
                    <w:pStyle w:val="926"/>
                    <w:spacing w:line="440" w:lineRule="exact"/>
                    <w:rPr>
                      <w:rFonts w:ascii="Times New Roman" w:hAnsi="Times New Roman"/>
                      <w:sz w:val="24"/>
                      <w:szCs w:val="24"/>
                    </w:rPr>
                  </w:pPr>
                  <w:r>
                    <w:rPr>
                      <w:rFonts w:ascii="Times New Roman" w:hAnsi="Times New Roman"/>
                      <w:sz w:val="24"/>
                      <w:szCs w:val="24"/>
                      <w:lang w:bidi="ar"/>
                    </w:rPr>
                    <w:t xml:space="preserve">汛前汛后各1次</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926"/>
                    <w:spacing w:line="440" w:lineRule="exact"/>
                    <w:rPr>
                      <w:rFonts w:ascii="Times New Roman" w:hAnsi="Times New Roman"/>
                      <w:sz w:val="24"/>
                      <w:szCs w:val="24"/>
                    </w:rPr>
                  </w:pPr>
                  <w:r>
                    <w:rPr>
                      <w:rFonts w:ascii="Times New Roman" w:hAnsi="Times New Roman"/>
                      <w:sz w:val="24"/>
                      <w:szCs w:val="24"/>
                    </w:rPr>
                  </w:r>
                  <w:r/>
                </w:p>
              </w:tc>
            </w:tr>
          </w:tbl>
          <w:p>
            <w:pPr>
              <w:pStyle w:val="926"/>
              <w:spacing w:line="440" w:lineRule="exact"/>
              <w:rPr>
                <w:rFonts w:ascii="Times New Roman" w:hAnsi="Times New Roman"/>
                <w:sz w:val="24"/>
                <w:szCs w:val="24"/>
                <w:shd w:val="clear" w:color="auto" w:fill="ffffff"/>
              </w:rPr>
            </w:pPr>
            <w:r>
              <w:rPr>
                <w:rFonts w:ascii="Times New Roman" w:hAnsi="Times New Roman"/>
                <w:sz w:val="24"/>
                <w:szCs w:val="24"/>
              </w:rPr>
              <w:t xml:space="preserve">备注：观测项目每年2</w:t>
            </w:r>
            <w:r>
              <w:rPr>
                <w:rFonts w:hint="eastAsia" w:ascii="Times New Roman" w:hAnsi="Times New Roman"/>
                <w:sz w:val="24"/>
                <w:szCs w:val="24"/>
                <w:lang w:eastAsia="zh-CN"/>
              </w:rPr>
              <w:t xml:space="preserve">次</w:t>
            </w:r>
            <w:r>
              <w:rPr>
                <w:rFonts w:ascii="Times New Roman" w:hAnsi="Times New Roman"/>
                <w:sz w:val="24"/>
                <w:szCs w:val="24"/>
              </w:rPr>
              <w:t xml:space="preserve">，4月底完成汛前测量，次月并形成报告，10月底完成汛后测量，次月并形成报告。新建闸站垂直位移观测原则上按照3月份、6月份、9月份、12月份当月完成测量，次月并形成报告，可结合现场工程建设移交观测日期对观测时间进行相应调整。</w:t>
            </w:r>
            <w:r>
              <w:rPr>
                <w:rFonts w:ascii="Times New Roman" w:hAnsi="Times New Roman"/>
                <w:sz w:val="24"/>
                <w:szCs w:val="24"/>
                <w:shd w:val="clear" w:color="auto" w:fill="ffffff"/>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991"/>
              <w:jc w:val="both"/>
              <w:spacing w:before="0" w:beforeAutospacing="0" w:after="0" w:afterAutospacing="0" w:line="440" w:lineRule="exact"/>
              <w:rPr>
                <w:rFonts w:ascii="Times New Roman" w:hAnsi="Times New Roman"/>
              </w:rPr>
            </w:pPr>
            <w:r>
              <w:rPr>
                <w:rFonts w:ascii="Times New Roman" w:hAnsi="Times New Roman"/>
              </w:rPr>
              <w:t xml:space="preserve">2.3.6 安全管理</w:t>
            </w:r>
            <w:r>
              <w:rPr>
                <w:rFonts w:ascii="Times New Roman" w:hAnsi="Times New Roman"/>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1）安全管理应符合水利部标准化管理和安全生产标准化的考核要求，建立健全安全生产责任制、工程运行、安全检查、维修养护、隐患排查、防火、安全用电等方面的安全管理制度及登记建档制度，制定各类事故应急预案、抢险预案及措施。按照有关规定对管理范围内生产、生活设施进行安全管理。指导并协助采购方的安全生产标准化建设，建立健全安全生产管理体系。</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2）健全安全管理制度体系、并按照各项安全管理执行、落实，明确岗位责任。建立事故报告和应急响应机制。明确各项应急预案、抢险预案岗位责任，落实各项措施。每年开展不少于一次的汛前防汛演练，汛期汛后消防安全演练。</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（3）按照安全生产标准化的要求做好危险源的识别及动态管理、隐患排查治理，落实管控措施，做好安全检查及隐患排查（每月不少于一次）。</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4）对发现的安全隐患及时采取必要处置，并立即上报采购人，做好相应工程安全检查、隐患排查等台账记录。突发事件后应启动应急措施，及时恢复工程正常运行，未果断采取应急措施造成的损失由中标人赔偿。</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（5）定期做好闸站内消防设备、安全用具、专用工具的清点、登记、检查并落实防火、防爆、防暑等措施。发现不符合使用条件的设备用具及时通知采购人更换。</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（6）指导协助采购人进行工程管理范围划定，界桩和公告牌布置，对工程及管理范围、保护范围进行管理和巡查。发现违章行为采取有效措施予以制止并及时上报。</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（7）按照规定开展定期检查、专项检查、安全检查、机电设备及建筑物等级评定工作，并形成安全检查和评定报告。</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（8）指导协助采购人进行相关防汛管理，建立防汛体系，防汛组织机构，防汛责任。</w:t>
            </w:r>
            <w:r>
              <w:rPr>
                <w:rFonts w:ascii="Times New Roman" w:hAnsi="Times New Roman"/>
                <w:shd w:val="clear" w:color="auto" w:fill="ffffff"/>
              </w:rPr>
            </w:r>
            <w:r/>
          </w:p>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（9）未经采购人同意，不得在远动设备及可能影响其运行的二次回路上工作和操作。</w:t>
            </w:r>
            <w:r>
              <w:rPr>
                <w:rFonts w:ascii="Times New Roman" w:hAnsi="Times New Roman"/>
                <w:shd w:val="clear" w:color="auto" w:fill="ffffff"/>
              </w:rPr>
            </w:r>
            <w:r/>
          </w:p>
          <w:p>
            <w:pPr>
              <w:pStyle w:val="1292"/>
              <w:spacing w:line="440" w:lineRule="exact"/>
              <w:rPr>
                <w:rFonts w:eastAsia="宋体"/>
                <w:shd w:val="clear" w:color="auto" w:fill="ffffff"/>
                <w:lang w:val="en-US" w:eastAsia="zh-CN"/>
              </w:rPr>
            </w:pPr>
            <w:r>
              <w:rPr>
                <w:rFonts w:eastAsia="宋体"/>
                <w:shd w:val="clear" w:color="auto" w:fill="ffffff"/>
              </w:rPr>
              <w:t xml:space="preserve">（</w:t>
            </w:r>
            <w:r>
              <w:rPr>
                <w:rFonts w:eastAsia="宋体"/>
                <w:shd w:val="clear" w:color="auto" w:fill="ffffff"/>
                <w:lang w:val="en-US" w:eastAsia="zh-CN"/>
              </w:rPr>
              <w:t xml:space="preserve">10</w:t>
            </w:r>
            <w:r>
              <w:rPr>
                <w:rFonts w:eastAsia="宋体"/>
                <w:shd w:val="clear" w:color="auto" w:fill="ffffff"/>
              </w:rPr>
              <w:t xml:space="preserve">）使用闸站自动化控制系统应按照设置的安全级口令进行，不能越权操作。不能擅自安装软件或擅自进入外网。历史数据应定期备份并存档。</w:t>
            </w:r>
            <w:r>
              <w:rPr>
                <w:rFonts w:eastAsia="宋体"/>
                <w:shd w:val="clear" w:color="auto" w:fill="ffffff"/>
                <w:lang w:val="en-US" w:eastAsia="zh-CN"/>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991"/>
              <w:spacing w:before="0" w:beforeAutospacing="0" w:after="0" w:afterAutospacing="0" w:line="440" w:lineRule="exact"/>
              <w:rPr>
                <w:rFonts w:ascii="Times New Roman" w:hAnsi="Times New Roman"/>
              </w:rPr>
            </w:pPr>
            <w:r>
              <w:rPr>
                <w:rFonts w:ascii="Times New Roman" w:hAnsi="Times New Roman"/>
              </w:rPr>
              <w:t xml:space="preserve">2.3.7 技术指导</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2.3.7.1 培训及技术指导</w:t>
            </w:r>
            <w:r>
              <w:rPr>
                <w:rFonts w:ascii="Times New Roman" w:hAnsi="Times New Roman"/>
              </w:rPr>
            </w:r>
            <w:r/>
          </w:p>
          <w:p>
            <w:pPr>
              <w:pStyle w:val="991"/>
              <w:spacing w:before="0" w:beforeAutospacing="0" w:after="0" w:afterAutospacing="0" w:line="440" w:lineRule="exact"/>
              <w:rPr>
                <w:rFonts w:ascii="Times New Roman" w:hAnsi="Times New Roman"/>
                <w:szCs w:val="24"/>
                <w:shd w:val="clear" w:color="auto" w:fill="ffffff"/>
              </w:rPr>
            </w:pPr>
            <w:r>
              <w:rPr>
                <w:rFonts w:ascii="Times New Roman" w:hAnsi="Times New Roman"/>
                <w:szCs w:val="24"/>
              </w:rPr>
              <w:t xml:space="preserve">（1）</w:t>
            </w:r>
            <w:r>
              <w:rPr>
                <w:rFonts w:ascii="Times New Roman" w:hAnsi="Times New Roman"/>
                <w:szCs w:val="24"/>
                <w:shd w:val="clear" w:color="auto" w:fill="ffffff"/>
              </w:rPr>
              <w:t xml:space="preserve">每年提供不少于一次运行安全和运行管理知识的公开培训课，培训内容满足采购人需求。负责对采购人派出的参与管理人员培养，根据采购人需求制定培养计划和内容，编制业务理论考试和实践考试内容进行考核，协同做好枢纽工程运行管理及达标创建等工作。</w:t>
            </w:r>
            <w:r>
              <w:rPr>
                <w:rFonts w:ascii="Times New Roman" w:hAnsi="Times New Roman"/>
                <w:szCs w:val="24"/>
                <w:shd w:val="clear" w:color="auto" w:fill="ffffff"/>
              </w:rPr>
            </w:r>
            <w:r/>
          </w:p>
          <w:p>
            <w:pPr>
              <w:pStyle w:val="991"/>
              <w:spacing w:before="0" w:beforeAutospacing="0" w:after="0" w:afterAutospacing="0" w:line="440" w:lineRule="exact"/>
              <w:rPr>
                <w:rFonts w:ascii="Times New Roman" w:hAnsi="Times New Roman"/>
                <w:szCs w:val="24"/>
                <w:shd w:val="clear" w:color="auto" w:fill="ffffff"/>
              </w:rPr>
            </w:pPr>
            <w:r>
              <w:rPr>
                <w:rFonts w:ascii="Times New Roman" w:hAnsi="Times New Roman"/>
                <w:szCs w:val="21"/>
              </w:rPr>
              <w:t xml:space="preserve">（2）</w:t>
            </w:r>
            <w:r>
              <w:rPr>
                <w:rFonts w:ascii="Times New Roman" w:hAnsi="Times New Roman"/>
                <w:szCs w:val="24"/>
                <w:shd w:val="clear" w:color="auto" w:fill="ffffff"/>
              </w:rPr>
              <w:t xml:space="preserve">担任泵站及水闸技术培训的授课人员应为中标人技术骨干，具有高级工程师或技师以上职称，有授课经验。担任泵站技术指导的专家应担任过大型泵站技术负责人，具有较高或高级技师以上职称，熟悉泵站技术管理，具备指导泵站大修的经验和能力。</w:t>
            </w:r>
            <w:r>
              <w:rPr>
                <w:rFonts w:ascii="Times New Roman" w:hAnsi="Times New Roman"/>
                <w:szCs w:val="24"/>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zCs w:val="21"/>
              </w:rPr>
              <w:t xml:space="preserve">（3）</w:t>
            </w:r>
            <w:r>
              <w:rPr>
                <w:rFonts w:ascii="Times New Roman" w:hAnsi="Times New Roman"/>
                <w:shd w:val="clear" w:color="auto" w:fill="ffffff"/>
              </w:rPr>
              <w:t xml:space="preserve">提供泵站及水闸工程技术指导。针对每次考核后专家组提出的存在问题进行业务指导进行整改及回复。针对上级来文中涉及闸站运行及技术方面的内容进行指导回复，必要时编辑相关回复内容。根据采购人要求，在24小时内派专家至现场闸站对设备检修、运行故障等提供技术指导，提供有效的评估、建议或维修方案。</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rPr>
            </w:pPr>
            <w:r>
              <w:rPr>
                <w:rFonts w:ascii="Times New Roman" w:hAnsi="Times New Roman"/>
              </w:rPr>
              <w:t xml:space="preserve">2.3.7.2 标准化达标评审</w:t>
            </w:r>
            <w:r>
              <w:rPr>
                <w:rFonts w:ascii="Times New Roman" w:hAnsi="Times New Roman"/>
              </w:rPr>
            </w:r>
            <w:r/>
          </w:p>
          <w:p>
            <w:pPr>
              <w:pStyle w:val="1292"/>
              <w:spacing w:line="440" w:lineRule="exact"/>
              <w:rPr>
                <w:rFonts w:eastAsia="宋体"/>
                <w:shd w:val="clear" w:color="auto" w:fill="ffffff"/>
              </w:rPr>
            </w:pPr>
            <w:r>
              <w:rPr>
                <w:rFonts w:eastAsia="宋体"/>
                <w:shd w:val="clear" w:color="auto" w:fill="ffffff"/>
              </w:rPr>
              <w:t xml:space="preserve">（1）按照水利部《关于推进水利工程标准化管理的指导意见》《水利工程标准化管理评价办法》及其评价标准、水利部办公厅关于做好大中型灌区、灌排泵站标准化管理评价工作的通知要求，对张家港市长江防洪工程管理处下辖的太字圩港闸站、四干河江边枢纽、十一圩江边枢纽、走马塘江边枢纽四个大中型闸站工程的水闸和泵站</w:t>
            </w:r>
            <w:r>
              <w:rPr>
                <w:rFonts w:eastAsia="宋体"/>
                <w:shd w:val="clear" w:color="auto" w:fill="ffffff"/>
                <w:lang w:val="en-US" w:eastAsia="zh-CN"/>
              </w:rPr>
              <w:t xml:space="preserve">进行运行管理，并根据采购人计划完成达标创建工作</w:t>
            </w:r>
            <w:r>
              <w:rPr>
                <w:rFonts w:eastAsia="宋体"/>
                <w:shd w:val="clear" w:color="auto" w:fill="ffffff"/>
              </w:rPr>
              <w:t xml:space="preserve">。</w:t>
            </w:r>
            <w:r>
              <w:rPr>
                <w:rFonts w:eastAsia="宋体"/>
                <w:shd w:val="clear" w:color="auto" w:fill="ffffff"/>
              </w:rPr>
            </w:r>
            <w:r/>
          </w:p>
          <w:p>
            <w:pPr>
              <w:pStyle w:val="1292"/>
              <w:spacing w:line="440" w:lineRule="exact"/>
              <w:rPr>
                <w:rFonts w:eastAsia="宋体"/>
                <w:shd w:val="clear" w:color="auto" w:fill="ffffff"/>
                <w:lang w:val="en-US" w:eastAsia="zh-CN"/>
              </w:rPr>
            </w:pPr>
            <w:r>
              <w:rPr>
                <w:rFonts w:eastAsia="宋体"/>
                <w:shd w:val="clear" w:color="auto" w:fill="ffffff"/>
              </w:rPr>
              <w:t xml:space="preserve">（2）</w:t>
            </w:r>
            <w:r>
              <w:rPr>
                <w:rFonts w:eastAsia="宋体"/>
                <w:shd w:val="clear" w:color="auto" w:fill="ffffff"/>
                <w:lang w:val="en-US" w:eastAsia="zh-CN"/>
              </w:rPr>
              <w:t xml:space="preserve">按照省水利厅发布的《江苏省水利工程精细化管理评价办法》通知的要求，对十字港闸、段山港节制闸、太字圩港闸站、张家港节制闸、双山南泵枢纽-泵站等中型闸站工程开展省精细化评审工作进行业务指导，形成满足江苏省水利厅</w:t>
            </w:r>
            <w:r>
              <w:rPr>
                <w:rFonts w:eastAsia="宋体"/>
                <w:shd w:val="clear" w:color="auto" w:fill="ffffff"/>
              </w:rPr>
              <w:t xml:space="preserve">水利工程</w:t>
            </w:r>
            <w:r>
              <w:rPr>
                <w:rFonts w:eastAsia="宋体"/>
                <w:shd w:val="clear" w:color="auto" w:fill="ffffff"/>
                <w:lang w:val="en-US" w:eastAsia="zh-CN"/>
              </w:rPr>
              <w:t xml:space="preserve">精细化一级管理评审验收要求的技术资料。</w:t>
            </w:r>
            <w:r>
              <w:rPr>
                <w:rFonts w:eastAsia="宋体"/>
                <w:shd w:val="clear" w:color="auto" w:fill="ffffff"/>
                <w:lang w:val="en-US" w:eastAsia="zh-CN"/>
              </w:rPr>
            </w:r>
            <w:r/>
          </w:p>
          <w:p>
            <w:pPr>
              <w:pStyle w:val="1292"/>
              <w:spacing w:line="440" w:lineRule="exact"/>
              <w:rPr>
                <w:rFonts w:eastAsia="宋体"/>
                <w:shd w:val="clear" w:color="auto" w:fill="ffffff"/>
                <w:lang w:val="en-US" w:eastAsia="zh-CN"/>
              </w:rPr>
            </w:pPr>
            <w:r>
              <w:rPr>
                <w:rFonts w:eastAsia="宋体"/>
                <w:shd w:val="clear" w:color="auto" w:fill="ffffff"/>
                <w:lang w:eastAsia="zh-CN"/>
              </w:rPr>
              <w:t xml:space="preserve">（</w:t>
            </w:r>
            <w:r>
              <w:rPr>
                <w:rFonts w:eastAsia="宋体"/>
                <w:shd w:val="clear" w:color="auto" w:fill="ffffff"/>
                <w:lang w:val="en-US" w:eastAsia="zh-CN"/>
              </w:rPr>
              <w:t xml:space="preserve">3</w:t>
            </w:r>
            <w:r>
              <w:rPr>
                <w:rFonts w:eastAsia="宋体"/>
                <w:shd w:val="clear" w:color="auto" w:fill="ffffff"/>
                <w:lang w:eastAsia="zh-CN"/>
              </w:rPr>
              <w:t xml:space="preserve">）</w:t>
            </w:r>
            <w:r>
              <w:rPr>
                <w:rFonts w:eastAsia="宋体"/>
                <w:shd w:val="clear" w:color="auto" w:fill="ffffff"/>
                <w:lang w:val="en-US" w:eastAsia="zh-CN"/>
              </w:rPr>
              <w:t xml:space="preserve">中标后，</w:t>
            </w:r>
            <w:r>
              <w:rPr>
                <w:rFonts w:eastAsia="宋体"/>
              </w:rPr>
              <w:t xml:space="preserve">成立</w:t>
            </w:r>
            <w:r>
              <w:rPr>
                <w:rFonts w:eastAsia="宋体"/>
                <w:lang w:val="en-US" w:eastAsia="zh-CN"/>
              </w:rPr>
              <w:t xml:space="preserve">达标</w:t>
            </w:r>
            <w:r>
              <w:rPr>
                <w:rFonts w:eastAsia="宋体"/>
                <w:shd w:val="clear" w:color="auto" w:fill="ffffff"/>
                <w:lang w:val="en-US" w:eastAsia="zh-CN"/>
              </w:rPr>
              <w:t xml:space="preserve">创建任务项目组，制定对上述工程达标创建任务详细的实施计划，</w:t>
            </w:r>
            <w:r>
              <w:rPr>
                <w:rFonts w:eastAsia="宋体"/>
              </w:rPr>
              <w:t xml:space="preserve">确保</w:t>
            </w:r>
            <w:r>
              <w:rPr>
                <w:rFonts w:eastAsia="宋体"/>
                <w:lang w:val="en-US" w:eastAsia="zh-CN"/>
              </w:rPr>
              <w:t xml:space="preserve">达标创建</w:t>
            </w:r>
            <w:r>
              <w:rPr>
                <w:rFonts w:eastAsia="宋体"/>
              </w:rPr>
              <w:t xml:space="preserve">工作有序进行</w:t>
            </w:r>
            <w:r>
              <w:rPr>
                <w:rFonts w:eastAsia="宋体"/>
                <w:lang w:eastAsia="zh-CN"/>
              </w:rPr>
              <w:t xml:space="preserve">，</w:t>
            </w:r>
            <w:r>
              <w:rPr>
                <w:rFonts w:eastAsia="宋体"/>
              </w:rPr>
              <w:t xml:space="preserve">明确各项任务及责任人</w:t>
            </w:r>
            <w:r>
              <w:rPr>
                <w:rFonts w:eastAsia="宋体"/>
                <w:lang w:eastAsia="zh-CN"/>
              </w:rPr>
              <w:t xml:space="preserve">。</w:t>
            </w:r>
            <w:r>
              <w:rPr>
                <w:rFonts w:eastAsia="宋体"/>
              </w:rPr>
              <w:t xml:space="preserve">迎检前进行自查自纠，确保各项工作准备就绪。迎接检查，展示闸站运行成果。</w:t>
            </w:r>
            <w:r>
              <w:rPr>
                <w:rFonts w:eastAsia="宋体"/>
                <w:shd w:val="clear" w:color="auto" w:fill="ffffff"/>
                <w:lang w:val="en-US" w:eastAsia="zh-CN"/>
              </w:rPr>
              <w:t xml:space="preserve">建立迎检工作考核机制，对迎检工作进行定期评估。加强与各部门的沟通协调，确保迎检工作顺利进行。建立问题反馈机制，对迎检过程中发现的问题及时进行处理。加强迎检工作的宣传报道，提高公众对泵闸站运行项目的关注度和认同感。</w:t>
            </w:r>
            <w:r>
              <w:rPr>
                <w:rFonts w:eastAsia="宋体"/>
                <w:shd w:val="clear" w:color="auto" w:fill="ffffff"/>
                <w:lang w:val="en-US" w:eastAsia="zh-CN"/>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991"/>
              <w:spacing w:before="0" w:beforeAutospacing="0" w:after="0" w:afterAutospacing="0" w:line="440" w:lineRule="exact"/>
              <w:rPr>
                <w:rFonts w:ascii="Times New Roman" w:hAnsi="Times New Roman"/>
              </w:rPr>
            </w:pPr>
            <w:r>
              <w:rPr>
                <w:rFonts w:ascii="Times New Roman" w:hAnsi="Times New Roman"/>
              </w:rPr>
              <w:t xml:space="preserve">2.3.8 </w:t>
            </w:r>
            <w:r>
              <w:rPr>
                <w:rFonts w:ascii="Times New Roman" w:hAnsi="Times New Roman"/>
                <w:shd w:val="clear" w:color="auto" w:fill="ffffff"/>
              </w:rPr>
              <w:t xml:space="preserve">资料编制、收集和管理要求</w:t>
            </w:r>
            <w:r>
              <w:rPr>
                <w:rFonts w:ascii="Times New Roman" w:hAnsi="Times New Roman"/>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1）调度指令、工程运行、主机组、电气设备、辅机等运行资料记录齐全，各类检查资料齐全，表式应符合水利部水利工程管理考核要求，分期、分类整理，按照采购人要求移交给采购人档案管理人员。如需现场保存的现场及时收集整理好。</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2）根据有关部、省规程和办法，结合工程具体情况，更新完善闸站技术管理实施细则、《泵站安全操作规程》《泵站运行规程》和运行管理工作手册、操作规程、泵站设备管理工作手册、建筑物管理工作手册、工程技术档案管理手册、泵站工程检查、观测管理工作手册、泵站工程维修检修管理工作手册、闸站运行管理类制度、标准化工作手册等，满足水利部水利工程管理考核要求。并按照相关规程、制度、手册进行管理执行。编制建筑物超设计标准运用时应急预案，如需经过技术论证进行论证。</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3）每月25日前，向采购人提交当月《管理月报》，主要内容至少包含工程大事记、工程运行情况及工程运行统计、重要管理活动、人员出勤考核情况、工程检查情况、安全检查情况、隐患排查情况、建议中标人注意的事项。</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（4）进行建筑物完好率、设备完好率、泵站效率、能源单耗、安全运行率、供排水成本、供排水量、财务收支平衡率指标考核测算，并对采购人进行指导。</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（5）每年的12月10日前完成并提交年度管理总结，内容至少包含工程运行管理情况综述、履行管理合同情况、工程技术管理总结、工程运行管理总结、工程存在问题、建议和意见。 </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（6）按照采购人要求及时报送各类报告、报表，提供相关信息</w:t>
            </w:r>
            <w:r>
              <w:rPr>
                <w:rFonts w:ascii="Times New Roman" w:hAnsi="Times New Roman"/>
                <w:shd w:val="clear" w:color="auto" w:fill="ffffff"/>
              </w:rPr>
            </w:r>
            <w:r/>
          </w:p>
          <w:p>
            <w:pPr>
              <w:pStyle w:val="1292"/>
              <w:spacing w:line="440" w:lineRule="exact"/>
              <w:rPr>
                <w:rFonts w:eastAsia="宋体"/>
                <w:shd w:val="clear" w:color="auto" w:fill="ffffff"/>
                <w:lang w:val="en-US" w:eastAsia="zh-CN"/>
              </w:rPr>
            </w:pPr>
            <w:r>
              <w:rPr>
                <w:rFonts w:eastAsia="宋体"/>
                <w:shd w:val="clear" w:color="auto" w:fill="ffffff"/>
              </w:rPr>
              <w:t xml:space="preserve">（</w:t>
            </w:r>
            <w:r>
              <w:rPr>
                <w:rFonts w:eastAsia="宋体"/>
                <w:shd w:val="clear" w:color="auto" w:fill="ffffff"/>
                <w:lang w:val="en-US" w:eastAsia="zh-CN"/>
              </w:rPr>
              <w:t xml:space="preserve">7</w:t>
            </w:r>
            <w:r>
              <w:rPr>
                <w:rFonts w:eastAsia="宋体"/>
                <w:shd w:val="clear" w:color="auto" w:fill="ffffff"/>
              </w:rPr>
              <w:t xml:space="preserve">）服务期结束后，必须将全部资料移交采购人。</w:t>
            </w:r>
            <w:r>
              <w:rPr>
                <w:rFonts w:eastAsia="宋体"/>
                <w:shd w:val="clear" w:color="auto" w:fill="ffffff"/>
                <w:lang w:val="en-US" w:eastAsia="zh-CN"/>
              </w:rPr>
            </w:r>
            <w:r/>
          </w:p>
        </w:tc>
      </w:tr>
      <w:tr>
        <w:trPr/>
        <w:tc>
          <w:tcPr>
            <w:tcMar>
              <w:left w:w="108" w:type="dxa"/>
              <w:top w:w="100" w:type="dxa"/>
              <w:right w:w="108" w:type="dxa"/>
              <w:bottom w:w="100" w:type="dxa"/>
            </w:tcMar>
            <w:tcW w:w="429" w:type="dxa"/>
            <w:vAlign w:val="center"/>
            <w:vMerge w:val="restart"/>
            <w:textDirection w:val="lrTb"/>
            <w:noWrap w:val="false"/>
          </w:tcPr>
          <w:p>
            <w:pPr>
              <w:pStyle w:val="1292"/>
              <w:jc w:val="center"/>
              <w:spacing w:line="440" w:lineRule="exact"/>
              <w:rPr>
                <w:rFonts w:eastAsia="宋体"/>
                <w:lang w:eastAsia="zh-CN"/>
              </w:rPr>
            </w:pPr>
            <w:r>
              <w:rPr>
                <w:rFonts w:eastAsia="宋体"/>
                <w:lang w:eastAsia="zh-CN"/>
              </w:rPr>
              <w:t xml:space="preserve">3</w:t>
            </w:r>
            <w:r>
              <w:rPr>
                <w:rFonts w:eastAsia="宋体"/>
                <w:lang w:eastAsia="zh-CN"/>
              </w:rPr>
            </w:r>
            <w:r/>
          </w:p>
        </w:tc>
        <w:tc>
          <w:tcPr>
            <w:tcMar>
              <w:left w:w="108" w:type="dxa"/>
              <w:top w:w="100" w:type="dxa"/>
              <w:right w:w="108" w:type="dxa"/>
              <w:bottom w:w="100" w:type="dxa"/>
            </w:tcMar>
            <w:tcW w:w="429" w:type="dxa"/>
            <w:vAlign w:val="center"/>
            <w:vMerge w:val="restart"/>
            <w:textDirection w:val="lrTb"/>
            <w:noWrap w:val="false"/>
          </w:tcPr>
          <w:p>
            <w:pPr>
              <w:pStyle w:val="1292"/>
              <w:spacing w:line="440" w:lineRule="exact"/>
              <w:rPr>
                <w:rFonts w:eastAsia="宋体"/>
              </w:rPr>
            </w:pPr>
            <w:r>
              <w:rPr>
                <w:rFonts w:eastAsia="宋体"/>
              </w:rPr>
              <w:t xml:space="preserve">人员要求</w:t>
            </w:r>
            <w:r>
              <w:rPr>
                <w:rFonts w:eastAsia="宋体"/>
              </w:rPr>
            </w:r>
            <w:r/>
          </w:p>
        </w:tc>
        <w:tc>
          <w:tcPr>
            <w:tcMar>
              <w:left w:w="108" w:type="dxa"/>
              <w:top w:w="100" w:type="dxa"/>
              <w:right w:w="108" w:type="dxa"/>
              <w:bottom w:w="100" w:type="dxa"/>
            </w:tcMar>
            <w:tcW w:w="7890" w:type="dxa"/>
            <w:vAlign w:val="center"/>
            <w:textDirection w:val="lrTb"/>
            <w:noWrap w:val="false"/>
          </w:tcPr>
          <w:p>
            <w:pPr>
              <w:pStyle w:val="991"/>
              <w:spacing w:before="0" w:beforeAutospacing="0" w:after="0" w:afterAutospacing="0" w:line="440" w:lineRule="exact"/>
              <w:rPr>
                <w:rFonts w:ascii="Times New Roman" w:hAnsi="Times New Roman"/>
              </w:rPr>
            </w:pPr>
            <w:r>
              <w:rPr>
                <w:rFonts w:ascii="Times New Roman" w:hAnsi="Times New Roman"/>
              </w:rPr>
              <w:t xml:space="preserve">3.1 人员要求</w:t>
            </w:r>
            <w:r>
              <w:rPr>
                <w:rFonts w:ascii="Times New Roman" w:hAnsi="Times New Roman"/>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991"/>
              <w:jc w:val="both"/>
              <w:spacing w:before="0" w:beforeAutospacing="0" w:after="0" w:afterAutospacing="0" w:line="440" w:lineRule="exact"/>
              <w:rPr>
                <w:rFonts w:ascii="Times New Roman" w:hAnsi="Times New Roman"/>
                <w:i/>
                <w:iCs/>
                <w:u w:val="single"/>
                <w:shd w:val="clear" w:color="auto" w:fill="ffffff"/>
              </w:rPr>
            </w:pPr>
            <w:r>
              <w:rPr>
                <w:rFonts w:ascii="Times New Roman" w:hAnsi="Times New Roman"/>
                <w:i/>
                <w:iCs/>
                <w:u w:val="single"/>
                <w:shd w:val="clear" w:color="auto" w:fill="ffffff"/>
              </w:rPr>
              <w:t xml:space="preserve">（1）本项目运行人员共设12人，闸站运行期间人员不少于3人，非运行期间不少于2人。其中项目负责人1名、</w:t>
            </w:r>
            <w:r>
              <w:rPr>
                <w:rFonts w:ascii="Times New Roman" w:hAnsi="Times New Roman"/>
                <w:i/>
                <w:iCs/>
                <w:szCs w:val="24"/>
                <w:u w:val="single"/>
              </w:rPr>
              <w:t xml:space="preserve">专职</w:t>
            </w:r>
            <w:r>
              <w:rPr>
                <w:rFonts w:ascii="Times New Roman" w:hAnsi="Times New Roman"/>
                <w:i/>
                <w:iCs/>
                <w:u w:val="single"/>
                <w:shd w:val="clear" w:color="auto" w:fill="ffffff"/>
              </w:rPr>
              <w:t xml:space="preserve">技术负责人1名、运行值班长4人、运行值班员6人。</w:t>
            </w:r>
            <w:r>
              <w:rPr>
                <w:rFonts w:ascii="Times New Roman" w:hAnsi="Times New Roman"/>
                <w:i/>
                <w:iCs/>
                <w:u w:val="single"/>
                <w:shd w:val="clear" w:color="auto" w:fill="ffffff"/>
              </w:rPr>
            </w:r>
            <w:r/>
          </w:p>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（2）运行班员及班长应具备泵站运行中级工及以上职称， 4人以上具有高压电工证或低压电工证，1人以上持桥式起重机作业证（如有）。</w:t>
            </w:r>
            <w:r>
              <w:rPr>
                <w:rFonts w:ascii="Times New Roman" w:hAnsi="Times New Roman"/>
                <w:shd w:val="clear" w:color="auto" w:fill="ffffff"/>
              </w:rPr>
            </w:r>
            <w:r/>
          </w:p>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（3）投标人投入本项目的成员中具有</w:t>
            </w:r>
            <w:r>
              <w:rPr>
                <w:rFonts w:ascii="Times New Roman" w:hAnsi="Times New Roman"/>
                <w:spacing w:val="7"/>
              </w:rPr>
              <w:t xml:space="preserve">自动化专业人员（如有）。</w:t>
            </w:r>
            <w:r>
              <w:rPr>
                <w:rFonts w:ascii="Times New Roman" w:hAnsi="Times New Roman"/>
                <w:shd w:val="clear" w:color="auto" w:fill="ffffff"/>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lang w:eastAsia="zh-CN"/>
              </w:rPr>
            </w:pPr>
            <w:r>
              <w:rPr>
                <w:rFonts w:eastAsia="宋体"/>
                <w:lang w:eastAsia="zh-CN"/>
              </w:rPr>
              <w:t xml:space="preserve">3.2 </w:t>
            </w:r>
            <w:r>
              <w:rPr>
                <w:rFonts w:eastAsia="宋体"/>
                <w:shd w:val="clear" w:color="auto" w:fill="ffffff"/>
              </w:rPr>
              <w:t xml:space="preserve">岗位职责</w:t>
            </w:r>
            <w:r>
              <w:rPr>
                <w:rFonts w:eastAsia="宋体"/>
                <w:lang w:eastAsia="zh-CN"/>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（1）项目负责人</w:t>
            </w:r>
            <w:r>
              <w:rPr>
                <w:rFonts w:ascii="Times New Roman" w:hAnsi="Times New Roman"/>
                <w:shd w:val="clear" w:color="auto" w:fill="ffffff"/>
              </w:rPr>
            </w:r>
            <w:r/>
          </w:p>
          <w:p>
            <w:pPr>
              <w:pStyle w:val="991"/>
              <w:jc w:val="both"/>
              <w:spacing w:before="0" w:beforeAutospacing="0" w:after="0" w:afterAutospacing="0" w:line="440" w:lineRule="exact"/>
              <w:rPr>
                <w:rFonts w:ascii="Times New Roman" w:hAnsi="Times New Roman"/>
                <w:szCs w:val="24"/>
                <w:shd w:val="clear" w:color="auto" w:fill="ffffff"/>
              </w:rPr>
            </w:pPr>
            <w:r>
              <w:rPr>
                <w:rFonts w:ascii="Times New Roman" w:hAnsi="Times New Roman"/>
                <w:szCs w:val="24"/>
                <w:shd w:val="clear" w:color="auto" w:fill="ffffff"/>
              </w:rPr>
              <w:t xml:space="preserve">35-50周岁，男，本科及以上学历，水利工程专业中级及以上工程师职称；工作职责：</w:t>
            </w:r>
            <w:r>
              <w:rPr>
                <w:rFonts w:ascii="Times New Roman" w:hAnsi="Times New Roman"/>
                <w:shd w:val="clear" w:color="auto" w:fill="ffffff"/>
              </w:rPr>
              <w:t xml:space="preserve">负责管理运行人员、分派任务；具备站闸技术管理工作能力、处理应急突发状况能力；审查工程运行、工程检查、工程评级、工程养护、金属结构机电设备维修、安全用具检测、安全管理等各类台账；汇总处理上报问题。负责对接采购单位，完成采购单位及上级主管部门安排的与站闸委托管理</w:t>
            </w:r>
            <w:r>
              <w:rPr>
                <w:rFonts w:hint="eastAsia" w:ascii="Times New Roman" w:hAnsi="Times New Roman"/>
                <w:shd w:val="clear" w:color="auto" w:fill="ffffff"/>
                <w:lang w:eastAsia="zh-CN"/>
              </w:rPr>
              <w:t xml:space="preserve">相关的其他</w:t>
            </w:r>
            <w:r>
              <w:rPr>
                <w:rFonts w:ascii="Times New Roman" w:hAnsi="Times New Roman"/>
                <w:shd w:val="clear" w:color="auto" w:fill="ffffff"/>
              </w:rPr>
              <w:t xml:space="preserve">工作。</w:t>
            </w:r>
            <w:r>
              <w:rPr>
                <w:rFonts w:ascii="Times New Roman" w:hAnsi="Times New Roman"/>
                <w:szCs w:val="24"/>
                <w:shd w:val="clear" w:color="auto" w:fill="ffffff"/>
              </w:rPr>
            </w:r>
            <w:r/>
          </w:p>
          <w:p>
            <w:pPr>
              <w:pStyle w:val="991"/>
              <w:jc w:val="both"/>
              <w:spacing w:before="0" w:beforeAutospacing="0" w:after="0" w:afterAutospacing="0" w:line="440" w:lineRule="exact"/>
              <w:rPr>
                <w:rFonts w:ascii="Times New Roman" w:hAnsi="Times New Roman"/>
                <w:szCs w:val="24"/>
                <w:shd w:val="clear" w:color="auto" w:fill="ffffff"/>
              </w:rPr>
            </w:pPr>
            <w:r>
              <w:rPr>
                <w:rFonts w:ascii="Times New Roman" w:hAnsi="Times New Roman"/>
                <w:szCs w:val="24"/>
                <w:shd w:val="clear" w:color="auto" w:fill="ffffff"/>
              </w:rPr>
              <w:t xml:space="preserve">（2）</w:t>
            </w:r>
            <w:r>
              <w:rPr>
                <w:rFonts w:ascii="Times New Roman" w:hAnsi="Times New Roman"/>
                <w:szCs w:val="24"/>
              </w:rPr>
              <w:t xml:space="preserve">专职技术负责人</w:t>
            </w:r>
            <w:r>
              <w:rPr>
                <w:rFonts w:ascii="Times New Roman" w:hAnsi="Times New Roman"/>
                <w:szCs w:val="24"/>
                <w:shd w:val="clear" w:color="auto" w:fill="ffffff"/>
              </w:rPr>
            </w:r>
            <w:r/>
          </w:p>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szCs w:val="24"/>
              </w:rPr>
              <w:t xml:space="preserve">35-58周岁，男，大专及以上学历，具有水利行业泵站运行专业或水闸运行专业技师及以上职称证书；工作职责：</w:t>
            </w:r>
            <w:r>
              <w:rPr>
                <w:rFonts w:ascii="Times New Roman" w:hAnsi="Times New Roman"/>
                <w:shd w:val="clear" w:color="auto" w:fill="ffffff"/>
              </w:rPr>
              <w:t xml:space="preserve">协助项目负责人管理运行人员、分派任务、对接采购单位；负责站闸技术管理工作；负责汇总整理工程运行、工程检查、工程评级、工程养护、金属结构机电设备维修、安全用具检测、安全管理等各类台账；汇总处理上报问题。有突发任务时，服从调配，有持续性降雨、强降雨、台风等汛情险情时，全天候配合采购单位工作。</w:t>
            </w:r>
            <w:r>
              <w:rPr>
                <w:rFonts w:ascii="Times New Roman" w:hAnsi="Times New Roman"/>
                <w:shd w:val="clear" w:color="auto" w:fill="ffffff"/>
              </w:rPr>
            </w:r>
            <w:r/>
          </w:p>
          <w:p>
            <w:pPr>
              <w:pStyle w:val="991"/>
              <w:jc w:val="both"/>
              <w:spacing w:before="0" w:beforeAutospacing="0" w:after="0" w:afterAutospacing="0" w:line="440" w:lineRule="exact"/>
              <w:rPr>
                <w:rFonts w:ascii="Times New Roman" w:hAnsi="Times New Roman"/>
                <w:szCs w:val="24"/>
              </w:rPr>
            </w:pPr>
            <w:r>
              <w:rPr>
                <w:rFonts w:ascii="Times New Roman" w:hAnsi="Times New Roman"/>
                <w:szCs w:val="24"/>
              </w:rPr>
              <w:t xml:space="preserve">（3）运行维护人员</w:t>
            </w:r>
            <w:r>
              <w:rPr>
                <w:rFonts w:ascii="Times New Roman" w:hAnsi="Times New Roman"/>
                <w:szCs w:val="24"/>
              </w:rPr>
            </w:r>
            <w:r/>
          </w:p>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szCs w:val="24"/>
              </w:rPr>
              <w:t xml:space="preserve">25-59周岁，具有水利行业泵站运行专业或水闸运行专业中级工及以上职称证书；工作职责：</w:t>
            </w:r>
            <w:r>
              <w:rPr>
                <w:rFonts w:ascii="Times New Roman" w:hAnsi="Times New Roman"/>
                <w:shd w:val="clear" w:color="auto" w:fill="ffffff"/>
              </w:rPr>
              <w:t xml:space="preserve">负责执行站闸运行调度指令，日常保洁，常规设备巡检，机电设备养护、维修，设备应急故障处理，现场台账记录，及时发现上报问题。</w:t>
            </w:r>
            <w:r>
              <w:rPr>
                <w:rFonts w:ascii="Times New Roman" w:hAnsi="Times New Roman"/>
                <w:shd w:val="clear" w:color="auto" w:fill="ffffff"/>
              </w:rPr>
            </w:r>
            <w:r/>
          </w:p>
          <w:p>
            <w:pPr>
              <w:pStyle w:val="991"/>
              <w:jc w:val="both"/>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（4）项目所有人员需购买人身保险。</w:t>
            </w:r>
            <w:r>
              <w:rPr>
                <w:rFonts w:ascii="Times New Roman" w:hAnsi="Times New Roman"/>
                <w:shd w:val="clear" w:color="auto" w:fill="ffffff"/>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lang w:eastAsia="zh-CN"/>
              </w:rPr>
            </w:pPr>
            <w:r>
              <w:rPr>
                <w:rFonts w:eastAsia="宋体"/>
                <w:lang w:eastAsia="zh-CN"/>
              </w:rPr>
              <w:t xml:space="preserve">3.3 其他要求</w:t>
            </w:r>
            <w:r>
              <w:rPr>
                <w:rFonts w:eastAsia="宋体"/>
                <w:lang w:eastAsia="zh-CN"/>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zCs w:val="24"/>
                <w:shd w:val="clear" w:color="auto" w:fill="ffffff"/>
              </w:rPr>
              <w:t xml:space="preserve">（1）</w:t>
            </w:r>
            <w:r>
              <w:rPr>
                <w:rFonts w:ascii="Times New Roman" w:hAnsi="Times New Roman"/>
                <w:shd w:val="clear" w:color="auto" w:fill="ffffff"/>
              </w:rPr>
              <w:t xml:space="preserve">按照《泵站技术管理规程》《泵站运行规程》《水闸管理技术规程》、水利部《关于推进水利工程标准化管理的指导意见》《水利工程标准化管理评价办法》及其评价标准、水利部办公厅关于做好大中型灌区、灌排泵站标准化管理评价工作的通知、《电业安全作业规程》《江苏省泵站技术管理办法》《江苏省水闸技术管理办法》《江苏省水利工程管理单位安全生产标准化评价标准》等规范规程及中标人管理制度，合理配置有丰富实践经验、满足闸站工程安全运行需要的项目负责人、技术负责人、运维人员，成立2024-2026年长防处大中型闸站标准化运管项目组。</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zCs w:val="24"/>
                <w:shd w:val="clear" w:color="auto" w:fill="ffffff"/>
              </w:rPr>
            </w:pPr>
            <w:r>
              <w:rPr>
                <w:rFonts w:ascii="Times New Roman" w:hAnsi="Times New Roman"/>
                <w:szCs w:val="24"/>
                <w:shd w:val="clear" w:color="auto" w:fill="ffffff"/>
              </w:rPr>
              <w:t xml:space="preserve">（2）中标人应</w:t>
            </w:r>
            <w:r>
              <w:rPr>
                <w:rFonts w:ascii="Times New Roman" w:hAnsi="Times New Roman"/>
                <w:shd w:val="clear" w:color="auto" w:fill="ffffff"/>
              </w:rPr>
              <w:t xml:space="preserve">建立健全项目管理机构健全，岗位设置、岗位责任主体、人员职责。</w:t>
            </w:r>
            <w:r>
              <w:rPr>
                <w:rFonts w:ascii="Times New Roman" w:hAnsi="Times New Roman"/>
                <w:szCs w:val="24"/>
                <w:shd w:val="clear" w:color="auto" w:fill="ffffff"/>
              </w:rPr>
              <w:t xml:space="preserve">建立人才激励制度或办法，落实各项制度或办法。制定专业技术和职业技能培训计划。</w:t>
            </w:r>
            <w:r>
              <w:rPr>
                <w:rFonts w:ascii="Times New Roman" w:hAnsi="Times New Roman"/>
                <w:szCs w:val="24"/>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zCs w:val="24"/>
                <w:shd w:val="clear" w:color="auto" w:fill="ffffff"/>
              </w:rPr>
              <w:t xml:space="preserve">（3）中标后5日内做好闸站交接工作。岗前培训及考核应于签订合同7天内完成，没有经过培训</w:t>
            </w:r>
            <w:r>
              <w:rPr>
                <w:rFonts w:ascii="Times New Roman" w:hAnsi="Times New Roman"/>
                <w:szCs w:val="24"/>
                <w:shd w:val="clear" w:color="auto" w:fill="ffffff"/>
              </w:rPr>
              <w:t xml:space="preserve">及培训不合格的人员不得上岗进行管理、调度、运行工作。定期（每月一次）组织单位技术力量对项目组所有人员进行本闸站工程管理制度、技术标准、安全运行的培训，做好培训记录。做到熟悉工程规划、设计、施工等情况，熟悉工程各部位结构和机电设备参数，熟悉安全运行规范规程，掌握操作规程及要领并演练熟悉，以满足本项目的安全运行管理和机电设备日常检查、简单维修的需要。对于涉及低压、高压及特种设备等养护时，需要提供相应的证件，包括高压电工证、高处作业（高处安装、维护、拆除）、电工证、焊接与热切割作业（熔化焊接与热切割作业）等证件。</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t xml:space="preserve">（4）严格遵守法律法规和采购人制度规程，并在签订合同之后一个月内，按照《泵站技术管理规程》《泵站运行规程》《水闸管理技术规程》、水利部《关于推进水利工程标准化管理的指导意见》《水利工程标准化管理评价办法》及其评价标准、水利部办公厅关于做好大中型灌区、灌排泵站标准化管理评价工作的通知、《电业安全作业规程》《江苏省泵站技术管理办法》《江苏省水闸技术管理办法》《江苏省水利工程管理单位安全生产标准化评价标准》等规范规程及中标人管理制度规程，完善运行、安全管理制度，制定工作计划和各类报表表式，报采购人审核后执行。</w:t>
            </w:r>
            <w:r>
              <w:rPr>
                <w:rFonts w:ascii="Times New Roman" w:hAnsi="Times New Roman"/>
                <w:shd w:val="clear" w:color="auto" w:fill="ffffff"/>
              </w:rPr>
            </w:r>
            <w:r/>
          </w:p>
          <w:p>
            <w:pPr>
              <w:pStyle w:val="991"/>
              <w:spacing w:before="0" w:beforeAutospacing="0" w:after="0" w:afterAutospacing="0" w:line="440" w:lineRule="exact"/>
              <w:rPr>
                <w:rFonts w:ascii="Times New Roman" w:hAnsi="Times New Roman"/>
                <w:szCs w:val="24"/>
                <w:shd w:val="clear" w:color="auto" w:fill="ffffff"/>
              </w:rPr>
            </w:pPr>
            <w:r>
              <w:rPr>
                <w:rFonts w:ascii="Times New Roman" w:hAnsi="Times New Roman"/>
                <w:szCs w:val="24"/>
              </w:rPr>
              <w:t xml:space="preserve">（5）</w:t>
            </w:r>
            <w:r>
              <w:rPr>
                <w:rFonts w:ascii="Times New Roman" w:hAnsi="Times New Roman"/>
                <w:szCs w:val="24"/>
                <w:shd w:val="clear" w:color="auto" w:fill="ffffff"/>
              </w:rPr>
              <w:t xml:space="preserve">中标人在接到调度指令后，应立即做好水闸和泵站运行准备工作，根据实际工情、水情做好工程运行工作。泵站运行时（除试运行）未及时到岗人员应于12小时内到岗，到岗前中标人应组织常驻运维人员和采购人派出的运行人员及时执行调度指令内容。如合同内约定的项目组人员因故不能到岗，中标人应负责提供同等技术水平、满足招标文件要求的运维人员人选，经采购人同意后参与运行。如需调换人员需提前7天告知采购人，人员需符合招标要求，征得采购人认可后方能调换。对采购人提出的人员更换要求，于7天内无条件完成。</w:t>
            </w:r>
            <w:r>
              <w:rPr>
                <w:rFonts w:ascii="Times New Roman" w:hAnsi="Times New Roman"/>
                <w:spacing w:val="-3"/>
                <w:szCs w:val="24"/>
              </w:rPr>
              <w:t xml:space="preserve">台风、暴雨、干旱、水环境需求等特殊情况下常驻泵站运</w:t>
            </w:r>
            <w:r>
              <w:rPr>
                <w:rFonts w:ascii="Times New Roman" w:hAnsi="Times New Roman"/>
                <w:spacing w:val="-4"/>
                <w:szCs w:val="24"/>
              </w:rPr>
              <w:t xml:space="preserve">行人员</w:t>
            </w:r>
            <w:r>
              <w:rPr>
                <w:rFonts w:ascii="Times New Roman" w:hAnsi="Times New Roman"/>
                <w:spacing w:val="-2"/>
                <w:szCs w:val="24"/>
              </w:rPr>
              <w:t xml:space="preserve">不足时，中标人需充分考虑风险因素，突击抽调人员水闸和泵站的运行。</w:t>
            </w:r>
            <w:r>
              <w:rPr>
                <w:rFonts w:ascii="Times New Roman" w:hAnsi="Times New Roman"/>
                <w:szCs w:val="24"/>
                <w:shd w:val="clear" w:color="auto" w:fill="ffffff"/>
              </w:rPr>
            </w:r>
            <w:r/>
          </w:p>
          <w:p>
            <w:pPr>
              <w:pStyle w:val="991"/>
              <w:spacing w:before="0" w:beforeAutospacing="0" w:after="0" w:afterAutospacing="0" w:line="440" w:lineRule="exact"/>
              <w:rPr>
                <w:rFonts w:ascii="Times New Roman" w:hAnsi="Times New Roman"/>
                <w:szCs w:val="24"/>
                <w:shd w:val="clear" w:color="auto" w:fill="ffffff"/>
              </w:rPr>
            </w:pPr>
            <w:r>
              <w:rPr>
                <w:rFonts w:ascii="Times New Roman" w:hAnsi="Times New Roman"/>
                <w:szCs w:val="24"/>
              </w:rPr>
              <w:t xml:space="preserve">（6）</w:t>
            </w:r>
            <w:r>
              <w:rPr>
                <w:rFonts w:ascii="Times New Roman" w:hAnsi="Times New Roman"/>
                <w:szCs w:val="24"/>
                <w:shd w:val="clear" w:color="auto" w:fill="ffffff"/>
              </w:rPr>
              <w:t xml:space="preserve">项目人员全年24小时应确保通讯畅通，及时接收指令并向采购人汇报有关信息。项目负责人离开现场应经采购人同意，运维人员应每月提供排班表。</w:t>
            </w:r>
            <w:r>
              <w:rPr>
                <w:rFonts w:ascii="Times New Roman" w:hAnsi="Times New Roman"/>
                <w:szCs w:val="24"/>
                <w:shd w:val="clear" w:color="auto" w:fill="ffffff"/>
              </w:rPr>
            </w:r>
            <w:r/>
          </w:p>
          <w:p>
            <w:pPr>
              <w:pStyle w:val="991"/>
              <w:spacing w:before="0" w:beforeAutospacing="0" w:after="0" w:afterAutospacing="0" w:line="440" w:lineRule="exact"/>
              <w:rPr>
                <w:rFonts w:ascii="Times New Roman" w:hAnsi="Times New Roman"/>
                <w:szCs w:val="24"/>
                <w:shd w:val="clear" w:color="auto" w:fill="ffffff"/>
              </w:rPr>
            </w:pPr>
            <w:r>
              <w:rPr>
                <w:rFonts w:ascii="Times New Roman" w:hAnsi="Times New Roman"/>
                <w:shd w:val="clear" w:color="auto" w:fill="ffffff"/>
              </w:rPr>
              <w:t xml:space="preserve">（7）为保障工程环境整洁及时做好垃圾清理清运工作。</w:t>
            </w:r>
            <w:r>
              <w:rPr>
                <w:rFonts w:ascii="Times New Roman" w:hAnsi="Times New Roman"/>
                <w:szCs w:val="24"/>
                <w:shd w:val="clear" w:color="auto" w:fill="ffffff"/>
              </w:rPr>
              <w:t xml:space="preserve">配合采购人做好其它闸站维修、工程观测、水下检查等项目工作，并做好现场监督工作。</w:t>
            </w:r>
            <w:r>
              <w:rPr>
                <w:rFonts w:ascii="Times New Roman" w:hAnsi="Times New Roman"/>
                <w:szCs w:val="24"/>
                <w:shd w:val="clear" w:color="auto" w:fill="ffffff"/>
              </w:rPr>
            </w:r>
            <w:r/>
          </w:p>
          <w:p>
            <w:pPr>
              <w:pStyle w:val="991"/>
              <w:spacing w:before="0" w:beforeAutospacing="0" w:after="0" w:afterAutospacing="0" w:line="440" w:lineRule="exact"/>
              <w:rPr>
                <w:rFonts w:ascii="Times New Roman" w:hAnsi="Times New Roman"/>
              </w:rPr>
            </w:pPr>
            <w:r>
              <w:rPr>
                <w:rFonts w:ascii="Times New Roman" w:hAnsi="Times New Roman"/>
                <w:shd w:val="clear" w:color="auto" w:fill="ffffff"/>
              </w:rPr>
              <w:t xml:space="preserve">（8）指导协助采购人进行各类标识标牌完善、明示上墙、更新等工作，做好各类标识标牌布局合理性调整，统计台帐或检查维护资料。</w:t>
            </w:r>
            <w:r>
              <w:rPr>
                <w:rFonts w:ascii="Times New Roman" w:hAnsi="Times New Roman"/>
              </w:rPr>
            </w:r>
            <w:r/>
          </w:p>
          <w:p>
            <w:pPr>
              <w:pStyle w:val="991"/>
              <w:spacing w:before="0" w:beforeAutospacing="0" w:after="0" w:afterAutospacing="0" w:line="440" w:lineRule="exact"/>
              <w:rPr>
                <w:rFonts w:ascii="Times New Roman" w:hAnsi="Times New Roman"/>
                <w:szCs w:val="24"/>
                <w:shd w:val="clear" w:color="auto" w:fill="ffffff"/>
              </w:rPr>
            </w:pPr>
            <w:r>
              <w:rPr>
                <w:rFonts w:ascii="Times New Roman" w:hAnsi="Times New Roman"/>
              </w:rPr>
              <w:t xml:space="preserve">（9）</w:t>
            </w:r>
            <w:r>
              <w:rPr>
                <w:rFonts w:ascii="Times New Roman" w:hAnsi="Times New Roman"/>
                <w:shd w:val="clear" w:color="auto" w:fill="ffffff"/>
              </w:rPr>
              <w:t xml:space="preserve">中标人应做好生活办公场所管理，保持整洁，不得乱扔垃圾、堆放杂物，注意用电用气安全，不得留宿外来人员，不进入未提供的场地，不搭建暂时性建筑。未经中标人允许，不得设置任何标识标牌。</w:t>
            </w:r>
            <w:r>
              <w:rPr>
                <w:rFonts w:ascii="Times New Roman" w:hAnsi="Times New Roman"/>
                <w:szCs w:val="24"/>
                <w:shd w:val="clear" w:color="auto" w:fill="ffffff"/>
              </w:rPr>
            </w:r>
            <w:r/>
          </w:p>
          <w:p>
            <w:pPr>
              <w:pStyle w:val="926"/>
              <w:spacing w:line="440" w:lineRule="exact"/>
              <w:rPr>
                <w:rFonts w:ascii="Times New Roman" w:hAnsi="Times New Roman"/>
                <w:sz w:val="24"/>
                <w:szCs w:val="24"/>
              </w:rPr>
            </w:pPr>
            <w:r>
              <w:rPr>
                <w:rFonts w:ascii="Times New Roman" w:hAnsi="Times New Roman"/>
                <w:i/>
                <w:iCs/>
                <w:sz w:val="24"/>
                <w:szCs w:val="24"/>
                <w:u w:val="single"/>
                <w:shd w:val="clear" w:color="auto" w:fill="ffffff"/>
              </w:rPr>
              <w:t xml:space="preserve">（10）按照本招标文件的人员要求所产生的所有人员经费，应包含在投标总价内，不另行支付。</w:t>
            </w:r>
            <w:r>
              <w:rPr>
                <w:rFonts w:ascii="Times New Roman" w:hAnsi="Times New Roman"/>
                <w:sz w:val="24"/>
                <w:szCs w:val="24"/>
              </w:rPr>
            </w:r>
            <w:r/>
          </w:p>
        </w:tc>
      </w:tr>
      <w:tr>
        <w:trPr/>
        <w:tc>
          <w:tcPr>
            <w:tcMar>
              <w:left w:w="108" w:type="dxa"/>
              <w:top w:w="100" w:type="dxa"/>
              <w:right w:w="108" w:type="dxa"/>
              <w:bottom w:w="100" w:type="dxa"/>
            </w:tcMar>
            <w:tcW w:w="429" w:type="dxa"/>
            <w:vAlign w:val="center"/>
            <w:vMerge w:val="restart"/>
            <w:textDirection w:val="lrTb"/>
            <w:noWrap w:val="false"/>
          </w:tcPr>
          <w:p>
            <w:pPr>
              <w:pStyle w:val="1292"/>
              <w:jc w:val="center"/>
              <w:spacing w:line="440" w:lineRule="exact"/>
              <w:rPr>
                <w:rFonts w:eastAsia="宋体"/>
                <w:lang w:eastAsia="zh-CN"/>
              </w:rPr>
            </w:pPr>
            <w:r>
              <w:rPr>
                <w:rFonts w:eastAsia="宋体"/>
                <w:lang w:eastAsia="zh-CN"/>
              </w:rPr>
              <w:t xml:space="preserve">4</w:t>
            </w:r>
            <w:r>
              <w:rPr>
                <w:rFonts w:eastAsia="宋体"/>
                <w:lang w:eastAsia="zh-CN"/>
              </w:rPr>
            </w:r>
            <w:r/>
          </w:p>
        </w:tc>
        <w:tc>
          <w:tcPr>
            <w:tcMar>
              <w:left w:w="108" w:type="dxa"/>
              <w:top w:w="100" w:type="dxa"/>
              <w:right w:w="108" w:type="dxa"/>
              <w:bottom w:w="100" w:type="dxa"/>
            </w:tcMar>
            <w:tcW w:w="429" w:type="dxa"/>
            <w:vAlign w:val="center"/>
            <w:vMerge w:val="restart"/>
            <w:textDirection w:val="lrTb"/>
            <w:noWrap w:val="false"/>
          </w:tcPr>
          <w:p>
            <w:pPr>
              <w:pStyle w:val="1292"/>
              <w:spacing w:line="440" w:lineRule="exact"/>
              <w:rPr>
                <w:rFonts w:eastAsia="宋体"/>
              </w:rPr>
            </w:pPr>
            <w:r>
              <w:rPr>
                <w:rFonts w:eastAsia="宋体"/>
              </w:rPr>
              <w:t xml:space="preserve">考核</w:t>
            </w:r>
            <w:r>
              <w:rPr>
                <w:rFonts w:eastAsia="宋体"/>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lang w:eastAsia="zh-CN"/>
              </w:rPr>
              <w:t xml:space="preserve">4</w:t>
            </w:r>
            <w:r>
              <w:rPr>
                <w:rFonts w:eastAsia="宋体"/>
              </w:rPr>
              <w:t xml:space="preserve">.1运行管理考核评分标准（以所有管理对象作为考核单位）</w:t>
            </w:r>
            <w:r>
              <w:rPr>
                <w:rFonts w:eastAsia="宋体"/>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926"/>
              <w:spacing w:line="440" w:lineRule="exact"/>
              <w:rPr>
                <w:rFonts w:ascii="Times New Roman" w:hAnsi="Times New Roman"/>
                <w:sz w:val="24"/>
                <w:szCs w:val="24"/>
              </w:rPr>
            </w:pPr>
            <w:r>
              <w:rPr>
                <w:rFonts w:ascii="Times New Roman" w:hAnsi="Times New Roman"/>
                <w:sz w:val="24"/>
                <w:szCs w:val="24"/>
              </w:rPr>
              <w:t xml:space="preserve">详见招标文件第四章项目需求/四、其他部分/长防处大中型闸站运行管理定期考核表。</w:t>
            </w:r>
            <w:r>
              <w:rPr>
                <w:rFonts w:ascii="Times New Roman" w:hAnsi="Times New Roman"/>
                <w:sz w:val="24"/>
                <w:szCs w:val="24"/>
              </w:rPr>
            </w:r>
            <w:r/>
          </w:p>
          <w:p>
            <w:pPr>
              <w:pStyle w:val="926"/>
              <w:spacing w:line="440" w:lineRule="exact"/>
              <w:rPr>
                <w:rFonts w:ascii="Times New Roman" w:hAnsi="Times New Roman"/>
                <w:sz w:val="24"/>
                <w:szCs w:val="24"/>
              </w:rPr>
            </w:pPr>
            <w:r>
              <w:rPr>
                <w:rFonts w:ascii="Times New Roman" w:hAnsi="Times New Roman"/>
                <w:sz w:val="24"/>
              </w:rPr>
              <w:t xml:space="preserve">采购人有权在服务期内根据实际情况提出修改考核细则，并经与中标人协商确认后，按新的考核细则执行考核</w:t>
            </w:r>
            <w:r>
              <w:rPr>
                <w:rFonts w:ascii="Times New Roman" w:hAnsi="Times New Roman"/>
                <w:sz w:val="24"/>
                <w:szCs w:val="24"/>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lang w:eastAsia="zh-CN"/>
              </w:rPr>
              <w:t xml:space="preserve">4</w:t>
            </w:r>
            <w:r>
              <w:rPr>
                <w:rFonts w:eastAsia="宋体"/>
              </w:rPr>
              <w:t xml:space="preserve">.1.1 考核办法</w:t>
            </w:r>
            <w:r>
              <w:rPr>
                <w:rFonts w:eastAsia="宋体"/>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rPr>
              <w:t xml:space="preserve">合同签订生效后，采购人通过制定的考核计划对中标人进行季度考核，确定中标人履行合同的情况。年度累积两次以上考核平均分数低于</w:t>
            </w:r>
            <w:r>
              <w:rPr>
                <w:rFonts w:eastAsia="宋体"/>
                <w:lang w:val="en-US" w:eastAsia="zh-CN"/>
              </w:rPr>
              <w:t xml:space="preserve">940</w:t>
            </w:r>
            <w:r>
              <w:rPr>
                <w:rFonts w:eastAsia="宋体"/>
              </w:rPr>
              <w:t xml:space="preserve">分的，采购人有权单方面终止中标人的运行管理资格。对于检查出的问题记录并拍照留存，属于供应商问题的及时通知供应商相关负责人，明确整改期限，落实整改措施，检查整改效果。</w:t>
            </w:r>
            <w:r>
              <w:rPr>
                <w:rFonts w:eastAsia="宋体"/>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rPr>
              <w:t xml:space="preserve">考核得分及经费发放：采购人主管部门工作人员，采用非定日方式，按考核计划随机选择某一天对中标人所管的闸站进行考核，依据所对应考核表的内容进行考核检查打分，由检查组、被考核人所有成员签字确认。</w:t>
            </w:r>
            <w:r>
              <w:rPr>
                <w:rFonts w:eastAsia="宋体"/>
              </w:rPr>
            </w:r>
            <w:r/>
          </w:p>
          <w:p>
            <w:pPr>
              <w:pStyle w:val="1292"/>
              <w:spacing w:line="440" w:lineRule="exact"/>
              <w:rPr>
                <w:rFonts w:eastAsia="宋体"/>
              </w:rPr>
            </w:pPr>
            <w:r>
              <w:rPr>
                <w:rFonts w:eastAsia="宋体"/>
              </w:rPr>
              <w:t xml:space="preserve">考核平均分数在</w:t>
            </w:r>
            <w:r>
              <w:rPr>
                <w:rFonts w:eastAsia="宋体"/>
                <w:lang w:val="en-US" w:eastAsia="zh-CN"/>
              </w:rPr>
              <w:t xml:space="preserve">960</w:t>
            </w:r>
            <w:r>
              <w:rPr>
                <w:rFonts w:eastAsia="宋体"/>
              </w:rPr>
              <w:t xml:space="preserve">分及以上的，全额支付管理经费，</w:t>
            </w:r>
            <w:r>
              <w:rPr>
                <w:rFonts w:eastAsia="宋体"/>
                <w:lang w:val="en-US" w:eastAsia="zh-CN"/>
              </w:rPr>
              <w:t xml:space="preserve">960</w:t>
            </w:r>
            <w:r>
              <w:rPr>
                <w:rFonts w:eastAsia="宋体"/>
              </w:rPr>
              <w:t xml:space="preserve">分以下的，每低</w:t>
            </w:r>
            <w:r>
              <w:rPr>
                <w:rFonts w:eastAsia="宋体"/>
                <w:lang w:val="en-US" w:eastAsia="zh-CN"/>
              </w:rPr>
              <w:t xml:space="preserve">1</w:t>
            </w:r>
            <w:r>
              <w:rPr>
                <w:rFonts w:eastAsia="宋体"/>
              </w:rPr>
              <w:t xml:space="preserve">分扣当季管理经费的</w:t>
            </w:r>
            <w:r>
              <w:rPr>
                <w:rFonts w:eastAsia="宋体"/>
                <w:lang w:val="en-US" w:eastAsia="zh-CN"/>
              </w:rPr>
              <w:t xml:space="preserve">0.02</w:t>
            </w:r>
            <w:r>
              <w:rPr>
                <w:rFonts w:eastAsia="宋体"/>
              </w:rPr>
              <w:t xml:space="preserve">%，</w:t>
            </w:r>
            <w:r>
              <w:rPr>
                <w:rFonts w:eastAsia="宋体"/>
                <w:lang w:eastAsia="zh-CN"/>
              </w:rPr>
              <w:t xml:space="preserve">小数按插值法计算。</w:t>
            </w:r>
            <w:r>
              <w:rPr>
                <w:rFonts w:eastAsia="宋体"/>
              </w:rPr>
              <w:t xml:space="preserve">管理经费按财政拨付情况发放。</w:t>
            </w:r>
            <w:r>
              <w:rPr>
                <w:rFonts w:eastAsia="宋体"/>
              </w:rPr>
            </w:r>
            <w:r/>
          </w:p>
        </w:tc>
      </w:tr>
      <w:tr>
        <w:trPr/>
        <w:tc>
          <w:tcPr>
            <w:tcMar>
              <w:left w:w="108" w:type="dxa"/>
              <w:top w:w="100" w:type="dxa"/>
              <w:right w:w="108" w:type="dxa"/>
              <w:bottom w:w="100" w:type="dxa"/>
            </w:tcMar>
            <w:tcW w:w="429" w:type="dxa"/>
            <w:vAlign w:val="center"/>
            <w:vMerge w:val="restart"/>
            <w:textDirection w:val="lrTb"/>
            <w:noWrap w:val="false"/>
          </w:tcPr>
          <w:p>
            <w:pPr>
              <w:pStyle w:val="1292"/>
              <w:jc w:val="center"/>
              <w:spacing w:line="440" w:lineRule="exact"/>
              <w:rPr>
                <w:rFonts w:eastAsia="宋体"/>
                <w:lang w:eastAsia="zh-CN"/>
              </w:rPr>
            </w:pPr>
            <w:r>
              <w:rPr>
                <w:rFonts w:eastAsia="宋体"/>
                <w:lang w:eastAsia="zh-CN"/>
              </w:rPr>
              <w:t xml:space="preserve">5</w:t>
            </w:r>
            <w:r>
              <w:rPr>
                <w:rFonts w:eastAsia="宋体"/>
                <w:lang w:eastAsia="zh-CN"/>
              </w:rPr>
            </w:r>
            <w:r/>
          </w:p>
        </w:tc>
        <w:tc>
          <w:tcPr>
            <w:tcMar>
              <w:left w:w="108" w:type="dxa"/>
              <w:top w:w="100" w:type="dxa"/>
              <w:right w:w="108" w:type="dxa"/>
              <w:bottom w:w="100" w:type="dxa"/>
            </w:tcMar>
            <w:tcW w:w="429" w:type="dxa"/>
            <w:vAlign w:val="center"/>
            <w:vMerge w:val="restart"/>
            <w:textDirection w:val="lrTb"/>
            <w:noWrap w:val="false"/>
          </w:tcPr>
          <w:p>
            <w:pPr>
              <w:pStyle w:val="1292"/>
              <w:spacing w:line="440" w:lineRule="exact"/>
              <w:rPr>
                <w:rFonts w:eastAsia="宋体"/>
              </w:rPr>
            </w:pPr>
            <w:r>
              <w:rPr>
                <w:rFonts w:eastAsia="宋体"/>
              </w:rPr>
              <w:t xml:space="preserve">管理要求</w:t>
            </w:r>
            <w:r>
              <w:rPr>
                <w:rFonts w:eastAsia="宋体"/>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lang w:eastAsia="zh-CN"/>
              </w:rPr>
              <w:t xml:space="preserve">5</w:t>
            </w:r>
            <w:r>
              <w:rPr>
                <w:rFonts w:eastAsia="宋体"/>
              </w:rPr>
              <w:t xml:space="preserve">.1 中标人职责</w:t>
            </w:r>
            <w:r>
              <w:rPr>
                <w:rFonts w:eastAsia="宋体"/>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991"/>
              <w:spacing w:before="0" w:beforeAutospacing="0" w:after="0" w:afterAutospacing="0" w:line="440" w:lineRule="exact"/>
              <w:rPr>
                <w:rFonts w:ascii="Times New Roman" w:hAnsi="Times New Roman"/>
              </w:rPr>
            </w:pPr>
            <w:r>
              <w:rPr>
                <w:rFonts w:ascii="Times New Roman" w:hAnsi="Times New Roman"/>
              </w:rPr>
              <w:t xml:space="preserve">（1）中标人根据国家及江苏省有关法律法规，水利部《关于推进水利工程标准化管理的指导意见》《水利工程标准化管理评价办法》及其评价标准、水利部办公厅关于做好大中型灌区、灌排泵站标准化管理评价工作的通知要求，制定符合要求的管理运行实施方案。对其受委托运行管理项目的安全运行负全部责任；</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（2）如由于中标人人员的操作失误，造成设施、设备损坏，则由中标人承担相应赔偿责任；</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3）中标人应充分体现其一流的管理水平，具有完善的日常考核办法、员工激励机制及监督机制，确保所有投入的工作人员能尽职尽责，并服从采购人管理。如因中标人运行管理人员没有执行采购人的管理规定，在采购人组织的考核中，考核成绩在考核分（960分）以下，则依据采购人制定的有关考核办法对中标人进行处理。</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4）中标人应严格按照已确认的运行养护管理实施方案进行，并应无条件地接受采购人的监督和检查，若发现有不符合养护及控制运用要求或未全面响应有关招标文件、相关合同内容的，由采购人发出整改通知，中标人应无条件接受，并做到及时整改。</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（5）在工程管理范围内发生的所有事故，按规定上报采购人。</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（6）</w:t>
            </w:r>
            <w:r>
              <w:rPr>
                <w:rFonts w:ascii="Times New Roman" w:hAnsi="Times New Roman"/>
                <w:shd w:val="clear" w:color="auto" w:fill="ffffff"/>
              </w:rPr>
              <w:t xml:space="preserve">提供做好安全管理、运行管理和日常养护所需的设备、工具、劳保用品及易耗品等，包括但不限于办公用品、打印机（含耗材和打印纸）、对讲机、办公电脑、清洁用具、成套电工工具、安全帽、电工鞋、工作服、黄油、油漆、保洁用材等。</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（7）中标人</w:t>
            </w:r>
            <w:r>
              <w:rPr>
                <w:rFonts w:ascii="Times New Roman" w:hAnsi="Times New Roman"/>
                <w:shd w:val="clear" w:color="auto" w:fill="ffffff"/>
              </w:rPr>
              <w:t xml:space="preserve">应根据项目情况配置合理的交通工具以便于工程巡查需要，</w:t>
            </w:r>
            <w:r>
              <w:rPr>
                <w:rFonts w:ascii="Times New Roman" w:hAnsi="Times New Roman"/>
              </w:rPr>
              <w:t xml:space="preserve">需对巡查人员配置一台安卓智能手机，满足自动化办公、巡查使用。</w:t>
            </w:r>
            <w:r>
              <w:rPr>
                <w:rFonts w:ascii="Times New Roman" w:hAnsi="Times New Roman"/>
              </w:rPr>
            </w:r>
            <w:r/>
          </w:p>
          <w:p>
            <w:pPr>
              <w:pStyle w:val="991"/>
              <w:spacing w:before="0" w:beforeAutospacing="0" w:after="0" w:afterAutospacing="0" w:line="440" w:lineRule="exact"/>
              <w:rPr>
                <w:rFonts w:ascii="Times New Roman" w:hAnsi="Times New Roman"/>
              </w:rPr>
            </w:pPr>
            <w:r>
              <w:rPr>
                <w:rFonts w:ascii="Times New Roman" w:hAnsi="Times New Roman"/>
              </w:rPr>
              <w:t xml:space="preserve">（8）本委托运行管理项目操作运用中所需的日常办公用品、生活设施易耗品（如电磁炉、锅碗、床上用品等）等均由中标人自行提供，生活设施、电器（床、电视机、冰箱、空调、热水器等）由采购人按同类型水闸标准提供，</w:t>
            </w:r>
            <w:r>
              <w:rPr>
                <w:rFonts w:ascii="Times New Roman" w:hAnsi="Times New Roman"/>
                <w:shd w:val="clear" w:color="auto" w:fill="ffffff"/>
              </w:rPr>
              <w:t xml:space="preserve">安装电器应提前经采购人同意</w:t>
            </w:r>
            <w:r>
              <w:rPr>
                <w:rFonts w:ascii="Times New Roman" w:hAnsi="Times New Roman"/>
              </w:rPr>
              <w:t xml:space="preserve">。</w:t>
            </w:r>
            <w:r>
              <w:rPr>
                <w:rFonts w:ascii="Times New Roman" w:hAnsi="Times New Roman"/>
              </w:rPr>
            </w:r>
            <w:r/>
          </w:p>
          <w:p>
            <w:pPr>
              <w:pStyle w:val="991"/>
              <w:spacing w:before="0" w:beforeAutospacing="0" w:after="0" w:afterAutospacing="0" w:line="440" w:lineRule="exact"/>
              <w:rPr>
                <w:rFonts w:ascii="Times New Roman" w:hAnsi="Times New Roman"/>
                <w:shd w:val="clear" w:color="auto" w:fill="ffffff"/>
              </w:rPr>
            </w:pPr>
            <w:r>
              <w:rPr>
                <w:rFonts w:ascii="Times New Roman" w:hAnsi="Times New Roman"/>
              </w:rPr>
              <w:t xml:space="preserve">（9）</w:t>
            </w:r>
            <w:r>
              <w:rPr>
                <w:rFonts w:ascii="Times New Roman" w:hAnsi="Times New Roman"/>
                <w:shd w:val="clear" w:color="auto" w:fill="ffffff"/>
              </w:rPr>
              <w:t xml:space="preserve">服务期内，如中标人人员不能保证生活场所建构筑物、绿化及生活设施的整洁美观，除按照考核规定扣分外，采购人可停止提供宿舍、食堂等，由此造成的费用由中标人自行承担。服务期满，采购人负责对办公区域、生活区域清理恢复原状，采购人进行验收，如有损坏中标人按实际情况进行赔偿。</w:t>
            </w:r>
            <w:r>
              <w:rPr>
                <w:rFonts w:ascii="Times New Roman" w:hAnsi="Times New Roman"/>
                <w:shd w:val="clear" w:color="auto" w:fill="ffffff"/>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lang w:eastAsia="zh-CN"/>
              </w:rPr>
              <w:t xml:space="preserve">5</w:t>
            </w:r>
            <w:r>
              <w:rPr>
                <w:rFonts w:eastAsia="宋体"/>
              </w:rPr>
              <w:t xml:space="preserve">.2 委托管理原则</w:t>
            </w:r>
            <w:r>
              <w:rPr>
                <w:rFonts w:eastAsia="宋体"/>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rPr>
              <w:t xml:space="preserve">（1）本项目确定中标人后，由采购人与中标人签订管理合同，中标人不得分包、转包，一经发现，采购人有权终止合同，由此给采购人造成的一切经济损失均由中标人承担；</w:t>
            </w:r>
            <w:r>
              <w:rPr>
                <w:rFonts w:eastAsia="宋体"/>
              </w:rPr>
            </w:r>
            <w:r/>
          </w:p>
          <w:p>
            <w:pPr>
              <w:pStyle w:val="1292"/>
              <w:spacing w:line="440" w:lineRule="exact"/>
              <w:rPr>
                <w:rFonts w:eastAsia="宋体"/>
              </w:rPr>
            </w:pPr>
            <w:r>
              <w:rPr>
                <w:rFonts w:eastAsia="宋体"/>
              </w:rPr>
              <w:t xml:space="preserve">（2）签订委托管理合同的同时，与采购人签订安全生产协议书；</w:t>
            </w:r>
            <w:r>
              <w:rPr>
                <w:rFonts w:eastAsia="宋体"/>
              </w:rPr>
            </w:r>
            <w:r/>
          </w:p>
          <w:p>
            <w:pPr>
              <w:pStyle w:val="1292"/>
              <w:spacing w:line="440" w:lineRule="exact"/>
              <w:rPr>
                <w:rFonts w:eastAsia="宋体"/>
              </w:rPr>
            </w:pPr>
            <w:r>
              <w:rPr>
                <w:rFonts w:eastAsia="宋体"/>
              </w:rPr>
              <w:t xml:space="preserve">（3）中标人在服务中产生的各种信息、资料，应按采购人要求上报；须登记保存的资料应妥善保存。</w:t>
            </w:r>
            <w:r>
              <w:rPr>
                <w:rFonts w:eastAsia="宋体"/>
              </w:rPr>
            </w:r>
            <w:r/>
          </w:p>
          <w:p>
            <w:pPr>
              <w:pStyle w:val="1292"/>
              <w:spacing w:line="440" w:lineRule="exact"/>
              <w:rPr>
                <w:rFonts w:eastAsia="宋体"/>
              </w:rPr>
            </w:pPr>
            <w:r>
              <w:rPr>
                <w:rFonts w:eastAsia="宋体"/>
              </w:rPr>
              <w:t xml:space="preserve">（4）中标人应加强内容管理，制定包含人员配置、考核机制、监督机制、各岗位培训等各项制度。</w:t>
            </w:r>
            <w:r>
              <w:rPr>
                <w:rFonts w:eastAsia="宋体"/>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lang w:eastAsia="zh-CN"/>
              </w:rPr>
              <w:t xml:space="preserve">5</w:t>
            </w:r>
            <w:r>
              <w:rPr>
                <w:rFonts w:eastAsia="宋体"/>
              </w:rPr>
              <w:t xml:space="preserve">.3 工作管理</w:t>
            </w:r>
            <w:r>
              <w:rPr>
                <w:rFonts w:eastAsia="宋体"/>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rPr>
              <w:t xml:space="preserve">投标人应通过对现场的深入了解，结合实际情况，制定</w:t>
            </w:r>
            <w:r>
              <w:rPr>
                <w:rFonts w:eastAsia="宋体"/>
                <w:spacing w:val="7"/>
              </w:rPr>
              <w:t xml:space="preserve">总体的工作思路、工作人员安排计划、工作时间计划。</w:t>
            </w:r>
            <w:r>
              <w:rPr>
                <w:rFonts w:eastAsia="宋体"/>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lang w:eastAsia="zh-CN"/>
              </w:rPr>
              <w:t xml:space="preserve">5</w:t>
            </w:r>
            <w:r>
              <w:rPr>
                <w:rFonts w:eastAsia="宋体"/>
              </w:rPr>
              <w:t xml:space="preserve">.4 垃圾清运</w:t>
            </w:r>
            <w:r>
              <w:rPr>
                <w:rFonts w:eastAsia="宋体"/>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rPr>
              <w:t xml:space="preserve">投标人需考虑垃圾清运所需其他相关工具、运输里程，垃圾运至环卫指定地点处理，并制定可行的方案。</w:t>
            </w:r>
            <w:r>
              <w:rPr>
                <w:rFonts w:eastAsia="宋体"/>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lang w:eastAsia="zh-CN"/>
              </w:rPr>
              <w:t xml:space="preserve">5</w:t>
            </w:r>
            <w:r>
              <w:rPr>
                <w:rFonts w:eastAsia="宋体"/>
              </w:rPr>
              <w:t xml:space="preserve">.5 配套设备</w:t>
            </w:r>
            <w:r>
              <w:rPr>
                <w:rFonts w:eastAsia="宋体"/>
              </w:rPr>
            </w:r>
            <w:r/>
          </w:p>
        </w:tc>
      </w:tr>
      <w:tr>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rPr>
            </w:pPr>
            <w:r>
              <w:rPr>
                <w:rFonts w:eastAsia="宋体"/>
              </w:rPr>
              <w:t xml:space="preserve">为保障项目顺利实施，投标人应通过对现场的深入了解，结合实际情况，针对本项目投入的交通运输工具、专业工具、办公设备等配套设备进行合理安排，确保能同时完成好本项目涉及的所有闸站的服务和管理工作。</w:t>
            </w:r>
            <w:r>
              <w:rPr>
                <w:rFonts w:eastAsia="宋体"/>
              </w:rPr>
            </w:r>
            <w:r/>
          </w:p>
        </w:tc>
      </w:tr>
      <w:tr>
        <w:trPr/>
        <w:tc>
          <w:tcPr>
            <w:tcMar>
              <w:left w:w="108" w:type="dxa"/>
              <w:top w:w="100" w:type="dxa"/>
              <w:right w:w="108" w:type="dxa"/>
              <w:bottom w:w="100" w:type="dxa"/>
            </w:tcMar>
            <w:tcW w:w="429" w:type="dxa"/>
            <w:vAlign w:val="center"/>
            <w:vMerge w:val="restart"/>
            <w:textDirection w:val="lrTb"/>
            <w:noWrap w:val="false"/>
          </w:tcPr>
          <w:p>
            <w:pPr>
              <w:pStyle w:val="1292"/>
              <w:jc w:val="center"/>
              <w:spacing w:line="440" w:lineRule="exact"/>
              <w:rPr>
                <w:rFonts w:eastAsia="宋体"/>
                <w:lang w:eastAsia="zh-CN"/>
              </w:rPr>
            </w:pPr>
            <w:r>
              <w:rPr>
                <w:rFonts w:eastAsia="宋体"/>
                <w:lang w:eastAsia="zh-CN"/>
              </w:rPr>
              <w:t xml:space="preserve">6</w:t>
            </w:r>
            <w:r>
              <w:rPr>
                <w:rFonts w:eastAsia="宋体"/>
                <w:lang w:eastAsia="zh-CN"/>
              </w:rPr>
            </w:r>
            <w:r/>
          </w:p>
        </w:tc>
        <w:tc>
          <w:tcPr>
            <w:tcMar>
              <w:left w:w="108" w:type="dxa"/>
              <w:top w:w="100" w:type="dxa"/>
              <w:right w:w="108" w:type="dxa"/>
              <w:bottom w:w="100" w:type="dxa"/>
            </w:tcMar>
            <w:tcW w:w="429" w:type="dxa"/>
            <w:vAlign w:val="center"/>
            <w:vMerge w:val="restart"/>
            <w:textDirection w:val="lrTb"/>
            <w:noWrap w:val="false"/>
          </w:tcPr>
          <w:p>
            <w:pPr>
              <w:pStyle w:val="1292"/>
              <w:spacing w:line="440" w:lineRule="exact"/>
              <w:rPr>
                <w:rFonts w:eastAsia="宋体"/>
              </w:rPr>
            </w:pPr>
            <w:r>
              <w:rPr>
                <w:rFonts w:eastAsia="宋体"/>
              </w:rPr>
              <w:t xml:space="preserve">其他说明</w:t>
            </w:r>
            <w:r>
              <w:rPr>
                <w:rFonts w:eastAsia="宋体"/>
              </w:rPr>
            </w:r>
            <w:r/>
          </w:p>
        </w:tc>
        <w:tc>
          <w:tcPr>
            <w:tcMar>
              <w:left w:w="108" w:type="dxa"/>
              <w:top w:w="100" w:type="dxa"/>
              <w:right w:w="108" w:type="dxa"/>
              <w:bottom w:w="100" w:type="dxa"/>
            </w:tcMar>
            <w:tcW w:w="7890" w:type="dxa"/>
            <w:vAlign w:val="center"/>
            <w:textDirection w:val="lrTb"/>
            <w:noWrap w:val="false"/>
          </w:tcPr>
          <w:p>
            <w:pPr>
              <w:pStyle w:val="1292"/>
              <w:spacing w:line="440" w:lineRule="exact"/>
              <w:rPr>
                <w:rFonts w:eastAsia="宋体"/>
                <w:i/>
                <w:iCs/>
                <w:u w:val="single"/>
                <w:lang w:eastAsia="zh-CN"/>
              </w:rPr>
            </w:pPr>
            <w:r>
              <w:rPr>
                <w:rFonts w:eastAsia="宋体"/>
                <w:i/>
                <w:iCs/>
                <w:u w:val="single"/>
              </w:rPr>
              <w:t xml:space="preserve">（</w:t>
            </w:r>
            <w:r>
              <w:rPr>
                <w:rFonts w:eastAsia="宋体"/>
                <w:i/>
                <w:iCs/>
                <w:u w:val="single"/>
                <w:lang w:eastAsia="zh-CN"/>
              </w:rPr>
              <w:t xml:space="preserve">1</w:t>
            </w:r>
            <w:r>
              <w:rPr>
                <w:rFonts w:eastAsia="宋体"/>
                <w:i/>
                <w:iCs/>
                <w:u w:val="single"/>
              </w:rPr>
              <w:t xml:space="preserve">）投标人需具备</w:t>
            </w:r>
            <w:r>
              <w:rPr>
                <w:rFonts w:eastAsia="宋体"/>
                <w:i/>
                <w:iCs/>
                <w:u w:val="single"/>
                <w:lang w:eastAsia="zh-CN"/>
              </w:rPr>
              <w:t xml:space="preserve">2021年以来有中大型闸站（划分标准以《水利水电工程等级划分</w:t>
            </w:r>
            <w:r>
              <w:rPr>
                <w:rFonts w:eastAsia="宋体"/>
                <w:i/>
                <w:iCs/>
                <w:u w:val="single"/>
                <w:lang w:val="en-US" w:eastAsia="zh-CN"/>
              </w:rPr>
              <w:t xml:space="preserve">及</w:t>
            </w:r>
            <w:r>
              <w:rPr>
                <w:rFonts w:eastAsia="宋体"/>
                <w:i/>
                <w:iCs/>
                <w:u w:val="single"/>
                <w:lang w:eastAsia="zh-CN"/>
              </w:rPr>
              <w:t xml:space="preserve">洪水标准》SL252-2017为准）类似项目管理经验，并在投标文件中提供相关证明材料（提供运行管理合同的需提供合同扫描件，时间以合同签订时间为准），不提供将认定为无效投标。</w:t>
            </w:r>
            <w:r>
              <w:rPr>
                <w:rFonts w:eastAsia="宋体"/>
                <w:i/>
                <w:iCs/>
                <w:u w:val="single"/>
                <w:lang w:eastAsia="zh-CN"/>
              </w:rPr>
            </w:r>
            <w:r/>
          </w:p>
          <w:p>
            <w:pPr>
              <w:pStyle w:val="1292"/>
              <w:spacing w:line="440" w:lineRule="exact"/>
              <w:rPr>
                <w:rFonts w:eastAsia="宋体"/>
                <w:i/>
                <w:iCs/>
                <w:u w:val="single"/>
                <w:lang w:eastAsia="zh-CN"/>
              </w:rPr>
            </w:pPr>
            <w:r>
              <w:rPr>
                <w:rFonts w:eastAsia="宋体"/>
                <w:i/>
                <w:iCs/>
                <w:u w:val="single"/>
                <w:lang w:eastAsia="zh-CN"/>
              </w:rPr>
              <w:t xml:space="preserve">（2）新建闸站满足运行条件后，采购人提前一周书面通知中标人，中标人接到通知后按照规定日期进场管理。</w:t>
            </w:r>
            <w:r>
              <w:rPr>
                <w:rFonts w:eastAsia="宋体"/>
                <w:i/>
                <w:iCs/>
                <w:u w:val="single"/>
                <w:lang w:eastAsia="zh-CN"/>
              </w:rPr>
            </w:r>
            <w:r/>
          </w:p>
        </w:tc>
      </w:tr>
      <w:tr>
        <w:trPr>
          <w:trHeight w:val="100"/>
        </w:trPr>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W w:w="429" w:type="dxa"/>
            <w:vAlign w:val="center"/>
            <w:vMerge w:val="continue"/>
            <w:textDirection w:val="lrTb"/>
            <w:noWrap w:val="false"/>
          </w:tcPr>
          <w:p>
            <w:pPr>
              <w:pStyle w:val="926"/>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890" w:type="dxa"/>
            <w:vAlign w:val="center"/>
            <w:textDirection w:val="lrTb"/>
            <w:noWrap w:val="false"/>
          </w:tcPr>
          <w:p>
            <w:pPr>
              <w:pStyle w:val="1296"/>
              <w:spacing w:before="240" w:after="240" w:line="200" w:lineRule="atLeast"/>
              <w:rPr>
                <w:rFonts w:eastAsia="宋体"/>
              </w:rPr>
            </w:pPr>
            <w:r>
              <w:rPr>
                <w:rFonts w:eastAsia="宋体"/>
                <w:i/>
                <w:u w:val="single"/>
              </w:rPr>
              <w:t xml:space="preserve">（3）投标人须提供针对本项目的报价明细表（盖章），格式见招标文件第六章/八、投标配置及分项报价表。不提供将认定为无效投标，投标人可自行勘查现场后综合报价。</w:t>
            </w:r>
            <w:r>
              <w:rPr>
                <w:rFonts w:eastAsia="宋体"/>
              </w:rPr>
            </w:r>
            <w:r/>
          </w:p>
        </w:tc>
      </w:tr>
    </w:tbl>
    <w:p>
      <w:pPr>
        <w:pStyle w:val="1292"/>
        <w:jc w:val="center"/>
        <w:rPr>
          <w:rFonts w:eastAsia="宋体"/>
          <w:lang w:val="en-US"/>
        </w:rPr>
      </w:pPr>
      <w:r/>
      <w:bookmarkEnd w:id="223"/>
      <w:r>
        <w:rPr>
          <w:rFonts w:eastAsia="宋体"/>
          <w:lang w:val="en-US"/>
        </w:rPr>
      </w:r>
      <w:r/>
    </w:p>
    <w:p>
      <w:pPr>
        <w:pStyle w:val="1090"/>
        <w:ind w:firstLine="0"/>
        <w:rPr>
          <w:rFonts w:ascii="Times New Roman" w:hAnsi="Times New Roman"/>
          <w:szCs w:val="24"/>
        </w:rPr>
      </w:pPr>
      <w:r/>
      <w:bookmarkStart w:id="224" w:name="EBb0ab975038a04efd86af0f0eaa5a524b"/>
      <w:r/>
      <w:bookmarkEnd w:id="224"/>
      <w:r>
        <w:rPr>
          <w:rFonts w:ascii="Times New Roman" w:hAnsi="Times New Roman"/>
          <w:szCs w:val="24"/>
        </w:rPr>
      </w:r>
      <w:r/>
    </w:p>
    <w:p>
      <w:pPr>
        <w:pStyle w:val="926"/>
        <w:spacing w:before="120" w:after="120" w:line="440" w:lineRule="exact"/>
        <w:rPr>
          <w:rFonts w:ascii="Times New Roman" w:hAnsi="Times New Roman"/>
          <w:b/>
          <w:sz w:val="28"/>
          <w:szCs w:val="28"/>
        </w:rPr>
      </w:pPr>
      <w:r>
        <w:rPr>
          <w:rFonts w:ascii="Times New Roman" w:hAnsi="Times New Roman"/>
          <w:b/>
          <w:sz w:val="28"/>
          <w:szCs w:val="28"/>
        </w:rPr>
        <w:t xml:space="preserve">三、商务条款 </w:t>
      </w:r>
      <w:r>
        <w:rPr>
          <w:rFonts w:ascii="Times New Roman" w:hAnsi="Times New Roman"/>
          <w:b/>
          <w:sz w:val="28"/>
          <w:szCs w:val="28"/>
        </w:rPr>
      </w:r>
      <w:r/>
    </w:p>
    <w:p>
      <w:pPr>
        <w:pStyle w:val="1293"/>
        <w:ind w:firstLine="500"/>
        <w:spacing w:line="440" w:lineRule="exact"/>
        <w:rPr>
          <w:rFonts w:eastAsia="宋体"/>
          <w:b/>
          <w:spacing w:val="7"/>
        </w:rPr>
      </w:pPr>
      <w:r>
        <w:rPr>
          <w:rFonts w:eastAsia="宋体"/>
          <w:b/>
          <w:spacing w:val="7"/>
        </w:rPr>
        <w:t xml:space="preserve">1 服务期限</w:t>
      </w:r>
      <w:r>
        <w:rPr>
          <w:rFonts w:eastAsia="宋体"/>
          <w:b/>
          <w:spacing w:val="7"/>
        </w:rPr>
      </w:r>
      <w:r/>
    </w:p>
    <w:p>
      <w:pPr>
        <w:pStyle w:val="1293"/>
        <w:ind w:firstLine="500"/>
        <w:spacing w:line="440" w:lineRule="exact"/>
        <w:rPr>
          <w:rFonts w:eastAsia="宋体"/>
          <w:i/>
          <w:spacing w:val="7"/>
          <w:u w:val="single"/>
        </w:rPr>
      </w:pPr>
      <w:r>
        <w:rPr>
          <w:rFonts w:eastAsia="宋体"/>
          <w:i/>
          <w:spacing w:val="7"/>
          <w:u w:val="single"/>
        </w:rPr>
        <w:t xml:space="preserve">1.1、服务期限</w:t>
      </w:r>
      <w:r>
        <w:rPr>
          <w:rFonts w:eastAsia="宋体"/>
          <w:i/>
          <w:spacing w:val="7"/>
          <w:u w:val="single"/>
        </w:rPr>
      </w:r>
      <w:r/>
    </w:p>
    <w:p>
      <w:pPr>
        <w:pStyle w:val="1293"/>
        <w:ind w:firstLine="500"/>
        <w:spacing w:line="440" w:lineRule="exact"/>
        <w:rPr>
          <w:rFonts w:eastAsia="宋体"/>
          <w:i/>
          <w:spacing w:val="7"/>
          <w:u w:val="single"/>
          <w:lang w:eastAsia="zh-CN"/>
        </w:rPr>
      </w:pPr>
      <w:r>
        <w:rPr>
          <w:rFonts w:eastAsia="宋体"/>
          <w:i/>
          <w:spacing w:val="7"/>
          <w:u w:val="single"/>
        </w:rPr>
        <w:t xml:space="preserve">自</w:t>
      </w:r>
      <w:r>
        <w:rPr>
          <w:rFonts w:eastAsia="宋体"/>
          <w:i/>
          <w:spacing w:val="7"/>
          <w:u w:val="single"/>
          <w:lang w:eastAsia="zh-CN"/>
        </w:rPr>
        <w:t xml:space="preserve">2024年5月1日</w:t>
      </w:r>
      <w:r>
        <w:rPr>
          <w:rFonts w:eastAsia="宋体"/>
          <w:i/>
          <w:spacing w:val="7"/>
          <w:u w:val="single"/>
        </w:rPr>
        <w:t xml:space="preserve">起至</w:t>
      </w:r>
      <w:r>
        <w:rPr>
          <w:rFonts w:eastAsia="宋体"/>
          <w:i/>
          <w:spacing w:val="7"/>
          <w:u w:val="single"/>
          <w:lang w:eastAsia="zh-CN"/>
        </w:rPr>
        <w:t xml:space="preserve">2026年4月30日止，具体以实际服务时间为准。</w:t>
      </w:r>
      <w:r>
        <w:rPr>
          <w:rFonts w:eastAsia="宋体"/>
          <w:i/>
          <w:spacing w:val="7"/>
          <w:u w:val="single"/>
          <w:lang w:eastAsia="zh-CN"/>
        </w:rPr>
      </w:r>
      <w:r/>
    </w:p>
    <w:p>
      <w:pPr>
        <w:pStyle w:val="1293"/>
        <w:ind w:firstLine="500"/>
        <w:spacing w:line="440" w:lineRule="exact"/>
        <w:rPr>
          <w:rFonts w:eastAsia="宋体"/>
          <w:b/>
          <w:spacing w:val="7"/>
        </w:rPr>
      </w:pPr>
      <w:r>
        <w:rPr>
          <w:rFonts w:eastAsia="宋体"/>
          <w:b/>
          <w:spacing w:val="7"/>
        </w:rPr>
        <w:t xml:space="preserve">2 货款支付</w:t>
      </w:r>
      <w:r>
        <w:rPr>
          <w:rFonts w:eastAsia="宋体"/>
          <w:b/>
          <w:spacing w:val="7"/>
        </w:rPr>
      </w:r>
      <w:r/>
    </w:p>
    <w:p>
      <w:pPr>
        <w:pStyle w:val="1293"/>
        <w:ind w:firstLine="500"/>
        <w:spacing w:line="440" w:lineRule="exact"/>
        <w:rPr>
          <w:rFonts w:eastAsia="宋体"/>
          <w:i/>
          <w:spacing w:val="7"/>
          <w:u w:val="single"/>
        </w:rPr>
      </w:pPr>
      <w:r>
        <w:rPr>
          <w:rFonts w:eastAsia="宋体"/>
          <w:i/>
          <w:spacing w:val="7"/>
          <w:u w:val="single"/>
        </w:rPr>
        <w:t xml:space="preserve">2.1、结付程序</w:t>
      </w:r>
      <w:r>
        <w:rPr>
          <w:rFonts w:eastAsia="宋体"/>
          <w:i/>
          <w:spacing w:val="7"/>
          <w:u w:val="single"/>
        </w:rPr>
      </w:r>
      <w:r/>
    </w:p>
    <w:p>
      <w:pPr>
        <w:pStyle w:val="1293"/>
        <w:ind w:firstLine="500"/>
        <w:spacing w:line="440" w:lineRule="exact"/>
        <w:rPr>
          <w:rFonts w:eastAsia="宋体"/>
          <w:i/>
          <w:spacing w:val="7"/>
          <w:u w:val="single"/>
        </w:rPr>
      </w:pPr>
      <w:r>
        <w:rPr>
          <w:rFonts w:eastAsia="宋体"/>
          <w:i/>
          <w:spacing w:val="7"/>
          <w:u w:val="single"/>
        </w:rPr>
        <w:t xml:space="preserve">供方按本合同内容合格地履行服务义务后，凭考核表、销售发票到采购单位办理货款（或工程款）结算手续。</w:t>
      </w:r>
      <w:r>
        <w:rPr>
          <w:rFonts w:eastAsia="宋体"/>
          <w:i/>
          <w:spacing w:val="7"/>
          <w:u w:val="single"/>
        </w:rPr>
      </w:r>
      <w:r/>
    </w:p>
    <w:p>
      <w:pPr>
        <w:pStyle w:val="1293"/>
        <w:ind w:firstLine="500"/>
        <w:spacing w:line="440" w:lineRule="exact"/>
        <w:rPr>
          <w:rFonts w:eastAsia="宋体"/>
          <w:i/>
          <w:spacing w:val="7"/>
          <w:u w:val="single"/>
        </w:rPr>
      </w:pPr>
      <w:r>
        <w:rPr>
          <w:rFonts w:eastAsia="宋体"/>
          <w:i/>
          <w:spacing w:val="7"/>
          <w:u w:val="single"/>
        </w:rPr>
        <w:t xml:space="preserve">2.2、结付期限</w:t>
      </w:r>
      <w:r>
        <w:rPr>
          <w:rFonts w:eastAsia="宋体"/>
          <w:i/>
          <w:spacing w:val="7"/>
          <w:u w:val="single"/>
        </w:rPr>
      </w:r>
      <w:r/>
    </w:p>
    <w:p>
      <w:pPr>
        <w:pStyle w:val="1293"/>
        <w:ind w:firstLine="500"/>
        <w:spacing w:line="440" w:lineRule="exact"/>
        <w:rPr>
          <w:rFonts w:eastAsia="宋体"/>
          <w:i/>
          <w:spacing w:val="7"/>
          <w:u w:val="single"/>
        </w:rPr>
      </w:pPr>
      <w:r>
        <w:rPr>
          <w:rFonts w:eastAsia="宋体"/>
          <w:i/>
          <w:spacing w:val="7"/>
          <w:u w:val="single"/>
        </w:rPr>
        <w:t xml:space="preserve">合同签订生效后，待整个服务项目所需人员全部到位，经采购人（甲方）认可后开始进场管理。采购人（甲方）15个工作日内（具体以财政拨付情况为准）支付合同金额（管护部分）的10%作为预付款；采购人（甲方）按计划进行考核，每次考核完成后的</w:t>
      </w:r>
      <w:r>
        <w:rPr>
          <w:rFonts w:eastAsia="宋体"/>
          <w:i/>
          <w:spacing w:val="7"/>
          <w:u w:val="single"/>
          <w:lang w:val="en-US" w:eastAsia="zh-CN"/>
        </w:rPr>
        <w:t xml:space="preserve">30</w:t>
      </w:r>
      <w:r>
        <w:rPr>
          <w:rFonts w:eastAsia="宋体"/>
          <w:i/>
          <w:spacing w:val="7"/>
          <w:u w:val="single"/>
        </w:rPr>
        <w:t xml:space="preserve">个工作日内（具体以财政拨付情况为准）支付服务费。其中第一次考核从合同签订之日起至2024年</w:t>
      </w:r>
      <w:r>
        <w:rPr>
          <w:rFonts w:eastAsia="宋体"/>
          <w:i/>
          <w:spacing w:val="7"/>
          <w:u w:val="single"/>
          <w:lang w:eastAsia="zh-CN"/>
        </w:rPr>
        <w:t xml:space="preserve">7月31日</w:t>
      </w:r>
      <w:r>
        <w:rPr>
          <w:rFonts w:eastAsia="宋体"/>
          <w:i/>
          <w:spacing w:val="7"/>
          <w:u w:val="single"/>
        </w:rPr>
        <w:t xml:space="preserve">，之后每三个月考核一次。服务费按考核得分计算的服务费（按合同金额的90%计算）支付；每次考核平均分数在</w:t>
      </w:r>
      <w:r>
        <w:rPr>
          <w:rFonts w:eastAsia="宋体"/>
          <w:i/>
          <w:spacing w:val="7"/>
          <w:u w:val="single"/>
          <w:lang w:val="en-US" w:eastAsia="zh-CN"/>
        </w:rPr>
        <w:t xml:space="preserve">960</w:t>
      </w:r>
      <w:r>
        <w:rPr>
          <w:rFonts w:eastAsia="宋体"/>
          <w:i/>
          <w:spacing w:val="7"/>
          <w:u w:val="single"/>
        </w:rPr>
        <w:t xml:space="preserve">分及以上的，全额支付服务费，</w:t>
      </w:r>
      <w:r>
        <w:rPr>
          <w:rFonts w:eastAsia="宋体"/>
          <w:i/>
          <w:spacing w:val="7"/>
          <w:u w:val="single"/>
          <w:lang w:val="en-US" w:eastAsia="zh-CN"/>
        </w:rPr>
        <w:t xml:space="preserve">960</w:t>
      </w:r>
      <w:r>
        <w:rPr>
          <w:rFonts w:eastAsia="宋体"/>
          <w:i/>
          <w:spacing w:val="7"/>
          <w:u w:val="single"/>
        </w:rPr>
        <w:t xml:space="preserve">分以下的，每低1分扣当季服务费的</w:t>
      </w:r>
      <w:r>
        <w:rPr>
          <w:rFonts w:eastAsia="宋体"/>
          <w:i/>
          <w:spacing w:val="7"/>
          <w:u w:val="single"/>
          <w:lang w:val="en-US" w:eastAsia="zh-CN"/>
        </w:rPr>
        <w:t xml:space="preserve">0.</w:t>
      </w:r>
      <w:r>
        <w:rPr>
          <w:rFonts w:eastAsia="宋体"/>
          <w:i/>
          <w:spacing w:val="7"/>
          <w:u w:val="single"/>
          <w:lang w:eastAsia="zh-CN"/>
        </w:rPr>
        <w:t xml:space="preserve">02</w:t>
      </w:r>
      <w:r>
        <w:rPr>
          <w:rFonts w:eastAsia="宋体"/>
          <w:i/>
          <w:spacing w:val="7"/>
          <w:u w:val="single"/>
        </w:rPr>
        <w:t xml:space="preserve">%。（运维按照对应的考核标准进行打分及计算服务费）</w:t>
      </w:r>
      <w:r>
        <w:rPr>
          <w:rFonts w:eastAsia="宋体"/>
          <w:i/>
          <w:spacing w:val="7"/>
          <w:u w:val="single"/>
        </w:rPr>
      </w:r>
      <w:r/>
    </w:p>
    <w:p>
      <w:pPr>
        <w:pStyle w:val="1293"/>
        <w:ind w:firstLine="500"/>
        <w:spacing w:line="440" w:lineRule="exact"/>
        <w:rPr>
          <w:rFonts w:eastAsia="宋体"/>
          <w:b/>
          <w:spacing w:val="7"/>
        </w:rPr>
      </w:pPr>
      <w:r>
        <w:rPr>
          <w:rFonts w:eastAsia="宋体"/>
          <w:b/>
          <w:spacing w:val="7"/>
        </w:rPr>
        <w:t xml:space="preserve">3 投标货币</w:t>
      </w:r>
      <w:r>
        <w:rPr>
          <w:rFonts w:eastAsia="宋体"/>
          <w:b/>
          <w:spacing w:val="7"/>
        </w:rPr>
      </w:r>
      <w:r/>
    </w:p>
    <w:p>
      <w:pPr>
        <w:pStyle w:val="1293"/>
        <w:ind w:firstLine="500"/>
        <w:spacing w:line="440" w:lineRule="exact"/>
        <w:rPr>
          <w:rFonts w:eastAsia="宋体"/>
          <w:i/>
          <w:spacing w:val="7"/>
          <w:u w:val="single"/>
        </w:rPr>
      </w:pPr>
      <w:r>
        <w:rPr>
          <w:rFonts w:eastAsia="宋体"/>
          <w:i/>
          <w:spacing w:val="7"/>
          <w:u w:val="single"/>
        </w:rPr>
        <w:t xml:space="preserve">3.1、投标货币</w:t>
      </w:r>
      <w:r>
        <w:rPr>
          <w:rFonts w:eastAsia="宋体"/>
          <w:i/>
          <w:spacing w:val="7"/>
          <w:u w:val="single"/>
        </w:rPr>
      </w:r>
      <w:r/>
    </w:p>
    <w:p>
      <w:pPr>
        <w:pStyle w:val="1293"/>
        <w:ind w:firstLine="500"/>
        <w:spacing w:line="440" w:lineRule="exact"/>
        <w:rPr>
          <w:rFonts w:eastAsia="宋体"/>
          <w:i/>
          <w:spacing w:val="7"/>
          <w:u w:val="single"/>
        </w:rPr>
      </w:pPr>
      <w:r>
        <w:rPr>
          <w:rFonts w:eastAsia="宋体"/>
          <w:i/>
          <w:spacing w:val="7"/>
          <w:u w:val="single"/>
        </w:rPr>
        <w:t xml:space="preserve">人民币</w:t>
      </w:r>
      <w:r>
        <w:rPr>
          <w:rFonts w:eastAsia="宋体"/>
          <w:i/>
          <w:spacing w:val="7"/>
          <w:u w:val="single"/>
        </w:rPr>
      </w:r>
      <w:r/>
    </w:p>
    <w:p>
      <w:pPr>
        <w:pStyle w:val="1293"/>
        <w:ind w:firstLine="500"/>
        <w:spacing w:line="440" w:lineRule="exact"/>
        <w:rPr>
          <w:rFonts w:eastAsia="宋体"/>
          <w:b/>
          <w:spacing w:val="7"/>
        </w:rPr>
      </w:pPr>
      <w:r>
        <w:rPr>
          <w:rFonts w:eastAsia="宋体"/>
          <w:b/>
          <w:spacing w:val="7"/>
        </w:rPr>
        <w:t xml:space="preserve">4 备品备件及耗材等要求</w:t>
      </w:r>
      <w:r>
        <w:rPr>
          <w:rFonts w:eastAsia="宋体"/>
          <w:b/>
          <w:spacing w:val="7"/>
        </w:rPr>
      </w:r>
      <w:r/>
    </w:p>
    <w:p>
      <w:pPr>
        <w:pStyle w:val="1293"/>
        <w:ind w:firstLine="500"/>
        <w:spacing w:line="440" w:lineRule="exact"/>
        <w:rPr>
          <w:rFonts w:eastAsia="宋体"/>
          <w:i/>
          <w:spacing w:val="7"/>
          <w:u w:val="single"/>
        </w:rPr>
      </w:pPr>
      <w:r>
        <w:rPr>
          <w:rFonts w:eastAsia="宋体"/>
          <w:i/>
          <w:spacing w:val="7"/>
          <w:u w:val="single"/>
        </w:rPr>
        <w:t xml:space="preserve">4.1、备品备件及耗材等要求</w:t>
      </w:r>
      <w:r>
        <w:rPr>
          <w:rFonts w:eastAsia="宋体"/>
          <w:i/>
          <w:spacing w:val="7"/>
          <w:u w:val="single"/>
        </w:rPr>
      </w:r>
      <w:r/>
    </w:p>
    <w:p>
      <w:pPr>
        <w:pStyle w:val="1293"/>
        <w:ind w:firstLine="500"/>
        <w:spacing w:line="440" w:lineRule="exact"/>
        <w:rPr>
          <w:rFonts w:eastAsia="宋体"/>
          <w:i/>
          <w:spacing w:val="7"/>
          <w:u w:val="single"/>
          <w:lang w:eastAsia="zh-CN"/>
        </w:rPr>
      </w:pPr>
      <w:r>
        <w:rPr>
          <w:rFonts w:eastAsia="宋体"/>
          <w:i/>
          <w:spacing w:val="7"/>
          <w:u w:val="single"/>
        </w:rPr>
        <w:t xml:space="preserve">无。</w:t>
      </w:r>
      <w:r>
        <w:rPr>
          <w:rFonts w:eastAsia="宋体"/>
          <w:i/>
          <w:spacing w:val="7"/>
          <w:u w:val="single"/>
          <w:lang w:eastAsia="zh-CN"/>
        </w:rPr>
      </w:r>
      <w:r/>
    </w:p>
    <w:p>
      <w:pPr>
        <w:pStyle w:val="926"/>
        <w:jc w:val="left"/>
        <w:spacing w:line="360" w:lineRule="auto"/>
        <w:rPr>
          <w:rFonts w:ascii="Times New Roman" w:hAnsi="Times New Roman"/>
          <w:sz w:val="24"/>
        </w:rPr>
      </w:pPr>
      <w:r/>
      <w:bookmarkStart w:id="225" w:name="EBeba33935409e4c76a800f8c7f49348de"/>
      <w:r/>
      <w:bookmarkEnd w:id="225"/>
      <w:r>
        <w:rPr>
          <w:rFonts w:ascii="Times New Roman" w:hAnsi="Times New Roman"/>
          <w:sz w:val="24"/>
        </w:rPr>
      </w:r>
      <w:r/>
    </w:p>
    <w:p>
      <w:pPr>
        <w:pStyle w:val="938"/>
        <w:ind w:firstLine="0"/>
        <w:rPr>
          <w:rFonts w:ascii="Times New Roman" w:hAnsi="Times New Roman" w:cs="Times New Roman"/>
        </w:rPr>
        <w:sectPr>
          <w:footerReference w:type="default" r:id="rId13"/>
          <w:footerReference w:type="even" r:id="rId14"/>
          <w:footerReference w:type="first" r:id="rId15"/>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cs="Times New Roman"/>
        </w:rPr>
      </w:r>
      <w:r/>
    </w:p>
    <w:p>
      <w:pPr>
        <w:pStyle w:val="926"/>
        <w:spacing w:line="440" w:lineRule="exact"/>
        <w:rPr>
          <w:rFonts w:ascii="Times New Roman" w:hAnsi="Times New Roman"/>
          <w:b/>
          <w:sz w:val="28"/>
          <w:szCs w:val="28"/>
        </w:rPr>
      </w:pPr>
      <w:r>
        <w:rPr>
          <w:rFonts w:ascii="Times New Roman" w:hAnsi="Times New Roman"/>
          <w:b/>
          <w:sz w:val="28"/>
          <w:szCs w:val="28"/>
        </w:rPr>
        <w:t xml:space="preserve">四、其他部分 </w:t>
      </w:r>
      <w:r>
        <w:rPr>
          <w:rFonts w:ascii="Times New Roman" w:hAnsi="Times New Roman"/>
          <w:b/>
          <w:sz w:val="28"/>
          <w:szCs w:val="28"/>
        </w:rPr>
      </w:r>
      <w:r/>
    </w:p>
    <w:tbl>
      <w:tblPr>
        <w:tblW w:w="13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125"/>
        <w:gridCol w:w="6737"/>
        <w:gridCol w:w="1727"/>
        <w:gridCol w:w="1290"/>
        <w:gridCol w:w="1147"/>
      </w:tblGrid>
      <w:tr>
        <w:trPr>
          <w:trHeight w:val="465"/>
        </w:trPr>
        <w:tc>
          <w:tcPr>
            <w:gridSpan w:val="6"/>
            <w:tcW w:w="13898"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长防处大中型闸站运行管理定期考核表</w:t>
            </w:r>
            <w:r>
              <w:rPr>
                <w:rFonts w:ascii="Times New Roman" w:hAnsi="Times New Roman"/>
                <w:b/>
                <w:bCs/>
                <w:sz w:val="24"/>
                <w:szCs w:val="24"/>
              </w:rPr>
            </w:r>
            <w:r/>
          </w:p>
        </w:tc>
      </w:tr>
      <w:tr>
        <w:trPr>
          <w:trHeight w:val="322"/>
        </w:trPr>
        <w:tc>
          <w:tcPr>
            <w:tcW w:w="872"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类别</w:t>
            </w:r>
            <w:r>
              <w:rPr>
                <w:rFonts w:ascii="Times New Roman" w:hAnsi="Times New Roman"/>
                <w:b/>
                <w:bCs/>
                <w:sz w:val="24"/>
                <w:szCs w:val="24"/>
              </w:rPr>
            </w:r>
            <w:r/>
          </w:p>
        </w:tc>
        <w:tc>
          <w:tcPr>
            <w:tcW w:w="2124"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项目</w:t>
            </w:r>
            <w:r>
              <w:rPr>
                <w:rFonts w:ascii="Times New Roman" w:hAnsi="Times New Roman"/>
                <w:b/>
                <w:bCs/>
                <w:sz w:val="24"/>
                <w:szCs w:val="24"/>
              </w:rPr>
            </w:r>
            <w:r/>
          </w:p>
        </w:tc>
        <w:tc>
          <w:tcPr>
            <w:tcW w:w="6737"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评价指标及赋分</w:t>
            </w:r>
            <w:r>
              <w:rPr>
                <w:rFonts w:ascii="Times New Roman" w:hAnsi="Times New Roman"/>
                <w:b/>
                <w:bCs/>
                <w:sz w:val="24"/>
                <w:szCs w:val="24"/>
              </w:rPr>
            </w:r>
            <w:r/>
          </w:p>
        </w:tc>
        <w:tc>
          <w:tcPr>
            <w:tcW w:w="1727"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标准分</w:t>
            </w:r>
            <w:r>
              <w:rPr>
                <w:rFonts w:ascii="Times New Roman" w:hAnsi="Times New Roman"/>
                <w:b/>
                <w:bCs/>
                <w:sz w:val="24"/>
                <w:szCs w:val="24"/>
              </w:rPr>
            </w:r>
            <w:r/>
          </w:p>
        </w:tc>
        <w:tc>
          <w:tcPr>
            <w:tcW w:w="1290"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扣分</w:t>
            </w:r>
            <w:r>
              <w:rPr>
                <w:rFonts w:ascii="Times New Roman" w:hAnsi="Times New Roman"/>
                <w:b/>
                <w:bCs/>
                <w:sz w:val="24"/>
                <w:szCs w:val="24"/>
              </w:rPr>
            </w:r>
            <w:r/>
          </w:p>
        </w:tc>
        <w:tc>
          <w:tcPr>
            <w:tcW w:w="1146"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自评分</w:t>
            </w:r>
            <w:r>
              <w:rPr>
                <w:rFonts w:ascii="Times New Roman" w:hAnsi="Times New Roman"/>
                <w:b/>
                <w:bCs/>
                <w:sz w:val="24"/>
                <w:szCs w:val="24"/>
              </w:rPr>
            </w:r>
            <w:r/>
          </w:p>
        </w:tc>
      </w:tr>
      <w:tr>
        <w:trPr>
          <w:trHeight w:val="310"/>
        </w:trPr>
        <w:tc>
          <w:tcPr>
            <w:gridSpan w:val="3"/>
            <w:tcW w:w="9734"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总计</w:t>
            </w:r>
            <w:r>
              <w:rPr>
                <w:rFonts w:ascii="Times New Roman" w:hAnsi="Times New Roman"/>
                <w:b/>
                <w:bCs/>
                <w:sz w:val="24"/>
                <w:szCs w:val="24"/>
              </w:rPr>
            </w:r>
            <w:r/>
          </w:p>
        </w:tc>
        <w:tc>
          <w:tcPr>
            <w:tcW w:w="1727"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1000</w:t>
            </w:r>
            <w:r>
              <w:rPr>
                <w:rFonts w:ascii="Times New Roman" w:hAnsi="Times New Roman"/>
                <w:b/>
                <w:bCs/>
                <w:sz w:val="24"/>
                <w:szCs w:val="24"/>
              </w:rPr>
            </w:r>
            <w:r/>
          </w:p>
        </w:tc>
        <w:tc>
          <w:tcPr>
            <w:tcW w:w="1290"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c>
          <w:tcPr>
            <w:tcW w:w="1146"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r>
      <w:tr>
        <w:trPr>
          <w:trHeight w:val="310"/>
        </w:trPr>
        <w:tc>
          <w:tcPr>
            <w:gridSpan w:val="3"/>
            <w:tcW w:w="9734" w:type="dxa"/>
            <w:vAlign w:val="center"/>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t xml:space="preserve">一、工程状况</w:t>
            </w:r>
            <w:r>
              <w:rPr>
                <w:rFonts w:ascii="Times New Roman" w:hAnsi="Times New Roman"/>
                <w:b/>
                <w:bCs/>
                <w:sz w:val="24"/>
                <w:szCs w:val="24"/>
              </w:rPr>
            </w:r>
            <w:r/>
          </w:p>
        </w:tc>
        <w:tc>
          <w:tcPr>
            <w:tcW w:w="1727"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206</w:t>
            </w:r>
            <w:r>
              <w:rPr>
                <w:rFonts w:ascii="Times New Roman" w:hAnsi="Times New Roman"/>
                <w:b/>
                <w:bCs/>
                <w:sz w:val="24"/>
                <w:szCs w:val="24"/>
              </w:rPr>
            </w:r>
            <w:r/>
          </w:p>
        </w:tc>
        <w:tc>
          <w:tcPr>
            <w:tcW w:w="1290"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c>
          <w:tcPr>
            <w:tcW w:w="1146"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r>
      <w:tr>
        <w:trPr>
          <w:trHeight w:val="298"/>
        </w:trPr>
        <w:tc>
          <w:tcPr>
            <w:tcW w:w="872" w:type="dxa"/>
            <w:vAlign w:val="center"/>
            <w:vMerge w:val="restart"/>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一、工程状况（206分）</w:t>
            </w: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工程面貌与环境</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各场所环境不整洁或有物品乱堆放等现象，不符合要求的，发现一次，扣2分。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闸站环境管理责任不明确，扣1分；卫生不整洁，工具、物件等摆放不整齐，每处扣2分。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周边场地，河道护坡不清洁、不整齐，有杂草杂物，每处扣2分。工程附件水面有较多漂浮物的，扣5分。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拦污栅、清污机垃圾未定期清理，垃圾未及时清运，发现一次，扣5分。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未节约水电，发现一次，扣1-2分。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操作不当，造成生活设施设备电器损坏的，发现一次，扣1分；造成损失的由投标单位赔偿。</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096"/>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发现绿地内有垃圾杂物，修剪后枝叶未及时清理，草木过高未修剪，未定期有人养护，未及时松土除杂草，绿化树木及草坪未进行适期适量浇水，及时抗旱，绿地内有积水，坑洼未及时填平，雨后积水未及时排除，绿地及林地内树木有死株，断枝及明显枯枝，树木有大片光秃落叶，因台风等灾害天气造成树木倒伏时，未及时扶正支撑倒伏树木，发现病虫害未积极防治，未按规定使用农药，未结合冬季树木涂白，发现一次扣1分。有反映绿化养护存在问题，发现一次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20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绿化养护施工及人员培训无台帐，扣5分。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未按规定对现场设施设备日常养护的，一处扣2分。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备用电源未按要求试运行的，一次扣5分。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机组未按要求试运行的，一次扣10分。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20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记录不规范、不齐全每次扣1分。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因日常养护不到位造成设备不能正常运行的，一处扣10分；并承担损坏费用。</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设备设施</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设备设施是否清洁，不符合要求的，发现一次，扣2分。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未对安全设施设备进行日常巡查和定期检查，每次扣2分。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劳动保护用品配备不满足安全生产要求，扣5分。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管理设施存在问题未及时上报的，每次扣5分。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监控设施及水情设施损坏、视频及数据有误未及时汇报扣2分；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记录不规范的，每次扣1分。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标识标牌</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未指导招标单位进行各类标识标牌完善的，扣5分；未对标识标牌布局合理性调整的，扣2分。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未提出标识标牌更新意见的，扣5分。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未设置统计台帐或无检查维护资料，扣2分；资料不齐全的，扣1分。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310"/>
        </w:trPr>
        <w:tc>
          <w:tcPr>
            <w:gridSpan w:val="3"/>
            <w:tcW w:w="9734" w:type="dxa"/>
            <w:vAlign w:val="center"/>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t xml:space="preserve">二、安全管理</w:t>
            </w:r>
            <w:r>
              <w:rPr>
                <w:rFonts w:ascii="Times New Roman" w:hAnsi="Times New Roman"/>
                <w:b/>
                <w:bCs/>
                <w:sz w:val="24"/>
                <w:szCs w:val="24"/>
              </w:rPr>
            </w:r>
            <w:r/>
          </w:p>
        </w:tc>
        <w:tc>
          <w:tcPr>
            <w:tcW w:w="1727"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197</w:t>
            </w:r>
            <w:r>
              <w:rPr>
                <w:rFonts w:ascii="Times New Roman" w:hAnsi="Times New Roman"/>
                <w:b/>
                <w:bCs/>
                <w:sz w:val="24"/>
                <w:szCs w:val="24"/>
              </w:rPr>
            </w:r>
            <w:r/>
          </w:p>
        </w:tc>
        <w:tc>
          <w:tcPr>
            <w:tcW w:w="1290"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c>
          <w:tcPr>
            <w:tcW w:w="1146"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r>
      <w:tr>
        <w:trPr>
          <w:trHeight w:val="298"/>
        </w:trPr>
        <w:tc>
          <w:tcPr>
            <w:tcW w:w="872" w:type="dxa"/>
            <w:vAlign w:val="center"/>
            <w:vMerge w:val="restart"/>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二、安全管理（197分）</w:t>
            </w: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工程划界</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未指导招标单位进行工程管理范围划定的，扣5分；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未指导招标单位进行布置界桩和公告牌的，扣5分；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未按规定对工程及管理范围、保护范围进行管理和巡查，每少1次扣2分。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保护管理</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在工程管理范围内未禁止危害工程安全的活动，发现一次，扣2分；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未妥善保护机电设备、水文、通讯、观测设施的，发现一次，扣2分；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未按照规定开展定期检查、专项检查、安全检查、机电设备等级评定工作，并形成安全检查和评定报告，每项扣2分。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发现违章行为是否采取有效措施予以制止并及时上报，每次扣2分。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记录不详或有误的，扣1分；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防汛管理</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未指导招标单位进行相关防汛管理的，扣5分。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未建立防汛体系，防汛组织机构不明确，防汛责任不清晰，责任制未落实，扣5分。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防汛应急预案不全的，每项扣1分；应急预案不符合工程实际，每发现1处扣1分。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未开展事故应急救援、防汛抢险等培训和演练，扣5分。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安全生产</w:t>
            </w:r>
            <w:r>
              <w:rPr>
                <w:rFonts w:ascii="Times New Roman" w:hAnsi="Times New Roman"/>
                <w:sz w:val="24"/>
                <w:szCs w:val="24"/>
              </w:rPr>
              <w:br w:type="textWrapping" w:clear="all"/>
            </w:r>
            <w:r>
              <w:rPr>
                <w:rFonts w:ascii="Times New Roman" w:hAnsi="Times New Roman"/>
                <w:sz w:val="24"/>
                <w:szCs w:val="24"/>
              </w:rPr>
              <w:t xml:space="preserve">（120分）</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未按照相关要求，建立健全安全生产责任制、工程运行、安全检查、维修养护、隐患排查、防火、安全用电等方面的安全管理制度，扣5分。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未制定各类事故应急预案、抢险预案及措施的，扣5分。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各项安全管理制度体系不全、未执行、未落实，未明确岗位责任，每项扣1分。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各项应急预案、抢险预案岗位责任未明确、措施未落实，每项扣1分。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突发事件未及时上报，每次扣2分；突发事件后未启动应急措施，每次扣5分。未果断采取应急措施造成的损失由中标人赔偿。</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未按照有关规定对管理范围内生产、生活设施进行安全管理，每次扣2分。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未按照安全生产标准化的要求做好危险源的识别及动态管理，每次扣2分。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未组织开展消防演练的，扣5分。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故障或事故发生后未积极采取措施，及时恢复工程正常运行，每次扣5分。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工程安全检查、隐患排查和登记建档制度不健全，每缺1项扣2分；制度不符合实际扣2分。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事故报告和应急响应机制不健全，扣5分。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未开展危险源辨识和隐患排查治理，扣10分；未落实管控措施，扣5分；安全隐患台账记录不全，每缺1处扣2分.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未定期检查和落实防火、防爆、防暑等措施（以检查和落实记录为准），扣5分。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安全生产隐患治理责任人未落实，每发现1处扣2分；工程安全隐患消除前未落实相应的安全保障措施，每发现1处扣2分。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未及时开展排查安全隐患，存在隐患时未及时报告并登记造册，未有相应有效措施，每次扣5分。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如发生安全事故或职工伤亡事件，安全生</w:t>
            </w:r>
            <w:r>
              <w:rPr>
                <w:rFonts w:hint="eastAsia" w:ascii="Times New Roman" w:hAnsi="Times New Roman"/>
                <w:sz w:val="24"/>
                <w:szCs w:val="24"/>
                <w:lang w:eastAsia="zh-CN"/>
              </w:rPr>
              <w:t xml:space="preserve">产事</w:t>
            </w:r>
            <w:r>
              <w:rPr>
                <w:rFonts w:ascii="Times New Roman" w:hAnsi="Times New Roman"/>
                <w:sz w:val="24"/>
                <w:szCs w:val="24"/>
              </w:rPr>
              <w:t xml:space="preserve">项不得分。</w:t>
            </w:r>
            <w:r>
              <w:rPr>
                <w:rFonts w:ascii="Times New Roman" w:hAnsi="Times New Roman"/>
                <w:sz w:val="24"/>
                <w:szCs w:val="24"/>
              </w:rPr>
            </w:r>
            <w:r/>
          </w:p>
        </w:tc>
        <w:tc>
          <w:tcPr>
            <w:tcW w:w="172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310"/>
        </w:trPr>
        <w:tc>
          <w:tcPr>
            <w:gridSpan w:val="3"/>
            <w:tcW w:w="9734" w:type="dxa"/>
            <w:vAlign w:val="center"/>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t xml:space="preserve">三、运行管护</w:t>
            </w:r>
            <w:r>
              <w:rPr>
                <w:rFonts w:ascii="Times New Roman" w:hAnsi="Times New Roman"/>
                <w:b/>
                <w:bCs/>
                <w:sz w:val="24"/>
                <w:szCs w:val="24"/>
              </w:rPr>
            </w:r>
            <w:r/>
          </w:p>
        </w:tc>
        <w:tc>
          <w:tcPr>
            <w:tcW w:w="1727"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369</w:t>
            </w:r>
            <w:r>
              <w:rPr>
                <w:rFonts w:ascii="Times New Roman" w:hAnsi="Times New Roman"/>
                <w:b/>
                <w:bCs/>
                <w:sz w:val="24"/>
                <w:szCs w:val="24"/>
              </w:rPr>
            </w:r>
            <w:r/>
          </w:p>
        </w:tc>
        <w:tc>
          <w:tcPr>
            <w:tcW w:w="1290"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c>
          <w:tcPr>
            <w:tcW w:w="1146"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r>
      <w:tr>
        <w:trPr>
          <w:trHeight w:val="898"/>
        </w:trPr>
        <w:tc>
          <w:tcPr>
            <w:tcW w:w="872" w:type="dxa"/>
            <w:vAlign w:val="center"/>
            <w:vMerge w:val="restart"/>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三、运行管护（369分）</w:t>
            </w:r>
            <w:r>
              <w:rPr>
                <w:rFonts w:ascii="Times New Roman" w:hAnsi="Times New Roman"/>
                <w:b/>
                <w:bCs/>
                <w:sz w:val="24"/>
                <w:szCs w:val="24"/>
              </w:rPr>
            </w:r>
            <w:r/>
          </w:p>
        </w:tc>
        <w:tc>
          <w:tcPr>
            <w:tcW w:w="2124"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管理细则</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根据有关部、省规程和办法，结合工程具体情况，更新完善技术管理实施细则，未进行完善的，扣10分；未及时修订的，扣1-2分；针对性、可操作性不强的扣1-2分。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工程巡查</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建立各类工程检查、运行和检修记录标准格式，未建立的，扣6分；未经招标单位认可，扣2分。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8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检查记录不规范、频次不符合要求的，扣1分；发现问题能及时处理的，未及时处理或不到位的，扣1-2分；需编写相应报告的，未编写的，扣1-2分；未及时整理归档的，扣1分。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堤防巡查：未按规定检查的一次扣2分；记录不全的扣1分.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因巡查不到位，未能及时制止、汇报违章行为，发现一次扣2分；发现现场存在的重大险情没有及时报告的扣5分;造成损失的由中标人进行赔偿。</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安全监测</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做好安全监测设备的巡查记录，未巡查记录的，扣5分。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定期未对自动化检测进行人工比对的，扣1分。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维修养护</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按照规定做好日常维护工作，未执行的，每次扣2分。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维修不及时的，每次扣2分。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对维修养护、检查监测等现场作业进行现场监管，未监管到位的，每次扣2分。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定期上报维修计划，未上报的，扣5分。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控制运行</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未严格按计划和指令实施的，发现一次扣2分；造成一定后果，发生一次扣5分。调度失误，造成的损失由中标人进行赔偿。</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不及时作出响应的发生一次，扣2分。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记录不完整，不规范等，扣1-2分。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泵站运行中存在不安全、不高效、不经济现象，每发现1次扣1分。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操作运行</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更新完善《泵站安全操作规程》《泵站运行规程》和运行管理工作手册，未进行完善的，扣10分；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规程和手册不符合泵站实际或有关规定，每处扣1分。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运行中未按规程和手册执行（以检查记录为准），每发现1次。</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未指导招标单位编制运行现场必需的管理制度、操作规程，技术图样、设备检修情况表等，扣1分。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未指导招标单位在适宜位置明示主要制度、规程和技术图表的，扣1分。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未执行“两票三制”，扣1分；“两票三制”执行不严，每发现1次扣2分。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设备检查、操作和运行巡视记录不齐全、不规范，每发现1次（处）扣2分。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泵站运行情况未进行年度（或灌季）分析和总结，扣5分；分析和总结不全面、不规范，扣1-3分。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根据有关部、省规程和办法，结合工程具体情况，更新完善操作规程，未进行完善的，扣5分；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规程未按照要求告知明示的，扣5分。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未按照规程进行操作的，扣5分。操作人员不固定，未定期培训的，扣2分。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记录不完整，不规范等，每处扣1分。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未及时反馈操作结果的，发现一次，扣1分。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设备管理</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更新完善泵站设备管理工作手册，未进行完善的，扣10分；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设备管理责任不明晰或落实不到位，发现一处扣2分。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设备建档挂牌不齐全、不规范，每发现1台套扣2分。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设备检查保养不全面，技术状态差，存在漏油、漏水、漏气等现象，表面不清洁且存在锈蚀、破损等，每1台套扣2分。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未按要求对各类设备进行检查和维护（以记录为准），每1台套扣2分。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建筑物管理</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更新完善泵站建筑物管理工作手册，未进行完善的，扣10分。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建筑物管理责任不明晰或落实不到位，发现一处扣2分。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建筑物检查不全面，发现一处扣2分。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建筑物超设计标准运用时，未编制应急预案或未经过技术论证，扣5分。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技术档案管理</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更新完善泵站工程技术档案管理手册，未进行完善的，扣5分。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工程检查、观测管理</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更新完善泵站工程检查、观测管理工作手册，未进行完善的，扣10分；手册内容不全面或不符合泵站实际和有关规定，每发现1处扣2分。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未按规定开展工程日常巡查、经常性检查（巡查），每缺1次扣2分。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每年汛期（或灌季）前、后，未对泵站工程各部位进行全面检查，每缺1次扣5分。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当泵站工程遭受特大洪水、地震等自然灾害或发生重大工程事故时，未及时进行特别（专项）检查，扣10分。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未对招标单位检查和观测内容进行指导的，扣1分。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维修检修管理</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更新完善泵站工程维修检修管理工作手册，未进行完善的，扣10分；手册内容不全面或不符合泵站实际和有关规定，每发现1处扣1分。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未对招标单位工程维修检修内容进行指导的，扣5分。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未按规定对建筑物、设备进行评级，缺一</w:t>
            </w:r>
            <w:r>
              <w:rPr>
                <w:rFonts w:ascii="Times New Roman" w:hAnsi="Times New Roman"/>
                <w:sz w:val="24"/>
              </w:rPr>
              <w:t xml:space="preserve">项</w:t>
            </w:r>
            <w:r>
              <w:rPr>
                <w:rFonts w:ascii="Times New Roman" w:hAnsi="Times New Roman"/>
                <w:sz w:val="24"/>
                <w:szCs w:val="24"/>
              </w:rPr>
              <w:t xml:space="preserve">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技术经济指标考核</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未进行建筑物完好率、设备完好率、泵站效率、能源单耗、安全运行率、供排水成本、供排水量、财务收支平衡率指标进行指标考核的，</w:t>
            </w:r>
            <w:r>
              <w:rPr>
                <w:rFonts w:ascii="Times New Roman" w:hAnsi="Times New Roman"/>
                <w:sz w:val="24"/>
              </w:rPr>
              <w:t xml:space="preserve">每</w:t>
            </w:r>
            <w:r>
              <w:rPr>
                <w:rFonts w:ascii="Times New Roman" w:hAnsi="Times New Roman"/>
                <w:sz w:val="24"/>
                <w:szCs w:val="24"/>
              </w:rPr>
              <w:t xml:space="preserve">少一项扣2分。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未对招标单位进行指导的，扣4分。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310"/>
        </w:trPr>
        <w:tc>
          <w:tcPr>
            <w:gridSpan w:val="3"/>
            <w:tcW w:w="9734" w:type="dxa"/>
            <w:vAlign w:val="center"/>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t xml:space="preserve">四、管理保障</w:t>
            </w:r>
            <w:r>
              <w:rPr>
                <w:rFonts w:ascii="Times New Roman" w:hAnsi="Times New Roman"/>
                <w:b/>
                <w:bCs/>
                <w:sz w:val="24"/>
                <w:szCs w:val="24"/>
              </w:rPr>
            </w:r>
            <w:r/>
          </w:p>
        </w:tc>
        <w:tc>
          <w:tcPr>
            <w:tcW w:w="1727"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78</w:t>
            </w:r>
            <w:r>
              <w:rPr>
                <w:rFonts w:ascii="Times New Roman" w:hAnsi="Times New Roman"/>
                <w:b/>
                <w:bCs/>
                <w:sz w:val="24"/>
                <w:szCs w:val="24"/>
              </w:rPr>
            </w:r>
            <w:r/>
          </w:p>
        </w:tc>
        <w:tc>
          <w:tcPr>
            <w:tcW w:w="1290"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c>
          <w:tcPr>
            <w:tcW w:w="1146"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r>
      <w:tr>
        <w:trPr>
          <w:trHeight w:val="898"/>
        </w:trPr>
        <w:tc>
          <w:tcPr>
            <w:tcW w:w="872" w:type="dxa"/>
            <w:vAlign w:val="center"/>
            <w:vMerge w:val="restart"/>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四、管理保障（78分）</w:t>
            </w: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管理体制</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项目管理机构健全，岗位设置、岗位责任主体、人员职责，不健全的，扣1-2分；不清晰的，扣1分；人员设置结构不合理的，扣2分；新上岗职工未培训的，每次扣5分；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无人才激励制度或办法，扣3分；制度或办法落实不到位，每发现1起扣1分。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8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无专业技术和职业技能培训计划，扣3分；计划不合理，扣1分；未按计划组织开展培训，扣2分；人员专业技能不足的，扣1-3分；未有培训记录的，每次扣1分。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8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工程运行时，发现未按要求配备运行人员，一次扣2分；工程停运时，未按要求配备值班人员，一次扣3分；突发性灾害天气，未按照通知要求执行的，一次扣5分；不服从甲方人员调配，一次扣5分。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标准化工作手册</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编制标准化工作手册，未编制的扣10分。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标准化管理手册编制质量差，不能满足相关标准及文件要求，每处扣2分；标准化管理手册未细化，针对性和可操作性不强，每处扣1分。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未按标准化管理手册执行，每处扣1分。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restart"/>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规章制度</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水闸、泵站运行管理类制度不全的，每项扣1分。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管理制度针对性和操作性不强，落实或执行效果差，每处扣1分。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责任落实和制度执行的检查、考核等工作无计划的，每处扣2分；计划不合理，每处扣1分；未按计划执行或执行不到位的，每次扣1分。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vMerge w:val="continue"/>
            <w:textDirection w:val="lrTb"/>
            <w:noWrap w:val="false"/>
          </w:tcPr>
          <w:p>
            <w:pPr>
              <w:pStyle w:val="926"/>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未指导招标单位关于水闸、泵站等关键制度和规程未明的，每处扣1分。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310"/>
        </w:trPr>
        <w:tc>
          <w:tcPr>
            <w:gridSpan w:val="3"/>
            <w:tcW w:w="9734" w:type="dxa"/>
            <w:vAlign w:val="center"/>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t xml:space="preserve">五、信息化管理</w:t>
            </w:r>
            <w:r>
              <w:rPr>
                <w:rFonts w:ascii="Times New Roman" w:hAnsi="Times New Roman"/>
                <w:b/>
                <w:bCs/>
                <w:sz w:val="24"/>
                <w:szCs w:val="24"/>
              </w:rPr>
            </w:r>
            <w:r/>
          </w:p>
        </w:tc>
        <w:tc>
          <w:tcPr>
            <w:tcW w:w="1727"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20</w:t>
            </w:r>
            <w:r>
              <w:rPr>
                <w:rFonts w:ascii="Times New Roman" w:hAnsi="Times New Roman"/>
                <w:b/>
                <w:bCs/>
                <w:sz w:val="24"/>
                <w:szCs w:val="24"/>
              </w:rPr>
            </w:r>
            <w:r/>
          </w:p>
        </w:tc>
        <w:tc>
          <w:tcPr>
            <w:tcW w:w="1290"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c>
          <w:tcPr>
            <w:tcW w:w="1146"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r>
      <w:tr>
        <w:trPr>
          <w:trHeight w:val="597"/>
        </w:trPr>
        <w:tc>
          <w:tcPr>
            <w:tcW w:w="872" w:type="dxa"/>
            <w:vAlign w:val="center"/>
            <w:vMerge w:val="restart"/>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五、管理（20分）</w:t>
            </w:r>
            <w:r>
              <w:rPr>
                <w:rFonts w:ascii="Times New Roman" w:hAnsi="Times New Roman"/>
                <w:b/>
                <w:bCs/>
                <w:sz w:val="24"/>
                <w:szCs w:val="24"/>
              </w:rPr>
            </w:r>
            <w:r/>
          </w:p>
        </w:tc>
        <w:tc>
          <w:tcPr>
            <w:tcW w:w="2124"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掌握信息化平台使用方法</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能熟练使用基本的信息化平台；包括控制系统操作、水利工程管理平台填报信息；水文监测平台及安防平台查看数据和监控视频，达不到要求的此项不得分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898"/>
        </w:trPr>
        <w:tc>
          <w:tcPr>
            <w:tcW w:w="872" w:type="dxa"/>
            <w:vAlign w:val="center"/>
            <w:vMerge w:val="continue"/>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r>
            <w:r/>
          </w:p>
        </w:tc>
        <w:tc>
          <w:tcPr>
            <w:tcW w:w="2124"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信息化平台问题识别上报</w:t>
            </w: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闸站上水位数据、视频监控等关键信息出现问题时，或者其他软件平台出现错误时能准确识别错误并及时上报；识别不出的，每项扣2分；未及时上报的，每项扣2分。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310"/>
        </w:trPr>
        <w:tc>
          <w:tcPr>
            <w:gridSpan w:val="3"/>
            <w:tcW w:w="9734" w:type="dxa"/>
            <w:vAlign w:val="center"/>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t xml:space="preserve">六、定期养护</w:t>
            </w:r>
            <w:r>
              <w:rPr>
                <w:rFonts w:ascii="Times New Roman" w:hAnsi="Times New Roman"/>
                <w:b/>
                <w:bCs/>
                <w:sz w:val="24"/>
                <w:szCs w:val="24"/>
              </w:rPr>
            </w:r>
            <w:r/>
          </w:p>
        </w:tc>
        <w:tc>
          <w:tcPr>
            <w:tcW w:w="1727"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100</w:t>
            </w:r>
            <w:r>
              <w:rPr>
                <w:rFonts w:ascii="Times New Roman" w:hAnsi="Times New Roman"/>
                <w:b/>
                <w:bCs/>
                <w:sz w:val="24"/>
                <w:szCs w:val="24"/>
              </w:rPr>
            </w:r>
            <w:r/>
          </w:p>
        </w:tc>
        <w:tc>
          <w:tcPr>
            <w:tcW w:w="1290"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c>
          <w:tcPr>
            <w:tcW w:w="1146"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r>
      <w:tr>
        <w:trPr>
          <w:trHeight w:val="346"/>
        </w:trPr>
        <w:tc>
          <w:tcPr>
            <w:gridSpan w:val="2"/>
            <w:tcW w:w="2997"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按照定期养护考核内容考核并评分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310"/>
        </w:trPr>
        <w:tc>
          <w:tcPr>
            <w:gridSpan w:val="3"/>
            <w:tcW w:w="9734" w:type="dxa"/>
            <w:vAlign w:val="center"/>
            <w:textDirection w:val="lrTb"/>
            <w:noWrap w:val="false"/>
          </w:tcPr>
          <w:p>
            <w:pPr>
              <w:pStyle w:val="926"/>
              <w:widowControl/>
              <w:rPr>
                <w:rFonts w:ascii="Times New Roman" w:hAnsi="Times New Roman"/>
                <w:b/>
                <w:bCs/>
                <w:sz w:val="24"/>
                <w:szCs w:val="24"/>
              </w:rPr>
            </w:pPr>
            <w:r>
              <w:rPr>
                <w:rFonts w:ascii="Times New Roman" w:hAnsi="Times New Roman"/>
                <w:b/>
                <w:bCs/>
                <w:sz w:val="24"/>
                <w:szCs w:val="24"/>
              </w:rPr>
              <w:t xml:space="preserve">七、其它</w:t>
            </w:r>
            <w:r>
              <w:rPr>
                <w:rFonts w:ascii="Times New Roman" w:hAnsi="Times New Roman"/>
                <w:b/>
                <w:bCs/>
                <w:sz w:val="24"/>
                <w:szCs w:val="24"/>
              </w:rPr>
            </w:r>
            <w:r/>
          </w:p>
        </w:tc>
        <w:tc>
          <w:tcPr>
            <w:tcW w:w="1727"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30</w:t>
            </w:r>
            <w:r>
              <w:rPr>
                <w:rFonts w:ascii="Times New Roman" w:hAnsi="Times New Roman"/>
                <w:b/>
                <w:bCs/>
                <w:sz w:val="24"/>
                <w:szCs w:val="24"/>
              </w:rPr>
            </w:r>
            <w:r/>
          </w:p>
        </w:tc>
        <w:tc>
          <w:tcPr>
            <w:tcW w:w="1290"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c>
          <w:tcPr>
            <w:tcW w:w="1146"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t xml:space="preserve">0</w:t>
            </w:r>
            <w:r>
              <w:rPr>
                <w:rFonts w:ascii="Times New Roman" w:hAnsi="Times New Roman"/>
                <w:b/>
                <w:bCs/>
                <w:sz w:val="24"/>
                <w:szCs w:val="24"/>
              </w:rPr>
            </w:r>
            <w:r/>
          </w:p>
        </w:tc>
      </w:tr>
      <w:tr>
        <w:trPr>
          <w:trHeight w:val="597"/>
        </w:trPr>
        <w:tc>
          <w:tcPr>
            <w:gridSpan w:val="2"/>
            <w:tcW w:w="2997" w:type="dxa"/>
            <w:vAlign w:val="center"/>
            <w:textDirection w:val="lrTb"/>
            <w:noWrap w:val="false"/>
          </w:tcPr>
          <w:p>
            <w:pPr>
              <w:pStyle w:val="926"/>
              <w:jc w:val="center"/>
              <w:widowControl/>
              <w:rPr>
                <w:rFonts w:ascii="Times New Roman" w:hAnsi="Times New Roman"/>
                <w:b/>
                <w:bCs/>
                <w:sz w:val="24"/>
                <w:szCs w:val="24"/>
              </w:rPr>
            </w:pPr>
            <w:r>
              <w:rPr>
                <w:rFonts w:ascii="Times New Roman" w:hAnsi="Times New Roman"/>
                <w:b/>
                <w:bCs/>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未根据招标单位需求对招标单位新员工制定培养计划和内容的，扣4分，针对性和可操作性不强，扣2分。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97"/>
        </w:trPr>
        <w:tc>
          <w:tcPr>
            <w:gridSpan w:val="2"/>
            <w:tcW w:w="299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招标单位要求根据上级下发文件指导招标单位编制相关材料的，未进行编制的，每次扣2分。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298"/>
        </w:trPr>
        <w:tc>
          <w:tcPr>
            <w:gridSpan w:val="2"/>
            <w:tcW w:w="299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6737" w:type="dxa"/>
            <w:vAlign w:val="center"/>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未指导招标单位关于管理工程评价存在问题及整改意见，扣2分。</w:t>
            </w:r>
            <w:r>
              <w:rPr>
                <w:rFonts w:ascii="Times New Roman" w:hAnsi="Times New Roman"/>
                <w:sz w:val="24"/>
                <w:szCs w:val="24"/>
              </w:rPr>
            </w:r>
            <w:r/>
          </w:p>
        </w:tc>
        <w:tc>
          <w:tcPr>
            <w:tcW w:w="1727"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290"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c>
          <w:tcPr>
            <w:tcW w:w="1146" w:type="dxa"/>
            <w:vAlign w:val="center"/>
            <w:textDirection w:val="lrTb"/>
            <w:noWrap w:val="false"/>
          </w:tcPr>
          <w:p>
            <w:pPr>
              <w:pStyle w:val="926"/>
              <w:jc w:val="center"/>
              <w:widowControl/>
              <w:rPr>
                <w:rFonts w:ascii="Times New Roman" w:hAnsi="Times New Roman"/>
                <w:sz w:val="24"/>
                <w:szCs w:val="24"/>
              </w:rPr>
            </w:pPr>
            <w:r>
              <w:rPr>
                <w:rFonts w:ascii="Times New Roman" w:hAnsi="Times New Roman"/>
                <w:sz w:val="24"/>
                <w:szCs w:val="24"/>
              </w:rPr>
            </w:r>
            <w:r/>
          </w:p>
        </w:tc>
      </w:tr>
      <w:tr>
        <w:trPr>
          <w:trHeight w:val="557"/>
        </w:trPr>
        <w:tc>
          <w:tcPr>
            <w:gridSpan w:val="6"/>
            <w:tcW w:w="13898" w:type="dxa"/>
            <w:vAlign w:val="top"/>
            <w:textDirection w:val="lrTb"/>
            <w:noWrap w:val="false"/>
          </w:tcPr>
          <w:p>
            <w:pPr>
              <w:pStyle w:val="926"/>
              <w:widowControl/>
              <w:rPr>
                <w:rFonts w:ascii="Times New Roman" w:hAnsi="Times New Roman"/>
                <w:sz w:val="24"/>
                <w:szCs w:val="24"/>
              </w:rPr>
            </w:pPr>
            <w:r>
              <w:rPr>
                <w:rFonts w:ascii="Times New Roman" w:hAnsi="Times New Roman"/>
                <w:sz w:val="24"/>
                <w:szCs w:val="24"/>
              </w:rPr>
              <w:t xml:space="preserve">说明： 1.本标准分7类。表中扣分值为评分要点的最高扣分值，评分时可依据具体情况在该分值范围内酌情扣分，每个单项扣分后最低得分为0分，最高分不超过本项标准分。</w:t>
            </w:r>
            <w:r>
              <w:rPr>
                <w:rFonts w:ascii="Times New Roman" w:hAnsi="Times New Roman"/>
                <w:sz w:val="24"/>
                <w:szCs w:val="24"/>
              </w:rPr>
            </w:r>
            <w:r/>
          </w:p>
        </w:tc>
      </w:tr>
    </w:tbl>
    <w:p>
      <w:pPr>
        <w:pStyle w:val="926"/>
        <w:spacing w:line="360" w:lineRule="auto"/>
        <w:rPr>
          <w:rFonts w:ascii="Times New Roman" w:hAnsi="Times New Roman"/>
          <w:sz w:val="22"/>
        </w:rPr>
        <w:sectPr>
          <w:footnotePr/>
          <w:endnotePr/>
          <w:type w:val="nextPage"/>
          <w:pgSz w:w="16838" w:h="11906" w:orient="landscape"/>
          <w:pgMar w:top="1466" w:right="1440" w:bottom="1797" w:left="1440" w:header="851" w:footer="992" w:gutter="0"/>
          <w:cols w:num="1" w:sep="0" w:space="1701" w:equalWidth="1"/>
          <w:docGrid w:linePitch="360"/>
          <w:titlePg/>
        </w:sectPr>
      </w:pPr>
      <w:r>
        <w:rPr>
          <w:rFonts w:ascii="Times New Roman" w:hAnsi="Times New Roman"/>
          <w:sz w:val="22"/>
        </w:rPr>
      </w:r>
      <w:r/>
    </w:p>
    <w:p>
      <w:pPr>
        <w:pStyle w:val="926"/>
        <w:spacing w:line="360" w:lineRule="auto"/>
        <w:rPr>
          <w:rFonts w:ascii="Times New Roman" w:hAnsi="Times New Roman"/>
          <w:sz w:val="22"/>
        </w:rPr>
      </w:pPr>
      <w:r>
        <w:rPr>
          <w:rFonts w:ascii="Times New Roman" w:hAnsi="Times New Roman"/>
          <w:sz w:val="22"/>
        </w:rPr>
      </w:r>
      <w:r/>
    </w:p>
    <w:p>
      <w:pPr>
        <w:pStyle w:val="926"/>
        <w:jc w:val="center"/>
        <w:spacing w:line="360" w:lineRule="exact"/>
        <w:widowControl/>
        <w:rPr>
          <w:rFonts w:ascii="Times New Roman" w:hAnsi="Times New Roman"/>
          <w:b/>
          <w:bCs/>
          <w:sz w:val="28"/>
          <w:szCs w:val="28"/>
        </w:rPr>
      </w:pPr>
      <w:r>
        <w:rPr>
          <w:rFonts w:ascii="Times New Roman" w:hAnsi="Times New Roman"/>
          <w:b/>
          <w:bCs/>
          <w:sz w:val="28"/>
          <w:szCs w:val="28"/>
        </w:rPr>
        <w:t xml:space="preserve">2024-2025年长防处太字圩港</w:t>
      </w:r>
      <w:r>
        <w:rPr>
          <w:rFonts w:hint="eastAsia" w:ascii="Times New Roman" w:hAnsi="Times New Roman"/>
          <w:b/>
          <w:bCs/>
          <w:sz w:val="28"/>
          <w:szCs w:val="28"/>
          <w:lang w:eastAsia="zh-CN"/>
        </w:rPr>
        <w:t xml:space="preserve">闸站</w:t>
      </w:r>
      <w:r>
        <w:rPr>
          <w:rFonts w:ascii="Times New Roman" w:hAnsi="Times New Roman"/>
          <w:b/>
          <w:bCs/>
          <w:sz w:val="28"/>
          <w:szCs w:val="28"/>
        </w:rPr>
        <w:t xml:space="preserve">金属结构机电养护明细</w:t>
      </w:r>
      <w:r>
        <w:rPr>
          <w:rFonts w:ascii="Times New Roman" w:hAnsi="Times New Roman"/>
          <w:b/>
          <w:bCs/>
          <w:sz w:val="28"/>
          <w:szCs w:val="28"/>
        </w:rPr>
      </w:r>
      <w:r/>
    </w:p>
    <w:tbl>
      <w:tblPr>
        <w:tblW w:w="131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4"/>
        <w:gridCol w:w="6663"/>
        <w:gridCol w:w="567"/>
        <w:gridCol w:w="858"/>
        <w:gridCol w:w="587"/>
        <w:gridCol w:w="3749"/>
      </w:tblGrid>
      <w:tr>
        <w:trPr>
          <w:trHeight w:val="467"/>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b/>
                <w:bCs/>
                <w:szCs w:val="21"/>
              </w:rPr>
            </w:pPr>
            <w:r>
              <w:rPr>
                <w:rFonts w:ascii="Times New Roman" w:hAnsi="Times New Roman"/>
                <w:b/>
                <w:bCs/>
                <w:szCs w:val="21"/>
              </w:rPr>
              <w:t xml:space="preserve">序号</w:t>
            </w:r>
            <w:r>
              <w:rPr>
                <w:rFonts w:ascii="Times New Roman" w:hAnsi="Times New Roman"/>
                <w:b/>
                <w:bCs/>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center"/>
              <w:spacing w:line="360" w:lineRule="exact"/>
              <w:widowControl/>
              <w:rPr>
                <w:rFonts w:ascii="Times New Roman" w:hAnsi="Times New Roman"/>
                <w:b/>
                <w:bCs/>
                <w:szCs w:val="21"/>
              </w:rPr>
            </w:pPr>
            <w:r>
              <w:rPr>
                <w:rFonts w:ascii="Times New Roman" w:hAnsi="Times New Roman"/>
                <w:b/>
                <w:bCs/>
                <w:szCs w:val="21"/>
              </w:rPr>
              <w:t xml:space="preserve">项目名称</w:t>
            </w:r>
            <w:r>
              <w:rPr>
                <w:rFonts w:ascii="Times New Roman" w:hAnsi="Times New Roman"/>
                <w:b/>
                <w:bCs/>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b/>
                <w:bCs/>
                <w:szCs w:val="21"/>
              </w:rPr>
            </w:pPr>
            <w:r>
              <w:rPr>
                <w:rFonts w:ascii="Times New Roman" w:hAnsi="Times New Roman"/>
                <w:b/>
                <w:bCs/>
                <w:szCs w:val="21"/>
              </w:rPr>
              <w:t xml:space="preserve">单位</w:t>
            </w:r>
            <w:r>
              <w:rPr>
                <w:rFonts w:ascii="Times New Roman" w:hAnsi="Times New Roman"/>
                <w:b/>
                <w:bCs/>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b/>
                <w:bCs/>
                <w:szCs w:val="21"/>
              </w:rPr>
            </w:pPr>
            <w:r>
              <w:rPr>
                <w:rFonts w:ascii="Times New Roman" w:hAnsi="Times New Roman"/>
                <w:b/>
                <w:bCs/>
                <w:szCs w:val="21"/>
              </w:rPr>
              <w:t xml:space="preserve">数量</w:t>
            </w:r>
            <w:r>
              <w:rPr>
                <w:rFonts w:ascii="Times New Roman" w:hAnsi="Times New Roman"/>
                <w:b/>
                <w:bCs/>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b/>
                <w:bCs/>
                <w:szCs w:val="21"/>
              </w:rPr>
            </w:pPr>
            <w:r>
              <w:rPr>
                <w:rFonts w:ascii="Times New Roman" w:hAnsi="Times New Roman"/>
                <w:b/>
                <w:bCs/>
                <w:szCs w:val="21"/>
              </w:rPr>
              <w:t xml:space="preserve">年</w:t>
            </w:r>
            <w:r>
              <w:rPr>
                <w:rFonts w:ascii="Times New Roman" w:hAnsi="Times New Roman"/>
                <w:b/>
                <w:bCs/>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center"/>
              <w:spacing w:line="360" w:lineRule="exact"/>
              <w:widowControl/>
              <w:rPr>
                <w:rFonts w:ascii="Times New Roman" w:hAnsi="Times New Roman"/>
                <w:b/>
                <w:bCs/>
                <w:szCs w:val="21"/>
              </w:rPr>
            </w:pPr>
            <w:r>
              <w:rPr>
                <w:rFonts w:ascii="Times New Roman" w:hAnsi="Times New Roman"/>
                <w:b/>
                <w:bCs/>
                <w:szCs w:val="21"/>
              </w:rPr>
              <w:t xml:space="preserve">备注</w:t>
            </w:r>
            <w:r>
              <w:rPr>
                <w:rFonts w:ascii="Times New Roman" w:hAnsi="Times New Roman"/>
                <w:b/>
                <w:bCs/>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节制闸低压柜（现地控制柜*3、阻尼电气控制柜、节制闸检修动力柜、节制闸低压进线柜）</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台</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6</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节制闸闸门 钢闸门，含面板，构架，支承行走部件、吊具、止水部件等。中孔尺寸16*9.2，边尺寸孔6*6。</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219.2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110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3</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节制闸卷扬式启闭机 双吊点，含机架，电动机、联轴器、齿轮、减速器、制动器、卷筒、滑轮组、荷载限制器、行程限制器等。（中孔型号QHX-2×630kN-13m；边孔型号QPX-2×200kN-8m）</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台套</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3</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4</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中孔钢闸门钢丝绳（直径40mm，长度45m/根×2根）</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m</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90</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报价中含所需人工、材料、机械、辅材及设备的原材料、配件更换费用。一年二次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5</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边孔钢闸门钢丝绳（直径34mm，长度56m/根×2根×2台）</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m</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224</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报价中含所需人工、材料、机械、辅材及设备的原材料、配件更换费用。一年二次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6</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主水泵15m^3/s</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台</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7</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主(异步)电动机 850KW</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台</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8</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10kV高压柜（主机高压软启动柜）</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台</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9</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低压柜（低压进线总柜、低压进线补偿柜、低压出线柜1、低压出线柜2、低压出线柜3、低压出线柜4）</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台</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6</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2043"/>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10</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低压柜（清污机电源柜、清污机现地控制柜 、皮带机现地控制柜、消防水箱控制柜、进水门启闭机电源控制柜、主厂房检修动力柜、1#泵站进水闸门现地控制柜、2#泵站进水闸门现地控制柜、1#泵站出水工作闸门现地控制、1#泵站出水事故闸门现地控制、出水门启闭机电源柜 、2#泵站出水工作闸门电气控制、2#泵站出水事故闸门电气控制、供水泵、冷水机组电源柜、除湿机电源柜、空压机电源柜、技术供水泵控制柜 、渗漏检修排水泵控制柜、辅机供电柜、循环冷却水供水变频装置控制柜）</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台</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20</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136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11</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低压箱（起重机动力箱 、风机控制箱 、低压动力配电箱AP3总、低压动力配电箱AP4总、低压动力配电箱APXF-1、低压动力配电箱APXF-2、低压动力配电箱AE2、低压动力配电箱AP31、低压动力配电箱(消防1)、低压动力配电箱(消防2)、消防水泵现地控制箱、火警报警控制柜、消防现地控制柜、消防现地应急启动柜）</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台</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14</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水系统（包含技术供水、检修排水、渗漏排水、消防供水等） 20-50m^3/s</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系统</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13</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空调冷水机组，原厂家养护</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系统</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14</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清污机</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台</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3</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15</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皮带机</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台</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16</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电动葫芦</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项</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17</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进出水闸门 6扇钢闸门（泵站上下游）含上游拦污栅内漂浮物进行清理</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项</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18</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卷扬式启闭机 启闭系统（泵站）</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台套</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6</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报价中含所需人工、材料、机械、辅材及设备的原材料、配件更换费用。一年一次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19</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泵站进水口钢闸门钢丝绳（直径20mm，长度48m/根×2根×2台）</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m</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192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报价中含所需人工、材料、机械、辅材及设备的原材料、配件更换费用。一年二次</w:t>
            </w:r>
            <w:r>
              <w:rPr>
                <w:rFonts w:ascii="Times New Roman" w:hAnsi="Times New Roman"/>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20</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6663"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泵站出水口钢闸门钢丝绳（直径20mm，长度48m/根×2根×4台）</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m</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384</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926"/>
              <w:jc w:val="center"/>
              <w:spacing w:line="360" w:lineRule="exact"/>
              <w:widowControl/>
              <w:rPr>
                <w:rFonts w:ascii="Times New Roman" w:hAnsi="Times New Roman"/>
                <w:szCs w:val="21"/>
              </w:rPr>
            </w:pPr>
            <w:r>
              <w:rPr>
                <w:rFonts w:ascii="Times New Roman" w:hAnsi="Times New Roman"/>
                <w:szCs w:val="21"/>
              </w:rPr>
              <w:t xml:space="preserve">2</w:t>
            </w:r>
            <w:r>
              <w:rPr>
                <w:rFonts w:ascii="Times New Roman" w:hAnsi="Times New Roman"/>
                <w:szCs w:val="21"/>
              </w:rPr>
            </w:r>
            <w:r/>
          </w:p>
        </w:tc>
        <w:tc>
          <w:tcPr>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926"/>
              <w:jc w:val="left"/>
              <w:spacing w:line="360" w:lineRule="exact"/>
              <w:widowControl/>
              <w:rPr>
                <w:rFonts w:ascii="Times New Roman" w:hAnsi="Times New Roman"/>
                <w:szCs w:val="21"/>
              </w:rPr>
            </w:pPr>
            <w:r>
              <w:rPr>
                <w:rFonts w:ascii="Times New Roman" w:hAnsi="Times New Roman"/>
                <w:szCs w:val="21"/>
              </w:rPr>
              <w:t xml:space="preserve">报价中含所需人工、材料、机械、辅材及设备的原材料、配件更换费用。一年二次</w:t>
            </w:r>
            <w:r>
              <w:rPr>
                <w:rFonts w:ascii="Times New Roman" w:hAnsi="Times New Roman"/>
                <w:szCs w:val="21"/>
              </w:rPr>
            </w:r>
            <w:r/>
          </w:p>
        </w:tc>
      </w:tr>
    </w:tbl>
    <w:p>
      <w:pPr>
        <w:pStyle w:val="926"/>
        <w:jc w:val="center"/>
        <w:spacing w:line="360" w:lineRule="exact"/>
        <w:widowControl/>
        <w:rPr>
          <w:rFonts w:ascii="Times New Roman" w:hAnsi="Times New Roman"/>
          <w:b/>
          <w:bCs/>
          <w:sz w:val="24"/>
          <w:szCs w:val="24"/>
        </w:rPr>
      </w:pPr>
      <w:r>
        <w:rPr>
          <w:rFonts w:ascii="Times New Roman" w:hAnsi="Times New Roman"/>
          <w:b/>
          <w:bCs/>
          <w:sz w:val="24"/>
          <w:szCs w:val="24"/>
        </w:rPr>
        <w:t xml:space="preserve">2024-2025年长防处四干河江边枢纽闸站金属结构机电设备养护明细</w:t>
      </w:r>
      <w:r>
        <w:rPr>
          <w:rFonts w:ascii="Times New Roman" w:hAnsi="Times New Roman"/>
          <w:b/>
          <w:bCs/>
          <w:sz w:val="24"/>
          <w:szCs w:val="24"/>
        </w:rPr>
      </w:r>
      <w:r/>
    </w:p>
    <w:tbl>
      <w:tblPr>
        <w:tblW w:w="131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6"/>
        <w:gridCol w:w="5386"/>
        <w:gridCol w:w="567"/>
        <w:gridCol w:w="794"/>
        <w:gridCol w:w="874"/>
        <w:gridCol w:w="4693"/>
      </w:tblGrid>
      <w:tr>
        <w:trPr>
          <w:trHeight w:val="952"/>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6"/>
              <w:jc w:val="center"/>
              <w:spacing w:line="360" w:lineRule="exact"/>
              <w:widowControl/>
              <w:rPr>
                <w:rFonts w:ascii="Times New Roman" w:hAnsi="Times New Roman"/>
                <w:b/>
                <w:bCs/>
                <w:sz w:val="22"/>
              </w:rPr>
            </w:pPr>
            <w:r>
              <w:rPr>
                <w:rFonts w:ascii="Times New Roman" w:hAnsi="Times New Roman"/>
                <w:b/>
                <w:bCs/>
                <w:sz w:val="22"/>
              </w:rPr>
              <w:t xml:space="preserve">序号</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tcPr>
          <w:p>
            <w:pPr>
              <w:pStyle w:val="926"/>
              <w:jc w:val="center"/>
              <w:spacing w:line="360" w:lineRule="exact"/>
              <w:widowControl/>
              <w:rPr>
                <w:rFonts w:ascii="Times New Roman" w:hAnsi="Times New Roman"/>
                <w:b/>
                <w:bCs/>
                <w:sz w:val="22"/>
              </w:rPr>
            </w:pPr>
            <w:r>
              <w:rPr>
                <w:rFonts w:ascii="Times New Roman" w:hAnsi="Times New Roman"/>
                <w:b/>
                <w:bCs/>
                <w:sz w:val="22"/>
              </w:rPr>
              <w:t xml:space="preserve">项目名称</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926"/>
              <w:jc w:val="center"/>
              <w:spacing w:line="360" w:lineRule="exact"/>
              <w:widowControl/>
              <w:rPr>
                <w:rFonts w:ascii="Times New Roman" w:hAnsi="Times New Roman"/>
                <w:b/>
                <w:bCs/>
                <w:sz w:val="22"/>
              </w:rPr>
            </w:pPr>
            <w:r>
              <w:rPr>
                <w:rFonts w:ascii="Times New Roman" w:hAnsi="Times New Roman"/>
                <w:b/>
                <w:bCs/>
                <w:sz w:val="22"/>
              </w:rPr>
              <w:t xml:space="preserve">单位</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926"/>
              <w:jc w:val="center"/>
              <w:spacing w:line="360" w:lineRule="exact"/>
              <w:widowControl/>
              <w:rPr>
                <w:rFonts w:ascii="Times New Roman" w:hAnsi="Times New Roman"/>
                <w:b/>
                <w:bCs/>
                <w:sz w:val="22"/>
              </w:rPr>
            </w:pPr>
            <w:r>
              <w:rPr>
                <w:rFonts w:ascii="Times New Roman" w:hAnsi="Times New Roman"/>
                <w:b/>
                <w:bCs/>
                <w:sz w:val="22"/>
              </w:rPr>
              <w:t xml:space="preserve">数量</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26"/>
              <w:jc w:val="center"/>
              <w:spacing w:line="360" w:lineRule="exact"/>
              <w:widowControl/>
              <w:rPr>
                <w:rFonts w:ascii="Times New Roman" w:hAnsi="Times New Roman"/>
                <w:b/>
                <w:bCs/>
                <w:sz w:val="22"/>
              </w:rPr>
            </w:pPr>
            <w:r>
              <w:rPr>
                <w:rFonts w:ascii="Times New Roman" w:hAnsi="Times New Roman"/>
                <w:b/>
                <w:bCs/>
                <w:sz w:val="22"/>
              </w:rPr>
              <w:t xml:space="preserve">年</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tcPr>
          <w:p>
            <w:pPr>
              <w:pStyle w:val="926"/>
              <w:jc w:val="center"/>
              <w:spacing w:line="360" w:lineRule="exact"/>
              <w:widowControl/>
              <w:rPr>
                <w:rFonts w:ascii="Times New Roman" w:hAnsi="Times New Roman"/>
                <w:b/>
                <w:bCs/>
                <w:sz w:val="22"/>
              </w:rPr>
            </w:pPr>
            <w:r>
              <w:rPr>
                <w:rFonts w:ascii="Times New Roman" w:hAnsi="Times New Roman"/>
                <w:b/>
                <w:bCs/>
                <w:sz w:val="22"/>
              </w:rPr>
              <w:t xml:space="preserve">备注</w:t>
            </w:r>
            <w:r>
              <w:rPr>
                <w:rFonts w:ascii="Times New Roman" w:hAnsi="Times New Roman"/>
                <w:b/>
                <w:bCs/>
                <w:sz w:val="22"/>
              </w:rPr>
            </w:r>
            <w:r/>
          </w:p>
        </w:tc>
      </w:tr>
      <w:tr>
        <w:trPr>
          <w:trHeight w:val="892"/>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低压柜（节制闸现地控制柜）</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892"/>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节制闸闸门 钢闸门，含面板，构架，支承行走部件、吊具、止水部件等。中孔尺寸12*8.1,边孔尺寸8*5.2。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180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液压式启闭机 启闭系统（节制闸</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液压式启闭机 动力系统（节制闸）</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5</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钢丝绳 水上（节制闸）</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m</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162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报价中含所需人工、材料、机械、辅材及设备的原材料、配件更换费用。一年二次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6</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钢丝绳 水下（节制闸）</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m</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报价中含所需人工、材料、机械、辅材及设备的原材料、配件更换费用。一年二次</w:t>
            </w:r>
            <w:r>
              <w:rPr>
                <w:rFonts w:ascii="Times New Roman" w:hAnsi="Times New Roman"/>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7</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柴油发电机组</w:t>
            </w:r>
            <w:r>
              <w:rPr>
                <w:rFonts w:ascii="Times New Roman" w:hAnsi="Times New Roman"/>
                <w:sz w:val="20"/>
                <w:szCs w:val="20"/>
              </w:rPr>
              <w:br w:type="textWrapping" w:clear="all"/>
            </w:r>
            <w:r>
              <w:rPr>
                <w:rFonts w:ascii="Times New Roman" w:hAnsi="Times New Roman"/>
                <w:sz w:val="20"/>
                <w:szCs w:val="20"/>
              </w:rPr>
              <w:t xml:space="preserve">1.润滑系统（更换：优质机油滤清器，优质发动机机油，老化软管（变颜色），处理漏油接头）</w:t>
            </w:r>
            <w:r>
              <w:rPr>
                <w:rFonts w:ascii="Times New Roman" w:hAnsi="Times New Roman"/>
                <w:sz w:val="20"/>
                <w:szCs w:val="20"/>
              </w:rPr>
              <w:br w:type="textWrapping" w:clear="all"/>
            </w:r>
            <w:r>
              <w:rPr>
                <w:rFonts w:ascii="Times New Roman" w:hAnsi="Times New Roman"/>
                <w:sz w:val="20"/>
                <w:szCs w:val="20"/>
              </w:rPr>
              <w:t xml:space="preserve">2.冷却系统（清洗：冷却系统，更换：优质冷却液，处理渗漏接头，检查皮带情况和张紧程度，老化更换。检查：风扇和张紧皮带轮。检查：驱动皮带轮和水泵。</w:t>
            </w:r>
            <w:r>
              <w:rPr>
                <w:rFonts w:ascii="Times New Roman" w:hAnsi="Times New Roman"/>
                <w:sz w:val="20"/>
                <w:szCs w:val="20"/>
              </w:rPr>
              <w:br w:type="textWrapping" w:clear="all"/>
            </w:r>
            <w:r>
              <w:rPr>
                <w:rFonts w:ascii="Times New Roman" w:hAnsi="Times New Roman"/>
                <w:sz w:val="20"/>
                <w:szCs w:val="20"/>
              </w:rPr>
              <w:t xml:space="preserve">3.进气系统（检查：是否油气，空气滤清器阻力，管件和接头。更换：空气滤清器滤芯）</w:t>
            </w:r>
            <w:r>
              <w:rPr>
                <w:rFonts w:ascii="Times New Roman" w:hAnsi="Times New Roman"/>
                <w:sz w:val="20"/>
                <w:szCs w:val="20"/>
              </w:rPr>
              <w:br w:type="textWrapping" w:clear="all"/>
            </w:r>
            <w:r>
              <w:rPr>
                <w:rFonts w:ascii="Times New Roman" w:hAnsi="Times New Roman"/>
                <w:sz w:val="20"/>
                <w:szCs w:val="20"/>
              </w:rPr>
              <w:t xml:space="preserve">4.燃油系统（更换：柴油滤。检查：是否渗漏，燃油量，泵喷咀，燃油管及接头，燃油泵。）</w:t>
            </w:r>
            <w:r>
              <w:rPr>
                <w:rFonts w:ascii="Times New Roman" w:hAnsi="Times New Roman"/>
                <w:sz w:val="20"/>
                <w:szCs w:val="20"/>
              </w:rPr>
              <w:br w:type="textWrapping" w:clear="all"/>
            </w:r>
            <w:r>
              <w:rPr>
                <w:rFonts w:ascii="Times New Roman" w:hAnsi="Times New Roman"/>
                <w:sz w:val="20"/>
                <w:szCs w:val="20"/>
              </w:rPr>
              <w:t xml:space="preserve">5.排气系统（检查：是否漏气，排气阻力）</w:t>
            </w:r>
            <w:r>
              <w:rPr>
                <w:rFonts w:ascii="Times New Roman" w:hAnsi="Times New Roman"/>
                <w:sz w:val="20"/>
                <w:szCs w:val="20"/>
              </w:rPr>
              <w:br w:type="textWrapping" w:clear="all"/>
            </w:r>
            <w:r>
              <w:rPr>
                <w:rFonts w:ascii="Times New Roman" w:hAnsi="Times New Roman"/>
                <w:sz w:val="20"/>
                <w:szCs w:val="20"/>
              </w:rPr>
              <w:t xml:space="preserve">6.电气系统（检查：充电发电机皮带状况及张紧程度，蓄电池电液液面，电液比重，启动电机螺旋栓及接头）</w:t>
            </w:r>
            <w:r>
              <w:rPr>
                <w:rFonts w:ascii="Times New Roman" w:hAnsi="Times New Roman"/>
                <w:sz w:val="20"/>
                <w:szCs w:val="20"/>
              </w:rPr>
              <w:br w:type="textWrapping" w:clear="all"/>
            </w:r>
            <w:r>
              <w:rPr>
                <w:rFonts w:ascii="Times New Roman" w:hAnsi="Times New Roman"/>
                <w:sz w:val="20"/>
                <w:szCs w:val="20"/>
              </w:rPr>
              <w:t xml:space="preserve">7.发动机</w:t>
            </w:r>
            <w:r>
              <w:rPr>
                <w:rFonts w:hint="eastAsia" w:ascii="Times New Roman" w:hAnsi="Times New Roman"/>
                <w:sz w:val="20"/>
                <w:szCs w:val="20"/>
                <w:lang w:eastAsia="zh-CN"/>
              </w:rPr>
              <w:t xml:space="preserve">其他部分</w:t>
            </w:r>
            <w:r>
              <w:rPr>
                <w:rFonts w:ascii="Times New Roman" w:hAnsi="Times New Roman"/>
                <w:sz w:val="20"/>
                <w:szCs w:val="20"/>
              </w:rPr>
              <w:t xml:space="preserve">（检查：不正常振动，与机座紧固程度。清洗：发动机）</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8</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主水泵 13.4m^3/s</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9</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主(同步)电动机 800KW</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主机高压软启动柜</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低压柜（低压进线总柜、低压出线柜1、低压出线柜2、低压出线柜3、低压进线补偿柜）</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5</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主厂房低压柜（主机励磁柜*3），原厂家保养（北京前锋）每项要求提供不少于三张照片。</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1189"/>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低压柜（循环供水现地控制柜、主厂房动力检修柜、通风系统现地控制柜、泵站上游进出水闸门现地控制柜、泵站下游进出水闸门现地控制柜、润滑供水轴瓦冷水机组现地控制柜、渗漏检修现地控制柜、消防供水现地控制柜）</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8</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低压柜（1#机组急停控制柜、2#机组急停控制柜、3#机组急停控制柜）</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107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15</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水系统（包含润滑供水，技术供水、检修排水、渗漏排水、消防供水等，含1#主机组、技术供水、润滑供水的仪表效验） 20-50m^3/s</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系统</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16</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空调冷水机组，原厂家养护（苏州奥天莱）</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系统</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17</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清污机</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8</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18</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皮带机</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19</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进出水闸门 12扇钢闸门（泵站上下游）含上游拦污栅内漂浮物进行清理</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项</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液压式启闭机 启闭系统（泵站）</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液压式启闭机 动力系统（泵站）</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钢丝绳 水上（泵站）</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m</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351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报价中含所需人工、材料、机械、辅材及设备的原材料、配件更换费用。一年二次</w:t>
            </w:r>
            <w:r>
              <w:rPr>
                <w:rFonts w:ascii="Times New Roman" w:hAnsi="Times New Roman"/>
                <w:sz w:val="20"/>
                <w:szCs w:val="20"/>
              </w:rPr>
            </w:r>
            <w:r/>
          </w:p>
        </w:tc>
      </w:tr>
      <w:tr>
        <w:trPr>
          <w:trHeight w:val="5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钢丝绳 水下（泵站）</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m</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100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报价中含所需人工、材料、机械、辅材及设备的原材料、配件更换费用。一年二次</w:t>
            </w:r>
            <w:r>
              <w:rPr>
                <w:rFonts w:ascii="Times New Roman" w:hAnsi="Times New Roman"/>
                <w:sz w:val="20"/>
                <w:szCs w:val="20"/>
              </w:rPr>
            </w:r>
            <w:r/>
          </w:p>
        </w:tc>
      </w:tr>
    </w:tbl>
    <w:p>
      <w:pPr>
        <w:pStyle w:val="1090"/>
        <w:ind w:firstLine="0"/>
        <w:rPr>
          <w:rFonts w:ascii="Times New Roman" w:hAnsi="Times New Roman"/>
          <w:b/>
          <w:bCs/>
          <w:iCs/>
          <w:sz w:val="28"/>
          <w:szCs w:val="28"/>
        </w:rPr>
      </w:pPr>
      <w:r>
        <w:rPr>
          <w:rFonts w:ascii="Times New Roman" w:hAnsi="Times New Roman"/>
          <w:b/>
          <w:bCs/>
          <w:iCs/>
          <w:sz w:val="28"/>
          <w:szCs w:val="28"/>
        </w:rPr>
      </w:r>
      <w:r/>
    </w:p>
    <w:p>
      <w:pPr>
        <w:pStyle w:val="1090"/>
        <w:ind w:firstLine="0"/>
        <w:rPr>
          <w:rFonts w:ascii="Times New Roman" w:hAnsi="Times New Roman"/>
          <w:b/>
          <w:bCs/>
          <w:iCs/>
          <w:sz w:val="28"/>
          <w:szCs w:val="28"/>
        </w:rPr>
      </w:pPr>
      <w:r>
        <w:rPr>
          <w:rFonts w:ascii="Times New Roman" w:hAnsi="Times New Roman"/>
          <w:b/>
          <w:bCs/>
          <w:iCs/>
          <w:sz w:val="28"/>
          <w:szCs w:val="28"/>
        </w:rPr>
      </w:r>
      <w:r/>
    </w:p>
    <w:p>
      <w:pPr>
        <w:pStyle w:val="1090"/>
        <w:ind w:firstLine="0"/>
        <w:jc w:val="center"/>
        <w:rPr>
          <w:rFonts w:ascii="Times New Roman" w:hAnsi="Times New Roman"/>
          <w:b/>
          <w:bCs/>
          <w:iCs/>
          <w:sz w:val="28"/>
          <w:szCs w:val="28"/>
        </w:rPr>
      </w:pPr>
      <w:r>
        <w:rPr>
          <w:rFonts w:ascii="Times New Roman" w:hAnsi="Times New Roman"/>
          <w:b/>
          <w:bCs/>
          <w:sz w:val="20"/>
          <w:szCs w:val="20"/>
        </w:rPr>
        <w:t xml:space="preserve">2024-2026年长防处走马塘江边枢纽闸站金属结构机电设备养护明细</w:t>
      </w:r>
      <w:r>
        <w:rPr>
          <w:rFonts w:ascii="Times New Roman" w:hAnsi="Times New Roman"/>
          <w:b/>
          <w:bCs/>
          <w:iCs/>
          <w:sz w:val="28"/>
          <w:szCs w:val="28"/>
        </w:rPr>
      </w:r>
      <w:r/>
    </w:p>
    <w:tbl>
      <w:tblPr>
        <w:tblW w:w="1340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6"/>
        <w:gridCol w:w="5784"/>
        <w:gridCol w:w="629"/>
        <w:gridCol w:w="865"/>
        <w:gridCol w:w="995"/>
        <w:gridCol w:w="4307"/>
      </w:tblGrid>
      <w:tr>
        <w:trPr>
          <w:trHeight w:val="323"/>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926"/>
              <w:jc w:val="center"/>
              <w:spacing w:line="360" w:lineRule="exact"/>
              <w:widowControl/>
              <w:rPr>
                <w:rFonts w:ascii="Times New Roman" w:hAnsi="Times New Roman"/>
                <w:b/>
                <w:bCs/>
                <w:sz w:val="22"/>
              </w:rPr>
            </w:pPr>
            <w:r>
              <w:rPr>
                <w:rFonts w:ascii="Times New Roman" w:hAnsi="Times New Roman"/>
                <w:b/>
                <w:bCs/>
                <w:sz w:val="22"/>
              </w:rPr>
              <w:t xml:space="preserve">序号</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tcPr>
          <w:p>
            <w:pPr>
              <w:pStyle w:val="926"/>
              <w:jc w:val="center"/>
              <w:spacing w:line="360" w:lineRule="exact"/>
              <w:widowControl/>
              <w:rPr>
                <w:rFonts w:ascii="Times New Roman" w:hAnsi="Times New Roman"/>
                <w:b/>
                <w:bCs/>
                <w:sz w:val="22"/>
              </w:rPr>
            </w:pPr>
            <w:r>
              <w:rPr>
                <w:rFonts w:ascii="Times New Roman" w:hAnsi="Times New Roman"/>
                <w:b/>
                <w:bCs/>
                <w:sz w:val="22"/>
              </w:rPr>
              <w:t xml:space="preserve">项目名称</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pStyle w:val="926"/>
              <w:jc w:val="center"/>
              <w:spacing w:line="360" w:lineRule="exact"/>
              <w:widowControl/>
              <w:rPr>
                <w:rFonts w:ascii="Times New Roman" w:hAnsi="Times New Roman"/>
                <w:b/>
                <w:bCs/>
                <w:sz w:val="22"/>
              </w:rPr>
            </w:pPr>
            <w:r>
              <w:rPr>
                <w:rFonts w:ascii="Times New Roman" w:hAnsi="Times New Roman"/>
                <w:b/>
                <w:bCs/>
                <w:sz w:val="22"/>
              </w:rPr>
              <w:t xml:space="preserve">单位</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pStyle w:val="926"/>
              <w:jc w:val="center"/>
              <w:spacing w:line="360" w:lineRule="exact"/>
              <w:widowControl/>
              <w:rPr>
                <w:rFonts w:ascii="Times New Roman" w:hAnsi="Times New Roman"/>
                <w:b/>
                <w:bCs/>
                <w:sz w:val="22"/>
              </w:rPr>
            </w:pPr>
            <w:r>
              <w:rPr>
                <w:rFonts w:ascii="Times New Roman" w:hAnsi="Times New Roman"/>
                <w:b/>
                <w:bCs/>
                <w:sz w:val="22"/>
              </w:rPr>
              <w:t xml:space="preserve">数量</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pStyle w:val="926"/>
              <w:jc w:val="center"/>
              <w:spacing w:line="360" w:lineRule="exact"/>
              <w:widowControl/>
              <w:rPr>
                <w:rFonts w:ascii="Times New Roman" w:hAnsi="Times New Roman"/>
                <w:b/>
                <w:bCs/>
                <w:sz w:val="22"/>
              </w:rPr>
            </w:pPr>
            <w:r>
              <w:rPr>
                <w:rFonts w:ascii="Times New Roman" w:hAnsi="Times New Roman"/>
                <w:b/>
                <w:bCs/>
                <w:sz w:val="22"/>
              </w:rPr>
              <w:t xml:space="preserve">年</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tcPr>
          <w:p>
            <w:pPr>
              <w:pStyle w:val="926"/>
              <w:jc w:val="center"/>
              <w:spacing w:line="360" w:lineRule="exact"/>
              <w:widowControl/>
              <w:rPr>
                <w:rFonts w:ascii="Times New Roman" w:hAnsi="Times New Roman"/>
                <w:b/>
                <w:bCs/>
                <w:sz w:val="22"/>
              </w:rPr>
            </w:pPr>
            <w:r>
              <w:rPr>
                <w:rFonts w:ascii="Times New Roman" w:hAnsi="Times New Roman"/>
                <w:b/>
                <w:bCs/>
                <w:sz w:val="22"/>
              </w:rPr>
              <w:t xml:space="preserve">备注</w:t>
            </w:r>
            <w:r>
              <w:rPr>
                <w:rFonts w:ascii="Times New Roman" w:hAnsi="Times New Roman"/>
                <w:b/>
                <w:bCs/>
                <w:sz w:val="22"/>
              </w:rPr>
            </w:r>
            <w:r/>
          </w:p>
        </w:tc>
      </w:tr>
      <w:tr>
        <w:trPr>
          <w:trHeight w:val="323"/>
        </w:trPr>
        <w:tc>
          <w:tcPr>
            <w:gridSpan w:val="6"/>
            <w:tcBorders>
              <w:top w:val="single" w:color="000000" w:sz="4" w:space="0"/>
              <w:left w:val="single" w:color="000000" w:sz="4" w:space="0"/>
              <w:bottom w:val="single" w:color="000000" w:sz="4" w:space="0"/>
              <w:right w:val="single" w:color="000000" w:sz="4" w:space="0"/>
            </w:tcBorders>
            <w:tcW w:w="13406" w:type="dxa"/>
            <w:vAlign w:val="center"/>
            <w:textDirection w:val="lrTb"/>
            <w:noWrap/>
          </w:tcPr>
          <w:p>
            <w:pPr>
              <w:pStyle w:val="926"/>
              <w:jc w:val="center"/>
              <w:spacing w:line="360" w:lineRule="exact"/>
              <w:widowControl/>
              <w:rPr>
                <w:rFonts w:ascii="Times New Roman" w:hAnsi="Times New Roman"/>
                <w:b/>
                <w:bCs/>
                <w:sz w:val="22"/>
              </w:rPr>
            </w:pPr>
            <w:r>
              <w:rPr>
                <w:rFonts w:ascii="Times New Roman" w:hAnsi="Times New Roman"/>
                <w:b/>
                <w:bCs/>
                <w:sz w:val="22"/>
              </w:rPr>
              <w:t xml:space="preserve">（一）水闸</w:t>
            </w:r>
            <w:r>
              <w:rPr>
                <w:rFonts w:ascii="Times New Roman" w:hAnsi="Times New Roman"/>
                <w:b/>
                <w:bCs/>
                <w:sz w:val="22"/>
              </w:rPr>
            </w:r>
            <w:r/>
          </w:p>
        </w:tc>
      </w:tr>
      <w:tr>
        <w:trPr>
          <w:trHeight w:val="903"/>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节制闸低压柜（节制闸现地控制柜、低压进线总柜、低压出线柜1、低压进线补偿柜、低压出线柜2、低压出线柜3）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6</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903"/>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节制闸闸门 钢闸门，含面板，构架，支承行走部件、吊具、止水部件等。中孔尺寸12*9,边孔尺寸12*8.5。</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312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液压式启闭机 启闭系统</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液压式启闭机 动力系统</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5</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钢丝绳 水上</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m</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189</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报价中含所需人工、材料、机械、辅材及设备的原材料、配件更换费用。一年二次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6</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钢丝绳 水下</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m</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30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报价中含所需人工、材料、机械、辅材及设备的原材料、配件更换费用。一年二次</w:t>
            </w:r>
            <w:r>
              <w:rPr>
                <w:rFonts w:ascii="Times New Roman" w:hAnsi="Times New Roman"/>
                <w:sz w:val="20"/>
                <w:szCs w:val="20"/>
              </w:rPr>
            </w:r>
            <w:r/>
          </w:p>
        </w:tc>
      </w:tr>
      <w:tr>
        <w:trPr>
          <w:trHeight w:val="600"/>
        </w:trPr>
        <w:tc>
          <w:tcPr>
            <w:gridSpan w:val="6"/>
            <w:tcBorders>
              <w:top w:val="single" w:color="000000" w:sz="4" w:space="0"/>
              <w:left w:val="single" w:color="000000" w:sz="4" w:space="0"/>
              <w:bottom w:val="single" w:color="000000" w:sz="4" w:space="0"/>
              <w:right w:val="single" w:color="000000" w:sz="4" w:space="0"/>
            </w:tcBorders>
            <w:tcW w:w="1340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b/>
                <w:bCs/>
                <w:sz w:val="22"/>
              </w:rPr>
              <w:t xml:space="preserve">（二）船闸</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7</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低压柜（下闸首控制柜、上闸首控制柜）</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8</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船闸闸门 钢闸门，含面板，构架，支承行走部件、吊具、止水部件等。上闸首尺寸16*7.6,下闸首尺寸16*10。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281.6</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9</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液压式启闭机 启闭系统（下闸首、上闸首、泄水孔*4）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6.00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液压式启闭机 动力系统（下闸首、上闸首）</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2.00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钢丝绳 水上</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m</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100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报价中含所需人工、材料、机械、辅材及设备的原材料、配件更换费用。一年二次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钢丝绳 水下</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m</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报价中含所需人工、材料、机械、辅材及设备的原材料、配件更换费用。一年二次</w:t>
            </w:r>
            <w:r>
              <w:rPr>
                <w:rFonts w:ascii="Times New Roman" w:hAnsi="Times New Roman"/>
                <w:sz w:val="20"/>
                <w:szCs w:val="20"/>
              </w:rPr>
            </w:r>
            <w:r/>
          </w:p>
        </w:tc>
      </w:tr>
      <w:tr>
        <w:trPr>
          <w:trHeight w:val="600"/>
        </w:trPr>
        <w:tc>
          <w:tcPr>
            <w:gridSpan w:val="6"/>
            <w:tcBorders>
              <w:top w:val="single" w:color="000000" w:sz="4" w:space="0"/>
              <w:left w:val="single" w:color="000000" w:sz="4" w:space="0"/>
              <w:bottom w:val="single" w:color="000000" w:sz="4" w:space="0"/>
              <w:right w:val="single" w:color="000000" w:sz="4" w:space="0"/>
            </w:tcBorders>
            <w:tcW w:w="1340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b/>
                <w:bCs/>
                <w:sz w:val="22"/>
              </w:rPr>
              <w:t xml:space="preserve">（三）泵站</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主水泵 20m^3/s</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主(同异步)电动机 1000kW</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15</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主机高压软启动柜</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903"/>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16</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低压柜（低压进线总柜1、低压进线补偿柜1、低压出线柜1、低压出线柜2、低压联络柜、低压出线柜3、低压出线柜4、低压进线补偿柜2、低压进线总柜2）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9</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120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17</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低压柜（清污机现地控制柜 、皮带机现地控制柜、进水闸门现地控制柜*4、变频供水泵组配电柜、冷水机组配电柜、液压启闭机电气动力柜、液压启闭机电气控制柜、泵房电气动力柜、泵房检修动力柜、副厂房检修动力柜*4）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16</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1507"/>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18</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低压箱柜（进水闸门检修插座柜*2、出水闸门检修插座柜*2、消防水泵控制柜*2、消防电气控制柜*2、 起重机动力箱*2、起重机电源箱、风机控制箱*5、通风机控制柜*4、空调配电柜*2、室外照明配电柜、照明电气箱*7、应急照明配电箱*2、技术供水控制柜双电源切换箱、除湿机电源箱*4）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37</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19</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水系统（包含润滑供水，技术供水、检修排水、渗漏排水、消防供水等，） 20-50m^3/s</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系统</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空调冷水机组，原厂家养护每项要求提供不少于三张照片。</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系统</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清污机</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8</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皮带机</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电动葫芦</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项</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进出水闸门 12钢闸门（泵站上下游）含上下游拦污栅内漂浮物进行清理</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项</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25</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液压式启闭机 启闭系统（泵站）</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8</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26</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液压式启闭机 动力系统（泵站）</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27</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螺杆式启闭机 动力系统（泵站）</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non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报价中含所需人工、材料、机械、辅材及设备的原材料、配件更换费用。一年二次</w:t>
            </w:r>
            <w:r>
              <w:rPr>
                <w:rFonts w:ascii="Times New Roman" w:hAnsi="Times New Roman"/>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28</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784" w:type="dxa"/>
            <w:vAlign w:val="center"/>
            <w:textDirection w:val="lrTb"/>
            <w:noWrap w:val="false"/>
          </w:tcPr>
          <w:p>
            <w:pPr>
              <w:pStyle w:val="926"/>
              <w:jc w:val="left"/>
              <w:spacing w:line="360" w:lineRule="exact"/>
              <w:widowControl/>
              <w:rPr>
                <w:rFonts w:ascii="Times New Roman" w:hAnsi="Times New Roman"/>
                <w:sz w:val="20"/>
                <w:szCs w:val="20"/>
              </w:rPr>
            </w:pPr>
            <w:r>
              <w:rPr>
                <w:rFonts w:ascii="Times New Roman" w:hAnsi="Times New Roman"/>
                <w:sz w:val="20"/>
                <w:szCs w:val="20"/>
              </w:rPr>
              <w:t xml:space="preserve">客梯（TKJ1000/1.0 30103205822006101490）含机房、轿厢、层门、井道、底坑等</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926"/>
              <w:jc w:val="center"/>
              <w:spacing w:line="360" w:lineRule="exact"/>
              <w:widowControl/>
              <w:rPr>
                <w:rFonts w:ascii="Times New Roman" w:hAnsi="Times New Roman"/>
                <w:sz w:val="20"/>
                <w:szCs w:val="20"/>
              </w:rPr>
            </w:pPr>
            <w:r>
              <w:rPr>
                <w:rFonts w:ascii="Times New Roman" w:hAnsi="Times New Roman"/>
                <w:sz w:val="20"/>
                <w:szCs w:val="20"/>
              </w:rPr>
              <w:t xml:space="preserve">15个月</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pStyle w:val="926"/>
              <w:jc w:val="left"/>
              <w:spacing w:line="360" w:lineRule="exact"/>
              <w:widowControl/>
              <w:rPr>
                <w:rFonts w:ascii="Times New Roman" w:hAnsi="Times New Roman"/>
                <w:sz w:val="18"/>
                <w:szCs w:val="18"/>
              </w:rPr>
            </w:pPr>
            <w:r>
              <w:rPr>
                <w:rFonts w:ascii="Times New Roman" w:hAnsi="Times New Roman"/>
                <w:sz w:val="18"/>
                <w:szCs w:val="18"/>
              </w:rPr>
              <w:t xml:space="preserve">报价中含所需人工、材料、机械、辅材及设备的原材料、配件更换费用、年检费用。15个月，每月一次 </w:t>
            </w:r>
            <w:r>
              <w:rPr>
                <w:rFonts w:ascii="Times New Roman" w:hAnsi="Times New Roman"/>
                <w:sz w:val="18"/>
                <w:szCs w:val="18"/>
              </w:rPr>
            </w:r>
            <w:r/>
          </w:p>
        </w:tc>
      </w:tr>
    </w:tbl>
    <w:p>
      <w:pPr>
        <w:pStyle w:val="1090"/>
        <w:ind w:firstLine="0"/>
        <w:rPr>
          <w:rFonts w:ascii="Times New Roman" w:hAnsi="Times New Roman"/>
          <w:b/>
          <w:bCs/>
          <w:iCs/>
          <w:sz w:val="28"/>
          <w:szCs w:val="28"/>
        </w:rPr>
      </w:pPr>
      <w:r>
        <w:rPr>
          <w:rFonts w:ascii="Times New Roman" w:hAnsi="Times New Roman"/>
          <w:b/>
          <w:bCs/>
          <w:iCs/>
          <w:sz w:val="28"/>
          <w:szCs w:val="28"/>
        </w:rPr>
      </w:r>
      <w:r/>
    </w:p>
    <w:p>
      <w:pPr>
        <w:pStyle w:val="1090"/>
        <w:ind w:firstLine="0"/>
        <w:jc w:val="center"/>
        <w:rPr>
          <w:rFonts w:ascii="Times New Roman" w:hAnsi="Times New Roman"/>
          <w:b/>
          <w:bCs/>
          <w:iCs/>
          <w:sz w:val="28"/>
          <w:szCs w:val="28"/>
        </w:rPr>
      </w:pPr>
      <w:r>
        <w:rPr>
          <w:rFonts w:ascii="Times New Roman" w:hAnsi="Times New Roman"/>
          <w:b/>
          <w:bCs/>
          <w:sz w:val="28"/>
          <w:szCs w:val="28"/>
        </w:rPr>
        <w:t xml:space="preserve">2025年长防处十一圩江边枢纽闸站金属结构机电设备养护明细</w:t>
      </w:r>
      <w:r>
        <w:rPr>
          <w:rFonts w:ascii="Times New Roman" w:hAnsi="Times New Roman"/>
          <w:b/>
          <w:bCs/>
          <w:iCs/>
          <w:sz w:val="28"/>
          <w:szCs w:val="28"/>
        </w:rPr>
      </w:r>
      <w:r/>
    </w:p>
    <w:tbl>
      <w:tblPr>
        <w:tblW w:w="1387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4"/>
        <w:gridCol w:w="6361"/>
        <w:gridCol w:w="708"/>
        <w:gridCol w:w="785"/>
        <w:gridCol w:w="5160"/>
      </w:tblGrid>
      <w:tr>
        <w:trPr>
          <w:trHeight w:val="644"/>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926"/>
              <w:jc w:val="center"/>
              <w:widowControl/>
              <w:rPr>
                <w:rFonts w:ascii="Times New Roman" w:hAnsi="Times New Roman"/>
                <w:b/>
                <w:bCs/>
                <w:sz w:val="22"/>
              </w:rPr>
            </w:pPr>
            <w:r>
              <w:rPr>
                <w:rFonts w:ascii="Times New Roman" w:hAnsi="Times New Roman"/>
                <w:b/>
                <w:bCs/>
                <w:sz w:val="22"/>
              </w:rPr>
              <w:t xml:space="preserve">序号</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tcPr>
          <w:p>
            <w:pPr>
              <w:pStyle w:val="926"/>
              <w:jc w:val="center"/>
              <w:widowControl/>
              <w:rPr>
                <w:rFonts w:ascii="Times New Roman" w:hAnsi="Times New Roman"/>
                <w:b/>
                <w:bCs/>
                <w:sz w:val="22"/>
              </w:rPr>
            </w:pPr>
            <w:r>
              <w:rPr>
                <w:rFonts w:ascii="Times New Roman" w:hAnsi="Times New Roman"/>
                <w:b/>
                <w:bCs/>
                <w:sz w:val="22"/>
              </w:rPr>
              <w:t xml:space="preserve">项目名称</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926"/>
              <w:jc w:val="center"/>
              <w:widowControl/>
              <w:rPr>
                <w:rFonts w:ascii="Times New Roman" w:hAnsi="Times New Roman"/>
                <w:b/>
                <w:bCs/>
                <w:sz w:val="22"/>
              </w:rPr>
            </w:pPr>
            <w:r>
              <w:rPr>
                <w:rFonts w:ascii="Times New Roman" w:hAnsi="Times New Roman"/>
                <w:b/>
                <w:bCs/>
                <w:sz w:val="22"/>
              </w:rPr>
              <w:t xml:space="preserve">单位</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926"/>
              <w:jc w:val="center"/>
              <w:widowControl/>
              <w:rPr>
                <w:rFonts w:ascii="Times New Roman" w:hAnsi="Times New Roman"/>
                <w:b/>
                <w:bCs/>
                <w:sz w:val="22"/>
              </w:rPr>
            </w:pPr>
            <w:r>
              <w:rPr>
                <w:rFonts w:ascii="Times New Roman" w:hAnsi="Times New Roman"/>
                <w:b/>
                <w:bCs/>
                <w:sz w:val="22"/>
              </w:rPr>
              <w:t xml:space="preserve">数量</w:t>
            </w:r>
            <w:r>
              <w:rPr>
                <w:rFonts w:ascii="Times New Roman" w:hAnsi="Times New Roman"/>
                <w:b/>
                <w:bCs/>
                <w:sz w:val="22"/>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tcPr>
          <w:p>
            <w:pPr>
              <w:pStyle w:val="926"/>
              <w:jc w:val="center"/>
              <w:widowControl/>
              <w:rPr>
                <w:rFonts w:ascii="Times New Roman" w:hAnsi="Times New Roman"/>
                <w:b/>
                <w:bCs/>
                <w:sz w:val="22"/>
              </w:rPr>
            </w:pPr>
            <w:r>
              <w:rPr>
                <w:rFonts w:ascii="Times New Roman" w:hAnsi="Times New Roman"/>
                <w:b/>
                <w:bCs/>
                <w:sz w:val="22"/>
              </w:rPr>
              <w:t xml:space="preserve">备注</w:t>
            </w:r>
            <w:r>
              <w:rPr>
                <w:rFonts w:ascii="Times New Roman" w:hAnsi="Times New Roman"/>
                <w:b/>
                <w:bCs/>
                <w:sz w:val="22"/>
              </w:rPr>
            </w:r>
            <w:r/>
          </w:p>
        </w:tc>
      </w:tr>
      <w:tr>
        <w:trPr>
          <w:trHeight w:val="894"/>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主水泵 20m^3/s</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1789"/>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主(同异步)电动机 1000kW</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1193"/>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主机高压软启动柜</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208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低压柜（低压进线总柜1、低压进线补偿柜1、低压出线柜1、低压出线柜2、低压联络柜、低压出线柜3、低压出线柜4、低压进线补偿柜2、低压进线总柜2）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9</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1193"/>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5</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10kV高压电容柜</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5</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2386"/>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6</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低压柜（清污机现地控制柜 ，皮带机现地控制柜、进水闸门现地控制柜 *4 、变频供水泵组配电柜、冷水机组配电柜、液压启闭机电气动力柜、液压启闭机电气控制柜、泵房电气动力柜、泵房检修动力柜、副厂房检修动力柜*4、技术供水控制柜双电源切换柜）</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17</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894"/>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7</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水系统（包含润滑供水，技术供水、检修排水、渗漏排水、消防供水等） 20-50m^3/s</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系统</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557"/>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8</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空调冷水机组，原厂家养护每项要求提供不少于三张照片。</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894"/>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9</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清污机</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6</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894"/>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10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皮带机</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894"/>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11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电动葫芦</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项</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894"/>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12</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进出水闸门9扇钢闸门（泵站上下游）含上下游拦污栅内漂浮物进行清理</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项</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894"/>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13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液压式启闭机 启闭系统（泵站）</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6</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894"/>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14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液压式启闭机 动力系统（泵站）</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报价中含所需人工、材料、机械、辅材及设备的原材料、配件更换费用。一年一次</w:t>
            </w:r>
            <w:r>
              <w:rPr>
                <w:rFonts w:ascii="Times New Roman" w:hAnsi="Times New Roman"/>
                <w:sz w:val="20"/>
                <w:szCs w:val="20"/>
              </w:rPr>
            </w:r>
            <w:r/>
          </w:p>
        </w:tc>
      </w:tr>
      <w:tr>
        <w:trPr>
          <w:trHeight w:val="894"/>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15</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螺杆式启闭机 动力系统（泵站）</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台套</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报价中含所需人工、材料、机械、辅材及设备的原材料、配件更换费用。一年二次</w:t>
            </w:r>
            <w:r>
              <w:rPr>
                <w:rFonts w:ascii="Times New Roman" w:hAnsi="Times New Roman"/>
                <w:sz w:val="20"/>
                <w:szCs w:val="20"/>
              </w:rPr>
            </w:r>
            <w:r/>
          </w:p>
        </w:tc>
      </w:tr>
      <w:tr>
        <w:trPr>
          <w:trHeight w:val="5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16</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低压箱柜（进水闸门检修插座柜*2 、出水闸门检修插座柜 *2、消防水泵控制柜 *2、消防电气控制柜 *2、起重机动力箱*2、起重机电源箱 、风机控制箱 *5、通风机控制柜*4、空调配电柜*2、室外照明配电柜、照明电气箱*7、主副厂房检修电源箱*34、应急照明配电箱*2、除湿机电源箱*4）</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6"/>
              <w:jc w:val="center"/>
              <w:widowControl/>
              <w:rPr>
                <w:rFonts w:ascii="Times New Roman" w:hAnsi="Times New Roman"/>
                <w:sz w:val="20"/>
                <w:szCs w:val="20"/>
              </w:rPr>
            </w:pPr>
            <w:r>
              <w:rPr>
                <w:rFonts w:ascii="Times New Roman" w:hAnsi="Times New Roman"/>
                <w:sz w:val="20"/>
                <w:szCs w:val="20"/>
              </w:rPr>
              <w:t xml:space="preserve">台</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926"/>
              <w:jc w:val="center"/>
              <w:widowControl/>
              <w:rPr>
                <w:rFonts w:ascii="Times New Roman" w:hAnsi="Times New Roman"/>
                <w:sz w:val="20"/>
                <w:szCs w:val="20"/>
              </w:rPr>
            </w:pPr>
            <w:r>
              <w:rPr>
                <w:rFonts w:ascii="Times New Roman" w:hAnsi="Times New Roman"/>
                <w:sz w:val="20"/>
                <w:szCs w:val="20"/>
              </w:rPr>
              <w:t xml:space="preserve">70</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5160" w:type="dxa"/>
            <w:vAlign w:val="center"/>
            <w:textDirection w:val="lrTb"/>
            <w:noWrap w:val="false"/>
          </w:tcPr>
          <w:p>
            <w:pPr>
              <w:pStyle w:val="926"/>
              <w:jc w:val="left"/>
              <w:widowControl/>
              <w:rPr>
                <w:rFonts w:ascii="Times New Roman" w:hAnsi="Times New Roman"/>
                <w:sz w:val="20"/>
                <w:szCs w:val="20"/>
              </w:rPr>
            </w:pPr>
            <w:r>
              <w:rPr>
                <w:rFonts w:ascii="Times New Roman" w:hAnsi="Times New Roman"/>
                <w:sz w:val="20"/>
                <w:szCs w:val="20"/>
              </w:rPr>
              <w:t xml:space="preserve">报价中含所需人工、材料、机械、辅材及设备的原材料、配件更换费用。一年二次</w:t>
            </w:r>
            <w:r>
              <w:rPr>
                <w:rFonts w:ascii="Times New Roman" w:hAnsi="Times New Roman"/>
                <w:sz w:val="20"/>
                <w:szCs w:val="20"/>
              </w:rPr>
            </w:r>
            <w:r/>
          </w:p>
        </w:tc>
      </w:tr>
    </w:tbl>
    <w:p>
      <w:pPr>
        <w:pStyle w:val="995"/>
        <w:pageBreakBefore/>
        <w:spacing w:line="440" w:lineRule="exact"/>
        <w:rPr>
          <w:rFonts w:ascii="Times New Roman" w:hAnsi="Times New Roman" w:eastAsia="宋体"/>
        </w:rPr>
        <w:sectPr>
          <w:footnotePr/>
          <w:endnotePr/>
          <w:type w:val="nextPage"/>
          <w:pgSz w:w="16838" w:h="11906" w:orient="landscape"/>
          <w:pgMar w:top="1466" w:right="1440" w:bottom="1797" w:left="1440" w:header="851" w:footer="992" w:gutter="0"/>
          <w:cols w:num="1" w:sep="0" w:space="1701" w:equalWidth="1"/>
          <w:docGrid w:linePitch="360"/>
          <w:titlePg/>
        </w:sectPr>
      </w:pPr>
      <w:r>
        <w:rPr>
          <w:rFonts w:ascii="Times New Roman" w:hAnsi="Times New Roman" w:eastAsia="宋体"/>
        </w:rPr>
      </w:r>
      <w:r/>
    </w:p>
    <w:p>
      <w:pPr>
        <w:pStyle w:val="995"/>
        <w:pageBreakBefore/>
        <w:spacing w:line="440" w:lineRule="exact"/>
        <w:rPr>
          <w:rFonts w:ascii="Times New Roman" w:hAnsi="Times New Roman" w:eastAsia="宋体"/>
          <w:b w:val="0"/>
          <w:sz w:val="24"/>
        </w:rPr>
      </w:pPr>
      <w:r/>
      <w:bookmarkStart w:id="300" w:name="_Toc11"/>
      <w:r>
        <w:rPr>
          <w:rFonts w:ascii="Times New Roman" w:hAnsi="Times New Roman" w:eastAsia="宋体"/>
        </w:rPr>
        <w:t xml:space="preserve">第五章  评标方法与评标标准</w:t>
      </w:r>
      <w:r>
        <w:rPr>
          <w:rFonts w:ascii="Times New Roman" w:hAnsi="Times New Roman" w:eastAsia="宋体"/>
          <w:b w:val="0"/>
          <w:sz w:val="24"/>
        </w:rPr>
      </w:r>
      <w:bookmarkEnd w:id="300"/>
      <w:r/>
      <w:r/>
    </w:p>
    <w:p>
      <w:pPr>
        <w:pStyle w:val="928"/>
        <w:jc w:val="left"/>
        <w:rPr>
          <w:rStyle w:val="1036"/>
          <w:rFonts w:ascii="Times New Roman" w:hAnsi="Times New Roman"/>
        </w:rPr>
      </w:pPr>
      <w:r/>
      <w:bookmarkStart w:id="301" w:name="_Toc12"/>
      <w:r>
        <w:rPr>
          <w:rStyle w:val="1036"/>
          <w:rFonts w:ascii="Times New Roman" w:hAnsi="Times New Roman"/>
        </w:rPr>
        <w:t xml:space="preserve">一、评标方法与定标原则</w:t>
      </w:r>
      <w:r>
        <w:rPr>
          <w:rStyle w:val="1036"/>
          <w:rFonts w:ascii="Times New Roman" w:hAnsi="Times New Roman"/>
        </w:rPr>
      </w:r>
      <w:bookmarkEnd w:id="301"/>
      <w:r/>
      <w:r/>
    </w:p>
    <w:p>
      <w:pPr>
        <w:pStyle w:val="1278"/>
        <w:ind w:firstLine="500"/>
        <w:spacing w:line="440" w:lineRule="exact"/>
        <w:rPr>
          <w:rFonts w:eastAsia="宋体"/>
          <w:spacing w:val="7"/>
        </w:rPr>
      </w:pPr>
      <w:r>
        <w:rPr>
          <w:rFonts w:eastAsia="宋体"/>
          <w:spacing w:val="7"/>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eastAsia="宋体"/>
          <w:spacing w:val="7"/>
        </w:rPr>
      </w:r>
      <w:r/>
    </w:p>
    <w:p>
      <w:pPr>
        <w:pStyle w:val="926"/>
        <w:ind w:firstLine="482"/>
        <w:jc w:val="left"/>
        <w:spacing w:line="360" w:lineRule="auto"/>
        <w:rPr>
          <w:rFonts w:ascii="Times New Roman" w:hAnsi="Times New Roman"/>
          <w:sz w:val="20"/>
        </w:rPr>
      </w:pPr>
      <w:r/>
      <w:bookmarkStart w:id="235" w:name="EBd9567453f96a4fca96262d13cc886515"/>
      <w:r/>
      <w:bookmarkEnd w:id="235"/>
      <w:r>
        <w:rPr>
          <w:rFonts w:ascii="Times New Roman" w:hAnsi="Times New Roman"/>
          <w:sz w:val="20"/>
        </w:rPr>
      </w:r>
      <w:r/>
    </w:p>
    <w:p>
      <w:pPr>
        <w:pStyle w:val="926"/>
        <w:rPr>
          <w:rFonts w:ascii="Times New Roman" w:hAnsi="Times New Roman"/>
        </w:rPr>
      </w:pPr>
      <w:r/>
      <w:bookmarkStart w:id="236" w:name="EBcd5591da61cb4e94ae541e640de7cf31"/>
      <w:r/>
      <w:bookmarkEnd w:id="236"/>
      <w:r>
        <w:rPr>
          <w:rFonts w:ascii="Times New Roman" w:hAnsi="Times New Roman"/>
        </w:rPr>
      </w:r>
      <w:r/>
    </w:p>
    <w:p>
      <w:pPr>
        <w:pStyle w:val="926"/>
        <w:rPr>
          <w:rFonts w:ascii="Times New Roman" w:hAnsi="Times New Roman"/>
        </w:rPr>
      </w:pPr>
      <w:r/>
      <w:bookmarkStart w:id="237" w:name="EBfac14fe4f2614092ba9ee84c679fcbea"/>
      <w:r/>
      <w:bookmarkEnd w:id="237"/>
      <w:r>
        <w:rPr>
          <w:rFonts w:ascii="Times New Roman" w:hAnsi="Times New Roman"/>
        </w:rPr>
      </w:r>
      <w:r/>
    </w:p>
    <w:p>
      <w:pPr>
        <w:pStyle w:val="926"/>
        <w:ind w:firstLine="400"/>
        <w:spacing w:line="360" w:lineRule="auto"/>
        <w:rPr>
          <w:rFonts w:ascii="Times New Roman" w:hAnsi="Times New Roman"/>
          <w:sz w:val="24"/>
        </w:rPr>
      </w:pPr>
      <w:r/>
      <w:bookmarkStart w:id="238" w:name="EB4d4ec51fae08401e9c82e93d31b337cc"/>
      <w:r/>
      <w:bookmarkEnd w:id="238"/>
      <w:r/>
      <w:bookmarkStart w:id="239" w:name="EB708134bf3489415682e254b31317852b"/>
      <w:r>
        <w:rPr>
          <w:rFonts w:ascii="Times New Roman" w:hAnsi="Times New Roman"/>
          <w:sz w:val="20"/>
        </w:rPr>
        <w:t xml:space="preserve"> </w:t>
      </w:r>
      <w:bookmarkEnd w:id="239"/>
      <w:r>
        <w:rPr>
          <w:rFonts w:ascii="Times New Roman" w:hAnsi="Times New Roman"/>
          <w:sz w:val="24"/>
        </w:rPr>
      </w:r>
      <w:r/>
    </w:p>
    <w:p>
      <w:pPr>
        <w:pStyle w:val="928"/>
        <w:jc w:val="left"/>
        <w:rPr>
          <w:rFonts w:ascii="Times New Roman" w:hAnsi="Times New Roman" w:eastAsia="宋体"/>
          <w:b w:val="0"/>
          <w:sz w:val="28"/>
          <w:szCs w:val="28"/>
        </w:rPr>
      </w:pPr>
      <w:r/>
      <w:bookmarkStart w:id="302" w:name="_Toc13"/>
      <w:r>
        <w:rPr>
          <w:rStyle w:val="1036"/>
          <w:rFonts w:ascii="Times New Roman" w:hAnsi="Times New Roman"/>
          <w:bCs w:val="0"/>
        </w:rPr>
        <w:t xml:space="preserve">二、评标标准</w:t>
      </w:r>
      <w:r>
        <w:rPr>
          <w:rFonts w:ascii="Times New Roman" w:hAnsi="Times New Roman" w:eastAsia="宋体"/>
          <w:b w:val="0"/>
          <w:sz w:val="28"/>
          <w:szCs w:val="28"/>
        </w:rPr>
      </w:r>
      <w:bookmarkEnd w:id="302"/>
      <w:r/>
      <w:r/>
    </w:p>
    <w:p>
      <w:pPr>
        <w:pStyle w:val="1295"/>
        <w:ind w:firstLine="500"/>
        <w:spacing w:line="440" w:lineRule="exact"/>
        <w:rPr>
          <w:rFonts w:eastAsia="宋体"/>
          <w:b/>
          <w:spacing w:val="7"/>
        </w:rPr>
      </w:pPr>
      <w:r>
        <w:rPr>
          <w:rFonts w:eastAsia="宋体"/>
          <w:b/>
          <w:spacing w:val="7"/>
        </w:rPr>
        <w:t xml:space="preserve">1 价格分 15.0 分</w:t>
      </w:r>
      <w:r>
        <w:rPr>
          <w:rFonts w:eastAsia="宋体"/>
          <w:b/>
          <w:spacing w:val="7"/>
        </w:rPr>
      </w:r>
      <w:r/>
    </w:p>
    <w:p>
      <w:pPr>
        <w:pStyle w:val="1295"/>
        <w:ind w:firstLine="500"/>
        <w:spacing w:line="440" w:lineRule="exact"/>
        <w:rPr>
          <w:rFonts w:eastAsia="宋体"/>
          <w:spacing w:val="7"/>
        </w:rPr>
      </w:pPr>
      <w:r>
        <w:rPr>
          <w:rFonts w:eastAsia="宋体"/>
          <w:spacing w:val="7"/>
        </w:rPr>
        <w:t xml:space="preserve">采用低价优先法计算，即满足招标文件要求且投标价格最低的投标价为评标基准价，其价格分为满分15.0分。其他投标人的价格分统一按照下列公式计算：</w:t>
      </w:r>
      <w:r>
        <w:rPr>
          <w:rFonts w:eastAsia="宋体"/>
          <w:spacing w:val="7"/>
        </w:rPr>
      </w:r>
      <w:r/>
    </w:p>
    <w:p>
      <w:pPr>
        <w:pStyle w:val="1295"/>
        <w:ind w:firstLine="500"/>
        <w:spacing w:line="440" w:lineRule="exact"/>
        <w:rPr>
          <w:rFonts w:eastAsia="宋体"/>
          <w:spacing w:val="7"/>
        </w:rPr>
      </w:pPr>
      <w:r>
        <w:rPr>
          <w:rFonts w:eastAsia="宋体"/>
          <w:spacing w:val="7"/>
        </w:rPr>
        <w:t xml:space="preserve">投标报价得分=（评标基准价/投标报价）* 15.0% * 100（保留二位小数）；</w:t>
      </w:r>
      <w:r>
        <w:rPr>
          <w:rFonts w:eastAsia="宋体"/>
          <w:spacing w:val="7"/>
        </w:rPr>
      </w:r>
      <w:r/>
    </w:p>
    <w:p>
      <w:pPr>
        <w:pStyle w:val="1295"/>
        <w:ind w:firstLine="500"/>
        <w:spacing w:line="440" w:lineRule="exact"/>
        <w:rPr>
          <w:rFonts w:eastAsia="宋体"/>
          <w:spacing w:val="7"/>
        </w:rPr>
      </w:pPr>
      <w:r>
        <w:rPr>
          <w:rFonts w:eastAsia="宋体"/>
          <w:spacing w:val="7"/>
        </w:rPr>
      </w:r>
      <w:r/>
    </w:p>
    <w:p>
      <w:pPr>
        <w:pStyle w:val="1295"/>
        <w:ind w:firstLine="500"/>
        <w:spacing w:line="440" w:lineRule="exact"/>
        <w:rPr>
          <w:rFonts w:eastAsia="宋体"/>
          <w:b/>
          <w:spacing w:val="7"/>
        </w:rPr>
      </w:pPr>
      <w:r>
        <w:rPr>
          <w:rFonts w:eastAsia="宋体"/>
          <w:b/>
          <w:spacing w:val="7"/>
        </w:rPr>
        <w:t xml:space="preserve">2 技术方案 24.0 分</w:t>
      </w:r>
      <w:r>
        <w:rPr>
          <w:rFonts w:eastAsia="宋体"/>
          <w:b/>
          <w:spacing w:val="7"/>
        </w:rPr>
      </w:r>
      <w:r/>
    </w:p>
    <w:p>
      <w:pPr>
        <w:pStyle w:val="1295"/>
        <w:ind w:firstLine="500"/>
        <w:spacing w:line="440" w:lineRule="exact"/>
        <w:rPr>
          <w:rFonts w:eastAsia="宋体"/>
          <w:spacing w:val="7"/>
        </w:rPr>
      </w:pPr>
      <w:r>
        <w:rPr>
          <w:rFonts w:eastAsia="宋体"/>
          <w:spacing w:val="7"/>
        </w:rPr>
        <w:t xml:space="preserve">2.1.运维服务方案</w:t>
      </w:r>
      <w:r>
        <w:rPr>
          <w:rFonts w:eastAsia="宋体"/>
          <w:spacing w:val="7"/>
        </w:rPr>
      </w:r>
      <w:r/>
    </w:p>
    <w:p>
      <w:pPr>
        <w:pStyle w:val="1295"/>
        <w:ind w:firstLine="500"/>
        <w:spacing w:line="440" w:lineRule="exact"/>
        <w:rPr>
          <w:rFonts w:eastAsia="宋体"/>
          <w:spacing w:val="7"/>
        </w:rPr>
      </w:pPr>
      <w:r>
        <w:rPr>
          <w:rFonts w:eastAsia="宋体"/>
          <w:spacing w:val="7"/>
        </w:rPr>
        <w:t xml:space="preserve">投标人针对本项目提供的运维服务方案(包含但不仅限于水闸运行方案、泵站机组运行方案、备用电源运行方案、两票三制落实方案、运行期间巡视方案等)，方案完全包含上述内容且考虑全面，满足项目需求的，得 10 分；方案中上述部分内容略有提及或不能完全满足项目要求的，有一项扣1分，最多扣5分；方案中上述部分内容有缺失或完全脱离项目实际的，有一项扣2分，扣完为止。【0-10】</w:t>
      </w:r>
      <w:r>
        <w:rPr>
          <w:rFonts w:eastAsia="宋体"/>
          <w:spacing w:val="7"/>
        </w:rPr>
      </w:r>
      <w:r/>
    </w:p>
    <w:p>
      <w:pPr>
        <w:pStyle w:val="1295"/>
        <w:ind w:firstLine="500"/>
        <w:spacing w:line="440" w:lineRule="exact"/>
        <w:rPr>
          <w:rFonts w:eastAsia="宋体"/>
          <w:spacing w:val="7"/>
          <w:lang w:eastAsia="zh-CN"/>
        </w:rPr>
      </w:pPr>
      <w:r>
        <w:rPr>
          <w:rFonts w:eastAsia="宋体"/>
          <w:spacing w:val="7"/>
        </w:rPr>
        <w:t xml:space="preserve">2.2.</w:t>
      </w:r>
      <w:r>
        <w:rPr>
          <w:rFonts w:eastAsia="宋体"/>
          <w:spacing w:val="7"/>
          <w:lang w:eastAsia="zh-CN"/>
        </w:rPr>
        <w:t xml:space="preserve">巡查检查（含江堤）方案</w:t>
      </w:r>
      <w:r>
        <w:rPr>
          <w:rFonts w:eastAsia="宋体"/>
          <w:spacing w:val="7"/>
          <w:lang w:eastAsia="zh-CN"/>
        </w:rPr>
      </w:r>
      <w:r/>
    </w:p>
    <w:p>
      <w:pPr>
        <w:pStyle w:val="1295"/>
        <w:ind w:firstLine="500"/>
        <w:spacing w:line="440" w:lineRule="exact"/>
        <w:rPr>
          <w:rFonts w:eastAsia="宋体"/>
          <w:spacing w:val="7"/>
        </w:rPr>
      </w:pPr>
      <w:r>
        <w:rPr>
          <w:rFonts w:eastAsia="宋体"/>
          <w:spacing w:val="7"/>
        </w:rPr>
        <w:t xml:space="preserve">投标人针对本项目提供的</w:t>
      </w:r>
      <w:r>
        <w:rPr>
          <w:rFonts w:eastAsia="宋体"/>
          <w:spacing w:val="7"/>
          <w:lang w:eastAsia="zh-CN"/>
        </w:rPr>
        <w:t xml:space="preserve">巡查检查（含江堤）方案</w:t>
      </w:r>
      <w:r>
        <w:rPr>
          <w:rFonts w:eastAsia="宋体"/>
          <w:spacing w:val="7"/>
        </w:rPr>
        <w:t xml:space="preserve">(包含但不仅限于日常巡查方案、常规检查方案、安全检查方案、隐患排查方案、定期检查方案</w:t>
      </w:r>
      <w:r>
        <w:rPr>
          <w:rFonts w:eastAsia="宋体"/>
          <w:spacing w:val="7"/>
          <w:lang w:eastAsia="zh-CN"/>
        </w:rPr>
        <w:t xml:space="preserve">（</w:t>
      </w:r>
      <w:r>
        <w:rPr>
          <w:rFonts w:eastAsia="宋体"/>
          <w:spacing w:val="7"/>
          <w:lang w:val="en-US" w:eastAsia="zh-CN"/>
        </w:rPr>
        <w:t xml:space="preserve">含</w:t>
      </w:r>
      <w:r>
        <w:rPr>
          <w:rFonts w:eastAsia="宋体"/>
          <w:spacing w:val="7"/>
        </w:rPr>
        <w:t xml:space="preserve">特别检查方案</w:t>
      </w:r>
      <w:r>
        <w:rPr>
          <w:rFonts w:eastAsia="宋体"/>
          <w:spacing w:val="7"/>
          <w:lang w:eastAsia="zh-CN"/>
        </w:rPr>
        <w:t xml:space="preserve">）、</w:t>
      </w:r>
      <w:r>
        <w:rPr>
          <w:rFonts w:eastAsia="宋体"/>
          <w:lang w:val="en-US" w:eastAsia="zh-CN"/>
        </w:rPr>
        <w:t xml:space="preserve">工程评级方案</w:t>
      </w:r>
      <w:r>
        <w:rPr>
          <w:rFonts w:eastAsia="宋体"/>
          <w:spacing w:val="7"/>
        </w:rPr>
        <w:t xml:space="preserve">等)，方案完全包含上述内容且考虑全面，满足项目需求的，得 6 分；方案中上述部分内容略有提及或不能完全满足项目要求的，有一项扣0.5分，最多扣3分；方案中上述部分内容有缺失或完全脱离项目实际的，有一项扣1分，扣完为止。【0-6】</w:t>
      </w:r>
      <w:r>
        <w:rPr>
          <w:rFonts w:eastAsia="宋体"/>
          <w:spacing w:val="7"/>
        </w:rPr>
      </w:r>
      <w:r/>
    </w:p>
    <w:p>
      <w:pPr>
        <w:pStyle w:val="1295"/>
        <w:ind w:firstLine="500"/>
        <w:spacing w:line="440" w:lineRule="exact"/>
        <w:rPr>
          <w:rFonts w:eastAsia="宋体"/>
          <w:spacing w:val="7"/>
        </w:rPr>
      </w:pPr>
      <w:r>
        <w:rPr>
          <w:rFonts w:eastAsia="宋体"/>
          <w:spacing w:val="7"/>
        </w:rPr>
        <w:t xml:space="preserve">2.3.养护方案</w:t>
      </w:r>
      <w:r>
        <w:rPr>
          <w:rFonts w:eastAsia="宋体"/>
          <w:spacing w:val="7"/>
        </w:rPr>
      </w:r>
      <w:r/>
    </w:p>
    <w:p>
      <w:pPr>
        <w:pStyle w:val="1295"/>
        <w:ind w:firstLine="500"/>
        <w:spacing w:line="440" w:lineRule="exact"/>
        <w:rPr>
          <w:rFonts w:eastAsia="宋体"/>
          <w:spacing w:val="7"/>
        </w:rPr>
      </w:pPr>
      <w:r>
        <w:rPr>
          <w:rFonts w:eastAsia="宋体"/>
          <w:spacing w:val="7"/>
        </w:rPr>
        <w:t xml:space="preserve">投标人针对本项目提供的养护方案(包含但不仅限于绿化养护方案、设备设施日常养护方案、金属结构机电设备定期养护方案、油液检测及压力表</w:t>
      </w:r>
      <w:r>
        <w:rPr>
          <w:rFonts w:eastAsia="宋体"/>
          <w:spacing w:val="7"/>
          <w:lang w:val="en-US" w:eastAsia="zh-CN"/>
        </w:rPr>
        <w:t xml:space="preserve">购置</w:t>
      </w:r>
      <w:r>
        <w:rPr>
          <w:rFonts w:eastAsia="宋体"/>
          <w:spacing w:val="7"/>
        </w:rPr>
        <w:t xml:space="preserve">更换方案等)，方案完全包含上述内容且考虑全面，满足项目需求的，得 4 分；方案中上述部分内容略有提及或不能完全满足项目要求的，有一项扣0.5分，最多扣2分；方案中上述部分内容有缺失或完全脱离项目实际的，有一项扣1分，扣完为止。【0-4】</w:t>
      </w:r>
      <w:r>
        <w:rPr>
          <w:rFonts w:eastAsia="宋体"/>
          <w:spacing w:val="7"/>
        </w:rPr>
      </w:r>
      <w:r/>
    </w:p>
    <w:p>
      <w:pPr>
        <w:pStyle w:val="1295"/>
        <w:ind w:firstLine="500"/>
        <w:spacing w:line="440" w:lineRule="exact"/>
        <w:rPr>
          <w:rFonts w:eastAsia="宋体"/>
          <w:spacing w:val="7"/>
          <w:lang w:eastAsia="zh-CN"/>
        </w:rPr>
      </w:pPr>
      <w:r>
        <w:rPr>
          <w:rFonts w:eastAsia="宋体"/>
          <w:spacing w:val="7"/>
          <w:lang w:eastAsia="zh-CN"/>
        </w:rPr>
        <w:t xml:space="preserve">2.4 其他要求</w:t>
      </w:r>
      <w:r>
        <w:rPr>
          <w:rFonts w:eastAsia="宋体"/>
          <w:spacing w:val="7"/>
          <w:lang w:eastAsia="zh-CN"/>
        </w:rPr>
      </w:r>
      <w:r/>
    </w:p>
    <w:p>
      <w:pPr>
        <w:pStyle w:val="1295"/>
        <w:ind w:firstLine="500"/>
        <w:spacing w:line="440" w:lineRule="exact"/>
        <w:rPr>
          <w:rFonts w:eastAsia="宋体"/>
          <w:spacing w:val="7"/>
        </w:rPr>
      </w:pPr>
      <w:r>
        <w:rPr>
          <w:rFonts w:eastAsia="宋体"/>
          <w:spacing w:val="7"/>
        </w:rPr>
        <w:t xml:space="preserve">投标人针对本项目提供的</w:t>
      </w:r>
      <w:r>
        <w:rPr>
          <w:rFonts w:hint="eastAsia" w:ascii="宋体" w:hAnsi="宋体" w:eastAsia="宋体" w:cs="宋体"/>
          <w:shd w:val="clear" w:color="auto" w:fill="ffffff"/>
        </w:rPr>
        <w:t xml:space="preserve">安全用具检测</w:t>
      </w:r>
      <w:r>
        <w:rPr>
          <w:rFonts w:eastAsia="宋体"/>
          <w:spacing w:val="7"/>
          <w:lang w:eastAsia="zh-CN"/>
        </w:rPr>
        <w:t xml:space="preserve">方案、金属结构机电设备维修方案、技术业务指导及人员培训方案、迎检工作方案等</w:t>
      </w:r>
      <w:r>
        <w:rPr>
          <w:rFonts w:eastAsia="宋体"/>
          <w:spacing w:val="7"/>
        </w:rPr>
        <w:t xml:space="preserve">，方案完全包含上述内容且考虑全面，满足项目需求的，得 4 分；方案中上述部分内容略有提及或不能完全满足项目要求的，有一项扣0.5分，最多扣2分；方案中上述部分内容有缺失或完全脱离项目实际的，有一项扣1分，扣完为止。【0-4】</w:t>
      </w:r>
      <w:r>
        <w:rPr>
          <w:rFonts w:eastAsia="宋体"/>
          <w:spacing w:val="7"/>
        </w:rPr>
      </w:r>
      <w:r/>
    </w:p>
    <w:p>
      <w:pPr>
        <w:pStyle w:val="1295"/>
        <w:ind w:firstLine="500"/>
        <w:spacing w:line="440" w:lineRule="exact"/>
        <w:rPr>
          <w:rFonts w:eastAsia="宋体"/>
          <w:b/>
          <w:spacing w:val="7"/>
        </w:rPr>
      </w:pPr>
      <w:r>
        <w:rPr>
          <w:rFonts w:eastAsia="宋体"/>
          <w:b/>
          <w:spacing w:val="7"/>
        </w:rPr>
        <w:t xml:space="preserve">3 服务管理方案 </w:t>
      </w:r>
      <w:r>
        <w:rPr>
          <w:rFonts w:eastAsia="宋体"/>
          <w:b/>
          <w:spacing w:val="7"/>
          <w:lang w:val="en-US" w:eastAsia="zh-CN"/>
        </w:rPr>
        <w:t xml:space="preserve">24</w:t>
      </w:r>
      <w:r>
        <w:rPr>
          <w:rFonts w:eastAsia="宋体"/>
          <w:b/>
          <w:spacing w:val="7"/>
        </w:rPr>
        <w:t xml:space="preserve">.0 分</w:t>
      </w:r>
      <w:r>
        <w:rPr>
          <w:rFonts w:eastAsia="宋体"/>
          <w:b/>
          <w:spacing w:val="7"/>
        </w:rPr>
      </w:r>
      <w:r/>
    </w:p>
    <w:p>
      <w:pPr>
        <w:pStyle w:val="1295"/>
        <w:ind w:firstLine="500"/>
        <w:spacing w:line="440" w:lineRule="exact"/>
        <w:rPr>
          <w:rFonts w:eastAsia="宋体"/>
          <w:spacing w:val="7"/>
        </w:rPr>
      </w:pPr>
      <w:r>
        <w:rPr>
          <w:rFonts w:eastAsia="宋体"/>
          <w:spacing w:val="7"/>
        </w:rPr>
        <w:t xml:space="preserve">3.1</w:t>
      </w:r>
      <w:r>
        <w:rPr>
          <w:rFonts w:eastAsia="宋体"/>
          <w:spacing w:val="7"/>
          <w:lang w:eastAsia="zh-CN"/>
        </w:rPr>
        <w:t xml:space="preserve">.</w:t>
      </w:r>
      <w:r>
        <w:rPr>
          <w:rFonts w:eastAsia="宋体"/>
          <w:spacing w:val="7"/>
        </w:rPr>
        <w:t xml:space="preserve">工作管理方案</w:t>
      </w:r>
      <w:r>
        <w:rPr>
          <w:rFonts w:eastAsia="宋体"/>
          <w:spacing w:val="7"/>
        </w:rPr>
      </w:r>
      <w:r/>
    </w:p>
    <w:p>
      <w:pPr>
        <w:pStyle w:val="1295"/>
        <w:ind w:firstLine="500"/>
        <w:spacing w:line="440" w:lineRule="exact"/>
        <w:rPr>
          <w:rFonts w:eastAsia="宋体"/>
          <w:spacing w:val="7"/>
        </w:rPr>
      </w:pPr>
      <w:r>
        <w:rPr>
          <w:rFonts w:eastAsia="宋体"/>
          <w:spacing w:val="7"/>
        </w:rPr>
        <w:t xml:space="preserve">投标人针对本项目提出的</w:t>
      </w:r>
      <w:r>
        <w:rPr>
          <w:rFonts w:eastAsia="宋体"/>
          <w:spacing w:val="7"/>
          <w:lang w:val="en-US" w:eastAsia="zh-CN"/>
        </w:rPr>
        <w:t xml:space="preserve">标准化</w:t>
      </w:r>
      <w:r>
        <w:rPr>
          <w:rFonts w:eastAsia="宋体"/>
          <w:spacing w:val="7"/>
        </w:rPr>
        <w:t xml:space="preserve">工作管理方案（包含但不限于总体的工作思路、工作人员安排计划、工作时间计划等），方案完全包含上述内容且考虑全面，</w:t>
      </w:r>
      <w:r>
        <w:rPr>
          <w:rFonts w:eastAsia="宋体"/>
          <w:spacing w:val="7"/>
          <w:lang w:val="en-US" w:eastAsia="zh-CN"/>
        </w:rPr>
        <w:t xml:space="preserve">科学合理、措施得当，</w:t>
      </w:r>
      <w:r>
        <w:rPr>
          <w:rFonts w:eastAsia="宋体"/>
          <w:spacing w:val="7"/>
        </w:rPr>
        <w:t xml:space="preserve">满足项目需求的，得</w:t>
      </w:r>
      <w:r>
        <w:rPr>
          <w:rFonts w:eastAsia="宋体"/>
          <w:spacing w:val="7"/>
          <w:lang w:val="en-US" w:eastAsia="zh-CN"/>
        </w:rPr>
        <w:t xml:space="preserve">9</w:t>
      </w:r>
      <w:r>
        <w:rPr>
          <w:rFonts w:eastAsia="宋体"/>
          <w:spacing w:val="7"/>
        </w:rPr>
        <w:t xml:space="preserve">分；上述内容略有提及或不能完全满足项目要求的，有一项扣</w:t>
      </w:r>
      <w:r>
        <w:rPr>
          <w:rFonts w:eastAsia="宋体"/>
          <w:spacing w:val="7"/>
          <w:lang w:val="en-US" w:eastAsia="zh-CN"/>
        </w:rPr>
        <w:t xml:space="preserve">3</w:t>
      </w:r>
      <w:r>
        <w:rPr>
          <w:rFonts w:eastAsia="宋体"/>
          <w:spacing w:val="7"/>
        </w:rPr>
        <w:t xml:space="preserve">分，扣完为止。【0-</w:t>
      </w:r>
      <w:r>
        <w:rPr>
          <w:rFonts w:eastAsia="宋体"/>
          <w:spacing w:val="7"/>
          <w:lang w:val="en-US" w:eastAsia="zh-CN"/>
        </w:rPr>
        <w:t xml:space="preserve">9</w:t>
      </w:r>
      <w:r>
        <w:rPr>
          <w:rFonts w:eastAsia="宋体"/>
          <w:spacing w:val="7"/>
        </w:rPr>
        <w:t xml:space="preserve">】</w:t>
      </w:r>
      <w:r>
        <w:rPr>
          <w:rFonts w:eastAsia="宋体"/>
          <w:spacing w:val="7"/>
        </w:rPr>
      </w:r>
      <w:r/>
    </w:p>
    <w:p>
      <w:pPr>
        <w:pStyle w:val="1295"/>
        <w:ind w:firstLine="500"/>
        <w:spacing w:line="440" w:lineRule="exact"/>
        <w:rPr>
          <w:rFonts w:eastAsia="宋体"/>
          <w:spacing w:val="7"/>
        </w:rPr>
      </w:pPr>
      <w:r>
        <w:rPr>
          <w:rFonts w:eastAsia="宋体"/>
          <w:spacing w:val="7"/>
        </w:rPr>
        <w:t xml:space="preserve">3.2.安全管理方案</w:t>
      </w:r>
      <w:r>
        <w:rPr>
          <w:rFonts w:eastAsia="宋体"/>
          <w:spacing w:val="7"/>
        </w:rPr>
      </w:r>
      <w:r/>
    </w:p>
    <w:p>
      <w:pPr>
        <w:pStyle w:val="1295"/>
        <w:ind w:firstLine="500"/>
        <w:spacing w:line="440" w:lineRule="exact"/>
        <w:rPr>
          <w:rFonts w:eastAsia="宋体"/>
          <w:spacing w:val="7"/>
        </w:rPr>
      </w:pPr>
      <w:r>
        <w:rPr>
          <w:rFonts w:eastAsia="宋体"/>
          <w:spacing w:val="7"/>
        </w:rPr>
        <w:t xml:space="preserve">投标人针对本项目提供的安全管理方案(包含但不限于</w:t>
      </w:r>
      <w:r>
        <w:rPr>
          <w:rFonts w:eastAsia="宋体"/>
          <w:spacing w:val="7"/>
          <w:lang w:val="en-US" w:eastAsia="zh-CN"/>
        </w:rPr>
        <w:t xml:space="preserve">工程</w:t>
      </w:r>
      <w:r>
        <w:rPr>
          <w:rFonts w:eastAsia="宋体"/>
          <w:spacing w:val="7"/>
        </w:rPr>
        <w:t xml:space="preserve">正常运行时的安全组织和安全防护措施、</w:t>
      </w:r>
      <w:r>
        <w:rPr>
          <w:rFonts w:eastAsia="宋体"/>
          <w:spacing w:val="7"/>
          <w:lang w:val="en-US" w:eastAsia="zh-CN"/>
        </w:rPr>
        <w:t xml:space="preserve">施工</w:t>
      </w:r>
      <w:r>
        <w:rPr>
          <w:rFonts w:eastAsia="宋体"/>
          <w:spacing w:val="7"/>
        </w:rPr>
        <w:t xml:space="preserve">作业时的安全组织和安全防护措施、发生事故时的安全组织和安全防护措施、各项</w:t>
      </w:r>
      <w:r>
        <w:rPr>
          <w:rFonts w:eastAsia="宋体"/>
          <w:spacing w:val="7"/>
          <w:lang w:val="en-US" w:eastAsia="zh-CN"/>
        </w:rPr>
        <w:t xml:space="preserve">涉及到工程运行及作业项目的</w:t>
      </w:r>
      <w:r>
        <w:rPr>
          <w:rFonts w:eastAsia="宋体"/>
          <w:spacing w:val="7"/>
        </w:rPr>
        <w:t xml:space="preserve">紧急</w:t>
      </w:r>
      <w:r>
        <w:rPr>
          <w:rFonts w:eastAsia="宋体"/>
          <w:spacing w:val="7"/>
          <w:lang w:val="en-US" w:eastAsia="zh-CN"/>
        </w:rPr>
        <w:t xml:space="preserve">应急</w:t>
      </w:r>
      <w:r>
        <w:rPr>
          <w:rFonts w:eastAsia="宋体"/>
          <w:spacing w:val="7"/>
        </w:rPr>
        <w:t xml:space="preserve">预案</w:t>
      </w:r>
      <w:r>
        <w:rPr>
          <w:rFonts w:eastAsia="宋体"/>
          <w:spacing w:val="7"/>
          <w:lang w:val="en-US" w:eastAsia="zh-CN"/>
        </w:rPr>
        <w:t xml:space="preserve">包括</w:t>
      </w:r>
      <w:r>
        <w:rPr>
          <w:rFonts w:eastAsia="宋体"/>
          <w:spacing w:val="7"/>
        </w:rPr>
        <w:t xml:space="preserve">处理措施</w:t>
      </w:r>
      <w:r>
        <w:rPr>
          <w:rFonts w:eastAsia="宋体"/>
          <w:spacing w:val="7"/>
          <w:lang w:val="en-US" w:eastAsia="zh-CN"/>
        </w:rPr>
        <w:t xml:space="preserve">及</w:t>
      </w:r>
      <w:r>
        <w:rPr>
          <w:rFonts w:eastAsia="宋体"/>
          <w:spacing w:val="7"/>
        </w:rPr>
        <w:t xml:space="preserve">应急响应时间)，方案完全包含上述内容且考虑全面，满足项目需求的，得 </w:t>
      </w:r>
      <w:r>
        <w:rPr>
          <w:rFonts w:eastAsia="宋体"/>
          <w:spacing w:val="7"/>
          <w:lang w:eastAsia="zh-CN"/>
        </w:rPr>
        <w:t xml:space="preserve">4</w:t>
      </w:r>
      <w:r>
        <w:rPr>
          <w:rFonts w:eastAsia="宋体"/>
          <w:spacing w:val="7"/>
        </w:rPr>
        <w:t xml:space="preserve"> 分；方案中上述部分内容略有提及或不能完全满足项目要求的，有一项扣1分，扣完为止。【0-</w:t>
      </w:r>
      <w:r>
        <w:rPr>
          <w:rFonts w:eastAsia="宋体"/>
          <w:spacing w:val="7"/>
          <w:lang w:eastAsia="zh-CN"/>
        </w:rPr>
        <w:t xml:space="preserve">4</w:t>
      </w:r>
      <w:r>
        <w:rPr>
          <w:rFonts w:eastAsia="宋体"/>
          <w:spacing w:val="7"/>
        </w:rPr>
        <w:t xml:space="preserve">】</w:t>
      </w:r>
      <w:r>
        <w:rPr>
          <w:rFonts w:eastAsia="宋体"/>
          <w:spacing w:val="7"/>
        </w:rPr>
      </w:r>
      <w:r/>
    </w:p>
    <w:p>
      <w:pPr>
        <w:pStyle w:val="1295"/>
        <w:ind w:firstLine="500"/>
        <w:spacing w:line="440" w:lineRule="exact"/>
        <w:rPr>
          <w:rFonts w:eastAsia="宋体"/>
          <w:spacing w:val="7"/>
        </w:rPr>
      </w:pPr>
      <w:r>
        <w:rPr>
          <w:rFonts w:eastAsia="宋体"/>
          <w:spacing w:val="7"/>
        </w:rPr>
        <w:t xml:space="preserve">3.3.内部管理架构</w:t>
      </w:r>
      <w:r>
        <w:rPr>
          <w:rFonts w:eastAsia="宋体"/>
          <w:spacing w:val="7"/>
        </w:rPr>
      </w:r>
      <w:r/>
    </w:p>
    <w:p>
      <w:pPr>
        <w:pStyle w:val="1295"/>
        <w:ind w:firstLine="500"/>
        <w:spacing w:line="440" w:lineRule="exact"/>
        <w:rPr>
          <w:rFonts w:eastAsia="宋体"/>
          <w:spacing w:val="7"/>
        </w:rPr>
      </w:pPr>
      <w:r>
        <w:rPr>
          <w:rFonts w:eastAsia="宋体"/>
          <w:spacing w:val="7"/>
        </w:rPr>
        <w:t xml:space="preserve">投标人针对本项目提供的内部管理方案(包含但不限于组织管理体系</w:t>
      </w:r>
      <w:r>
        <w:rPr>
          <w:rFonts w:eastAsia="宋体"/>
          <w:spacing w:val="7"/>
          <w:lang w:val="en-US" w:eastAsia="zh-CN"/>
        </w:rPr>
        <w:t xml:space="preserve">、人员配置、</w:t>
      </w:r>
      <w:r>
        <w:rPr>
          <w:rFonts w:eastAsia="宋体"/>
        </w:rPr>
        <w:t xml:space="preserve">规章制度</w:t>
      </w:r>
      <w:r>
        <w:rPr>
          <w:rFonts w:eastAsia="宋体"/>
          <w:lang w:eastAsia="zh-CN"/>
        </w:rPr>
        <w:t xml:space="preserve">、</w:t>
      </w:r>
      <w:r>
        <w:rPr>
          <w:rFonts w:eastAsia="宋体"/>
        </w:rPr>
        <w:t xml:space="preserve">岗位责任、安全制度及标准</w:t>
      </w:r>
      <w:r>
        <w:rPr>
          <w:rFonts w:eastAsia="宋体"/>
          <w:lang w:eastAsia="zh-CN"/>
        </w:rPr>
        <w:t xml:space="preserve">、</w:t>
      </w:r>
      <w:r>
        <w:rPr>
          <w:rFonts w:eastAsia="宋体"/>
          <w:spacing w:val="7"/>
        </w:rPr>
        <w:t xml:space="preserve">考核机制、监督机制、各岗位培训制度等)，方案完全包含上述内容且考虑全面，满足项目需求的，得 </w:t>
      </w:r>
      <w:r>
        <w:rPr>
          <w:rFonts w:eastAsia="宋体"/>
          <w:spacing w:val="7"/>
          <w:lang w:eastAsia="zh-CN"/>
        </w:rPr>
        <w:t xml:space="preserve">4</w:t>
      </w:r>
      <w:r>
        <w:rPr>
          <w:rFonts w:eastAsia="宋体"/>
          <w:spacing w:val="7"/>
        </w:rPr>
        <w:t xml:space="preserve"> 分；方案中上述部分内容略有提及或不能完全满足项目要求的，有一项扣0.</w:t>
      </w:r>
      <w:r>
        <w:rPr>
          <w:rFonts w:eastAsia="宋体"/>
          <w:spacing w:val="7"/>
          <w:lang w:eastAsia="zh-CN"/>
        </w:rPr>
        <w:t xml:space="preserve">5</w:t>
      </w:r>
      <w:r>
        <w:rPr>
          <w:rFonts w:eastAsia="宋体"/>
          <w:spacing w:val="7"/>
        </w:rPr>
        <w:t xml:space="preserve">分，扣完为止。【0-</w:t>
      </w:r>
      <w:r>
        <w:rPr>
          <w:rFonts w:eastAsia="宋体"/>
          <w:spacing w:val="7"/>
          <w:lang w:eastAsia="zh-CN"/>
        </w:rPr>
        <w:t xml:space="preserve">4</w:t>
      </w:r>
      <w:r>
        <w:rPr>
          <w:rFonts w:eastAsia="宋体"/>
          <w:spacing w:val="7"/>
        </w:rPr>
        <w:t xml:space="preserve">】</w:t>
      </w:r>
      <w:r>
        <w:rPr>
          <w:rFonts w:eastAsia="宋体"/>
          <w:spacing w:val="7"/>
        </w:rPr>
      </w:r>
      <w:r/>
    </w:p>
    <w:p>
      <w:pPr>
        <w:pStyle w:val="1295"/>
        <w:ind w:firstLine="500"/>
        <w:spacing w:line="440" w:lineRule="exact"/>
        <w:rPr>
          <w:rFonts w:eastAsia="宋体"/>
          <w:spacing w:val="7"/>
        </w:rPr>
      </w:pPr>
      <w:r>
        <w:rPr>
          <w:rFonts w:eastAsia="宋体"/>
          <w:spacing w:val="7"/>
        </w:rPr>
        <w:t xml:space="preserve">3.4.进退场交接方案</w:t>
      </w:r>
      <w:r>
        <w:rPr>
          <w:rFonts w:eastAsia="宋体"/>
          <w:spacing w:val="7"/>
        </w:rPr>
      </w:r>
      <w:r/>
    </w:p>
    <w:p>
      <w:pPr>
        <w:pStyle w:val="1295"/>
        <w:ind w:firstLine="500"/>
        <w:spacing w:line="440" w:lineRule="exact"/>
        <w:rPr>
          <w:rFonts w:eastAsia="宋体"/>
          <w:spacing w:val="7"/>
        </w:rPr>
      </w:pPr>
      <w:r>
        <w:rPr>
          <w:rFonts w:eastAsia="宋体"/>
          <w:spacing w:val="7"/>
        </w:rPr>
        <w:t xml:space="preserve">投标人针对本项目提供的进退场交接方案(包含但不限于</w:t>
      </w:r>
      <w:r>
        <w:rPr>
          <w:rFonts w:eastAsia="宋体"/>
          <w:spacing w:val="7"/>
          <w:lang w:val="en-US" w:eastAsia="zh-CN"/>
        </w:rPr>
        <w:t xml:space="preserve">制定</w:t>
      </w:r>
      <w:r>
        <w:rPr>
          <w:rFonts w:eastAsia="宋体"/>
          <w:spacing w:val="7"/>
        </w:rPr>
        <w:t xml:space="preserve">交接程序、</w:t>
      </w:r>
      <w:r>
        <w:rPr>
          <w:rFonts w:eastAsia="宋体"/>
          <w:spacing w:val="7"/>
          <w:lang w:val="en-US" w:eastAsia="zh-CN"/>
        </w:rPr>
        <w:t xml:space="preserve">设备设施移交手续、</w:t>
      </w:r>
      <w:r>
        <w:rPr>
          <w:rFonts w:eastAsia="宋体"/>
          <w:spacing w:val="7"/>
        </w:rPr>
        <w:t xml:space="preserve">档案资料</w:t>
      </w:r>
      <w:r>
        <w:rPr>
          <w:rFonts w:eastAsia="宋体"/>
          <w:spacing w:val="7"/>
          <w:lang w:val="en-US" w:eastAsia="zh-CN"/>
        </w:rPr>
        <w:t xml:space="preserve">移交</w:t>
      </w:r>
      <w:r>
        <w:rPr>
          <w:rFonts w:eastAsia="宋体"/>
          <w:spacing w:val="7"/>
        </w:rPr>
        <w:t xml:space="preserve">、</w:t>
      </w:r>
      <w:r>
        <w:rPr>
          <w:rFonts w:eastAsia="宋体"/>
          <w:spacing w:val="7"/>
          <w:lang w:val="en-US" w:eastAsia="zh-CN"/>
        </w:rPr>
        <w:t xml:space="preserve">岗前</w:t>
      </w:r>
      <w:r>
        <w:rPr>
          <w:rFonts w:eastAsia="宋体"/>
          <w:spacing w:val="7"/>
        </w:rPr>
        <w:t xml:space="preserve">人员</w:t>
      </w:r>
      <w:r>
        <w:rPr>
          <w:rFonts w:eastAsia="宋体"/>
          <w:spacing w:val="7"/>
          <w:lang w:val="en-US" w:eastAsia="zh-CN"/>
        </w:rPr>
        <w:t xml:space="preserve">培训</w:t>
      </w:r>
      <w:r>
        <w:rPr>
          <w:rFonts w:eastAsia="宋体"/>
          <w:spacing w:val="7"/>
        </w:rPr>
        <w:t xml:space="preserve">等)，方案完全包含上述内容且考虑全面，满足项目需求的，得</w:t>
      </w:r>
      <w:r>
        <w:rPr>
          <w:rFonts w:eastAsia="宋体"/>
          <w:spacing w:val="7"/>
          <w:lang w:eastAsia="zh-CN"/>
        </w:rPr>
        <w:t xml:space="preserve">2</w:t>
      </w:r>
      <w:r>
        <w:rPr>
          <w:rFonts w:eastAsia="宋体"/>
          <w:spacing w:val="7"/>
        </w:rPr>
        <w:t xml:space="preserve"> 分；方案中上述部分内容略有提及或不能完全满足项目要求的，有一项扣</w:t>
      </w:r>
      <w:r>
        <w:rPr>
          <w:rFonts w:eastAsia="宋体"/>
          <w:spacing w:val="7"/>
          <w:lang w:eastAsia="zh-CN"/>
        </w:rPr>
        <w:t xml:space="preserve">0.5</w:t>
      </w:r>
      <w:r>
        <w:rPr>
          <w:rFonts w:eastAsia="宋体"/>
          <w:spacing w:val="7"/>
        </w:rPr>
        <w:t xml:space="preserve">分，扣完为止。【0-</w:t>
      </w:r>
      <w:r>
        <w:rPr>
          <w:rFonts w:eastAsia="宋体"/>
          <w:spacing w:val="7"/>
          <w:lang w:eastAsia="zh-CN"/>
        </w:rPr>
        <w:t xml:space="preserve">2</w:t>
      </w:r>
      <w:r>
        <w:rPr>
          <w:rFonts w:eastAsia="宋体"/>
          <w:spacing w:val="7"/>
        </w:rPr>
        <w:t xml:space="preserve">】</w:t>
      </w:r>
      <w:r>
        <w:rPr>
          <w:rFonts w:eastAsia="宋体"/>
          <w:spacing w:val="7"/>
        </w:rPr>
      </w:r>
      <w:r/>
    </w:p>
    <w:p>
      <w:pPr>
        <w:pStyle w:val="1295"/>
        <w:ind w:firstLine="500"/>
        <w:spacing w:line="440" w:lineRule="exact"/>
        <w:rPr>
          <w:rFonts w:eastAsia="宋体"/>
          <w:spacing w:val="7"/>
        </w:rPr>
      </w:pPr>
      <w:r>
        <w:rPr>
          <w:rFonts w:eastAsia="宋体"/>
          <w:spacing w:val="7"/>
        </w:rPr>
        <w:t xml:space="preserve">3.5.垃圾清运方案</w:t>
      </w:r>
      <w:r>
        <w:rPr>
          <w:rFonts w:eastAsia="宋体"/>
          <w:spacing w:val="7"/>
        </w:rPr>
      </w:r>
      <w:r/>
    </w:p>
    <w:p>
      <w:pPr>
        <w:pStyle w:val="1295"/>
        <w:ind w:firstLine="500"/>
        <w:spacing w:line="440" w:lineRule="exact"/>
        <w:rPr>
          <w:rFonts w:eastAsia="宋体"/>
          <w:spacing w:val="7"/>
        </w:rPr>
      </w:pPr>
      <w:r>
        <w:rPr>
          <w:rFonts w:eastAsia="宋体"/>
          <w:spacing w:val="7"/>
        </w:rPr>
        <w:t xml:space="preserve">投标人针对本项目提供的垃圾清运方案，内容包含相关工具的配置、垃圾运输方案，方案完全包含上述内容且考虑全面的，得 </w:t>
      </w:r>
      <w:r>
        <w:rPr>
          <w:rFonts w:eastAsia="宋体"/>
          <w:spacing w:val="7"/>
          <w:lang w:eastAsia="zh-CN"/>
        </w:rPr>
        <w:t xml:space="preserve">2</w:t>
      </w:r>
      <w:r>
        <w:rPr>
          <w:rFonts w:eastAsia="宋体"/>
          <w:spacing w:val="7"/>
        </w:rPr>
        <w:t xml:space="preserve"> 分；方案内容有部分缺失或部分内容不能完全满足项目需求的，得</w:t>
      </w:r>
      <w:r>
        <w:rPr>
          <w:rFonts w:eastAsia="宋体"/>
          <w:spacing w:val="7"/>
          <w:lang w:eastAsia="zh-CN"/>
        </w:rPr>
        <w:t xml:space="preserve">1分；未提供或完全脱离项目需求的</w:t>
      </w:r>
      <w:r>
        <w:rPr>
          <w:rFonts w:eastAsia="宋体"/>
          <w:spacing w:val="7"/>
        </w:rPr>
        <w:t xml:space="preserve">不得分。【0/1/</w:t>
      </w:r>
      <w:r>
        <w:rPr>
          <w:rFonts w:eastAsia="宋体"/>
          <w:spacing w:val="7"/>
          <w:lang w:eastAsia="zh-CN"/>
        </w:rPr>
        <w:t xml:space="preserve">2</w:t>
      </w:r>
      <w:r>
        <w:rPr>
          <w:rFonts w:eastAsia="宋体"/>
          <w:spacing w:val="7"/>
        </w:rPr>
        <w:t xml:space="preserve">】</w:t>
      </w:r>
      <w:r>
        <w:rPr>
          <w:rFonts w:eastAsia="宋体"/>
          <w:spacing w:val="7"/>
        </w:rPr>
      </w:r>
      <w:r/>
    </w:p>
    <w:p>
      <w:pPr>
        <w:pStyle w:val="1295"/>
        <w:ind w:firstLine="500"/>
        <w:spacing w:line="440" w:lineRule="exact"/>
        <w:rPr>
          <w:rFonts w:eastAsia="宋体"/>
          <w:spacing w:val="7"/>
          <w:lang w:eastAsia="zh-CN"/>
        </w:rPr>
      </w:pPr>
      <w:r>
        <w:rPr>
          <w:rFonts w:eastAsia="宋体"/>
          <w:spacing w:val="7"/>
          <w:lang w:eastAsia="zh-CN"/>
        </w:rPr>
        <w:t xml:space="preserve">3.6 配套设备及工具方案</w:t>
      </w:r>
      <w:r>
        <w:rPr>
          <w:rFonts w:eastAsia="宋体"/>
          <w:spacing w:val="7"/>
          <w:lang w:eastAsia="zh-CN"/>
        </w:rPr>
      </w:r>
      <w:r/>
    </w:p>
    <w:p>
      <w:pPr>
        <w:pStyle w:val="1295"/>
        <w:ind w:firstLine="500"/>
        <w:spacing w:line="440" w:lineRule="exact"/>
        <w:rPr>
          <w:rFonts w:eastAsia="宋体"/>
          <w:spacing w:val="7"/>
          <w:lang w:eastAsia="zh-CN"/>
        </w:rPr>
      </w:pPr>
      <w:r>
        <w:rPr>
          <w:rFonts w:eastAsia="宋体"/>
          <w:spacing w:val="7"/>
          <w:lang w:eastAsia="zh-CN"/>
        </w:rPr>
        <w:t xml:space="preserve">投标人针对本项目投入的配套设备及工具方案(包含但不限于交通运输车辆配置计划、专业工具配置计划、办公设备配置计划等)，方案完全包含上述内容且考虑全面，满足项目需求的，得3分；方案中上述部分内容略有提及或不能完全满足项目要求的，有一项扣1分，扣完为止。</w:t>
      </w:r>
      <w:r>
        <w:rPr>
          <w:rFonts w:eastAsia="宋体"/>
          <w:spacing w:val="7"/>
        </w:rPr>
        <w:t xml:space="preserve">【0-3】</w:t>
      </w:r>
      <w:r>
        <w:rPr>
          <w:rFonts w:eastAsia="宋体"/>
          <w:spacing w:val="7"/>
          <w:lang w:eastAsia="zh-CN"/>
        </w:rPr>
      </w:r>
      <w:r/>
    </w:p>
    <w:p>
      <w:pPr>
        <w:pStyle w:val="1295"/>
        <w:ind w:firstLine="500"/>
        <w:spacing w:line="440" w:lineRule="exact"/>
        <w:rPr>
          <w:rFonts w:eastAsia="宋体"/>
          <w:b/>
          <w:spacing w:val="7"/>
        </w:rPr>
      </w:pPr>
      <w:r>
        <w:rPr>
          <w:rFonts w:eastAsia="宋体"/>
          <w:b/>
          <w:spacing w:val="7"/>
        </w:rPr>
        <w:t xml:space="preserve">4 人员配置 3</w:t>
      </w:r>
      <w:r>
        <w:rPr>
          <w:rFonts w:eastAsia="宋体"/>
          <w:b/>
          <w:spacing w:val="7"/>
          <w:lang w:eastAsia="zh-CN"/>
        </w:rPr>
        <w:t xml:space="preserve">2</w:t>
      </w:r>
      <w:r>
        <w:rPr>
          <w:rFonts w:eastAsia="宋体"/>
          <w:b/>
          <w:spacing w:val="7"/>
        </w:rPr>
        <w:t xml:space="preserve">.0 分</w:t>
      </w:r>
      <w:r>
        <w:rPr>
          <w:rFonts w:eastAsia="宋体"/>
          <w:b/>
          <w:spacing w:val="7"/>
        </w:rPr>
      </w:r>
      <w:r/>
    </w:p>
    <w:p>
      <w:pPr>
        <w:pStyle w:val="1295"/>
        <w:ind w:firstLine="500"/>
        <w:spacing w:line="440" w:lineRule="exact"/>
        <w:rPr>
          <w:rFonts w:eastAsia="宋体"/>
          <w:spacing w:val="7"/>
        </w:rPr>
      </w:pPr>
      <w:r>
        <w:rPr>
          <w:rFonts w:eastAsia="宋体"/>
          <w:spacing w:val="7"/>
        </w:rPr>
        <w:t xml:space="preserve">4.1.人员证书（除项目负责人与技术负责人不得兼任外，其余可兼任，一人可多证）</w:t>
      </w:r>
      <w:r>
        <w:rPr>
          <w:rFonts w:eastAsia="宋体"/>
          <w:spacing w:val="7"/>
        </w:rPr>
      </w:r>
      <w:r/>
    </w:p>
    <w:p>
      <w:pPr>
        <w:pStyle w:val="1295"/>
        <w:ind w:firstLine="500"/>
        <w:spacing w:line="440" w:lineRule="exact"/>
        <w:rPr>
          <w:rFonts w:eastAsia="宋体"/>
          <w:spacing w:val="7"/>
        </w:rPr>
      </w:pPr>
      <w:r>
        <w:rPr>
          <w:rFonts w:eastAsia="宋体"/>
          <w:spacing w:val="7"/>
        </w:rPr>
        <w:t xml:space="preserve">投标人针对本项目安排的项目负责人具有</w:t>
      </w:r>
      <w:r>
        <w:rPr>
          <w:rFonts w:eastAsia="宋体"/>
          <w:szCs w:val="21"/>
          <w:lang w:val="en-US" w:eastAsia="zh-CN"/>
        </w:rPr>
        <w:t xml:space="preserve">水利类或机电类或与本项目相关的专业中级工程师职称的，得1.5分，高级及以上工程师职称的，得3分，最多得3分；投标人针对本项目安排的技术负责人具有水利行业泵站运行专业或水闸运行专业技师证书的，得1.5分，高级及以上技师证书的，得3分，最多得3分；</w:t>
      </w:r>
      <w:r>
        <w:rPr>
          <w:rFonts w:eastAsia="宋体"/>
          <w:spacing w:val="7"/>
        </w:rPr>
        <w:t xml:space="preserve">运行维护人员具有水利行业泵站运行专业或水闸运行专业</w:t>
      </w:r>
      <w:r>
        <w:rPr>
          <w:rFonts w:eastAsia="宋体"/>
          <w:spacing w:val="7"/>
          <w:lang w:val="en-US"/>
        </w:rPr>
        <w:t xml:space="preserve">高级工</w:t>
      </w:r>
      <w:r>
        <w:rPr>
          <w:rFonts w:eastAsia="宋体"/>
          <w:spacing w:val="7"/>
        </w:rPr>
        <w:t xml:space="preserve">及以上职称证书的，有一人得</w:t>
      </w:r>
      <w:r>
        <w:rPr>
          <w:rFonts w:eastAsia="宋体"/>
          <w:spacing w:val="7"/>
          <w:lang w:eastAsia="zh-CN"/>
        </w:rPr>
        <w:t xml:space="preserve">1.5分，最多得15分；本项最多得21分。</w:t>
      </w:r>
      <w:r>
        <w:rPr>
          <w:rFonts w:eastAsia="宋体"/>
          <w:b/>
          <w:bCs/>
          <w:spacing w:val="7"/>
        </w:rPr>
        <w:t xml:space="preserve">（请在投标文件中提供相关人员有效证书，不提供不得分）</w:t>
      </w:r>
      <w:r>
        <w:rPr>
          <w:rFonts w:eastAsia="宋体"/>
          <w:spacing w:val="7"/>
        </w:rPr>
        <w:t xml:space="preserve">【0-21】</w:t>
      </w:r>
      <w:r>
        <w:rPr>
          <w:rFonts w:eastAsia="宋体"/>
          <w:spacing w:val="7"/>
        </w:rPr>
      </w:r>
      <w:r/>
    </w:p>
    <w:p>
      <w:pPr>
        <w:pStyle w:val="1295"/>
        <w:ind w:firstLine="500"/>
        <w:spacing w:line="440" w:lineRule="exact"/>
        <w:rPr>
          <w:rFonts w:eastAsia="宋体"/>
          <w:spacing w:val="7"/>
        </w:rPr>
      </w:pPr>
      <w:r>
        <w:rPr>
          <w:rFonts w:eastAsia="宋体"/>
          <w:spacing w:val="7"/>
        </w:rPr>
        <w:t xml:space="preserve">4.2.电工（兼任，一人可多证）</w:t>
      </w:r>
      <w:r>
        <w:rPr>
          <w:rFonts w:eastAsia="宋体"/>
          <w:spacing w:val="7"/>
        </w:rPr>
      </w:r>
      <w:r/>
    </w:p>
    <w:p>
      <w:pPr>
        <w:pStyle w:val="1295"/>
        <w:ind w:firstLine="500"/>
        <w:spacing w:line="440" w:lineRule="exact"/>
        <w:rPr>
          <w:rFonts w:eastAsia="宋体"/>
          <w:spacing w:val="7"/>
        </w:rPr>
      </w:pPr>
      <w:r>
        <w:rPr>
          <w:rFonts w:eastAsia="宋体"/>
          <w:spacing w:val="7"/>
        </w:rPr>
        <w:t xml:space="preserve">投标人投入本项目安排的人员中具有电工证的，有一人得</w:t>
      </w:r>
      <w:r>
        <w:rPr>
          <w:rFonts w:eastAsia="宋体"/>
          <w:spacing w:val="7"/>
          <w:lang w:eastAsia="zh-CN"/>
        </w:rPr>
        <w:t xml:space="preserve">1分，最多得8分。</w:t>
      </w:r>
      <w:r>
        <w:rPr>
          <w:rFonts w:eastAsia="宋体"/>
          <w:b/>
          <w:bCs/>
          <w:spacing w:val="7"/>
        </w:rPr>
        <w:t xml:space="preserve">（请在投标文件中提供相关人员的有效电工证书，不提供不得分）</w:t>
      </w:r>
      <w:r>
        <w:rPr>
          <w:rFonts w:eastAsia="宋体"/>
          <w:spacing w:val="7"/>
        </w:rPr>
        <w:t xml:space="preserve">【0-8】</w:t>
      </w:r>
      <w:r>
        <w:rPr>
          <w:rFonts w:eastAsia="宋体"/>
          <w:spacing w:val="7"/>
        </w:rPr>
      </w:r>
      <w:r/>
    </w:p>
    <w:p>
      <w:pPr>
        <w:pStyle w:val="1295"/>
        <w:ind w:firstLine="500"/>
        <w:spacing w:line="440" w:lineRule="exact"/>
        <w:rPr>
          <w:rFonts w:eastAsia="宋体"/>
          <w:spacing w:val="7"/>
        </w:rPr>
      </w:pPr>
      <w:r>
        <w:rPr>
          <w:rFonts w:eastAsia="宋体"/>
          <w:spacing w:val="7"/>
        </w:rPr>
        <w:t xml:space="preserve">4.3.行车作业证（兼任，一人可多证）</w:t>
      </w:r>
      <w:r>
        <w:rPr>
          <w:rFonts w:eastAsia="宋体"/>
          <w:spacing w:val="7"/>
        </w:rPr>
      </w:r>
      <w:r/>
    </w:p>
    <w:p>
      <w:pPr>
        <w:pStyle w:val="1295"/>
        <w:ind w:firstLine="500"/>
        <w:spacing w:line="440" w:lineRule="exact"/>
        <w:rPr>
          <w:rFonts w:eastAsia="宋体"/>
          <w:spacing w:val="7"/>
        </w:rPr>
      </w:pPr>
      <w:r>
        <w:rPr>
          <w:rFonts w:eastAsia="宋体"/>
          <w:spacing w:val="7"/>
        </w:rPr>
        <w:t xml:space="preserve">投标人投入本项目的人员中具有行车作业证的</w:t>
      </w:r>
      <w:r>
        <w:rPr>
          <w:rFonts w:eastAsia="宋体"/>
          <w:spacing w:val="7"/>
          <w:lang w:eastAsia="zh-CN"/>
        </w:rPr>
        <w:t xml:space="preserve">有1人得1分，最多得2分</w:t>
      </w:r>
      <w:r>
        <w:rPr>
          <w:rFonts w:eastAsia="宋体"/>
          <w:spacing w:val="7"/>
        </w:rPr>
        <w:t xml:space="preserve">。</w:t>
      </w:r>
      <w:r>
        <w:rPr>
          <w:rFonts w:eastAsia="宋体"/>
          <w:b/>
          <w:bCs/>
          <w:spacing w:val="7"/>
        </w:rPr>
        <w:t xml:space="preserve">（请在投标文件中提供相关人员的有效证书，不提供不得分）</w:t>
      </w:r>
      <w:r>
        <w:rPr>
          <w:rFonts w:eastAsia="宋体"/>
          <w:spacing w:val="7"/>
        </w:rPr>
        <w:t xml:space="preserve">【0-2】</w:t>
      </w:r>
      <w:r>
        <w:rPr>
          <w:rFonts w:eastAsia="宋体"/>
          <w:spacing w:val="7"/>
        </w:rPr>
      </w:r>
      <w:r/>
    </w:p>
    <w:p>
      <w:pPr>
        <w:pStyle w:val="1295"/>
        <w:ind w:firstLine="500"/>
        <w:spacing w:line="440" w:lineRule="exact"/>
        <w:rPr>
          <w:rFonts w:eastAsia="宋体"/>
          <w:spacing w:val="7"/>
          <w:lang w:eastAsia="zh-CN"/>
        </w:rPr>
      </w:pPr>
      <w:r>
        <w:rPr>
          <w:rFonts w:eastAsia="宋体"/>
          <w:spacing w:val="7"/>
          <w:lang w:eastAsia="zh-CN"/>
        </w:rPr>
        <w:t xml:space="preserve">4.4 自动化专业人员</w:t>
      </w:r>
      <w:r>
        <w:rPr>
          <w:rFonts w:eastAsia="宋体"/>
          <w:spacing w:val="7"/>
        </w:rPr>
        <w:t xml:space="preserve">（兼任，一人可多证）</w:t>
      </w:r>
      <w:r>
        <w:rPr>
          <w:rFonts w:eastAsia="宋体"/>
          <w:spacing w:val="7"/>
          <w:lang w:eastAsia="zh-CN"/>
        </w:rPr>
      </w:r>
      <w:r/>
    </w:p>
    <w:p>
      <w:pPr>
        <w:pStyle w:val="1295"/>
        <w:ind w:firstLine="500"/>
        <w:spacing w:line="440" w:lineRule="exact"/>
        <w:rPr>
          <w:rFonts w:eastAsia="宋体"/>
          <w:spacing w:val="7"/>
        </w:rPr>
      </w:pPr>
      <w:r>
        <w:rPr>
          <w:rFonts w:eastAsia="宋体"/>
          <w:spacing w:val="7"/>
        </w:rPr>
        <w:t xml:space="preserve">投标人投入本项目人员中具有自动化专业的技术人员，有1人得</w:t>
      </w:r>
      <w:r>
        <w:rPr>
          <w:rFonts w:eastAsia="宋体"/>
          <w:spacing w:val="7"/>
          <w:lang w:val="en-US" w:eastAsia="zh-CN"/>
        </w:rPr>
        <w:t xml:space="preserve">1</w:t>
      </w:r>
      <w:r>
        <w:rPr>
          <w:rFonts w:eastAsia="宋体"/>
          <w:spacing w:val="7"/>
        </w:rPr>
        <w:t xml:space="preserve">分；本项最多得</w:t>
      </w:r>
      <w:r>
        <w:rPr>
          <w:rFonts w:eastAsia="宋体"/>
          <w:spacing w:val="7"/>
          <w:lang w:val="en-US" w:eastAsia="zh-CN"/>
        </w:rPr>
        <w:t xml:space="preserve">1</w:t>
      </w:r>
      <w:r>
        <w:rPr>
          <w:rFonts w:eastAsia="宋体"/>
          <w:spacing w:val="7"/>
        </w:rPr>
        <w:t xml:space="preserve">分；不提供不得分。</w:t>
      </w:r>
      <w:r>
        <w:rPr>
          <w:rFonts w:eastAsia="宋体"/>
          <w:b/>
          <w:bCs/>
          <w:spacing w:val="7"/>
        </w:rPr>
        <w:t xml:space="preserve">（请在投标文件中提供相关人员的</w:t>
      </w:r>
      <w:r>
        <w:rPr>
          <w:rFonts w:eastAsia="宋体"/>
          <w:b/>
          <w:bCs/>
          <w:spacing w:val="7"/>
          <w:lang w:eastAsia="zh-CN"/>
        </w:rPr>
        <w:t xml:space="preserve">有效</w:t>
      </w:r>
      <w:r>
        <w:rPr>
          <w:rFonts w:eastAsia="宋体"/>
          <w:b/>
          <w:bCs/>
          <w:spacing w:val="7"/>
        </w:rPr>
        <w:t xml:space="preserve">毕业证书（自动化专业），不提供不得分）</w:t>
      </w:r>
      <w:r>
        <w:rPr>
          <w:rFonts w:eastAsia="宋体"/>
          <w:spacing w:val="7"/>
        </w:rPr>
        <w:t xml:space="preserve">【0/</w:t>
      </w:r>
      <w:r>
        <w:rPr>
          <w:rFonts w:eastAsia="宋体"/>
          <w:spacing w:val="7"/>
          <w:lang w:val="en-US" w:eastAsia="zh-CN"/>
        </w:rPr>
        <w:t xml:space="preserve">1</w:t>
      </w:r>
      <w:r>
        <w:rPr>
          <w:rFonts w:eastAsia="宋体"/>
          <w:spacing w:val="7"/>
        </w:rPr>
        <w:t xml:space="preserve">】</w:t>
      </w:r>
      <w:r>
        <w:rPr>
          <w:rFonts w:eastAsia="宋体"/>
          <w:spacing w:val="7"/>
        </w:rPr>
      </w:r>
      <w:r/>
    </w:p>
    <w:p>
      <w:pPr>
        <w:pStyle w:val="1295"/>
        <w:ind w:firstLine="500"/>
        <w:spacing w:line="440" w:lineRule="exact"/>
        <w:rPr>
          <w:rFonts w:eastAsia="宋体"/>
          <w:spacing w:val="7"/>
        </w:rPr>
      </w:pPr>
      <w:r>
        <w:rPr>
          <w:rFonts w:eastAsia="宋体"/>
          <w:b/>
          <w:spacing w:val="7"/>
          <w:lang w:val="en-US" w:eastAsia="zh-CN"/>
        </w:rPr>
        <w:t xml:space="preserve">5</w:t>
      </w:r>
      <w:r>
        <w:rPr>
          <w:rFonts w:eastAsia="宋体"/>
          <w:b/>
          <w:spacing w:val="7"/>
        </w:rPr>
        <w:t xml:space="preserve"> 履约能力 </w:t>
      </w:r>
      <w:r>
        <w:rPr>
          <w:rFonts w:eastAsia="宋体"/>
          <w:b/>
          <w:spacing w:val="7"/>
          <w:lang w:val="en-US" w:eastAsia="zh-CN"/>
        </w:rPr>
        <w:t xml:space="preserve">5</w:t>
      </w:r>
      <w:r>
        <w:rPr>
          <w:rFonts w:eastAsia="宋体"/>
          <w:b/>
          <w:spacing w:val="7"/>
        </w:rPr>
        <w:t xml:space="preserve">.0 分</w:t>
      </w:r>
      <w:r>
        <w:rPr>
          <w:rFonts w:eastAsia="宋体"/>
          <w:spacing w:val="7"/>
        </w:rPr>
      </w:r>
      <w:r/>
    </w:p>
    <w:p>
      <w:pPr>
        <w:pStyle w:val="926"/>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5.1 企业证书</w:t>
      </w:r>
      <w:r>
        <w:rPr>
          <w:rFonts w:ascii="Times New Roman" w:hAnsi="Times New Roman"/>
          <w:spacing w:val="7"/>
          <w:sz w:val="24"/>
          <w:szCs w:val="24"/>
        </w:rPr>
      </w:r>
      <w:r/>
    </w:p>
    <w:p>
      <w:pPr>
        <w:pStyle w:val="926"/>
        <w:ind w:firstLine="500"/>
        <w:jc w:val="left"/>
        <w:spacing w:line="440" w:lineRule="exact"/>
        <w:widowControl/>
        <w:rPr>
          <w:rFonts w:ascii="Times New Roman" w:hAnsi="Times New Roman"/>
          <w:sz w:val="24"/>
        </w:rPr>
      </w:pPr>
      <w:r>
        <w:rPr>
          <w:rFonts w:ascii="Times New Roman" w:hAnsi="Times New Roman"/>
          <w:spacing w:val="7"/>
          <w:sz w:val="24"/>
          <w:szCs w:val="24"/>
        </w:rPr>
        <w:t xml:space="preserve">投标人具有水利安全生产标准化三级证书的，得1分，二级及以上证书的，得2分。</w:t>
      </w:r>
      <w:r>
        <w:rPr>
          <w:rFonts w:ascii="Times New Roman" w:hAnsi="Times New Roman"/>
          <w:b/>
          <w:bCs/>
          <w:spacing w:val="7"/>
          <w:sz w:val="24"/>
          <w:szCs w:val="24"/>
        </w:rPr>
        <w:t xml:space="preserve">（请在投标文件中提供有效的相关证明材料，不提供不得分）</w:t>
      </w:r>
      <w:r>
        <w:rPr>
          <w:rFonts w:ascii="Times New Roman" w:hAnsi="Times New Roman"/>
          <w:spacing w:val="7"/>
          <w:sz w:val="24"/>
          <w:szCs w:val="24"/>
        </w:rPr>
        <w:t xml:space="preserve">【0/1/2】</w:t>
      </w:r>
      <w:r>
        <w:rPr>
          <w:rFonts w:ascii="Times New Roman" w:hAnsi="Times New Roman"/>
          <w:sz w:val="24"/>
        </w:rPr>
      </w:r>
      <w:r/>
    </w:p>
    <w:p>
      <w:pPr>
        <w:pStyle w:val="926"/>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5.2 体系认证</w:t>
      </w:r>
      <w:r>
        <w:rPr>
          <w:rFonts w:ascii="Times New Roman" w:hAnsi="Times New Roman"/>
          <w:spacing w:val="7"/>
          <w:sz w:val="24"/>
          <w:szCs w:val="24"/>
        </w:rPr>
      </w:r>
      <w:r/>
    </w:p>
    <w:p>
      <w:pPr>
        <w:pStyle w:val="926"/>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投标人获得过相关部门颁发的“质量管理体系认证”、“环境管理体系认证”、“职业健康安全管理体系认证”的，有1项得1分，最多3分。</w:t>
      </w:r>
      <w:r>
        <w:rPr>
          <w:rFonts w:ascii="Times New Roman" w:hAnsi="Times New Roman"/>
          <w:b/>
          <w:bCs/>
          <w:spacing w:val="7"/>
          <w:sz w:val="24"/>
          <w:szCs w:val="24"/>
        </w:rPr>
        <w:t xml:space="preserve">（请在投标文件中提供有效的相关证明材料，不提供不得分）</w:t>
      </w:r>
      <w:r>
        <w:rPr>
          <w:rFonts w:ascii="Times New Roman" w:hAnsi="Times New Roman"/>
          <w:spacing w:val="7"/>
          <w:sz w:val="24"/>
          <w:szCs w:val="24"/>
        </w:rPr>
        <w:t xml:space="preserve">【0/1/2/3】</w:t>
      </w:r>
      <w:r>
        <w:rPr>
          <w:rFonts w:ascii="Times New Roman" w:hAnsi="Times New Roman"/>
          <w:spacing w:val="7"/>
          <w:sz w:val="24"/>
          <w:szCs w:val="24"/>
        </w:rPr>
      </w:r>
      <w:r/>
    </w:p>
    <w:p>
      <w:pPr>
        <w:pStyle w:val="1295"/>
        <w:spacing w:line="440" w:lineRule="exact"/>
        <w:rPr>
          <w:rFonts w:eastAsia="宋体"/>
          <w:spacing w:val="7"/>
        </w:rPr>
      </w:pPr>
      <w:r>
        <w:rPr>
          <w:rFonts w:eastAsia="宋体"/>
          <w:spacing w:val="7"/>
        </w:rPr>
      </w:r>
      <w:r/>
    </w:p>
    <w:p>
      <w:pPr>
        <w:pStyle w:val="926"/>
        <w:ind w:right="-124" w:firstLine="482"/>
        <w:spacing w:line="360" w:lineRule="auto"/>
        <w:rPr>
          <w:rFonts w:ascii="Times New Roman" w:hAnsi="Times New Roman"/>
          <w:b/>
          <w:bCs/>
          <w:sz w:val="24"/>
        </w:rPr>
      </w:pPr>
      <w:r/>
      <w:bookmarkStart w:id="245" w:name="EB5eda7c9be7464788810dca94d24e634f"/>
      <w:r/>
      <w:bookmarkEnd w:id="245"/>
      <w:r>
        <w:rPr>
          <w:rFonts w:ascii="Times New Roman" w:hAnsi="Times New Roman"/>
          <w:b/>
          <w:bCs/>
          <w:sz w:val="24"/>
        </w:rPr>
        <w:t xml:space="preserve">注:</w:t>
      </w:r>
      <w:r>
        <w:rPr>
          <w:rFonts w:ascii="Times New Roman" w:hAnsi="Times New Roman"/>
          <w:b/>
          <w:bCs/>
          <w:sz w:val="24"/>
        </w:rPr>
      </w:r>
      <w:r/>
    </w:p>
    <w:p>
      <w:pPr>
        <w:pStyle w:val="926"/>
        <w:ind w:right="-124" w:firstLine="482"/>
        <w:spacing w:line="360" w:lineRule="auto"/>
        <w:rPr>
          <w:rFonts w:ascii="Times New Roman" w:hAnsi="Times New Roman"/>
          <w:sz w:val="24"/>
        </w:rPr>
      </w:pPr>
      <w:r>
        <w:rPr>
          <w:rFonts w:ascii="Times New Roman" w:hAnsi="Times New Roman"/>
          <w:b/>
          <w:bCs/>
          <w:sz w:val="24"/>
        </w:rPr>
        <w:t xml:space="preserve">以上证明材料，不提供不得分。</w:t>
      </w:r>
      <w:bookmarkStart w:id="246" w:name="EBeb5e011c94484d45bc78085f792444b0"/>
      <w:r>
        <w:rPr>
          <w:rFonts w:ascii="Times New Roman" w:hAnsi="Times New Roman"/>
          <w:sz w:val="20"/>
        </w:rPr>
        <w:t xml:space="preserve"> </w:t>
      </w:r>
      <w:bookmarkEnd w:id="246"/>
      <w:r>
        <w:rPr>
          <w:rFonts w:ascii="Times New Roman" w:hAnsi="Times New Roman"/>
          <w:sz w:val="24"/>
        </w:rPr>
      </w:r>
      <w:r/>
    </w:p>
    <w:p>
      <w:pPr>
        <w:pStyle w:val="995"/>
        <w:pageBreakBefore/>
        <w:spacing w:line="440" w:lineRule="exact"/>
        <w:rPr>
          <w:rFonts w:ascii="Times New Roman" w:hAnsi="Times New Roman" w:eastAsia="宋体"/>
        </w:rPr>
      </w:pPr>
      <w:r/>
      <w:bookmarkStart w:id="303" w:name="_Toc14"/>
      <w:r>
        <w:rPr>
          <w:rFonts w:ascii="Times New Roman" w:hAnsi="Times New Roman" w:eastAsia="宋体"/>
        </w:rPr>
        <w:t xml:space="preserve">第六章 投标文件格式</w:t>
      </w:r>
      <w:bookmarkStart w:id="248" w:name="_Hlt26955039"/>
      <w:r/>
      <w:bookmarkEnd w:id="248"/>
      <w:r/>
      <w:bookmarkStart w:id="249" w:name="_Hlt26671244"/>
      <w:r/>
      <w:bookmarkEnd w:id="249"/>
      <w:r>
        <w:rPr>
          <w:rFonts w:ascii="Times New Roman" w:hAnsi="Times New Roman" w:eastAsia="宋体"/>
        </w:rPr>
      </w:r>
      <w:bookmarkEnd w:id="303"/>
      <w:r/>
      <w:r/>
    </w:p>
    <w:p>
      <w:pPr>
        <w:pStyle w:val="926"/>
        <w:ind w:right="-124" w:firstLine="420"/>
        <w:spacing w:line="440" w:lineRule="exact"/>
        <w:rPr>
          <w:rFonts w:ascii="Times New Roman" w:hAnsi="Times New Roman"/>
        </w:rPr>
      </w:pPr>
      <w:r>
        <w:rPr>
          <w:rFonts w:ascii="Times New Roman" w:hAnsi="Times New Roman"/>
        </w:rPr>
      </w:r>
      <w:r/>
    </w:p>
    <w:p>
      <w:pPr>
        <w:pStyle w:val="926"/>
        <w:ind w:firstLine="400"/>
        <w:jc w:val="left"/>
        <w:spacing w:line="440" w:lineRule="exact"/>
        <w:rPr>
          <w:rFonts w:ascii="Times New Roman" w:hAnsi="Times New Roman"/>
          <w:sz w:val="20"/>
        </w:rPr>
      </w:pPr>
      <w:r/>
      <w:bookmarkStart w:id="253" w:name="EB3198bb99319c4c5cb9e4b30deb0155ce"/>
      <w:r>
        <w:rPr>
          <w:rFonts w:ascii="Times New Roman" w:hAnsi="Times New Roman"/>
          <w:sz w:val="20"/>
        </w:rPr>
      </w:r>
      <w:r/>
    </w:p>
    <w:p>
      <w:pPr>
        <w:pStyle w:val="1296"/>
        <w:jc w:val="center"/>
        <w:spacing w:after="400"/>
        <w:rPr>
          <w:rFonts w:eastAsia="宋体"/>
          <w:sz w:val="40"/>
          <w:szCs w:val="40"/>
        </w:rPr>
      </w:pPr>
      <w:r>
        <w:rPr>
          <w:rFonts w:eastAsia="宋体"/>
          <w:sz w:val="40"/>
          <w:szCs w:val="40"/>
        </w:rPr>
        <w:t xml:space="preserve">投标主要文件目录</w:t>
      </w:r>
      <w:r>
        <w:rPr>
          <w:rFonts w:eastAsia="宋体"/>
          <w:sz w:val="40"/>
          <w:szCs w:val="40"/>
        </w:rPr>
      </w:r>
      <w:r/>
    </w:p>
    <w:p>
      <w:pPr>
        <w:pStyle w:val="1296"/>
        <w:spacing w:before="240" w:after="240" w:line="200" w:lineRule="atLeast"/>
        <w:rPr>
          <w:rFonts w:eastAsia="宋体"/>
        </w:rPr>
      </w:pPr>
      <w:r>
        <w:rPr>
          <w:rFonts w:eastAsia="宋体"/>
        </w:rPr>
        <w:t xml:space="preserve">一、封面</w:t>
      </w:r>
      <w:r>
        <w:rPr>
          <w:rFonts w:eastAsia="宋体"/>
        </w:rPr>
      </w:r>
      <w:r/>
    </w:p>
    <w:p>
      <w:pPr>
        <w:pStyle w:val="1296"/>
        <w:spacing w:before="240" w:after="240" w:line="200" w:lineRule="atLeast"/>
        <w:rPr>
          <w:rFonts w:eastAsia="宋体"/>
        </w:rPr>
      </w:pPr>
      <w:r>
        <w:rPr>
          <w:rFonts w:eastAsia="宋体"/>
        </w:rPr>
        <w:t xml:space="preserve">二、投标函格式</w:t>
      </w:r>
      <w:r>
        <w:rPr>
          <w:rFonts w:eastAsia="宋体"/>
        </w:rPr>
      </w:r>
      <w:r/>
    </w:p>
    <w:p>
      <w:pPr>
        <w:pStyle w:val="1296"/>
        <w:spacing w:before="240" w:after="240" w:line="200" w:lineRule="atLeast"/>
        <w:rPr>
          <w:rFonts w:eastAsia="宋体"/>
          <w:lang w:eastAsia="zh-CN"/>
        </w:rPr>
      </w:pPr>
      <w:r>
        <w:rPr>
          <w:rFonts w:eastAsia="宋体"/>
        </w:rPr>
        <w:t xml:space="preserve">三、开标一览表</w:t>
      </w:r>
      <w:r>
        <w:rPr>
          <w:rFonts w:eastAsia="宋体"/>
          <w:lang w:eastAsia="zh-CN"/>
        </w:rPr>
      </w:r>
      <w:r/>
    </w:p>
    <w:p>
      <w:pPr>
        <w:pStyle w:val="1296"/>
        <w:spacing w:before="240" w:after="240" w:line="200" w:lineRule="atLeast"/>
        <w:rPr>
          <w:rFonts w:eastAsia="宋体"/>
        </w:rPr>
      </w:pPr>
      <w:r>
        <w:rPr>
          <w:rFonts w:eastAsia="宋体"/>
        </w:rPr>
        <w:t xml:space="preserve">四、资格证明文件</w:t>
      </w:r>
      <w:r>
        <w:rPr>
          <w:rFonts w:eastAsia="宋体"/>
        </w:rPr>
      </w:r>
      <w:r/>
    </w:p>
    <w:p>
      <w:pPr>
        <w:pStyle w:val="1296"/>
        <w:spacing w:before="240" w:after="240" w:line="160" w:lineRule="atLeast"/>
        <w:rPr>
          <w:rFonts w:eastAsia="宋体"/>
        </w:rPr>
      </w:pPr>
      <w:r>
        <w:rPr>
          <w:rFonts w:eastAsia="宋体"/>
        </w:rPr>
        <w:t xml:space="preserve">  法人或者其他组织的营业执照等证明文件，自然人的身份证明</w:t>
      </w:r>
      <w:r>
        <w:rPr>
          <w:rFonts w:eastAsia="宋体"/>
        </w:rPr>
      </w:r>
      <w:r/>
    </w:p>
    <w:p>
      <w:pPr>
        <w:pStyle w:val="1296"/>
        <w:spacing w:before="240" w:after="240" w:line="160" w:lineRule="atLeast"/>
        <w:rPr>
          <w:rFonts w:eastAsia="宋体"/>
        </w:rPr>
      </w:pPr>
      <w:r>
        <w:rPr>
          <w:rFonts w:eastAsia="宋体"/>
        </w:rPr>
        <w:t xml:space="preserve">  财务状况报告（成立不满一年不需要提供）</w:t>
      </w:r>
      <w:r>
        <w:rPr>
          <w:rFonts w:eastAsia="宋体"/>
        </w:rPr>
      </w:r>
      <w:r/>
    </w:p>
    <w:p>
      <w:pPr>
        <w:pStyle w:val="1296"/>
        <w:spacing w:before="240" w:after="240" w:line="160" w:lineRule="atLeast"/>
        <w:rPr>
          <w:rFonts w:eastAsia="宋体"/>
        </w:rPr>
      </w:pPr>
      <w:r>
        <w:rPr>
          <w:rFonts w:eastAsia="宋体"/>
        </w:rPr>
        <w:t xml:space="preserve">  依法缴纳税收和社会保障资金的相关材料</w:t>
      </w:r>
      <w:r>
        <w:rPr>
          <w:rFonts w:eastAsia="宋体"/>
        </w:rPr>
      </w:r>
      <w:r/>
    </w:p>
    <w:p>
      <w:pPr>
        <w:pStyle w:val="1296"/>
        <w:spacing w:before="240" w:after="240" w:line="160" w:lineRule="atLeast"/>
        <w:rPr>
          <w:rFonts w:eastAsia="宋体"/>
        </w:rPr>
      </w:pPr>
      <w:r>
        <w:rPr>
          <w:rFonts w:eastAsia="宋体"/>
        </w:rPr>
        <w:t xml:space="preserve">  具备履行合同所必需的设备和专业技术能力的书面声明</w:t>
      </w:r>
      <w:r>
        <w:rPr>
          <w:rFonts w:eastAsia="宋体"/>
        </w:rPr>
      </w:r>
      <w:r/>
    </w:p>
    <w:p>
      <w:pPr>
        <w:pStyle w:val="1296"/>
        <w:spacing w:before="240" w:after="240" w:line="160" w:lineRule="atLeast"/>
        <w:rPr>
          <w:rFonts w:eastAsia="宋体"/>
        </w:rPr>
      </w:pPr>
      <w:r>
        <w:rPr>
          <w:rFonts w:eastAsia="宋体"/>
        </w:rPr>
        <w:t xml:space="preserve">  参加政府采购活动前3年内在经营活动中没有重大违法记录的书面声明</w:t>
      </w:r>
      <w:r>
        <w:rPr>
          <w:rFonts w:eastAsia="宋体"/>
        </w:rPr>
      </w:r>
      <w:r/>
    </w:p>
    <w:p>
      <w:pPr>
        <w:pStyle w:val="1296"/>
        <w:spacing w:before="240" w:after="240" w:line="160" w:lineRule="atLeast"/>
        <w:rPr>
          <w:rFonts w:eastAsia="宋体"/>
        </w:rPr>
      </w:pPr>
      <w:r>
        <w:rPr>
          <w:rFonts w:eastAsia="宋体"/>
        </w:rPr>
        <w:t xml:space="preserve">  授权委托书</w:t>
      </w:r>
      <w:r>
        <w:rPr>
          <w:rFonts w:eastAsia="宋体"/>
        </w:rPr>
      </w:r>
      <w:r/>
    </w:p>
    <w:p>
      <w:pPr>
        <w:pStyle w:val="1296"/>
        <w:spacing w:before="240" w:after="240" w:line="160" w:lineRule="atLeast"/>
        <w:rPr>
          <w:rFonts w:eastAsia="宋体"/>
        </w:rPr>
      </w:pPr>
      <w:r>
        <w:rPr>
          <w:rFonts w:eastAsia="宋体"/>
        </w:rPr>
        <w:t xml:space="preserve">  关于资格证明文件的书面承诺</w:t>
      </w:r>
      <w:r>
        <w:rPr>
          <w:rFonts w:eastAsia="宋体"/>
        </w:rPr>
      </w:r>
      <w:r/>
    </w:p>
    <w:p>
      <w:pPr>
        <w:pStyle w:val="1296"/>
        <w:spacing w:before="240" w:after="240" w:line="200" w:lineRule="atLeast"/>
        <w:rPr>
          <w:rFonts w:eastAsia="宋体"/>
        </w:rPr>
      </w:pPr>
      <w:r>
        <w:rPr>
          <w:rFonts w:eastAsia="宋体"/>
        </w:rPr>
        <w:t xml:space="preserve">  中小企业声明函</w:t>
      </w:r>
      <w:r>
        <w:rPr>
          <w:rFonts w:eastAsia="宋体"/>
        </w:rPr>
      </w:r>
      <w:r/>
    </w:p>
    <w:p>
      <w:pPr>
        <w:pStyle w:val="1296"/>
        <w:spacing w:before="240" w:after="240" w:line="200" w:lineRule="atLeast"/>
        <w:rPr>
          <w:rFonts w:eastAsia="宋体"/>
        </w:rPr>
      </w:pPr>
      <w:r>
        <w:rPr>
          <w:rFonts w:eastAsia="宋体"/>
        </w:rPr>
        <w:t xml:space="preserve">  残疾人福利性单位声明函（专门面向中小企业）</w:t>
      </w:r>
      <w:r>
        <w:rPr>
          <w:rFonts w:eastAsia="宋体"/>
        </w:rPr>
      </w:r>
      <w:r/>
    </w:p>
    <w:p>
      <w:pPr>
        <w:pStyle w:val="1296"/>
        <w:spacing w:before="240" w:after="240" w:line="200" w:lineRule="atLeast"/>
        <w:rPr>
          <w:rFonts w:eastAsia="宋体"/>
        </w:rPr>
      </w:pPr>
      <w:r>
        <w:rPr>
          <w:rFonts w:eastAsia="宋体"/>
        </w:rPr>
        <w:t xml:space="preserve">  监狱企业的证明文件（专门面向中小企业）</w:t>
      </w:r>
      <w:r>
        <w:rPr>
          <w:rFonts w:eastAsia="宋体"/>
        </w:rPr>
      </w:r>
      <w:r/>
    </w:p>
    <w:p>
      <w:pPr>
        <w:pStyle w:val="1296"/>
        <w:spacing w:before="240" w:after="240" w:line="200" w:lineRule="atLeast"/>
        <w:rPr>
          <w:rFonts w:eastAsia="宋体"/>
        </w:rPr>
      </w:pPr>
      <w:r>
        <w:rPr>
          <w:rFonts w:eastAsia="宋体"/>
        </w:rPr>
        <w:t xml:space="preserve">五、第四章项目需求中实质性要求响应对照表</w:t>
      </w:r>
      <w:r>
        <w:rPr>
          <w:rFonts w:eastAsia="宋体"/>
        </w:rPr>
      </w:r>
      <w:r/>
    </w:p>
    <w:p>
      <w:pPr>
        <w:pStyle w:val="1296"/>
        <w:spacing w:before="240" w:after="240" w:line="200" w:lineRule="atLeast"/>
        <w:rPr>
          <w:rFonts w:eastAsia="宋体"/>
        </w:rPr>
      </w:pPr>
      <w:r>
        <w:rPr>
          <w:rFonts w:eastAsia="宋体"/>
        </w:rPr>
        <w:t xml:space="preserve">六、服务方案</w:t>
      </w:r>
      <w:r>
        <w:rPr>
          <w:rFonts w:eastAsia="宋体"/>
        </w:rPr>
      </w:r>
      <w:r/>
    </w:p>
    <w:p>
      <w:pPr>
        <w:pStyle w:val="1296"/>
        <w:spacing w:before="240" w:after="240" w:line="200" w:lineRule="atLeast"/>
        <w:rPr>
          <w:rFonts w:eastAsia="宋体"/>
        </w:rPr>
      </w:pPr>
      <w:r>
        <w:rPr>
          <w:rFonts w:eastAsia="宋体"/>
        </w:rPr>
        <w:t xml:space="preserve">七、投标人情况介绍</w:t>
      </w:r>
      <w:r>
        <w:rPr>
          <w:rFonts w:eastAsia="宋体"/>
        </w:rPr>
      </w:r>
      <w:r/>
    </w:p>
    <w:p>
      <w:pPr>
        <w:pStyle w:val="1296"/>
        <w:spacing w:before="240" w:after="240" w:line="160" w:lineRule="atLeast"/>
        <w:rPr>
          <w:rFonts w:eastAsia="宋体"/>
        </w:rPr>
      </w:pPr>
      <w:r>
        <w:rPr>
          <w:rFonts w:eastAsia="宋体"/>
        </w:rPr>
        <w:t xml:space="preserve">  投标人拥有的设施设备情况</w:t>
      </w:r>
      <w:r>
        <w:rPr>
          <w:rFonts w:eastAsia="宋体"/>
        </w:rPr>
      </w:r>
      <w:r/>
    </w:p>
    <w:p>
      <w:pPr>
        <w:pStyle w:val="1296"/>
        <w:spacing w:before="240" w:after="240" w:line="160" w:lineRule="atLeast"/>
        <w:rPr>
          <w:rFonts w:eastAsia="宋体"/>
        </w:rPr>
      </w:pPr>
      <w:r>
        <w:rPr>
          <w:rFonts w:eastAsia="宋体"/>
        </w:rPr>
        <w:t xml:space="preserve">  类似业绩一览表</w:t>
      </w:r>
      <w:r>
        <w:rPr>
          <w:rFonts w:eastAsia="宋体"/>
        </w:rPr>
      </w:r>
      <w:r/>
    </w:p>
    <w:p>
      <w:pPr>
        <w:pStyle w:val="1296"/>
        <w:spacing w:before="240" w:after="240" w:line="160" w:lineRule="atLeast"/>
        <w:rPr>
          <w:rFonts w:eastAsia="宋体"/>
        </w:rPr>
      </w:pPr>
      <w:r>
        <w:rPr>
          <w:rFonts w:eastAsia="宋体"/>
        </w:rPr>
        <w:t xml:space="preserve">  投标人获得的相关证书</w:t>
      </w:r>
      <w:r>
        <w:rPr>
          <w:rFonts w:eastAsia="宋体"/>
        </w:rPr>
      </w:r>
      <w:r/>
    </w:p>
    <w:p>
      <w:pPr>
        <w:pStyle w:val="1296"/>
        <w:spacing w:before="240" w:after="240" w:line="160" w:lineRule="atLeast"/>
        <w:rPr>
          <w:rFonts w:eastAsia="宋体"/>
        </w:rPr>
      </w:pPr>
      <w:r>
        <w:rPr>
          <w:rFonts w:eastAsia="宋体"/>
        </w:rPr>
        <w:t xml:space="preserve">  投标人获得的相关奖项</w:t>
      </w:r>
      <w:r>
        <w:rPr>
          <w:rFonts w:eastAsia="宋体"/>
        </w:rPr>
      </w:r>
      <w:r/>
    </w:p>
    <w:p>
      <w:pPr>
        <w:pStyle w:val="1296"/>
        <w:spacing w:before="240" w:after="240" w:line="200" w:lineRule="atLeast"/>
        <w:rPr>
          <w:rFonts w:eastAsia="宋体"/>
        </w:rPr>
      </w:pPr>
      <w:r>
        <w:rPr>
          <w:rFonts w:eastAsia="宋体"/>
        </w:rPr>
        <w:t xml:space="preserve">八、投标配置及分项报价表</w:t>
      </w:r>
      <w:r>
        <w:rPr>
          <w:rFonts w:eastAsia="宋体"/>
        </w:rPr>
      </w:r>
      <w:r/>
    </w:p>
    <w:p>
      <w:pPr>
        <w:pStyle w:val="1296"/>
        <w:spacing w:before="240" w:after="240" w:line="200" w:lineRule="atLeast"/>
        <w:rPr>
          <w:rFonts w:eastAsia="宋体"/>
        </w:rPr>
      </w:pPr>
      <w:r>
        <w:rPr>
          <w:rFonts w:eastAsia="宋体"/>
        </w:rPr>
        <w:t xml:space="preserve">九、其他材料</w:t>
      </w:r>
      <w:r>
        <w:rPr>
          <w:rFonts w:eastAsia="宋体"/>
        </w:rPr>
      </w:r>
      <w:r/>
    </w:p>
    <w:p>
      <w:pPr>
        <w:pStyle w:val="1297"/>
        <w:rPr>
          <w:rFonts w:eastAsia="宋体"/>
        </w:rPr>
        <w:outlineLvl w:val="1"/>
      </w:pPr>
      <w:r/>
      <w:bookmarkStart w:id="304" w:name="_Toc15"/>
      <w:r>
        <w:rPr>
          <w:rFonts w:eastAsia="宋体"/>
        </w:rPr>
        <w:br w:type="page" w:clear="all"/>
      </w:r>
      <w:r>
        <w:rPr>
          <w:rFonts w:eastAsia="宋体"/>
          <w:b/>
          <w:sz w:val="32"/>
        </w:rPr>
        <w:t xml:space="preserve">一、封面</w:t>
      </w:r>
      <w:r>
        <w:rPr>
          <w:rFonts w:eastAsia="宋体"/>
        </w:rPr>
      </w:r>
      <w:bookmarkEnd w:id="304"/>
      <w:r/>
      <w:r/>
    </w:p>
    <w:p>
      <w:pPr>
        <w:pStyle w:val="1298"/>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298"/>
        <w:jc w:val="center"/>
        <w:spacing w:before="540" w:after="540"/>
        <w:rPr>
          <w:rFonts w:eastAsia="宋体"/>
          <w:sz w:val="54"/>
          <w:szCs w:val="54"/>
        </w:rPr>
      </w:pPr>
      <w:r>
        <w:rPr>
          <w:rFonts w:eastAsia="宋体"/>
          <w:sz w:val="54"/>
          <w:szCs w:val="54"/>
        </w:rPr>
        <w:t xml:space="preserve">投 标 文 件</w:t>
      </w:r>
      <w:r>
        <w:rPr>
          <w:rFonts w:eastAsia="宋体"/>
          <w:sz w:val="54"/>
          <w:szCs w:val="54"/>
        </w:rPr>
      </w:r>
      <w:r/>
    </w:p>
    <w:p>
      <w:pPr>
        <w:pStyle w:val="1298"/>
        <w:spacing w:before="240" w:after="240"/>
        <w:rPr>
          <w:rFonts w:eastAsia="宋体"/>
        </w:rPr>
      </w:pPr>
      <w:r>
        <w:rPr>
          <w:rFonts w:eastAsia="宋体"/>
        </w:rPr>
        <w:t xml:space="preserve"> </w:t>
      </w:r>
      <w:r>
        <w:rPr>
          <w:rFonts w:eastAsia="宋体"/>
        </w:rPr>
      </w:r>
      <w:r/>
    </w:p>
    <w:p>
      <w:pPr>
        <w:pStyle w:val="1298"/>
        <w:jc w:val="center"/>
        <w:spacing w:before="400" w:after="400"/>
        <w:rPr>
          <w:rFonts w:eastAsia="宋体"/>
          <w:sz w:val="40"/>
          <w:szCs w:val="40"/>
        </w:rPr>
      </w:pPr>
      <w:r>
        <w:rPr>
          <w:rFonts w:eastAsia="宋体"/>
          <w:sz w:val="40"/>
          <w:szCs w:val="40"/>
        </w:rPr>
        <w:t xml:space="preserve"> </w:t>
      </w:r>
      <w:r>
        <w:rPr>
          <w:rFonts w:eastAsia="宋体"/>
          <w:sz w:val="40"/>
          <w:szCs w:val="40"/>
        </w:rPr>
      </w:r>
      <w:r/>
    </w:p>
    <w:p>
      <w:pPr>
        <w:pStyle w:val="1298"/>
        <w:spacing w:before="240" w:after="240"/>
        <w:rPr>
          <w:rFonts w:eastAsia="宋体"/>
        </w:rPr>
      </w:pPr>
      <w:r>
        <w:rPr>
          <w:rFonts w:eastAsia="宋体"/>
        </w:rPr>
        <w:t xml:space="preserve"> </w:t>
      </w:r>
      <w:r>
        <w:rPr>
          <w:rFonts w:eastAsia="宋体"/>
        </w:rPr>
      </w:r>
      <w:r/>
    </w:p>
    <w:p>
      <w:pPr>
        <w:pStyle w:val="1298"/>
        <w:jc w:val="center"/>
        <w:spacing w:before="360" w:after="360"/>
        <w:rPr>
          <w:rFonts w:eastAsia="宋体"/>
          <w:sz w:val="36"/>
          <w:szCs w:val="36"/>
        </w:rPr>
      </w:pPr>
      <w:r>
        <w:rPr>
          <w:rFonts w:eastAsia="宋体"/>
          <w:sz w:val="36"/>
          <w:szCs w:val="36"/>
        </w:rPr>
        <w:t xml:space="preserve">项目名称：   </w:t>
      </w:r>
      <w:r>
        <w:rPr>
          <w:rFonts w:eastAsia="宋体"/>
          <w:sz w:val="36"/>
          <w:szCs w:val="36"/>
        </w:rPr>
      </w:r>
      <w:r/>
    </w:p>
    <w:p>
      <w:pPr>
        <w:pStyle w:val="1298"/>
        <w:jc w:val="center"/>
        <w:spacing w:before="360" w:after="360"/>
        <w:rPr>
          <w:rFonts w:eastAsia="宋体"/>
          <w:sz w:val="36"/>
          <w:szCs w:val="36"/>
        </w:rPr>
      </w:pPr>
      <w:r>
        <w:rPr>
          <w:rFonts w:eastAsia="宋体"/>
          <w:sz w:val="36"/>
          <w:szCs w:val="36"/>
        </w:rPr>
        <w:t xml:space="preserve">招标编号：   </w:t>
      </w:r>
      <w:r>
        <w:rPr>
          <w:rFonts w:eastAsia="宋体"/>
          <w:sz w:val="36"/>
          <w:szCs w:val="36"/>
        </w:rPr>
      </w:r>
      <w:r/>
    </w:p>
    <w:p>
      <w:pPr>
        <w:pStyle w:val="1298"/>
        <w:jc w:val="center"/>
        <w:spacing w:before="360" w:after="360"/>
        <w:rPr>
          <w:rFonts w:eastAsia="宋体"/>
          <w:sz w:val="36"/>
          <w:szCs w:val="36"/>
        </w:rPr>
      </w:pPr>
      <w:r>
        <w:rPr>
          <w:rFonts w:eastAsia="宋体"/>
          <w:sz w:val="36"/>
          <w:szCs w:val="36"/>
        </w:rPr>
        <w:t xml:space="preserve"> </w:t>
      </w:r>
      <w:r>
        <w:rPr>
          <w:rFonts w:eastAsia="宋体"/>
          <w:sz w:val="36"/>
          <w:szCs w:val="36"/>
        </w:rPr>
      </w:r>
      <w:r/>
    </w:p>
    <w:p>
      <w:pPr>
        <w:pStyle w:val="1298"/>
        <w:jc w:val="center"/>
        <w:spacing w:before="360" w:after="360"/>
        <w:rPr>
          <w:rFonts w:eastAsia="宋体"/>
          <w:sz w:val="36"/>
          <w:szCs w:val="36"/>
        </w:rPr>
      </w:pPr>
      <w:r>
        <w:rPr>
          <w:rFonts w:eastAsia="宋体"/>
          <w:sz w:val="36"/>
          <w:szCs w:val="36"/>
        </w:rPr>
        <w:t xml:space="preserve"> </w:t>
      </w:r>
      <w:r>
        <w:rPr>
          <w:rFonts w:eastAsia="宋体"/>
          <w:sz w:val="36"/>
          <w:szCs w:val="36"/>
        </w:rPr>
      </w:r>
      <w:r/>
    </w:p>
    <w:p>
      <w:pPr>
        <w:pStyle w:val="1298"/>
        <w:jc w:val="center"/>
        <w:spacing w:before="360" w:after="360"/>
        <w:rPr>
          <w:rFonts w:eastAsia="宋体"/>
          <w:sz w:val="36"/>
          <w:szCs w:val="36"/>
        </w:rPr>
      </w:pPr>
      <w:r>
        <w:rPr>
          <w:rFonts w:eastAsia="宋体"/>
          <w:sz w:val="36"/>
          <w:szCs w:val="36"/>
        </w:rPr>
        <w:t xml:space="preserve">投标人名称：   </w:t>
      </w:r>
      <w:r>
        <w:rPr>
          <w:rFonts w:eastAsia="宋体"/>
          <w:sz w:val="36"/>
          <w:szCs w:val="36"/>
        </w:rPr>
      </w:r>
      <w:r/>
    </w:p>
    <w:p>
      <w:pPr>
        <w:pStyle w:val="1298"/>
        <w:jc w:val="center"/>
        <w:spacing w:before="360" w:after="360"/>
        <w:rPr>
          <w:rFonts w:eastAsia="宋体"/>
          <w:sz w:val="36"/>
          <w:szCs w:val="36"/>
        </w:rPr>
      </w:pPr>
      <w:r>
        <w:rPr>
          <w:rFonts w:eastAsia="宋体"/>
          <w:sz w:val="36"/>
          <w:szCs w:val="36"/>
        </w:rPr>
        <w:t xml:space="preserve">日期：   </w:t>
      </w:r>
      <w:r>
        <w:rPr>
          <w:rFonts w:eastAsia="宋体"/>
          <w:sz w:val="36"/>
          <w:szCs w:val="36"/>
        </w:rPr>
      </w:r>
      <w:r/>
    </w:p>
    <w:p>
      <w:pPr>
        <w:pStyle w:val="1298"/>
        <w:jc w:val="center"/>
        <w:spacing w:before="360" w:after="360"/>
        <w:rPr>
          <w:rFonts w:eastAsia="宋体"/>
          <w:sz w:val="36"/>
          <w:szCs w:val="36"/>
        </w:rPr>
      </w:pPr>
      <w:r>
        <w:rPr>
          <w:rFonts w:eastAsia="宋体"/>
          <w:sz w:val="36"/>
          <w:szCs w:val="36"/>
        </w:rPr>
        <w:t xml:space="preserve"> </w:t>
      </w:r>
      <w:r>
        <w:rPr>
          <w:rFonts w:eastAsia="宋体"/>
          <w:sz w:val="36"/>
          <w:szCs w:val="36"/>
        </w:rPr>
      </w:r>
      <w:r/>
    </w:p>
    <w:p>
      <w:pPr>
        <w:pStyle w:val="1298"/>
        <w:spacing w:before="240" w:after="240"/>
        <w:rPr>
          <w:rFonts w:eastAsia="宋体"/>
        </w:rPr>
      </w:pPr>
      <w:r>
        <w:rPr>
          <w:rFonts w:eastAsia="宋体"/>
        </w:rPr>
        <w:t xml:space="preserve"> </w:t>
      </w:r>
      <w:r>
        <w:rPr>
          <w:rFonts w:eastAsia="宋体"/>
        </w:rPr>
      </w:r>
      <w:r/>
    </w:p>
    <w:p>
      <w:pPr>
        <w:pStyle w:val="1299"/>
        <w:rPr>
          <w:rFonts w:eastAsia="宋体"/>
        </w:rPr>
        <w:outlineLvl w:val="1"/>
      </w:pPr>
      <w:r/>
      <w:bookmarkStart w:id="305" w:name="_Toc16"/>
      <w:r>
        <w:rPr>
          <w:rFonts w:eastAsia="宋体"/>
        </w:rPr>
        <w:br w:type="page" w:clear="all"/>
      </w:r>
      <w:r>
        <w:rPr>
          <w:rFonts w:eastAsia="宋体"/>
          <w:b/>
          <w:sz w:val="32"/>
        </w:rPr>
        <w:t xml:space="preserve">二、投标函格式</w:t>
      </w:r>
      <w:r>
        <w:rPr>
          <w:rFonts w:eastAsia="宋体"/>
        </w:rPr>
      </w:r>
      <w:bookmarkEnd w:id="305"/>
      <w:r/>
      <w:r/>
    </w:p>
    <w:p>
      <w:pPr>
        <w:pStyle w:val="1300"/>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00"/>
        <w:jc w:val="center"/>
        <w:spacing w:before="320" w:after="320"/>
        <w:rPr>
          <w:rFonts w:eastAsia="宋体"/>
          <w:b/>
          <w:bCs/>
          <w:sz w:val="32"/>
          <w:szCs w:val="32"/>
        </w:rPr>
      </w:pPr>
      <w:r>
        <w:rPr>
          <w:rFonts w:eastAsia="宋体"/>
          <w:b/>
          <w:bCs/>
          <w:sz w:val="32"/>
          <w:szCs w:val="32"/>
        </w:rPr>
        <w:t xml:space="preserve">投标函格式</w:t>
      </w:r>
      <w:r>
        <w:rPr>
          <w:rFonts w:eastAsia="宋体"/>
          <w:b/>
          <w:bCs/>
          <w:sz w:val="32"/>
          <w:szCs w:val="32"/>
        </w:rPr>
      </w:r>
      <w:r/>
    </w:p>
    <w:p>
      <w:pPr>
        <w:pStyle w:val="1300"/>
        <w:spacing w:before="240" w:after="240"/>
        <w:rPr>
          <w:rFonts w:eastAsia="宋体"/>
        </w:rPr>
      </w:pPr>
      <w:r>
        <w:rPr>
          <w:rFonts w:eastAsia="宋体"/>
        </w:rPr>
        <w:t xml:space="preserve">致：   ：</w:t>
      </w:r>
      <w:r>
        <w:rPr>
          <w:rFonts w:eastAsia="宋体"/>
        </w:rPr>
      </w:r>
      <w:r/>
    </w:p>
    <w:p>
      <w:pPr>
        <w:pStyle w:val="1300"/>
        <w:spacing w:before="240" w:after="240"/>
        <w:rPr>
          <w:rFonts w:eastAsia="宋体"/>
        </w:rPr>
      </w:pPr>
      <w:r>
        <w:rPr>
          <w:rFonts w:eastAsia="宋体"/>
        </w:rPr>
        <w:t xml:space="preserve">根据贵方的   号招标文件，正式授权下述签字人      (姓名和职务)代表我方   （投标人的名称），全权处理本次项目投标的有关事宜。 </w:t>
      </w:r>
      <w:r>
        <w:rPr>
          <w:rFonts w:eastAsia="宋体"/>
        </w:rPr>
      </w:r>
      <w:r/>
    </w:p>
    <w:p>
      <w:pPr>
        <w:pStyle w:val="1300"/>
        <w:spacing w:before="240" w:after="240"/>
        <w:rPr>
          <w:rFonts w:eastAsia="宋体"/>
        </w:rPr>
      </w:pPr>
      <w:r>
        <w:rPr>
          <w:rFonts w:eastAsia="宋体"/>
        </w:rPr>
        <w:t xml:space="preserve">据此函，签字人兹宣布同意如下： </w:t>
      </w:r>
      <w:r>
        <w:rPr>
          <w:rFonts w:eastAsia="宋体"/>
        </w:rPr>
      </w:r>
      <w:r/>
    </w:p>
    <w:p>
      <w:pPr>
        <w:pStyle w:val="1300"/>
        <w:spacing w:before="240" w:after="240"/>
        <w:rPr>
          <w:rFonts w:eastAsia="宋体"/>
        </w:rPr>
      </w:pPr>
      <w:r>
        <w:rPr>
          <w:rFonts w:eastAsia="宋体"/>
        </w:rPr>
        <w:t xml:space="preserve">1、同意向贵方提供贵方可能另外要求的与投标有关的任何证据或资料； </w:t>
      </w:r>
      <w:r>
        <w:rPr>
          <w:rFonts w:eastAsia="宋体"/>
        </w:rPr>
      </w:r>
      <w:r/>
    </w:p>
    <w:p>
      <w:pPr>
        <w:pStyle w:val="1300"/>
        <w:spacing w:before="240" w:after="240"/>
        <w:rPr>
          <w:rFonts w:eastAsia="宋体"/>
        </w:rPr>
      </w:pPr>
      <w:r>
        <w:rPr>
          <w:rFonts w:eastAsia="宋体"/>
        </w:rPr>
        <w:t xml:space="preserve">2、我们完全理解贵方不一定将合同授予最低报价的投标人； </w:t>
      </w:r>
      <w:r>
        <w:rPr>
          <w:rFonts w:eastAsia="宋体"/>
        </w:rPr>
      </w:r>
      <w:r/>
    </w:p>
    <w:p>
      <w:pPr>
        <w:pStyle w:val="1300"/>
        <w:spacing w:before="240" w:after="240"/>
        <w:rPr>
          <w:rFonts w:eastAsia="宋体"/>
        </w:rPr>
      </w:pPr>
      <w:r>
        <w:rPr>
          <w:rFonts w:eastAsia="宋体"/>
        </w:rPr>
        <w:t xml:space="preserve">3、我们已详细审核全部招标文件及其有效补充文件，我们知道必须放弃提出含糊不清或误解问题的权利； </w:t>
      </w:r>
      <w:r>
        <w:rPr>
          <w:rFonts w:eastAsia="宋体"/>
        </w:rPr>
      </w:r>
      <w:r/>
    </w:p>
    <w:p>
      <w:pPr>
        <w:pStyle w:val="1300"/>
        <w:spacing w:before="240" w:after="240"/>
        <w:rPr>
          <w:rFonts w:eastAsia="宋体"/>
        </w:rPr>
      </w:pPr>
      <w:r>
        <w:rPr>
          <w:rFonts w:eastAsia="宋体"/>
        </w:rPr>
        <w:t xml:space="preserve">4、一旦我方中标，我们将根据招标文件的规定，严格履行合同条款的责任和义务，并保证按照合同条款提供服务； </w:t>
      </w:r>
      <w:r>
        <w:rPr>
          <w:rFonts w:eastAsia="宋体"/>
        </w:rPr>
      </w:r>
      <w:r/>
    </w:p>
    <w:p>
      <w:pPr>
        <w:pStyle w:val="1300"/>
        <w:spacing w:before="240" w:after="240"/>
        <w:rPr>
          <w:rFonts w:eastAsia="宋体"/>
        </w:rPr>
      </w:pPr>
      <w:r>
        <w:rPr>
          <w:rFonts w:eastAsia="宋体"/>
        </w:rPr>
        <w:t xml:space="preserve">5、与本投标有关的正式通讯地址为： </w:t>
      </w:r>
      <w:r>
        <w:rPr>
          <w:rFonts w:eastAsia="宋体"/>
        </w:rPr>
      </w:r>
      <w:r/>
    </w:p>
    <w:p>
      <w:pPr>
        <w:pStyle w:val="1300"/>
        <w:spacing w:before="240" w:after="240"/>
        <w:rPr>
          <w:rFonts w:eastAsia="宋体"/>
        </w:rPr>
      </w:pPr>
      <w:r>
        <w:rPr>
          <w:rFonts w:eastAsia="宋体"/>
        </w:rPr>
        <w:t xml:space="preserve">地址：    </w:t>
      </w:r>
      <w:r>
        <w:rPr>
          <w:rFonts w:eastAsia="宋体"/>
        </w:rPr>
      </w:r>
      <w:r/>
    </w:p>
    <w:p>
      <w:pPr>
        <w:pStyle w:val="1300"/>
        <w:spacing w:before="240" w:after="240"/>
        <w:rPr>
          <w:rFonts w:eastAsia="宋体"/>
        </w:rPr>
      </w:pPr>
      <w:r>
        <w:rPr>
          <w:rFonts w:eastAsia="宋体"/>
        </w:rPr>
        <w:t xml:space="preserve">邮编：    </w:t>
      </w:r>
      <w:r>
        <w:rPr>
          <w:rFonts w:eastAsia="宋体"/>
        </w:rPr>
      </w:r>
      <w:r/>
    </w:p>
    <w:p>
      <w:pPr>
        <w:pStyle w:val="1300"/>
        <w:spacing w:before="240" w:after="240"/>
        <w:rPr>
          <w:rFonts w:eastAsia="宋体"/>
        </w:rPr>
      </w:pPr>
      <w:r>
        <w:rPr>
          <w:rFonts w:eastAsia="宋体"/>
        </w:rPr>
        <w:t xml:space="preserve">电话：    </w:t>
      </w:r>
      <w:r>
        <w:rPr>
          <w:rFonts w:eastAsia="宋体"/>
        </w:rPr>
      </w:r>
      <w:r/>
    </w:p>
    <w:p>
      <w:pPr>
        <w:pStyle w:val="1300"/>
        <w:spacing w:before="240" w:after="240"/>
        <w:rPr>
          <w:rFonts w:eastAsia="宋体"/>
        </w:rPr>
      </w:pPr>
      <w:r>
        <w:rPr>
          <w:rFonts w:eastAsia="宋体"/>
        </w:rPr>
        <w:t xml:space="preserve">传真：    </w:t>
      </w:r>
      <w:r>
        <w:rPr>
          <w:rFonts w:eastAsia="宋体"/>
        </w:rPr>
      </w:r>
      <w:r/>
    </w:p>
    <w:p>
      <w:pPr>
        <w:pStyle w:val="1300"/>
        <w:spacing w:before="240" w:after="240"/>
        <w:rPr>
          <w:rFonts w:eastAsia="宋体"/>
        </w:rPr>
      </w:pPr>
      <w:r>
        <w:rPr>
          <w:rFonts w:eastAsia="宋体"/>
        </w:rPr>
        <w:t xml:space="preserve">投标单位代表姓名：    </w:t>
      </w:r>
      <w:r>
        <w:rPr>
          <w:rFonts w:eastAsia="宋体"/>
        </w:rPr>
      </w:r>
      <w:r/>
    </w:p>
    <w:p>
      <w:pPr>
        <w:pStyle w:val="1300"/>
        <w:spacing w:before="240" w:after="240"/>
        <w:rPr>
          <w:rFonts w:eastAsia="宋体"/>
        </w:rPr>
      </w:pPr>
      <w:r>
        <w:rPr>
          <w:rFonts w:eastAsia="宋体"/>
        </w:rPr>
        <w:t xml:space="preserve">投标单位名称：    </w:t>
      </w:r>
      <w:r>
        <w:rPr>
          <w:rFonts w:eastAsia="宋体"/>
        </w:rPr>
      </w:r>
      <w:r/>
    </w:p>
    <w:p>
      <w:pPr>
        <w:pStyle w:val="1300"/>
        <w:spacing w:before="240" w:after="240"/>
        <w:rPr>
          <w:rFonts w:eastAsia="宋体"/>
        </w:rPr>
      </w:pPr>
      <w:r>
        <w:rPr>
          <w:rFonts w:eastAsia="宋体"/>
        </w:rPr>
        <w:t xml:space="preserve">公章：</w:t>
      </w:r>
      <w:r>
        <w:rPr>
          <w:rFonts w:eastAsia="宋体"/>
        </w:rPr>
      </w:r>
      <w:r/>
    </w:p>
    <w:p>
      <w:pPr>
        <w:pStyle w:val="1300"/>
        <w:spacing w:before="240" w:after="240"/>
        <w:rPr>
          <w:rFonts w:eastAsia="宋体"/>
        </w:rPr>
      </w:pPr>
      <w:r>
        <w:rPr>
          <w:rFonts w:eastAsia="宋体"/>
        </w:rPr>
        <w:t xml:space="preserve">日期：   </w:t>
      </w:r>
      <w:r>
        <w:rPr>
          <w:rFonts w:eastAsia="宋体"/>
        </w:rPr>
      </w:r>
      <w:r/>
    </w:p>
    <w:p>
      <w:pPr>
        <w:pStyle w:val="1300"/>
        <w:spacing w:before="240" w:after="240"/>
        <w:rPr>
          <w:rFonts w:eastAsia="宋体"/>
        </w:rPr>
      </w:pPr>
      <w:r>
        <w:rPr>
          <w:rFonts w:eastAsia="宋体"/>
        </w:rPr>
        <w:t xml:space="preserve"> </w:t>
      </w:r>
      <w:r>
        <w:rPr>
          <w:rFonts w:eastAsia="宋体"/>
        </w:rPr>
      </w:r>
      <w:r/>
    </w:p>
    <w:p>
      <w:pPr>
        <w:pStyle w:val="1301"/>
        <w:rPr>
          <w:rFonts w:eastAsia="宋体"/>
        </w:rPr>
        <w:outlineLvl w:val="1"/>
      </w:pPr>
      <w:r/>
      <w:bookmarkStart w:id="306" w:name="_Toc17"/>
      <w:r>
        <w:rPr>
          <w:rFonts w:eastAsia="宋体"/>
        </w:rPr>
        <w:br w:type="page" w:clear="all"/>
      </w:r>
      <w:r>
        <w:rPr>
          <w:rFonts w:eastAsia="宋体"/>
          <w:b/>
          <w:sz w:val="32"/>
        </w:rPr>
        <w:t xml:space="preserve">三、开标一览表</w:t>
      </w:r>
      <w:r>
        <w:rPr>
          <w:rFonts w:eastAsia="宋体"/>
        </w:rPr>
      </w:r>
      <w:bookmarkEnd w:id="306"/>
      <w:r/>
      <w:r/>
    </w:p>
    <w:p>
      <w:pPr>
        <w:pStyle w:val="1291"/>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291"/>
        <w:jc w:val="center"/>
        <w:spacing w:before="400" w:after="400" w:line="300" w:lineRule="auto"/>
        <w:rPr>
          <w:rFonts w:eastAsia="宋体"/>
          <w:b/>
          <w:bCs/>
          <w:sz w:val="40"/>
          <w:szCs w:val="40"/>
        </w:rPr>
      </w:pPr>
      <w:r>
        <w:rPr>
          <w:rFonts w:eastAsia="宋体"/>
          <w:b/>
          <w:bCs/>
          <w:sz w:val="40"/>
          <w:szCs w:val="40"/>
        </w:rPr>
        <w:t xml:space="preserve">开标一览表</w:t>
      </w:r>
      <w:r>
        <w:rPr>
          <w:rFonts w:eastAsia="宋体"/>
          <w:b/>
          <w:bCs/>
          <w:sz w:val="40"/>
          <w:szCs w:val="40"/>
        </w:rPr>
      </w:r>
      <w:r/>
    </w:p>
    <w:p>
      <w:pPr>
        <w:pStyle w:val="1291"/>
        <w:spacing w:before="240" w:after="240"/>
        <w:rPr>
          <w:rFonts w:eastAsia="宋体"/>
        </w:rPr>
      </w:pPr>
      <w:r>
        <w:rPr>
          <w:rFonts w:eastAsia="宋体"/>
        </w:rPr>
        <w:t xml:space="preserve">投标单位全称（加盖公章）：    </w:t>
      </w:r>
      <w:r>
        <w:rPr>
          <w:rFonts w:eastAsia="宋体"/>
        </w:rPr>
      </w:r>
      <w:r/>
    </w:p>
    <w:p>
      <w:pPr>
        <w:pStyle w:val="1291"/>
        <w:spacing w:before="240" w:after="240"/>
        <w:rPr>
          <w:rFonts w:eastAsia="宋体"/>
        </w:rPr>
      </w:pPr>
      <w:r>
        <w:rPr>
          <w:rFonts w:eastAsia="宋体"/>
        </w:rPr>
        <w:t xml:space="preserve"> </w:t>
      </w:r>
      <w:r>
        <w:rPr>
          <w:rFonts w:eastAsia="宋体"/>
        </w:rPr>
      </w:r>
      <w:r/>
    </w:p>
    <w:tbl>
      <w:tblPr>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848"/>
        <w:gridCol w:w="1561"/>
        <w:gridCol w:w="2963"/>
        <w:gridCol w:w="1613"/>
      </w:tblGrid>
      <w:tr>
        <w:trPr>
          <w:trHeight w:val="287"/>
        </w:trPr>
        <w:tc>
          <w:tcPr>
            <w:tcMar>
              <w:left w:w="0" w:type="dxa"/>
              <w:top w:w="0" w:type="dxa"/>
              <w:right w:w="0" w:type="dxa"/>
              <w:bottom w:w="0" w:type="dxa"/>
            </w:tcMar>
            <w:tcW w:w="2852" w:type="dxa"/>
            <w:vAlign w:val="center"/>
            <w:textDirection w:val="lrTb"/>
            <w:noWrap w:val="false"/>
          </w:tcPr>
          <w:p>
            <w:pPr>
              <w:pStyle w:val="1291"/>
              <w:jc w:val="center"/>
              <w:rPr>
                <w:rFonts w:eastAsia="宋体"/>
              </w:rPr>
            </w:pPr>
            <w:r>
              <w:rPr>
                <w:rFonts w:eastAsia="宋体"/>
              </w:rPr>
              <w:t xml:space="preserve">项目名称 </w:t>
            </w:r>
            <w:r>
              <w:rPr>
                <w:rFonts w:eastAsia="宋体"/>
              </w:rPr>
            </w:r>
            <w:r/>
          </w:p>
        </w:tc>
        <w:tc>
          <w:tcPr>
            <w:tcMar>
              <w:left w:w="0" w:type="dxa"/>
              <w:top w:w="0" w:type="dxa"/>
              <w:right w:w="0" w:type="dxa"/>
              <w:bottom w:w="0" w:type="dxa"/>
            </w:tcMar>
            <w:tcW w:w="1563" w:type="dxa"/>
            <w:vAlign w:val="center"/>
            <w:textDirection w:val="lrTb"/>
            <w:noWrap w:val="false"/>
          </w:tcPr>
          <w:p>
            <w:pPr>
              <w:pStyle w:val="1291"/>
              <w:jc w:val="center"/>
              <w:rPr>
                <w:rFonts w:eastAsia="宋体"/>
              </w:rPr>
            </w:pPr>
            <w:r>
              <w:rPr>
                <w:rFonts w:eastAsia="宋体"/>
              </w:rPr>
              <w:t xml:space="preserve">服务期限 </w:t>
            </w:r>
            <w:r>
              <w:rPr>
                <w:rFonts w:eastAsia="宋体"/>
              </w:rPr>
            </w:r>
            <w:r/>
          </w:p>
        </w:tc>
        <w:tc>
          <w:tcPr>
            <w:tcMar>
              <w:left w:w="0" w:type="dxa"/>
              <w:top w:w="0" w:type="dxa"/>
              <w:right w:w="0" w:type="dxa"/>
              <w:bottom w:w="0" w:type="dxa"/>
            </w:tcMar>
            <w:tcW w:w="2967" w:type="dxa"/>
            <w:vAlign w:val="center"/>
            <w:textDirection w:val="lrTb"/>
            <w:noWrap w:val="false"/>
          </w:tcPr>
          <w:p>
            <w:pPr>
              <w:pStyle w:val="1291"/>
              <w:jc w:val="center"/>
              <w:rPr>
                <w:rFonts w:eastAsia="宋体"/>
              </w:rPr>
            </w:pPr>
            <w:r>
              <w:rPr>
                <w:rFonts w:eastAsia="宋体"/>
              </w:rPr>
              <w:t xml:space="preserve">总价（元） </w:t>
            </w:r>
            <w:r>
              <w:rPr>
                <w:rFonts w:eastAsia="宋体"/>
              </w:rPr>
            </w:r>
            <w:r/>
          </w:p>
        </w:tc>
        <w:tc>
          <w:tcPr>
            <w:tcMar>
              <w:left w:w="0" w:type="dxa"/>
              <w:top w:w="0" w:type="dxa"/>
              <w:right w:w="0" w:type="dxa"/>
              <w:bottom w:w="0" w:type="dxa"/>
            </w:tcMar>
            <w:tcW w:w="1615" w:type="dxa"/>
            <w:vAlign w:val="center"/>
            <w:textDirection w:val="lrTb"/>
            <w:noWrap w:val="false"/>
          </w:tcPr>
          <w:p>
            <w:pPr>
              <w:pStyle w:val="1291"/>
              <w:jc w:val="center"/>
              <w:rPr>
                <w:rFonts w:eastAsia="宋体"/>
              </w:rPr>
            </w:pPr>
            <w:r>
              <w:rPr>
                <w:rFonts w:eastAsia="宋体"/>
              </w:rPr>
              <w:t xml:space="preserve">备注 </w:t>
            </w:r>
            <w:r>
              <w:rPr>
                <w:rFonts w:eastAsia="宋体"/>
              </w:rPr>
            </w:r>
            <w:r/>
          </w:p>
        </w:tc>
      </w:tr>
      <w:tr>
        <w:trPr/>
        <w:tc>
          <w:tcPr>
            <w:tcMar>
              <w:left w:w="0" w:type="dxa"/>
              <w:top w:w="0" w:type="dxa"/>
              <w:right w:w="0" w:type="dxa"/>
              <w:bottom w:w="0" w:type="dxa"/>
            </w:tcMar>
            <w:tcW w:w="2848" w:type="dxa"/>
            <w:vAlign w:val="center"/>
            <w:textDirection w:val="lrTb"/>
            <w:noWrap w:val="false"/>
          </w:tcPr>
          <w:p>
            <w:pPr>
              <w:pStyle w:val="1291"/>
              <w:rPr>
                <w:rFonts w:eastAsia="宋体"/>
              </w:rPr>
            </w:pPr>
            <w:r>
              <w:rPr>
                <w:rFonts w:eastAsia="宋体"/>
              </w:rPr>
              <w:t xml:space="preserve">   </w:t>
            </w:r>
            <w:r>
              <w:rPr>
                <w:rFonts w:eastAsia="宋体"/>
              </w:rPr>
            </w:r>
            <w:r/>
          </w:p>
        </w:tc>
        <w:tc>
          <w:tcPr>
            <w:tcMar>
              <w:left w:w="0" w:type="dxa"/>
              <w:top w:w="0" w:type="dxa"/>
              <w:right w:w="0" w:type="dxa"/>
              <w:bottom w:w="0" w:type="dxa"/>
            </w:tcMar>
            <w:tcW w:w="1561" w:type="dxa"/>
            <w:vAlign w:val="center"/>
            <w:textDirection w:val="lrTb"/>
            <w:noWrap w:val="false"/>
          </w:tcPr>
          <w:p>
            <w:pPr>
              <w:pStyle w:val="1291"/>
              <w:rPr>
                <w:rFonts w:eastAsia="宋体"/>
              </w:rPr>
            </w:pPr>
            <w:r>
              <w:rPr>
                <w:rFonts w:eastAsia="宋体"/>
              </w:rPr>
              <w:t xml:space="preserve">   </w:t>
            </w:r>
            <w:r>
              <w:rPr>
                <w:rFonts w:eastAsia="宋体"/>
              </w:rPr>
            </w:r>
            <w:r/>
          </w:p>
        </w:tc>
        <w:tc>
          <w:tcPr>
            <w:tcMar>
              <w:left w:w="0" w:type="dxa"/>
              <w:top w:w="0" w:type="dxa"/>
              <w:right w:w="0" w:type="dxa"/>
              <w:bottom w:w="0" w:type="dxa"/>
            </w:tcMar>
            <w:tcW w:w="2963" w:type="dxa"/>
            <w:vAlign w:val="center"/>
            <w:textDirection w:val="lrTb"/>
            <w:noWrap w:val="false"/>
          </w:tcPr>
          <w:p>
            <w:pPr>
              <w:pStyle w:val="1291"/>
              <w:rPr>
                <w:rFonts w:eastAsia="宋体"/>
              </w:rPr>
            </w:pPr>
            <w:r>
              <w:rPr>
                <w:rFonts w:eastAsia="宋体"/>
              </w:rPr>
              <w:t xml:space="preserve">     </w:t>
            </w:r>
            <w:r>
              <w:rPr>
                <w:rFonts w:eastAsia="宋体"/>
              </w:rPr>
            </w:r>
            <w:r/>
          </w:p>
        </w:tc>
        <w:tc>
          <w:tcPr>
            <w:tcMar>
              <w:left w:w="0" w:type="dxa"/>
              <w:top w:w="0" w:type="dxa"/>
              <w:right w:w="0" w:type="dxa"/>
              <w:bottom w:w="0" w:type="dxa"/>
            </w:tcMar>
            <w:tcW w:w="1613" w:type="dxa"/>
            <w:vAlign w:val="center"/>
            <w:textDirection w:val="lrTb"/>
            <w:noWrap w:val="false"/>
          </w:tcPr>
          <w:p>
            <w:pPr>
              <w:pStyle w:val="1291"/>
              <w:rPr>
                <w:rFonts w:eastAsia="宋体"/>
              </w:rPr>
            </w:pPr>
            <w:r>
              <w:rPr>
                <w:rFonts w:eastAsia="宋体"/>
              </w:rPr>
              <w:t xml:space="preserve">    </w:t>
            </w:r>
            <w:r>
              <w:rPr>
                <w:rFonts w:eastAsia="宋体"/>
              </w:rPr>
            </w:r>
            <w:r/>
          </w:p>
        </w:tc>
      </w:tr>
      <w:tr>
        <w:trPr/>
        <w:tc>
          <w:tcPr>
            <w:tcMar>
              <w:left w:w="0" w:type="dxa"/>
              <w:top w:w="0" w:type="dxa"/>
              <w:right w:w="0" w:type="dxa"/>
              <w:bottom w:w="0" w:type="dxa"/>
            </w:tcMar>
            <w:tcW w:w="2848" w:type="dxa"/>
            <w:vAlign w:val="center"/>
            <w:textDirection w:val="lrTb"/>
            <w:noWrap w:val="false"/>
          </w:tcPr>
          <w:p>
            <w:pPr>
              <w:pStyle w:val="1291"/>
              <w:rPr>
                <w:rFonts w:eastAsia="宋体"/>
              </w:rPr>
            </w:pPr>
            <w:r>
              <w:rPr>
                <w:rFonts w:eastAsia="宋体"/>
              </w:rPr>
              <w:t xml:space="preserve">投标总报价（大写） </w:t>
            </w:r>
            <w:r>
              <w:rPr>
                <w:rFonts w:eastAsia="宋体"/>
              </w:rPr>
            </w:r>
            <w:r/>
          </w:p>
        </w:tc>
        <w:tc>
          <w:tcPr>
            <w:gridSpan w:val="3"/>
            <w:tcMar>
              <w:left w:w="0" w:type="dxa"/>
              <w:top w:w="0" w:type="dxa"/>
              <w:right w:w="0" w:type="dxa"/>
              <w:bottom w:w="0" w:type="dxa"/>
            </w:tcMar>
            <w:tcW w:w="6137" w:type="dxa"/>
            <w:vAlign w:val="center"/>
            <w:textDirection w:val="lrTb"/>
            <w:noWrap w:val="false"/>
          </w:tcPr>
          <w:p>
            <w:pPr>
              <w:pStyle w:val="1291"/>
              <w:rPr>
                <w:rFonts w:eastAsia="宋体"/>
              </w:rPr>
            </w:pPr>
            <w:r>
              <w:rPr>
                <w:rFonts w:eastAsia="宋体"/>
              </w:rPr>
              <w:t xml:space="preserve">     （人民币）￥：   元</w:t>
            </w:r>
            <w:r>
              <w:rPr>
                <w:rFonts w:eastAsia="宋体"/>
              </w:rPr>
            </w:r>
            <w:r/>
          </w:p>
        </w:tc>
      </w:tr>
    </w:tbl>
    <w:p>
      <w:pPr>
        <w:pStyle w:val="1291"/>
        <w:spacing w:before="240" w:after="240"/>
        <w:rPr>
          <w:rFonts w:eastAsia="宋体"/>
        </w:rPr>
      </w:pPr>
      <w:r>
        <w:rPr>
          <w:rFonts w:eastAsia="宋体"/>
        </w:rPr>
        <w:t xml:space="preserve"> </w:t>
      </w:r>
      <w:r>
        <w:rPr>
          <w:rFonts w:eastAsia="宋体"/>
        </w:rPr>
      </w:r>
      <w:r/>
    </w:p>
    <w:p>
      <w:pPr>
        <w:pStyle w:val="1291"/>
        <w:spacing w:before="240" w:after="240"/>
        <w:rPr>
          <w:rFonts w:eastAsia="宋体"/>
        </w:rPr>
      </w:pPr>
      <w:r>
        <w:rPr>
          <w:rFonts w:eastAsia="宋体"/>
        </w:rPr>
        <w:t xml:space="preserve">注：</w:t>
      </w:r>
      <w:r>
        <w:rPr>
          <w:rFonts w:eastAsia="宋体"/>
        </w:rPr>
      </w:r>
      <w:r/>
    </w:p>
    <w:p>
      <w:pPr>
        <w:pStyle w:val="1291"/>
        <w:spacing w:before="240" w:after="240"/>
        <w:rPr>
          <w:rFonts w:eastAsia="宋体"/>
        </w:rPr>
      </w:pPr>
      <w:r>
        <w:rPr>
          <w:rFonts w:eastAsia="宋体"/>
        </w:rPr>
        <w:t xml:space="preserve">1、总价为综合报价，详见招标文件第二章12.4。</w:t>
      </w:r>
      <w:r>
        <w:rPr>
          <w:rFonts w:eastAsia="宋体"/>
        </w:rPr>
      </w:r>
      <w:r/>
    </w:p>
    <w:p>
      <w:pPr>
        <w:pStyle w:val="1291"/>
        <w:spacing w:before="240" w:after="240"/>
        <w:rPr>
          <w:rFonts w:eastAsia="宋体"/>
        </w:rPr>
      </w:pPr>
      <w:r>
        <w:rPr>
          <w:rFonts w:eastAsia="宋体"/>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rPr>
          <w:rFonts w:eastAsia="宋体"/>
        </w:rPr>
      </w:r>
      <w:r/>
    </w:p>
    <w:p>
      <w:pPr>
        <w:pStyle w:val="1291"/>
        <w:spacing w:before="240" w:after="240"/>
        <w:rPr>
          <w:rFonts w:eastAsia="宋体"/>
        </w:rPr>
      </w:pPr>
      <w:r>
        <w:rPr>
          <w:rFonts w:eastAsia="宋体"/>
        </w:rPr>
        <w:t xml:space="preserve">3、本表中的报价已包括公共责任险（第三者险），中标单位未及时投保所造成的损害责任由中标单位承担。</w:t>
      </w:r>
      <w:r>
        <w:rPr>
          <w:rFonts w:eastAsia="宋体"/>
        </w:rPr>
      </w:r>
      <w:r/>
    </w:p>
    <w:p>
      <w:pPr>
        <w:pStyle w:val="1303"/>
        <w:rPr>
          <w:rFonts w:eastAsia="宋体"/>
        </w:rPr>
        <w:outlineLvl w:val="1"/>
      </w:pPr>
      <w:r/>
      <w:bookmarkStart w:id="307" w:name="_Toc18"/>
      <w:r>
        <w:rPr>
          <w:rFonts w:eastAsia="宋体"/>
        </w:rPr>
        <w:br w:type="page" w:clear="all"/>
      </w:r>
      <w:r>
        <w:rPr>
          <w:rFonts w:eastAsia="宋体"/>
          <w:b/>
          <w:sz w:val="32"/>
        </w:rPr>
        <w:t xml:space="preserve">四、资格证明文件</w:t>
      </w:r>
      <w:r>
        <w:rPr>
          <w:rFonts w:eastAsia="宋体"/>
        </w:rPr>
      </w:r>
      <w:bookmarkEnd w:id="307"/>
      <w:r/>
      <w:r/>
    </w:p>
    <w:p>
      <w:pPr>
        <w:pStyle w:val="1304"/>
        <w:rPr>
          <w:rFonts w:eastAsia="宋体"/>
        </w:rPr>
        <w:outlineLvl w:val="2"/>
      </w:pPr>
      <w:r>
        <w:rPr>
          <w:rFonts w:eastAsia="宋体"/>
        </w:rPr>
        <w:br w:type="page" w:clear="all"/>
      </w:r>
      <w:r>
        <w:rPr>
          <w:rFonts w:eastAsia="宋体"/>
          <w:b/>
          <w:sz w:val="28"/>
        </w:rPr>
        <w:t xml:space="preserve">  法人或者其他组织的营业执照等证明文件，自然人的身份证明</w:t>
      </w:r>
      <w:r>
        <w:rPr>
          <w:rFonts w:eastAsia="宋体"/>
        </w:rPr>
      </w:r>
      <w:r/>
    </w:p>
    <w:p>
      <w:pPr>
        <w:pStyle w:val="1305"/>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05"/>
        <w:spacing w:before="240" w:after="240"/>
        <w:rPr>
          <w:rFonts w:eastAsia="宋体"/>
        </w:rPr>
      </w:pPr>
      <w:r>
        <w:rPr>
          <w:rFonts w:eastAsia="宋体"/>
        </w:rPr>
        <w:t xml:space="preserve">  </w:t>
      </w:r>
      <w:r>
        <w:rPr>
          <w:rFonts w:eastAsia="宋体"/>
        </w:rPr>
      </w:r>
      <w:r/>
    </w:p>
    <w:p>
      <w:pPr>
        <w:pStyle w:val="1305"/>
        <w:jc w:val="center"/>
        <w:spacing w:before="360" w:after="360" w:line="300" w:lineRule="auto"/>
        <w:rPr>
          <w:rFonts w:eastAsia="宋体"/>
          <w:b/>
          <w:bCs/>
          <w:sz w:val="36"/>
          <w:szCs w:val="36"/>
        </w:rPr>
      </w:pPr>
      <w:r>
        <w:rPr>
          <w:rFonts w:eastAsia="宋体"/>
          <w:b/>
          <w:bCs/>
          <w:sz w:val="36"/>
          <w:szCs w:val="36"/>
        </w:rPr>
        <w:t xml:space="preserve">法人或者其他组织的营业执照等证明文件，自然人的身份证明 </w:t>
      </w:r>
      <w:r>
        <w:rPr>
          <w:rFonts w:eastAsia="宋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1305"/>
              <w:jc w:val="center"/>
              <w:rPr>
                <w:rFonts w:eastAsia="宋体"/>
              </w:rPr>
            </w:pPr>
            <w:r>
              <w:rPr>
                <w:rFonts w:eastAsia="宋体"/>
              </w:rPr>
              <w:t xml:space="preserve">序号 </w:t>
            </w:r>
            <w:r>
              <w:rPr>
                <w:rFonts w:eastAsia="宋体"/>
              </w:rPr>
            </w:r>
            <w:r/>
          </w:p>
        </w:tc>
        <w:tc>
          <w:tcPr>
            <w:tcMar>
              <w:left w:w="0" w:type="dxa"/>
              <w:top w:w="0" w:type="dxa"/>
              <w:right w:w="0" w:type="dxa"/>
              <w:bottom w:w="0" w:type="dxa"/>
            </w:tcMar>
            <w:tcW w:w="6255" w:type="dxa"/>
            <w:vAlign w:val="center"/>
            <w:textDirection w:val="lrTb"/>
            <w:noWrap w:val="false"/>
          </w:tcPr>
          <w:p>
            <w:pPr>
              <w:pStyle w:val="1305"/>
              <w:jc w:val="center"/>
              <w:rPr>
                <w:rFonts w:eastAsia="宋体"/>
              </w:rPr>
            </w:pPr>
            <w:r>
              <w:rPr>
                <w:rFonts w:eastAsia="宋体"/>
              </w:rPr>
              <w:t xml:space="preserve">证书名称 </w:t>
            </w:r>
            <w:r>
              <w:rPr>
                <w:rFonts w:eastAsia="宋体"/>
              </w:rPr>
            </w:r>
            <w:r/>
          </w:p>
        </w:tc>
        <w:tc>
          <w:tcPr>
            <w:tcMar>
              <w:left w:w="0" w:type="dxa"/>
              <w:top w:w="0" w:type="dxa"/>
              <w:right w:w="0" w:type="dxa"/>
              <w:bottom w:w="0" w:type="dxa"/>
            </w:tcMar>
            <w:tcW w:w="1515" w:type="dxa"/>
            <w:vAlign w:val="center"/>
            <w:textDirection w:val="lrTb"/>
            <w:noWrap w:val="false"/>
          </w:tcPr>
          <w:p>
            <w:pPr>
              <w:pStyle w:val="1305"/>
              <w:jc w:val="center"/>
              <w:rPr>
                <w:rFonts w:eastAsia="宋体"/>
              </w:rPr>
            </w:pPr>
            <w:r>
              <w:rPr>
                <w:rFonts w:eastAsia="宋体"/>
              </w:rPr>
              <w:t xml:space="preserve">查看 </w:t>
            </w:r>
            <w:r>
              <w:rPr>
                <w:rFonts w:eastAsia="宋体"/>
              </w:rPr>
            </w:r>
            <w:r/>
          </w:p>
        </w:tc>
      </w:tr>
      <w:tr>
        <w:trPr/>
        <w:tc>
          <w:tcPr>
            <w:tcMar>
              <w:left w:w="0" w:type="dxa"/>
              <w:top w:w="0" w:type="dxa"/>
              <w:right w:w="0" w:type="dxa"/>
              <w:bottom w:w="0" w:type="dxa"/>
            </w:tcMar>
            <w:tcW w:w="1215" w:type="dxa"/>
            <w:vAlign w:val="center"/>
            <w:textDirection w:val="lrTb"/>
            <w:noWrap w:val="false"/>
          </w:tcPr>
          <w:p>
            <w:pPr>
              <w:pStyle w:val="1305"/>
              <w:jc w:val="center"/>
              <w:rPr>
                <w:rFonts w:eastAsia="宋体"/>
              </w:rPr>
            </w:pPr>
            <w:r/>
            <w:bookmarkStart w:id="262" w:name="A1"/>
            <w:r/>
            <w:bookmarkEnd w:id="262"/>
            <w:r>
              <w:rPr>
                <w:rFonts w:eastAsia="宋体"/>
              </w:rPr>
            </w:r>
            <w:r/>
          </w:p>
        </w:tc>
        <w:tc>
          <w:tcPr>
            <w:tcMar>
              <w:left w:w="0" w:type="dxa"/>
              <w:top w:w="0" w:type="dxa"/>
              <w:right w:w="0" w:type="dxa"/>
              <w:bottom w:w="0" w:type="dxa"/>
            </w:tcMar>
            <w:tcW w:w="6255" w:type="dxa"/>
            <w:vAlign w:val="center"/>
            <w:textDirection w:val="lrTb"/>
            <w:noWrap w:val="false"/>
          </w:tcPr>
          <w:p>
            <w:pPr>
              <w:pStyle w:val="1305"/>
              <w:rPr>
                <w:rFonts w:eastAsia="宋体"/>
              </w:rPr>
            </w:pPr>
            <w:r/>
            <w:bookmarkStart w:id="263" w:name="MC"/>
            <w:r/>
            <w:bookmarkEnd w:id="263"/>
            <w:r>
              <w:rPr>
                <w:rFonts w:eastAsia="宋体"/>
              </w:rPr>
            </w:r>
            <w:r/>
          </w:p>
        </w:tc>
        <w:tc>
          <w:tcPr>
            <w:tcMar>
              <w:left w:w="0" w:type="dxa"/>
              <w:top w:w="0" w:type="dxa"/>
              <w:right w:w="0" w:type="dxa"/>
              <w:bottom w:w="0" w:type="dxa"/>
            </w:tcMar>
            <w:tcW w:w="1515" w:type="dxa"/>
            <w:vAlign w:val="center"/>
            <w:textDirection w:val="lrTb"/>
            <w:noWrap w:val="false"/>
          </w:tcPr>
          <w:p>
            <w:pPr>
              <w:pStyle w:val="1305"/>
              <w:jc w:val="center"/>
              <w:rPr>
                <w:rFonts w:eastAsia="宋体"/>
              </w:rPr>
            </w:pPr>
            <w:r/>
            <w:bookmarkStart w:id="264" w:name="ChaKan"/>
            <w:r/>
            <w:bookmarkEnd w:id="264"/>
            <w:r>
              <w:rPr>
                <w:rFonts w:eastAsia="宋体"/>
              </w:rPr>
              <w:t xml:space="preserve">  </w:t>
            </w:r>
            <w:r>
              <w:rPr>
                <w:rFonts w:eastAsia="宋体"/>
              </w:rPr>
            </w:r>
            <w:r/>
          </w:p>
        </w:tc>
      </w:tr>
    </w:tbl>
    <w:p>
      <w:pPr>
        <w:pStyle w:val="1305"/>
        <w:spacing w:before="240" w:after="240" w:line="360" w:lineRule="auto"/>
        <w:rPr>
          <w:rFonts w:eastAsia="宋体"/>
        </w:rPr>
      </w:pPr>
      <w:r>
        <w:rPr>
          <w:rFonts w:eastAsia="宋体"/>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eastAsia="宋体"/>
        </w:rPr>
      </w:r>
      <w:r/>
    </w:p>
    <w:p>
      <w:pPr>
        <w:pStyle w:val="1305"/>
        <w:jc w:val="center"/>
        <w:spacing w:before="240" w:after="240"/>
        <w:rPr>
          <w:rFonts w:eastAsia="宋体"/>
        </w:rPr>
      </w:pPr>
      <w:r>
        <w:rPr>
          <w:rFonts w:eastAsia="宋体"/>
        </w:rPr>
        <w:t xml:space="preserve">  </w:t>
      </w:r>
      <w:r>
        <w:rPr>
          <w:rFonts w:eastAsia="宋体"/>
        </w:rPr>
      </w:r>
      <w:r/>
    </w:p>
    <w:p>
      <w:pPr>
        <w:pStyle w:val="1306"/>
        <w:rPr>
          <w:rFonts w:eastAsia="宋体"/>
        </w:rPr>
        <w:outlineLvl w:val="2"/>
      </w:pPr>
      <w:r>
        <w:rPr>
          <w:rFonts w:eastAsia="宋体"/>
        </w:rPr>
        <w:br w:type="page" w:clear="all"/>
      </w:r>
      <w:r>
        <w:rPr>
          <w:rFonts w:eastAsia="宋体"/>
          <w:b/>
          <w:sz w:val="28"/>
        </w:rPr>
        <w:t xml:space="preserve">  财务状况报告（成立不满一年不需要提供）</w:t>
      </w:r>
      <w:r>
        <w:rPr>
          <w:rFonts w:eastAsia="宋体"/>
        </w:rPr>
      </w:r>
      <w:r/>
    </w:p>
    <w:p>
      <w:pPr>
        <w:pStyle w:val="1307"/>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07"/>
        <w:jc w:val="center"/>
        <w:spacing w:before="360" w:after="360" w:line="300" w:lineRule="auto"/>
        <w:rPr>
          <w:rFonts w:eastAsia="宋体"/>
          <w:b/>
          <w:bCs/>
          <w:sz w:val="36"/>
          <w:szCs w:val="36"/>
        </w:rPr>
      </w:pPr>
      <w:r>
        <w:rPr>
          <w:rFonts w:eastAsia="宋体"/>
          <w:b/>
          <w:bCs/>
          <w:sz w:val="36"/>
          <w:szCs w:val="36"/>
        </w:rPr>
        <w:t xml:space="preserve">近年财务状况表</w:t>
      </w:r>
      <w:r>
        <w:rPr>
          <w:rFonts w:eastAsia="宋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1307"/>
              <w:jc w:val="center"/>
              <w:rPr>
                <w:rFonts w:eastAsia="宋体"/>
              </w:rPr>
            </w:pPr>
            <w:r>
              <w:rPr>
                <w:rFonts w:eastAsia="宋体"/>
              </w:rPr>
              <w:t xml:space="preserve">年度 </w:t>
            </w:r>
            <w:r>
              <w:rPr>
                <w:rFonts w:eastAsia="宋体"/>
              </w:rPr>
            </w:r>
            <w:r/>
          </w:p>
        </w:tc>
        <w:tc>
          <w:tcPr>
            <w:tcMar>
              <w:left w:w="0" w:type="dxa"/>
              <w:top w:w="0" w:type="dxa"/>
              <w:right w:w="0" w:type="dxa"/>
              <w:bottom w:w="0" w:type="dxa"/>
            </w:tcMar>
            <w:tcW w:w="5025" w:type="dxa"/>
            <w:vAlign w:val="center"/>
            <w:textDirection w:val="lrTb"/>
            <w:noWrap w:val="false"/>
          </w:tcPr>
          <w:p>
            <w:pPr>
              <w:pStyle w:val="1307"/>
              <w:jc w:val="center"/>
              <w:rPr>
                <w:rFonts w:eastAsia="宋体"/>
              </w:rPr>
            </w:pPr>
            <w:r>
              <w:rPr>
                <w:rFonts w:eastAsia="宋体"/>
              </w:rPr>
              <w:t xml:space="preserve">说明 </w:t>
            </w:r>
            <w:r>
              <w:rPr>
                <w:rFonts w:eastAsia="宋体"/>
              </w:rPr>
            </w:r>
            <w:r/>
          </w:p>
        </w:tc>
        <w:tc>
          <w:tcPr>
            <w:tcMar>
              <w:left w:w="0" w:type="dxa"/>
              <w:top w:w="0" w:type="dxa"/>
              <w:right w:w="0" w:type="dxa"/>
              <w:bottom w:w="0" w:type="dxa"/>
            </w:tcMar>
            <w:tcW w:w="2145" w:type="dxa"/>
            <w:vAlign w:val="center"/>
            <w:textDirection w:val="lrTb"/>
            <w:noWrap w:val="false"/>
          </w:tcPr>
          <w:p>
            <w:pPr>
              <w:pStyle w:val="1307"/>
              <w:jc w:val="center"/>
              <w:rPr>
                <w:rFonts w:eastAsia="宋体"/>
              </w:rPr>
            </w:pPr>
            <w:r>
              <w:rPr>
                <w:rFonts w:eastAsia="宋体"/>
              </w:rPr>
              <w:t xml:space="preserve">查看 </w:t>
            </w:r>
            <w:r>
              <w:rPr>
                <w:rFonts w:eastAsia="宋体"/>
              </w:rPr>
            </w:r>
            <w:r/>
          </w:p>
        </w:tc>
      </w:tr>
      <w:tr>
        <w:trPr/>
        <w:tc>
          <w:tcPr>
            <w:tcMar>
              <w:left w:w="0" w:type="dxa"/>
              <w:top w:w="0" w:type="dxa"/>
              <w:right w:w="0" w:type="dxa"/>
              <w:bottom w:w="0" w:type="dxa"/>
            </w:tcMar>
            <w:tcW w:w="1815" w:type="dxa"/>
            <w:vAlign w:val="center"/>
            <w:textDirection w:val="lrTb"/>
            <w:noWrap w:val="false"/>
          </w:tcPr>
          <w:p>
            <w:pPr>
              <w:pStyle w:val="1307"/>
              <w:rPr>
                <w:rFonts w:eastAsia="宋体"/>
              </w:rPr>
            </w:pPr>
            <w:r/>
            <w:bookmarkStart w:id="265" w:name="Year"/>
            <w:r/>
            <w:bookmarkEnd w:id="265"/>
            <w:r>
              <w:rPr>
                <w:rFonts w:eastAsia="宋体"/>
              </w:rPr>
              <w:t xml:space="preserve">  </w:t>
            </w:r>
            <w:r>
              <w:rPr>
                <w:rFonts w:eastAsia="宋体"/>
              </w:rPr>
            </w:r>
            <w:r/>
          </w:p>
        </w:tc>
        <w:tc>
          <w:tcPr>
            <w:tcMar>
              <w:left w:w="0" w:type="dxa"/>
              <w:top w:w="0" w:type="dxa"/>
              <w:right w:w="0" w:type="dxa"/>
              <w:bottom w:w="0" w:type="dxa"/>
            </w:tcMar>
            <w:tcW w:w="5025" w:type="dxa"/>
            <w:vAlign w:val="center"/>
            <w:textDirection w:val="lrTb"/>
            <w:noWrap w:val="false"/>
          </w:tcPr>
          <w:p>
            <w:pPr>
              <w:pStyle w:val="1307"/>
              <w:rPr>
                <w:rFonts w:eastAsia="宋体"/>
              </w:rPr>
            </w:pPr>
            <w:r/>
            <w:bookmarkStart w:id="266" w:name="ReMark"/>
            <w:r/>
            <w:bookmarkEnd w:id="266"/>
            <w:r>
              <w:rPr>
                <w:rFonts w:eastAsia="宋体"/>
              </w:rPr>
            </w:r>
            <w:r/>
          </w:p>
        </w:tc>
        <w:tc>
          <w:tcPr>
            <w:tcMar>
              <w:left w:w="0" w:type="dxa"/>
              <w:top w:w="0" w:type="dxa"/>
              <w:right w:w="0" w:type="dxa"/>
              <w:bottom w:w="0" w:type="dxa"/>
            </w:tcMar>
            <w:tcW w:w="2145" w:type="dxa"/>
            <w:vAlign w:val="center"/>
            <w:textDirection w:val="lrTb"/>
            <w:noWrap w:val="false"/>
          </w:tcPr>
          <w:p>
            <w:pPr>
              <w:pStyle w:val="1307"/>
              <w:rPr>
                <w:rFonts w:eastAsia="宋体"/>
              </w:rPr>
            </w:pPr>
            <w:r/>
            <w:bookmarkStart w:id="267" w:name="ChaKan_0"/>
            <w:r/>
            <w:bookmarkEnd w:id="267"/>
            <w:r>
              <w:rPr>
                <w:rFonts w:eastAsia="宋体"/>
              </w:rPr>
            </w:r>
            <w:r/>
          </w:p>
        </w:tc>
      </w:tr>
    </w:tbl>
    <w:p>
      <w:pPr>
        <w:pStyle w:val="1307"/>
        <w:rPr>
          <w:rFonts w:eastAsia="宋体"/>
          <w:b/>
          <w:bCs/>
          <w:sz w:val="36"/>
          <w:szCs w:val="36"/>
        </w:rPr>
      </w:pPr>
      <w:r>
        <w:rPr>
          <w:rFonts w:eastAsia="宋体"/>
          <w:b/>
          <w:bCs/>
          <w:sz w:val="36"/>
          <w:szCs w:val="36"/>
        </w:rPr>
      </w:r>
      <w:r/>
    </w:p>
    <w:p>
      <w:pPr>
        <w:pStyle w:val="1308"/>
        <w:rPr>
          <w:rFonts w:eastAsia="宋体"/>
        </w:rPr>
        <w:outlineLvl w:val="2"/>
      </w:pPr>
      <w:r>
        <w:rPr>
          <w:rFonts w:eastAsia="宋体"/>
        </w:rPr>
        <w:br w:type="page" w:clear="all"/>
      </w:r>
      <w:r>
        <w:rPr>
          <w:rFonts w:eastAsia="宋体"/>
          <w:b/>
          <w:sz w:val="28"/>
        </w:rPr>
        <w:t xml:space="preserve">  依法缴纳税收和社会保障资金的相关材料</w:t>
      </w:r>
      <w:r>
        <w:rPr>
          <w:rFonts w:eastAsia="宋体"/>
        </w:rPr>
      </w:r>
      <w:r/>
    </w:p>
    <w:p>
      <w:pPr>
        <w:pStyle w:val="1309"/>
        <w:rPr>
          <w:rFonts w:ascii="Times New Roman" w:hAnsi="Times New Roman"/>
        </w:rPr>
      </w:pPr>
      <w:r>
        <w:rPr>
          <w:rFonts w:ascii="Times New Roman" w:hAnsi="Times New Roman"/>
        </w:rPr>
        <w:t xml:space="preserve">依法缴纳税收和社会保障资金的相关材料 </w:t>
      </w:r>
      <w:r>
        <w:rPr>
          <w:rFonts w:ascii="Times New Roman" w:hAnsi="Times New Roman"/>
        </w:rPr>
      </w:r>
      <w:r/>
    </w:p>
    <w:p>
      <w:pPr>
        <w:pStyle w:val="1310"/>
        <w:rPr>
          <w:rFonts w:eastAsia="宋体"/>
        </w:rPr>
        <w:outlineLvl w:val="2"/>
      </w:pPr>
      <w:r>
        <w:rPr>
          <w:rFonts w:eastAsia="宋体"/>
        </w:rPr>
        <w:br w:type="page" w:clear="all"/>
      </w:r>
      <w:r>
        <w:rPr>
          <w:rFonts w:eastAsia="宋体"/>
          <w:b/>
          <w:sz w:val="28"/>
        </w:rPr>
        <w:t xml:space="preserve">  具备履行合同所必需的设备和专业技术能力的书面声明</w:t>
      </w:r>
      <w:r>
        <w:rPr>
          <w:rFonts w:eastAsia="宋体"/>
        </w:rPr>
      </w:r>
      <w:r/>
    </w:p>
    <w:p>
      <w:pPr>
        <w:pStyle w:val="1311"/>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11"/>
        <w:jc w:val="center"/>
        <w:spacing w:before="320" w:after="320"/>
        <w:rPr>
          <w:rFonts w:eastAsia="宋体"/>
          <w:b/>
          <w:bCs/>
          <w:sz w:val="32"/>
          <w:szCs w:val="32"/>
        </w:rPr>
      </w:pPr>
      <w:r>
        <w:rPr>
          <w:rFonts w:eastAsia="宋体"/>
          <w:b/>
          <w:bCs/>
          <w:sz w:val="32"/>
          <w:szCs w:val="32"/>
        </w:rPr>
        <w:t xml:space="preserve">具备履行合同所必需的设备和专业技术能力的书面声明</w:t>
      </w:r>
      <w:r>
        <w:rPr>
          <w:rFonts w:eastAsia="宋体"/>
          <w:b/>
          <w:bCs/>
          <w:sz w:val="32"/>
          <w:szCs w:val="32"/>
        </w:rPr>
      </w:r>
      <w:r/>
    </w:p>
    <w:p>
      <w:pPr>
        <w:pStyle w:val="1311"/>
        <w:spacing w:before="240" w:after="240"/>
        <w:rPr>
          <w:rFonts w:eastAsia="宋体"/>
        </w:rPr>
      </w:pPr>
      <w:r>
        <w:rPr>
          <w:rFonts w:eastAsia="宋体"/>
        </w:rPr>
        <w:t xml:space="preserve"> </w:t>
      </w:r>
      <w:r>
        <w:rPr>
          <w:rFonts w:eastAsia="宋体"/>
        </w:rPr>
      </w:r>
      <w:r/>
    </w:p>
    <w:p>
      <w:pPr>
        <w:pStyle w:val="1311"/>
        <w:jc w:val="center"/>
        <w:spacing w:before="320" w:after="320"/>
        <w:rPr>
          <w:rFonts w:eastAsia="宋体"/>
          <w:b/>
          <w:bCs/>
          <w:sz w:val="32"/>
          <w:szCs w:val="32"/>
        </w:rPr>
      </w:pPr>
      <w:r>
        <w:rPr>
          <w:rFonts w:eastAsia="宋体"/>
          <w:b/>
          <w:bCs/>
          <w:sz w:val="32"/>
          <w:szCs w:val="32"/>
        </w:rPr>
        <w:t xml:space="preserve"> </w:t>
      </w:r>
      <w:r>
        <w:rPr>
          <w:rFonts w:eastAsia="宋体"/>
          <w:b/>
          <w:bCs/>
          <w:sz w:val="32"/>
          <w:szCs w:val="32"/>
        </w:rPr>
      </w:r>
      <w:r/>
    </w:p>
    <w:p>
      <w:pPr>
        <w:pStyle w:val="1311"/>
        <w:spacing w:before="240" w:after="240"/>
        <w:rPr>
          <w:rFonts w:eastAsia="宋体"/>
        </w:rPr>
      </w:pPr>
      <w:r>
        <w:rPr>
          <w:rFonts w:eastAsia="宋体"/>
        </w:rPr>
        <w:t xml:space="preserve"> </w:t>
      </w:r>
      <w:r>
        <w:rPr>
          <w:rFonts w:eastAsia="宋体"/>
        </w:rPr>
      </w:r>
      <w:r/>
    </w:p>
    <w:p>
      <w:pPr>
        <w:pStyle w:val="1311"/>
        <w:spacing w:before="240" w:after="240"/>
        <w:rPr>
          <w:rFonts w:eastAsia="宋体"/>
        </w:rPr>
      </w:pPr>
      <w:r>
        <w:rPr>
          <w:rFonts w:eastAsia="宋体"/>
        </w:rPr>
        <w:t xml:space="preserve">    我单位郑重声明： 我单位具备履行本项采购合同所必需的设备和专业技术能力。 </w:t>
      </w:r>
      <w:r>
        <w:rPr>
          <w:rFonts w:eastAsia="宋体"/>
        </w:rPr>
      </w:r>
      <w:r/>
    </w:p>
    <w:p>
      <w:pPr>
        <w:pStyle w:val="1311"/>
        <w:spacing w:before="360" w:after="360"/>
        <w:rPr>
          <w:rFonts w:eastAsia="宋体"/>
          <w:sz w:val="36"/>
          <w:szCs w:val="36"/>
        </w:rPr>
      </w:pPr>
      <w:r>
        <w:rPr>
          <w:rFonts w:eastAsia="宋体"/>
          <w:sz w:val="36"/>
          <w:szCs w:val="36"/>
        </w:rPr>
        <w:t xml:space="preserve"> </w:t>
      </w:r>
      <w:r>
        <w:rPr>
          <w:rFonts w:eastAsia="宋体"/>
          <w:sz w:val="36"/>
          <w:szCs w:val="36"/>
        </w:rPr>
      </w:r>
      <w:r/>
    </w:p>
    <w:p>
      <w:pPr>
        <w:pStyle w:val="1311"/>
        <w:jc w:val="center"/>
        <w:spacing w:before="360" w:after="360"/>
        <w:rPr>
          <w:rFonts w:eastAsia="宋体"/>
          <w:sz w:val="36"/>
          <w:szCs w:val="36"/>
        </w:rPr>
      </w:pPr>
      <w:r>
        <w:rPr>
          <w:rFonts w:eastAsia="宋体"/>
          <w:sz w:val="36"/>
          <w:szCs w:val="36"/>
        </w:rPr>
        <w:t xml:space="preserve"> </w:t>
      </w:r>
      <w:r>
        <w:rPr>
          <w:rFonts w:eastAsia="宋体"/>
          <w:sz w:val="36"/>
          <w:szCs w:val="36"/>
        </w:rPr>
      </w:r>
      <w:r/>
    </w:p>
    <w:p>
      <w:pPr>
        <w:pStyle w:val="1311"/>
        <w:jc w:val="center"/>
        <w:spacing w:before="360" w:after="360"/>
        <w:rPr>
          <w:rFonts w:eastAsia="宋体"/>
          <w:sz w:val="36"/>
          <w:szCs w:val="36"/>
        </w:rPr>
      </w:pPr>
      <w:r>
        <w:rPr>
          <w:rFonts w:eastAsia="宋体"/>
          <w:sz w:val="36"/>
          <w:szCs w:val="36"/>
        </w:rPr>
        <w:t xml:space="preserve"> </w:t>
      </w:r>
      <w:r>
        <w:rPr>
          <w:rFonts w:eastAsia="宋体"/>
          <w:sz w:val="36"/>
          <w:szCs w:val="36"/>
        </w:rPr>
      </w:r>
      <w:r/>
    </w:p>
    <w:p>
      <w:pPr>
        <w:pStyle w:val="1311"/>
        <w:jc w:val="center"/>
        <w:spacing w:before="360" w:after="360"/>
        <w:rPr>
          <w:rFonts w:eastAsia="宋体"/>
          <w:sz w:val="36"/>
          <w:szCs w:val="36"/>
        </w:rPr>
      </w:pPr>
      <w:r>
        <w:rPr>
          <w:rFonts w:eastAsia="宋体"/>
          <w:sz w:val="36"/>
          <w:szCs w:val="36"/>
        </w:rPr>
        <w:t xml:space="preserve"> </w:t>
      </w:r>
      <w:r>
        <w:rPr>
          <w:rFonts w:eastAsia="宋体"/>
          <w:sz w:val="36"/>
          <w:szCs w:val="36"/>
        </w:rPr>
      </w:r>
      <w:r/>
    </w:p>
    <w:p>
      <w:pPr>
        <w:pStyle w:val="1311"/>
        <w:spacing w:before="210" w:after="210"/>
        <w:rPr>
          <w:rFonts w:eastAsia="宋体"/>
          <w:sz w:val="21"/>
          <w:szCs w:val="21"/>
        </w:rPr>
      </w:pPr>
      <w:r>
        <w:rPr>
          <w:rFonts w:eastAsia="宋体"/>
          <w:sz w:val="21"/>
          <w:szCs w:val="21"/>
        </w:rPr>
        <w:t xml:space="preserve"> 投标单位（加盖公章）：   </w:t>
      </w:r>
      <w:r>
        <w:rPr>
          <w:rFonts w:eastAsia="宋体"/>
          <w:sz w:val="21"/>
          <w:szCs w:val="21"/>
        </w:rPr>
      </w:r>
      <w:r/>
    </w:p>
    <w:p>
      <w:pPr>
        <w:pStyle w:val="1312"/>
        <w:rPr>
          <w:rFonts w:eastAsia="宋体"/>
        </w:rPr>
        <w:outlineLvl w:val="2"/>
      </w:pPr>
      <w:r>
        <w:rPr>
          <w:rFonts w:eastAsia="宋体"/>
        </w:rPr>
        <w:br w:type="page" w:clear="all"/>
      </w:r>
      <w:r>
        <w:rPr>
          <w:rFonts w:eastAsia="宋体"/>
          <w:b/>
          <w:sz w:val="28"/>
        </w:rPr>
        <w:t xml:space="preserve">  参加政府采购活动前3年内在经营活动中没有重大违法记录的书面声明</w:t>
      </w:r>
      <w:r>
        <w:rPr>
          <w:rFonts w:eastAsia="宋体"/>
        </w:rPr>
      </w:r>
      <w:r/>
    </w:p>
    <w:p>
      <w:pPr>
        <w:pStyle w:val="1313"/>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13"/>
        <w:jc w:val="center"/>
        <w:spacing w:before="320" w:after="320"/>
        <w:rPr>
          <w:rFonts w:eastAsia="宋体"/>
          <w:b/>
          <w:bCs/>
          <w:sz w:val="32"/>
          <w:szCs w:val="32"/>
        </w:rPr>
      </w:pPr>
      <w:r>
        <w:rPr>
          <w:rFonts w:eastAsia="宋体"/>
          <w:b/>
          <w:bCs/>
          <w:sz w:val="32"/>
          <w:szCs w:val="32"/>
        </w:rPr>
        <w:t xml:space="preserve">参加政府采购活动前3年内在经营活动中没有重大违法记录的书面声明</w:t>
      </w:r>
      <w:r>
        <w:rPr>
          <w:rFonts w:eastAsia="宋体"/>
          <w:b/>
          <w:bCs/>
          <w:sz w:val="32"/>
          <w:szCs w:val="32"/>
        </w:rPr>
      </w:r>
      <w:r/>
    </w:p>
    <w:p>
      <w:pPr>
        <w:pStyle w:val="1313"/>
        <w:spacing w:before="240" w:after="240"/>
        <w:rPr>
          <w:rFonts w:eastAsia="宋体"/>
        </w:rPr>
      </w:pPr>
      <w:r>
        <w:rPr>
          <w:rFonts w:eastAsia="宋体"/>
        </w:rPr>
        <w:t xml:space="preserve"> </w:t>
      </w:r>
      <w:r>
        <w:rPr>
          <w:rFonts w:eastAsia="宋体"/>
        </w:rPr>
      </w:r>
      <w:r/>
    </w:p>
    <w:p>
      <w:pPr>
        <w:pStyle w:val="1313"/>
        <w:jc w:val="center"/>
        <w:spacing w:before="320" w:after="320"/>
        <w:rPr>
          <w:rFonts w:eastAsia="宋体"/>
          <w:b/>
          <w:bCs/>
          <w:sz w:val="32"/>
          <w:szCs w:val="32"/>
        </w:rPr>
      </w:pPr>
      <w:r>
        <w:rPr>
          <w:rFonts w:eastAsia="宋体"/>
          <w:b/>
          <w:bCs/>
          <w:sz w:val="32"/>
          <w:szCs w:val="32"/>
        </w:rPr>
        <w:t xml:space="preserve"> </w:t>
      </w:r>
      <w:r>
        <w:rPr>
          <w:rFonts w:eastAsia="宋体"/>
          <w:b/>
          <w:bCs/>
          <w:sz w:val="32"/>
          <w:szCs w:val="32"/>
        </w:rPr>
      </w:r>
      <w:r/>
    </w:p>
    <w:p>
      <w:pPr>
        <w:pStyle w:val="1313"/>
        <w:jc w:val="center"/>
        <w:spacing w:before="320" w:after="320"/>
        <w:rPr>
          <w:rFonts w:eastAsia="宋体"/>
          <w:sz w:val="32"/>
          <w:szCs w:val="32"/>
        </w:rPr>
      </w:pPr>
      <w:r>
        <w:rPr>
          <w:rFonts w:eastAsia="宋体"/>
          <w:sz w:val="32"/>
          <w:szCs w:val="32"/>
        </w:rPr>
        <w:t xml:space="preserve">声明</w:t>
      </w:r>
      <w:r>
        <w:rPr>
          <w:rFonts w:eastAsia="宋体"/>
          <w:sz w:val="32"/>
          <w:szCs w:val="32"/>
        </w:rPr>
      </w:r>
      <w:r/>
    </w:p>
    <w:p>
      <w:pPr>
        <w:pStyle w:val="1313"/>
        <w:spacing w:before="240" w:after="240"/>
        <w:rPr>
          <w:rFonts w:eastAsia="宋体"/>
        </w:rPr>
      </w:pPr>
      <w:r>
        <w:rPr>
          <w:rFonts w:eastAsia="宋体"/>
        </w:rPr>
        <w:t xml:space="preserve"> </w:t>
      </w:r>
      <w:r>
        <w:rPr>
          <w:rFonts w:eastAsia="宋体"/>
        </w:rPr>
      </w:r>
      <w:r/>
    </w:p>
    <w:p>
      <w:pPr>
        <w:pStyle w:val="1313"/>
        <w:spacing w:before="240" w:after="240"/>
        <w:rPr>
          <w:rFonts w:eastAsia="宋体"/>
        </w:rPr>
      </w:pPr>
      <w:r>
        <w:rPr>
          <w:rFonts w:eastAsia="宋体"/>
        </w:rPr>
        <w:t xml:space="preserve">    我单位郑重声明：参加本次政府采购活动前3年内，我单位在经营活动中没有因违法经营受到刑事处罚或者责令停产停业、吊销许可证或者执照、较大数额罚款等行政处罚。 </w:t>
      </w:r>
      <w:r>
        <w:rPr>
          <w:rFonts w:eastAsia="宋体"/>
        </w:rPr>
      </w:r>
      <w:r/>
    </w:p>
    <w:p>
      <w:pPr>
        <w:pStyle w:val="1313"/>
        <w:spacing w:before="240" w:after="240"/>
        <w:rPr>
          <w:rFonts w:eastAsia="宋体"/>
        </w:rPr>
      </w:pPr>
      <w:r>
        <w:rPr>
          <w:rFonts w:eastAsia="宋体"/>
        </w:rPr>
        <w:t xml:space="preserve"> </w:t>
      </w:r>
      <w:r>
        <w:rPr>
          <w:rFonts w:eastAsia="宋体"/>
        </w:rPr>
      </w:r>
      <w:r/>
    </w:p>
    <w:p>
      <w:pPr>
        <w:pStyle w:val="1313"/>
        <w:jc w:val="center"/>
        <w:spacing w:before="240" w:after="240"/>
        <w:rPr>
          <w:rFonts w:eastAsia="宋体"/>
        </w:rPr>
      </w:pPr>
      <w:r>
        <w:rPr>
          <w:rFonts w:eastAsia="宋体"/>
        </w:rPr>
        <w:t xml:space="preserve"> </w:t>
      </w:r>
      <w:r>
        <w:rPr>
          <w:rFonts w:eastAsia="宋体"/>
        </w:rPr>
      </w:r>
      <w:r/>
    </w:p>
    <w:p>
      <w:pPr>
        <w:pStyle w:val="1313"/>
        <w:jc w:val="center"/>
        <w:spacing w:before="240" w:after="240"/>
        <w:rPr>
          <w:rFonts w:eastAsia="宋体"/>
        </w:rPr>
      </w:pPr>
      <w:r>
        <w:rPr>
          <w:rFonts w:eastAsia="宋体"/>
        </w:rPr>
        <w:t xml:space="preserve"> </w:t>
      </w:r>
      <w:r>
        <w:rPr>
          <w:rFonts w:eastAsia="宋体"/>
        </w:rPr>
      </w:r>
      <w:r/>
    </w:p>
    <w:p>
      <w:pPr>
        <w:pStyle w:val="1313"/>
        <w:jc w:val="center"/>
        <w:spacing w:before="240" w:after="240"/>
        <w:rPr>
          <w:rFonts w:eastAsia="宋体"/>
        </w:rPr>
      </w:pPr>
      <w:r>
        <w:rPr>
          <w:rFonts w:eastAsia="宋体"/>
        </w:rPr>
        <w:t xml:space="preserve"> </w:t>
      </w:r>
      <w:r>
        <w:rPr>
          <w:rFonts w:eastAsia="宋体"/>
        </w:rPr>
      </w:r>
      <w:r/>
    </w:p>
    <w:p>
      <w:pPr>
        <w:pStyle w:val="1313"/>
        <w:spacing w:before="240" w:after="240"/>
        <w:rPr>
          <w:rFonts w:eastAsia="宋体"/>
        </w:rPr>
      </w:pPr>
      <w:r>
        <w:rPr>
          <w:rFonts w:eastAsia="宋体"/>
        </w:rPr>
        <w:t xml:space="preserve"> 投标单位（加盖公章）：   </w:t>
      </w:r>
      <w:r>
        <w:rPr>
          <w:rFonts w:eastAsia="宋体"/>
        </w:rPr>
      </w:r>
      <w:r/>
    </w:p>
    <w:p>
      <w:pPr>
        <w:pStyle w:val="1314"/>
        <w:rPr>
          <w:rFonts w:eastAsia="宋体"/>
        </w:rPr>
        <w:outlineLvl w:val="2"/>
      </w:pPr>
      <w:r>
        <w:rPr>
          <w:rFonts w:eastAsia="宋体"/>
        </w:rPr>
        <w:br w:type="page" w:clear="all"/>
      </w:r>
      <w:r>
        <w:rPr>
          <w:rFonts w:eastAsia="宋体"/>
          <w:b/>
          <w:sz w:val="28"/>
        </w:rPr>
        <w:t xml:space="preserve">  授权委托书</w:t>
      </w:r>
      <w:r>
        <w:rPr>
          <w:rFonts w:eastAsia="宋体"/>
        </w:rPr>
      </w:r>
      <w:r/>
    </w:p>
    <w:p>
      <w:pPr>
        <w:pStyle w:val="1315"/>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15"/>
        <w:jc w:val="center"/>
        <w:spacing w:before="320" w:after="320"/>
        <w:rPr>
          <w:rFonts w:eastAsia="宋体"/>
          <w:b/>
          <w:bCs/>
          <w:sz w:val="32"/>
          <w:szCs w:val="32"/>
        </w:rPr>
      </w:pPr>
      <w:r>
        <w:rPr>
          <w:rFonts w:eastAsia="宋体"/>
          <w:b/>
          <w:bCs/>
          <w:sz w:val="32"/>
          <w:szCs w:val="32"/>
        </w:rPr>
        <w:t xml:space="preserve">授权委托书</w:t>
      </w:r>
      <w:r>
        <w:rPr>
          <w:rFonts w:eastAsia="宋体"/>
          <w:b/>
          <w:bCs/>
          <w:sz w:val="32"/>
          <w:szCs w:val="32"/>
        </w:rPr>
      </w:r>
      <w:r/>
    </w:p>
    <w:p>
      <w:pPr>
        <w:pStyle w:val="1315"/>
        <w:spacing w:before="240" w:after="240"/>
        <w:rPr>
          <w:rFonts w:eastAsia="宋体"/>
        </w:rPr>
      </w:pPr>
      <w:r>
        <w:rPr>
          <w:rFonts w:eastAsia="宋体"/>
        </w:rPr>
        <w:t xml:space="preserve"> </w:t>
      </w:r>
      <w:r>
        <w:rPr>
          <w:rFonts w:eastAsia="宋体"/>
        </w:rPr>
      </w:r>
      <w:r/>
    </w:p>
    <w:p>
      <w:pPr>
        <w:pStyle w:val="1315"/>
        <w:ind w:firstLine="500"/>
        <w:spacing w:before="240" w:after="240"/>
        <w:rPr>
          <w:rFonts w:eastAsia="宋体"/>
        </w:rPr>
      </w:pPr>
      <w:r>
        <w:rPr>
          <w:rFonts w:eastAsia="宋体"/>
        </w:rPr>
        <w:t xml:space="preserve">本授权书声明：</w:t>
      </w:r>
      <w:r>
        <w:rPr>
          <w:rFonts w:eastAsia="宋体"/>
          <w:u w:val="single"/>
        </w:rPr>
        <w:t xml:space="preserve">（投标人名称）</w:t>
      </w:r>
      <w:r>
        <w:rPr>
          <w:rFonts w:eastAsia="宋体"/>
        </w:rPr>
        <w:t xml:space="preserve">授权</w:t>
      </w:r>
      <w:bookmarkStart w:id="268" w:name="sys_STR"/>
      <w:r/>
      <w:bookmarkEnd w:id="268"/>
      <w:r>
        <w:rPr>
          <w:rFonts w:eastAsia="宋体"/>
        </w:rPr>
        <w:t xml:space="preserve">(被授权人的姓名)为我方就   项目采购活动的合法代理人，以本单位名义全权处理一切与该项目采购有关的事务。 </w:t>
      </w:r>
      <w:r>
        <w:rPr>
          <w:rFonts w:eastAsia="宋体"/>
        </w:rPr>
      </w:r>
      <w:r/>
    </w:p>
    <w:p>
      <w:pPr>
        <w:pStyle w:val="1315"/>
        <w:ind w:firstLine="500"/>
        <w:spacing w:before="240" w:after="240"/>
        <w:rPr>
          <w:rFonts w:eastAsia="宋体"/>
        </w:rPr>
      </w:pPr>
      <w:r>
        <w:rPr>
          <w:rFonts w:eastAsia="宋体"/>
        </w:rPr>
        <w:t xml:space="preserve">本授权书于</w:t>
      </w:r>
      <w:r>
        <w:rPr>
          <w:rFonts w:hint="eastAsia" w:eastAsia="宋体"/>
          <w:u w:val="single"/>
          <w:lang w:eastAsia="zh-CN"/>
        </w:rPr>
        <w:t xml:space="preserve">          </w:t>
      </w:r>
      <w:r>
        <w:rPr>
          <w:rFonts w:eastAsia="宋体"/>
        </w:rPr>
        <w:t xml:space="preserve">起生效，特此声明。  </w:t>
      </w:r>
      <w:r>
        <w:rPr>
          <w:rFonts w:eastAsia="宋体"/>
        </w:rPr>
      </w:r>
      <w:r/>
    </w:p>
    <w:p>
      <w:pPr>
        <w:pStyle w:val="1315"/>
        <w:spacing w:before="240" w:after="240"/>
        <w:rPr>
          <w:rFonts w:eastAsia="宋体"/>
        </w:rPr>
      </w:pPr>
      <w:r>
        <w:rPr>
          <w:rFonts w:eastAsia="宋体"/>
        </w:rPr>
        <w:t xml:space="preserve"> </w:t>
      </w:r>
      <w:r>
        <w:rPr>
          <w:rFonts w:eastAsia="宋体"/>
        </w:rPr>
      </w:r>
      <w:r/>
    </w:p>
    <w:p>
      <w:pPr>
        <w:pStyle w:val="1315"/>
        <w:ind w:firstLine="3570"/>
        <w:spacing w:before="240" w:after="240"/>
        <w:rPr>
          <w:rFonts w:eastAsia="宋体"/>
        </w:rPr>
      </w:pPr>
      <w:r>
        <w:rPr>
          <w:rFonts w:eastAsia="宋体"/>
        </w:rPr>
        <w:t xml:space="preserve">被授权人身份证号码：   </w:t>
      </w:r>
      <w:r>
        <w:rPr>
          <w:rFonts w:eastAsia="宋体"/>
        </w:rPr>
      </w:r>
      <w:r/>
    </w:p>
    <w:p>
      <w:pPr>
        <w:pStyle w:val="1315"/>
        <w:ind w:firstLine="3570"/>
        <w:spacing w:before="240" w:after="240"/>
        <w:rPr>
          <w:rFonts w:eastAsia="宋体"/>
        </w:rPr>
      </w:pPr>
      <w:r>
        <w:rPr>
          <w:rFonts w:eastAsia="宋体"/>
        </w:rPr>
        <w:t xml:space="preserve">被授权人联系电话：（手机）   </w:t>
      </w:r>
      <w:r>
        <w:rPr>
          <w:rFonts w:eastAsia="宋体"/>
        </w:rPr>
      </w:r>
      <w:r/>
    </w:p>
    <w:p>
      <w:pPr>
        <w:pStyle w:val="1315"/>
        <w:ind w:firstLine="3570"/>
        <w:spacing w:before="240" w:after="240"/>
        <w:rPr>
          <w:rFonts w:eastAsia="宋体"/>
        </w:rPr>
      </w:pPr>
      <w:r>
        <w:rPr>
          <w:rFonts w:eastAsia="宋体"/>
        </w:rPr>
        <w:t xml:space="preserve">授权单位名称：   （加盖公章）</w:t>
      </w:r>
      <w:r>
        <w:rPr>
          <w:rFonts w:eastAsia="宋体"/>
        </w:rPr>
      </w:r>
      <w:r/>
    </w:p>
    <w:p>
      <w:pPr>
        <w:pStyle w:val="1315"/>
        <w:ind w:firstLine="3570"/>
        <w:spacing w:before="240" w:after="240"/>
        <w:rPr>
          <w:rFonts w:eastAsia="宋体"/>
        </w:rPr>
      </w:pPr>
      <w:r>
        <w:rPr>
          <w:rFonts w:eastAsia="宋体"/>
        </w:rPr>
        <w:t xml:space="preserve">单位地址：   </w:t>
      </w:r>
      <w:r>
        <w:rPr>
          <w:rFonts w:eastAsia="宋体"/>
        </w:rPr>
      </w:r>
      <w:r/>
    </w:p>
    <w:p>
      <w:pPr>
        <w:pStyle w:val="1315"/>
        <w:ind w:firstLine="4830"/>
        <w:spacing w:before="240" w:after="240"/>
        <w:rPr>
          <w:rFonts w:eastAsia="宋体"/>
        </w:rPr>
      </w:pPr>
      <w:r>
        <w:rPr>
          <w:rFonts w:eastAsia="宋体"/>
        </w:rPr>
        <w:t xml:space="preserve">日期：   </w:t>
      </w:r>
      <w:r>
        <w:rPr>
          <w:rFonts w:eastAsia="宋体"/>
        </w:rPr>
      </w:r>
      <w:r/>
    </w:p>
    <w:p>
      <w:pPr>
        <w:pStyle w:val="1315"/>
        <w:ind w:firstLine="4830"/>
        <w:spacing w:before="240" w:after="240"/>
        <w:rPr>
          <w:rFonts w:eastAsia="宋体"/>
          <w:lang w:eastAsia="zh-CN"/>
        </w:rPr>
      </w:pPr>
      <w:r>
        <w:rPr>
          <w:rFonts w:eastAsia="宋体"/>
          <w:lang w:eastAsia="zh-CN"/>
        </w:rPr>
      </w:r>
      <w:r/>
    </w:p>
    <w:p>
      <w:pPr>
        <w:pStyle w:val="1315"/>
        <w:ind w:firstLine="4830"/>
        <w:spacing w:before="240" w:after="240"/>
        <w:rPr>
          <w:rFonts w:eastAsia="宋体"/>
          <w:lang w:eastAsia="zh-CN"/>
        </w:rPr>
      </w:pPr>
      <w:r>
        <w:rPr>
          <w:rFonts w:eastAsia="宋体"/>
          <w:lang w:eastAsia="zh-CN"/>
        </w:rPr>
      </w:r>
      <w:r/>
    </w:p>
    <w:p>
      <w:pPr>
        <w:pStyle w:val="1315"/>
        <w:spacing w:before="240" w:after="240"/>
        <w:rPr>
          <w:rFonts w:eastAsia="宋体"/>
          <w:b/>
          <w:bCs/>
          <w:lang w:eastAsia="zh-CN"/>
        </w:rPr>
      </w:pPr>
      <w:r>
        <w:rPr>
          <w:rFonts w:eastAsia="宋体"/>
          <w:b/>
          <w:bCs/>
          <w:lang w:eastAsia="zh-CN"/>
        </w:rPr>
        <w:t xml:space="preserve">附：被授权人身份证复印件（正反面）</w:t>
      </w:r>
      <w:r>
        <w:rPr>
          <w:rFonts w:eastAsia="宋体"/>
          <w:b/>
          <w:bCs/>
          <w:lang w:eastAsia="zh-CN"/>
        </w:rPr>
      </w:r>
      <w:r/>
    </w:p>
    <w:p>
      <w:pPr>
        <w:pStyle w:val="1316"/>
        <w:rPr>
          <w:rFonts w:eastAsia="宋体"/>
        </w:rPr>
        <w:outlineLvl w:val="2"/>
      </w:pPr>
      <w:r>
        <w:rPr>
          <w:rFonts w:eastAsia="宋体"/>
        </w:rPr>
        <w:br w:type="page" w:clear="all"/>
      </w:r>
      <w:r>
        <w:rPr>
          <w:rFonts w:eastAsia="宋体"/>
          <w:b/>
          <w:sz w:val="28"/>
        </w:rPr>
        <w:t xml:space="preserve">  关于资格证明文件的书面承诺</w:t>
      </w:r>
      <w:r>
        <w:rPr>
          <w:rFonts w:eastAsia="宋体"/>
        </w:rPr>
      </w:r>
      <w:r/>
    </w:p>
    <w:p>
      <w:pPr>
        <w:pStyle w:val="1317"/>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17"/>
        <w:spacing w:before="240" w:after="240"/>
        <w:rPr>
          <w:rFonts w:eastAsia="宋体"/>
        </w:rPr>
      </w:pPr>
      <w:r>
        <w:rPr>
          <w:rFonts w:eastAsia="宋体"/>
        </w:rPr>
        <w:t xml:space="preserve">  </w:t>
      </w:r>
      <w:r>
        <w:rPr>
          <w:rFonts w:eastAsia="宋体"/>
        </w:rPr>
      </w:r>
      <w:r/>
    </w:p>
    <w:p>
      <w:pPr>
        <w:pStyle w:val="1317"/>
        <w:jc w:val="center"/>
        <w:spacing w:before="320" w:after="320"/>
        <w:rPr>
          <w:rFonts w:eastAsia="宋体"/>
          <w:b/>
          <w:bCs/>
          <w:sz w:val="32"/>
          <w:szCs w:val="32"/>
        </w:rPr>
      </w:pPr>
      <w:r>
        <w:rPr>
          <w:rFonts w:eastAsia="宋体"/>
          <w:b/>
          <w:bCs/>
          <w:sz w:val="32"/>
          <w:szCs w:val="32"/>
        </w:rPr>
        <w:t xml:space="preserve"> </w:t>
      </w:r>
      <w:r>
        <w:rPr>
          <w:rFonts w:eastAsia="宋体"/>
          <w:b/>
          <w:bCs/>
          <w:sz w:val="32"/>
          <w:szCs w:val="32"/>
        </w:rPr>
      </w:r>
      <w:r/>
    </w:p>
    <w:p>
      <w:pPr>
        <w:pStyle w:val="1317"/>
        <w:spacing w:before="240" w:after="240"/>
        <w:rPr>
          <w:rFonts w:eastAsia="宋体"/>
        </w:rPr>
      </w:pPr>
      <w:r>
        <w:rPr>
          <w:rFonts w:eastAsia="宋体"/>
        </w:rPr>
        <w:t xml:space="preserve"> </w:t>
      </w:r>
      <w:r>
        <w:rPr>
          <w:rFonts w:eastAsia="宋体"/>
        </w:rPr>
      </w:r>
      <w:r/>
    </w:p>
    <w:p>
      <w:pPr>
        <w:pStyle w:val="1317"/>
        <w:jc w:val="center"/>
        <w:spacing w:before="320" w:after="320"/>
        <w:rPr>
          <w:rFonts w:eastAsia="宋体"/>
          <w:sz w:val="32"/>
          <w:szCs w:val="32"/>
        </w:rPr>
      </w:pPr>
      <w:r>
        <w:rPr>
          <w:rFonts w:eastAsia="宋体"/>
          <w:sz w:val="32"/>
          <w:szCs w:val="32"/>
        </w:rPr>
        <w:t xml:space="preserve">关于资格证明文件的书面承诺</w:t>
      </w:r>
      <w:r>
        <w:rPr>
          <w:rFonts w:eastAsia="宋体"/>
          <w:sz w:val="32"/>
          <w:szCs w:val="32"/>
        </w:rPr>
      </w:r>
      <w:r/>
    </w:p>
    <w:p>
      <w:pPr>
        <w:pStyle w:val="1317"/>
        <w:spacing w:before="240" w:after="240"/>
        <w:rPr>
          <w:rFonts w:eastAsia="宋体"/>
        </w:rPr>
      </w:pPr>
      <w:r>
        <w:rPr>
          <w:rFonts w:eastAsia="宋体"/>
        </w:rPr>
        <w:t xml:space="preserve"> </w:t>
      </w:r>
      <w:r>
        <w:rPr>
          <w:rFonts w:eastAsia="宋体"/>
        </w:rPr>
      </w:r>
      <w:r/>
    </w:p>
    <w:p>
      <w:pPr>
        <w:pStyle w:val="1317"/>
        <w:jc w:val="center"/>
        <w:spacing w:before="320" w:after="320"/>
        <w:rPr>
          <w:rFonts w:eastAsia="宋体"/>
          <w:b/>
          <w:bCs/>
          <w:sz w:val="32"/>
          <w:szCs w:val="32"/>
        </w:rPr>
      </w:pPr>
      <w:r>
        <w:rPr>
          <w:rFonts w:eastAsia="宋体"/>
          <w:b/>
          <w:bCs/>
          <w:sz w:val="32"/>
          <w:szCs w:val="32"/>
        </w:rPr>
        <w:t xml:space="preserve"> </w:t>
      </w:r>
      <w:r>
        <w:rPr>
          <w:rFonts w:eastAsia="宋体"/>
          <w:b/>
          <w:bCs/>
          <w:sz w:val="32"/>
          <w:szCs w:val="32"/>
        </w:rPr>
      </w:r>
      <w:r/>
    </w:p>
    <w:p>
      <w:pPr>
        <w:pStyle w:val="1317"/>
        <w:spacing w:before="240" w:after="240"/>
        <w:rPr>
          <w:rFonts w:eastAsia="宋体"/>
        </w:rPr>
      </w:pPr>
      <w:r>
        <w:rPr>
          <w:rFonts w:eastAsia="宋体"/>
        </w:rPr>
        <w:t xml:space="preserve"> </w:t>
      </w:r>
      <w:r>
        <w:rPr>
          <w:rFonts w:eastAsia="宋体"/>
        </w:rPr>
      </w:r>
      <w:r/>
    </w:p>
    <w:p>
      <w:pPr>
        <w:pStyle w:val="1317"/>
        <w:spacing w:before="240" w:after="240"/>
        <w:rPr>
          <w:rFonts w:eastAsia="宋体"/>
        </w:rPr>
      </w:pPr>
      <w:r>
        <w:rPr>
          <w:rFonts w:eastAsia="宋体"/>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eastAsia="宋体"/>
        </w:rPr>
      </w:r>
      <w:r/>
    </w:p>
    <w:p>
      <w:pPr>
        <w:pStyle w:val="1317"/>
        <w:spacing w:before="240" w:after="240"/>
        <w:rPr>
          <w:rFonts w:eastAsia="宋体"/>
        </w:rPr>
      </w:pPr>
      <w:r>
        <w:rPr>
          <w:rFonts w:eastAsia="宋体"/>
        </w:rPr>
        <w:t xml:space="preserve"> </w:t>
      </w:r>
      <w:r>
        <w:rPr>
          <w:rFonts w:eastAsia="宋体"/>
        </w:rPr>
      </w:r>
      <w:r/>
    </w:p>
    <w:p>
      <w:pPr>
        <w:pStyle w:val="1317"/>
        <w:jc w:val="center"/>
        <w:spacing w:before="240" w:after="240"/>
        <w:rPr>
          <w:rFonts w:eastAsia="宋体"/>
        </w:rPr>
      </w:pPr>
      <w:r>
        <w:rPr>
          <w:rFonts w:eastAsia="宋体"/>
        </w:rPr>
        <w:t xml:space="preserve"> </w:t>
      </w:r>
      <w:r>
        <w:rPr>
          <w:rFonts w:eastAsia="宋体"/>
        </w:rPr>
      </w:r>
      <w:r/>
    </w:p>
    <w:p>
      <w:pPr>
        <w:pStyle w:val="1317"/>
        <w:jc w:val="center"/>
        <w:spacing w:before="240" w:after="240"/>
        <w:rPr>
          <w:rFonts w:eastAsia="宋体"/>
        </w:rPr>
      </w:pPr>
      <w:r>
        <w:rPr>
          <w:rFonts w:eastAsia="宋体"/>
        </w:rPr>
        <w:t xml:space="preserve"> </w:t>
      </w:r>
      <w:r>
        <w:rPr>
          <w:rFonts w:eastAsia="宋体"/>
        </w:rPr>
      </w:r>
      <w:r/>
    </w:p>
    <w:p>
      <w:pPr>
        <w:pStyle w:val="1317"/>
        <w:jc w:val="center"/>
        <w:spacing w:before="240" w:after="240"/>
        <w:rPr>
          <w:rFonts w:eastAsia="宋体"/>
        </w:rPr>
      </w:pPr>
      <w:r>
        <w:rPr>
          <w:rFonts w:eastAsia="宋体"/>
        </w:rPr>
        <w:t xml:space="preserve"> </w:t>
      </w:r>
      <w:r>
        <w:rPr>
          <w:rFonts w:eastAsia="宋体"/>
        </w:rPr>
      </w:r>
      <w:r/>
    </w:p>
    <w:p>
      <w:pPr>
        <w:pStyle w:val="1317"/>
        <w:spacing w:before="240" w:after="240"/>
        <w:rPr>
          <w:rFonts w:eastAsia="宋体"/>
        </w:rPr>
      </w:pPr>
      <w:r>
        <w:rPr>
          <w:rFonts w:eastAsia="宋体"/>
        </w:rPr>
        <w:t xml:space="preserve"> 投标单位（加盖公章）：   </w:t>
      </w:r>
      <w:r>
        <w:rPr>
          <w:rFonts w:eastAsia="宋体"/>
        </w:rPr>
      </w:r>
      <w:r/>
    </w:p>
    <w:p>
      <w:pPr>
        <w:pStyle w:val="1318"/>
        <w:ind w:firstLine="480"/>
        <w:rPr>
          <w:rFonts w:eastAsia="宋体"/>
        </w:rPr>
        <w:outlineLvl w:val="2"/>
      </w:pPr>
      <w:r>
        <w:rPr>
          <w:rFonts w:eastAsia="宋体"/>
        </w:rPr>
        <w:br w:type="page" w:clear="all"/>
      </w:r>
      <w:r>
        <w:rPr>
          <w:rFonts w:eastAsia="宋体"/>
          <w:b/>
          <w:sz w:val="28"/>
        </w:rPr>
        <w:t xml:space="preserve">中小企业声明函</w:t>
      </w:r>
      <w:r>
        <w:rPr>
          <w:rFonts w:eastAsia="宋体"/>
        </w:rPr>
      </w:r>
      <w:r/>
    </w:p>
    <w:p>
      <w:pPr>
        <w:pStyle w:val="1319"/>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19"/>
        <w:spacing w:before="240" w:after="240"/>
        <w:rPr>
          <w:rFonts w:eastAsia="宋体"/>
        </w:rPr>
      </w:pPr>
      <w:r>
        <w:rPr>
          <w:rFonts w:eastAsia="宋体"/>
        </w:rPr>
        <w:t xml:space="preserve">  </w:t>
      </w:r>
      <w:r>
        <w:rPr>
          <w:rFonts w:eastAsia="宋体"/>
        </w:rPr>
      </w:r>
      <w:r/>
    </w:p>
    <w:p>
      <w:pPr>
        <w:pStyle w:val="1319"/>
        <w:jc w:val="center"/>
        <w:spacing w:before="320" w:after="320"/>
        <w:rPr>
          <w:rFonts w:eastAsia="宋体"/>
          <w:sz w:val="32"/>
          <w:szCs w:val="32"/>
        </w:rPr>
      </w:pPr>
      <w:r>
        <w:rPr>
          <w:rFonts w:eastAsia="宋体"/>
          <w:sz w:val="32"/>
          <w:szCs w:val="32"/>
        </w:rPr>
        <w:t xml:space="preserve">中小企业声明函（服务）</w:t>
      </w:r>
      <w:r>
        <w:rPr>
          <w:rFonts w:eastAsia="宋体"/>
          <w:sz w:val="32"/>
          <w:szCs w:val="32"/>
        </w:rPr>
      </w:r>
      <w:r/>
    </w:p>
    <w:p>
      <w:pPr>
        <w:pStyle w:val="1319"/>
        <w:spacing w:before="240" w:after="240"/>
        <w:rPr>
          <w:rFonts w:eastAsia="宋体"/>
        </w:rPr>
      </w:pPr>
      <w:r>
        <w:rPr>
          <w:rFonts w:eastAsia="宋体"/>
        </w:rPr>
        <w:t xml:space="preserve"> </w:t>
      </w:r>
      <w:r>
        <w:rPr>
          <w:rFonts w:eastAsia="宋体"/>
        </w:rPr>
      </w:r>
      <w:r/>
    </w:p>
    <w:p>
      <w:pPr>
        <w:pStyle w:val="1319"/>
        <w:jc w:val="center"/>
        <w:spacing w:before="320" w:after="320"/>
        <w:rPr>
          <w:rFonts w:eastAsia="宋体"/>
          <w:sz w:val="32"/>
          <w:szCs w:val="32"/>
        </w:rPr>
      </w:pPr>
      <w:r>
        <w:rPr>
          <w:rFonts w:eastAsia="宋体"/>
          <w:sz w:val="32"/>
          <w:szCs w:val="32"/>
        </w:rPr>
        <w:t xml:space="preserve"> </w:t>
      </w:r>
      <w:r>
        <w:rPr>
          <w:rFonts w:eastAsia="宋体"/>
          <w:sz w:val="32"/>
          <w:szCs w:val="32"/>
        </w:rPr>
      </w:r>
      <w:r/>
    </w:p>
    <w:p>
      <w:pPr>
        <w:pStyle w:val="1319"/>
        <w:ind w:firstLine="480"/>
        <w:spacing w:line="440" w:lineRule="exact"/>
        <w:rPr>
          <w:rFonts w:eastAsia="宋体"/>
          <w:lang w:eastAsia="zh-CN"/>
        </w:rPr>
      </w:pPr>
      <w:r>
        <w:rPr>
          <w:rFonts w:eastAsia="宋体"/>
        </w:rPr>
        <w:t xml:space="preserve">本公司郑重声明，根据《政府采购促进中小企业发展管理办法》 (财库〔2020〕46号)的规定，本公司参加   （单位名称）的   （项目名称）采购活动，服务全部由符合政策要求的中小企业承接。相关企业的具体情况如下：</w:t>
      </w:r>
      <w:r>
        <w:rPr>
          <w:rFonts w:eastAsia="宋体"/>
          <w:lang w:eastAsia="zh-CN"/>
        </w:rPr>
      </w:r>
      <w:r/>
    </w:p>
    <w:p>
      <w:pPr>
        <w:pStyle w:val="1319"/>
        <w:ind w:firstLine="480"/>
        <w:spacing w:line="440" w:lineRule="exact"/>
        <w:rPr>
          <w:rFonts w:eastAsia="宋体"/>
          <w:u w:val="single"/>
          <w:lang w:eastAsia="zh-CN"/>
        </w:rPr>
      </w:pPr>
      <w:r>
        <w:rPr>
          <w:rFonts w:eastAsia="宋体"/>
          <w:lang w:eastAsia="zh-CN"/>
        </w:rPr>
        <w:t xml:space="preserve">1.</w:t>
      </w:r>
      <w:r>
        <w:rPr>
          <w:u w:val="single"/>
        </w:rPr>
        <w:t xml:space="preserve"> </w:t>
      </w:r>
      <w:r>
        <w:rPr>
          <w:rFonts w:eastAsia="宋体"/>
          <w:u w:val="single"/>
        </w:rPr>
        <w:t xml:space="preserve">（标的名称）</w:t>
      </w:r>
      <w:r>
        <w:rPr>
          <w:rFonts w:eastAsia="宋体"/>
          <w:i/>
          <w:iCs/>
        </w:rPr>
        <w:t xml:space="preserve">，</w:t>
      </w:r>
      <w:r>
        <w:rPr>
          <w:rFonts w:eastAsia="宋体"/>
        </w:rPr>
        <w:t xml:space="preserve">属于</w:t>
      </w:r>
      <w:r>
        <w:rPr>
          <w:u w:val="single"/>
        </w:rPr>
        <w:t xml:space="preserve">       </w:t>
      </w:r>
      <w:r>
        <w:rPr>
          <w:rFonts w:eastAsia="宋体"/>
        </w:rPr>
        <w:t xml:space="preserve">行业；承接企业为</w:t>
      </w:r>
      <w:r>
        <w:rPr>
          <w:rFonts w:eastAsia="宋体"/>
          <w:u w:val="single"/>
        </w:rPr>
        <w:t xml:space="preserve">（企业名称）</w:t>
      </w:r>
      <w:r>
        <w:rPr>
          <w:rFonts w:eastAsia="宋体"/>
        </w:rPr>
        <w:t xml:space="preserve">，从业人员</w:t>
      </w:r>
      <w:r>
        <w:rPr>
          <w:u w:val="single"/>
        </w:rPr>
        <w:t xml:space="preserve">      </w:t>
      </w:r>
      <w:r>
        <w:rPr>
          <w:rFonts w:eastAsia="宋体"/>
        </w:rPr>
        <w:t xml:space="preserve">人，营业收入为</w:t>
      </w:r>
      <w:r>
        <w:rPr>
          <w:u w:val="single"/>
        </w:rPr>
        <w:t xml:space="preserve">     </w:t>
      </w:r>
      <w:r>
        <w:rPr>
          <w:rFonts w:eastAsia="宋体"/>
        </w:rPr>
        <w:t xml:space="preserve">万元，资产总额为</w:t>
      </w:r>
      <w:r>
        <w:rPr>
          <w:u w:val="single"/>
        </w:rPr>
        <w:t xml:space="preserve">      </w:t>
      </w:r>
      <w:r>
        <w:rPr>
          <w:rFonts w:eastAsia="宋体"/>
        </w:rPr>
        <w:t xml:space="preserve">万元，属于</w:t>
      </w:r>
      <w:r>
        <w:rPr>
          <w:rFonts w:eastAsia="宋体"/>
          <w:u w:val="single"/>
        </w:rPr>
        <w:t xml:space="preserve">（中型企业、小型企业、微型企业）；</w:t>
      </w:r>
      <w:r>
        <w:rPr>
          <w:rFonts w:eastAsia="宋体"/>
          <w:u w:val="single"/>
          <w:lang w:eastAsia="zh-CN"/>
        </w:rPr>
      </w:r>
      <w:r/>
    </w:p>
    <w:p>
      <w:pPr>
        <w:pStyle w:val="1319"/>
        <w:ind w:firstLine="480"/>
        <w:spacing w:line="440" w:lineRule="exact"/>
        <w:rPr>
          <w:rFonts w:eastAsia="宋体"/>
        </w:rPr>
      </w:pPr>
      <w:r>
        <w:rPr>
          <w:rFonts w:eastAsia="宋体"/>
        </w:rPr>
        <w:t xml:space="preserve">以上企业，不属于大企业的分支机构，不存在控股股东为大企业的情形，也不存在与大企业的负责人为同一人的情形。 </w:t>
      </w:r>
      <w:r>
        <w:rPr>
          <w:rFonts w:eastAsia="宋体"/>
        </w:rPr>
      </w:r>
      <w:r/>
    </w:p>
    <w:p>
      <w:pPr>
        <w:pStyle w:val="1319"/>
        <w:ind w:firstLine="480"/>
        <w:spacing w:line="440" w:lineRule="exact"/>
        <w:rPr>
          <w:rFonts w:eastAsia="宋体"/>
        </w:rPr>
      </w:pPr>
      <w:r>
        <w:rPr>
          <w:rFonts w:eastAsia="宋体"/>
        </w:rPr>
        <w:t xml:space="preserve">本企业对上述声明内容的真实性负责。如有虚假，将依法承担相应责任。 </w:t>
      </w:r>
      <w:r>
        <w:rPr>
          <w:rFonts w:eastAsia="宋体"/>
        </w:rPr>
      </w:r>
      <w:r/>
    </w:p>
    <w:p>
      <w:pPr>
        <w:pStyle w:val="1319"/>
        <w:ind w:firstLine="480"/>
        <w:spacing w:line="440" w:lineRule="exact"/>
        <w:rPr>
          <w:rFonts w:eastAsia="宋体"/>
        </w:rPr>
      </w:pPr>
      <w:r>
        <w:rPr>
          <w:rFonts w:eastAsia="宋体"/>
        </w:rPr>
        <w:t xml:space="preserve">企业名称（盖章）：   </w:t>
      </w:r>
      <w:r>
        <w:rPr>
          <w:rFonts w:eastAsia="宋体"/>
        </w:rPr>
      </w:r>
      <w:r/>
    </w:p>
    <w:p>
      <w:pPr>
        <w:pStyle w:val="1319"/>
        <w:ind w:firstLine="480"/>
        <w:spacing w:line="440" w:lineRule="exact"/>
        <w:rPr>
          <w:rFonts w:eastAsia="宋体"/>
          <w:lang w:eastAsia="zh-CN"/>
        </w:rPr>
      </w:pPr>
      <w:r>
        <w:rPr>
          <w:rFonts w:eastAsia="宋体"/>
        </w:rPr>
        <w:t xml:space="preserve">日期：   </w:t>
      </w:r>
      <w:r>
        <w:rPr>
          <w:rFonts w:eastAsia="宋体"/>
          <w:lang w:eastAsia="zh-CN"/>
        </w:rPr>
      </w:r>
      <w:r/>
    </w:p>
    <w:p>
      <w:pPr>
        <w:pStyle w:val="1319"/>
        <w:ind w:firstLine="480"/>
        <w:spacing w:line="440" w:lineRule="exact"/>
        <w:rPr>
          <w:rFonts w:eastAsia="宋体"/>
          <w:lang w:eastAsia="zh-CN"/>
        </w:rPr>
      </w:pPr>
      <w:r>
        <w:rPr>
          <w:rFonts w:eastAsia="宋体"/>
          <w:lang w:eastAsia="zh-CN"/>
        </w:rPr>
      </w:r>
      <w:r/>
    </w:p>
    <w:p>
      <w:pPr>
        <w:pStyle w:val="1319"/>
        <w:ind w:firstLine="480"/>
        <w:spacing w:line="440" w:lineRule="exact"/>
        <w:rPr>
          <w:rFonts w:eastAsia="宋体"/>
        </w:rPr>
      </w:pPr>
      <w:r>
        <w:rPr>
          <w:rFonts w:eastAsia="宋体"/>
        </w:rPr>
        <w:t xml:space="preserve">注：供应商对照《关于印发中小企业划型标准规定的通知》（工信部联企业【2011】300号）中的标准，明确标的承接企业所属企业类型。</w:t>
      </w:r>
      <w:r>
        <w:rPr>
          <w:rFonts w:eastAsia="宋体"/>
        </w:rPr>
      </w:r>
      <w:r/>
    </w:p>
    <w:p>
      <w:pPr>
        <w:pStyle w:val="1319"/>
        <w:ind w:firstLine="480"/>
        <w:spacing w:line="440" w:lineRule="exact"/>
        <w:rPr>
          <w:rFonts w:eastAsia="宋体"/>
        </w:rPr>
      </w:pPr>
      <w:r>
        <w:rPr>
          <w:rFonts w:eastAsia="宋体"/>
        </w:rPr>
        <w:t xml:space="preserve">备注：1.从业人员、营业收入、资产总额填报上一年度数据，无上一年度数据的新成立企业可不填报。</w:t>
      </w:r>
      <w:r>
        <w:rPr>
          <w:rFonts w:eastAsia="宋体"/>
        </w:rPr>
      </w:r>
      <w:r/>
    </w:p>
    <w:p>
      <w:pPr>
        <w:pStyle w:val="1319"/>
        <w:spacing w:line="440" w:lineRule="exact"/>
        <w:rPr>
          <w:rFonts w:eastAsia="宋体"/>
          <w:lang w:eastAsia="zh-CN"/>
        </w:rPr>
      </w:pPr>
      <w:r>
        <w:rPr>
          <w:rFonts w:eastAsia="宋体"/>
        </w:rPr>
        <w:t xml:space="preserve">      2.在服务采购项目中，服务由中小企业承接，即提供服务的人员为中小企业依照《中华人民共和国劳动合同法》订立劳动合同的从业人员。</w:t>
      </w:r>
      <w:r>
        <w:rPr>
          <w:rFonts w:eastAsia="宋体"/>
          <w:b/>
          <w:bCs/>
        </w:rPr>
        <w:t xml:space="preserve">服务类项目中供应商若使用退休人员，将不享受相应扶持政策。</w:t>
      </w:r>
      <w:r>
        <w:rPr>
          <w:rFonts w:eastAsia="宋体"/>
          <w:lang w:eastAsia="zh-CN"/>
        </w:rPr>
      </w:r>
      <w:r/>
    </w:p>
    <w:p>
      <w:pPr>
        <w:pStyle w:val="1319"/>
        <w:spacing w:line="440" w:lineRule="exact"/>
        <w:rPr>
          <w:rFonts w:eastAsia="宋体"/>
          <w:lang w:eastAsia="zh-CN"/>
        </w:rPr>
      </w:pPr>
      <w:r>
        <w:rPr>
          <w:rFonts w:eastAsia="宋体"/>
          <w:lang w:eastAsia="zh-CN"/>
        </w:rPr>
      </w:r>
      <w:r/>
    </w:p>
    <w:p>
      <w:pPr>
        <w:pStyle w:val="1319"/>
        <w:spacing w:before="240" w:after="240"/>
        <w:rPr>
          <w:rFonts w:eastAsia="宋体"/>
        </w:rPr>
      </w:pPr>
      <w:r>
        <w:rPr>
          <w:rFonts w:eastAsia="宋体"/>
        </w:rPr>
        <w:t xml:space="preserve">附：中小企业划型标准规定</w:t>
      </w:r>
      <w:r>
        <w:rPr>
          <w:rFonts w:eastAsia="宋体"/>
        </w:rPr>
      </w:r>
      <w:r/>
    </w:p>
    <w:p>
      <w:pPr>
        <w:pStyle w:val="1319"/>
        <w:spacing w:before="240" w:after="240"/>
        <w:rPr>
          <w:rFonts w:eastAsia="宋体"/>
        </w:rPr>
      </w:pPr>
      <w:r>
        <w:rPr>
          <w:rFonts w:eastAsia="宋体"/>
        </w:rPr>
        <w:t xml:space="preserve">（一）农、林、牧、渔业。营业收入20000万元以下的为中小微型企业。其中，营业收入500万元及以上的为中型企业，营业收入50万元及以上的为小型企业，营业收入50万元以下的为微型企业。</w:t>
      </w:r>
      <w:r>
        <w:rPr>
          <w:rFonts w:eastAsia="宋体"/>
        </w:rPr>
      </w:r>
      <w:r/>
    </w:p>
    <w:p>
      <w:pPr>
        <w:pStyle w:val="1319"/>
        <w:spacing w:before="240" w:after="240"/>
        <w:rPr>
          <w:rFonts w:eastAsia="宋体"/>
        </w:rPr>
      </w:pPr>
      <w:r>
        <w:rPr>
          <w:rFonts w:eastAsia="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rPr>
      </w:r>
      <w:r/>
    </w:p>
    <w:p>
      <w:pPr>
        <w:pStyle w:val="1319"/>
        <w:spacing w:before="240" w:after="240"/>
        <w:rPr>
          <w:rFonts w:eastAsia="宋体"/>
        </w:rPr>
      </w:pPr>
      <w:r>
        <w:rPr>
          <w:rFonts w:eastAsia="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eastAsia="宋体"/>
        </w:rPr>
      </w:r>
      <w:r/>
    </w:p>
    <w:p>
      <w:pPr>
        <w:pStyle w:val="1319"/>
        <w:spacing w:before="240" w:after="240"/>
        <w:rPr>
          <w:rFonts w:eastAsia="宋体"/>
        </w:rPr>
      </w:pPr>
      <w:r>
        <w:rPr>
          <w:rFonts w:eastAsia="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eastAsia="宋体"/>
        </w:rPr>
      </w:r>
      <w:r/>
    </w:p>
    <w:p>
      <w:pPr>
        <w:pStyle w:val="1319"/>
        <w:spacing w:before="240" w:after="240"/>
        <w:rPr>
          <w:rFonts w:eastAsia="宋体"/>
        </w:rPr>
      </w:pPr>
      <w:r>
        <w:rPr>
          <w:rFonts w:eastAsia="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eastAsia="宋体"/>
        </w:rPr>
      </w:r>
      <w:r/>
    </w:p>
    <w:p>
      <w:pPr>
        <w:pStyle w:val="1319"/>
        <w:spacing w:before="240" w:after="240"/>
        <w:rPr>
          <w:rFonts w:eastAsia="宋体"/>
        </w:rPr>
      </w:pPr>
      <w:r>
        <w:rPr>
          <w:rFonts w:eastAsia="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eastAsia="宋体"/>
        </w:rPr>
      </w:r>
      <w:r/>
    </w:p>
    <w:p>
      <w:pPr>
        <w:pStyle w:val="1319"/>
        <w:spacing w:before="240" w:after="240"/>
        <w:rPr>
          <w:rFonts w:eastAsia="宋体"/>
        </w:rPr>
      </w:pPr>
      <w:r>
        <w:rPr>
          <w:rFonts w:eastAsia="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eastAsia="宋体"/>
        </w:rPr>
      </w:r>
      <w:r/>
    </w:p>
    <w:p>
      <w:pPr>
        <w:pStyle w:val="1319"/>
        <w:spacing w:before="240" w:after="240"/>
        <w:rPr>
          <w:rFonts w:eastAsia="宋体"/>
        </w:rPr>
      </w:pPr>
      <w:r>
        <w:rPr>
          <w:rFonts w:eastAsia="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eastAsia="宋体"/>
        </w:rPr>
      </w:r>
      <w:r/>
    </w:p>
    <w:p>
      <w:pPr>
        <w:pStyle w:val="1319"/>
        <w:spacing w:before="240" w:after="240"/>
        <w:rPr>
          <w:rFonts w:eastAsia="宋体"/>
        </w:rPr>
      </w:pPr>
      <w:r>
        <w:rPr>
          <w:rFonts w:eastAsia="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rPr>
      </w:r>
      <w:r/>
    </w:p>
    <w:p>
      <w:pPr>
        <w:pStyle w:val="1319"/>
        <w:spacing w:before="240" w:after="240"/>
        <w:rPr>
          <w:rFonts w:eastAsia="宋体"/>
        </w:rPr>
      </w:pPr>
      <w:r>
        <w:rPr>
          <w:rFonts w:eastAsia="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rPr>
      </w:r>
      <w:r/>
    </w:p>
    <w:p>
      <w:pPr>
        <w:pStyle w:val="1319"/>
        <w:spacing w:before="240" w:after="240"/>
        <w:rPr>
          <w:rFonts w:eastAsia="宋体"/>
        </w:rPr>
      </w:pPr>
      <w:r>
        <w:rPr>
          <w:rFonts w:eastAsia="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eastAsia="宋体"/>
        </w:rPr>
      </w:r>
      <w:r/>
    </w:p>
    <w:p>
      <w:pPr>
        <w:pStyle w:val="1319"/>
        <w:spacing w:before="240" w:after="240"/>
        <w:rPr>
          <w:rFonts w:eastAsia="宋体"/>
        </w:rPr>
      </w:pPr>
      <w:r>
        <w:rPr>
          <w:rFonts w:eastAsia="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eastAsia="宋体"/>
        </w:rPr>
      </w:r>
      <w:r/>
    </w:p>
    <w:p>
      <w:pPr>
        <w:pStyle w:val="1319"/>
        <w:spacing w:before="240" w:after="240"/>
        <w:rPr>
          <w:rFonts w:eastAsia="宋体"/>
        </w:rPr>
      </w:pPr>
      <w:r>
        <w:rPr>
          <w:rFonts w:eastAsia="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eastAsia="宋体"/>
        </w:rPr>
      </w:r>
      <w:r/>
    </w:p>
    <w:p>
      <w:pPr>
        <w:pStyle w:val="1319"/>
        <w:spacing w:before="240" w:after="240"/>
        <w:rPr>
          <w:rFonts w:eastAsia="宋体"/>
        </w:rPr>
      </w:pPr>
      <w:r>
        <w:rPr>
          <w:rFonts w:eastAsia="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eastAsia="宋体"/>
        </w:rPr>
      </w:r>
      <w:r/>
    </w:p>
    <w:p>
      <w:pPr>
        <w:pStyle w:val="1319"/>
        <w:spacing w:before="240" w:after="240"/>
        <w:rPr>
          <w:rFonts w:eastAsia="宋体"/>
        </w:rPr>
      </w:pPr>
      <w:r>
        <w:rPr>
          <w:rFonts w:eastAsia="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eastAsia="宋体"/>
        </w:rPr>
      </w:r>
      <w:r/>
    </w:p>
    <w:p>
      <w:pPr>
        <w:pStyle w:val="1319"/>
        <w:spacing w:before="240" w:after="240"/>
        <w:rPr>
          <w:rFonts w:eastAsia="宋体"/>
        </w:rPr>
      </w:pPr>
      <w:r>
        <w:rPr>
          <w:rFonts w:eastAsia="宋体"/>
        </w:rPr>
        <w:t xml:space="preserve">（十六）其他未列明行业。从业人员300人以下的为中小微型企业。其中，从业人员100人及以上的为中型企业；从业人员10人及以上的为小型企业；从业人员10人以下的为微型企业。</w:t>
      </w:r>
      <w:r>
        <w:rPr>
          <w:rFonts w:eastAsia="宋体"/>
        </w:rPr>
      </w:r>
      <w:r/>
    </w:p>
    <w:p>
      <w:pPr>
        <w:pStyle w:val="1320"/>
        <w:rPr>
          <w:rFonts w:eastAsia="宋体"/>
        </w:rPr>
        <w:outlineLvl w:val="2"/>
      </w:pPr>
      <w:r>
        <w:rPr>
          <w:rFonts w:eastAsia="宋体"/>
        </w:rPr>
        <w:br w:type="page" w:clear="all"/>
      </w:r>
      <w:r>
        <w:rPr>
          <w:rFonts w:eastAsia="宋体"/>
          <w:b/>
          <w:sz w:val="28"/>
        </w:rPr>
        <w:t xml:space="preserve">  残疾人福利性单位声明函（专门面向中小企业）</w:t>
      </w:r>
      <w:r>
        <w:rPr>
          <w:rFonts w:eastAsia="宋体"/>
        </w:rPr>
      </w:r>
      <w:r/>
    </w:p>
    <w:p>
      <w:pPr>
        <w:pStyle w:val="1321"/>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21"/>
        <w:spacing w:before="240" w:after="240"/>
        <w:rPr>
          <w:rFonts w:eastAsia="宋体"/>
        </w:rPr>
      </w:pPr>
      <w:r>
        <w:rPr>
          <w:rFonts w:eastAsia="宋体"/>
        </w:rPr>
        <w:t xml:space="preserve">  </w:t>
      </w:r>
      <w:r>
        <w:rPr>
          <w:rFonts w:eastAsia="宋体"/>
        </w:rPr>
      </w:r>
      <w:r/>
    </w:p>
    <w:p>
      <w:pPr>
        <w:pStyle w:val="1321"/>
        <w:jc w:val="center"/>
        <w:spacing w:before="320" w:after="320"/>
        <w:rPr>
          <w:rFonts w:eastAsia="宋体"/>
          <w:b/>
          <w:bCs/>
          <w:sz w:val="32"/>
          <w:szCs w:val="32"/>
        </w:rPr>
      </w:pPr>
      <w:r>
        <w:rPr>
          <w:rFonts w:eastAsia="宋体"/>
          <w:b/>
          <w:bCs/>
          <w:sz w:val="32"/>
          <w:szCs w:val="32"/>
        </w:rPr>
        <w:t xml:space="preserve"> </w:t>
      </w:r>
      <w:r>
        <w:rPr>
          <w:rFonts w:eastAsia="宋体"/>
          <w:b/>
          <w:bCs/>
          <w:sz w:val="32"/>
          <w:szCs w:val="32"/>
        </w:rPr>
      </w:r>
      <w:r/>
    </w:p>
    <w:p>
      <w:pPr>
        <w:pStyle w:val="1321"/>
        <w:spacing w:before="240" w:after="240"/>
        <w:rPr>
          <w:rFonts w:eastAsia="宋体"/>
        </w:rPr>
      </w:pPr>
      <w:r>
        <w:rPr>
          <w:rFonts w:eastAsia="宋体"/>
        </w:rPr>
        <w:t xml:space="preserve"> </w:t>
      </w:r>
      <w:r>
        <w:rPr>
          <w:rFonts w:eastAsia="宋体"/>
        </w:rPr>
      </w:r>
      <w:r/>
    </w:p>
    <w:p>
      <w:pPr>
        <w:pStyle w:val="1321"/>
        <w:jc w:val="center"/>
        <w:spacing w:before="320" w:after="320"/>
        <w:rPr>
          <w:rFonts w:eastAsia="宋体"/>
          <w:sz w:val="32"/>
          <w:szCs w:val="32"/>
        </w:rPr>
      </w:pPr>
      <w:r>
        <w:rPr>
          <w:rFonts w:eastAsia="宋体"/>
          <w:sz w:val="32"/>
          <w:szCs w:val="32"/>
        </w:rPr>
        <w:t xml:space="preserve">残疾人福利性单位声明函</w:t>
      </w:r>
      <w:r>
        <w:rPr>
          <w:rFonts w:eastAsia="宋体"/>
          <w:sz w:val="32"/>
          <w:szCs w:val="32"/>
        </w:rPr>
      </w:r>
      <w:r/>
    </w:p>
    <w:p>
      <w:pPr>
        <w:pStyle w:val="1321"/>
        <w:spacing w:before="240" w:after="240"/>
        <w:rPr>
          <w:rFonts w:eastAsia="宋体"/>
        </w:rPr>
      </w:pPr>
      <w:r>
        <w:rPr>
          <w:rFonts w:eastAsia="宋体"/>
        </w:rPr>
        <w:t xml:space="preserve"> </w:t>
      </w:r>
      <w:r>
        <w:rPr>
          <w:rFonts w:eastAsia="宋体"/>
        </w:rPr>
      </w:r>
      <w:r/>
    </w:p>
    <w:p>
      <w:pPr>
        <w:pStyle w:val="1321"/>
        <w:jc w:val="center"/>
        <w:spacing w:before="320" w:after="320"/>
        <w:rPr>
          <w:rFonts w:eastAsia="宋体"/>
          <w:sz w:val="32"/>
          <w:szCs w:val="32"/>
        </w:rPr>
      </w:pPr>
      <w:r>
        <w:rPr>
          <w:rFonts w:eastAsia="宋体"/>
          <w:sz w:val="32"/>
          <w:szCs w:val="32"/>
        </w:rPr>
        <w:t xml:space="preserve"> </w:t>
      </w:r>
      <w:r>
        <w:rPr>
          <w:rFonts w:eastAsia="宋体"/>
          <w:sz w:val="32"/>
          <w:szCs w:val="32"/>
        </w:rPr>
      </w:r>
      <w:r/>
    </w:p>
    <w:p>
      <w:pPr>
        <w:pStyle w:val="1321"/>
        <w:spacing w:before="240" w:after="240"/>
        <w:rPr>
          <w:rFonts w:eastAsia="宋体"/>
        </w:rPr>
      </w:pPr>
      <w:r>
        <w:rPr>
          <w:rFonts w:eastAsia="宋体"/>
        </w:rPr>
        <w:t xml:space="preserve"> </w:t>
      </w:r>
      <w:r>
        <w:rPr>
          <w:rFonts w:eastAsia="宋体"/>
        </w:rPr>
      </w:r>
      <w:r/>
    </w:p>
    <w:p>
      <w:pPr>
        <w:pStyle w:val="1321"/>
        <w:spacing w:before="240" w:after="240"/>
        <w:rPr>
          <w:rFonts w:eastAsia="宋体"/>
        </w:rPr>
      </w:pPr>
      <w:r>
        <w:rPr>
          <w:rFonts w:eastAsia="宋体"/>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eastAsia="宋体"/>
        </w:rPr>
      </w:r>
      <w:r/>
    </w:p>
    <w:p>
      <w:pPr>
        <w:pStyle w:val="1321"/>
        <w:spacing w:before="240" w:after="240"/>
        <w:rPr>
          <w:rFonts w:eastAsia="宋体"/>
        </w:rPr>
      </w:pPr>
      <w:r>
        <w:rPr>
          <w:rFonts w:eastAsia="宋体"/>
        </w:rPr>
        <w:t xml:space="preserve">本单位对上述声明的真实性负责。如有虚假，将依法承担相应责任。</w:t>
      </w:r>
      <w:r>
        <w:rPr>
          <w:rFonts w:eastAsia="宋体"/>
        </w:rPr>
      </w:r>
      <w:r/>
    </w:p>
    <w:p>
      <w:pPr>
        <w:pStyle w:val="1321"/>
        <w:jc w:val="center"/>
        <w:spacing w:before="240" w:after="240"/>
        <w:rPr>
          <w:rFonts w:eastAsia="宋体"/>
        </w:rPr>
      </w:pPr>
      <w:r>
        <w:rPr>
          <w:rFonts w:eastAsia="宋体"/>
        </w:rPr>
        <w:t xml:space="preserve"> </w:t>
      </w:r>
      <w:r>
        <w:rPr>
          <w:rFonts w:eastAsia="宋体"/>
        </w:rPr>
      </w:r>
      <w:r/>
    </w:p>
    <w:p>
      <w:pPr>
        <w:pStyle w:val="1321"/>
        <w:jc w:val="center"/>
        <w:spacing w:before="240" w:after="240"/>
        <w:rPr>
          <w:rFonts w:eastAsia="宋体"/>
        </w:rPr>
      </w:pPr>
      <w:r>
        <w:rPr>
          <w:rFonts w:eastAsia="宋体"/>
        </w:rPr>
        <w:t xml:space="preserve"> </w:t>
      </w:r>
      <w:r>
        <w:rPr>
          <w:rFonts w:eastAsia="宋体"/>
        </w:rPr>
      </w:r>
      <w:r/>
    </w:p>
    <w:p>
      <w:pPr>
        <w:pStyle w:val="1321"/>
        <w:jc w:val="center"/>
        <w:spacing w:before="240" w:after="240"/>
        <w:rPr>
          <w:rFonts w:eastAsia="宋体"/>
        </w:rPr>
      </w:pPr>
      <w:r>
        <w:rPr>
          <w:rFonts w:eastAsia="宋体"/>
        </w:rPr>
        <w:t xml:space="preserve"> </w:t>
      </w:r>
      <w:r>
        <w:rPr>
          <w:rFonts w:eastAsia="宋体"/>
        </w:rPr>
      </w:r>
      <w:r/>
    </w:p>
    <w:p>
      <w:pPr>
        <w:pStyle w:val="1321"/>
        <w:spacing w:before="240" w:after="240"/>
        <w:rPr>
          <w:rFonts w:eastAsia="宋体"/>
        </w:rPr>
      </w:pPr>
      <w:r>
        <w:rPr>
          <w:rFonts w:eastAsia="宋体"/>
        </w:rPr>
        <w:t xml:space="preserve">单位名称（盖章）：   </w:t>
      </w:r>
      <w:r>
        <w:rPr>
          <w:rFonts w:eastAsia="宋体"/>
        </w:rPr>
      </w:r>
      <w:r/>
    </w:p>
    <w:p>
      <w:pPr>
        <w:pStyle w:val="1321"/>
        <w:spacing w:before="240" w:after="240"/>
        <w:rPr>
          <w:rFonts w:eastAsia="宋体"/>
        </w:rPr>
      </w:pPr>
      <w:r>
        <w:rPr>
          <w:rFonts w:eastAsia="宋体"/>
        </w:rPr>
        <w:t xml:space="preserve">日期：   </w:t>
      </w:r>
      <w:r>
        <w:rPr>
          <w:rFonts w:eastAsia="宋体"/>
        </w:rPr>
      </w:r>
      <w:r/>
    </w:p>
    <w:p>
      <w:pPr>
        <w:pStyle w:val="1321"/>
        <w:spacing w:before="240" w:after="240"/>
        <w:rPr>
          <w:rFonts w:eastAsia="宋体"/>
        </w:rPr>
      </w:pPr>
      <w:r>
        <w:rPr>
          <w:rFonts w:eastAsia="宋体"/>
        </w:rPr>
        <w:t xml:space="preserve">注：1、符合《关于促进残疾人就业政府采购政策的通知》（财库〔2017〕141号）规定条件的残疾人福利性单位在参加政府采购活动时，应当提供《残疾人福利性单位声明函》，并对声明的真实性负责。</w:t>
      </w:r>
      <w:r>
        <w:rPr>
          <w:rFonts w:eastAsia="宋体"/>
        </w:rPr>
      </w:r>
      <w:r/>
    </w:p>
    <w:p>
      <w:pPr>
        <w:pStyle w:val="1321"/>
        <w:spacing w:before="240" w:after="240"/>
        <w:rPr>
          <w:rFonts w:eastAsia="宋体"/>
        </w:rPr>
      </w:pPr>
      <w:r>
        <w:rPr>
          <w:rFonts w:eastAsia="宋体"/>
        </w:rPr>
        <w:t xml:space="preserve">供应商提供的《残疾人福利性单位声明函》与事实不符的，依照《政府采购法》第七十七条第一款的规定追究法律责任。</w:t>
      </w:r>
      <w:r>
        <w:rPr>
          <w:rFonts w:eastAsia="宋体"/>
        </w:rPr>
      </w:r>
      <w:r/>
    </w:p>
    <w:p>
      <w:pPr>
        <w:pStyle w:val="1321"/>
        <w:spacing w:before="240" w:after="240"/>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rPr>
          <w:rFonts w:eastAsia="宋体"/>
        </w:rPr>
      </w:r>
      <w:r/>
    </w:p>
    <w:p>
      <w:pPr>
        <w:pStyle w:val="1321"/>
        <w:spacing w:before="240" w:after="240"/>
        <w:rPr>
          <w:rFonts w:eastAsia="宋体"/>
        </w:rPr>
      </w:pPr>
      <w:r>
        <w:rPr>
          <w:rFonts w:eastAsia="宋体"/>
        </w:rPr>
        <w:t xml:space="preserve">2、若供应商对照《关于促进残疾人就业政府采购政策的通知》（财库〔2017〕141号）中的规定，明确不符合残疾人福利性单位条件的，则无需提供此声明函。 </w:t>
      </w:r>
      <w:r>
        <w:rPr>
          <w:rFonts w:eastAsia="宋体"/>
        </w:rPr>
      </w:r>
      <w:r/>
    </w:p>
    <w:p>
      <w:pPr>
        <w:pStyle w:val="1322"/>
        <w:rPr>
          <w:rFonts w:eastAsia="宋体"/>
        </w:rPr>
        <w:outlineLvl w:val="2"/>
      </w:pPr>
      <w:r>
        <w:rPr>
          <w:rFonts w:eastAsia="宋体"/>
        </w:rPr>
        <w:br w:type="page" w:clear="all"/>
      </w:r>
      <w:r>
        <w:rPr>
          <w:rFonts w:eastAsia="宋体"/>
          <w:b/>
          <w:sz w:val="28"/>
        </w:rPr>
        <w:t xml:space="preserve">  监狱企业的证明文件（专门面向中小企业）</w:t>
      </w:r>
      <w:r>
        <w:rPr>
          <w:rFonts w:eastAsia="宋体"/>
        </w:rPr>
      </w:r>
      <w:r/>
    </w:p>
    <w:p>
      <w:pPr>
        <w:pStyle w:val="1323"/>
        <w:jc w:val="center"/>
        <w:rPr>
          <w:rFonts w:ascii="Times New Roman" w:hAnsi="Times New Roman"/>
          <w:sz w:val="32"/>
          <w:szCs w:val="32"/>
        </w:rPr>
      </w:pPr>
      <w:r>
        <w:rPr>
          <w:rFonts w:ascii="Times New Roman" w:hAnsi="Times New Roman"/>
          <w:sz w:val="32"/>
          <w:szCs w:val="32"/>
        </w:rPr>
        <w:t xml:space="preserve">监狱企业的证明文件</w:t>
      </w:r>
      <w:r>
        <w:rPr>
          <w:rFonts w:ascii="Times New Roman" w:hAnsi="Times New Roman"/>
          <w:sz w:val="32"/>
          <w:szCs w:val="32"/>
        </w:rPr>
      </w:r>
      <w:r/>
    </w:p>
    <w:p>
      <w:pPr>
        <w:pStyle w:val="1323"/>
        <w:rPr>
          <w:rFonts w:ascii="Times New Roman" w:hAnsi="Times New Roman"/>
        </w:rPr>
      </w:pPr>
      <w:r>
        <w:rPr>
          <w:rFonts w:ascii="Times New Roman" w:hAnsi="Times New Roman"/>
        </w:rPr>
      </w:r>
      <w:r/>
    </w:p>
    <w:p>
      <w:pPr>
        <w:pStyle w:val="1323"/>
        <w:ind w:firstLine="480"/>
        <w:spacing w:line="440" w:lineRule="exact"/>
        <w:rPr>
          <w:rFonts w:ascii="Times New Roman" w:hAnsi="Times New Roman"/>
          <w:sz w:val="24"/>
          <w:szCs w:val="24"/>
        </w:rPr>
      </w:pPr>
      <w:r>
        <w:rPr>
          <w:rFonts w:ascii="Times New Roman" w:hAnsi="Times New Roman"/>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Times New Roman" w:hAnsi="Times New Roman"/>
          <w:sz w:val="24"/>
          <w:szCs w:val="24"/>
        </w:rPr>
      </w:r>
      <w:r/>
    </w:p>
    <w:p>
      <w:pPr>
        <w:pStyle w:val="1323"/>
        <w:rPr>
          <w:rFonts w:ascii="Times New Roman" w:hAnsi="Times New Roman"/>
        </w:rPr>
      </w:pPr>
      <w:r>
        <w:rPr>
          <w:rFonts w:ascii="Times New Roman" w:hAnsi="Times New Roman"/>
        </w:rPr>
        <w:t xml:space="preserve">      </w:t>
      </w:r>
      <w:r>
        <w:rPr>
          <w:rFonts w:ascii="Times New Roman" w:hAnsi="Times New Roman"/>
        </w:rPr>
      </w:r>
      <w:r/>
    </w:p>
    <w:p>
      <w:pPr>
        <w:pStyle w:val="1323"/>
        <w:ind w:firstLine="480"/>
        <w:spacing w:line="440" w:lineRule="exact"/>
        <w:rPr>
          <w:rFonts w:ascii="Times New Roman" w:hAnsi="Times New Roman"/>
          <w:sz w:val="24"/>
          <w:szCs w:val="24"/>
        </w:rPr>
      </w:pPr>
      <w:r>
        <w:rPr>
          <w:rFonts w:ascii="Times New Roman" w:hAnsi="Times New Roman"/>
          <w:sz w:val="24"/>
          <w:szCs w:val="24"/>
        </w:rPr>
        <w:t xml:space="preserve">2、若供应商对照《关于政府采购支持监狱企业发展有关问题的通知》（财库〔2014〕68号）中的规定，明确不符合监狱企业条件的，则无需提供相关证明文件。 </w:t>
      </w:r>
      <w:r>
        <w:rPr>
          <w:rFonts w:ascii="Times New Roman" w:hAnsi="Times New Roman"/>
          <w:sz w:val="24"/>
          <w:szCs w:val="24"/>
        </w:rPr>
      </w:r>
      <w:r/>
    </w:p>
    <w:p>
      <w:pPr>
        <w:pStyle w:val="1323"/>
        <w:rPr>
          <w:rFonts w:ascii="Times New Roman" w:hAnsi="Times New Roman"/>
        </w:rPr>
      </w:pPr>
      <w:r>
        <w:rPr>
          <w:rFonts w:ascii="Times New Roman" w:hAnsi="Times New Roman"/>
        </w:rPr>
      </w:r>
      <w:r/>
    </w:p>
    <w:p>
      <w:pPr>
        <w:pStyle w:val="1323"/>
        <w:rPr>
          <w:rFonts w:ascii="Times New Roman" w:hAnsi="Times New Roman"/>
        </w:rPr>
      </w:pPr>
      <w:r>
        <w:rPr>
          <w:rFonts w:ascii="Times New Roman" w:hAnsi="Times New Roman"/>
        </w:rPr>
        <w:t xml:space="preserve"> </w:t>
      </w:r>
      <w:r>
        <w:rPr>
          <w:rFonts w:ascii="Times New Roman" w:hAnsi="Times New Roman"/>
        </w:rPr>
      </w:r>
      <w:r/>
    </w:p>
    <w:p>
      <w:pPr>
        <w:pStyle w:val="1326"/>
        <w:rPr>
          <w:rFonts w:eastAsia="宋体"/>
        </w:rPr>
        <w:outlineLvl w:val="1"/>
      </w:pPr>
      <w:r/>
      <w:bookmarkStart w:id="308" w:name="_Toc19"/>
      <w:r>
        <w:rPr>
          <w:rFonts w:eastAsia="宋体"/>
        </w:rPr>
        <w:br w:type="page" w:clear="all"/>
      </w:r>
      <w:r>
        <w:rPr>
          <w:rFonts w:eastAsia="宋体"/>
          <w:b/>
          <w:sz w:val="32"/>
        </w:rPr>
        <w:t xml:space="preserve">五、第四章项目需求中实质性要求响应对照表</w:t>
      </w:r>
      <w:r>
        <w:rPr>
          <w:rFonts w:eastAsia="宋体"/>
        </w:rPr>
      </w:r>
      <w:bookmarkEnd w:id="308"/>
      <w:r/>
      <w:r/>
    </w:p>
    <w:p>
      <w:pPr>
        <w:pStyle w:val="1327"/>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27"/>
        <w:jc w:val="center"/>
        <w:spacing w:before="400" w:after="400" w:line="300" w:lineRule="auto"/>
        <w:rPr>
          <w:rFonts w:eastAsia="宋体"/>
          <w:b/>
          <w:bCs/>
          <w:sz w:val="40"/>
          <w:szCs w:val="40"/>
        </w:rPr>
      </w:pPr>
      <w:r/>
      <w:bookmarkStart w:id="271" w:name="_Hlk162955391"/>
      <w:r>
        <w:rPr>
          <w:rFonts w:eastAsia="宋体"/>
          <w:b/>
          <w:bCs/>
          <w:sz w:val="40"/>
          <w:szCs w:val="40"/>
        </w:rPr>
        <w:t xml:space="preserve">第四章项目需求中实质性要求响应对照表 </w:t>
      </w:r>
      <w:r>
        <w:rPr>
          <w:rFonts w:eastAsia="宋体"/>
          <w:b/>
          <w:bCs/>
          <w:sz w:val="40"/>
          <w:szCs w:val="40"/>
        </w:rPr>
      </w:r>
      <w:r/>
    </w:p>
    <w:p>
      <w:pPr>
        <w:pStyle w:val="1327"/>
        <w:spacing w:before="240" w:after="240"/>
        <w:rPr>
          <w:rFonts w:eastAsia="宋体"/>
        </w:rPr>
      </w:pPr>
      <w:r>
        <w:rPr>
          <w:rFonts w:eastAsia="宋体"/>
        </w:rPr>
        <w:t xml:space="preserve">  </w:t>
      </w:r>
      <w:r>
        <w:rPr>
          <w:rFonts w:eastAsia="宋体"/>
        </w:rPr>
      </w:r>
      <w:r/>
    </w:p>
    <w:tbl>
      <w:tblPr>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Mar>
              <w:left w:w="0" w:type="dxa"/>
              <w:top w:w="0" w:type="dxa"/>
              <w:right w:w="0" w:type="dxa"/>
              <w:bottom w:w="0" w:type="dxa"/>
            </w:tcMar>
            <w:tcW w:w="915" w:type="dxa"/>
            <w:vAlign w:val="center"/>
            <w:textDirection w:val="lrTb"/>
            <w:noWrap w:val="false"/>
          </w:tcPr>
          <w:p>
            <w:pPr>
              <w:pStyle w:val="1327"/>
              <w:jc w:val="center"/>
              <w:rPr>
                <w:rFonts w:eastAsia="宋体"/>
              </w:rPr>
            </w:pPr>
            <w:r>
              <w:rPr>
                <w:rFonts w:eastAsia="宋体"/>
              </w:rPr>
              <w:t xml:space="preserve">序号</w:t>
            </w:r>
            <w:r>
              <w:rPr>
                <w:rFonts w:eastAsia="宋体"/>
              </w:rPr>
            </w:r>
            <w:r/>
          </w:p>
        </w:tc>
        <w:tc>
          <w:tcPr>
            <w:tcMar>
              <w:left w:w="0" w:type="dxa"/>
              <w:top w:w="0" w:type="dxa"/>
              <w:right w:w="0" w:type="dxa"/>
              <w:bottom w:w="0" w:type="dxa"/>
            </w:tcMar>
            <w:tcW w:w="7515" w:type="dxa"/>
            <w:vAlign w:val="center"/>
            <w:textDirection w:val="lrTb"/>
            <w:noWrap w:val="false"/>
          </w:tcPr>
          <w:p>
            <w:pPr>
              <w:pStyle w:val="1327"/>
              <w:jc w:val="center"/>
              <w:rPr>
                <w:rFonts w:eastAsia="宋体"/>
              </w:rPr>
            </w:pPr>
            <w:r>
              <w:rPr>
                <w:rFonts w:eastAsia="宋体"/>
              </w:rPr>
              <w:t xml:space="preserve">第四章项目需求中的实质性要求（即斜体且有下划线部分，每条详细列出）</w:t>
            </w:r>
            <w:r>
              <w:rPr>
                <w:rFonts w:eastAsia="宋体"/>
              </w:rPr>
            </w:r>
            <w:r/>
          </w:p>
        </w:tc>
        <w:tc>
          <w:tcPr>
            <w:tcMar>
              <w:left w:w="0" w:type="dxa"/>
              <w:top w:w="0" w:type="dxa"/>
              <w:right w:w="0" w:type="dxa"/>
              <w:bottom w:w="0" w:type="dxa"/>
            </w:tcMar>
            <w:tcW w:w="915" w:type="dxa"/>
            <w:vAlign w:val="center"/>
            <w:textDirection w:val="lrTb"/>
            <w:noWrap w:val="false"/>
          </w:tcPr>
          <w:p>
            <w:pPr>
              <w:pStyle w:val="1327"/>
              <w:jc w:val="center"/>
              <w:rPr>
                <w:rFonts w:eastAsia="宋体"/>
              </w:rPr>
            </w:pPr>
            <w:r>
              <w:rPr>
                <w:rFonts w:eastAsia="宋体"/>
              </w:rPr>
              <w:t xml:space="preserve">是否响应（填是或者否）</w:t>
            </w:r>
            <w:r>
              <w:rPr>
                <w:rFonts w:eastAsia="宋体"/>
              </w:rPr>
            </w:r>
            <w:r/>
          </w:p>
        </w:tc>
      </w:tr>
    </w:tbl>
    <w:p>
      <w:pPr>
        <w:pStyle w:val="1327"/>
        <w:rPr>
          <w:rFonts w:eastAsia="宋体"/>
        </w:rPr>
      </w:pPr>
      <w:r/>
      <w:bookmarkEnd w:id="271"/>
      <w:r>
        <w:rPr>
          <w:rFonts w:eastAsia="宋体"/>
        </w:rPr>
      </w:r>
      <w:r/>
    </w:p>
    <w:p>
      <w:pPr>
        <w:pStyle w:val="1328"/>
        <w:rPr>
          <w:rFonts w:eastAsia="宋体"/>
        </w:rPr>
        <w:outlineLvl w:val="1"/>
      </w:pPr>
      <w:r/>
      <w:bookmarkStart w:id="309" w:name="_Toc20"/>
      <w:r>
        <w:rPr>
          <w:rFonts w:eastAsia="宋体"/>
        </w:rPr>
        <w:br w:type="page" w:clear="all"/>
      </w:r>
      <w:r>
        <w:rPr>
          <w:rFonts w:eastAsia="宋体"/>
          <w:b/>
          <w:sz w:val="32"/>
        </w:rPr>
        <w:t xml:space="preserve">六、服务方案</w:t>
      </w:r>
      <w:r>
        <w:rPr>
          <w:rFonts w:eastAsia="宋体"/>
        </w:rPr>
      </w:r>
      <w:bookmarkEnd w:id="309"/>
      <w:r/>
      <w:r/>
    </w:p>
    <w:p>
      <w:pPr>
        <w:pStyle w:val="1325"/>
        <w:jc w:val="center"/>
        <w:keepLines/>
        <w:keepNext/>
        <w:spacing w:before="260" w:after="260" w:line="415" w:lineRule="auto"/>
        <w:rPr>
          <w:b/>
          <w:bCs/>
          <w:sz w:val="28"/>
          <w:szCs w:val="28"/>
        </w:rPr>
      </w:pPr>
      <w:r>
        <w:rPr>
          <w:b/>
          <w:bCs/>
          <w:sz w:val="28"/>
          <w:szCs w:val="28"/>
        </w:rPr>
        <w:t xml:space="preserve">服务方案</w:t>
      </w:r>
      <w:r>
        <w:rPr>
          <w:b/>
          <w:bCs/>
          <w:sz w:val="28"/>
          <w:szCs w:val="28"/>
        </w:rPr>
      </w:r>
      <w:r/>
    </w:p>
    <w:p>
      <w:pPr>
        <w:pStyle w:val="1325"/>
        <w:ind w:firstLine="480"/>
        <w:jc w:val="left"/>
        <w:spacing w:line="360" w:lineRule="auto"/>
        <w:rPr>
          <w:sz w:val="24"/>
          <w:szCs w:val="24"/>
        </w:rPr>
      </w:pPr>
      <w:r>
        <w:rPr>
          <w:sz w:val="24"/>
          <w:szCs w:val="24"/>
        </w:rPr>
      </w:r>
      <w:r/>
    </w:p>
    <w:p>
      <w:pPr>
        <w:pStyle w:val="1325"/>
        <w:jc w:val="center"/>
        <w:spacing w:line="360" w:lineRule="auto"/>
        <w:rPr>
          <w:sz w:val="24"/>
          <w:szCs w:val="21"/>
        </w:rPr>
      </w:pPr>
      <w:r>
        <w:rPr>
          <w:sz w:val="24"/>
          <w:szCs w:val="21"/>
        </w:rPr>
        <w:t xml:space="preserve">（服务方案的内容编排等由投标人自定）</w:t>
      </w:r>
      <w:r>
        <w:rPr>
          <w:sz w:val="24"/>
          <w:szCs w:val="21"/>
        </w:rPr>
      </w:r>
      <w:r/>
    </w:p>
    <w:p>
      <w:pPr>
        <w:pStyle w:val="1329"/>
        <w:rPr>
          <w:rFonts w:eastAsia="宋体"/>
        </w:rPr>
        <w:outlineLvl w:val="1"/>
      </w:pPr>
      <w:r/>
      <w:bookmarkStart w:id="310" w:name="_Toc21"/>
      <w:r>
        <w:rPr>
          <w:rFonts w:eastAsia="宋体"/>
        </w:rPr>
        <w:br w:type="page" w:clear="all"/>
      </w:r>
      <w:r>
        <w:rPr>
          <w:rFonts w:eastAsia="宋体"/>
          <w:b/>
          <w:sz w:val="32"/>
        </w:rPr>
        <w:t xml:space="preserve">七、投标人情况介绍</w:t>
      </w:r>
      <w:r>
        <w:rPr>
          <w:rFonts w:eastAsia="宋体"/>
        </w:rPr>
      </w:r>
      <w:bookmarkEnd w:id="310"/>
      <w:r/>
      <w:r/>
    </w:p>
    <w:p>
      <w:pPr>
        <w:pStyle w:val="1330"/>
        <w:rPr>
          <w:rFonts w:eastAsia="宋体"/>
        </w:rPr>
        <w:outlineLvl w:val="2"/>
      </w:pPr>
      <w:r>
        <w:rPr>
          <w:rFonts w:eastAsia="宋体"/>
        </w:rPr>
        <w:br w:type="page" w:clear="all"/>
      </w:r>
      <w:r>
        <w:rPr>
          <w:rFonts w:eastAsia="宋体"/>
          <w:b/>
          <w:sz w:val="28"/>
        </w:rPr>
        <w:t xml:space="preserve">  投标人拥有的设施设备情况</w:t>
      </w:r>
      <w:r>
        <w:rPr>
          <w:rFonts w:eastAsia="宋体"/>
        </w:rPr>
      </w:r>
      <w:r/>
    </w:p>
    <w:p>
      <w:pPr>
        <w:pStyle w:val="1331"/>
        <w:jc w:val="center"/>
        <w:spacing w:line="360" w:lineRule="auto"/>
        <w:rPr>
          <w:b/>
          <w:bCs/>
          <w:sz w:val="28"/>
          <w:szCs w:val="28"/>
        </w:rPr>
      </w:pPr>
      <w:r>
        <w:rPr>
          <w:b/>
          <w:bCs/>
          <w:sz w:val="28"/>
          <w:szCs w:val="28"/>
        </w:rPr>
      </w:r>
      <w:r/>
    </w:p>
    <w:p>
      <w:pPr>
        <w:pStyle w:val="1331"/>
        <w:jc w:val="center"/>
        <w:spacing w:line="360" w:lineRule="auto"/>
        <w:rPr>
          <w:b/>
          <w:bCs/>
          <w:sz w:val="28"/>
          <w:szCs w:val="28"/>
        </w:rPr>
      </w:pPr>
      <w:r>
        <w:rPr>
          <w:b/>
          <w:bCs/>
          <w:sz w:val="28"/>
          <w:szCs w:val="28"/>
        </w:rPr>
        <w:t xml:space="preserve">投标人拥有的设施设备情况（若有的话）</w:t>
      </w:r>
      <w:r>
        <w:rPr>
          <w:b/>
          <w:bCs/>
          <w:sz w:val="28"/>
          <w:szCs w:val="28"/>
        </w:rPr>
      </w:r>
      <w:r/>
    </w:p>
    <w:p>
      <w:pPr>
        <w:pStyle w:val="1333"/>
        <w:rPr>
          <w:rFonts w:eastAsia="宋体"/>
        </w:rPr>
        <w:outlineLvl w:val="2"/>
      </w:pPr>
      <w:r>
        <w:rPr>
          <w:rFonts w:eastAsia="宋体"/>
        </w:rPr>
        <w:br w:type="page" w:clear="all"/>
      </w:r>
      <w:r>
        <w:rPr>
          <w:rFonts w:eastAsia="宋体"/>
          <w:b/>
          <w:sz w:val="28"/>
        </w:rPr>
        <w:t xml:space="preserve">  类似业绩一览表</w:t>
      </w:r>
      <w:r>
        <w:rPr>
          <w:rFonts w:eastAsia="宋体"/>
        </w:rPr>
      </w:r>
      <w:r/>
    </w:p>
    <w:p>
      <w:pPr>
        <w:pStyle w:val="1334"/>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34"/>
        <w:jc w:val="center"/>
        <w:spacing w:before="360" w:after="360" w:line="300" w:lineRule="auto"/>
        <w:rPr>
          <w:rFonts w:eastAsia="宋体"/>
          <w:b/>
          <w:bCs/>
          <w:sz w:val="36"/>
          <w:szCs w:val="36"/>
        </w:rPr>
      </w:pPr>
      <w:r>
        <w:rPr>
          <w:rFonts w:eastAsia="宋体"/>
          <w:b/>
          <w:bCs/>
          <w:sz w:val="36"/>
          <w:szCs w:val="36"/>
        </w:rPr>
        <w:t xml:space="preserve">类似业绩一览表 </w:t>
      </w:r>
      <w:r>
        <w:rPr>
          <w:rFonts w:eastAsia="宋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Mar>
              <w:left w:w="0" w:type="dxa"/>
              <w:top w:w="0" w:type="dxa"/>
              <w:right w:w="0" w:type="dxa"/>
              <w:bottom w:w="0" w:type="dxa"/>
            </w:tcMar>
            <w:tcW w:w="1142" w:type="dxa"/>
            <w:vAlign w:val="center"/>
            <w:textDirection w:val="lrTb"/>
            <w:noWrap w:val="false"/>
          </w:tcPr>
          <w:p>
            <w:pPr>
              <w:pStyle w:val="1334"/>
              <w:rPr>
                <w:rFonts w:eastAsia="宋体"/>
              </w:rPr>
            </w:pPr>
            <w:r>
              <w:rPr>
                <w:rFonts w:eastAsia="宋体"/>
              </w:rPr>
              <w:t xml:space="preserve">序号 </w:t>
            </w:r>
            <w:r>
              <w:rPr>
                <w:rFonts w:eastAsia="宋体"/>
              </w:rPr>
            </w:r>
            <w:r/>
          </w:p>
        </w:tc>
        <w:tc>
          <w:tcPr>
            <w:tcMar>
              <w:left w:w="0" w:type="dxa"/>
              <w:top w:w="0" w:type="dxa"/>
              <w:right w:w="0" w:type="dxa"/>
              <w:bottom w:w="0" w:type="dxa"/>
            </w:tcMar>
            <w:tcW w:w="2246" w:type="dxa"/>
            <w:vAlign w:val="center"/>
            <w:textDirection w:val="lrTb"/>
            <w:noWrap w:val="false"/>
          </w:tcPr>
          <w:p>
            <w:pPr>
              <w:pStyle w:val="1334"/>
              <w:rPr>
                <w:rFonts w:eastAsia="宋体"/>
              </w:rPr>
            </w:pPr>
            <w:r>
              <w:rPr>
                <w:rFonts w:eastAsia="宋体"/>
              </w:rPr>
              <w:t xml:space="preserve">项目名称 </w:t>
            </w:r>
            <w:r>
              <w:rPr>
                <w:rFonts w:eastAsia="宋体"/>
              </w:rPr>
            </w:r>
            <w:r/>
          </w:p>
        </w:tc>
        <w:tc>
          <w:tcPr>
            <w:tcMar>
              <w:left w:w="0" w:type="dxa"/>
              <w:top w:w="0" w:type="dxa"/>
              <w:right w:w="0" w:type="dxa"/>
              <w:bottom w:w="0" w:type="dxa"/>
            </w:tcMar>
            <w:tcW w:w="3351" w:type="dxa"/>
            <w:vAlign w:val="center"/>
            <w:textDirection w:val="lrTb"/>
            <w:noWrap w:val="false"/>
          </w:tcPr>
          <w:p>
            <w:pPr>
              <w:pStyle w:val="1334"/>
              <w:rPr>
                <w:rFonts w:eastAsia="宋体"/>
              </w:rPr>
            </w:pPr>
            <w:r>
              <w:rPr>
                <w:rFonts w:eastAsia="宋体"/>
              </w:rPr>
              <w:t xml:space="preserve">合同期（天） </w:t>
            </w:r>
            <w:r>
              <w:rPr>
                <w:rFonts w:eastAsia="宋体"/>
              </w:rPr>
            </w:r>
            <w:r/>
          </w:p>
        </w:tc>
        <w:tc>
          <w:tcPr>
            <w:tcMar>
              <w:left w:w="0" w:type="dxa"/>
              <w:top w:w="0" w:type="dxa"/>
              <w:right w:w="0" w:type="dxa"/>
              <w:bottom w:w="0" w:type="dxa"/>
            </w:tcMar>
            <w:tcW w:w="2246" w:type="dxa"/>
            <w:vAlign w:val="center"/>
            <w:textDirection w:val="lrTb"/>
            <w:noWrap w:val="false"/>
          </w:tcPr>
          <w:p>
            <w:pPr>
              <w:pStyle w:val="1334"/>
              <w:rPr>
                <w:rFonts w:eastAsia="宋体"/>
              </w:rPr>
            </w:pPr>
            <w:r>
              <w:rPr>
                <w:rFonts w:eastAsia="宋体"/>
              </w:rPr>
              <w:t xml:space="preserve">合同金额 </w:t>
            </w:r>
            <w:r>
              <w:rPr>
                <w:rFonts w:eastAsia="宋体"/>
              </w:rPr>
            </w:r>
            <w:r/>
          </w:p>
        </w:tc>
      </w:tr>
      <w:tr>
        <w:trPr/>
        <w:tc>
          <w:tcPr>
            <w:tcMar>
              <w:left w:w="0" w:type="dxa"/>
              <w:top w:w="0" w:type="dxa"/>
              <w:right w:w="0" w:type="dxa"/>
              <w:bottom w:w="0" w:type="dxa"/>
            </w:tcMar>
            <w:tcW w:w="1142" w:type="dxa"/>
            <w:vAlign w:val="center"/>
            <w:textDirection w:val="lrTb"/>
            <w:noWrap w:val="false"/>
          </w:tcPr>
          <w:p>
            <w:pPr>
              <w:pStyle w:val="1334"/>
              <w:rPr>
                <w:rFonts w:eastAsia="宋体"/>
              </w:rPr>
            </w:pPr>
            <w:r/>
            <w:bookmarkStart w:id="278" w:name="xh"/>
            <w:r/>
            <w:bookmarkEnd w:id="278"/>
            <w:r>
              <w:rPr>
                <w:rFonts w:eastAsia="宋体"/>
              </w:rPr>
            </w:r>
            <w:r/>
          </w:p>
        </w:tc>
        <w:tc>
          <w:tcPr>
            <w:tcMar>
              <w:left w:w="0" w:type="dxa"/>
              <w:top w:w="0" w:type="dxa"/>
              <w:right w:w="0" w:type="dxa"/>
              <w:bottom w:w="0" w:type="dxa"/>
            </w:tcMar>
            <w:tcW w:w="2246" w:type="dxa"/>
            <w:vAlign w:val="center"/>
            <w:textDirection w:val="lrTb"/>
            <w:noWrap w:val="false"/>
          </w:tcPr>
          <w:p>
            <w:pPr>
              <w:pStyle w:val="1334"/>
              <w:rPr>
                <w:rFonts w:eastAsia="宋体"/>
              </w:rPr>
            </w:pPr>
            <w:r/>
            <w:bookmarkStart w:id="279" w:name="XmName"/>
            <w:r/>
            <w:bookmarkEnd w:id="279"/>
            <w:r>
              <w:rPr>
                <w:rFonts w:eastAsia="宋体"/>
              </w:rPr>
            </w:r>
            <w:r/>
          </w:p>
        </w:tc>
        <w:tc>
          <w:tcPr>
            <w:tcMar>
              <w:left w:w="0" w:type="dxa"/>
              <w:top w:w="0" w:type="dxa"/>
              <w:right w:w="0" w:type="dxa"/>
              <w:bottom w:w="0" w:type="dxa"/>
            </w:tcMar>
            <w:tcW w:w="3351" w:type="dxa"/>
            <w:vAlign w:val="center"/>
            <w:textDirection w:val="lrTb"/>
            <w:noWrap w:val="false"/>
          </w:tcPr>
          <w:p>
            <w:pPr>
              <w:pStyle w:val="1334"/>
              <w:rPr>
                <w:rFonts w:eastAsia="宋体"/>
              </w:rPr>
            </w:pPr>
            <w:r>
              <w:rPr>
                <w:rFonts w:eastAsia="宋体"/>
              </w:rPr>
              <w:t xml:space="preserve">    </w:t>
            </w:r>
            <w:r>
              <w:rPr>
                <w:rFonts w:eastAsia="宋体"/>
              </w:rPr>
            </w:r>
            <w:r/>
          </w:p>
        </w:tc>
        <w:tc>
          <w:tcPr>
            <w:tcMar>
              <w:left w:w="0" w:type="dxa"/>
              <w:top w:w="0" w:type="dxa"/>
              <w:right w:w="0" w:type="dxa"/>
              <w:bottom w:w="0" w:type="dxa"/>
            </w:tcMar>
            <w:tcW w:w="2246" w:type="dxa"/>
            <w:vAlign w:val="center"/>
            <w:textDirection w:val="lrTb"/>
            <w:noWrap w:val="false"/>
          </w:tcPr>
          <w:p>
            <w:pPr>
              <w:pStyle w:val="1334"/>
              <w:rPr>
                <w:rFonts w:eastAsia="宋体"/>
              </w:rPr>
            </w:pPr>
            <w:r/>
            <w:bookmarkStart w:id="280" w:name="ZhongBiaoJia"/>
            <w:r/>
            <w:bookmarkEnd w:id="280"/>
            <w:r>
              <w:rPr>
                <w:rFonts w:eastAsia="宋体"/>
              </w:rPr>
            </w:r>
            <w:r/>
          </w:p>
        </w:tc>
      </w:tr>
    </w:tbl>
    <w:p>
      <w:pPr>
        <w:pStyle w:val="1334"/>
        <w:jc w:val="center"/>
        <w:spacing w:before="240" w:after="240"/>
        <w:rPr>
          <w:rFonts w:eastAsia="宋体"/>
        </w:rPr>
      </w:pPr>
      <w:r>
        <w:rPr>
          <w:rFonts w:eastAsia="宋体"/>
        </w:rPr>
        <w:t xml:space="preserve">  </w:t>
      </w:r>
      <w:r>
        <w:rPr>
          <w:rFonts w:eastAsia="宋体"/>
        </w:rPr>
      </w:r>
      <w:r/>
    </w:p>
    <w:p>
      <w:pPr>
        <w:pStyle w:val="1335"/>
        <w:rPr>
          <w:rFonts w:eastAsia="宋体"/>
        </w:rPr>
        <w:outlineLvl w:val="2"/>
      </w:pPr>
      <w:r>
        <w:rPr>
          <w:rFonts w:eastAsia="宋体"/>
        </w:rPr>
        <w:br w:type="page" w:clear="all"/>
      </w:r>
      <w:r>
        <w:rPr>
          <w:rFonts w:eastAsia="宋体"/>
          <w:b/>
          <w:sz w:val="28"/>
        </w:rPr>
        <w:t xml:space="preserve">  投标人获得的相关证书</w:t>
      </w:r>
      <w:r>
        <w:rPr>
          <w:rFonts w:eastAsia="宋体"/>
        </w:rPr>
      </w:r>
      <w:r/>
    </w:p>
    <w:p>
      <w:pPr>
        <w:pStyle w:val="1336"/>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36"/>
        <w:spacing w:before="240" w:after="240"/>
        <w:rPr>
          <w:rFonts w:eastAsia="宋体"/>
        </w:rPr>
      </w:pPr>
      <w:r>
        <w:rPr>
          <w:rFonts w:eastAsia="宋体"/>
        </w:rPr>
        <w:t xml:space="preserve"> </w:t>
      </w:r>
      <w:r>
        <w:rPr>
          <w:rFonts w:eastAsia="宋体"/>
        </w:rPr>
      </w:r>
      <w:r/>
    </w:p>
    <w:p>
      <w:pPr>
        <w:pStyle w:val="1336"/>
        <w:jc w:val="center"/>
        <w:spacing w:before="360" w:after="360" w:line="300" w:lineRule="auto"/>
        <w:rPr>
          <w:rFonts w:eastAsia="宋体"/>
          <w:b/>
          <w:bCs/>
          <w:sz w:val="36"/>
          <w:szCs w:val="36"/>
        </w:rPr>
      </w:pPr>
      <w:r>
        <w:rPr>
          <w:rFonts w:eastAsia="宋体"/>
          <w:b/>
          <w:bCs/>
          <w:sz w:val="36"/>
          <w:szCs w:val="36"/>
        </w:rPr>
        <w:t xml:space="preserve">各类证书</w:t>
      </w:r>
      <w:r>
        <w:rPr>
          <w:rFonts w:eastAsia="宋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336"/>
              <w:jc w:val="center"/>
              <w:rPr>
                <w:rFonts w:eastAsia="宋体"/>
              </w:rPr>
            </w:pPr>
            <w:r>
              <w:rPr>
                <w:rFonts w:eastAsia="宋体"/>
              </w:rPr>
              <w:t xml:space="preserve">证书名称 </w:t>
            </w:r>
            <w:r>
              <w:rPr>
                <w:rFonts w:eastAsia="宋体"/>
              </w:rPr>
            </w:r>
            <w:r/>
          </w:p>
        </w:tc>
        <w:tc>
          <w:tcPr>
            <w:tcMar>
              <w:left w:w="0" w:type="dxa"/>
              <w:top w:w="0" w:type="dxa"/>
              <w:right w:w="0" w:type="dxa"/>
              <w:bottom w:w="0" w:type="dxa"/>
            </w:tcMar>
            <w:tcW w:w="1815" w:type="dxa"/>
            <w:vAlign w:val="center"/>
            <w:textDirection w:val="lrTb"/>
            <w:noWrap w:val="false"/>
          </w:tcPr>
          <w:p>
            <w:pPr>
              <w:pStyle w:val="1336"/>
              <w:jc w:val="center"/>
              <w:rPr>
                <w:rFonts w:eastAsia="宋体"/>
              </w:rPr>
            </w:pPr>
            <w:r>
              <w:rPr>
                <w:rFonts w:eastAsia="宋体"/>
              </w:rPr>
              <w:t xml:space="preserve">查看 </w:t>
            </w:r>
            <w:r>
              <w:rPr>
                <w:rFonts w:eastAsia="宋体"/>
              </w:rPr>
            </w:r>
            <w:r/>
          </w:p>
        </w:tc>
      </w:tr>
      <w:tr>
        <w:trPr/>
        <w:tc>
          <w:tcPr>
            <w:tcMar>
              <w:left w:w="0" w:type="dxa"/>
              <w:top w:w="0" w:type="dxa"/>
              <w:right w:w="0" w:type="dxa"/>
              <w:bottom w:w="0" w:type="dxa"/>
            </w:tcMar>
            <w:tcW w:w="7170" w:type="dxa"/>
            <w:vAlign w:val="center"/>
            <w:textDirection w:val="lrTb"/>
            <w:noWrap w:val="false"/>
          </w:tcPr>
          <w:p>
            <w:pPr>
              <w:pStyle w:val="1336"/>
              <w:rPr>
                <w:rFonts w:eastAsia="宋体"/>
              </w:rPr>
            </w:pPr>
            <w:r/>
            <w:bookmarkStart w:id="281" w:name="MC_0"/>
            <w:r/>
            <w:bookmarkEnd w:id="281"/>
            <w:r>
              <w:rPr>
                <w:rFonts w:eastAsia="宋体"/>
              </w:rPr>
              <w:t xml:space="preserve">  </w:t>
            </w:r>
            <w:r>
              <w:rPr>
                <w:rFonts w:eastAsia="宋体"/>
              </w:rPr>
            </w:r>
            <w:r/>
          </w:p>
        </w:tc>
        <w:tc>
          <w:tcPr>
            <w:tcMar>
              <w:left w:w="0" w:type="dxa"/>
              <w:top w:w="0" w:type="dxa"/>
              <w:right w:w="0" w:type="dxa"/>
              <w:bottom w:w="0" w:type="dxa"/>
            </w:tcMar>
            <w:tcW w:w="1815" w:type="dxa"/>
            <w:vAlign w:val="center"/>
            <w:textDirection w:val="lrTb"/>
            <w:noWrap w:val="false"/>
          </w:tcPr>
          <w:p>
            <w:pPr>
              <w:pStyle w:val="1336"/>
              <w:rPr>
                <w:rFonts w:eastAsia="宋体"/>
              </w:rPr>
            </w:pPr>
            <w:r/>
            <w:bookmarkStart w:id="282" w:name="ChaKan_1"/>
            <w:r/>
            <w:bookmarkEnd w:id="282"/>
            <w:r>
              <w:rPr>
                <w:rFonts w:eastAsia="宋体"/>
              </w:rPr>
            </w:r>
            <w:r/>
          </w:p>
        </w:tc>
      </w:tr>
    </w:tbl>
    <w:p>
      <w:pPr>
        <w:pStyle w:val="1336"/>
        <w:spacing w:before="240" w:after="240"/>
        <w:rPr>
          <w:rFonts w:eastAsia="宋体"/>
        </w:rPr>
      </w:pPr>
      <w:r>
        <w:rPr>
          <w:rFonts w:eastAsia="宋体"/>
        </w:rPr>
        <w:t xml:space="preserve"> </w:t>
      </w:r>
      <w:r>
        <w:rPr>
          <w:rFonts w:eastAsia="宋体"/>
        </w:rPr>
      </w:r>
      <w:r/>
    </w:p>
    <w:p>
      <w:pPr>
        <w:pStyle w:val="1336"/>
        <w:spacing w:before="240" w:after="240"/>
        <w:rPr>
          <w:rFonts w:eastAsia="宋体"/>
        </w:rPr>
      </w:pPr>
      <w:r>
        <w:rPr>
          <w:rFonts w:eastAsia="宋体"/>
        </w:rPr>
        <w:t xml:space="preserve"> </w:t>
      </w:r>
      <w:r>
        <w:rPr>
          <w:rFonts w:eastAsia="宋体"/>
        </w:rPr>
      </w:r>
      <w:r/>
    </w:p>
    <w:p>
      <w:pPr>
        <w:pStyle w:val="1336"/>
        <w:spacing w:before="240" w:after="240"/>
        <w:rPr>
          <w:rFonts w:eastAsia="宋体"/>
        </w:rPr>
      </w:pPr>
      <w:r>
        <w:rPr>
          <w:rFonts w:eastAsia="宋体"/>
        </w:rPr>
        <w:t xml:space="preserve"> </w:t>
      </w:r>
      <w:r>
        <w:rPr>
          <w:rFonts w:eastAsia="宋体"/>
        </w:rPr>
      </w:r>
      <w:r/>
    </w:p>
    <w:p>
      <w:pPr>
        <w:pStyle w:val="1337"/>
        <w:rPr>
          <w:rFonts w:eastAsia="宋体"/>
        </w:rPr>
        <w:outlineLvl w:val="2"/>
      </w:pPr>
      <w:r>
        <w:rPr>
          <w:rFonts w:eastAsia="宋体"/>
        </w:rPr>
        <w:br w:type="page" w:clear="all"/>
      </w:r>
      <w:r>
        <w:rPr>
          <w:rFonts w:eastAsia="宋体"/>
          <w:b/>
          <w:sz w:val="28"/>
        </w:rPr>
        <w:t xml:space="preserve">  投标人获得的相关奖项</w:t>
      </w:r>
      <w:r>
        <w:rPr>
          <w:rFonts w:eastAsia="宋体"/>
        </w:rPr>
      </w:r>
      <w:r/>
    </w:p>
    <w:p>
      <w:pPr>
        <w:pStyle w:val="1338"/>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38"/>
        <w:spacing w:before="240" w:after="240"/>
        <w:rPr>
          <w:rFonts w:eastAsia="宋体"/>
        </w:rPr>
      </w:pPr>
      <w:r>
        <w:rPr>
          <w:rFonts w:eastAsia="宋体"/>
        </w:rPr>
        <w:t xml:space="preserve"> </w:t>
      </w:r>
      <w:r>
        <w:rPr>
          <w:rFonts w:eastAsia="宋体"/>
        </w:rPr>
      </w:r>
      <w:r/>
    </w:p>
    <w:p>
      <w:pPr>
        <w:pStyle w:val="1338"/>
        <w:jc w:val="center"/>
        <w:spacing w:before="360" w:after="360" w:line="300" w:lineRule="auto"/>
        <w:rPr>
          <w:rFonts w:eastAsia="宋体"/>
          <w:b/>
          <w:bCs/>
          <w:sz w:val="36"/>
          <w:szCs w:val="36"/>
        </w:rPr>
      </w:pPr>
      <w:r>
        <w:rPr>
          <w:rFonts w:eastAsia="宋体"/>
          <w:b/>
          <w:bCs/>
          <w:sz w:val="36"/>
          <w:szCs w:val="36"/>
        </w:rPr>
        <w:t xml:space="preserve">各类奖项</w:t>
      </w:r>
      <w:r>
        <w:rPr>
          <w:rFonts w:eastAsia="宋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338"/>
              <w:jc w:val="center"/>
              <w:rPr>
                <w:rFonts w:eastAsia="宋体"/>
              </w:rPr>
            </w:pPr>
            <w:r>
              <w:rPr>
                <w:rFonts w:eastAsia="宋体"/>
              </w:rPr>
              <w:t xml:space="preserve">证书名称 </w:t>
            </w:r>
            <w:r>
              <w:rPr>
                <w:rFonts w:eastAsia="宋体"/>
              </w:rPr>
            </w:r>
            <w:r/>
          </w:p>
        </w:tc>
        <w:tc>
          <w:tcPr>
            <w:tcMar>
              <w:left w:w="0" w:type="dxa"/>
              <w:top w:w="0" w:type="dxa"/>
              <w:right w:w="0" w:type="dxa"/>
              <w:bottom w:w="0" w:type="dxa"/>
            </w:tcMar>
            <w:tcW w:w="1815" w:type="dxa"/>
            <w:vAlign w:val="center"/>
            <w:textDirection w:val="lrTb"/>
            <w:noWrap w:val="false"/>
          </w:tcPr>
          <w:p>
            <w:pPr>
              <w:pStyle w:val="1338"/>
              <w:jc w:val="center"/>
              <w:rPr>
                <w:rFonts w:eastAsia="宋体"/>
              </w:rPr>
            </w:pPr>
            <w:r>
              <w:rPr>
                <w:rFonts w:eastAsia="宋体"/>
              </w:rPr>
              <w:t xml:space="preserve">查看 </w:t>
            </w:r>
            <w:r>
              <w:rPr>
                <w:rFonts w:eastAsia="宋体"/>
              </w:rPr>
            </w:r>
            <w:r/>
          </w:p>
        </w:tc>
      </w:tr>
      <w:tr>
        <w:trPr/>
        <w:tc>
          <w:tcPr>
            <w:tcMar>
              <w:left w:w="0" w:type="dxa"/>
              <w:top w:w="0" w:type="dxa"/>
              <w:right w:w="0" w:type="dxa"/>
              <w:bottom w:w="0" w:type="dxa"/>
            </w:tcMar>
            <w:tcW w:w="7170" w:type="dxa"/>
            <w:vAlign w:val="center"/>
            <w:textDirection w:val="lrTb"/>
            <w:noWrap w:val="false"/>
          </w:tcPr>
          <w:p>
            <w:pPr>
              <w:pStyle w:val="1338"/>
              <w:rPr>
                <w:rFonts w:eastAsia="宋体"/>
              </w:rPr>
            </w:pPr>
            <w:r/>
            <w:bookmarkStart w:id="283" w:name="MC_1"/>
            <w:r/>
            <w:bookmarkEnd w:id="283"/>
            <w:r>
              <w:rPr>
                <w:rFonts w:eastAsia="宋体"/>
              </w:rPr>
              <w:t xml:space="preserve">  </w:t>
            </w:r>
            <w:r>
              <w:rPr>
                <w:rFonts w:eastAsia="宋体"/>
              </w:rPr>
            </w:r>
            <w:r/>
          </w:p>
        </w:tc>
        <w:tc>
          <w:tcPr>
            <w:tcMar>
              <w:left w:w="0" w:type="dxa"/>
              <w:top w:w="0" w:type="dxa"/>
              <w:right w:w="0" w:type="dxa"/>
              <w:bottom w:w="0" w:type="dxa"/>
            </w:tcMar>
            <w:tcW w:w="1815" w:type="dxa"/>
            <w:vAlign w:val="center"/>
            <w:textDirection w:val="lrTb"/>
            <w:noWrap w:val="false"/>
          </w:tcPr>
          <w:p>
            <w:pPr>
              <w:pStyle w:val="1338"/>
              <w:rPr>
                <w:rFonts w:eastAsia="宋体"/>
              </w:rPr>
            </w:pPr>
            <w:r/>
            <w:bookmarkStart w:id="284" w:name="ChaKan_2"/>
            <w:r/>
            <w:bookmarkEnd w:id="284"/>
            <w:r>
              <w:rPr>
                <w:rFonts w:eastAsia="宋体"/>
              </w:rPr>
            </w:r>
            <w:r/>
          </w:p>
        </w:tc>
      </w:tr>
    </w:tbl>
    <w:p>
      <w:pPr>
        <w:pStyle w:val="1338"/>
        <w:spacing w:before="240" w:after="240"/>
        <w:rPr>
          <w:rFonts w:eastAsia="宋体"/>
        </w:rPr>
      </w:pPr>
      <w:r>
        <w:rPr>
          <w:rFonts w:eastAsia="宋体"/>
        </w:rPr>
        <w:t xml:space="preserve"> </w:t>
      </w:r>
      <w:r>
        <w:rPr>
          <w:rFonts w:eastAsia="宋体"/>
        </w:rPr>
      </w:r>
      <w:r/>
    </w:p>
    <w:p>
      <w:pPr>
        <w:pStyle w:val="1338"/>
        <w:spacing w:before="240" w:after="240"/>
        <w:rPr>
          <w:rFonts w:eastAsia="宋体"/>
        </w:rPr>
      </w:pPr>
      <w:r>
        <w:rPr>
          <w:rFonts w:eastAsia="宋体"/>
        </w:rPr>
        <w:t xml:space="preserve"> </w:t>
      </w:r>
      <w:r>
        <w:rPr>
          <w:rFonts w:eastAsia="宋体"/>
        </w:rPr>
      </w:r>
      <w:r/>
    </w:p>
    <w:p>
      <w:pPr>
        <w:pStyle w:val="1338"/>
        <w:spacing w:before="240" w:after="240"/>
        <w:rPr>
          <w:rFonts w:eastAsia="宋体"/>
        </w:rPr>
      </w:pPr>
      <w:r>
        <w:rPr>
          <w:rFonts w:eastAsia="宋体"/>
        </w:rPr>
        <w:t xml:space="preserve"> </w:t>
      </w:r>
      <w:r>
        <w:rPr>
          <w:rFonts w:eastAsia="宋体"/>
        </w:rPr>
      </w:r>
      <w:r/>
    </w:p>
    <w:p>
      <w:pPr>
        <w:pStyle w:val="1339"/>
        <w:rPr>
          <w:rFonts w:eastAsia="宋体"/>
        </w:rPr>
        <w:outlineLvl w:val="1"/>
      </w:pPr>
      <w:r/>
      <w:bookmarkStart w:id="311" w:name="_Toc22"/>
      <w:r>
        <w:rPr>
          <w:rFonts w:eastAsia="宋体"/>
        </w:rPr>
        <w:br w:type="page" w:clear="all"/>
      </w:r>
      <w:r>
        <w:rPr>
          <w:rFonts w:eastAsia="宋体"/>
          <w:b/>
          <w:sz w:val="32"/>
        </w:rPr>
        <w:t xml:space="preserve">八、投标配置及分项报价表</w:t>
      </w:r>
      <w:r>
        <w:rPr>
          <w:rFonts w:eastAsia="宋体"/>
        </w:rPr>
      </w:r>
      <w:bookmarkEnd w:id="311"/>
      <w:r/>
      <w:r/>
    </w:p>
    <w:p>
      <w:pPr>
        <w:pStyle w:val="1340"/>
        <w:spacing w:line="440" w:lineRule="exact"/>
        <w:rPr>
          <w:rFonts w:eastAsia="宋体"/>
          <w:spacing w:val="7"/>
        </w:rPr>
      </w:pPr>
      <w:r>
        <w:rPr>
          <w:rFonts w:ascii="Tahoma" w:hAnsi="Tahoma" w:eastAsia="宋体" w:cs="Tahoma"/>
        </w:rPr>
        <w:t xml:space="preserve">﻿</w:t>
      </w:r>
      <w:r>
        <w:rPr>
          <w:rFonts w:eastAsia="宋体"/>
        </w:rPr>
        <w:t xml:space="preserve"> </w:t>
      </w:r>
      <w:r>
        <w:rPr>
          <w:rFonts w:eastAsia="宋体"/>
          <w:spacing w:val="7"/>
        </w:rPr>
      </w:r>
      <w:r/>
    </w:p>
    <w:p>
      <w:pPr>
        <w:pStyle w:val="1340"/>
        <w:jc w:val="center"/>
        <w:spacing w:before="400" w:after="400" w:line="300" w:lineRule="auto"/>
        <w:rPr>
          <w:rFonts w:eastAsia="宋体"/>
          <w:b/>
          <w:bCs/>
          <w:sz w:val="40"/>
          <w:szCs w:val="40"/>
          <w:lang w:eastAsia="zh-CN"/>
        </w:rPr>
      </w:pPr>
      <w:r>
        <w:rPr>
          <w:rFonts w:eastAsia="宋体"/>
          <w:b/>
          <w:bCs/>
          <w:sz w:val="40"/>
          <w:szCs w:val="40"/>
        </w:rPr>
        <w:t xml:space="preserve">投标配置及分项报价表 </w:t>
      </w:r>
      <w:r>
        <w:rPr>
          <w:rFonts w:eastAsia="宋体"/>
          <w:b/>
          <w:bCs/>
          <w:sz w:val="40"/>
          <w:szCs w:val="40"/>
          <w:lang w:eastAsia="zh-CN"/>
        </w:rPr>
      </w:r>
      <w:r/>
    </w:p>
    <w:tbl>
      <w:tblPr>
        <w:tblW w:w="96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7"/>
        <w:gridCol w:w="1237"/>
        <w:gridCol w:w="1112"/>
        <w:gridCol w:w="2955"/>
        <w:gridCol w:w="1134"/>
        <w:gridCol w:w="2759"/>
      </w:tblGrid>
      <w:tr>
        <w:trPr>
          <w:trHeight w:val="284"/>
        </w:trPr>
        <w:tc>
          <w:tcPr>
            <w:tcMar>
              <w:left w:w="108" w:type="dxa"/>
              <w:top w:w="0" w:type="dxa"/>
              <w:right w:w="108" w:type="dxa"/>
              <w:bottom w:w="0" w:type="dxa"/>
            </w:tcMar>
            <w:tcW w:w="437" w:type="dxa"/>
            <w:vAlign w:val="center"/>
            <w:vMerge w:val="restart"/>
            <w:textDirection w:val="lrTb"/>
            <w:noWrap w:val="false"/>
          </w:tcPr>
          <w:p>
            <w:pPr>
              <w:pStyle w:val="1295"/>
              <w:jc w:val="center"/>
              <w:rPr>
                <w:rFonts w:eastAsia="宋体"/>
                <w:sz w:val="21"/>
                <w:szCs w:val="21"/>
              </w:rPr>
            </w:pPr>
            <w:r/>
            <w:bookmarkStart w:id="287" w:name="_Hlk152575831"/>
            <w:r>
              <w:rPr>
                <w:rFonts w:eastAsia="宋体"/>
                <w:b/>
                <w:bCs/>
                <w:sz w:val="22"/>
                <w:szCs w:val="22"/>
              </w:rPr>
              <w:t xml:space="preserve">序号</w:t>
            </w:r>
            <w:r>
              <w:rPr>
                <w:rFonts w:eastAsia="宋体"/>
                <w:sz w:val="21"/>
                <w:szCs w:val="21"/>
              </w:rPr>
            </w:r>
            <w:r/>
          </w:p>
        </w:tc>
        <w:tc>
          <w:tcPr>
            <w:tcMar>
              <w:left w:w="108" w:type="dxa"/>
              <w:top w:w="0" w:type="dxa"/>
              <w:right w:w="108" w:type="dxa"/>
              <w:bottom w:w="0" w:type="dxa"/>
            </w:tcMar>
            <w:tcW w:w="1237" w:type="dxa"/>
            <w:vAlign w:val="center"/>
            <w:vMerge w:val="restart"/>
            <w:textDirection w:val="lrTb"/>
            <w:noWrap w:val="false"/>
          </w:tcPr>
          <w:p>
            <w:pPr>
              <w:pStyle w:val="1295"/>
              <w:jc w:val="center"/>
              <w:rPr>
                <w:rFonts w:eastAsia="宋体"/>
                <w:sz w:val="21"/>
                <w:szCs w:val="21"/>
              </w:rPr>
            </w:pPr>
            <w:r>
              <w:rPr>
                <w:rFonts w:eastAsia="宋体"/>
                <w:b/>
                <w:bCs/>
                <w:sz w:val="22"/>
                <w:szCs w:val="22"/>
              </w:rPr>
              <w:t xml:space="preserve">名称</w:t>
            </w:r>
            <w:r>
              <w:rPr>
                <w:rFonts w:eastAsia="宋体"/>
                <w:sz w:val="21"/>
                <w:szCs w:val="21"/>
              </w:rPr>
            </w:r>
            <w:r/>
          </w:p>
        </w:tc>
        <w:tc>
          <w:tcPr>
            <w:gridSpan w:val="2"/>
            <w:tcMar>
              <w:left w:w="108" w:type="dxa"/>
              <w:top w:w="0" w:type="dxa"/>
              <w:right w:w="108" w:type="dxa"/>
              <w:bottom w:w="0" w:type="dxa"/>
            </w:tcMar>
            <w:tcW w:w="4067" w:type="dxa"/>
            <w:vAlign w:val="center"/>
            <w:textDirection w:val="lrTb"/>
            <w:noWrap w:val="false"/>
          </w:tcPr>
          <w:p>
            <w:pPr>
              <w:pStyle w:val="1295"/>
              <w:jc w:val="center"/>
              <w:rPr>
                <w:rFonts w:eastAsia="宋体"/>
                <w:sz w:val="21"/>
                <w:szCs w:val="21"/>
              </w:rPr>
            </w:pPr>
            <w:r>
              <w:rPr>
                <w:rFonts w:eastAsia="宋体"/>
                <w:b/>
                <w:bCs/>
                <w:sz w:val="22"/>
                <w:szCs w:val="22"/>
              </w:rPr>
              <w:t xml:space="preserve">备注</w:t>
            </w:r>
            <w:r>
              <w:rPr>
                <w:rFonts w:eastAsia="宋体"/>
                <w:sz w:val="21"/>
                <w:szCs w:val="21"/>
              </w:rPr>
            </w:r>
            <w:r/>
          </w:p>
        </w:tc>
        <w:tc>
          <w:tcPr>
            <w:gridSpan w:val="2"/>
            <w:tcW w:w="3893" w:type="dxa"/>
            <w:vAlign w:val="top"/>
            <w:textDirection w:val="lrTb"/>
            <w:noWrap w:val="false"/>
          </w:tcPr>
          <w:p>
            <w:pPr>
              <w:pStyle w:val="1295"/>
              <w:jc w:val="center"/>
              <w:rPr>
                <w:rFonts w:eastAsia="宋体"/>
                <w:sz w:val="21"/>
                <w:szCs w:val="21"/>
              </w:rPr>
            </w:pPr>
            <w:r>
              <w:rPr>
                <w:rFonts w:eastAsia="宋体"/>
                <w:b/>
                <w:bCs/>
                <w:sz w:val="22"/>
                <w:szCs w:val="22"/>
              </w:rPr>
              <w:t xml:space="preserve">报价（元）</w:t>
            </w:r>
            <w:r>
              <w:rPr>
                <w:rFonts w:eastAsia="宋体"/>
                <w:sz w:val="21"/>
                <w:szCs w:val="21"/>
              </w:rPr>
            </w:r>
            <w:r/>
          </w:p>
        </w:tc>
      </w:tr>
      <w:tr>
        <w:trPr>
          <w:trHeight w:val="284"/>
        </w:trPr>
        <w:tc>
          <w:tcPr>
            <w:tcW w:w="437" w:type="dxa"/>
            <w:vAlign w:val="center"/>
            <w:vMerge w:val="continue"/>
            <w:textDirection w:val="lrTb"/>
            <w:noWrap w:val="false"/>
          </w:tcPr>
          <w:p>
            <w:pPr>
              <w:pStyle w:val="1295"/>
              <w:rPr>
                <w:rFonts w:eastAsia="宋体"/>
                <w:b/>
                <w:bCs/>
                <w:sz w:val="22"/>
                <w:szCs w:val="22"/>
              </w:rPr>
            </w:pPr>
            <w:r>
              <w:rPr>
                <w:rFonts w:eastAsia="宋体"/>
                <w:b/>
                <w:bCs/>
                <w:sz w:val="22"/>
                <w:szCs w:val="22"/>
              </w:rPr>
            </w:r>
            <w:r/>
          </w:p>
        </w:tc>
        <w:tc>
          <w:tcPr>
            <w:tcW w:w="1237" w:type="dxa"/>
            <w:vAlign w:val="center"/>
            <w:vMerge w:val="continue"/>
            <w:textDirection w:val="lrTb"/>
            <w:noWrap w:val="false"/>
          </w:tcPr>
          <w:p>
            <w:pPr>
              <w:pStyle w:val="1295"/>
              <w:rPr>
                <w:rFonts w:eastAsia="宋体"/>
                <w:b/>
                <w:bCs/>
                <w:sz w:val="22"/>
                <w:szCs w:val="22"/>
              </w:rPr>
            </w:pPr>
            <w:r>
              <w:rPr>
                <w:rFonts w:eastAsia="宋体"/>
                <w:b/>
                <w:bCs/>
                <w:sz w:val="22"/>
                <w:szCs w:val="22"/>
              </w:rPr>
            </w:r>
            <w:r/>
          </w:p>
        </w:tc>
        <w:tc>
          <w:tcPr>
            <w:gridSpan w:val="2"/>
            <w:tcMar>
              <w:left w:w="108" w:type="dxa"/>
              <w:top w:w="0" w:type="dxa"/>
              <w:right w:w="108" w:type="dxa"/>
              <w:bottom w:w="0" w:type="dxa"/>
            </w:tcMar>
            <w:tcW w:w="4067" w:type="dxa"/>
            <w:vAlign w:val="center"/>
            <w:textDirection w:val="lrTb"/>
            <w:noWrap w:val="false"/>
          </w:tcPr>
          <w:p>
            <w:pPr>
              <w:pStyle w:val="1295"/>
              <w:jc w:val="center"/>
              <w:rPr>
                <w:rFonts w:eastAsia="宋体"/>
                <w:b/>
                <w:bCs/>
                <w:sz w:val="22"/>
                <w:szCs w:val="22"/>
              </w:rPr>
            </w:pPr>
            <w:r>
              <w:rPr>
                <w:rFonts w:eastAsia="宋体"/>
                <w:b/>
                <w:bCs/>
                <w:sz w:val="22"/>
                <w:szCs w:val="22"/>
              </w:rPr>
              <w:t xml:space="preserve">服务内容</w:t>
            </w:r>
            <w:r>
              <w:rPr>
                <w:rFonts w:eastAsia="宋体"/>
                <w:b/>
                <w:bCs/>
                <w:sz w:val="22"/>
                <w:szCs w:val="22"/>
              </w:rPr>
            </w:r>
            <w:r/>
          </w:p>
        </w:tc>
        <w:tc>
          <w:tcPr>
            <w:tcMar>
              <w:left w:w="108" w:type="dxa"/>
              <w:top w:w="0" w:type="dxa"/>
              <w:right w:w="108" w:type="dxa"/>
              <w:bottom w:w="0" w:type="dxa"/>
            </w:tcMar>
            <w:tcW w:w="1134" w:type="dxa"/>
            <w:vAlign w:val="center"/>
            <w:textDirection w:val="lrTb"/>
            <w:noWrap w:val="false"/>
          </w:tcPr>
          <w:p>
            <w:pPr>
              <w:pStyle w:val="1295"/>
              <w:jc w:val="center"/>
              <w:rPr>
                <w:rFonts w:eastAsia="宋体"/>
                <w:b/>
                <w:bCs/>
                <w:sz w:val="22"/>
                <w:szCs w:val="22"/>
              </w:rPr>
            </w:pPr>
            <w:r>
              <w:rPr>
                <w:rFonts w:eastAsia="宋体"/>
                <w:b/>
                <w:bCs/>
                <w:sz w:val="22"/>
                <w:szCs w:val="22"/>
              </w:rPr>
              <w:t xml:space="preserve">运行</w:t>
            </w:r>
            <w:r>
              <w:rPr>
                <w:rFonts w:eastAsia="宋体"/>
                <w:b/>
                <w:bCs/>
                <w:sz w:val="22"/>
                <w:szCs w:val="22"/>
              </w:rPr>
            </w:r>
            <w:r/>
          </w:p>
          <w:p>
            <w:pPr>
              <w:pStyle w:val="1295"/>
              <w:jc w:val="center"/>
              <w:rPr>
                <w:rFonts w:eastAsia="宋体"/>
                <w:sz w:val="21"/>
                <w:szCs w:val="21"/>
                <w:lang w:eastAsia="zh-CN"/>
              </w:rPr>
            </w:pPr>
            <w:r>
              <w:rPr>
                <w:rFonts w:eastAsia="宋体"/>
                <w:b/>
                <w:bCs/>
                <w:sz w:val="22"/>
                <w:szCs w:val="22"/>
              </w:rPr>
              <w:t xml:space="preserve">时间</w:t>
            </w:r>
            <w:r>
              <w:rPr>
                <w:rFonts w:eastAsia="宋体"/>
                <w:sz w:val="21"/>
                <w:szCs w:val="21"/>
                <w:lang w:eastAsia="zh-CN"/>
              </w:rPr>
            </w:r>
            <w:r/>
          </w:p>
        </w:tc>
        <w:tc>
          <w:tcPr>
            <w:tcMar>
              <w:left w:w="108" w:type="dxa"/>
              <w:top w:w="0" w:type="dxa"/>
              <w:right w:w="108" w:type="dxa"/>
              <w:bottom w:w="0" w:type="dxa"/>
            </w:tcMar>
            <w:tcW w:w="2759" w:type="dxa"/>
            <w:vAlign w:val="center"/>
            <w:textDirection w:val="lrTb"/>
            <w:noWrap w:val="false"/>
          </w:tcPr>
          <w:p>
            <w:pPr>
              <w:pStyle w:val="1295"/>
              <w:jc w:val="center"/>
              <w:rPr>
                <w:rFonts w:eastAsia="宋体"/>
                <w:b/>
                <w:bCs/>
                <w:sz w:val="22"/>
                <w:szCs w:val="22"/>
              </w:rPr>
            </w:pPr>
            <w:r>
              <w:rPr>
                <w:rFonts w:eastAsia="宋体"/>
                <w:b/>
                <w:bCs/>
                <w:sz w:val="22"/>
                <w:szCs w:val="22"/>
              </w:rPr>
              <w:t xml:space="preserve">合计</w:t>
            </w:r>
            <w:r>
              <w:rPr>
                <w:rFonts w:eastAsia="宋体"/>
                <w:b/>
                <w:bCs/>
                <w:sz w:val="22"/>
                <w:szCs w:val="22"/>
              </w:rPr>
            </w:r>
            <w:r/>
          </w:p>
          <w:p>
            <w:pPr>
              <w:pStyle w:val="1295"/>
              <w:jc w:val="center"/>
              <w:rPr>
                <w:rFonts w:eastAsia="宋体"/>
                <w:sz w:val="21"/>
                <w:szCs w:val="21"/>
                <w:lang w:eastAsia="zh-CN"/>
              </w:rPr>
            </w:pPr>
            <w:r>
              <w:rPr>
                <w:rFonts w:eastAsia="宋体"/>
                <w:b/>
                <w:bCs/>
                <w:sz w:val="22"/>
                <w:szCs w:val="22"/>
              </w:rPr>
              <w:t xml:space="preserve">（元）</w:t>
            </w:r>
            <w:r>
              <w:rPr>
                <w:rFonts w:eastAsia="宋体"/>
                <w:sz w:val="21"/>
                <w:szCs w:val="21"/>
                <w:lang w:eastAsia="zh-CN"/>
              </w:rPr>
            </w:r>
            <w:r/>
          </w:p>
        </w:tc>
      </w:tr>
      <w:tr>
        <w:trPr>
          <w:trHeight w:val="398"/>
        </w:trPr>
        <w:tc>
          <w:tcPr>
            <w:tcMar>
              <w:left w:w="108" w:type="dxa"/>
              <w:top w:w="0" w:type="dxa"/>
              <w:right w:w="108" w:type="dxa"/>
              <w:bottom w:w="0" w:type="dxa"/>
            </w:tcMar>
            <w:tcW w:w="437" w:type="dxa"/>
            <w:vAlign w:val="center"/>
            <w:textDirection w:val="lrTb"/>
            <w:noWrap w:val="false"/>
          </w:tcPr>
          <w:p>
            <w:pPr>
              <w:pStyle w:val="1295"/>
              <w:jc w:val="center"/>
              <w:rPr>
                <w:rFonts w:eastAsia="宋体"/>
                <w:sz w:val="21"/>
                <w:szCs w:val="21"/>
              </w:rPr>
            </w:pPr>
            <w:r/>
            <w:bookmarkStart w:id="288" w:name="_Hlk154402558"/>
            <w:r/>
            <w:bookmarkStart w:id="289" w:name="_Hlk154424254"/>
            <w:r>
              <w:rPr>
                <w:rFonts w:eastAsia="宋体"/>
                <w:sz w:val="22"/>
                <w:szCs w:val="22"/>
              </w:rPr>
              <w:t xml:space="preserve">1</w:t>
            </w:r>
            <w:r>
              <w:rPr>
                <w:rFonts w:eastAsia="宋体"/>
                <w:sz w:val="21"/>
                <w:szCs w:val="21"/>
              </w:rPr>
            </w:r>
            <w:r/>
          </w:p>
        </w:tc>
        <w:tc>
          <w:tcPr>
            <w:tcMar>
              <w:left w:w="108" w:type="dxa"/>
              <w:top w:w="0" w:type="dxa"/>
              <w:right w:w="108" w:type="dxa"/>
              <w:bottom w:w="0" w:type="dxa"/>
            </w:tcMar>
            <w:tcW w:w="1237" w:type="dxa"/>
            <w:vAlign w:val="center"/>
            <w:textDirection w:val="lrTb"/>
            <w:noWrap w:val="false"/>
          </w:tcPr>
          <w:p>
            <w:pPr>
              <w:pStyle w:val="1295"/>
              <w:rPr>
                <w:rFonts w:eastAsia="宋体"/>
                <w:sz w:val="21"/>
                <w:szCs w:val="21"/>
              </w:rPr>
            </w:pPr>
            <w:r>
              <w:rPr>
                <w:rFonts w:eastAsia="宋体"/>
              </w:rPr>
              <w:t xml:space="preserve">太字圩港闸站</w:t>
            </w:r>
            <w:r>
              <w:rPr>
                <w:rFonts w:eastAsia="宋体"/>
                <w:sz w:val="21"/>
                <w:szCs w:val="21"/>
              </w:rPr>
            </w:r>
            <w:r/>
          </w:p>
        </w:tc>
        <w:tc>
          <w:tcPr>
            <w:gridSpan w:val="2"/>
            <w:tcMar>
              <w:left w:w="108" w:type="dxa"/>
              <w:top w:w="0" w:type="dxa"/>
              <w:right w:w="108" w:type="dxa"/>
              <w:bottom w:w="0" w:type="dxa"/>
            </w:tcMar>
            <w:tcW w:w="4067" w:type="dxa"/>
            <w:vAlign w:val="center"/>
            <w:textDirection w:val="lrTb"/>
            <w:noWrap w:val="false"/>
          </w:tcPr>
          <w:p>
            <w:pPr>
              <w:pStyle w:val="1295"/>
              <w:jc w:val="center"/>
              <w:rPr>
                <w:rFonts w:eastAsia="宋体"/>
                <w:lang w:eastAsia="zh-CN"/>
              </w:rPr>
            </w:pPr>
            <w:r>
              <w:rPr>
                <w:rStyle w:val="1066"/>
                <w:rFonts w:ascii="Times New Roman" w:hAnsi="Times New Roman" w:cs="Times New Roman"/>
                <w:color w:val="000000"/>
              </w:rPr>
              <w:t xml:space="preserve">详见项目需求</w:t>
            </w:r>
            <w:r>
              <w:rPr>
                <w:rFonts w:eastAsia="宋体"/>
                <w:lang w:eastAsia="zh-CN"/>
              </w:rPr>
            </w:r>
            <w:r/>
          </w:p>
        </w:tc>
        <w:tc>
          <w:tcPr>
            <w:tcMar>
              <w:left w:w="108" w:type="dxa"/>
              <w:top w:w="0" w:type="dxa"/>
              <w:right w:w="108" w:type="dxa"/>
              <w:bottom w:w="0" w:type="dxa"/>
            </w:tcMar>
            <w:tcW w:w="1134" w:type="dxa"/>
            <w:vAlign w:val="center"/>
            <w:textDirection w:val="lrTb"/>
            <w:noWrap w:val="false"/>
          </w:tcPr>
          <w:p>
            <w:pPr>
              <w:pStyle w:val="1295"/>
              <w:jc w:val="center"/>
              <w:rPr>
                <w:rFonts w:eastAsia="宋体"/>
                <w:sz w:val="21"/>
                <w:szCs w:val="21"/>
              </w:rPr>
            </w:pPr>
            <w:r>
              <w:rPr>
                <w:rFonts w:eastAsia="宋体"/>
                <w:sz w:val="22"/>
                <w:szCs w:val="22"/>
              </w:rPr>
              <w:t xml:space="preserve">2</w:t>
            </w:r>
            <w:r>
              <w:rPr>
                <w:rFonts w:eastAsia="宋体"/>
                <w:sz w:val="22"/>
                <w:szCs w:val="22"/>
                <w:lang w:eastAsia="zh-CN"/>
              </w:rPr>
              <w:t xml:space="preserve">4</w:t>
            </w:r>
            <w:r>
              <w:rPr>
                <w:rFonts w:eastAsia="宋体"/>
                <w:sz w:val="22"/>
                <w:szCs w:val="22"/>
              </w:rPr>
              <w:t xml:space="preserve">个月</w:t>
            </w:r>
            <w:r>
              <w:rPr>
                <w:rFonts w:eastAsia="宋体"/>
                <w:sz w:val="21"/>
                <w:szCs w:val="21"/>
              </w:rPr>
            </w:r>
            <w:r/>
          </w:p>
        </w:tc>
        <w:tc>
          <w:tcPr>
            <w:tcMar>
              <w:left w:w="108" w:type="dxa"/>
              <w:top w:w="0" w:type="dxa"/>
              <w:right w:w="108" w:type="dxa"/>
              <w:bottom w:w="0" w:type="dxa"/>
            </w:tcMar>
            <w:tcW w:w="2759" w:type="dxa"/>
            <w:vAlign w:val="center"/>
            <w:textDirection w:val="lrTb"/>
            <w:noWrap w:val="false"/>
          </w:tcPr>
          <w:p>
            <w:pPr>
              <w:pStyle w:val="1295"/>
              <w:jc w:val="center"/>
              <w:rPr>
                <w:rFonts w:eastAsia="宋体"/>
                <w:sz w:val="21"/>
                <w:szCs w:val="21"/>
              </w:rPr>
            </w:pPr>
            <w:r>
              <w:rPr>
                <w:rFonts w:eastAsia="宋体"/>
                <w:sz w:val="22"/>
                <w:szCs w:val="22"/>
              </w:rPr>
              <w:t xml:space="preserve"> </w:t>
            </w:r>
            <w:r>
              <w:rPr>
                <w:rFonts w:eastAsia="宋体"/>
                <w:sz w:val="21"/>
                <w:szCs w:val="21"/>
              </w:rPr>
            </w:r>
            <w:r/>
          </w:p>
        </w:tc>
      </w:tr>
      <w:tr>
        <w:trPr>
          <w:trHeight w:val="398"/>
        </w:trPr>
        <w:tc>
          <w:tcPr>
            <w:tcMar>
              <w:left w:w="108" w:type="dxa"/>
              <w:top w:w="0" w:type="dxa"/>
              <w:right w:w="108" w:type="dxa"/>
              <w:bottom w:w="0" w:type="dxa"/>
            </w:tcMar>
            <w:tcW w:w="437" w:type="dxa"/>
            <w:vAlign w:val="center"/>
            <w:textDirection w:val="lrTb"/>
            <w:noWrap w:val="false"/>
          </w:tcPr>
          <w:p>
            <w:pPr>
              <w:pStyle w:val="1295"/>
              <w:jc w:val="center"/>
              <w:rPr>
                <w:rFonts w:eastAsia="宋体"/>
                <w:sz w:val="21"/>
                <w:szCs w:val="21"/>
              </w:rPr>
            </w:pPr>
            <w:r>
              <w:rPr>
                <w:rFonts w:eastAsia="宋体"/>
                <w:sz w:val="22"/>
                <w:szCs w:val="22"/>
              </w:rPr>
              <w:t xml:space="preserve">2</w:t>
            </w:r>
            <w:r>
              <w:rPr>
                <w:rFonts w:eastAsia="宋体"/>
                <w:sz w:val="21"/>
                <w:szCs w:val="21"/>
              </w:rPr>
            </w:r>
            <w:r/>
          </w:p>
        </w:tc>
        <w:tc>
          <w:tcPr>
            <w:tcMar>
              <w:left w:w="108" w:type="dxa"/>
              <w:top w:w="0" w:type="dxa"/>
              <w:right w:w="108" w:type="dxa"/>
              <w:bottom w:w="0" w:type="dxa"/>
            </w:tcMar>
            <w:tcW w:w="1237" w:type="dxa"/>
            <w:vAlign w:val="center"/>
            <w:textDirection w:val="lrTb"/>
            <w:noWrap w:val="false"/>
          </w:tcPr>
          <w:p>
            <w:pPr>
              <w:pStyle w:val="1295"/>
              <w:rPr>
                <w:rFonts w:eastAsia="宋体"/>
                <w:sz w:val="21"/>
                <w:szCs w:val="21"/>
              </w:rPr>
            </w:pPr>
            <w:r>
              <w:rPr>
                <w:rFonts w:eastAsia="宋体"/>
              </w:rPr>
              <w:t xml:space="preserve">四干河江边枢纽</w:t>
            </w:r>
            <w:r>
              <w:rPr>
                <w:rFonts w:eastAsia="宋体"/>
                <w:sz w:val="21"/>
                <w:szCs w:val="21"/>
              </w:rPr>
            </w:r>
            <w:r/>
          </w:p>
        </w:tc>
        <w:tc>
          <w:tcPr>
            <w:gridSpan w:val="2"/>
            <w:tcMar>
              <w:left w:w="108" w:type="dxa"/>
              <w:top w:w="0" w:type="dxa"/>
              <w:right w:w="108" w:type="dxa"/>
              <w:bottom w:w="0" w:type="dxa"/>
            </w:tcMar>
            <w:tcW w:w="4067" w:type="dxa"/>
            <w:vAlign w:val="center"/>
            <w:textDirection w:val="lrTb"/>
            <w:noWrap w:val="false"/>
          </w:tcPr>
          <w:p>
            <w:pPr>
              <w:pStyle w:val="1295"/>
              <w:jc w:val="center"/>
              <w:rPr>
                <w:rFonts w:eastAsia="宋体"/>
                <w:lang w:eastAsia="zh-CN"/>
              </w:rPr>
            </w:pPr>
            <w:r>
              <w:rPr>
                <w:rStyle w:val="1066"/>
                <w:rFonts w:ascii="Times New Roman" w:hAnsi="Times New Roman" w:cs="Times New Roman"/>
                <w:color w:val="000000"/>
              </w:rPr>
              <w:t xml:space="preserve">详见项目需求</w:t>
            </w:r>
            <w:r>
              <w:rPr>
                <w:rFonts w:eastAsia="宋体"/>
                <w:lang w:eastAsia="zh-CN"/>
              </w:rPr>
            </w:r>
            <w:r/>
          </w:p>
        </w:tc>
        <w:tc>
          <w:tcPr>
            <w:tcMar>
              <w:left w:w="108" w:type="dxa"/>
              <w:top w:w="0" w:type="dxa"/>
              <w:right w:w="108" w:type="dxa"/>
              <w:bottom w:w="0" w:type="dxa"/>
            </w:tcMar>
            <w:tcW w:w="1134" w:type="dxa"/>
            <w:vAlign w:val="center"/>
            <w:textDirection w:val="lrTb"/>
            <w:noWrap w:val="false"/>
          </w:tcPr>
          <w:p>
            <w:pPr>
              <w:pStyle w:val="1295"/>
              <w:jc w:val="center"/>
              <w:rPr>
                <w:rFonts w:eastAsia="宋体"/>
                <w:sz w:val="21"/>
                <w:szCs w:val="21"/>
              </w:rPr>
            </w:pPr>
            <w:r>
              <w:rPr>
                <w:rFonts w:eastAsia="宋体"/>
                <w:sz w:val="22"/>
                <w:szCs w:val="22"/>
              </w:rPr>
              <w:t xml:space="preserve">24个月</w:t>
            </w:r>
            <w:r>
              <w:rPr>
                <w:rFonts w:eastAsia="宋体"/>
                <w:sz w:val="21"/>
                <w:szCs w:val="21"/>
              </w:rPr>
            </w:r>
            <w:r/>
          </w:p>
        </w:tc>
        <w:tc>
          <w:tcPr>
            <w:tcMar>
              <w:left w:w="108" w:type="dxa"/>
              <w:top w:w="0" w:type="dxa"/>
              <w:right w:w="108" w:type="dxa"/>
              <w:bottom w:w="0" w:type="dxa"/>
            </w:tcMar>
            <w:tcW w:w="2759" w:type="dxa"/>
            <w:vAlign w:val="center"/>
            <w:textDirection w:val="lrTb"/>
            <w:noWrap w:val="false"/>
          </w:tcPr>
          <w:p>
            <w:pPr>
              <w:pStyle w:val="1295"/>
              <w:jc w:val="center"/>
              <w:rPr>
                <w:rFonts w:eastAsia="宋体"/>
                <w:sz w:val="21"/>
                <w:szCs w:val="21"/>
              </w:rPr>
            </w:pPr>
            <w:r>
              <w:rPr>
                <w:rFonts w:eastAsia="宋体"/>
                <w:sz w:val="22"/>
                <w:szCs w:val="22"/>
              </w:rPr>
              <w:t xml:space="preserve"> </w:t>
            </w:r>
            <w:r>
              <w:rPr>
                <w:rFonts w:eastAsia="宋体"/>
                <w:sz w:val="21"/>
                <w:szCs w:val="21"/>
              </w:rPr>
            </w:r>
            <w:r/>
          </w:p>
        </w:tc>
      </w:tr>
      <w:tr>
        <w:trPr>
          <w:trHeight w:val="398"/>
        </w:trPr>
        <w:tc>
          <w:tcPr>
            <w:tcMar>
              <w:left w:w="108" w:type="dxa"/>
              <w:top w:w="0" w:type="dxa"/>
              <w:right w:w="108" w:type="dxa"/>
              <w:bottom w:w="0" w:type="dxa"/>
            </w:tcMar>
            <w:tcW w:w="437" w:type="dxa"/>
            <w:vAlign w:val="center"/>
            <w:textDirection w:val="lrTb"/>
            <w:noWrap w:val="false"/>
          </w:tcPr>
          <w:p>
            <w:pPr>
              <w:pStyle w:val="1295"/>
              <w:jc w:val="center"/>
              <w:rPr>
                <w:rFonts w:eastAsia="宋体"/>
                <w:sz w:val="21"/>
                <w:szCs w:val="21"/>
              </w:rPr>
            </w:pPr>
            <w:r>
              <w:rPr>
                <w:rFonts w:eastAsia="宋体"/>
                <w:sz w:val="22"/>
                <w:szCs w:val="22"/>
              </w:rPr>
              <w:t xml:space="preserve">3</w:t>
            </w:r>
            <w:r>
              <w:rPr>
                <w:rFonts w:eastAsia="宋体"/>
                <w:sz w:val="21"/>
                <w:szCs w:val="21"/>
              </w:rPr>
            </w:r>
            <w:r/>
          </w:p>
        </w:tc>
        <w:tc>
          <w:tcPr>
            <w:tcMar>
              <w:left w:w="108" w:type="dxa"/>
              <w:top w:w="0" w:type="dxa"/>
              <w:right w:w="108" w:type="dxa"/>
              <w:bottom w:w="0" w:type="dxa"/>
            </w:tcMar>
            <w:tcW w:w="1237" w:type="dxa"/>
            <w:vAlign w:val="center"/>
            <w:textDirection w:val="lrTb"/>
            <w:noWrap w:val="false"/>
          </w:tcPr>
          <w:p>
            <w:pPr>
              <w:pStyle w:val="1295"/>
              <w:rPr>
                <w:rFonts w:eastAsia="宋体"/>
              </w:rPr>
            </w:pPr>
            <w:r>
              <w:rPr>
                <w:rFonts w:eastAsia="宋体"/>
              </w:rPr>
              <w:t xml:space="preserve">走马塘江边枢纽</w:t>
            </w:r>
            <w:r>
              <w:rPr>
                <w:rFonts w:eastAsia="宋体"/>
              </w:rPr>
            </w:r>
            <w:r/>
          </w:p>
        </w:tc>
        <w:tc>
          <w:tcPr>
            <w:gridSpan w:val="2"/>
            <w:tcMar>
              <w:left w:w="108" w:type="dxa"/>
              <w:top w:w="0" w:type="dxa"/>
              <w:right w:w="108" w:type="dxa"/>
              <w:bottom w:w="0" w:type="dxa"/>
            </w:tcMar>
            <w:tcW w:w="4067" w:type="dxa"/>
            <w:vAlign w:val="center"/>
            <w:textDirection w:val="lrTb"/>
            <w:noWrap w:val="false"/>
          </w:tcPr>
          <w:p>
            <w:pPr>
              <w:pStyle w:val="1295"/>
              <w:jc w:val="center"/>
              <w:rPr>
                <w:rFonts w:eastAsia="宋体"/>
              </w:rPr>
            </w:pPr>
            <w:r>
              <w:rPr>
                <w:rStyle w:val="1066"/>
                <w:rFonts w:ascii="Times New Roman" w:hAnsi="Times New Roman" w:cs="Times New Roman"/>
                <w:color w:val="000000"/>
              </w:rPr>
              <w:t xml:space="preserve">详见项目需求</w:t>
            </w:r>
            <w:r>
              <w:rPr>
                <w:rFonts w:eastAsia="宋体"/>
              </w:rPr>
            </w:r>
            <w:r/>
          </w:p>
        </w:tc>
        <w:tc>
          <w:tcPr>
            <w:tcMar>
              <w:left w:w="108" w:type="dxa"/>
              <w:top w:w="0" w:type="dxa"/>
              <w:right w:w="108" w:type="dxa"/>
              <w:bottom w:w="0" w:type="dxa"/>
            </w:tcMar>
            <w:tcW w:w="1134" w:type="dxa"/>
            <w:vAlign w:val="center"/>
            <w:textDirection w:val="lrTb"/>
            <w:noWrap w:val="false"/>
          </w:tcPr>
          <w:p>
            <w:pPr>
              <w:pStyle w:val="1295"/>
              <w:jc w:val="center"/>
              <w:rPr>
                <w:rFonts w:eastAsia="宋体"/>
                <w:sz w:val="21"/>
                <w:szCs w:val="21"/>
              </w:rPr>
            </w:pPr>
            <w:r>
              <w:rPr>
                <w:rFonts w:eastAsia="宋体"/>
                <w:sz w:val="22"/>
                <w:szCs w:val="22"/>
                <w:lang w:eastAsia="zh-CN"/>
              </w:rPr>
              <w:t xml:space="preserve">20</w:t>
            </w:r>
            <w:r>
              <w:rPr>
                <w:rFonts w:eastAsia="宋体"/>
                <w:sz w:val="22"/>
                <w:szCs w:val="22"/>
              </w:rPr>
              <w:t xml:space="preserve">个月</w:t>
            </w:r>
            <w:r>
              <w:rPr>
                <w:rFonts w:eastAsia="宋体"/>
                <w:sz w:val="21"/>
                <w:szCs w:val="21"/>
              </w:rPr>
            </w:r>
            <w:r/>
          </w:p>
        </w:tc>
        <w:tc>
          <w:tcPr>
            <w:tcMar>
              <w:left w:w="108" w:type="dxa"/>
              <w:top w:w="0" w:type="dxa"/>
              <w:right w:w="108" w:type="dxa"/>
              <w:bottom w:w="0" w:type="dxa"/>
            </w:tcMar>
            <w:tcW w:w="2759" w:type="dxa"/>
            <w:vAlign w:val="center"/>
            <w:textDirection w:val="lrTb"/>
            <w:noWrap w:val="false"/>
          </w:tcPr>
          <w:p>
            <w:pPr>
              <w:pStyle w:val="1295"/>
              <w:jc w:val="center"/>
              <w:rPr>
                <w:rFonts w:eastAsia="宋体"/>
                <w:sz w:val="21"/>
                <w:szCs w:val="21"/>
              </w:rPr>
            </w:pPr>
            <w:r>
              <w:rPr>
                <w:rFonts w:eastAsia="宋体"/>
                <w:sz w:val="22"/>
                <w:szCs w:val="22"/>
              </w:rPr>
              <w:t xml:space="preserve"> </w:t>
            </w:r>
            <w:r>
              <w:rPr>
                <w:rFonts w:eastAsia="宋体"/>
                <w:sz w:val="21"/>
                <w:szCs w:val="21"/>
              </w:rPr>
            </w:r>
            <w:r/>
          </w:p>
        </w:tc>
      </w:tr>
      <w:tr>
        <w:trPr>
          <w:trHeight w:val="398"/>
        </w:trPr>
        <w:tc>
          <w:tcPr>
            <w:tcMar>
              <w:left w:w="108" w:type="dxa"/>
              <w:top w:w="0" w:type="dxa"/>
              <w:right w:w="108" w:type="dxa"/>
              <w:bottom w:w="0" w:type="dxa"/>
            </w:tcMar>
            <w:tcW w:w="437" w:type="dxa"/>
            <w:vAlign w:val="center"/>
            <w:textDirection w:val="lrTb"/>
            <w:noWrap w:val="false"/>
          </w:tcPr>
          <w:p>
            <w:pPr>
              <w:pStyle w:val="1295"/>
              <w:jc w:val="center"/>
              <w:rPr>
                <w:rFonts w:eastAsia="宋体"/>
                <w:sz w:val="21"/>
                <w:szCs w:val="21"/>
                <w:lang w:eastAsia="zh-CN"/>
              </w:rPr>
            </w:pPr>
            <w:r>
              <w:rPr>
                <w:rFonts w:eastAsia="宋体"/>
                <w:sz w:val="22"/>
                <w:szCs w:val="22"/>
                <w:lang w:val="en-US" w:eastAsia="zh-CN"/>
              </w:rPr>
              <w:t xml:space="preserve">4</w:t>
            </w:r>
            <w:r>
              <w:rPr>
                <w:rFonts w:eastAsia="宋体"/>
                <w:sz w:val="21"/>
                <w:szCs w:val="21"/>
                <w:lang w:eastAsia="zh-CN"/>
              </w:rPr>
            </w:r>
            <w:r/>
          </w:p>
        </w:tc>
        <w:tc>
          <w:tcPr>
            <w:tcMar>
              <w:left w:w="108" w:type="dxa"/>
              <w:top w:w="0" w:type="dxa"/>
              <w:right w:w="108" w:type="dxa"/>
              <w:bottom w:w="0" w:type="dxa"/>
            </w:tcMar>
            <w:tcW w:w="1237" w:type="dxa"/>
            <w:vAlign w:val="center"/>
            <w:textDirection w:val="lrTb"/>
            <w:noWrap w:val="false"/>
          </w:tcPr>
          <w:p>
            <w:pPr>
              <w:pStyle w:val="1295"/>
              <w:rPr>
                <w:rFonts w:eastAsia="宋体"/>
              </w:rPr>
            </w:pPr>
            <w:r>
              <w:rPr>
                <w:rFonts w:eastAsia="宋体"/>
              </w:rPr>
              <w:t xml:space="preserve">十一圩江边枢纽</w:t>
            </w:r>
            <w:r>
              <w:rPr>
                <w:rFonts w:eastAsia="宋体"/>
              </w:rPr>
            </w:r>
            <w:r/>
          </w:p>
        </w:tc>
        <w:tc>
          <w:tcPr>
            <w:gridSpan w:val="2"/>
            <w:tcMar>
              <w:left w:w="108" w:type="dxa"/>
              <w:top w:w="0" w:type="dxa"/>
              <w:right w:w="108" w:type="dxa"/>
              <w:bottom w:w="0" w:type="dxa"/>
            </w:tcMar>
            <w:tcW w:w="4067" w:type="dxa"/>
            <w:vAlign w:val="center"/>
            <w:textDirection w:val="lrTb"/>
            <w:noWrap w:val="false"/>
          </w:tcPr>
          <w:p>
            <w:pPr>
              <w:pStyle w:val="1295"/>
              <w:jc w:val="center"/>
              <w:rPr>
                <w:rFonts w:eastAsia="宋体"/>
                <w:lang w:eastAsia="zh-CN"/>
              </w:rPr>
            </w:pPr>
            <w:r>
              <w:rPr>
                <w:rStyle w:val="1066"/>
                <w:rFonts w:ascii="Times New Roman" w:hAnsi="Times New Roman" w:cs="Times New Roman"/>
                <w:color w:val="000000"/>
              </w:rPr>
              <w:t xml:space="preserve">详见项目需求</w:t>
            </w:r>
            <w:r>
              <w:rPr>
                <w:rFonts w:eastAsia="宋体"/>
                <w:lang w:eastAsia="zh-CN"/>
              </w:rPr>
            </w:r>
            <w:r/>
          </w:p>
        </w:tc>
        <w:tc>
          <w:tcPr>
            <w:tcMar>
              <w:left w:w="108" w:type="dxa"/>
              <w:top w:w="0" w:type="dxa"/>
              <w:right w:w="108" w:type="dxa"/>
              <w:bottom w:w="0" w:type="dxa"/>
            </w:tcMar>
            <w:tcW w:w="1134" w:type="dxa"/>
            <w:vAlign w:val="center"/>
            <w:textDirection w:val="lrTb"/>
            <w:noWrap w:val="false"/>
          </w:tcPr>
          <w:p>
            <w:pPr>
              <w:pStyle w:val="1295"/>
              <w:jc w:val="center"/>
              <w:rPr>
                <w:rFonts w:eastAsia="宋体"/>
                <w:sz w:val="22"/>
                <w:szCs w:val="22"/>
              </w:rPr>
            </w:pPr>
            <w:r>
              <w:rPr>
                <w:rFonts w:eastAsia="宋体"/>
                <w:sz w:val="22"/>
                <w:szCs w:val="22"/>
              </w:rPr>
              <w:t xml:space="preserve">1</w:t>
            </w:r>
            <w:r>
              <w:rPr>
                <w:rFonts w:eastAsia="宋体"/>
                <w:sz w:val="22"/>
                <w:szCs w:val="22"/>
                <w:lang w:eastAsia="zh-CN"/>
              </w:rPr>
              <w:t xml:space="preserve">4</w:t>
            </w:r>
            <w:r>
              <w:rPr>
                <w:rFonts w:eastAsia="宋体"/>
                <w:sz w:val="22"/>
                <w:szCs w:val="22"/>
              </w:rPr>
              <w:t xml:space="preserve">个月</w:t>
            </w:r>
            <w:r>
              <w:rPr>
                <w:rFonts w:eastAsia="宋体"/>
                <w:sz w:val="22"/>
                <w:szCs w:val="22"/>
              </w:rPr>
            </w:r>
            <w:r/>
          </w:p>
        </w:tc>
        <w:tc>
          <w:tcPr>
            <w:tcMar>
              <w:left w:w="108" w:type="dxa"/>
              <w:top w:w="0" w:type="dxa"/>
              <w:right w:w="108" w:type="dxa"/>
              <w:bottom w:w="0" w:type="dxa"/>
            </w:tcMar>
            <w:tcW w:w="2759" w:type="dxa"/>
            <w:vAlign w:val="center"/>
            <w:textDirection w:val="lrTb"/>
            <w:noWrap w:val="false"/>
          </w:tcPr>
          <w:p>
            <w:pPr>
              <w:pStyle w:val="1295"/>
              <w:jc w:val="center"/>
              <w:rPr>
                <w:rFonts w:eastAsia="宋体"/>
                <w:sz w:val="22"/>
                <w:szCs w:val="22"/>
              </w:rPr>
            </w:pPr>
            <w:r>
              <w:rPr>
                <w:rFonts w:eastAsia="宋体"/>
                <w:sz w:val="22"/>
                <w:szCs w:val="22"/>
              </w:rPr>
            </w:r>
            <w:r/>
          </w:p>
        </w:tc>
      </w:tr>
      <w:tr>
        <w:trPr>
          <w:trHeight w:val="688"/>
        </w:trPr>
        <w:tc>
          <w:tcPr>
            <w:gridSpan w:val="3"/>
            <w:tcMar>
              <w:left w:w="108" w:type="dxa"/>
              <w:top w:w="0" w:type="dxa"/>
              <w:right w:w="108" w:type="dxa"/>
              <w:bottom w:w="0" w:type="dxa"/>
            </w:tcMar>
            <w:tcW w:w="2786" w:type="dxa"/>
            <w:vAlign w:val="center"/>
            <w:textDirection w:val="lrTb"/>
            <w:noWrap w:val="false"/>
          </w:tcPr>
          <w:p>
            <w:pPr>
              <w:pStyle w:val="1295"/>
              <w:jc w:val="center"/>
              <w:rPr>
                <w:rStyle w:val="1066"/>
                <w:rFonts w:ascii="Times New Roman" w:hAnsi="Times New Roman" w:cs="Times New Roman"/>
                <w:color w:val="000000"/>
              </w:rPr>
            </w:pPr>
            <w:r>
              <w:rPr>
                <w:rStyle w:val="1066"/>
                <w:rFonts w:ascii="Times New Roman" w:hAnsi="Times New Roman" w:cs="Times New Roman"/>
                <w:color w:val="000000"/>
              </w:rPr>
              <w:t xml:space="preserve">合计</w:t>
            </w:r>
            <w:r>
              <w:rPr>
                <w:rStyle w:val="1066"/>
                <w:rFonts w:ascii="Times New Roman" w:hAnsi="Times New Roman" w:cs="Times New Roman"/>
                <w:color w:val="000000"/>
              </w:rPr>
            </w:r>
            <w:r/>
          </w:p>
        </w:tc>
        <w:tc>
          <w:tcPr>
            <w:gridSpan w:val="3"/>
            <w:tcMar>
              <w:left w:w="108" w:type="dxa"/>
              <w:top w:w="0" w:type="dxa"/>
              <w:right w:w="108" w:type="dxa"/>
              <w:bottom w:w="0" w:type="dxa"/>
            </w:tcMar>
            <w:tcW w:w="6848" w:type="dxa"/>
            <w:vAlign w:val="center"/>
            <w:textDirection w:val="lrTb"/>
            <w:noWrap w:val="false"/>
          </w:tcPr>
          <w:p>
            <w:pPr>
              <w:pStyle w:val="1295"/>
              <w:rPr>
                <w:rFonts w:eastAsia="宋体"/>
                <w:sz w:val="22"/>
                <w:szCs w:val="22"/>
                <w:lang w:eastAsia="zh-CN"/>
              </w:rPr>
            </w:pPr>
            <w:r>
              <w:rPr>
                <w:rFonts w:eastAsia="宋体"/>
                <w:sz w:val="22"/>
                <w:szCs w:val="22"/>
              </w:rPr>
              <w:t xml:space="preserve">大写：</w:t>
            </w:r>
            <w:r>
              <w:rPr>
                <w:rFonts w:eastAsia="宋体"/>
                <w:sz w:val="22"/>
                <w:szCs w:val="22"/>
                <w:u w:val="single"/>
                <w:lang w:eastAsia="zh-CN"/>
              </w:rPr>
              <w:t xml:space="preserve">                    </w:t>
            </w:r>
            <w:r>
              <w:rPr>
                <w:rFonts w:eastAsia="宋体"/>
                <w:sz w:val="22"/>
                <w:szCs w:val="22"/>
              </w:rPr>
              <w:t xml:space="preserve">（小写：</w:t>
            </w:r>
            <w:r>
              <w:rPr>
                <w:rFonts w:eastAsia="宋体"/>
                <w:sz w:val="22"/>
                <w:szCs w:val="22"/>
                <w:u w:val="single"/>
                <w:lang w:eastAsia="zh-CN"/>
              </w:rPr>
              <w:t xml:space="preserve">                 </w:t>
            </w:r>
            <w:r>
              <w:rPr>
                <w:rFonts w:eastAsia="宋体"/>
                <w:sz w:val="22"/>
                <w:szCs w:val="22"/>
              </w:rPr>
              <w:t xml:space="preserve">）</w:t>
            </w:r>
            <w:r>
              <w:rPr>
                <w:rFonts w:eastAsia="宋体"/>
                <w:sz w:val="22"/>
                <w:szCs w:val="22"/>
                <w:lang w:eastAsia="zh-CN"/>
              </w:rPr>
            </w:r>
            <w:r/>
          </w:p>
        </w:tc>
      </w:tr>
      <w:tr>
        <w:trPr>
          <w:trHeight w:val="688"/>
        </w:trPr>
        <w:tc>
          <w:tcPr>
            <w:gridSpan w:val="6"/>
            <w:tcMar>
              <w:left w:w="108" w:type="dxa"/>
              <w:top w:w="0" w:type="dxa"/>
              <w:right w:w="108" w:type="dxa"/>
              <w:bottom w:w="0" w:type="dxa"/>
            </w:tcMar>
            <w:tcW w:w="9634" w:type="dxa"/>
            <w:vAlign w:val="center"/>
            <w:textDirection w:val="lrTb"/>
            <w:noWrap w:val="false"/>
          </w:tcPr>
          <w:p>
            <w:pPr>
              <w:pStyle w:val="1295"/>
              <w:jc w:val="both"/>
              <w:rPr>
                <w:rFonts w:eastAsia="宋体"/>
                <w:sz w:val="22"/>
                <w:szCs w:val="22"/>
              </w:rPr>
            </w:pPr>
            <w:r>
              <w:rPr>
                <w:rFonts w:eastAsia="宋体"/>
                <w:sz w:val="22"/>
                <w:szCs w:val="22"/>
              </w:rPr>
              <w:t xml:space="preserve">投标单位（盖章）：</w:t>
            </w:r>
            <w:r>
              <w:rPr>
                <w:rFonts w:eastAsia="宋体"/>
                <w:sz w:val="22"/>
                <w:szCs w:val="22"/>
              </w:rPr>
            </w:r>
            <w:r/>
          </w:p>
        </w:tc>
      </w:tr>
    </w:tbl>
    <w:p>
      <w:pPr>
        <w:pStyle w:val="1090"/>
        <w:ind w:firstLine="0"/>
        <w:rPr>
          <w:rFonts w:ascii="Times New Roman" w:hAnsi="Times New Roman"/>
        </w:rPr>
      </w:pPr>
      <w:r/>
      <w:bookmarkEnd w:id="287"/>
      <w:r/>
      <w:bookmarkEnd w:id="288"/>
      <w:r/>
      <w:bookmarkEnd w:id="289"/>
      <w:r>
        <w:rPr>
          <w:rFonts w:ascii="Times New Roman" w:hAnsi="Times New Roman"/>
        </w:rPr>
        <w:t xml:space="preserve">备注：  1.考核分数960分以下的，每低1分扣当季管理经费的0.02%。</w:t>
      </w:r>
      <w:r>
        <w:rPr>
          <w:rFonts w:ascii="Times New Roman" w:hAnsi="Times New Roman"/>
        </w:rPr>
      </w:r>
      <w:r/>
    </w:p>
    <w:p>
      <w:pPr>
        <w:pStyle w:val="1090"/>
        <w:ind w:firstLine="960"/>
        <w:rPr>
          <w:rFonts w:ascii="Times New Roman" w:hAnsi="Times New Roman"/>
        </w:rPr>
      </w:pPr>
      <w:r>
        <w:rPr>
          <w:rFonts w:ascii="Times New Roman" w:hAnsi="Times New Roman"/>
        </w:rPr>
        <w:t xml:space="preserve">2. 其中 2024年5月1日至 2024年6月 30 日期间,太字圩港闸站的管护只需安排2名工作人员进行运行，之后按照招标文件的要求执行。</w:t>
      </w:r>
      <w:r>
        <w:rPr>
          <w:rFonts w:ascii="Times New Roman" w:hAnsi="Times New Roman"/>
        </w:rPr>
      </w:r>
      <w:r/>
    </w:p>
    <w:p>
      <w:pPr>
        <w:pStyle w:val="1090"/>
        <w:ind w:firstLine="960"/>
        <w:rPr>
          <w:rFonts w:ascii="Times New Roman" w:hAnsi="Times New Roman"/>
        </w:rPr>
      </w:pPr>
      <w:r>
        <w:rPr>
          <w:rFonts w:ascii="Times New Roman" w:hAnsi="Times New Roman"/>
        </w:rPr>
        <w:t xml:space="preserve">3.涉及新建闸站的人员入驻时间以采购人通知时间为准。</w:t>
      </w:r>
      <w:r>
        <w:rPr>
          <w:rFonts w:ascii="Times New Roman" w:hAnsi="Times New Roman"/>
        </w:rPr>
      </w:r>
      <w:r/>
    </w:p>
    <w:p>
      <w:pPr>
        <w:pStyle w:val="926"/>
        <w:jc w:val="left"/>
        <w:spacing w:line="440" w:lineRule="exact"/>
        <w:rPr>
          <w:rFonts w:ascii="Times New Roman" w:hAnsi="Times New Roman"/>
          <w:sz w:val="20"/>
        </w:rPr>
      </w:pPr>
      <w:r>
        <w:rPr>
          <w:rFonts w:ascii="Times New Roman" w:hAnsi="Times New Roman"/>
          <w:sz w:val="20"/>
        </w:rPr>
        <w:t xml:space="preserve"> </w:t>
      </w:r>
      <w:bookmarkEnd w:id="253"/>
      <w:r>
        <w:rPr>
          <w:rFonts w:ascii="Times New Roman" w:hAnsi="Times New Roman"/>
          <w:sz w:val="20"/>
        </w:rPr>
      </w:r>
      <w:r/>
    </w:p>
    <w:p>
      <w:pPr>
        <w:pStyle w:val="926"/>
        <w:ind w:firstLine="480"/>
        <w:spacing w:line="360" w:lineRule="auto"/>
        <w:rPr>
          <w:rFonts w:ascii="Times New Roman" w:hAnsi="Times New Roman"/>
          <w:sz w:val="24"/>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sz w:val="24"/>
        </w:rPr>
      </w:r>
      <w:r/>
    </w:p>
    <w:p>
      <w:pPr>
        <w:pStyle w:val="926"/>
        <w:contextualSpacing w:val="0"/>
        <w:jc w:val="both"/>
        <w:spacing w:line="360" w:lineRule="auto"/>
        <w:rPr>
          <w:rFonts w:ascii="Times New Roman" w:hAnsi="Times New Roman"/>
          <w:b/>
          <w:sz w:val="32"/>
        </w:rPr>
        <w:outlineLvl w:val="1"/>
        <w:suppressLineNumbers w:val="0"/>
      </w:pPr>
      <w:r/>
      <w:bookmarkStart w:id="312" w:name="_Toc23"/>
      <w:r>
        <w:rPr>
          <w:rFonts w:ascii="Times New Roman" w:hAnsi="Times New Roman"/>
          <w:b/>
          <w:sz w:val="32"/>
        </w:rPr>
        <w:t xml:space="preserve">九、其他材料</w:t>
      </w:r>
      <w:bookmarkEnd w:id="312"/>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1004"/>
      </w:rPr>
      <w:framePr w:wrap="around" w:vAnchor="text" w:hAnchor="margin" w:xAlign="center" w:y="1"/>
    </w:pPr>
    <w:r>
      <w:fldChar w:fldCharType="begin"/>
    </w:r>
    <w:r>
      <w:rPr>
        <w:rStyle w:val="1004"/>
        <w:highlight w:val="white"/>
      </w:rPr>
      <w:instrText xml:space="preserve">PAGE  </w:instrText>
    </w:r>
    <w:r>
      <w:fldChar w:fldCharType="separate"/>
    </w:r>
    <w:r>
      <w:rPr>
        <w:rStyle w:val="1004"/>
        <w:highlight w:val="white"/>
      </w:rPr>
      <w:t xml:space="preserve">1</w:t>
    </w:r>
    <w:r>
      <w:fldChar w:fldCharType="end"/>
    </w:r>
    <w:r>
      <w:rPr>
        <w:rStyle w:val="1004"/>
      </w:rPr>
    </w:r>
    <w:r/>
  </w:p>
  <w:p>
    <w:pPr>
      <w:pStyle w:val="97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1004"/>
      </w:rPr>
      <w:framePr w:wrap="around" w:vAnchor="text" w:hAnchor="margin" w:xAlign="center" w:y="1"/>
    </w:pPr>
    <w:r>
      <w:fldChar w:fldCharType="begin"/>
    </w:r>
    <w:r>
      <w:rPr>
        <w:rStyle w:val="1004"/>
        <w:highlight w:val="white"/>
      </w:rPr>
      <w:instrText xml:space="preserve">PAGE  </w:instrText>
    </w:r>
    <w:r>
      <w:fldChar w:fldCharType="separate"/>
    </w:r>
    <w:r>
      <w:fldChar w:fldCharType="end"/>
    </w:r>
    <w:r>
      <w:rPr>
        <w:rStyle w:val="1004"/>
      </w:rPr>
    </w:r>
    <w:r/>
  </w:p>
  <w:p>
    <w:pPr>
      <w:pStyle w:val="97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360"/>
      <w:tabs>
        <w:tab w:val="center" w:pos="4153" w:leader="none"/>
        <w:tab w:val="right" w:pos="8306" w:leader="none"/>
      </w:tabs>
      <w:rPr>
        <w:rStyle w:val="1004"/>
      </w:rPr>
      <w:framePr w:wrap="around" w:vAnchor="text" w:hAnchor="margin" w:xAlign="right" w:y="1"/>
    </w:pPr>
    <w:r>
      <w:fldChar w:fldCharType="begin"/>
    </w:r>
    <w:r>
      <w:rPr>
        <w:rStyle w:val="1004"/>
        <w:color w:val="000000"/>
        <w:highlight w:val="white"/>
      </w:rPr>
      <w:instrText xml:space="preserve">PAGE  </w:instrText>
    </w:r>
    <w:r>
      <w:fldChar w:fldCharType="separate"/>
    </w:r>
    <w:r>
      <w:fldChar w:fldCharType="end"/>
    </w:r>
    <w:r>
      <w:rPr>
        <w:rStyle w:val="1004"/>
      </w:rPr>
    </w:r>
    <w:r/>
  </w:p>
  <w:p>
    <w:pPr>
      <w:pStyle w:val="973"/>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73"/>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0"/>
      <w:isLgl w:val="false"/>
      <w:suff w:val="tab"/>
      <w:lvlText w:val="%1)"/>
      <w:lvlJc w:val="left"/>
      <w:pPr>
        <w:pStyle w:val="926"/>
        <w:ind w:left="420" w:hanging="420"/>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1"/>
      <w:isLgl w:val="false"/>
      <w:suff w:val="tab"/>
      <w:lvlText w:val="附录%1."/>
      <w:lvlJc w:val="left"/>
      <w:pPr>
        <w:pStyle w:val="926"/>
        <w:ind w:left="907" w:hanging="907"/>
        <w:tabs>
          <w:tab w:val="num" w:pos="907" w:leader="none"/>
        </w:tabs>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2">
    <w:multiLevelType w:val="hybridMultilevel"/>
    <w:lvl w:ilvl="0">
      <w:start w:val="1"/>
      <w:numFmt w:val="decimal"/>
      <w:pStyle w:val="1231"/>
      <w:isLgl w:val="false"/>
      <w:suff w:val="tab"/>
      <w:lvlText w:val="(%1)"/>
      <w:lvlJc w:val="left"/>
      <w:pPr>
        <w:pStyle w:val="926"/>
        <w:ind w:left="845" w:hanging="420"/>
      </w:pPr>
    </w:lvl>
    <w:lvl w:ilvl="1">
      <w:start w:val="1"/>
      <w:numFmt w:val="bullet"/>
      <w:isLgl w:val="false"/>
      <w:suff w:val="tab"/>
      <w:lvlText w:val=""/>
      <w:lvlJc w:val="left"/>
      <w:pPr>
        <w:pStyle w:val="926"/>
        <w:ind w:left="1265" w:hanging="420"/>
      </w:pPr>
      <w:rPr>
        <w:rFonts w:ascii="Wingdings" w:hAnsi="Wingdings"/>
      </w:rPr>
    </w:lvl>
    <w:lvl w:ilvl="2">
      <w:start w:val="1"/>
      <w:numFmt w:val="bullet"/>
      <w:isLgl w:val="false"/>
      <w:suff w:val="tab"/>
      <w:lvlText w:val=""/>
      <w:lvlJc w:val="left"/>
      <w:pPr>
        <w:pStyle w:val="926"/>
        <w:ind w:left="1685" w:hanging="420"/>
      </w:pPr>
      <w:rPr>
        <w:rFonts w:ascii="Wingdings" w:hAnsi="Wingdings"/>
      </w:rPr>
    </w:lvl>
    <w:lvl w:ilvl="3">
      <w:start w:val="1"/>
      <w:numFmt w:val="bullet"/>
      <w:isLgl w:val="false"/>
      <w:suff w:val="tab"/>
      <w:lvlText w:val=""/>
      <w:lvlJc w:val="left"/>
      <w:pPr>
        <w:pStyle w:val="926"/>
        <w:ind w:left="2105" w:hanging="420"/>
      </w:pPr>
      <w:rPr>
        <w:rFonts w:ascii="Wingdings" w:hAnsi="Wingdings"/>
      </w:rPr>
    </w:lvl>
    <w:lvl w:ilvl="4">
      <w:start w:val="1"/>
      <w:numFmt w:val="bullet"/>
      <w:isLgl w:val="false"/>
      <w:suff w:val="tab"/>
      <w:lvlText w:val=""/>
      <w:lvlJc w:val="left"/>
      <w:pPr>
        <w:pStyle w:val="926"/>
        <w:ind w:left="2525" w:hanging="420"/>
      </w:pPr>
      <w:rPr>
        <w:rFonts w:ascii="Wingdings" w:hAnsi="Wingdings"/>
      </w:rPr>
    </w:lvl>
    <w:lvl w:ilvl="5">
      <w:start w:val="1"/>
      <w:numFmt w:val="bullet"/>
      <w:isLgl w:val="false"/>
      <w:suff w:val="tab"/>
      <w:lvlText w:val=""/>
      <w:lvlJc w:val="left"/>
      <w:pPr>
        <w:pStyle w:val="926"/>
        <w:ind w:left="2945" w:hanging="420"/>
      </w:pPr>
      <w:rPr>
        <w:rFonts w:ascii="Wingdings" w:hAnsi="Wingdings"/>
      </w:rPr>
    </w:lvl>
    <w:lvl w:ilvl="6">
      <w:start w:val="1"/>
      <w:numFmt w:val="bullet"/>
      <w:isLgl w:val="false"/>
      <w:suff w:val="tab"/>
      <w:lvlText w:val=""/>
      <w:lvlJc w:val="left"/>
      <w:pPr>
        <w:pStyle w:val="926"/>
        <w:ind w:left="3365" w:hanging="420"/>
      </w:pPr>
      <w:rPr>
        <w:rFonts w:ascii="Wingdings" w:hAnsi="Wingdings"/>
      </w:rPr>
    </w:lvl>
    <w:lvl w:ilvl="7">
      <w:start w:val="1"/>
      <w:numFmt w:val="bullet"/>
      <w:isLgl w:val="false"/>
      <w:suff w:val="tab"/>
      <w:lvlText w:val=""/>
      <w:lvlJc w:val="left"/>
      <w:pPr>
        <w:pStyle w:val="926"/>
        <w:ind w:left="3785" w:hanging="420"/>
      </w:pPr>
      <w:rPr>
        <w:rFonts w:ascii="Wingdings" w:hAnsi="Wingdings"/>
      </w:rPr>
    </w:lvl>
    <w:lvl w:ilvl="8">
      <w:start w:val="1"/>
      <w:numFmt w:val="bullet"/>
      <w:isLgl w:val="false"/>
      <w:suff w:val="tab"/>
      <w:lvlText w:val=""/>
      <w:lvlJc w:val="left"/>
      <w:pPr>
        <w:pStyle w:val="926"/>
        <w:ind w:left="4205" w:hanging="420"/>
      </w:pPr>
      <w:rPr>
        <w:rFonts w:ascii="Wingdings" w:hAnsi="Wingdings"/>
      </w:rPr>
    </w:lvl>
  </w:abstractNum>
  <w:abstractNum w:abstractNumId="3">
    <w:multiLevelType w:val="hybridMultilevel"/>
    <w:lvl w:ilvl="0">
      <w:start w:val="1"/>
      <w:numFmt w:val="decimal"/>
      <w:pStyle w:val="1138"/>
      <w:isLgl w:val="false"/>
      <w:suff w:val="tab"/>
      <w:lvlText w:val="第%1章"/>
      <w:lvlJc w:val="left"/>
      <w:pPr>
        <w:pStyle w:val="926"/>
        <w:ind w:left="709" w:hanging="425"/>
      </w:pPr>
      <w:rPr>
        <w:rFonts w:hint="eastAsia" w:eastAsia="宋体"/>
        <w:sz w:val="28"/>
        <w:lang w:val="en-US"/>
      </w:rPr>
    </w:lvl>
    <w:lvl w:ilvl="1">
      <w:start w:val="1"/>
      <w:numFmt w:val="decimal"/>
      <w:pStyle w:val="1137"/>
      <w:isLgl w:val="false"/>
      <w:suff w:val="tab"/>
      <w:lvlText w:val="%1.%2"/>
      <w:lvlJc w:val="left"/>
      <w:pPr>
        <w:pStyle w:val="926"/>
        <w:ind w:left="880" w:hanging="879"/>
      </w:pPr>
      <w:rPr>
        <w:rFonts w:hint="eastAsia" w:ascii="宋体" w:hAnsi="宋体" w:eastAsia="宋体"/>
        <w:sz w:val="28"/>
      </w:rPr>
    </w:lvl>
    <w:lvl w:ilvl="2">
      <w:start w:val="1"/>
      <w:numFmt w:val="decimal"/>
      <w:pStyle w:val="1162"/>
      <w:isLgl w:val="false"/>
      <w:suff w:val="tab"/>
      <w:lvlText w:val="%1.%2.%3"/>
      <w:lvlJc w:val="left"/>
      <w:pPr>
        <w:pStyle w:val="926"/>
        <w:ind w:left="5444" w:hanging="1191"/>
      </w:pPr>
      <w:rPr>
        <w:rFonts w:hint="eastAsia" w:ascii="宋体" w:hAnsi="宋体" w:eastAsia="宋体"/>
        <w:sz w:val="28"/>
      </w:rPr>
    </w:lvl>
    <w:lvl w:ilvl="3">
      <w:start w:val="1"/>
      <w:numFmt w:val="decimal"/>
      <w:pStyle w:val="1161"/>
      <w:isLgl w:val="false"/>
      <w:suff w:val="tab"/>
      <w:lvlText w:val="%1.%2.%3.%4"/>
      <w:lvlJc w:val="left"/>
      <w:pPr>
        <w:pStyle w:val="926"/>
        <w:ind w:left="1275" w:hanging="1644"/>
      </w:pPr>
      <w:rPr>
        <w:rFonts w:hint="eastAsia" w:ascii="宋体" w:hAnsi="宋体" w:eastAsia="宋体"/>
        <w:sz w:val="28"/>
      </w:rPr>
    </w:lvl>
    <w:lvl w:ilvl="4">
      <w:start w:val="1"/>
      <w:numFmt w:val="decimal"/>
      <w:pStyle w:val="1211"/>
      <w:isLgl w:val="false"/>
      <w:suff w:val="tab"/>
      <w:lvlText w:val="%1.%2.%3.%4.%5"/>
      <w:lvlJc w:val="left"/>
      <w:pPr>
        <w:pStyle w:val="926"/>
        <w:ind w:left="1842" w:hanging="2097"/>
      </w:pPr>
      <w:rPr>
        <w:rFonts w:hint="eastAsia"/>
      </w:rPr>
    </w:lvl>
    <w:lvl w:ilvl="5">
      <w:start w:val="1"/>
      <w:numFmt w:val="decimal"/>
      <w:isLgl w:val="false"/>
      <w:suff w:val="tab"/>
      <w:lvlText w:val="%1.%2.%3.%4.%5.%6"/>
      <w:lvlJc w:val="left"/>
      <w:pPr>
        <w:pStyle w:val="926"/>
        <w:ind w:left="2551" w:hanging="2693"/>
      </w:pPr>
      <w:rPr>
        <w:rFonts w:hint="eastAsia"/>
      </w:rPr>
    </w:lvl>
    <w:lvl w:ilvl="6">
      <w:start w:val="1"/>
      <w:numFmt w:val="decimal"/>
      <w:isLgl w:val="false"/>
      <w:suff w:val="tab"/>
      <w:lvlText w:val="%1.%2.%3.%4.%5.%6.%7"/>
      <w:lvlJc w:val="left"/>
      <w:pPr>
        <w:pStyle w:val="926"/>
        <w:ind w:left="3118" w:hanging="3147"/>
      </w:pPr>
      <w:rPr>
        <w:rFonts w:hint="eastAsia"/>
      </w:rPr>
    </w:lvl>
    <w:lvl w:ilvl="7">
      <w:start w:val="1"/>
      <w:numFmt w:val="decimal"/>
      <w:isLgl w:val="false"/>
      <w:suff w:val="tab"/>
      <w:lvlText w:val="%1.%2.%3.%4.%5.%6.%7.%8"/>
      <w:lvlJc w:val="left"/>
      <w:pPr>
        <w:pStyle w:val="926"/>
        <w:ind w:left="3685" w:hanging="3600"/>
      </w:pPr>
      <w:rPr>
        <w:rFonts w:hint="eastAsia"/>
      </w:rPr>
    </w:lvl>
    <w:lvl w:ilvl="8">
      <w:start w:val="1"/>
      <w:numFmt w:val="decimal"/>
      <w:isLgl w:val="false"/>
      <w:suff w:val="tab"/>
      <w:lvlText w:val="%1.%2.%3.%4.%5.%6.%7.%8.%9"/>
      <w:lvlJc w:val="left"/>
      <w:pPr>
        <w:pStyle w:val="926"/>
        <w:ind w:left="4393" w:hanging="4195"/>
      </w:pPr>
      <w:rPr>
        <w:rFonts w:hint="eastAsia"/>
      </w:rPr>
    </w:lvl>
  </w:abstractNum>
  <w:abstractNum w:abstractNumId="4">
    <w:multiLevelType w:val="hybridMultilevel"/>
    <w:lvl w:ilvl="0">
      <w:start w:val="1"/>
      <w:numFmt w:val="decimal"/>
      <w:pStyle w:val="989"/>
      <w:isLgl w:val="false"/>
      <w:suff w:val="tab"/>
      <w:lvlText w:val="%1."/>
      <w:lvlJc w:val="left"/>
      <w:pPr>
        <w:pStyle w:val="926"/>
        <w:ind w:left="709" w:hanging="709"/>
        <w:tabs>
          <w:tab w:val="num" w:pos="709" w:leader="none"/>
        </w:tabs>
      </w:pPr>
    </w:lvl>
    <w:lvl w:ilvl="1">
      <w:start w:val="1"/>
      <w:numFmt w:val="decimal"/>
      <w:isLgl w:val="false"/>
      <w:suff w:val="tab"/>
      <w:lvlText w:val="%1.%2"/>
      <w:lvlJc w:val="left"/>
      <w:pPr>
        <w:pStyle w:val="926"/>
        <w:ind w:left="709" w:hanging="709"/>
        <w:tabs>
          <w:tab w:val="num" w:pos="709" w:leader="none"/>
        </w:tabs>
      </w:pPr>
    </w:lvl>
    <w:lvl w:ilvl="2">
      <w:start w:val="1"/>
      <w:numFmt w:val="decimal"/>
      <w:isLgl w:val="false"/>
      <w:suff w:val="tab"/>
      <w:lvlText w:val="%1.%2.%3."/>
      <w:lvlJc w:val="left"/>
      <w:pPr>
        <w:pStyle w:val="926"/>
        <w:ind w:left="425" w:hanging="425"/>
        <w:tabs>
          <w:tab w:val="num" w:pos="425" w:leader="none"/>
        </w:tabs>
      </w:pPr>
    </w:lvl>
    <w:lvl w:ilvl="3">
      <w:start w:val="1"/>
      <w:numFmt w:val="decimal"/>
      <w:isLgl w:val="false"/>
      <w:suff w:val="tab"/>
      <w:lvlText w:val="%1.%2.%3.%4."/>
      <w:lvlJc w:val="left"/>
      <w:pPr>
        <w:pStyle w:val="926"/>
        <w:ind w:left="851" w:hanging="851"/>
        <w:tabs>
          <w:tab w:val="num" w:pos="851" w:leader="none"/>
        </w:tabs>
      </w:pPr>
    </w:lvl>
    <w:lvl w:ilvl="4">
      <w:start w:val="1"/>
      <w:numFmt w:val="decimal"/>
      <w:isLgl w:val="false"/>
      <w:suff w:val="tab"/>
      <w:lvlText w:val="%1.%2.%3.%4.%5."/>
      <w:lvlJc w:val="left"/>
      <w:pPr>
        <w:pStyle w:val="926"/>
        <w:ind w:left="992" w:hanging="992"/>
        <w:tabs>
          <w:tab w:val="num" w:pos="992" w:leader="none"/>
        </w:tabs>
      </w:pPr>
    </w:lvl>
    <w:lvl w:ilvl="5">
      <w:start w:val="1"/>
      <w:numFmt w:val="decimal"/>
      <w:isLgl w:val="false"/>
      <w:suff w:val="tab"/>
      <w:lvlText w:val="%1.%2.%3.%4.%5.%6."/>
      <w:lvlJc w:val="left"/>
      <w:pPr>
        <w:pStyle w:val="926"/>
        <w:ind w:left="1134" w:hanging="1134"/>
        <w:tabs>
          <w:tab w:val="num" w:pos="1134" w:leader="none"/>
        </w:tabs>
      </w:pPr>
    </w:lvl>
    <w:lvl w:ilvl="6">
      <w:start w:val="1"/>
      <w:numFmt w:val="decimal"/>
      <w:isLgl w:val="false"/>
      <w:suff w:val="tab"/>
      <w:lvlText w:val="%1.%2.%3.%4.%5.%6.%7."/>
      <w:lvlJc w:val="left"/>
      <w:pPr>
        <w:pStyle w:val="926"/>
        <w:ind w:left="1276" w:hanging="1276"/>
        <w:tabs>
          <w:tab w:val="num" w:pos="1276" w:leader="none"/>
        </w:tabs>
      </w:pPr>
    </w:lvl>
    <w:lvl w:ilvl="7">
      <w:start w:val="1"/>
      <w:numFmt w:val="decimal"/>
      <w:isLgl w:val="false"/>
      <w:suff w:val="tab"/>
      <w:lvlText w:val="%1.%2.%3.%4.%5.%6.%7.%8."/>
      <w:lvlJc w:val="left"/>
      <w:pPr>
        <w:pStyle w:val="926"/>
        <w:ind w:left="1418" w:hanging="1418"/>
        <w:tabs>
          <w:tab w:val="num" w:pos="1418" w:leader="none"/>
        </w:tabs>
      </w:pPr>
    </w:lvl>
    <w:lvl w:ilvl="8">
      <w:start w:val="1"/>
      <w:numFmt w:val="decimal"/>
      <w:isLgl w:val="false"/>
      <w:suff w:val="tab"/>
      <w:lvlText w:val="%1.%2.%3.%4.%5.%6.%7.%8.%9."/>
      <w:lvlJc w:val="left"/>
      <w:pPr>
        <w:pStyle w:val="926"/>
        <w:ind w:left="1559" w:hanging="1559"/>
        <w:tabs>
          <w:tab w:val="num" w:pos="1559" w:leader="none"/>
        </w:tabs>
      </w:pPr>
    </w:lvl>
  </w:abstractNum>
  <w:abstractNum w:abstractNumId="5">
    <w:multiLevelType w:val="hybridMultilevel"/>
    <w:lvl w:ilvl="0">
      <w:start w:val="1"/>
      <w:numFmt w:val="decimal"/>
      <w:pStyle w:val="962"/>
      <w:isLgl w:val="false"/>
      <w:suff w:val="tab"/>
      <w:lvlText w:val="(%1)"/>
      <w:lvlJc w:val="left"/>
      <w:pPr>
        <w:pStyle w:val="926"/>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926"/>
        <w:ind w:left="840" w:hanging="420"/>
        <w:tabs>
          <w:tab w:val="num" w:pos="840" w:leader="none"/>
        </w:tabs>
      </w:pPr>
    </w:lvl>
    <w:lvl w:ilvl="2">
      <w:start w:val="1"/>
      <w:numFmt w:val="lowerRoman"/>
      <w:isLgl w:val="false"/>
      <w:suff w:val="tab"/>
      <w:lvlText w:val="%3."/>
      <w:lvlJc w:val="right"/>
      <w:pPr>
        <w:pStyle w:val="926"/>
        <w:ind w:left="1260" w:hanging="420"/>
        <w:tabs>
          <w:tab w:val="num" w:pos="1260" w:leader="none"/>
        </w:tabs>
      </w:pPr>
    </w:lvl>
    <w:lvl w:ilvl="3">
      <w:start w:val="1"/>
      <w:numFmt w:val="decimal"/>
      <w:isLgl w:val="false"/>
      <w:suff w:val="tab"/>
      <w:lvlText w:val="%4."/>
      <w:lvlJc w:val="left"/>
      <w:pPr>
        <w:pStyle w:val="926"/>
        <w:ind w:left="1680" w:hanging="420"/>
        <w:tabs>
          <w:tab w:val="num" w:pos="1680" w:leader="none"/>
        </w:tabs>
      </w:pPr>
    </w:lvl>
    <w:lvl w:ilvl="4">
      <w:start w:val="1"/>
      <w:numFmt w:val="lowerLetter"/>
      <w:isLgl w:val="false"/>
      <w:suff w:val="tab"/>
      <w:lvlText w:val="%5)"/>
      <w:lvlJc w:val="left"/>
      <w:pPr>
        <w:pStyle w:val="926"/>
        <w:ind w:left="2100" w:hanging="420"/>
        <w:tabs>
          <w:tab w:val="num" w:pos="2100" w:leader="none"/>
        </w:tabs>
      </w:pPr>
    </w:lvl>
    <w:lvl w:ilvl="5">
      <w:start w:val="1"/>
      <w:numFmt w:val="lowerRoman"/>
      <w:isLgl w:val="false"/>
      <w:suff w:val="tab"/>
      <w:lvlText w:val="%6."/>
      <w:lvlJc w:val="right"/>
      <w:pPr>
        <w:pStyle w:val="926"/>
        <w:ind w:left="2520" w:hanging="420"/>
        <w:tabs>
          <w:tab w:val="num" w:pos="2520" w:leader="none"/>
        </w:tabs>
      </w:pPr>
    </w:lvl>
    <w:lvl w:ilvl="6">
      <w:start w:val="1"/>
      <w:numFmt w:val="decimal"/>
      <w:isLgl w:val="false"/>
      <w:suff w:val="tab"/>
      <w:lvlText w:val="%7."/>
      <w:lvlJc w:val="left"/>
      <w:pPr>
        <w:pStyle w:val="926"/>
        <w:ind w:left="2940" w:hanging="420"/>
        <w:tabs>
          <w:tab w:val="num" w:pos="2940" w:leader="none"/>
        </w:tabs>
      </w:pPr>
    </w:lvl>
    <w:lvl w:ilvl="7">
      <w:start w:val="1"/>
      <w:numFmt w:val="lowerLetter"/>
      <w:isLgl w:val="false"/>
      <w:suff w:val="tab"/>
      <w:lvlText w:val="%8)"/>
      <w:lvlJc w:val="left"/>
      <w:pPr>
        <w:pStyle w:val="926"/>
        <w:ind w:left="3360" w:hanging="420"/>
        <w:tabs>
          <w:tab w:val="num" w:pos="3360" w:leader="none"/>
        </w:tabs>
      </w:pPr>
    </w:lvl>
    <w:lvl w:ilvl="8">
      <w:start w:val="1"/>
      <w:numFmt w:val="lowerRoman"/>
      <w:isLgl w:val="false"/>
      <w:suff w:val="tab"/>
      <w:lvlText w:val="%9."/>
      <w:lvlJc w:val="right"/>
      <w:pPr>
        <w:pStyle w:val="926"/>
        <w:ind w:left="3780" w:hanging="420"/>
        <w:tabs>
          <w:tab w:val="num" w:pos="3780" w:leader="none"/>
        </w:tabs>
      </w:pPr>
    </w:lvl>
  </w:abstractNum>
  <w:abstractNum w:abstractNumId="6">
    <w:multiLevelType w:val="hybridMultilevel"/>
    <w:lvl w:ilvl="0">
      <w:start w:val="1"/>
      <w:numFmt w:val="chineseCountingThousand"/>
      <w:isLgl w:val="false"/>
      <w:suff w:val="nothing"/>
      <w:lvlText w:val="第%1章 "/>
      <w:lvlJc w:val="left"/>
      <w:pPr>
        <w:pStyle w:val="926"/>
        <w:ind w:left="0" w:firstLine="0"/>
        <w:tabs>
          <w:tab w:val="num" w:pos="0" w:leader="none"/>
        </w:tabs>
      </w:pPr>
    </w:lvl>
    <w:lvl w:ilvl="1">
      <w:start w:val="1"/>
      <w:numFmt w:val="decimal"/>
      <w:isLgl w:val="false"/>
      <w:suff w:val="nothing"/>
      <w:lvlText w:val="%2、"/>
      <w:lvlJc w:val="left"/>
      <w:pPr>
        <w:pStyle w:val="926"/>
        <w:ind w:left="0" w:firstLine="0"/>
        <w:tabs>
          <w:tab w:val="num" w:pos="0" w:leader="none"/>
        </w:tabs>
      </w:pPr>
    </w:lvl>
    <w:lvl w:ilvl="2">
      <w:start w:val="1"/>
      <w:numFmt w:val="decimal"/>
      <w:isLgl w:val="false"/>
      <w:suff w:val="nothing"/>
      <w:lvlText w:val="%2.%3 "/>
      <w:lvlJc w:val="left"/>
      <w:pPr>
        <w:pStyle w:val="926"/>
        <w:ind w:left="0" w:firstLine="0"/>
        <w:tabs>
          <w:tab w:val="num" w:pos="0" w:leader="none"/>
        </w:tabs>
      </w:pPr>
    </w:lvl>
    <w:lvl w:ilvl="3">
      <w:start w:val="1"/>
      <w:numFmt w:val="decimal"/>
      <w:isLgl w:val="false"/>
      <w:suff w:val="nothing"/>
      <w:lvlText w:val="%2.%3.%4 "/>
      <w:lvlJc w:val="left"/>
      <w:pPr>
        <w:pStyle w:val="926"/>
        <w:ind w:left="0" w:firstLine="0"/>
        <w:tabs>
          <w:tab w:val="num" w:pos="0" w:leader="none"/>
        </w:tabs>
      </w:pPr>
    </w:lvl>
    <w:lvl w:ilvl="4">
      <w:start w:val="1"/>
      <w:numFmt w:val="decimal"/>
      <w:isLgl w:val="false"/>
      <w:suff w:val="nothing"/>
      <w:lvlText w:val="%2.%3.%4.%5 "/>
      <w:lvlJc w:val="left"/>
      <w:pPr>
        <w:pStyle w:val="926"/>
        <w:ind w:left="0" w:firstLine="0"/>
        <w:tabs>
          <w:tab w:val="num" w:pos="0" w:leader="none"/>
        </w:tabs>
      </w:pPr>
    </w:lvl>
    <w:lvl w:ilvl="5">
      <w:start w:val="1"/>
      <w:numFmt w:val="decimal"/>
      <w:pStyle w:val="932"/>
      <w:isLgl w:val="false"/>
      <w:suff w:val="nothing"/>
      <w:lvlText w:val=""/>
      <w:lvlJc w:val="left"/>
      <w:pPr>
        <w:pStyle w:val="926"/>
        <w:ind w:left="0" w:firstLine="0"/>
        <w:tabs>
          <w:tab w:val="num" w:pos="0" w:leader="none"/>
        </w:tabs>
      </w:pPr>
    </w:lvl>
    <w:lvl w:ilvl="6">
      <w:start w:val="1"/>
      <w:numFmt w:val="decimal"/>
      <w:pStyle w:val="933"/>
      <w:isLgl w:val="false"/>
      <w:suff w:val="nothing"/>
      <w:lvlText w:val=""/>
      <w:lvlJc w:val="left"/>
      <w:pPr>
        <w:pStyle w:val="926"/>
        <w:ind w:left="0" w:firstLine="0"/>
        <w:tabs>
          <w:tab w:val="num" w:pos="0" w:leader="none"/>
        </w:tabs>
      </w:pPr>
    </w:lvl>
    <w:lvl w:ilvl="7">
      <w:start w:val="1"/>
      <w:numFmt w:val="decimal"/>
      <w:pStyle w:val="934"/>
      <w:isLgl w:val="false"/>
      <w:suff w:val="nothing"/>
      <w:lvlText w:val=""/>
      <w:lvlJc w:val="left"/>
      <w:pPr>
        <w:pStyle w:val="926"/>
        <w:ind w:left="0" w:firstLine="0"/>
        <w:tabs>
          <w:tab w:val="num" w:pos="0" w:leader="none"/>
        </w:tabs>
      </w:pPr>
    </w:lvl>
    <w:lvl w:ilvl="8">
      <w:start w:val="1"/>
      <w:numFmt w:val="decimal"/>
      <w:pStyle w:val="935"/>
      <w:isLgl w:val="false"/>
      <w:suff w:val="nothing"/>
      <w:lvlText w:val=""/>
      <w:lvlJc w:val="left"/>
      <w:pPr>
        <w:pStyle w:val="926"/>
        <w:ind w:left="0" w:firstLine="0"/>
        <w:tabs>
          <w:tab w:val="num" w:pos="0" w:leader="none"/>
        </w:tabs>
      </w:pPr>
    </w:lvl>
  </w:abstractNum>
  <w:abstractNum w:abstractNumId="7">
    <w:multiLevelType w:val="hybridMultilevel"/>
    <w:lvl w:ilvl="0">
      <w:start w:val="1"/>
      <w:numFmt w:val="bullet"/>
      <w:pStyle w:val="1017"/>
      <w:isLgl w:val="false"/>
      <w:suff w:val="tab"/>
      <w:lvlText w:val=""/>
      <w:lvlJc w:val="left"/>
      <w:pPr>
        <w:pStyle w:val="926"/>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926"/>
        <w:ind w:left="840" w:hanging="420"/>
        <w:tabs>
          <w:tab w:val="num" w:pos="840" w:leader="none"/>
        </w:tabs>
      </w:pPr>
      <w:rPr>
        <w:rFonts w:ascii="Wingdings" w:hAnsi="Wingdings"/>
      </w:rPr>
    </w:lvl>
    <w:lvl w:ilvl="2">
      <w:start w:val="1"/>
      <w:numFmt w:val="bullet"/>
      <w:isLgl w:val="false"/>
      <w:suff w:val="tab"/>
      <w:lvlText w:val=""/>
      <w:lvlJc w:val="left"/>
      <w:pPr>
        <w:pStyle w:val="926"/>
        <w:ind w:left="1260" w:hanging="420"/>
        <w:tabs>
          <w:tab w:val="num" w:pos="1260" w:leader="none"/>
        </w:tabs>
      </w:pPr>
      <w:rPr>
        <w:rFonts w:ascii="Wingdings" w:hAnsi="Wingdings"/>
      </w:rPr>
    </w:lvl>
    <w:lvl w:ilvl="3">
      <w:start w:val="1"/>
      <w:numFmt w:val="bullet"/>
      <w:isLgl w:val="false"/>
      <w:suff w:val="tab"/>
      <w:lvlText w:val=""/>
      <w:lvlJc w:val="left"/>
      <w:pPr>
        <w:pStyle w:val="926"/>
        <w:ind w:left="1680" w:hanging="420"/>
        <w:tabs>
          <w:tab w:val="num" w:pos="1680" w:leader="none"/>
        </w:tabs>
      </w:pPr>
      <w:rPr>
        <w:rFonts w:ascii="Wingdings" w:hAnsi="Wingdings"/>
      </w:rPr>
    </w:lvl>
    <w:lvl w:ilvl="4">
      <w:start w:val="1"/>
      <w:numFmt w:val="bullet"/>
      <w:isLgl w:val="false"/>
      <w:suff w:val="tab"/>
      <w:lvlText w:val=""/>
      <w:lvlJc w:val="left"/>
      <w:pPr>
        <w:pStyle w:val="926"/>
        <w:ind w:left="2100" w:hanging="420"/>
        <w:tabs>
          <w:tab w:val="num" w:pos="2100" w:leader="none"/>
        </w:tabs>
      </w:pPr>
      <w:rPr>
        <w:rFonts w:ascii="Wingdings" w:hAnsi="Wingdings"/>
      </w:rPr>
    </w:lvl>
    <w:lvl w:ilvl="5">
      <w:start w:val="1"/>
      <w:numFmt w:val="bullet"/>
      <w:isLgl w:val="false"/>
      <w:suff w:val="tab"/>
      <w:lvlText w:val=""/>
      <w:lvlJc w:val="left"/>
      <w:pPr>
        <w:pStyle w:val="926"/>
        <w:ind w:left="2520" w:hanging="420"/>
        <w:tabs>
          <w:tab w:val="num" w:pos="2520" w:leader="none"/>
        </w:tabs>
      </w:pPr>
      <w:rPr>
        <w:rFonts w:ascii="Wingdings" w:hAnsi="Wingdings"/>
      </w:rPr>
    </w:lvl>
    <w:lvl w:ilvl="6">
      <w:start w:val="1"/>
      <w:numFmt w:val="bullet"/>
      <w:isLgl w:val="false"/>
      <w:suff w:val="tab"/>
      <w:lvlText w:val=""/>
      <w:lvlJc w:val="left"/>
      <w:pPr>
        <w:pStyle w:val="926"/>
        <w:ind w:left="2940" w:hanging="420"/>
        <w:tabs>
          <w:tab w:val="num" w:pos="2940" w:leader="none"/>
        </w:tabs>
      </w:pPr>
      <w:rPr>
        <w:rFonts w:ascii="Wingdings" w:hAnsi="Wingdings"/>
      </w:rPr>
    </w:lvl>
    <w:lvl w:ilvl="7">
      <w:start w:val="1"/>
      <w:numFmt w:val="bullet"/>
      <w:isLgl w:val="false"/>
      <w:suff w:val="tab"/>
      <w:lvlText w:val=""/>
      <w:lvlJc w:val="left"/>
      <w:pPr>
        <w:pStyle w:val="926"/>
        <w:ind w:left="3360" w:hanging="420"/>
        <w:tabs>
          <w:tab w:val="num" w:pos="3360" w:leader="none"/>
        </w:tabs>
      </w:pPr>
      <w:rPr>
        <w:rFonts w:ascii="Wingdings" w:hAnsi="Wingdings"/>
      </w:rPr>
    </w:lvl>
    <w:lvl w:ilvl="8">
      <w:start w:val="1"/>
      <w:numFmt w:val="bullet"/>
      <w:isLgl w:val="false"/>
      <w:suff w:val="tab"/>
      <w:lvlText w:val=""/>
      <w:lvlJc w:val="left"/>
      <w:pPr>
        <w:pStyle w:val="926"/>
        <w:ind w:left="3780" w:hanging="420"/>
        <w:tabs>
          <w:tab w:val="num" w:pos="3780" w:leader="none"/>
        </w:tabs>
      </w:pPr>
      <w:rPr>
        <w:rFonts w:ascii="Wingdings" w:hAnsi="Wingdings"/>
      </w:rPr>
    </w:lvl>
  </w:abstractNum>
  <w:num w:numId="1">
    <w:abstractNumId w:val="6"/>
  </w:num>
  <w:num w:numId="2">
    <w:abstractNumId w:val="0"/>
  </w:num>
  <w:num w:numId="3">
    <w:abstractNumId w:val="1"/>
  </w:num>
  <w:num w:numId="4">
    <w:abstractNumId w:val="5"/>
  </w:num>
  <w:num w:numId="5">
    <w:abstractNumId w:val="4"/>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6"/>
    <w:next w:val="926"/>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6"/>
    <w:next w:val="926"/>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6"/>
    <w:next w:val="926"/>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6"/>
    <w:next w:val="926"/>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6"/>
    <w:next w:val="926"/>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6"/>
    <w:next w:val="926"/>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6"/>
    <w:next w:val="926"/>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6"/>
    <w:next w:val="926"/>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6"/>
    <w:next w:val="926"/>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38"/>
    <w:link w:val="926"/>
    <w:qFormat/>
    <w:pPr>
      <w:jc w:val="both"/>
      <w:widowControl w:val="off"/>
    </w:pPr>
    <w:rPr>
      <w:rFonts w:ascii="Calibri" w:hAnsi="Calibri"/>
      <w:sz w:val="21"/>
      <w:szCs w:val="22"/>
      <w:lang w:val="en-US" w:eastAsia="zh-CN" w:bidi="ar-SA"/>
    </w:rPr>
  </w:style>
  <w:style w:type="paragraph" w:styleId="927">
    <w:name w:val="标题 1"/>
    <w:basedOn w:val="926"/>
    <w:next w:val="926"/>
    <w:link w:val="939"/>
    <w:uiPriority w:val="9"/>
    <w:qFormat/>
    <w:pPr>
      <w:jc w:val="center"/>
      <w:keepNext/>
      <w:outlineLvl w:val="0"/>
    </w:pPr>
    <w:rPr>
      <w:rFonts w:ascii="楷体_GB2312" w:hAnsi="宋体" w:eastAsia="楷体_GB2312"/>
      <w:sz w:val="28"/>
      <w:szCs w:val="28"/>
    </w:rPr>
  </w:style>
  <w:style w:type="paragraph" w:styleId="928">
    <w:name w:val="标题 2"/>
    <w:basedOn w:val="926"/>
    <w:next w:val="928"/>
    <w:link w:val="940"/>
    <w:qFormat/>
    <w:pPr>
      <w:jc w:val="center"/>
      <w:keepLines/>
      <w:keepNext/>
      <w:spacing w:before="260" w:after="260" w:line="415" w:lineRule="auto"/>
      <w:outlineLvl w:val="1"/>
    </w:pPr>
    <w:rPr>
      <w:rFonts w:ascii="Arial" w:hAnsi="Arial" w:eastAsia="幼圆"/>
      <w:b/>
      <w:bCs/>
      <w:sz w:val="44"/>
      <w:szCs w:val="44"/>
    </w:rPr>
  </w:style>
  <w:style w:type="paragraph" w:styleId="929">
    <w:name w:val="标题 3"/>
    <w:basedOn w:val="926"/>
    <w:next w:val="929"/>
    <w:link w:val="941"/>
    <w:uiPriority w:val="9"/>
    <w:qFormat/>
    <w:pPr>
      <w:keepLines/>
      <w:keepNext/>
      <w:spacing w:before="260" w:after="260" w:line="415" w:lineRule="auto"/>
      <w:outlineLvl w:val="2"/>
    </w:pPr>
    <w:rPr>
      <w:b/>
      <w:bCs/>
      <w:sz w:val="32"/>
      <w:szCs w:val="32"/>
    </w:rPr>
  </w:style>
  <w:style w:type="paragraph" w:styleId="930">
    <w:name w:val="标题 4"/>
    <w:basedOn w:val="926"/>
    <w:next w:val="930"/>
    <w:link w:val="942"/>
    <w:uiPriority w:val="9"/>
    <w:qFormat/>
    <w:pPr>
      <w:keepLines/>
      <w:keepNext/>
      <w:spacing w:before="280" w:after="290" w:line="376" w:lineRule="auto"/>
      <w:outlineLvl w:val="3"/>
    </w:pPr>
    <w:rPr>
      <w:rFonts w:ascii="Arial" w:hAnsi="Arial" w:eastAsia="黑体"/>
      <w:b/>
      <w:bCs/>
      <w:sz w:val="28"/>
      <w:szCs w:val="28"/>
    </w:rPr>
  </w:style>
  <w:style w:type="paragraph" w:styleId="931">
    <w:name w:val="标题 5"/>
    <w:basedOn w:val="926"/>
    <w:next w:val="931"/>
    <w:link w:val="943"/>
    <w:qFormat/>
    <w:pPr>
      <w:keepNext/>
      <w:outlineLvl w:val="4"/>
    </w:pPr>
    <w:rPr>
      <w:rFonts w:ascii="宋体" w:hAnsi="宋体"/>
      <w:color w:val="000000"/>
      <w:sz w:val="28"/>
      <w:szCs w:val="28"/>
    </w:rPr>
  </w:style>
  <w:style w:type="paragraph" w:styleId="932">
    <w:name w:val="标题 6"/>
    <w:basedOn w:val="926"/>
    <w:next w:val="926"/>
    <w:link w:val="944"/>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933">
    <w:name w:val="标题 7"/>
    <w:basedOn w:val="926"/>
    <w:next w:val="926"/>
    <w:link w:val="945"/>
    <w:qFormat/>
    <w:pPr>
      <w:numPr>
        <w:ilvl w:val="6"/>
        <w:numId w:val="1"/>
      </w:numPr>
      <w:keepLines/>
      <w:keepNext/>
      <w:spacing w:before="240" w:after="64" w:line="319" w:lineRule="auto"/>
      <w:tabs>
        <w:tab w:val="left" w:pos="0" w:leader="none"/>
      </w:tabs>
      <w:outlineLvl w:val="6"/>
    </w:pPr>
    <w:rPr>
      <w:b/>
      <w:bCs/>
      <w:sz w:val="24"/>
    </w:rPr>
  </w:style>
  <w:style w:type="paragraph" w:styleId="934">
    <w:name w:val="标题 8"/>
    <w:basedOn w:val="926"/>
    <w:next w:val="926"/>
    <w:link w:val="946"/>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935">
    <w:name w:val="标题 9"/>
    <w:basedOn w:val="926"/>
    <w:next w:val="926"/>
    <w:link w:val="947"/>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936">
    <w:name w:val="默认段落字体"/>
    <w:next w:val="936"/>
    <w:link w:val="926"/>
    <w:uiPriority w:val="1"/>
    <w:unhideWhenUsed/>
  </w:style>
  <w:style w:type="table" w:styleId="937">
    <w:name w:val="普通表格"/>
    <w:next w:val="937"/>
    <w:link w:val="926"/>
    <w:semiHidden/>
    <w:tblPr/>
  </w:style>
  <w:style w:type="paragraph" w:styleId="938">
    <w:name w:val="正文文本缩进"/>
    <w:basedOn w:val="926"/>
    <w:next w:val="926"/>
    <w:link w:val="926"/>
    <w:qFormat/>
    <w:pPr>
      <w:ind w:firstLine="645"/>
    </w:pPr>
    <w:rPr>
      <w:rFonts w:ascii="楷体_GB2312" w:hAnsi="宋体" w:eastAsia="楷体_GB2312" w:cs="宋体"/>
      <w:sz w:val="32"/>
      <w:szCs w:val="32"/>
    </w:rPr>
  </w:style>
  <w:style w:type="character" w:styleId="939">
    <w:name w:val="标题 1 字符1"/>
    <w:next w:val="939"/>
    <w:link w:val="927"/>
    <w:uiPriority w:val="9"/>
    <w:qFormat/>
    <w:rPr>
      <w:rFonts w:ascii="楷体_GB2312" w:hAnsi="宋体" w:eastAsia="楷体_GB2312" w:cs="宋体"/>
      <w:sz w:val="28"/>
      <w:szCs w:val="28"/>
    </w:rPr>
  </w:style>
  <w:style w:type="character" w:styleId="940">
    <w:name w:val="标题 2 字符"/>
    <w:next w:val="940"/>
    <w:link w:val="928"/>
    <w:qFormat/>
    <w:rPr>
      <w:rFonts w:ascii="Arial" w:hAnsi="Arial" w:eastAsia="幼圆" w:cs="Arial"/>
      <w:b/>
      <w:bCs/>
      <w:sz w:val="44"/>
      <w:szCs w:val="44"/>
    </w:rPr>
  </w:style>
  <w:style w:type="character" w:styleId="941">
    <w:name w:val="标题 3 字符"/>
    <w:next w:val="941"/>
    <w:link w:val="929"/>
    <w:uiPriority w:val="9"/>
    <w:qFormat/>
    <w:rPr>
      <w:b/>
      <w:bCs/>
      <w:sz w:val="32"/>
      <w:szCs w:val="32"/>
    </w:rPr>
  </w:style>
  <w:style w:type="character" w:styleId="942">
    <w:name w:val="标题 4 字符"/>
    <w:next w:val="942"/>
    <w:link w:val="930"/>
    <w:uiPriority w:val="9"/>
    <w:qFormat/>
    <w:rPr>
      <w:rFonts w:ascii="Arial" w:hAnsi="Arial" w:eastAsia="黑体" w:cs="Arial"/>
      <w:b/>
      <w:bCs/>
      <w:sz w:val="28"/>
      <w:szCs w:val="28"/>
    </w:rPr>
  </w:style>
  <w:style w:type="character" w:styleId="943">
    <w:name w:val="标题 5 字符"/>
    <w:next w:val="943"/>
    <w:link w:val="931"/>
    <w:qFormat/>
    <w:rPr>
      <w:rFonts w:ascii="宋体" w:hAnsi="宋体" w:cs="宋体"/>
      <w:color w:val="000000"/>
      <w:sz w:val="28"/>
      <w:szCs w:val="28"/>
    </w:rPr>
  </w:style>
  <w:style w:type="character" w:styleId="944">
    <w:name w:val="标题 6 字符"/>
    <w:next w:val="944"/>
    <w:link w:val="932"/>
    <w:qFormat/>
    <w:rPr>
      <w:rFonts w:ascii="Arial" w:hAnsi="Arial" w:eastAsia="黑体"/>
      <w:b/>
      <w:bCs/>
      <w:sz w:val="24"/>
      <w:szCs w:val="24"/>
    </w:rPr>
  </w:style>
  <w:style w:type="character" w:styleId="945">
    <w:name w:val="标题 7 字符"/>
    <w:next w:val="945"/>
    <w:link w:val="933"/>
    <w:qFormat/>
    <w:rPr>
      <w:b/>
      <w:bCs/>
      <w:sz w:val="24"/>
      <w:szCs w:val="24"/>
    </w:rPr>
  </w:style>
  <w:style w:type="character" w:styleId="946">
    <w:name w:val="标题 8 字符"/>
    <w:next w:val="946"/>
    <w:link w:val="934"/>
    <w:qFormat/>
    <w:rPr>
      <w:rFonts w:ascii="Arial" w:hAnsi="Arial" w:eastAsia="黑体"/>
      <w:sz w:val="24"/>
      <w:szCs w:val="24"/>
    </w:rPr>
  </w:style>
  <w:style w:type="character" w:styleId="947">
    <w:name w:val="标题 9 字符"/>
    <w:next w:val="947"/>
    <w:link w:val="935"/>
    <w:qFormat/>
    <w:rPr>
      <w:rFonts w:ascii="Arial" w:hAnsi="Arial" w:eastAsia="黑体"/>
      <w:sz w:val="21"/>
      <w:szCs w:val="21"/>
    </w:rPr>
  </w:style>
  <w:style w:type="paragraph" w:styleId="948">
    <w:name w:val="列表 3"/>
    <w:basedOn w:val="926"/>
    <w:next w:val="948"/>
    <w:link w:val="926"/>
    <w:pPr>
      <w:ind w:hanging="200"/>
    </w:pPr>
    <w:rPr>
      <w:szCs w:val="21"/>
    </w:rPr>
  </w:style>
  <w:style w:type="paragraph" w:styleId="949">
    <w:name w:val="目录 7"/>
    <w:basedOn w:val="926"/>
    <w:next w:val="926"/>
    <w:link w:val="926"/>
    <w:uiPriority w:val="39"/>
    <w:qFormat/>
    <w:pPr>
      <w:ind w:left="1260"/>
      <w:jc w:val="left"/>
    </w:pPr>
    <w:rPr>
      <w:rFonts w:ascii="Calibri" w:hAnsi="Calibri" w:cs="Calibri"/>
      <w:sz w:val="18"/>
      <w:szCs w:val="18"/>
    </w:rPr>
  </w:style>
  <w:style w:type="paragraph" w:styleId="950">
    <w:name w:val="列表编号"/>
    <w:basedOn w:val="926"/>
    <w:next w:val="950"/>
    <w:link w:val="926"/>
    <w:qFormat/>
    <w:pPr>
      <w:numPr>
        <w:ilvl w:val="0"/>
        <w:numId w:val="2"/>
      </w:numPr>
      <w:ind w:left="0" w:firstLine="0"/>
      <w:tabs>
        <w:tab w:val="clear" w:pos="420" w:leader="none"/>
      </w:tabs>
    </w:pPr>
    <w:rPr>
      <w:szCs w:val="20"/>
    </w:rPr>
  </w:style>
  <w:style w:type="paragraph" w:styleId="951">
    <w:name w:val="正文缩进"/>
    <w:basedOn w:val="926"/>
    <w:next w:val="926"/>
    <w:link w:val="952"/>
    <w:uiPriority w:val="99"/>
    <w:qFormat/>
    <w:pPr>
      <w:ind w:firstLine="420"/>
    </w:pPr>
    <w:rPr>
      <w:szCs w:val="21"/>
    </w:rPr>
  </w:style>
  <w:style w:type="character" w:styleId="952">
    <w:name w:val="正文缩进 字符"/>
    <w:next w:val="952"/>
    <w:link w:val="951"/>
    <w:uiPriority w:val="99"/>
    <w:qFormat/>
    <w:rPr>
      <w:rFonts w:eastAsia="宋体"/>
      <w:sz w:val="21"/>
      <w:szCs w:val="21"/>
      <w:lang w:val="en-US" w:eastAsia="zh-CN" w:bidi="ar-SA"/>
    </w:rPr>
  </w:style>
  <w:style w:type="paragraph" w:styleId="953">
    <w:name w:val="文档结构图"/>
    <w:basedOn w:val="926"/>
    <w:next w:val="953"/>
    <w:link w:val="954"/>
    <w:uiPriority w:val="99"/>
    <w:qFormat/>
    <w:pPr>
      <w:shd w:val="clear" w:color="auto" w:fill="000080"/>
    </w:pPr>
    <w:rPr>
      <w:szCs w:val="21"/>
    </w:rPr>
  </w:style>
  <w:style w:type="character" w:styleId="954">
    <w:name w:val="文档结构图 字符"/>
    <w:next w:val="954"/>
    <w:link w:val="953"/>
    <w:uiPriority w:val="99"/>
    <w:qFormat/>
    <w:rPr>
      <w:sz w:val="21"/>
      <w:szCs w:val="21"/>
      <w:shd w:val="clear" w:color="auto" w:fill="000080"/>
    </w:rPr>
  </w:style>
  <w:style w:type="paragraph" w:styleId="955">
    <w:name w:val="引文目录标题"/>
    <w:basedOn w:val="926"/>
    <w:next w:val="926"/>
    <w:link w:val="926"/>
    <w:pPr>
      <w:spacing w:before="120"/>
    </w:pPr>
    <w:rPr>
      <w:rFonts w:ascii="Arial" w:hAnsi="Arial" w:cs="Arial"/>
      <w:sz w:val="24"/>
    </w:rPr>
  </w:style>
  <w:style w:type="paragraph" w:styleId="956">
    <w:name w:val="批注文字"/>
    <w:basedOn w:val="926"/>
    <w:next w:val="956"/>
    <w:link w:val="957"/>
    <w:uiPriority w:val="99"/>
    <w:qFormat/>
    <w:pPr>
      <w:jc w:val="left"/>
    </w:pPr>
    <w:rPr>
      <w:szCs w:val="21"/>
    </w:rPr>
  </w:style>
  <w:style w:type="character" w:styleId="957">
    <w:name w:val="批注文字 字符"/>
    <w:next w:val="957"/>
    <w:link w:val="956"/>
    <w:uiPriority w:val="99"/>
    <w:qFormat/>
    <w:rPr>
      <w:sz w:val="21"/>
      <w:szCs w:val="21"/>
    </w:rPr>
  </w:style>
  <w:style w:type="paragraph" w:styleId="958">
    <w:name w:val="正文文本 3"/>
    <w:basedOn w:val="926"/>
    <w:next w:val="958"/>
    <w:link w:val="926"/>
    <w:rPr>
      <w:rFonts w:ascii="仿宋_GB2312" w:hAnsi="宋体" w:eastAsia="仿宋_GB2312" w:cs="宋体"/>
      <w:sz w:val="32"/>
      <w:szCs w:val="32"/>
    </w:rPr>
  </w:style>
  <w:style w:type="paragraph" w:styleId="959">
    <w:name w:val="正文文本"/>
    <w:basedOn w:val="926"/>
    <w:next w:val="959"/>
    <w:link w:val="960"/>
    <w:uiPriority w:val="99"/>
    <w:qFormat/>
    <w:rPr>
      <w:rFonts w:ascii="楷体_GB2312" w:hAnsi="宋体" w:eastAsia="楷体_GB2312"/>
      <w:sz w:val="28"/>
      <w:szCs w:val="28"/>
    </w:rPr>
  </w:style>
  <w:style w:type="character" w:styleId="960">
    <w:name w:val="正文文本 字符"/>
    <w:next w:val="960"/>
    <w:link w:val="959"/>
    <w:uiPriority w:val="99"/>
    <w:qFormat/>
    <w:rPr>
      <w:rFonts w:ascii="楷体_GB2312" w:hAnsi="宋体" w:eastAsia="楷体_GB2312" w:cs="宋体"/>
      <w:sz w:val="28"/>
      <w:szCs w:val="28"/>
    </w:rPr>
  </w:style>
  <w:style w:type="paragraph" w:styleId="961">
    <w:name w:val="列表 2"/>
    <w:basedOn w:val="926"/>
    <w:next w:val="961"/>
    <w:link w:val="926"/>
    <w:qFormat/>
    <w:pPr>
      <w:numPr>
        <w:ilvl w:val="0"/>
        <w:numId w:val="3"/>
      </w:numPr>
      <w:ind w:left="0" w:hanging="200"/>
      <w:tabs>
        <w:tab w:val="clear" w:pos="907" w:leader="none"/>
      </w:tabs>
    </w:pPr>
    <w:rPr>
      <w:szCs w:val="21"/>
    </w:rPr>
  </w:style>
  <w:style w:type="paragraph" w:styleId="962">
    <w:name w:val="HTML 地址"/>
    <w:basedOn w:val="926"/>
    <w:next w:val="962"/>
    <w:link w:val="926"/>
    <w:pPr>
      <w:numPr>
        <w:ilvl w:val="0"/>
        <w:numId w:val="4"/>
      </w:numPr>
      <w:ind w:left="0" w:firstLine="0"/>
      <w:tabs>
        <w:tab w:val="clear" w:pos="397" w:leader="none"/>
      </w:tabs>
    </w:pPr>
    <w:rPr>
      <w:i/>
      <w:iCs/>
      <w:szCs w:val="21"/>
    </w:rPr>
  </w:style>
  <w:style w:type="paragraph" w:styleId="963">
    <w:name w:val="目录 5"/>
    <w:basedOn w:val="926"/>
    <w:next w:val="926"/>
    <w:link w:val="926"/>
    <w:uiPriority w:val="39"/>
    <w:qFormat/>
    <w:pPr>
      <w:ind w:left="840"/>
      <w:jc w:val="left"/>
    </w:pPr>
    <w:rPr>
      <w:rFonts w:ascii="Calibri" w:hAnsi="Calibri" w:cs="Calibri"/>
      <w:sz w:val="18"/>
      <w:szCs w:val="18"/>
    </w:rPr>
  </w:style>
  <w:style w:type="paragraph" w:styleId="964">
    <w:name w:val="目录 3"/>
    <w:basedOn w:val="926"/>
    <w:next w:val="926"/>
    <w:link w:val="926"/>
    <w:uiPriority w:val="39"/>
    <w:qFormat/>
    <w:pPr>
      <w:ind w:left="420"/>
      <w:jc w:val="left"/>
    </w:pPr>
    <w:rPr>
      <w:rFonts w:ascii="Calibri" w:hAnsi="Calibri" w:cs="Calibri"/>
      <w:i/>
      <w:iCs/>
      <w:sz w:val="20"/>
      <w:szCs w:val="20"/>
    </w:rPr>
  </w:style>
  <w:style w:type="paragraph" w:styleId="965">
    <w:name w:val="纯文本"/>
    <w:basedOn w:val="926"/>
    <w:next w:val="965"/>
    <w:link w:val="966"/>
    <w:uiPriority w:val="99"/>
    <w:qFormat/>
    <w:rPr>
      <w:rFonts w:ascii="宋体" w:hAnsi="宋体"/>
      <w:szCs w:val="21"/>
    </w:rPr>
  </w:style>
  <w:style w:type="character" w:styleId="966">
    <w:name w:val="纯文本 字符"/>
    <w:next w:val="966"/>
    <w:link w:val="965"/>
    <w:uiPriority w:val="99"/>
    <w:qFormat/>
    <w:rPr>
      <w:rFonts w:ascii="宋体" w:hAnsi="宋体" w:cs="Courier New"/>
      <w:sz w:val="21"/>
      <w:szCs w:val="21"/>
    </w:rPr>
  </w:style>
  <w:style w:type="paragraph" w:styleId="967">
    <w:name w:val="目录 8"/>
    <w:basedOn w:val="926"/>
    <w:next w:val="926"/>
    <w:link w:val="926"/>
    <w:uiPriority w:val="39"/>
    <w:qFormat/>
    <w:pPr>
      <w:ind w:left="1470"/>
      <w:jc w:val="left"/>
    </w:pPr>
    <w:rPr>
      <w:rFonts w:ascii="Calibri" w:hAnsi="Calibri" w:cs="Calibri"/>
      <w:sz w:val="18"/>
      <w:szCs w:val="18"/>
    </w:rPr>
  </w:style>
  <w:style w:type="paragraph" w:styleId="968">
    <w:name w:val="日期"/>
    <w:basedOn w:val="926"/>
    <w:next w:val="926"/>
    <w:link w:val="969"/>
    <w:qFormat/>
    <w:rPr>
      <w:sz w:val="24"/>
    </w:rPr>
  </w:style>
  <w:style w:type="character" w:styleId="969">
    <w:name w:val="日期 字符"/>
    <w:next w:val="969"/>
    <w:link w:val="968"/>
    <w:qFormat/>
    <w:rPr>
      <w:sz w:val="24"/>
      <w:szCs w:val="24"/>
    </w:rPr>
  </w:style>
  <w:style w:type="paragraph" w:styleId="970">
    <w:name w:val="正文文本缩进 2"/>
    <w:basedOn w:val="926"/>
    <w:next w:val="970"/>
    <w:link w:val="926"/>
    <w:qFormat/>
    <w:pPr>
      <w:ind w:left="630" w:firstLine="645"/>
    </w:pPr>
    <w:rPr>
      <w:rFonts w:ascii="Arial" w:hAnsi="Arial" w:eastAsia="仿宋_GB2312" w:cs="Arial"/>
      <w:sz w:val="32"/>
      <w:szCs w:val="32"/>
    </w:rPr>
  </w:style>
  <w:style w:type="paragraph" w:styleId="971">
    <w:name w:val="批注框文本"/>
    <w:basedOn w:val="926"/>
    <w:next w:val="971"/>
    <w:link w:val="972"/>
    <w:uiPriority w:val="99"/>
    <w:qFormat/>
    <w:rPr>
      <w:sz w:val="18"/>
      <w:szCs w:val="18"/>
    </w:rPr>
  </w:style>
  <w:style w:type="character" w:styleId="972">
    <w:name w:val="批注框文本 字符"/>
    <w:next w:val="972"/>
    <w:link w:val="971"/>
    <w:uiPriority w:val="99"/>
    <w:qFormat/>
    <w:rPr>
      <w:sz w:val="18"/>
      <w:szCs w:val="18"/>
    </w:rPr>
  </w:style>
  <w:style w:type="paragraph" w:styleId="973">
    <w:name w:val="页脚"/>
    <w:basedOn w:val="926"/>
    <w:next w:val="973"/>
    <w:link w:val="974"/>
    <w:uiPriority w:val="99"/>
    <w:qFormat/>
    <w:pPr>
      <w:jc w:val="left"/>
      <w:tabs>
        <w:tab w:val="center" w:pos="4153" w:leader="none"/>
        <w:tab w:val="right" w:pos="8306" w:leader="none"/>
      </w:tabs>
    </w:pPr>
    <w:rPr>
      <w:sz w:val="18"/>
      <w:szCs w:val="18"/>
    </w:rPr>
  </w:style>
  <w:style w:type="character" w:styleId="974">
    <w:name w:val="页脚 字符"/>
    <w:next w:val="974"/>
    <w:link w:val="973"/>
    <w:uiPriority w:val="99"/>
    <w:qFormat/>
    <w:rPr>
      <w:sz w:val="18"/>
      <w:szCs w:val="18"/>
    </w:rPr>
  </w:style>
  <w:style w:type="paragraph" w:styleId="975">
    <w:name w:val="页眉"/>
    <w:basedOn w:val="926"/>
    <w:next w:val="975"/>
    <w:link w:val="976"/>
    <w:uiPriority w:val="99"/>
    <w:qFormat/>
    <w:pPr>
      <w:jc w:val="center"/>
      <w:tabs>
        <w:tab w:val="center" w:pos="4153" w:leader="none"/>
        <w:tab w:val="right" w:pos="8306" w:leader="none"/>
      </w:tabs>
      <w:pBdr>
        <w:bottom w:val="single" w:color="000000" w:sz="6" w:space="1"/>
      </w:pBdr>
    </w:pPr>
    <w:rPr>
      <w:sz w:val="18"/>
      <w:szCs w:val="18"/>
    </w:rPr>
  </w:style>
  <w:style w:type="character" w:styleId="976">
    <w:name w:val="页眉 字符"/>
    <w:next w:val="976"/>
    <w:link w:val="975"/>
    <w:uiPriority w:val="99"/>
    <w:qFormat/>
    <w:rPr>
      <w:sz w:val="18"/>
      <w:szCs w:val="18"/>
    </w:rPr>
  </w:style>
  <w:style w:type="paragraph" w:styleId="977">
    <w:name w:val="目录 1"/>
    <w:basedOn w:val="926"/>
    <w:next w:val="926"/>
    <w:link w:val="926"/>
    <w:uiPriority w:val="39"/>
    <w:qFormat/>
    <w:pPr>
      <w:jc w:val="left"/>
      <w:spacing w:before="120" w:after="120"/>
    </w:pPr>
    <w:rPr>
      <w:rFonts w:ascii="Calibri" w:hAnsi="Calibri" w:cs="Calibri"/>
      <w:b/>
      <w:bCs/>
      <w:caps/>
      <w:sz w:val="20"/>
      <w:szCs w:val="20"/>
    </w:rPr>
  </w:style>
  <w:style w:type="paragraph" w:styleId="978">
    <w:name w:val="目录 4"/>
    <w:basedOn w:val="926"/>
    <w:next w:val="926"/>
    <w:link w:val="926"/>
    <w:uiPriority w:val="39"/>
    <w:qFormat/>
    <w:pPr>
      <w:ind w:left="630"/>
      <w:jc w:val="left"/>
    </w:pPr>
    <w:rPr>
      <w:rFonts w:ascii="Calibri" w:hAnsi="Calibri" w:cs="Calibri"/>
      <w:sz w:val="18"/>
      <w:szCs w:val="18"/>
    </w:rPr>
  </w:style>
  <w:style w:type="paragraph" w:styleId="979">
    <w:name w:val="副标题"/>
    <w:basedOn w:val="926"/>
    <w:next w:val="926"/>
    <w:link w:val="98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0">
    <w:name w:val="副标题 字符"/>
    <w:next w:val="980"/>
    <w:link w:val="979"/>
    <w:rPr>
      <w:rFonts w:ascii="Cambria" w:hAnsi="Cambria"/>
      <w:b/>
      <w:bCs/>
      <w:sz w:val="32"/>
      <w:szCs w:val="32"/>
    </w:rPr>
  </w:style>
  <w:style w:type="paragraph" w:styleId="981">
    <w:name w:val="列表"/>
    <w:basedOn w:val="926"/>
    <w:next w:val="981"/>
    <w:link w:val="926"/>
    <w:uiPriority w:val="99"/>
    <w:pPr>
      <w:ind w:left="200" w:hanging="200"/>
    </w:pPr>
    <w:rPr>
      <w:szCs w:val="21"/>
    </w:rPr>
  </w:style>
  <w:style w:type="paragraph" w:styleId="982">
    <w:name w:val="脚注文本"/>
    <w:basedOn w:val="926"/>
    <w:next w:val="982"/>
    <w:link w:val="926"/>
    <w:pPr>
      <w:jc w:val="left"/>
      <w:widowControl/>
    </w:pPr>
    <w:rPr>
      <w:sz w:val="20"/>
      <w:szCs w:val="20"/>
    </w:rPr>
  </w:style>
  <w:style w:type="paragraph" w:styleId="983">
    <w:name w:val="目录 6"/>
    <w:basedOn w:val="926"/>
    <w:next w:val="926"/>
    <w:link w:val="926"/>
    <w:uiPriority w:val="39"/>
    <w:qFormat/>
    <w:pPr>
      <w:ind w:left="1050"/>
      <w:jc w:val="left"/>
    </w:pPr>
    <w:rPr>
      <w:rFonts w:ascii="Calibri" w:hAnsi="Calibri" w:cs="Calibri"/>
      <w:sz w:val="18"/>
      <w:szCs w:val="18"/>
    </w:rPr>
  </w:style>
  <w:style w:type="paragraph" w:styleId="984">
    <w:name w:val="正文文本缩进 3"/>
    <w:basedOn w:val="926"/>
    <w:next w:val="984"/>
    <w:link w:val="926"/>
    <w:pPr>
      <w:ind w:left="645" w:firstLine="645"/>
    </w:pPr>
    <w:rPr>
      <w:rFonts w:ascii="Arial" w:hAnsi="Arial" w:eastAsia="仿宋_GB2312" w:cs="Arial"/>
      <w:color w:val="ffff00"/>
      <w:sz w:val="32"/>
      <w:szCs w:val="32"/>
    </w:rPr>
  </w:style>
  <w:style w:type="paragraph" w:styleId="985">
    <w:name w:val="图表目录"/>
    <w:basedOn w:val="926"/>
    <w:next w:val="926"/>
    <w:link w:val="926"/>
    <w:pPr>
      <w:ind w:left="840" w:hanging="420"/>
    </w:pPr>
    <w:rPr>
      <w:szCs w:val="21"/>
    </w:rPr>
  </w:style>
  <w:style w:type="paragraph" w:styleId="986">
    <w:name w:val="目录 2"/>
    <w:basedOn w:val="926"/>
    <w:next w:val="926"/>
    <w:link w:val="926"/>
    <w:uiPriority w:val="39"/>
    <w:qFormat/>
    <w:pPr>
      <w:ind w:left="210"/>
      <w:jc w:val="left"/>
    </w:pPr>
    <w:rPr>
      <w:rFonts w:ascii="Calibri" w:hAnsi="Calibri" w:cs="Calibri"/>
      <w:smallCaps/>
      <w:sz w:val="20"/>
      <w:szCs w:val="20"/>
    </w:rPr>
  </w:style>
  <w:style w:type="paragraph" w:styleId="987">
    <w:name w:val="目录 9"/>
    <w:basedOn w:val="926"/>
    <w:next w:val="926"/>
    <w:link w:val="926"/>
    <w:uiPriority w:val="39"/>
    <w:qFormat/>
    <w:pPr>
      <w:ind w:left="1680"/>
      <w:jc w:val="left"/>
    </w:pPr>
    <w:rPr>
      <w:rFonts w:ascii="Calibri" w:hAnsi="Calibri" w:cs="Calibri"/>
      <w:sz w:val="18"/>
      <w:szCs w:val="18"/>
    </w:rPr>
  </w:style>
  <w:style w:type="paragraph" w:styleId="988">
    <w:name w:val="正文文本 2"/>
    <w:basedOn w:val="926"/>
    <w:next w:val="988"/>
    <w:link w:val="926"/>
    <w:pPr>
      <w:jc w:val="center"/>
      <w:widowControl/>
    </w:pPr>
    <w:rPr>
      <w:rFonts w:ascii="楷体_GB2312" w:hAnsi="宋体" w:eastAsia="楷体_GB2312" w:cs="宋体"/>
      <w:sz w:val="28"/>
      <w:szCs w:val="28"/>
    </w:rPr>
  </w:style>
  <w:style w:type="paragraph" w:styleId="989">
    <w:name w:val="列表 4"/>
    <w:basedOn w:val="926"/>
    <w:next w:val="989"/>
    <w:link w:val="926"/>
    <w:pPr>
      <w:numPr>
        <w:ilvl w:val="0"/>
        <w:numId w:val="5"/>
      </w:numPr>
      <w:ind w:left="100" w:hanging="200"/>
      <w:tabs>
        <w:tab w:val="clear" w:pos="709" w:leader="none"/>
      </w:tabs>
    </w:pPr>
    <w:rPr>
      <w:szCs w:val="21"/>
    </w:rPr>
  </w:style>
  <w:style w:type="paragraph" w:styleId="990">
    <w:name w:val="HTML 预设格式"/>
    <w:basedOn w:val="926"/>
    <w:next w:val="990"/>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1">
    <w:name w:val="普通(网站)"/>
    <w:basedOn w:val="926"/>
    <w:next w:val="991"/>
    <w:link w:val="992"/>
    <w:uiPriority w:val="99"/>
    <w:qFormat/>
    <w:pPr>
      <w:jc w:val="left"/>
      <w:spacing w:before="100" w:beforeAutospacing="1" w:after="100" w:afterAutospacing="1"/>
      <w:widowControl/>
    </w:pPr>
    <w:rPr>
      <w:rFonts w:ascii="宋体" w:hAnsi="宋体"/>
      <w:sz w:val="24"/>
    </w:rPr>
  </w:style>
  <w:style w:type="character" w:styleId="992">
    <w:name w:val="普通(网站) 字符"/>
    <w:next w:val="992"/>
    <w:link w:val="991"/>
    <w:uiPriority w:val="99"/>
    <w:qFormat/>
    <w:rPr>
      <w:rFonts w:ascii="宋体" w:hAnsi="宋体" w:cs="宋体"/>
      <w:sz w:val="24"/>
      <w:szCs w:val="24"/>
    </w:rPr>
  </w:style>
  <w:style w:type="paragraph" w:styleId="993">
    <w:name w:val="列表接续 3"/>
    <w:basedOn w:val="926"/>
    <w:next w:val="993"/>
    <w:link w:val="926"/>
    <w:pPr>
      <w:ind w:left="1260"/>
      <w:spacing w:after="120"/>
    </w:pPr>
    <w:rPr>
      <w:szCs w:val="20"/>
    </w:rPr>
  </w:style>
  <w:style w:type="paragraph" w:styleId="994">
    <w:name w:val="索引 1"/>
    <w:basedOn w:val="926"/>
    <w:next w:val="926"/>
    <w:link w:val="926"/>
    <w:pPr>
      <w:spacing w:line="240" w:lineRule="atLeast"/>
    </w:pPr>
    <w:rPr>
      <w:b/>
      <w:bCs/>
      <w:szCs w:val="21"/>
    </w:rPr>
  </w:style>
  <w:style w:type="paragraph" w:styleId="995">
    <w:name w:val="标题"/>
    <w:basedOn w:val="926"/>
    <w:next w:val="995"/>
    <w:link w:val="996"/>
    <w:qFormat/>
    <w:pPr>
      <w:jc w:val="center"/>
      <w:spacing w:before="240" w:after="60"/>
      <w:outlineLvl w:val="0"/>
    </w:pPr>
    <w:rPr>
      <w:rFonts w:ascii="Arial" w:hAnsi="Arial" w:eastAsia="黑体"/>
      <w:b/>
      <w:bCs/>
      <w:sz w:val="44"/>
      <w:szCs w:val="32"/>
    </w:rPr>
  </w:style>
  <w:style w:type="character" w:styleId="996">
    <w:name w:val="标题 字符1"/>
    <w:next w:val="996"/>
    <w:link w:val="995"/>
    <w:qFormat/>
    <w:rPr>
      <w:rFonts w:ascii="Arial" w:hAnsi="Arial" w:eastAsia="黑体" w:cs="Arial"/>
      <w:b/>
      <w:bCs/>
      <w:sz w:val="44"/>
      <w:szCs w:val="32"/>
    </w:rPr>
  </w:style>
  <w:style w:type="paragraph" w:styleId="997">
    <w:name w:val="批注主题"/>
    <w:basedOn w:val="956"/>
    <w:next w:val="956"/>
    <w:link w:val="998"/>
    <w:uiPriority w:val="99"/>
    <w:qFormat/>
    <w:rPr>
      <w:b/>
      <w:bCs/>
    </w:rPr>
  </w:style>
  <w:style w:type="character" w:styleId="998">
    <w:name w:val="批注主题 字符"/>
    <w:next w:val="998"/>
    <w:link w:val="997"/>
    <w:uiPriority w:val="99"/>
    <w:qFormat/>
    <w:rPr>
      <w:b/>
      <w:bCs/>
      <w:sz w:val="21"/>
      <w:szCs w:val="21"/>
    </w:rPr>
  </w:style>
  <w:style w:type="paragraph" w:styleId="999">
    <w:name w:val="正文首行缩进"/>
    <w:basedOn w:val="926"/>
    <w:next w:val="999"/>
    <w:link w:val="1000"/>
    <w:qFormat/>
    <w:pPr>
      <w:ind w:firstLine="200"/>
      <w:spacing w:line="360" w:lineRule="auto"/>
    </w:pPr>
    <w:rPr>
      <w:rFonts w:ascii="仿宋_GB2312" w:hAnsi="宋体" w:eastAsia="仿宋_GB2312"/>
      <w:sz w:val="30"/>
      <w:szCs w:val="30"/>
    </w:rPr>
  </w:style>
  <w:style w:type="character" w:styleId="1000">
    <w:name w:val="正文文本首行缩进 字符"/>
    <w:next w:val="1000"/>
    <w:link w:val="999"/>
    <w:qFormat/>
    <w:rPr>
      <w:rFonts w:ascii="仿宋_GB2312" w:hAnsi="宋体" w:eastAsia="仿宋_GB2312" w:cs="宋体"/>
      <w:sz w:val="30"/>
      <w:szCs w:val="30"/>
    </w:rPr>
  </w:style>
  <w:style w:type="paragraph" w:styleId="1001">
    <w:name w:val="正文首行缩进 2"/>
    <w:basedOn w:val="938"/>
    <w:next w:val="1001"/>
    <w:link w:val="926"/>
    <w:pPr>
      <w:ind w:firstLine="200"/>
      <w:spacing w:line="360" w:lineRule="auto"/>
    </w:pPr>
    <w:rPr>
      <w:rFonts w:ascii="宋体" w:eastAsia="宋体"/>
      <w:sz w:val="21"/>
      <w:szCs w:val="20"/>
    </w:rPr>
  </w:style>
  <w:style w:type="table" w:styleId="1002">
    <w:name w:val="网格型"/>
    <w:basedOn w:val="937"/>
    <w:next w:val="1002"/>
    <w:link w:val="926"/>
    <w:uiPriority w:val="39"/>
    <w:qFormat/>
    <w:rPr>
      <w:rFonts w:ascii="Calibri" w:hAnsi="Calibri"/>
    </w:rPr>
    <w:tblPr/>
  </w:style>
  <w:style w:type="character" w:styleId="1003">
    <w:name w:val="要点"/>
    <w:next w:val="1003"/>
    <w:link w:val="926"/>
    <w:uiPriority w:val="22"/>
    <w:qFormat/>
    <w:rPr>
      <w:b/>
      <w:bCs/>
    </w:rPr>
  </w:style>
  <w:style w:type="character" w:styleId="1004">
    <w:name w:val="页码"/>
    <w:next w:val="1004"/>
    <w:link w:val="926"/>
    <w:qFormat/>
  </w:style>
  <w:style w:type="character" w:styleId="1005">
    <w:name w:val="已访问的超链接"/>
    <w:next w:val="1005"/>
    <w:link w:val="926"/>
    <w:uiPriority w:val="99"/>
    <w:qFormat/>
    <w:rPr>
      <w:color w:val="800080"/>
      <w:u w:val="single"/>
    </w:rPr>
  </w:style>
  <w:style w:type="character" w:styleId="1006">
    <w:name w:val="强调"/>
    <w:next w:val="1006"/>
    <w:link w:val="926"/>
    <w:uiPriority w:val="20"/>
    <w:qFormat/>
    <w:rPr>
      <w:i/>
      <w:iCs/>
    </w:rPr>
  </w:style>
  <w:style w:type="character" w:styleId="1007">
    <w:name w:val="超链接"/>
    <w:next w:val="1007"/>
    <w:link w:val="926"/>
    <w:uiPriority w:val="99"/>
    <w:qFormat/>
    <w:rPr>
      <w:color w:val="0000ff"/>
      <w:u w:val="single"/>
    </w:rPr>
  </w:style>
  <w:style w:type="character" w:styleId="1008">
    <w:name w:val="批注引用"/>
    <w:next w:val="1008"/>
    <w:link w:val="926"/>
    <w:uiPriority w:val="99"/>
    <w:qFormat/>
    <w:rPr>
      <w:sz w:val="21"/>
      <w:szCs w:val="21"/>
    </w:rPr>
  </w:style>
  <w:style w:type="character" w:styleId="1009">
    <w:name w:val="标题 8 Char1"/>
    <w:next w:val="1009"/>
    <w:link w:val="926"/>
    <w:semiHidden/>
    <w:qFormat/>
    <w:rPr>
      <w:rFonts w:ascii="Cambria" w:hAnsi="Cambria" w:eastAsia="宋体" w:cs="Times New Roman"/>
      <w:sz w:val="24"/>
      <w:szCs w:val="24"/>
    </w:rPr>
  </w:style>
  <w:style w:type="character" w:styleId="1010">
    <w:name w:val="标题 字符"/>
    <w:next w:val="1010"/>
    <w:link w:val="926"/>
    <w:uiPriority w:val="10"/>
    <w:qFormat/>
    <w:rPr>
      <w:rFonts w:ascii="Cambria" w:hAnsi="Cambria" w:eastAsia="宋体" w:cs="Times New Roman"/>
      <w:b/>
      <w:bCs/>
      <w:sz w:val="32"/>
      <w:szCs w:val="32"/>
    </w:rPr>
  </w:style>
  <w:style w:type="character" w:styleId="1011">
    <w:name w:val="font61"/>
    <w:next w:val="1011"/>
    <w:link w:val="926"/>
    <w:rPr>
      <w:rFonts w:hint="eastAsia" w:ascii="宋体" w:hAnsi="宋体" w:eastAsia="宋体" w:cs="宋体"/>
      <w:i/>
      <w:color w:val="000000"/>
      <w:sz w:val="20"/>
      <w:szCs w:val="20"/>
      <w:u w:val="single"/>
    </w:rPr>
  </w:style>
  <w:style w:type="character" w:styleId="1012">
    <w:name w:val="font71"/>
    <w:next w:val="1012"/>
    <w:link w:val="926"/>
    <w:rPr>
      <w:rFonts w:hint="eastAsia" w:ascii="宋体" w:hAnsi="宋体" w:eastAsia="宋体" w:cs="宋体"/>
      <w:i w:val="0"/>
      <w:color w:val="000000"/>
      <w:sz w:val="20"/>
      <w:szCs w:val="20"/>
      <w:u w:val="none"/>
    </w:rPr>
  </w:style>
  <w:style w:type="character" w:styleId="1013">
    <w:name w:val="副标题 Char1"/>
    <w:next w:val="1013"/>
    <w:link w:val="926"/>
    <w:uiPriority w:val="11"/>
    <w:rPr>
      <w:rFonts w:ascii="Cambria" w:hAnsi="Cambria" w:cs="Times New Roman"/>
      <w:b/>
      <w:bCs/>
      <w:sz w:val="32"/>
      <w:szCs w:val="32"/>
    </w:rPr>
  </w:style>
  <w:style w:type="character" w:styleId="1014">
    <w:name w:val="标题 5 Char,H5 Char,PIM 5 Char,Second Subheading Char,dash Char,dd Char,ds Char,h5 Char"/>
    <w:next w:val="1014"/>
    <w:link w:val="926"/>
    <w:rPr>
      <w:b/>
      <w:bCs/>
      <w:sz w:val="28"/>
      <w:szCs w:val="28"/>
    </w:rPr>
  </w:style>
  <w:style w:type="character" w:styleId="1015">
    <w:name w:val="正文文本 Char"/>
    <w:next w:val="1015"/>
    <w:link w:val="926"/>
    <w:qFormat/>
    <w:rPr>
      <w:rFonts w:ascii="Calibri" w:hAnsi="Calibri" w:eastAsia="宋体" w:cs="Times New Roman"/>
    </w:rPr>
  </w:style>
  <w:style w:type="character" w:styleId="1016">
    <w:name w:val="Item List in Table Char Char"/>
    <w:next w:val="1016"/>
    <w:link w:val="1017"/>
    <w:uiPriority w:val="99"/>
    <w:qFormat/>
    <w:rPr>
      <w:rFonts w:ascii="Arial" w:hAnsi="Arial"/>
      <w:sz w:val="18"/>
      <w:szCs w:val="22"/>
      <w:lang w:val="en-US" w:eastAsia="zh-CN" w:bidi="ar-SA"/>
    </w:rPr>
  </w:style>
  <w:style w:type="paragraph" w:styleId="1017">
    <w:name w:val="Item List in Table"/>
    <w:next w:val="1017"/>
    <w:link w:val="1016"/>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1018">
    <w:name w:val="标题 9 Char1"/>
    <w:next w:val="1018"/>
    <w:link w:val="926"/>
    <w:semiHidden/>
    <w:qFormat/>
    <w:rPr>
      <w:rFonts w:ascii="Cambria" w:hAnsi="Cambria" w:eastAsia="宋体" w:cs="Times New Roman"/>
      <w:sz w:val="21"/>
      <w:szCs w:val="21"/>
    </w:rPr>
  </w:style>
  <w:style w:type="character" w:styleId="1019">
    <w:name w:val="副标题 字符1"/>
    <w:next w:val="1019"/>
    <w:link w:val="926"/>
    <w:uiPriority w:val="11"/>
    <w:rPr>
      <w:b/>
      <w:bCs/>
      <w:sz w:val="32"/>
      <w:szCs w:val="32"/>
    </w:rPr>
  </w:style>
  <w:style w:type="character" w:styleId="1020">
    <w:name w:val="font91"/>
    <w:next w:val="1020"/>
    <w:link w:val="926"/>
    <w:rPr>
      <w:rFonts w:ascii="Times New Roman" w:hAnsi="Times New Roman" w:cs="Times New Roman"/>
      <w:i w:val="0"/>
      <w:color w:val="000000"/>
      <w:sz w:val="20"/>
      <w:szCs w:val="20"/>
      <w:u w:val="none"/>
    </w:rPr>
  </w:style>
  <w:style w:type="character" w:styleId="1021">
    <w:name w:val="Item List Char Char"/>
    <w:next w:val="1021"/>
    <w:link w:val="1022"/>
    <w:uiPriority w:val="99"/>
    <w:qFormat/>
    <w:rPr>
      <w:rFonts w:ascii="Arial" w:hAnsi="Arial" w:cs="Arial"/>
      <w:lang w:eastAsia="en-US"/>
    </w:rPr>
  </w:style>
  <w:style w:type="paragraph" w:styleId="1022">
    <w:name w:val="Item List"/>
    <w:basedOn w:val="926"/>
    <w:next w:val="1022"/>
    <w:link w:val="102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3">
    <w:name w:val="正文首行缩进 Char Char"/>
    <w:next w:val="1023"/>
    <w:link w:val="1024"/>
    <w:rPr>
      <w:szCs w:val="24"/>
    </w:rPr>
  </w:style>
  <w:style w:type="paragraph" w:styleId="1024">
    <w:name w:val="正文首行缩进1"/>
    <w:basedOn w:val="959"/>
    <w:next w:val="1024"/>
    <w:link w:val="1023"/>
    <w:pPr>
      <w:ind w:firstLine="420"/>
      <w:spacing w:after="120"/>
    </w:pPr>
    <w:rPr>
      <w:rFonts w:ascii="Times New Roman" w:hAnsi="Times New Roman" w:eastAsia="宋体"/>
      <w:sz w:val="20"/>
      <w:szCs w:val="24"/>
    </w:rPr>
  </w:style>
  <w:style w:type="character" w:styleId="1025">
    <w:name w:val="正文样式 Char"/>
    <w:next w:val="1025"/>
    <w:link w:val="1026"/>
    <w:qFormat/>
    <w:rPr>
      <w:rFonts w:ascii="宋体" w:hAnsi="宋体"/>
      <w:sz w:val="24"/>
      <w:szCs w:val="24"/>
    </w:rPr>
  </w:style>
  <w:style w:type="paragraph" w:styleId="1026">
    <w:name w:val="正文样式"/>
    <w:basedOn w:val="926"/>
    <w:next w:val="1026"/>
    <w:link w:val="1025"/>
    <w:qFormat/>
    <w:pPr>
      <w:ind w:firstLine="480"/>
      <w:spacing w:line="360" w:lineRule="auto"/>
    </w:pPr>
    <w:rPr>
      <w:rFonts w:ascii="宋体" w:hAnsi="宋体"/>
      <w:sz w:val="24"/>
    </w:rPr>
  </w:style>
  <w:style w:type="character" w:styleId="1027">
    <w:name w:val="标题 5 Char1"/>
    <w:next w:val="1027"/>
    <w:link w:val="926"/>
    <w:semiHidden/>
    <w:qFormat/>
    <w:rPr>
      <w:b/>
      <w:bCs/>
      <w:sz w:val="28"/>
      <w:szCs w:val="28"/>
    </w:rPr>
  </w:style>
  <w:style w:type="character" w:styleId="1028">
    <w:name w:val="Table Text Char"/>
    <w:next w:val="1028"/>
    <w:link w:val="1029"/>
    <w:uiPriority w:val="99"/>
    <w:qFormat/>
    <w:rPr>
      <w:rFonts w:ascii="Arial" w:hAnsi="Arial"/>
      <w:sz w:val="18"/>
      <w:szCs w:val="18"/>
      <w:lang w:val="en-US" w:eastAsia="zh-CN" w:bidi="ar-SA"/>
    </w:rPr>
  </w:style>
  <w:style w:type="paragraph" w:styleId="1029">
    <w:name w:val="Table Text"/>
    <w:next w:val="1029"/>
    <w:link w:val="1028"/>
    <w:uiPriority w:val="99"/>
    <w:qFormat/>
    <w:pPr>
      <w:spacing w:before="80" w:after="80"/>
    </w:pPr>
    <w:rPr>
      <w:rFonts w:ascii="Arial" w:hAnsi="Arial"/>
      <w:sz w:val="18"/>
      <w:szCs w:val="18"/>
      <w:lang w:val="en-US" w:eastAsia="zh-CN" w:bidi="ar-SA"/>
    </w:rPr>
  </w:style>
  <w:style w:type="character" w:styleId="1030">
    <w:name w:val="样式1 Char"/>
    <w:next w:val="1030"/>
    <w:link w:val="1031"/>
    <w:qFormat/>
    <w:rPr>
      <w:rFonts w:ascii="宋体" w:hAnsi="宋体"/>
      <w:sz w:val="21"/>
      <w:szCs w:val="21"/>
    </w:rPr>
  </w:style>
  <w:style w:type="paragraph" w:styleId="1031">
    <w:name w:val="样式1"/>
    <w:basedOn w:val="926"/>
    <w:next w:val="1031"/>
    <w:link w:val="1030"/>
    <w:qFormat/>
    <w:pPr>
      <w:numPr>
        <w:ilvl w:val="0"/>
        <w:numId w:val="7"/>
      </w:numPr>
      <w:tabs>
        <w:tab w:val="left" w:pos="709" w:leader="none"/>
      </w:tabs>
    </w:pPr>
    <w:rPr>
      <w:rFonts w:ascii="宋体" w:hAnsi="宋体"/>
      <w:szCs w:val="21"/>
    </w:rPr>
  </w:style>
  <w:style w:type="character" w:styleId="1032">
    <w:name w:val="标题 4 Char1"/>
    <w:next w:val="1032"/>
    <w:link w:val="926"/>
    <w:uiPriority w:val="99"/>
    <w:semiHidden/>
    <w:qFormat/>
    <w:rPr>
      <w:rFonts w:ascii="Cambria" w:hAnsi="Cambria" w:eastAsia="宋体" w:cs="Times New Roman"/>
      <w:b/>
      <w:bCs/>
      <w:sz w:val="28"/>
      <w:szCs w:val="28"/>
    </w:rPr>
  </w:style>
  <w:style w:type="character" w:styleId="1033">
    <w:name w:val="as-productsummary-addonupgrade"/>
    <w:next w:val="1033"/>
    <w:link w:val="926"/>
    <w:qFormat/>
  </w:style>
  <w:style w:type="character" w:styleId="1034">
    <w:name w:val="标题 2 Char1"/>
    <w:next w:val="1034"/>
    <w:link w:val="926"/>
    <w:uiPriority w:val="99"/>
    <w:semiHidden/>
    <w:qFormat/>
    <w:rPr>
      <w:rFonts w:ascii="Cambria" w:hAnsi="Cambria" w:eastAsia="宋体" w:cs="Times New Roman"/>
      <w:b/>
      <w:bCs/>
      <w:sz w:val="32"/>
      <w:szCs w:val="32"/>
    </w:rPr>
  </w:style>
  <w:style w:type="character" w:styleId="1035">
    <w:name w:val="标题 3 Char,3rd level Char,BOD 0 Char,Bold Head Char,CT Char,H3 Char,Heading 3 - old Char,ISO2 Char,Level 3 Head Char,PIM 3 Char,bh Char,h3 Char,heading 3 Char,l3 Char,level_3 Char,sect1.2.3 Char,sect1.2.31 Char,sect1.2.311 Char,sect1.2.32 Char,二级节名 Char"/>
    <w:next w:val="1035"/>
    <w:link w:val="926"/>
    <w:rPr>
      <w:b/>
      <w:bCs/>
      <w:sz w:val="32"/>
      <w:szCs w:val="32"/>
    </w:rPr>
  </w:style>
  <w:style w:type="character" w:styleId="1036">
    <w:name w:val="标题 4 Char,4heading Char,First Subheading Char,H4 Char,Heading sql Char,Map Title Char,PIM 4 Char,Ref Heading 1 Char,Topic Major Char,bb Char,bl Char,bullet Char,h4 Char,h41 Char,heading 4 + Indent: Left 0.5 in Char,rh1 Char,sect 1.2.3.4 Char,付标题 Char"/>
    <w:next w:val="1036"/>
    <w:link w:val="926"/>
    <w:qFormat/>
    <w:rPr>
      <w:rFonts w:ascii="Cambria" w:hAnsi="Cambria" w:eastAsia="宋体" w:cs="Times New Roman"/>
      <w:b/>
      <w:bCs/>
      <w:sz w:val="28"/>
      <w:szCs w:val="28"/>
    </w:rPr>
  </w:style>
  <w:style w:type="character" w:styleId="1037">
    <w:name w:val="font41"/>
    <w:next w:val="1037"/>
    <w:link w:val="926"/>
    <w:rPr>
      <w:rFonts w:hint="eastAsia" w:ascii="宋体" w:hAnsi="宋体" w:eastAsia="宋体" w:cs="宋体"/>
      <w:i w:val="0"/>
      <w:color w:val="000000"/>
      <w:sz w:val="18"/>
      <w:szCs w:val="18"/>
      <w:u w:val="none"/>
    </w:rPr>
  </w:style>
  <w:style w:type="character" w:styleId="1038">
    <w:name w:val="标题 6 Char,Bullet (Single Lines) Char,H6 Char,PIM 6 Char,Third Subheading Char,h6 Char"/>
    <w:next w:val="1038"/>
    <w:link w:val="926"/>
    <w:rPr>
      <w:rFonts w:ascii="Cambria" w:hAnsi="Cambria" w:eastAsia="宋体" w:cs="Times New Roman"/>
      <w:b/>
      <w:bCs/>
      <w:sz w:val="24"/>
      <w:szCs w:val="24"/>
    </w:rPr>
  </w:style>
  <w:style w:type="character" w:styleId="1039">
    <w:name w:val="表格 Char Char"/>
    <w:next w:val="1039"/>
    <w:link w:val="1040"/>
    <w:qFormat/>
    <w:rPr>
      <w:rFonts w:ascii="宋体" w:hAnsi="宋体" w:cs="宋体"/>
    </w:rPr>
  </w:style>
  <w:style w:type="paragraph" w:styleId="1040">
    <w:name w:val="表格"/>
    <w:basedOn w:val="926"/>
    <w:next w:val="1040"/>
    <w:link w:val="1039"/>
    <w:qFormat/>
    <w:pPr>
      <w:ind w:firstLine="21"/>
    </w:pPr>
    <w:rPr>
      <w:rFonts w:ascii="宋体" w:hAnsi="宋体"/>
      <w:sz w:val="20"/>
      <w:szCs w:val="20"/>
    </w:rPr>
  </w:style>
  <w:style w:type="character" w:styleId="1041">
    <w:name w:val="普通正文 Char"/>
    <w:next w:val="1041"/>
    <w:link w:val="1042"/>
    <w:rPr>
      <w:rFonts w:ascii="Arial" w:hAnsi="Arial" w:cs="Arial"/>
      <w:sz w:val="24"/>
      <w:szCs w:val="24"/>
    </w:rPr>
  </w:style>
  <w:style w:type="paragraph" w:styleId="1042">
    <w:name w:val="普通正文"/>
    <w:basedOn w:val="926"/>
    <w:next w:val="1042"/>
    <w:link w:val="1041"/>
    <w:qFormat/>
    <w:pPr>
      <w:ind w:firstLine="480"/>
      <w:jc w:val="left"/>
      <w:spacing w:before="120" w:after="120" w:line="360" w:lineRule="auto"/>
    </w:pPr>
    <w:rPr>
      <w:rFonts w:ascii="Arial" w:hAnsi="Arial"/>
      <w:sz w:val="24"/>
    </w:rPr>
  </w:style>
  <w:style w:type="character" w:styleId="1043">
    <w:name w:val="intro1"/>
    <w:next w:val="1043"/>
    <w:link w:val="926"/>
    <w:rPr>
      <w:rFonts w:ascii="Trebuchet MS"/>
      <w:sz w:val="21"/>
      <w:szCs w:val="21"/>
    </w:rPr>
  </w:style>
  <w:style w:type="character" w:styleId="1044">
    <w:name w:val="批注框文本 Char"/>
    <w:next w:val="1044"/>
    <w:link w:val="926"/>
    <w:uiPriority w:val="99"/>
    <w:qFormat/>
    <w:rPr>
      <w:sz w:val="18"/>
      <w:szCs w:val="18"/>
    </w:rPr>
  </w:style>
  <w:style w:type="character" w:styleId="1045">
    <w:name w:val="文档结构图 Char"/>
    <w:next w:val="1045"/>
    <w:link w:val="926"/>
    <w:uiPriority w:val="99"/>
    <w:qFormat/>
    <w:rPr>
      <w:rFonts w:ascii="宋体" w:eastAsia="宋体"/>
      <w:sz w:val="18"/>
      <w:szCs w:val="18"/>
    </w:rPr>
  </w:style>
  <w:style w:type="character" w:styleId="1046">
    <w:name w:val="font81"/>
    <w:next w:val="1046"/>
    <w:link w:val="926"/>
    <w:rPr>
      <w:rFonts w:hint="eastAsia" w:ascii="宋体" w:hAnsi="宋体" w:eastAsia="宋体" w:cs="宋体"/>
      <w:i w:val="0"/>
      <w:color w:val="000000"/>
      <w:sz w:val="20"/>
      <w:szCs w:val="20"/>
      <w:u w:val="none"/>
    </w:rPr>
  </w:style>
  <w:style w:type="character" w:styleId="1047">
    <w:name w:val="font112"/>
    <w:next w:val="1047"/>
    <w:link w:val="926"/>
    <w:qFormat/>
    <w:rPr>
      <w:rFonts w:hint="eastAsia" w:ascii="宋体" w:hAnsi="宋体" w:eastAsia="宋体" w:cs="宋体"/>
      <w:color w:val="000000"/>
      <w:sz w:val="22"/>
      <w:szCs w:val="22"/>
      <w:u w:val="none"/>
    </w:rPr>
  </w:style>
  <w:style w:type="character" w:styleId="1048">
    <w:name w:val="font132"/>
    <w:next w:val="1048"/>
    <w:link w:val="926"/>
    <w:rPr>
      <w:rFonts w:hint="eastAsia" w:ascii="宋体" w:hAnsi="宋体" w:eastAsia="宋体" w:cs="宋体"/>
      <w:i w:val="0"/>
      <w:color w:val="000000"/>
      <w:sz w:val="22"/>
      <w:szCs w:val="22"/>
      <w:u w:val="none"/>
    </w:rPr>
  </w:style>
  <w:style w:type="character" w:styleId="1049">
    <w:name w:val="正文（绿盟科技） Char"/>
    <w:next w:val="1049"/>
    <w:link w:val="1050"/>
    <w:uiPriority w:val="99"/>
    <w:qFormat/>
    <w:rPr>
      <w:rFonts w:ascii="Arial" w:hAnsi="Arial"/>
      <w:sz w:val="21"/>
      <w:szCs w:val="22"/>
      <w:lang w:val="en-US" w:eastAsia="zh-CN" w:bidi="ar-SA"/>
    </w:rPr>
  </w:style>
  <w:style w:type="paragraph" w:styleId="1050">
    <w:name w:val="正文（绿盟科技）"/>
    <w:next w:val="1050"/>
    <w:link w:val="1049"/>
    <w:uiPriority w:val="99"/>
    <w:qFormat/>
    <w:pPr>
      <w:spacing w:line="300" w:lineRule="auto"/>
    </w:pPr>
    <w:rPr>
      <w:rFonts w:ascii="Arial" w:hAnsi="Arial"/>
      <w:sz w:val="21"/>
      <w:szCs w:val="22"/>
      <w:lang w:val="en-US" w:eastAsia="zh-CN" w:bidi="ar-SA"/>
    </w:rPr>
  </w:style>
  <w:style w:type="character" w:styleId="1051">
    <w:name w:val="标题 1 Char,1st level Char,Chapter title Char,H1 Char,Header1 Char,Heading 0 Char,Heading apps Char,I1 Char,L1 Char,Level 1 Char,Level 1 Topic Heading Char,Level 11 Char,PIM 1 Char,Section Head Char,boc Char,h1 Char,h11 Char,l1 Char,l1+toc 1 Char,标书1 Char"/>
    <w:next w:val="1051"/>
    <w:link w:val="926"/>
    <w:rPr>
      <w:b/>
      <w:bCs/>
      <w:sz w:val="44"/>
      <w:szCs w:val="44"/>
    </w:rPr>
  </w:style>
  <w:style w:type="character" w:styleId="1052">
    <w:name w:val="font131"/>
    <w:next w:val="1052"/>
    <w:link w:val="926"/>
    <w:qFormat/>
    <w:rPr>
      <w:rFonts w:hint="eastAsia" w:ascii="宋体" w:hAnsi="宋体" w:eastAsia="宋体" w:cs="宋体"/>
      <w:color w:val="000000"/>
      <w:sz w:val="20"/>
      <w:szCs w:val="20"/>
      <w:u w:val="none"/>
    </w:rPr>
  </w:style>
  <w:style w:type="character" w:styleId="1053">
    <w:name w:val="font101"/>
    <w:next w:val="1053"/>
    <w:link w:val="926"/>
    <w:qFormat/>
    <w:rPr>
      <w:rFonts w:ascii="Tahoma" w:hAnsi="Tahoma" w:eastAsia="Tahoma" w:cs="Tahoma"/>
      <w:color w:val="000000"/>
      <w:sz w:val="22"/>
      <w:szCs w:val="22"/>
      <w:u w:val="none"/>
    </w:rPr>
  </w:style>
  <w:style w:type="character" w:styleId="1054">
    <w:name w:val="标题 7 Char1"/>
    <w:next w:val="1054"/>
    <w:link w:val="926"/>
    <w:semiHidden/>
    <w:qFormat/>
    <w:rPr>
      <w:b/>
      <w:bCs/>
      <w:sz w:val="24"/>
      <w:szCs w:val="24"/>
    </w:rPr>
  </w:style>
  <w:style w:type="character" w:styleId="1055">
    <w:name w:val="列出段落 Char"/>
    <w:next w:val="1055"/>
    <w:link w:val="1056"/>
    <w:qFormat/>
    <w:rPr>
      <w:rFonts w:ascii="Calibri" w:hAnsi="Calibri"/>
      <w:sz w:val="22"/>
    </w:rPr>
  </w:style>
  <w:style w:type="paragraph" w:styleId="1056">
    <w:name w:val="2"/>
    <w:basedOn w:val="926"/>
    <w:next w:val="1057"/>
    <w:link w:val="1055"/>
    <w:qFormat/>
    <w:pPr>
      <w:ind w:firstLine="420"/>
    </w:pPr>
    <w:rPr>
      <w:rFonts w:ascii="Calibri" w:hAnsi="Calibri"/>
      <w:sz w:val="22"/>
      <w:szCs w:val="20"/>
    </w:rPr>
  </w:style>
  <w:style w:type="paragraph" w:styleId="1057">
    <w:name w:val="列表段落"/>
    <w:basedOn w:val="926"/>
    <w:next w:val="1057"/>
    <w:link w:val="926"/>
    <w:uiPriority w:val="34"/>
    <w:qFormat/>
    <w:pPr>
      <w:contextualSpacing/>
      <w:ind w:left="720"/>
      <w:jc w:val="left"/>
      <w:widowControl/>
    </w:pPr>
    <w:rPr>
      <w:rFonts w:ascii="Calibri" w:hAnsi="Calibri" w:cs="宋体"/>
      <w:sz w:val="24"/>
      <w:lang w:eastAsia="en-US"/>
    </w:rPr>
  </w:style>
  <w:style w:type="character" w:styleId="1058">
    <w:name w:val="标题 1 字符"/>
    <w:next w:val="1058"/>
    <w:link w:val="926"/>
    <w:uiPriority w:val="9"/>
    <w:qFormat/>
    <w:rPr>
      <w:rFonts w:ascii="Calibri" w:hAnsi="Calibri" w:eastAsia="宋体" w:cs="Times New Roman"/>
      <w:b/>
      <w:bCs/>
      <w:sz w:val="44"/>
      <w:szCs w:val="44"/>
    </w:rPr>
  </w:style>
  <w:style w:type="character" w:styleId="1059">
    <w:name w:val="font5 Char"/>
    <w:next w:val="1059"/>
    <w:link w:val="926"/>
    <w:rPr>
      <w:rFonts w:ascii="宋体" w:eastAsia="宋体"/>
      <w:sz w:val="28"/>
      <w:szCs w:val="28"/>
      <w:lang w:val="en-US" w:eastAsia="zh-CN"/>
    </w:rPr>
  </w:style>
  <w:style w:type="character" w:styleId="1060">
    <w:name w:val="页脚 Char"/>
    <w:next w:val="1060"/>
    <w:link w:val="926"/>
    <w:uiPriority w:val="99"/>
    <w:qFormat/>
    <w:rPr>
      <w:sz w:val="18"/>
      <w:szCs w:val="18"/>
    </w:rPr>
  </w:style>
  <w:style w:type="character" w:styleId="1061">
    <w:name w:val="列出段落 Char1,Bullet List Char,FooterText Char,List Char,List Paragraph Char,List1 Char,List11 Char,List111 Char,List1111 Char,List11111 Char,List2 Char,List3 Char,lp1 Char,列出段落12 Char,列出段落4 Char,彩色列表 - 着色 11 Char,正文段落1 Char,符号列表 Char,编号 Char,表格段落 Char"/>
    <w:next w:val="1061"/>
    <w:link w:val="1062"/>
    <w:uiPriority w:val="34"/>
    <w:qFormat/>
    <w:rPr>
      <w:rFonts w:ascii="Calibri" w:hAnsi="Calibri"/>
      <w:sz w:val="21"/>
      <w:szCs w:val="22"/>
    </w:rPr>
  </w:style>
  <w:style w:type="paragraph" w:styleId="1062">
    <w:name w:val="列出段落1"/>
    <w:basedOn w:val="926"/>
    <w:next w:val="1062"/>
    <w:link w:val="1061"/>
    <w:uiPriority w:val="34"/>
    <w:qFormat/>
    <w:pPr>
      <w:ind w:firstLine="420"/>
    </w:pPr>
    <w:rPr>
      <w:rFonts w:ascii="Calibri" w:hAnsi="Calibri"/>
      <w:szCs w:val="22"/>
    </w:rPr>
  </w:style>
  <w:style w:type="character" w:styleId="1063">
    <w:name w:val="批注主题 Char"/>
    <w:next w:val="1063"/>
    <w:link w:val="926"/>
    <w:uiPriority w:val="99"/>
    <w:qFormat/>
    <w:rPr>
      <w:b/>
      <w:bCs/>
    </w:rPr>
  </w:style>
  <w:style w:type="character" w:styleId="1064">
    <w:name w:val="批注文字 Char1"/>
    <w:next w:val="1064"/>
    <w:link w:val="926"/>
    <w:uiPriority w:val="99"/>
    <w:qFormat/>
    <w:rPr>
      <w:rFonts w:ascii="Times New Roman" w:hAnsi="Times New Roman" w:eastAsia="宋体" w:cs="Times New Roman"/>
      <w:szCs w:val="24"/>
    </w:rPr>
  </w:style>
  <w:style w:type="character" w:styleId="1065">
    <w:name w:val="modeltitle"/>
    <w:next w:val="1065"/>
    <w:link w:val="926"/>
    <w:qFormat/>
  </w:style>
  <w:style w:type="character" w:styleId="1066">
    <w:name w:val="font01"/>
    <w:next w:val="1066"/>
    <w:link w:val="926"/>
    <w:rPr>
      <w:rFonts w:hint="eastAsia" w:ascii="宋体" w:hAnsi="宋体" w:eastAsia="宋体" w:cs="宋体"/>
      <w:i w:val="0"/>
      <w:color w:val="000000"/>
      <w:sz w:val="20"/>
      <w:szCs w:val="20"/>
      <w:u w:val="none"/>
    </w:rPr>
  </w:style>
  <w:style w:type="character" w:styleId="1067">
    <w:name w:val="标题 Char"/>
    <w:next w:val="1067"/>
    <w:link w:val="926"/>
    <w:qFormat/>
    <w:rPr>
      <w:rFonts w:ascii="Cambria" w:hAnsi="Cambria" w:cs="Times New Roman"/>
      <w:b/>
      <w:bCs/>
      <w:sz w:val="32"/>
      <w:szCs w:val="32"/>
    </w:rPr>
  </w:style>
  <w:style w:type="character" w:styleId="1068">
    <w:name w:val="标题 2 Char"/>
    <w:next w:val="1068"/>
    <w:link w:val="926"/>
    <w:uiPriority w:val="9"/>
    <w:rPr>
      <w:rFonts w:ascii="Cambria" w:hAnsi="Cambria" w:eastAsia="宋体" w:cs="Times New Roman"/>
      <w:b/>
      <w:bCs/>
      <w:sz w:val="32"/>
      <w:szCs w:val="32"/>
    </w:rPr>
  </w:style>
  <w:style w:type="character" w:styleId="1069">
    <w:name w:val="列出段落字符,编号字符"/>
    <w:next w:val="1069"/>
    <w:link w:val="926"/>
    <w:uiPriority w:val="34"/>
    <w:rPr>
      <w:rFonts w:ascii="Calibri" w:hAnsi="Calibri" w:eastAsia="宋体" w:cs="Times New Roman"/>
      <w:sz w:val="24"/>
      <w:szCs w:val="24"/>
    </w:rPr>
  </w:style>
  <w:style w:type="character" w:styleId="1070">
    <w:name w:val="标题 1 Char1"/>
    <w:next w:val="1070"/>
    <w:link w:val="926"/>
    <w:uiPriority w:val="99"/>
    <w:qFormat/>
    <w:rPr>
      <w:b/>
      <w:bCs/>
      <w:sz w:val="44"/>
      <w:szCs w:val="44"/>
    </w:rPr>
  </w:style>
  <w:style w:type="character" w:styleId="1071">
    <w:name w:val="font51"/>
    <w:next w:val="1071"/>
    <w:link w:val="926"/>
    <w:rPr>
      <w:rFonts w:hint="eastAsia" w:ascii="宋体" w:hAnsi="宋体" w:eastAsia="宋体" w:cs="宋体"/>
      <w:i/>
      <w:color w:val="000000"/>
      <w:sz w:val="20"/>
      <w:szCs w:val="20"/>
      <w:u w:val="single"/>
    </w:rPr>
  </w:style>
  <w:style w:type="character" w:styleId="1072">
    <w:name w:val="font121"/>
    <w:next w:val="1072"/>
    <w:link w:val="926"/>
    <w:rPr>
      <w:rFonts w:ascii="宋体-简" w:hAnsi="宋体-简" w:eastAsia="宋体-简" w:cs="宋体-简"/>
      <w:i/>
      <w:color w:val="000000"/>
      <w:sz w:val="20"/>
      <w:szCs w:val="20"/>
      <w:u w:val="single"/>
    </w:rPr>
  </w:style>
  <w:style w:type="character" w:styleId="1073">
    <w:name w:val="正文首行缩进 Char"/>
    <w:next w:val="1073"/>
    <w:link w:val="926"/>
    <w:qFormat/>
    <w:rPr>
      <w:rFonts w:ascii="Times New Roman" w:hAnsi="Times New Roman" w:eastAsia="宋体" w:cs="Times New Roman"/>
      <w:szCs w:val="20"/>
    </w:rPr>
  </w:style>
  <w:style w:type="character" w:styleId="1074">
    <w:name w:val="表格非标题文字 Char"/>
    <w:next w:val="1074"/>
    <w:link w:val="1075"/>
    <w:uiPriority w:val="99"/>
    <w:qFormat/>
    <w:rPr>
      <w:rFonts w:ascii="Futura Bk" w:hAnsi="Futura Bk"/>
      <w:sz w:val="18"/>
      <w:szCs w:val="21"/>
      <w:lang w:val="en-US" w:eastAsia="zh-CN" w:bidi="ar-SA"/>
    </w:rPr>
  </w:style>
  <w:style w:type="paragraph" w:styleId="1075">
    <w:name w:val="表格非标题文字"/>
    <w:next w:val="1075"/>
    <w:link w:val="1074"/>
    <w:uiPriority w:val="99"/>
    <w:qFormat/>
    <w:pPr>
      <w:spacing w:before="80" w:after="40"/>
    </w:pPr>
    <w:rPr>
      <w:rFonts w:ascii="Futura Bk" w:hAnsi="Futura Bk"/>
      <w:sz w:val="18"/>
      <w:szCs w:val="21"/>
      <w:lang w:val="en-US" w:eastAsia="zh-CN" w:bidi="ar-SA"/>
    </w:rPr>
  </w:style>
  <w:style w:type="character" w:styleId="1076">
    <w:name w:val="普通(网站) Char1"/>
    <w:next w:val="1076"/>
    <w:link w:val="926"/>
    <w:uiPriority w:val="99"/>
    <w:semiHidden/>
    <w:qFormat/>
    <w:rPr>
      <w:sz w:val="18"/>
      <w:szCs w:val="18"/>
    </w:rPr>
  </w:style>
  <w:style w:type="character" w:styleId="1077">
    <w:name w:val="js-正文 Char"/>
    <w:next w:val="1077"/>
    <w:link w:val="1078"/>
    <w:qFormat/>
    <w:rPr>
      <w:sz w:val="24"/>
      <w:szCs w:val="24"/>
    </w:rPr>
  </w:style>
  <w:style w:type="paragraph" w:styleId="1078">
    <w:name w:val="js-正文"/>
    <w:basedOn w:val="926"/>
    <w:next w:val="1078"/>
    <w:link w:val="1077"/>
    <w:qFormat/>
    <w:pPr>
      <w:ind w:firstLine="480"/>
      <w:spacing w:line="360" w:lineRule="auto"/>
    </w:pPr>
    <w:rPr>
      <w:sz w:val="24"/>
    </w:rPr>
  </w:style>
  <w:style w:type="character" w:styleId="1079">
    <w:name w:val="标题 3 Char1"/>
    <w:next w:val="1079"/>
    <w:link w:val="926"/>
    <w:uiPriority w:val="99"/>
    <w:semiHidden/>
    <w:qFormat/>
    <w:rPr>
      <w:b/>
      <w:bCs/>
      <w:sz w:val="32"/>
      <w:szCs w:val="32"/>
    </w:rPr>
  </w:style>
  <w:style w:type="character" w:styleId="1080">
    <w:name w:val="正文首行缩进 Char1"/>
    <w:next w:val="1080"/>
    <w:link w:val="926"/>
    <w:uiPriority w:val="99"/>
    <w:semiHidden/>
    <w:qFormat/>
  </w:style>
  <w:style w:type="character" w:styleId="1081">
    <w:name w:val="页眉 Char"/>
    <w:next w:val="1081"/>
    <w:link w:val="926"/>
    <w:uiPriority w:val="99"/>
    <w:qFormat/>
    <w:rPr>
      <w:sz w:val="18"/>
      <w:szCs w:val="18"/>
    </w:rPr>
  </w:style>
  <w:style w:type="character" w:styleId="1082">
    <w:name w:val="apple-converted-space"/>
    <w:next w:val="1082"/>
    <w:link w:val="926"/>
    <w:qFormat/>
  </w:style>
  <w:style w:type="character" w:styleId="1083">
    <w:name w:val="日期 Char"/>
    <w:next w:val="1083"/>
    <w:link w:val="926"/>
    <w:qFormat/>
    <w:rPr>
      <w:rFonts w:eastAsia="宋体"/>
      <w:sz w:val="24"/>
      <w:szCs w:val="24"/>
    </w:rPr>
  </w:style>
  <w:style w:type="character" w:styleId="1084">
    <w:name w:val="标题 6 Char1"/>
    <w:next w:val="1084"/>
    <w:link w:val="926"/>
    <w:semiHidden/>
    <w:qFormat/>
    <w:rPr>
      <w:rFonts w:ascii="Cambria" w:hAnsi="Cambria" w:eastAsia="宋体" w:cs="Times New Roman"/>
      <w:b/>
      <w:bCs/>
      <w:sz w:val="24"/>
      <w:szCs w:val="24"/>
    </w:rPr>
  </w:style>
  <w:style w:type="character" w:styleId="1085">
    <w:name w:val="apple-style-span"/>
    <w:next w:val="1085"/>
    <w:link w:val="926"/>
    <w:qFormat/>
  </w:style>
  <w:style w:type="paragraph" w:styleId="1086">
    <w:name w:val="段"/>
    <w:next w:val="1086"/>
    <w:link w:val="926"/>
    <w:qFormat/>
    <w:pPr>
      <w:ind w:firstLine="200"/>
      <w:jc w:val="both"/>
    </w:pPr>
    <w:rPr>
      <w:rFonts w:ascii="宋体" w:eastAsia="Times New Roman"/>
      <w:sz w:val="21"/>
      <w:szCs w:val="22"/>
      <w:lang w:val="en-US" w:eastAsia="zh-CN" w:bidi="ar-SA"/>
    </w:rPr>
  </w:style>
  <w:style w:type="paragraph" w:styleId="1087">
    <w:name w:val="xl103"/>
    <w:basedOn w:val="926"/>
    <w:next w:val="1087"/>
    <w:link w:val="92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8">
    <w:name w:val="xl67"/>
    <w:basedOn w:val="926"/>
    <w:next w:val="1088"/>
    <w:link w:val="92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9">
    <w:name w:val="Default"/>
    <w:next w:val="1089"/>
    <w:link w:val="926"/>
    <w:qFormat/>
    <w:pPr>
      <w:widowControl w:val="off"/>
    </w:pPr>
    <w:rPr>
      <w:rFonts w:ascii="Arial" w:hAnsi="Arial" w:cs="Arial"/>
      <w:color w:val="000000"/>
      <w:sz w:val="24"/>
      <w:szCs w:val="24"/>
      <w:lang w:val="en-US" w:eastAsia="zh-CN" w:bidi="ar-SA"/>
    </w:rPr>
  </w:style>
  <w:style w:type="paragraph" w:styleId="1090">
    <w:name w:val="首行缩进"/>
    <w:basedOn w:val="926"/>
    <w:next w:val="1090"/>
    <w:link w:val="926"/>
    <w:qFormat/>
    <w:pPr>
      <w:ind w:firstLine="480"/>
      <w:jc w:val="left"/>
      <w:spacing w:line="360" w:lineRule="auto"/>
    </w:pPr>
    <w:rPr>
      <w:rFonts w:ascii="宋体" w:hAnsi="宋体"/>
      <w:sz w:val="24"/>
    </w:rPr>
  </w:style>
  <w:style w:type="paragraph" w:styleId="1091">
    <w:name w:val="_Style 235"/>
    <w:basedOn w:val="959"/>
    <w:next w:val="999"/>
    <w:link w:val="926"/>
    <w:qFormat/>
    <w:pPr>
      <w:ind w:firstLine="420"/>
      <w:jc w:val="center"/>
      <w:spacing w:after="120"/>
    </w:pPr>
    <w:rPr>
      <w:rFonts w:ascii="Times New Roman" w:hAnsi="Times New Roman" w:eastAsia="宋体"/>
      <w:position w:val="6"/>
      <w:sz w:val="21"/>
      <w:szCs w:val="24"/>
      <w:lang w:val="en-US" w:eastAsia="zh-CN"/>
    </w:rPr>
  </w:style>
  <w:style w:type="paragraph" w:styleId="1092">
    <w:name w:val="xl86"/>
    <w:basedOn w:val="926"/>
    <w:next w:val="1092"/>
    <w:link w:val="92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3">
    <w:name w:val="Item List_3"/>
    <w:basedOn w:val="1094"/>
    <w:next w:val="1093"/>
    <w:link w:val="926"/>
    <w:uiPriority w:val="99"/>
    <w:semiHidden/>
    <w:qFormat/>
    <w:pPr>
      <w:tabs>
        <w:tab w:val="left" w:pos="360" w:leader="none"/>
        <w:tab w:val="left" w:pos="840" w:leader="none"/>
      </w:tabs>
    </w:pPr>
  </w:style>
  <w:style w:type="paragraph" w:styleId="1094">
    <w:name w:val="Item List_2"/>
    <w:basedOn w:val="1022"/>
    <w:next w:val="1094"/>
    <w:link w:val="926"/>
    <w:uiPriority w:val="99"/>
    <w:qFormat/>
    <w:pPr>
      <w:ind w:left="840" w:hanging="420"/>
      <w:tabs>
        <w:tab w:val="left" w:pos="360" w:leader="none"/>
        <w:tab w:val="left" w:pos="840" w:leader="none"/>
      </w:tabs>
    </w:pPr>
  </w:style>
  <w:style w:type="paragraph" w:styleId="1095">
    <w:name w:val="xl115"/>
    <w:basedOn w:val="926"/>
    <w:next w:val="1095"/>
    <w:link w:val="926"/>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96">
    <w:name w:val="xl91"/>
    <w:basedOn w:val="926"/>
    <w:next w:val="1096"/>
    <w:link w:val="92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7">
    <w:name w:val="xl96"/>
    <w:basedOn w:val="926"/>
    <w:next w:val="1097"/>
    <w:link w:val="926"/>
    <w:qFormat/>
    <w:pPr>
      <w:jc w:val="center"/>
      <w:spacing w:before="100" w:beforeAutospacing="1" w:after="100" w:afterAutospacing="1"/>
      <w:widowControl/>
    </w:pPr>
    <w:rPr>
      <w:rFonts w:ascii="宋体" w:hAnsi="宋体" w:cs="宋体"/>
      <w:b/>
      <w:bCs/>
      <w:color w:val="000000"/>
      <w:sz w:val="24"/>
    </w:rPr>
  </w:style>
  <w:style w:type="paragraph" w:styleId="1098">
    <w:name w:val="xl89"/>
    <w:basedOn w:val="926"/>
    <w:next w:val="1098"/>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9">
    <w:name w:val="table_1stline"/>
    <w:basedOn w:val="926"/>
    <w:next w:val="1099"/>
    <w:link w:val="926"/>
    <w:pPr>
      <w:jc w:val="left"/>
      <w:spacing w:before="120"/>
      <w:widowControl/>
    </w:pPr>
    <w:rPr>
      <w:bCs/>
      <w:sz w:val="20"/>
      <w:szCs w:val="20"/>
      <w:lang w:val="de-DE" w:eastAsia="de-DE"/>
    </w:rPr>
  </w:style>
  <w:style w:type="paragraph" w:styleId="1100">
    <w:name w:val="Char Char Char Char Char Char Char Char Char Char Char Char Char Char Char Char Char Char"/>
    <w:basedOn w:val="926"/>
    <w:next w:val="1100"/>
    <w:link w:val="926"/>
    <w:pPr>
      <w:jc w:val="center"/>
      <w:spacing w:line="480" w:lineRule="exact"/>
    </w:pPr>
    <w:rPr>
      <w:color w:val="000000"/>
      <w:sz w:val="28"/>
      <w:szCs w:val="52"/>
    </w:rPr>
  </w:style>
  <w:style w:type="paragraph" w:styleId="1101">
    <w:name w:val="font16"/>
    <w:basedOn w:val="926"/>
    <w:next w:val="1101"/>
    <w:link w:val="926"/>
    <w:qFormat/>
    <w:pPr>
      <w:jc w:val="left"/>
      <w:spacing w:before="100" w:beforeAutospacing="1" w:after="100" w:afterAutospacing="1"/>
      <w:widowControl/>
    </w:pPr>
    <w:rPr>
      <w:rFonts w:ascii="宋体" w:hAnsi="宋体" w:cs="宋体"/>
      <w:color w:val="000000"/>
      <w:sz w:val="22"/>
      <w:szCs w:val="22"/>
    </w:rPr>
  </w:style>
  <w:style w:type="paragraph" w:styleId="1102">
    <w:name w:val="无间隔1"/>
    <w:next w:val="1102"/>
    <w:link w:val="926"/>
    <w:uiPriority w:val="1"/>
    <w:qFormat/>
    <w:pPr>
      <w:jc w:val="both"/>
      <w:widowControl w:val="off"/>
    </w:pPr>
    <w:rPr>
      <w:rFonts w:ascii="Calibri" w:hAnsi="Calibri"/>
      <w:sz w:val="21"/>
      <w:szCs w:val="22"/>
      <w:lang w:val="en-US" w:eastAsia="zh-CN" w:bidi="ar-SA"/>
    </w:rPr>
  </w:style>
  <w:style w:type="paragraph" w:styleId="1103">
    <w:name w:val="列出段落2"/>
    <w:basedOn w:val="926"/>
    <w:next w:val="1103"/>
    <w:link w:val="926"/>
    <w:uiPriority w:val="99"/>
    <w:qFormat/>
    <w:pPr>
      <w:ind w:firstLine="420"/>
      <w:jc w:val="left"/>
      <w:widowControl/>
    </w:pPr>
    <w:rPr>
      <w:sz w:val="24"/>
    </w:rPr>
  </w:style>
  <w:style w:type="paragraph" w:styleId="1104">
    <w:name w:val=" Char5 Char Char Char Char Char Char"/>
    <w:basedOn w:val="926"/>
    <w:next w:val="1104"/>
    <w:link w:val="926"/>
    <w:rPr>
      <w:rFonts w:ascii="Tahoma" w:hAnsi="Tahoma"/>
      <w:sz w:val="24"/>
      <w:szCs w:val="20"/>
    </w:rPr>
  </w:style>
  <w:style w:type="paragraph" w:styleId="1105">
    <w:name w:val="xl90"/>
    <w:basedOn w:val="926"/>
    <w:next w:val="1105"/>
    <w:link w:val="92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6">
    <w:name w:val="修订1"/>
    <w:next w:val="1106"/>
    <w:link w:val="926"/>
    <w:uiPriority w:val="99"/>
    <w:semiHidden/>
    <w:qFormat/>
    <w:rPr>
      <w:sz w:val="21"/>
      <w:szCs w:val="24"/>
      <w:lang w:val="en-US" w:eastAsia="zh-CN" w:bidi="ar-SA"/>
    </w:rPr>
  </w:style>
  <w:style w:type="paragraph" w:styleId="1107">
    <w:name w:val="xl71"/>
    <w:basedOn w:val="926"/>
    <w:next w:val="1107"/>
    <w:link w:val="92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08">
    <w:name w:val=" Char Char Char Char Char Char Char Char"/>
    <w:basedOn w:val="926"/>
    <w:next w:val="1108"/>
    <w:link w:val="926"/>
    <w:pPr>
      <w:jc w:val="left"/>
      <w:spacing w:after="160" w:line="240" w:lineRule="exact"/>
      <w:widowControl/>
    </w:pPr>
    <w:rPr>
      <w:rFonts w:ascii="Verdana" w:hAnsi="Verdana"/>
      <w:sz w:val="20"/>
      <w:szCs w:val="20"/>
      <w:lang w:eastAsia="en-US"/>
    </w:rPr>
  </w:style>
  <w:style w:type="paragraph" w:styleId="1109">
    <w:name w:val=" Char"/>
    <w:basedOn w:val="926"/>
    <w:next w:val="1109"/>
    <w:link w:val="926"/>
    <w:rPr>
      <w:rFonts w:ascii="Tahoma" w:hAnsi="Tahoma"/>
      <w:sz w:val="24"/>
      <w:szCs w:val="20"/>
    </w:rPr>
  </w:style>
  <w:style w:type="paragraph" w:styleId="1110">
    <w:name w:val="标题3"/>
    <w:basedOn w:val="926"/>
    <w:next w:val="926"/>
    <w:link w:val="926"/>
    <w:pPr>
      <w:ind w:firstLine="624"/>
      <w:spacing w:line="590" w:lineRule="atLeast"/>
    </w:pPr>
    <w:rPr>
      <w:rFonts w:ascii="方正黑体_GBK" w:hAnsi="宋体" w:eastAsia="方正黑体_GBK" w:cs="宋体"/>
      <w:sz w:val="32"/>
      <w:szCs w:val="32"/>
    </w:rPr>
  </w:style>
  <w:style w:type="paragraph" w:styleId="1111">
    <w:name w:val="No Spacing"/>
    <w:next w:val="1111"/>
    <w:link w:val="926"/>
    <w:pPr>
      <w:jc w:val="both"/>
      <w:widowControl w:val="off"/>
    </w:pPr>
    <w:rPr>
      <w:rFonts w:ascii="Calibri" w:hAnsi="Calibri" w:cs="Calibri"/>
      <w:sz w:val="21"/>
      <w:szCs w:val="21"/>
      <w:lang w:val="en-US" w:eastAsia="zh-CN" w:bidi="ar-SA"/>
    </w:rPr>
  </w:style>
  <w:style w:type="paragraph" w:styleId="1112">
    <w:name w:val="font18"/>
    <w:basedOn w:val="926"/>
    <w:next w:val="1112"/>
    <w:link w:val="926"/>
    <w:qFormat/>
    <w:pPr>
      <w:jc w:val="left"/>
      <w:spacing w:before="100" w:beforeAutospacing="1" w:after="100" w:afterAutospacing="1"/>
      <w:widowControl/>
    </w:pPr>
    <w:rPr>
      <w:rFonts w:ascii="宋体" w:hAnsi="宋体" w:cs="宋体"/>
      <w:sz w:val="18"/>
      <w:szCs w:val="18"/>
    </w:rPr>
  </w:style>
  <w:style w:type="paragraph" w:styleId="1113">
    <w:name w:val="xl92"/>
    <w:basedOn w:val="926"/>
    <w:next w:val="1113"/>
    <w:link w:val="926"/>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4">
    <w:name w:val="xl97"/>
    <w:basedOn w:val="926"/>
    <w:next w:val="1114"/>
    <w:link w:val="926"/>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15">
    <w:name w:val="xl79"/>
    <w:basedOn w:val="926"/>
    <w:next w:val="1115"/>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6">
    <w:name w:val="标题1"/>
    <w:basedOn w:val="926"/>
    <w:next w:val="926"/>
    <w:link w:val="926"/>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17">
    <w:name w:val="xl110"/>
    <w:basedOn w:val="926"/>
    <w:next w:val="1117"/>
    <w:link w:val="926"/>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8">
    <w:name w:val="xl72"/>
    <w:basedOn w:val="926"/>
    <w:next w:val="1118"/>
    <w:link w:val="926"/>
    <w:qFormat/>
    <w:pPr>
      <w:jc w:val="left"/>
      <w:spacing w:before="100" w:beforeAutospacing="1" w:after="100" w:afterAutospacing="1"/>
      <w:shd w:val="clear" w:color="000000" w:fill="bcd6ee"/>
      <w:widowControl/>
    </w:pPr>
    <w:rPr>
      <w:rFonts w:ascii="宋体" w:hAnsi="宋体" w:cs="宋体"/>
      <w:color w:val="000000"/>
      <w:sz w:val="24"/>
    </w:rPr>
  </w:style>
  <w:style w:type="paragraph" w:styleId="1119">
    <w:name w:val="xl64"/>
    <w:basedOn w:val="926"/>
    <w:next w:val="1119"/>
    <w:link w:val="926"/>
    <w:qFormat/>
    <w:pPr>
      <w:jc w:val="left"/>
      <w:spacing w:before="100" w:beforeAutospacing="1" w:after="100" w:afterAutospacing="1"/>
      <w:widowControl/>
    </w:pPr>
    <w:rPr>
      <w:rFonts w:ascii="宋体" w:hAnsi="宋体" w:cs="宋体"/>
      <w:color w:val="000000"/>
      <w:sz w:val="24"/>
    </w:rPr>
  </w:style>
  <w:style w:type="paragraph" w:styleId="1120">
    <w:name w:val="xl24"/>
    <w:basedOn w:val="926"/>
    <w:next w:val="1120"/>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1">
    <w:name w:val="Char Char1 Char Char Char Char Char Char Char"/>
    <w:basedOn w:val="926"/>
    <w:next w:val="1121"/>
    <w:link w:val="926"/>
    <w:rPr>
      <w:rFonts w:ascii="Tahoma" w:hAnsi="Tahoma" w:cs="Tahoma"/>
      <w:sz w:val="24"/>
    </w:rPr>
  </w:style>
  <w:style w:type="paragraph" w:styleId="1122">
    <w:name w:val="font6"/>
    <w:basedOn w:val="926"/>
    <w:next w:val="1122"/>
    <w:link w:val="926"/>
    <w:qFormat/>
    <w:pPr>
      <w:jc w:val="left"/>
      <w:spacing w:before="100" w:beforeAutospacing="1" w:after="100" w:afterAutospacing="1"/>
      <w:widowControl/>
    </w:pPr>
    <w:rPr>
      <w:rFonts w:ascii="宋体" w:hAnsi="宋体" w:cs="宋体"/>
      <w:sz w:val="28"/>
      <w:szCs w:val="28"/>
      <w:u w:val="single"/>
    </w:rPr>
  </w:style>
  <w:style w:type="paragraph" w:styleId="1123">
    <w:name w:val="xl84"/>
    <w:basedOn w:val="926"/>
    <w:next w:val="1123"/>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4">
    <w:name w:val="xl107"/>
    <w:basedOn w:val="926"/>
    <w:next w:val="1124"/>
    <w:link w:val="9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name w:val="Char2"/>
    <w:basedOn w:val="926"/>
    <w:next w:val="1125"/>
    <w:link w:val="926"/>
    <w:qFormat/>
    <w:rPr>
      <w:rFonts w:ascii="仿宋_GB2312" w:eastAsia="仿宋_GB2312"/>
      <w:b/>
      <w:sz w:val="32"/>
      <w:szCs w:val="32"/>
    </w:rPr>
  </w:style>
  <w:style w:type="paragraph" w:styleId="1126">
    <w:name w:val="font11"/>
    <w:basedOn w:val="926"/>
    <w:next w:val="1126"/>
    <w:link w:val="926"/>
    <w:qFormat/>
    <w:pPr>
      <w:jc w:val="left"/>
      <w:spacing w:before="100" w:beforeAutospacing="1" w:after="100" w:afterAutospacing="1"/>
      <w:widowControl/>
    </w:pPr>
    <w:rPr>
      <w:rFonts w:ascii="宋体" w:hAnsi="宋体" w:cs="宋体"/>
      <w:b/>
      <w:bCs/>
      <w:sz w:val="18"/>
      <w:szCs w:val="18"/>
    </w:rPr>
  </w:style>
  <w:style w:type="paragraph" w:styleId="1127">
    <w:name w:val="font8"/>
    <w:basedOn w:val="926"/>
    <w:next w:val="1127"/>
    <w:link w:val="926"/>
    <w:qFormat/>
    <w:pPr>
      <w:jc w:val="left"/>
      <w:spacing w:before="100" w:beforeAutospacing="1" w:after="100" w:afterAutospacing="1"/>
      <w:widowControl/>
    </w:pPr>
    <w:rPr>
      <w:rFonts w:ascii="宋体" w:hAnsi="宋体" w:cs="宋体"/>
      <w:sz w:val="22"/>
      <w:szCs w:val="22"/>
    </w:rPr>
  </w:style>
  <w:style w:type="paragraph" w:styleId="1128">
    <w:name w:val="xl98"/>
    <w:basedOn w:val="926"/>
    <w:next w:val="1128"/>
    <w:link w:val="926"/>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29">
    <w:name w:val="正文 New"/>
    <w:next w:val="1129"/>
    <w:link w:val="926"/>
    <w:qFormat/>
    <w:pPr>
      <w:jc w:val="both"/>
      <w:widowControl w:val="off"/>
    </w:pPr>
    <w:rPr>
      <w:sz w:val="21"/>
      <w:szCs w:val="24"/>
      <w:lang w:val="en-US" w:eastAsia="zh-CN" w:bidi="ar-SA"/>
    </w:rPr>
  </w:style>
  <w:style w:type="paragraph" w:styleId="1130">
    <w:name w:val="xl30"/>
    <w:basedOn w:val="926"/>
    <w:next w:val="1130"/>
    <w:link w:val="926"/>
    <w:pPr>
      <w:jc w:val="center"/>
      <w:spacing w:before="100" w:beforeAutospacing="1" w:after="100" w:afterAutospacing="1"/>
      <w:widowControl/>
    </w:pPr>
    <w:rPr>
      <w:rFonts w:ascii="宋体" w:hAnsi="宋体" w:cs="宋体"/>
      <w:b/>
      <w:bCs/>
      <w:sz w:val="36"/>
      <w:szCs w:val="36"/>
    </w:rPr>
  </w:style>
  <w:style w:type="paragraph" w:styleId="1131">
    <w:name w:val="font0"/>
    <w:basedOn w:val="926"/>
    <w:next w:val="1131"/>
    <w:link w:val="926"/>
    <w:qFormat/>
    <w:pPr>
      <w:jc w:val="left"/>
      <w:spacing w:before="100" w:beforeAutospacing="1" w:after="100" w:afterAutospacing="1"/>
      <w:widowControl/>
    </w:pPr>
    <w:rPr>
      <w:rFonts w:ascii="宋体" w:hAnsi="宋体" w:cs="宋体"/>
      <w:color w:val="000000"/>
      <w:sz w:val="22"/>
      <w:szCs w:val="22"/>
    </w:rPr>
  </w:style>
  <w:style w:type="paragraph" w:styleId="1132">
    <w:name w:val="xl77"/>
    <w:basedOn w:val="926"/>
    <w:next w:val="1132"/>
    <w:link w:val="9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3">
    <w:name w:val="列出段落31"/>
    <w:basedOn w:val="926"/>
    <w:next w:val="1133"/>
    <w:link w:val="926"/>
    <w:uiPriority w:val="72"/>
    <w:qFormat/>
    <w:pPr>
      <w:ind w:firstLine="420"/>
      <w:jc w:val="left"/>
      <w:widowControl/>
    </w:pPr>
    <w:rPr>
      <w:rFonts w:ascii="Cambria" w:hAnsi="Cambria"/>
      <w:sz w:val="24"/>
    </w:rPr>
  </w:style>
  <w:style w:type="paragraph" w:styleId="1134">
    <w:name w:val="reader-word-layer"/>
    <w:basedOn w:val="926"/>
    <w:next w:val="1134"/>
    <w:link w:val="926"/>
    <w:qFormat/>
    <w:pPr>
      <w:jc w:val="left"/>
      <w:spacing w:before="100" w:beforeAutospacing="1" w:after="100" w:afterAutospacing="1"/>
      <w:widowControl/>
    </w:pPr>
    <w:rPr>
      <w:sz w:val="24"/>
    </w:rPr>
  </w:style>
  <w:style w:type="paragraph" w:styleId="1135">
    <w:name w:val="xl109"/>
    <w:basedOn w:val="926"/>
    <w:next w:val="1135"/>
    <w:link w:val="9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36">
    <w:name w:val="Char1 Char Char Char"/>
    <w:basedOn w:val="926"/>
    <w:next w:val="1136"/>
    <w:link w:val="926"/>
    <w:rPr>
      <w:rFonts w:ascii="Tahoma" w:hAnsi="Tahoma" w:cs="Tahoma"/>
      <w:sz w:val="24"/>
      <w:szCs w:val="20"/>
    </w:rPr>
  </w:style>
  <w:style w:type="paragraph" w:styleId="1137">
    <w:name w:val="二级标题"/>
    <w:basedOn w:val="1138"/>
    <w:next w:val="1137"/>
    <w:link w:val="926"/>
    <w:qFormat/>
    <w:pPr>
      <w:numPr>
        <w:ilvl w:val="1"/>
        <w:numId w:val="8"/>
      </w:numPr>
      <w:outlineLvl w:val="1"/>
    </w:pPr>
    <w:rPr>
      <w:lang w:eastAsia="zh-CN"/>
    </w:rPr>
  </w:style>
  <w:style w:type="paragraph" w:styleId="1138">
    <w:name w:val="一级标题"/>
    <w:basedOn w:val="926"/>
    <w:next w:val="1138"/>
    <w:link w:val="926"/>
    <w:qFormat/>
    <w:pPr>
      <w:numPr>
        <w:ilvl w:val="0"/>
        <w:numId w:val="8"/>
      </w:numPr>
      <w:ind w:firstLine="0"/>
      <w:jc w:val="left"/>
      <w:widowControl/>
      <w:outlineLvl w:val="0"/>
    </w:pPr>
    <w:rPr>
      <w:rFonts w:ascii="宋体" w:hAnsi="宋体"/>
      <w:b/>
      <w:sz w:val="30"/>
      <w:szCs w:val="22"/>
      <w:lang w:eastAsia="en-US" w:bidi="en-US"/>
    </w:rPr>
  </w:style>
  <w:style w:type="paragraph" w:styleId="1139">
    <w:name w:val="xl73"/>
    <w:basedOn w:val="926"/>
    <w:next w:val="1139"/>
    <w:link w:val="926"/>
    <w:qFormat/>
    <w:pPr>
      <w:jc w:val="left"/>
      <w:spacing w:before="100" w:beforeAutospacing="1" w:after="100" w:afterAutospacing="1"/>
      <w:shd w:val="clear" w:color="000000" w:fill="f8cbac"/>
      <w:widowControl/>
    </w:pPr>
    <w:rPr>
      <w:rFonts w:ascii="宋体" w:hAnsi="宋体" w:cs="宋体"/>
      <w:color w:val="000000"/>
      <w:sz w:val="24"/>
    </w:rPr>
  </w:style>
  <w:style w:type="paragraph" w:styleId="1140">
    <w:name w:val="Char Char Char"/>
    <w:basedOn w:val="926"/>
    <w:next w:val="1140"/>
    <w:link w:val="926"/>
    <w:pPr>
      <w:jc w:val="left"/>
      <w:widowControl/>
    </w:pPr>
    <w:rPr>
      <w:rFonts w:ascii="Tahoma" w:hAnsi="Tahoma" w:cs="宋体"/>
      <w:sz w:val="24"/>
      <w:szCs w:val="20"/>
    </w:rPr>
  </w:style>
  <w:style w:type="paragraph" w:styleId="1141">
    <w:name w:val="xl118"/>
    <w:basedOn w:val="926"/>
    <w:next w:val="1141"/>
    <w:link w:val="92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2">
    <w:name w:val="font14"/>
    <w:basedOn w:val="926"/>
    <w:next w:val="1142"/>
    <w:link w:val="926"/>
    <w:qFormat/>
    <w:pPr>
      <w:jc w:val="left"/>
      <w:spacing w:before="100" w:beforeAutospacing="1" w:after="100" w:afterAutospacing="1"/>
      <w:widowControl/>
    </w:pPr>
    <w:rPr>
      <w:rFonts w:ascii="宋体" w:hAnsi="宋体" w:cs="宋体"/>
      <w:color w:val="000000"/>
      <w:sz w:val="22"/>
      <w:szCs w:val="22"/>
    </w:rPr>
  </w:style>
  <w:style w:type="paragraph" w:styleId="1143">
    <w:name w:val="Char5 Char Char Char Char Char Char2"/>
    <w:basedOn w:val="926"/>
    <w:next w:val="1143"/>
    <w:link w:val="926"/>
    <w:qFormat/>
    <w:rPr>
      <w:rFonts w:ascii="Tahoma" w:hAnsi="Tahoma"/>
      <w:sz w:val="24"/>
      <w:szCs w:val="20"/>
    </w:rPr>
  </w:style>
  <w:style w:type="paragraph" w:styleId="1144">
    <w:name w:val="样式 样式 标题1 + 行距: 单倍行距 + 段前: 7.8 磅 段后: 7.8 磅"/>
    <w:basedOn w:val="926"/>
    <w:next w:val="1144"/>
    <w:link w:val="926"/>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45">
    <w:name w:val="xl28"/>
    <w:basedOn w:val="926"/>
    <w:next w:val="1145"/>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46">
    <w:name w:val="默认段落字体 Para Char Char"/>
    <w:basedOn w:val="926"/>
    <w:next w:val="1146"/>
    <w:link w:val="926"/>
    <w:pPr>
      <w:spacing w:before="156" w:after="156"/>
    </w:pPr>
    <w:rPr>
      <w:szCs w:val="20"/>
    </w:rPr>
  </w:style>
  <w:style w:type="paragraph" w:styleId="1147">
    <w:name w:val="Char Char1 Char Char Char Char Char Char Char Char"/>
    <w:basedOn w:val="926"/>
    <w:next w:val="1147"/>
    <w:link w:val="926"/>
    <w:pPr>
      <w:jc w:val="left"/>
      <w:spacing w:after="160" w:line="240" w:lineRule="exact"/>
      <w:widowControl/>
    </w:pPr>
    <w:rPr>
      <w:rFonts w:ascii="Verdana" w:hAnsi="Verdana" w:cs="宋体"/>
      <w:sz w:val="20"/>
      <w:szCs w:val="20"/>
      <w:lang w:eastAsia="en-US"/>
    </w:rPr>
  </w:style>
  <w:style w:type="paragraph" w:styleId="1148">
    <w:name w:val="xl75"/>
    <w:basedOn w:val="926"/>
    <w:next w:val="1148"/>
    <w:link w:val="92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49">
    <w:name w:val="Char Char Char Char Char Char Char Char Char Char"/>
    <w:basedOn w:val="926"/>
    <w:next w:val="1149"/>
    <w:link w:val="926"/>
    <w:pPr>
      <w:spacing w:line="360" w:lineRule="auto"/>
    </w:pPr>
    <w:rPr>
      <w:sz w:val="24"/>
      <w:szCs w:val="20"/>
    </w:rPr>
  </w:style>
  <w:style w:type="paragraph" w:styleId="1150">
    <w:name w:val="font15"/>
    <w:basedOn w:val="926"/>
    <w:next w:val="1150"/>
    <w:link w:val="926"/>
    <w:qFormat/>
    <w:pPr>
      <w:jc w:val="left"/>
      <w:spacing w:before="100" w:beforeAutospacing="1" w:after="100" w:afterAutospacing="1"/>
      <w:widowControl/>
    </w:pPr>
    <w:rPr>
      <w:rFonts w:ascii="宋体" w:hAnsi="宋体" w:cs="宋体"/>
      <w:sz w:val="18"/>
      <w:szCs w:val="18"/>
    </w:rPr>
  </w:style>
  <w:style w:type="paragraph" w:styleId="1151">
    <w:name w:val="Char3"/>
    <w:basedOn w:val="953"/>
    <w:next w:val="1151"/>
    <w:link w:val="926"/>
    <w:qFormat/>
    <w:pPr>
      <w:spacing w:line="360" w:lineRule="auto"/>
    </w:pPr>
    <w:rPr>
      <w:rFonts w:ascii="Tahoma" w:hAnsi="Tahoma" w:cs="Tahoma"/>
      <w:sz w:val="24"/>
      <w:szCs w:val="24"/>
    </w:rPr>
  </w:style>
  <w:style w:type="paragraph" w:styleId="1152">
    <w:name w:val="xl122"/>
    <w:basedOn w:val="926"/>
    <w:next w:val="1152"/>
    <w:link w:val="926"/>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3">
    <w:name w:val="彩色列表 - 强调文字颜色 11"/>
    <w:basedOn w:val="926"/>
    <w:next w:val="1153"/>
    <w:link w:val="926"/>
    <w:uiPriority w:val="34"/>
    <w:qFormat/>
    <w:pPr>
      <w:ind w:firstLine="420"/>
    </w:pPr>
    <w:rPr>
      <w:rFonts w:ascii="Cambria" w:hAnsi="Cambria"/>
      <w:sz w:val="24"/>
    </w:rPr>
  </w:style>
  <w:style w:type="paragraph" w:styleId="1154">
    <w:name w:val="Char1"/>
    <w:basedOn w:val="926"/>
    <w:next w:val="1154"/>
    <w:link w:val="926"/>
    <w:qFormat/>
    <w:pPr>
      <w:ind w:left="840" w:hanging="420"/>
      <w:tabs>
        <w:tab w:val="left" w:pos="840" w:leader="none"/>
      </w:tabs>
    </w:pPr>
    <w:rPr>
      <w:sz w:val="24"/>
    </w:rPr>
  </w:style>
  <w:style w:type="paragraph" w:styleId="1155">
    <w:name w:val="默认段落字体 Para Char Char Char Char"/>
    <w:basedOn w:val="926"/>
    <w:next w:val="1155"/>
    <w:link w:val="926"/>
    <w:qFormat/>
    <w:rPr>
      <w:rFonts w:ascii="Arial" w:hAnsi="Arial" w:cs="Arial"/>
      <w:szCs w:val="21"/>
    </w:rPr>
  </w:style>
  <w:style w:type="paragraph" w:styleId="1156">
    <w:name w:val="xl66"/>
    <w:basedOn w:val="926"/>
    <w:next w:val="1156"/>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7">
    <w:name w:val="xl83"/>
    <w:basedOn w:val="926"/>
    <w:next w:val="1157"/>
    <w:link w:val="92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8">
    <w:name w:val="font17"/>
    <w:basedOn w:val="926"/>
    <w:next w:val="1158"/>
    <w:link w:val="926"/>
    <w:qFormat/>
    <w:pPr>
      <w:jc w:val="left"/>
      <w:spacing w:before="100" w:beforeAutospacing="1" w:after="100" w:afterAutospacing="1"/>
      <w:widowControl/>
    </w:pPr>
    <w:rPr>
      <w:rFonts w:ascii="宋体" w:hAnsi="宋体" w:cs="宋体"/>
      <w:color w:val="ff0000"/>
      <w:sz w:val="22"/>
      <w:szCs w:val="22"/>
    </w:rPr>
  </w:style>
  <w:style w:type="paragraph" w:styleId="1159">
    <w:name w:val="标题5"/>
    <w:basedOn w:val="931"/>
    <w:next w:val="1159"/>
    <w:link w:val="926"/>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60">
    <w:name w:val="xl104"/>
    <w:basedOn w:val="926"/>
    <w:next w:val="1160"/>
    <w:link w:val="92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1">
    <w:name w:val="四级标题"/>
    <w:basedOn w:val="1162"/>
    <w:next w:val="1161"/>
    <w:link w:val="926"/>
    <w:qFormat/>
    <w:pPr>
      <w:numPr>
        <w:ilvl w:val="3"/>
        <w:numId w:val="8"/>
      </w:numPr>
      <w:outlineLvl w:val="3"/>
    </w:pPr>
  </w:style>
  <w:style w:type="paragraph" w:styleId="1162">
    <w:name w:val="三级标题"/>
    <w:basedOn w:val="1137"/>
    <w:next w:val="1162"/>
    <w:link w:val="926"/>
    <w:qFormat/>
    <w:pPr>
      <w:numPr>
        <w:ilvl w:val="2"/>
        <w:numId w:val="8"/>
      </w:numPr>
      <w:ind w:left="1191"/>
      <w:spacing w:before="50" w:after="50"/>
      <w:outlineLvl w:val="2"/>
    </w:pPr>
    <w:rPr>
      <w:sz w:val="24"/>
    </w:rPr>
  </w:style>
  <w:style w:type="paragraph" w:styleId="1163">
    <w:name w:val="附录1"/>
    <w:next w:val="1163"/>
    <w:link w:val="926"/>
    <w:pPr>
      <w:numPr>
        <w:ilvl w:val="0"/>
        <w:numId w:val="9"/>
      </w:numPr>
      <w:spacing w:before="240" w:line="600" w:lineRule="atLeast"/>
      <w:tabs>
        <w:tab w:val="left" w:pos="907" w:leader="none"/>
      </w:tabs>
    </w:pPr>
    <w:rPr>
      <w:b/>
      <w:i/>
      <w:iCs/>
      <w:sz w:val="28"/>
      <w:szCs w:val="28"/>
      <w:lang w:val="en-US" w:eastAsia="zh-CN" w:bidi="ar-SA"/>
    </w:rPr>
  </w:style>
  <w:style w:type="paragraph" w:styleId="1164">
    <w:name w:val="table_lines"/>
    <w:basedOn w:val="926"/>
    <w:next w:val="1164"/>
    <w:link w:val="926"/>
    <w:pPr>
      <w:jc w:val="left"/>
      <w:widowControl/>
    </w:pPr>
    <w:rPr>
      <w:sz w:val="20"/>
      <w:szCs w:val="20"/>
      <w:lang w:val="de-DE" w:eastAsia="de-DE"/>
    </w:rPr>
  </w:style>
  <w:style w:type="paragraph" w:styleId="1165">
    <w:name w:val="xl114"/>
    <w:basedOn w:val="926"/>
    <w:next w:val="1165"/>
    <w:link w:val="92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66">
    <w:name w:val="Char Char Char Char Char Char Char Char Char"/>
    <w:basedOn w:val="926"/>
    <w:next w:val="1166"/>
    <w:link w:val="926"/>
    <w:rPr>
      <w:rFonts w:ascii="Tahoma" w:hAnsi="Tahoma" w:cs="Tahoma"/>
      <w:sz w:val="24"/>
      <w:szCs w:val="20"/>
    </w:rPr>
  </w:style>
  <w:style w:type="paragraph" w:styleId="1167">
    <w:name w:val="xl74"/>
    <w:basedOn w:val="926"/>
    <w:next w:val="1167"/>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8">
    <w:name w:val="ÕýÎÄ"/>
    <w:next w:val="1168"/>
    <w:link w:val="926"/>
    <w:pPr>
      <w:ind w:firstLine="419"/>
      <w:jc w:val="both"/>
      <w:spacing w:line="351" w:lineRule="atLeast"/>
      <w:widowControl w:val="off"/>
    </w:pPr>
    <w:rPr>
      <w:color w:val="000000"/>
      <w:sz w:val="21"/>
      <w:szCs w:val="28"/>
      <w:lang w:val="en-US" w:eastAsia="zh-CN" w:bidi="ar-SA"/>
    </w:rPr>
  </w:style>
  <w:style w:type="paragraph" w:styleId="1169">
    <w:name w:val="xl112"/>
    <w:basedOn w:val="926"/>
    <w:next w:val="1169"/>
    <w:link w:val="926"/>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0">
    <w:name w:val="xl85"/>
    <w:basedOn w:val="926"/>
    <w:next w:val="1170"/>
    <w:link w:val="92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1">
    <w:name w:val="font5"/>
    <w:basedOn w:val="926"/>
    <w:next w:val="1171"/>
    <w:link w:val="926"/>
    <w:qFormat/>
    <w:pPr>
      <w:jc w:val="left"/>
      <w:spacing w:before="100" w:beforeAutospacing="1" w:after="100" w:afterAutospacing="1"/>
      <w:widowControl/>
    </w:pPr>
    <w:rPr>
      <w:rFonts w:ascii="宋体" w:hAnsi="宋体" w:cs="宋体"/>
      <w:sz w:val="28"/>
      <w:szCs w:val="28"/>
    </w:rPr>
  </w:style>
  <w:style w:type="paragraph" w:styleId="1172">
    <w:name w:val="Char Char Char Char"/>
    <w:basedOn w:val="953"/>
    <w:next w:val="1172"/>
    <w:link w:val="926"/>
    <w:pPr>
      <w:spacing w:line="360" w:lineRule="auto"/>
    </w:pPr>
    <w:rPr>
      <w:rFonts w:ascii="Tahoma" w:hAnsi="Tahoma" w:cs="Tahoma"/>
      <w:sz w:val="24"/>
      <w:szCs w:val="24"/>
    </w:rPr>
  </w:style>
  <w:style w:type="paragraph" w:styleId="1173">
    <w:name w:val="正文蓝"/>
    <w:basedOn w:val="951"/>
    <w:next w:val="1173"/>
    <w:link w:val="926"/>
    <w:pPr>
      <w:ind w:firstLine="482"/>
      <w:spacing w:line="288" w:lineRule="auto"/>
    </w:pPr>
    <w:rPr>
      <w:rFonts w:ascii="仿宋_GB2312" w:hAnsi="宋体" w:eastAsia="仿宋_GB2312" w:cs="宋体"/>
      <w:bCs/>
      <w:color w:val="0000ff"/>
      <w:sz w:val="24"/>
      <w:szCs w:val="20"/>
    </w:rPr>
  </w:style>
  <w:style w:type="paragraph" w:styleId="1174">
    <w:name w:val="xl25"/>
    <w:basedOn w:val="926"/>
    <w:next w:val="1174"/>
    <w:link w:val="926"/>
    <w:pPr>
      <w:jc w:val="center"/>
      <w:spacing w:before="100" w:beforeAutospacing="1" w:after="100" w:afterAutospacing="1"/>
      <w:widowControl/>
    </w:pPr>
    <w:rPr>
      <w:rFonts w:ascii="Arial Unicode MS" w:hAnsi="Arial Unicode MS" w:eastAsia="Arial Unicode MS" w:cs="Arial Unicode MS"/>
      <w:sz w:val="24"/>
    </w:rPr>
  </w:style>
  <w:style w:type="paragraph" w:styleId="1175">
    <w:name w:val="List Paragraph"/>
    <w:basedOn w:val="926"/>
    <w:next w:val="1175"/>
    <w:link w:val="926"/>
    <w:pPr>
      <w:ind w:firstLine="200"/>
    </w:pPr>
    <w:rPr>
      <w:rFonts w:ascii="Calibri" w:hAnsi="Calibri" w:cs="Arial"/>
      <w:szCs w:val="22"/>
    </w:rPr>
  </w:style>
  <w:style w:type="paragraph" w:styleId="1176">
    <w:name w:val="xl93"/>
    <w:basedOn w:val="926"/>
    <w:next w:val="1176"/>
    <w:link w:val="9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77">
    <w:name w:val="Char Char Char1 Char Char Char Char"/>
    <w:basedOn w:val="926"/>
    <w:next w:val="1177"/>
    <w:link w:val="926"/>
    <w:pPr>
      <w:jc w:val="left"/>
      <w:spacing w:after="160" w:line="240" w:lineRule="exact"/>
      <w:widowControl/>
    </w:pPr>
    <w:rPr>
      <w:rFonts w:ascii="宋体" w:hAnsi="宋体" w:cs="宋体"/>
      <w:b/>
      <w:sz w:val="28"/>
      <w:szCs w:val="28"/>
    </w:rPr>
  </w:style>
  <w:style w:type="paragraph" w:styleId="1178">
    <w:name w:val="font20"/>
    <w:basedOn w:val="926"/>
    <w:next w:val="1178"/>
    <w:link w:val="926"/>
    <w:qFormat/>
    <w:pPr>
      <w:jc w:val="left"/>
      <w:spacing w:before="100" w:beforeAutospacing="1" w:after="100" w:afterAutospacing="1"/>
      <w:widowControl/>
    </w:pPr>
    <w:rPr>
      <w:rFonts w:ascii="Tahoma" w:hAnsi="Tahoma" w:cs="Tahoma"/>
      <w:b/>
      <w:bCs/>
      <w:color w:val="000000"/>
      <w:sz w:val="18"/>
      <w:szCs w:val="18"/>
    </w:rPr>
  </w:style>
  <w:style w:type="paragraph" w:styleId="1179">
    <w:name w:val="标题2"/>
    <w:basedOn w:val="928"/>
    <w:next w:val="1179"/>
    <w:link w:val="926"/>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80">
    <w:name w:val="xl27"/>
    <w:basedOn w:val="926"/>
    <w:next w:val="1180"/>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1">
    <w:name w:val="xl106"/>
    <w:basedOn w:val="926"/>
    <w:next w:val="1181"/>
    <w:link w:val="926"/>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2">
    <w:name w:val="font21"/>
    <w:basedOn w:val="926"/>
    <w:next w:val="1182"/>
    <w:link w:val="926"/>
    <w:qFormat/>
    <w:pPr>
      <w:jc w:val="left"/>
      <w:spacing w:before="100" w:beforeAutospacing="1" w:after="100" w:afterAutospacing="1"/>
      <w:widowControl/>
    </w:pPr>
    <w:rPr>
      <w:rFonts w:ascii="宋体" w:hAnsi="宋体" w:cs="宋体"/>
      <w:b/>
      <w:bCs/>
      <w:color w:val="000000"/>
      <w:sz w:val="18"/>
      <w:szCs w:val="18"/>
    </w:rPr>
  </w:style>
  <w:style w:type="paragraph" w:styleId="1183">
    <w:name w:val="标书正文"/>
    <w:basedOn w:val="926"/>
    <w:next w:val="1183"/>
    <w:link w:val="926"/>
    <w:uiPriority w:val="99"/>
    <w:qFormat/>
    <w:pPr>
      <w:ind w:firstLine="431"/>
      <w:jc w:val="left"/>
      <w:spacing w:before="120" w:after="120" w:line="360" w:lineRule="auto"/>
      <w:widowControl/>
    </w:pPr>
    <w:rPr>
      <w:sz w:val="22"/>
      <w:szCs w:val="21"/>
      <w:lang w:eastAsia="en-US"/>
    </w:rPr>
  </w:style>
  <w:style w:type="paragraph" w:styleId="1184">
    <w:name w:val="xl26"/>
    <w:basedOn w:val="926"/>
    <w:next w:val="1184"/>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5">
    <w:name w:val="可研 + 首行缩进:  2 字符"/>
    <w:basedOn w:val="926"/>
    <w:next w:val="1185"/>
    <w:link w:val="926"/>
    <w:pPr>
      <w:ind w:firstLine="200"/>
      <w:spacing w:before="120" w:line="288" w:lineRule="auto"/>
    </w:pPr>
    <w:rPr>
      <w:rFonts w:eastAsia="仿宋_GB2312"/>
      <w:sz w:val="24"/>
      <w:szCs w:val="20"/>
    </w:rPr>
  </w:style>
  <w:style w:type="paragraph" w:styleId="1186">
    <w:name w:val="font19"/>
    <w:basedOn w:val="926"/>
    <w:next w:val="1186"/>
    <w:link w:val="926"/>
    <w:qFormat/>
    <w:pPr>
      <w:jc w:val="left"/>
      <w:spacing w:before="100" w:beforeAutospacing="1" w:after="100" w:afterAutospacing="1"/>
      <w:widowControl/>
    </w:pPr>
    <w:rPr>
      <w:rFonts w:ascii="宋体" w:hAnsi="宋体" w:cs="宋体"/>
      <w:sz w:val="18"/>
      <w:szCs w:val="18"/>
    </w:rPr>
  </w:style>
  <w:style w:type="paragraph" w:styleId="1187">
    <w:name w:val=" Char Char Char1 Char Char Char Char"/>
    <w:basedOn w:val="926"/>
    <w:next w:val="1187"/>
    <w:link w:val="926"/>
    <w:pPr>
      <w:jc w:val="left"/>
      <w:spacing w:after="160" w:line="240" w:lineRule="exact"/>
      <w:widowControl/>
    </w:pPr>
    <w:rPr>
      <w:rFonts w:ascii="宋体" w:hAnsi="宋体"/>
      <w:b/>
      <w:sz w:val="28"/>
      <w:szCs w:val="28"/>
    </w:rPr>
  </w:style>
  <w:style w:type="paragraph" w:styleId="1188">
    <w:name w:val="font9"/>
    <w:basedOn w:val="926"/>
    <w:next w:val="1188"/>
    <w:link w:val="926"/>
    <w:qFormat/>
    <w:pPr>
      <w:jc w:val="left"/>
      <w:spacing w:before="100" w:beforeAutospacing="1" w:after="100" w:afterAutospacing="1"/>
      <w:widowControl/>
    </w:pPr>
    <w:rPr>
      <w:rFonts w:ascii="宋体" w:hAnsi="宋体" w:cs="宋体"/>
      <w:sz w:val="20"/>
      <w:szCs w:val="20"/>
    </w:rPr>
  </w:style>
  <w:style w:type="paragraph" w:styleId="1189">
    <w:name w:val="xl113"/>
    <w:basedOn w:val="926"/>
    <w:next w:val="1189"/>
    <w:link w:val="926"/>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0">
    <w:name w:val="xl88"/>
    <w:basedOn w:val="926"/>
    <w:next w:val="1190"/>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1">
    <w:name w:val="xl94"/>
    <w:basedOn w:val="926"/>
    <w:next w:val="1191"/>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2">
    <w:name w:val="Char"/>
    <w:basedOn w:val="926"/>
    <w:next w:val="1192"/>
    <w:link w:val="926"/>
    <w:qFormat/>
    <w:pPr>
      <w:tabs>
        <w:tab w:val="left" w:pos="360" w:leader="none"/>
      </w:tabs>
    </w:pPr>
    <w:rPr>
      <w:sz w:val="24"/>
    </w:rPr>
  </w:style>
  <w:style w:type="paragraph" w:styleId="1193">
    <w:name w:val="xl100"/>
    <w:basedOn w:val="926"/>
    <w:next w:val="1193"/>
    <w:link w:val="92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4">
    <w:name w:val="xl65"/>
    <w:basedOn w:val="926"/>
    <w:next w:val="1194"/>
    <w:link w:val="926"/>
    <w:qFormat/>
    <w:pPr>
      <w:jc w:val="left"/>
      <w:spacing w:before="100" w:beforeAutospacing="1" w:after="100" w:afterAutospacing="1"/>
      <w:widowControl/>
    </w:pPr>
    <w:rPr>
      <w:rFonts w:ascii="宋体" w:hAnsi="宋体" w:cs="宋体"/>
      <w:b/>
      <w:bCs/>
      <w:color w:val="000000"/>
      <w:sz w:val="24"/>
    </w:rPr>
  </w:style>
  <w:style w:type="paragraph" w:styleId="1195">
    <w:name w:val=" Char Char Char Char"/>
    <w:basedOn w:val="953"/>
    <w:next w:val="1195"/>
    <w:link w:val="926"/>
    <w:pPr>
      <w:spacing w:line="360" w:lineRule="auto"/>
    </w:pPr>
    <w:rPr>
      <w:rFonts w:ascii="Tahoma" w:hAnsi="Tahoma"/>
      <w:sz w:val="24"/>
      <w:szCs w:val="24"/>
    </w:rPr>
  </w:style>
  <w:style w:type="paragraph" w:styleId="1196">
    <w:name w:val="Main_heading"/>
    <w:basedOn w:val="926"/>
    <w:next w:val="926"/>
    <w:link w:val="926"/>
    <w:pPr>
      <w:jc w:val="left"/>
      <w:spacing w:before="240" w:after="240" w:line="240" w:lineRule="atLeast"/>
      <w:widowControl/>
    </w:pPr>
    <w:rPr>
      <w:rFonts w:eastAsia="MS Mincho"/>
      <w:b/>
      <w:sz w:val="28"/>
      <w:szCs w:val="20"/>
      <w:lang w:eastAsia="ja-JP"/>
    </w:rPr>
  </w:style>
  <w:style w:type="paragraph" w:styleId="1197">
    <w:name w:val="Item Step in Table"/>
    <w:next w:val="1197"/>
    <w:link w:val="926"/>
    <w:pPr>
      <w:numPr>
        <w:ilvl w:val="0"/>
        <w:numId w:val="10"/>
      </w:numPr>
      <w:jc w:val="both"/>
      <w:spacing w:before="40" w:after="40"/>
      <w:tabs>
        <w:tab w:val="left" w:pos="397" w:leader="none"/>
      </w:tabs>
    </w:pPr>
    <w:rPr>
      <w:rFonts w:ascii="Arial" w:hAnsi="Arial" w:cs="Arial"/>
      <w:sz w:val="18"/>
      <w:szCs w:val="18"/>
      <w:lang w:val="en-US" w:eastAsia="zh-CN" w:bidi="ar-SA"/>
    </w:rPr>
  </w:style>
  <w:style w:type="paragraph" w:styleId="1198">
    <w:name w:val="标题6"/>
    <w:basedOn w:val="932"/>
    <w:next w:val="1198"/>
    <w:link w:val="926"/>
    <w:pPr>
      <w:numPr>
        <w:ilvl w:val="0"/>
        <w:numId w:val="0"/>
      </w:numPr>
      <w:keepLines w:val="0"/>
      <w:keepNext w:val="0"/>
      <w:spacing w:before="0" w:after="0" w:line="360" w:lineRule="auto"/>
      <w:tabs>
        <w:tab w:val="left" w:pos="0" w:leader="none"/>
      </w:tabs>
    </w:pPr>
    <w:rPr>
      <w:rFonts w:eastAsia="仿宋_GB2312"/>
      <w:b w:val="0"/>
      <w:sz w:val="30"/>
    </w:rPr>
  </w:style>
  <w:style w:type="paragraph" w:styleId="1199">
    <w:name w:val="Char5 Char Char Char Char Char Char1"/>
    <w:basedOn w:val="926"/>
    <w:next w:val="1199"/>
    <w:link w:val="926"/>
    <w:qFormat/>
    <w:rPr>
      <w:rFonts w:ascii="Tahoma" w:hAnsi="Tahoma"/>
      <w:sz w:val="24"/>
      <w:szCs w:val="20"/>
    </w:rPr>
  </w:style>
  <w:style w:type="paragraph" w:styleId="1200">
    <w:name w:val="Body text"/>
    <w:basedOn w:val="926"/>
    <w:next w:val="1200"/>
    <w:link w:val="926"/>
    <w:pPr>
      <w:jc w:val="left"/>
      <w:spacing w:after="60"/>
      <w:tabs>
        <w:tab w:val="right" w:pos="2520" w:leader="none"/>
        <w:tab w:val="left" w:pos="2880" w:leader="none"/>
      </w:tabs>
    </w:pPr>
    <w:rPr>
      <w:sz w:val="22"/>
      <w:szCs w:val="20"/>
    </w:rPr>
  </w:style>
  <w:style w:type="paragraph" w:styleId="1201">
    <w:name w:val="font10"/>
    <w:basedOn w:val="926"/>
    <w:next w:val="1201"/>
    <w:link w:val="926"/>
    <w:qFormat/>
    <w:pPr>
      <w:jc w:val="left"/>
      <w:spacing w:before="100" w:beforeAutospacing="1" w:after="100" w:afterAutospacing="1"/>
      <w:widowControl/>
    </w:pPr>
    <w:rPr>
      <w:rFonts w:ascii="Tahoma" w:hAnsi="Tahoma" w:cs="Tahoma"/>
      <w:b/>
      <w:bCs/>
      <w:sz w:val="18"/>
      <w:szCs w:val="18"/>
    </w:rPr>
  </w:style>
  <w:style w:type="paragraph" w:styleId="1202">
    <w:name w:val="样式3"/>
    <w:basedOn w:val="965"/>
    <w:next w:val="1202"/>
    <w:link w:val="926"/>
    <w:rPr>
      <w:rFonts w:cs="宋体"/>
    </w:rPr>
  </w:style>
  <w:style w:type="paragraph" w:styleId="1203">
    <w:name w:val="列表 31"/>
    <w:basedOn w:val="926"/>
    <w:next w:val="1203"/>
    <w:link w:val="926"/>
    <w:pPr>
      <w:contextualSpacing/>
      <w:ind w:left="100" w:hanging="200"/>
    </w:pPr>
  </w:style>
  <w:style w:type="paragraph" w:styleId="1204">
    <w:name w:val="列出段落11"/>
    <w:basedOn w:val="926"/>
    <w:next w:val="1204"/>
    <w:link w:val="926"/>
    <w:uiPriority w:val="99"/>
    <w:qFormat/>
    <w:pPr>
      <w:ind w:firstLine="420"/>
    </w:pPr>
    <w:rPr>
      <w:rFonts w:ascii="Calibri" w:hAnsi="Calibri"/>
      <w:szCs w:val="22"/>
    </w:rPr>
  </w:style>
  <w:style w:type="paragraph" w:styleId="1205">
    <w:name w:val="xl101"/>
    <w:basedOn w:val="926"/>
    <w:next w:val="1205"/>
    <w:link w:val="92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6">
    <w:name w:val="xl120"/>
    <w:basedOn w:val="926"/>
    <w:next w:val="1206"/>
    <w:link w:val="926"/>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7">
    <w:name w:val="xl87"/>
    <w:basedOn w:val="926"/>
    <w:next w:val="1207"/>
    <w:link w:val="92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8">
    <w:name w:val="默认段落字体 Para Char Char Char Char Char Char Char Char Char1 Char Char Char Char Char Char Char"/>
    <w:basedOn w:val="953"/>
    <w:next w:val="1208"/>
    <w:link w:val="926"/>
    <w:rPr>
      <w:rFonts w:ascii="Tahoma" w:hAnsi="Tahoma" w:cs="Tahoma"/>
      <w:sz w:val="24"/>
      <w:szCs w:val="24"/>
    </w:rPr>
  </w:style>
  <w:style w:type="paragraph" w:styleId="1209">
    <w:name w:val="xl111"/>
    <w:basedOn w:val="926"/>
    <w:next w:val="1209"/>
    <w:link w:val="926"/>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0">
    <w:name w:val="xl121"/>
    <w:basedOn w:val="926"/>
    <w:next w:val="1210"/>
    <w:link w:val="926"/>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1">
    <w:name w:val="五级标题"/>
    <w:basedOn w:val="1161"/>
    <w:next w:val="1211"/>
    <w:link w:val="926"/>
    <w:qFormat/>
    <w:pPr>
      <w:numPr>
        <w:ilvl w:val="4"/>
        <w:numId w:val="8"/>
      </w:numPr>
      <w:ind w:right="278"/>
      <w:outlineLvl w:val="4"/>
    </w:pPr>
  </w:style>
  <w:style w:type="paragraph" w:styleId="1212">
    <w:name w:val="xl117"/>
    <w:basedOn w:val="926"/>
    <w:next w:val="1212"/>
    <w:link w:val="9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3">
    <w:name w:val="xl70"/>
    <w:basedOn w:val="926"/>
    <w:next w:val="1213"/>
    <w:link w:val="92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4">
    <w:name w:val="图标"/>
    <w:basedOn w:val="926"/>
    <w:next w:val="926"/>
    <w:link w:val="92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5">
    <w:name w:val="Char Char Char Char Char Char Char"/>
    <w:basedOn w:val="926"/>
    <w:next w:val="1215"/>
    <w:link w:val="926"/>
    <w:qFormat/>
    <w:pPr>
      <w:ind w:left="432" w:hanging="432"/>
      <w:tabs>
        <w:tab w:val="left" w:pos="432" w:leader="none"/>
      </w:tabs>
    </w:pPr>
    <w:rPr>
      <w:rFonts w:ascii="Tahoma" w:hAnsi="Tahoma"/>
      <w:sz w:val="24"/>
      <w:szCs w:val="20"/>
    </w:rPr>
  </w:style>
  <w:style w:type="paragraph" w:styleId="1216">
    <w:name w:val="xl69"/>
    <w:basedOn w:val="926"/>
    <w:next w:val="1216"/>
    <w:link w:val="92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7">
    <w:name w:val="xl105"/>
    <w:basedOn w:val="926"/>
    <w:next w:val="1217"/>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8">
    <w:name w:val="标题9"/>
    <w:basedOn w:val="935"/>
    <w:next w:val="1218"/>
    <w:link w:val="926"/>
    <w:pPr>
      <w:numPr>
        <w:ilvl w:val="0"/>
        <w:numId w:val="0"/>
      </w:numPr>
      <w:keepLines w:val="0"/>
      <w:keepNext w:val="0"/>
      <w:spacing w:before="0" w:after="0" w:line="360" w:lineRule="auto"/>
      <w:tabs>
        <w:tab w:val="left" w:pos="0" w:leader="none"/>
      </w:tabs>
    </w:pPr>
    <w:rPr>
      <w:rFonts w:eastAsia="仿宋_GB2312"/>
      <w:sz w:val="30"/>
    </w:rPr>
  </w:style>
  <w:style w:type="paragraph" w:styleId="1219">
    <w:name w:val="xl82"/>
    <w:basedOn w:val="926"/>
    <w:next w:val="1219"/>
    <w:link w:val="92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name w:val="正文 A"/>
    <w:next w:val="1220"/>
    <w:link w:val="926"/>
    <w:pPr>
      <w:jc w:val="both"/>
      <w:widowControl w:val="off"/>
    </w:pPr>
    <w:rPr>
      <w:rFonts w:ascii="Arial Unicode MS" w:hAnsi="Arial Unicode MS" w:eastAsia="Times New Roman" w:cs="Arial Unicode MS"/>
      <w:color w:val="000000"/>
      <w:sz w:val="21"/>
      <w:szCs w:val="21"/>
      <w:lang w:val="en-US" w:eastAsia="zh-CN" w:bidi="ar-SA"/>
    </w:rPr>
  </w:style>
  <w:style w:type="paragraph" w:styleId="1221">
    <w:name w:val="xl116"/>
    <w:basedOn w:val="926"/>
    <w:next w:val="1221"/>
    <w:link w:val="926"/>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2">
    <w:name w:val="Char Char"/>
    <w:basedOn w:val="926"/>
    <w:next w:val="1222"/>
    <w:link w:val="926"/>
    <w:qFormat/>
    <w:pPr>
      <w:ind w:left="360"/>
      <w:jc w:val="left"/>
      <w:spacing w:before="100" w:beforeAutospacing="1" w:after="100" w:afterAutospacing="1" w:line="360" w:lineRule="auto"/>
      <w:widowControl/>
    </w:pPr>
    <w:rPr>
      <w:szCs w:val="20"/>
    </w:rPr>
  </w:style>
  <w:style w:type="paragraph" w:styleId="1223">
    <w:name w:val="Char5 Char Char Char Char Char Char3"/>
    <w:basedOn w:val="926"/>
    <w:next w:val="1223"/>
    <w:link w:val="926"/>
    <w:qFormat/>
    <w:rPr>
      <w:rFonts w:ascii="Tahoma" w:hAnsi="Tahoma"/>
      <w:sz w:val="24"/>
      <w:szCs w:val="20"/>
    </w:rPr>
  </w:style>
  <w:style w:type="paragraph" w:styleId="1224">
    <w:name w:val="xl95"/>
    <w:basedOn w:val="926"/>
    <w:next w:val="1224"/>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5">
    <w:name w:val="font13"/>
    <w:basedOn w:val="926"/>
    <w:next w:val="1225"/>
    <w:link w:val="926"/>
    <w:qFormat/>
    <w:pPr>
      <w:jc w:val="left"/>
      <w:spacing w:before="100" w:beforeAutospacing="1" w:after="100" w:afterAutospacing="1"/>
      <w:widowControl/>
    </w:pPr>
    <w:rPr>
      <w:rFonts w:ascii="宋体" w:hAnsi="宋体" w:cs="宋体"/>
      <w:b/>
      <w:bCs/>
      <w:color w:val="000000"/>
      <w:sz w:val="28"/>
      <w:szCs w:val="28"/>
    </w:rPr>
  </w:style>
  <w:style w:type="paragraph" w:styleId="1226">
    <w:name w:val="纯文本2"/>
    <w:basedOn w:val="926"/>
    <w:next w:val="1226"/>
    <w:link w:val="926"/>
    <w:qFormat/>
    <w:rPr>
      <w:rFonts w:ascii="宋体" w:hAnsi="Courier New" w:eastAsia="楷体_GB2312"/>
      <w:sz w:val="26"/>
      <w:szCs w:val="20"/>
    </w:rPr>
  </w:style>
  <w:style w:type="paragraph" w:styleId="1227">
    <w:name w:val="p25"/>
    <w:basedOn w:val="926"/>
    <w:next w:val="1227"/>
    <w:link w:val="926"/>
    <w:pPr>
      <w:jc w:val="left"/>
      <w:widowControl/>
    </w:pPr>
    <w:rPr>
      <w:rFonts w:ascii="宋体" w:hAnsi="宋体" w:cs="宋体"/>
      <w:sz w:val="26"/>
      <w:szCs w:val="26"/>
    </w:rPr>
  </w:style>
  <w:style w:type="paragraph" w:styleId="1228">
    <w:name w:val="indent-fix3"/>
    <w:basedOn w:val="926"/>
    <w:next w:val="1228"/>
    <w:link w:val="926"/>
    <w:qFormat/>
    <w:pPr>
      <w:jc w:val="left"/>
      <w:spacing w:before="100" w:beforeAutospacing="1" w:after="100" w:afterAutospacing="1"/>
      <w:widowControl/>
    </w:pPr>
    <w:rPr>
      <w:rFonts w:ascii="宋体" w:hAnsi="宋体" w:cs="宋体"/>
      <w:sz w:val="24"/>
    </w:rPr>
  </w:style>
  <w:style w:type="paragraph" w:styleId="1229">
    <w:name w:val="Char Char Char Char Char Char Char2"/>
    <w:basedOn w:val="926"/>
    <w:next w:val="1229"/>
    <w:link w:val="926"/>
    <w:qFormat/>
    <w:pPr>
      <w:ind w:left="432" w:hanging="432"/>
      <w:tabs>
        <w:tab w:val="left" w:pos="432" w:leader="none"/>
      </w:tabs>
    </w:pPr>
    <w:rPr>
      <w:rFonts w:ascii="Tahoma" w:hAnsi="Tahoma"/>
      <w:sz w:val="24"/>
      <w:szCs w:val="20"/>
    </w:rPr>
  </w:style>
  <w:style w:type="paragraph" w:styleId="1230">
    <w:name w:val="1 Char Char Char Char Char Char Char"/>
    <w:basedOn w:val="926"/>
    <w:next w:val="1230"/>
    <w:link w:val="926"/>
    <w:pPr>
      <w:spacing w:line="360" w:lineRule="auto"/>
    </w:pPr>
    <w:rPr>
      <w:rFonts w:ascii="仿宋_GB2312" w:hAnsi="宋体" w:eastAsia="仿宋_GB2312" w:cs="宋体"/>
      <w:szCs w:val="21"/>
    </w:rPr>
  </w:style>
  <w:style w:type="paragraph" w:styleId="1231">
    <w:name w:val="样式2"/>
    <w:basedOn w:val="926"/>
    <w:next w:val="1231"/>
    <w:link w:val="926"/>
    <w:qFormat/>
    <w:pPr>
      <w:numPr>
        <w:ilvl w:val="0"/>
        <w:numId w:val="11"/>
      </w:numPr>
      <w:spacing w:line="288" w:lineRule="auto"/>
    </w:pPr>
    <w:rPr>
      <w:szCs w:val="22"/>
    </w:rPr>
  </w:style>
  <w:style w:type="paragraph" w:styleId="1232">
    <w:name w:val="Body Text(ch)"/>
    <w:basedOn w:val="926"/>
    <w:next w:val="959"/>
    <w:link w:val="926"/>
    <w:pPr>
      <w:spacing w:after="120"/>
    </w:pPr>
    <w:rPr>
      <w:rFonts w:ascii="宋体" w:hAnsi="宋体" w:cs="宋体"/>
      <w:bCs/>
      <w:iCs/>
    </w:rPr>
  </w:style>
  <w:style w:type="paragraph" w:styleId="1233">
    <w:name w:val="TOC 标题"/>
    <w:basedOn w:val="927"/>
    <w:next w:val="926"/>
    <w:link w:val="926"/>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34">
    <w:name w:val="正文格式"/>
    <w:basedOn w:val="926"/>
    <w:next w:val="1234"/>
    <w:link w:val="926"/>
    <w:pPr>
      <w:ind w:firstLine="482"/>
      <w:spacing w:line="400" w:lineRule="exact"/>
      <w:widowControl/>
    </w:pPr>
    <w:rPr>
      <w:rFonts w:ascii="Arial" w:hAnsi="Arial" w:eastAsia="新宋体" w:cs="Arial"/>
      <w:sz w:val="24"/>
      <w:szCs w:val="20"/>
    </w:rPr>
  </w:style>
  <w:style w:type="paragraph" w:styleId="1235">
    <w:name w:val="xl119"/>
    <w:basedOn w:val="926"/>
    <w:next w:val="1235"/>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6">
    <w:name w:val="1"/>
    <w:basedOn w:val="926"/>
    <w:next w:val="1057"/>
    <w:link w:val="926"/>
    <w:uiPriority w:val="34"/>
    <w:qFormat/>
    <w:pPr>
      <w:ind w:firstLine="420"/>
    </w:pPr>
    <w:rPr>
      <w:rFonts w:ascii="Calibri" w:hAnsi="Calibri"/>
      <w:szCs w:val="22"/>
    </w:rPr>
  </w:style>
  <w:style w:type="paragraph" w:styleId="1237">
    <w:name w:val="xl102"/>
    <w:basedOn w:val="926"/>
    <w:next w:val="1237"/>
    <w:link w:val="92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8">
    <w:name w:val="font7"/>
    <w:basedOn w:val="926"/>
    <w:next w:val="1238"/>
    <w:link w:val="926"/>
    <w:qFormat/>
    <w:pPr>
      <w:jc w:val="left"/>
      <w:spacing w:before="100" w:beforeAutospacing="1" w:after="100" w:afterAutospacing="1"/>
      <w:widowControl/>
    </w:pPr>
    <w:rPr>
      <w:rFonts w:ascii="宋体" w:hAnsi="宋体" w:cs="宋体"/>
      <w:sz w:val="18"/>
      <w:szCs w:val="18"/>
    </w:rPr>
  </w:style>
  <w:style w:type="paragraph" w:styleId="1239">
    <w:name w:val="font12"/>
    <w:basedOn w:val="926"/>
    <w:next w:val="1239"/>
    <w:link w:val="926"/>
    <w:qFormat/>
    <w:pPr>
      <w:jc w:val="left"/>
      <w:spacing w:before="100" w:beforeAutospacing="1" w:after="100" w:afterAutospacing="1"/>
      <w:widowControl/>
    </w:pPr>
    <w:rPr>
      <w:rFonts w:ascii="宋体" w:hAnsi="宋体" w:cs="宋体"/>
      <w:sz w:val="18"/>
      <w:szCs w:val="18"/>
    </w:rPr>
  </w:style>
  <w:style w:type="paragraph" w:styleId="1240">
    <w:name w:val="p0"/>
    <w:basedOn w:val="926"/>
    <w:next w:val="1240"/>
    <w:link w:val="926"/>
    <w:uiPriority w:val="99"/>
    <w:qFormat/>
    <w:pPr>
      <w:widowControl/>
    </w:pPr>
    <w:rPr>
      <w:rFonts w:ascii="Calibri" w:hAnsi="Calibri" w:cs="宋体"/>
      <w:szCs w:val="21"/>
    </w:rPr>
  </w:style>
  <w:style w:type="paragraph" w:styleId="1241">
    <w:name w:val="??"/>
    <w:next w:val="1241"/>
    <w:link w:val="926"/>
    <w:pPr>
      <w:jc w:val="both"/>
      <w:widowControl w:val="off"/>
    </w:pPr>
    <w:rPr>
      <w:sz w:val="21"/>
      <w:szCs w:val="28"/>
      <w:lang w:val="en-US" w:eastAsia="en-US" w:bidi="ar-SA"/>
    </w:rPr>
  </w:style>
  <w:style w:type="paragraph" w:styleId="1242">
    <w:name w:val="_Style 7"/>
    <w:basedOn w:val="926"/>
    <w:next w:val="1242"/>
    <w:link w:val="926"/>
    <w:uiPriority w:val="99"/>
    <w:qFormat/>
    <w:pPr>
      <w:ind w:firstLine="420"/>
    </w:pPr>
    <w:rPr>
      <w:szCs w:val="20"/>
    </w:rPr>
  </w:style>
  <w:style w:type="paragraph" w:styleId="1243">
    <w:name w:val="标书内容123"/>
    <w:basedOn w:val="926"/>
    <w:next w:val="1243"/>
    <w:link w:val="926"/>
    <w:uiPriority w:val="99"/>
    <w:qFormat/>
    <w:pPr>
      <w:ind w:left="432"/>
      <w:jc w:val="left"/>
      <w:spacing w:line="360" w:lineRule="auto"/>
      <w:widowControl/>
    </w:pPr>
    <w:rPr>
      <w:sz w:val="24"/>
    </w:rPr>
  </w:style>
  <w:style w:type="paragraph" w:styleId="1244">
    <w:name w:val="xl80"/>
    <w:basedOn w:val="926"/>
    <w:next w:val="1244"/>
    <w:link w:val="926"/>
    <w:qFormat/>
    <w:pPr>
      <w:jc w:val="center"/>
      <w:spacing w:before="100" w:beforeAutospacing="1" w:after="100" w:afterAutospacing="1"/>
      <w:widowControl/>
    </w:pPr>
    <w:rPr>
      <w:rFonts w:ascii="宋体" w:hAnsi="宋体" w:cs="宋体"/>
      <w:color w:val="000000"/>
      <w:sz w:val="24"/>
    </w:rPr>
  </w:style>
  <w:style w:type="paragraph" w:styleId="1245">
    <w:name w:val="无间隔"/>
    <w:next w:val="1245"/>
    <w:link w:val="926"/>
    <w:uiPriority w:val="1"/>
    <w:qFormat/>
    <w:pPr>
      <w:jc w:val="both"/>
      <w:widowControl w:val="off"/>
    </w:pPr>
    <w:rPr>
      <w:rFonts w:eastAsia="楷体_GB2312"/>
      <w:sz w:val="26"/>
      <w:lang w:val="en-US" w:eastAsia="zh-CN" w:bidi="ar-SA"/>
    </w:rPr>
  </w:style>
  <w:style w:type="paragraph" w:styleId="1246">
    <w:name w:val="文档正文"/>
    <w:basedOn w:val="926"/>
    <w:next w:val="1246"/>
    <w:link w:val="926"/>
    <w:qFormat/>
    <w:pPr>
      <w:ind w:firstLine="567"/>
      <w:spacing w:line="480" w:lineRule="atLeast"/>
    </w:pPr>
    <w:rPr>
      <w:rFonts w:ascii="仿宋_GB2312" w:hAnsi="Calibri" w:eastAsia="仿宋_GB2312"/>
      <w:b/>
      <w:bCs/>
      <w:sz w:val="28"/>
      <w:szCs w:val="20"/>
    </w:rPr>
  </w:style>
  <w:style w:type="paragraph" w:styleId="1247">
    <w:name w:val="xl99"/>
    <w:basedOn w:val="926"/>
    <w:next w:val="1247"/>
    <w:link w:val="9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48">
    <w:name w:val="xl78"/>
    <w:basedOn w:val="926"/>
    <w:next w:val="1248"/>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9">
    <w:name w:val="xl68"/>
    <w:basedOn w:val="926"/>
    <w:next w:val="1249"/>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0">
    <w:name w:val="4"/>
    <w:basedOn w:val="926"/>
    <w:next w:val="984"/>
    <w:link w:val="926"/>
    <w:pPr>
      <w:ind w:firstLine="420"/>
      <w:spacing w:line="360" w:lineRule="auto"/>
    </w:pPr>
    <w:rPr>
      <w:color w:val="ff0000"/>
      <w:sz w:val="24"/>
    </w:rPr>
  </w:style>
  <w:style w:type="paragraph" w:styleId="1251">
    <w:name w:val="xl29"/>
    <w:basedOn w:val="926"/>
    <w:next w:val="1251"/>
    <w:link w:val="926"/>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2">
    <w:name w:val="列表内容"/>
    <w:basedOn w:val="926"/>
    <w:next w:val="926"/>
    <w:link w:val="926"/>
    <w:qFormat/>
    <w:pPr>
      <w:ind w:left="840" w:hanging="420"/>
      <w:jc w:val="left"/>
      <w:widowControl/>
      <w:tabs>
        <w:tab w:val="left" w:pos="840" w:leader="none"/>
      </w:tabs>
    </w:pPr>
    <w:rPr>
      <w:sz w:val="18"/>
    </w:rPr>
  </w:style>
  <w:style w:type="paragraph" w:styleId="1253">
    <w:name w:val="Char Char Char Char Char Char Char1"/>
    <w:basedOn w:val="926"/>
    <w:next w:val="1253"/>
    <w:link w:val="926"/>
    <w:qFormat/>
    <w:pPr>
      <w:ind w:left="432" w:hanging="432"/>
      <w:tabs>
        <w:tab w:val="left" w:pos="432" w:leader="none"/>
      </w:tabs>
    </w:pPr>
    <w:rPr>
      <w:rFonts w:ascii="Tahoma" w:hAnsi="Tahoma"/>
      <w:sz w:val="24"/>
      <w:szCs w:val="20"/>
    </w:rPr>
  </w:style>
  <w:style w:type="paragraph" w:styleId="1254">
    <w:name w:val="普通 (Web)"/>
    <w:basedOn w:val="926"/>
    <w:next w:val="1254"/>
    <w:link w:val="926"/>
    <w:pPr>
      <w:jc w:val="left"/>
      <w:spacing w:before="100" w:beforeAutospacing="1" w:after="100" w:afterAutospacing="1"/>
      <w:widowControl/>
    </w:pPr>
    <w:rPr>
      <w:rFonts w:ascii="宋体" w:hAnsi="宋体" w:cs="宋体"/>
      <w:sz w:val="24"/>
    </w:rPr>
  </w:style>
  <w:style w:type="paragraph" w:styleId="1255">
    <w:name w:val="xl76"/>
    <w:basedOn w:val="926"/>
    <w:next w:val="1255"/>
    <w:link w:val="9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6">
    <w:name w:val="报告正文"/>
    <w:basedOn w:val="926"/>
    <w:next w:val="1256"/>
    <w:link w:val="926"/>
    <w:pPr>
      <w:ind w:firstLine="567"/>
    </w:pPr>
    <w:rPr>
      <w:rFonts w:ascii="Arial Narrow" w:hAnsi="Arial Narrow" w:eastAsia="仿宋_GB2312"/>
      <w:sz w:val="28"/>
      <w:szCs w:val="20"/>
    </w:rPr>
  </w:style>
  <w:style w:type="paragraph" w:styleId="1257">
    <w:name w:val="标题8"/>
    <w:basedOn w:val="934"/>
    <w:next w:val="1257"/>
    <w:link w:val="926"/>
    <w:pPr>
      <w:numPr>
        <w:ilvl w:val="0"/>
        <w:numId w:val="0"/>
      </w:numPr>
      <w:keepLines w:val="0"/>
      <w:keepNext w:val="0"/>
      <w:spacing w:before="0" w:after="0" w:line="360" w:lineRule="auto"/>
      <w:tabs>
        <w:tab w:val="left" w:pos="0" w:leader="none"/>
      </w:tabs>
    </w:pPr>
    <w:rPr>
      <w:rFonts w:eastAsia="仿宋_GB2312"/>
      <w:sz w:val="30"/>
    </w:rPr>
  </w:style>
  <w:style w:type="paragraph" w:styleId="1258">
    <w:name w:val="xl81"/>
    <w:basedOn w:val="926"/>
    <w:next w:val="1258"/>
    <w:link w:val="92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9">
    <w:name w:val="Body"/>
    <w:next w:val="1259"/>
    <w:link w:val="926"/>
    <w:qFormat/>
    <w:pPr>
      <w:spacing w:before="130" w:after="130" w:line="260" w:lineRule="exact"/>
    </w:pPr>
    <w:rPr>
      <w:rFonts w:ascii="Univers" w:hAnsi="Univers" w:cs="宋体"/>
      <w:color w:val="000000"/>
      <w:sz w:val="22"/>
      <w:szCs w:val="28"/>
      <w:lang w:val="en-US" w:eastAsia="en-US" w:bidi="ar-SA"/>
    </w:rPr>
  </w:style>
  <w:style w:type="paragraph" w:styleId="1260">
    <w:name w:val="列表 21"/>
    <w:basedOn w:val="926"/>
    <w:next w:val="1260"/>
    <w:link w:val="926"/>
    <w:pPr>
      <w:contextualSpacing/>
      <w:ind w:left="100" w:hanging="200"/>
    </w:pPr>
  </w:style>
  <w:style w:type="paragraph" w:styleId="1261">
    <w:name w:val="列出段落111"/>
    <w:basedOn w:val="926"/>
    <w:next w:val="1261"/>
    <w:link w:val="926"/>
    <w:uiPriority w:val="72"/>
    <w:qFormat/>
    <w:pPr>
      <w:ind w:firstLine="420"/>
      <w:jc w:val="left"/>
      <w:widowControl/>
    </w:pPr>
    <w:rPr>
      <w:sz w:val="24"/>
      <w:szCs w:val="20"/>
    </w:rPr>
  </w:style>
  <w:style w:type="paragraph" w:styleId="1262">
    <w:name w:val="xl108"/>
    <w:basedOn w:val="926"/>
    <w:next w:val="1262"/>
    <w:link w:val="92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3">
    <w:name w:val="Char Char Char Char Char Char Char Char"/>
    <w:basedOn w:val="926"/>
    <w:next w:val="1263"/>
    <w:link w:val="926"/>
    <w:pPr>
      <w:jc w:val="left"/>
      <w:spacing w:after="160" w:line="240" w:lineRule="exact"/>
      <w:widowControl/>
    </w:pPr>
    <w:rPr>
      <w:rFonts w:ascii="Verdana" w:hAnsi="Verdana" w:cs="宋体"/>
      <w:sz w:val="20"/>
      <w:szCs w:val="20"/>
      <w:lang w:eastAsia="en-US"/>
    </w:rPr>
  </w:style>
  <w:style w:type="paragraph" w:styleId="1264">
    <w:name w:val="Char5 Char Char Char Char Char Char"/>
    <w:basedOn w:val="926"/>
    <w:next w:val="1264"/>
    <w:link w:val="926"/>
    <w:qFormat/>
    <w:rPr>
      <w:rFonts w:ascii="Tahoma" w:hAnsi="Tahoma"/>
      <w:sz w:val="24"/>
      <w:szCs w:val="20"/>
    </w:rPr>
  </w:style>
  <w:style w:type="paragraph" w:styleId="1265">
    <w:name w:val="Normal_0"/>
    <w:next w:val="1266"/>
    <w:link w:val="926"/>
    <w:qFormat/>
    <w:pPr>
      <w:jc w:val="both"/>
      <w:widowControl w:val="off"/>
    </w:pPr>
    <w:rPr>
      <w:sz w:val="21"/>
      <w:szCs w:val="24"/>
      <w:lang w:val="en-US" w:eastAsia="zh-CN" w:bidi="ar-SA"/>
    </w:rPr>
  </w:style>
  <w:style w:type="paragraph" w:styleId="1266">
    <w:name w:val="首行缩进_0"/>
    <w:basedOn w:val="1265"/>
    <w:next w:val="1266"/>
    <w:link w:val="926"/>
    <w:qFormat/>
    <w:pPr>
      <w:ind w:firstLine="480"/>
      <w:jc w:val="left"/>
      <w:spacing w:line="360" w:lineRule="auto"/>
    </w:pPr>
    <w:rPr>
      <w:rFonts w:ascii="宋体" w:hAnsi="宋体"/>
      <w:sz w:val="24"/>
    </w:rPr>
  </w:style>
  <w:style w:type="paragraph" w:styleId="1267">
    <w:name w:val="Normal_1"/>
    <w:next w:val="1267"/>
    <w:link w:val="926"/>
    <w:qFormat/>
    <w:rPr>
      <w:rFonts w:eastAsia="Times New Roman"/>
      <w:sz w:val="24"/>
      <w:szCs w:val="24"/>
      <w:lang w:bidi="ar-SA"/>
    </w:rPr>
  </w:style>
  <w:style w:type="paragraph" w:styleId="1268">
    <w:name w:val="Normal_2"/>
    <w:next w:val="1268"/>
    <w:link w:val="926"/>
    <w:qFormat/>
    <w:rPr>
      <w:rFonts w:eastAsia="Times New Roman"/>
      <w:sz w:val="24"/>
      <w:szCs w:val="24"/>
      <w:lang w:bidi="ar-SA"/>
    </w:rPr>
  </w:style>
  <w:style w:type="paragraph" w:styleId="1269">
    <w:name w:val="Normal_3"/>
    <w:next w:val="1269"/>
    <w:link w:val="926"/>
    <w:qFormat/>
    <w:rPr>
      <w:rFonts w:eastAsia="Times New Roman"/>
      <w:sz w:val="24"/>
      <w:szCs w:val="24"/>
      <w:lang w:bidi="ar-SA"/>
    </w:rPr>
  </w:style>
  <w:style w:type="paragraph" w:styleId="1270">
    <w:name w:val="Normal_4"/>
    <w:next w:val="1270"/>
    <w:link w:val="926"/>
    <w:qFormat/>
    <w:rPr>
      <w:rFonts w:eastAsia="Times New Roman"/>
      <w:sz w:val="24"/>
      <w:szCs w:val="24"/>
      <w:lang w:bidi="ar-SA"/>
    </w:rPr>
  </w:style>
  <w:style w:type="paragraph" w:styleId="1271">
    <w:name w:val="Normal_5"/>
    <w:next w:val="1271"/>
    <w:link w:val="926"/>
    <w:qFormat/>
    <w:rPr>
      <w:rFonts w:eastAsia="Times New Roman"/>
      <w:sz w:val="24"/>
      <w:szCs w:val="24"/>
      <w:lang w:bidi="ar-SA"/>
    </w:rPr>
  </w:style>
  <w:style w:type="paragraph" w:styleId="1272">
    <w:name w:val="Normal_6"/>
    <w:next w:val="1272"/>
    <w:link w:val="926"/>
    <w:qFormat/>
    <w:rPr>
      <w:rFonts w:eastAsia="Times New Roman"/>
      <w:sz w:val="24"/>
      <w:szCs w:val="24"/>
      <w:lang w:bidi="ar-SA"/>
    </w:rPr>
  </w:style>
  <w:style w:type="paragraph" w:styleId="1273">
    <w:name w:val="Normal_7"/>
    <w:next w:val="1273"/>
    <w:link w:val="926"/>
    <w:qFormat/>
    <w:rPr>
      <w:rFonts w:eastAsia="Times New Roman"/>
      <w:sz w:val="24"/>
      <w:szCs w:val="24"/>
      <w:lang w:bidi="ar-SA"/>
    </w:rPr>
  </w:style>
  <w:style w:type="paragraph" w:styleId="1274">
    <w:name w:val="Normal_8"/>
    <w:next w:val="1274"/>
    <w:link w:val="926"/>
    <w:qFormat/>
    <w:rPr>
      <w:rFonts w:eastAsia="Times New Roman"/>
      <w:sz w:val="24"/>
      <w:szCs w:val="24"/>
      <w:lang w:bidi="ar-SA"/>
    </w:rPr>
  </w:style>
  <w:style w:type="paragraph" w:styleId="1275">
    <w:name w:val="Normal_9"/>
    <w:next w:val="1275"/>
    <w:link w:val="926"/>
    <w:qFormat/>
    <w:rPr>
      <w:rFonts w:eastAsia="Times New Roman"/>
      <w:sz w:val="24"/>
      <w:szCs w:val="24"/>
      <w:lang w:bidi="ar-SA"/>
    </w:rPr>
  </w:style>
  <w:style w:type="paragraph" w:styleId="1276">
    <w:name w:val="Normal_10"/>
    <w:next w:val="1276"/>
    <w:link w:val="926"/>
    <w:qFormat/>
    <w:rPr>
      <w:rFonts w:eastAsia="Times New Roman"/>
      <w:sz w:val="24"/>
      <w:szCs w:val="24"/>
      <w:lang w:bidi="ar-SA"/>
    </w:rPr>
  </w:style>
  <w:style w:type="paragraph" w:styleId="1277">
    <w:name w:val="Normal_11"/>
    <w:next w:val="1277"/>
    <w:link w:val="926"/>
    <w:qFormat/>
    <w:rPr>
      <w:rFonts w:eastAsia="Times New Roman"/>
      <w:sz w:val="24"/>
      <w:szCs w:val="24"/>
      <w:lang w:bidi="ar-SA"/>
    </w:rPr>
  </w:style>
  <w:style w:type="paragraph" w:styleId="1278">
    <w:name w:val="Normal_12"/>
    <w:next w:val="1278"/>
    <w:link w:val="926"/>
    <w:qFormat/>
    <w:rPr>
      <w:rFonts w:eastAsia="Times New Roman"/>
      <w:sz w:val="24"/>
      <w:szCs w:val="24"/>
      <w:lang w:bidi="ar-SA"/>
    </w:rPr>
  </w:style>
  <w:style w:type="paragraph" w:styleId="1279">
    <w:name w:val="Normal_13"/>
    <w:next w:val="1266"/>
    <w:link w:val="926"/>
    <w:qFormat/>
    <w:rPr>
      <w:rFonts w:eastAsia="Times New Roman"/>
      <w:sz w:val="24"/>
      <w:szCs w:val="24"/>
      <w:lang w:bidi="ar-SA"/>
    </w:rPr>
  </w:style>
  <w:style w:type="paragraph" w:styleId="1280">
    <w:name w:val="Normal_14"/>
    <w:next w:val="1280"/>
    <w:link w:val="926"/>
    <w:qFormat/>
    <w:rPr>
      <w:rFonts w:eastAsia="Times New Roman"/>
      <w:sz w:val="24"/>
      <w:szCs w:val="24"/>
      <w:lang w:bidi="ar-SA"/>
    </w:rPr>
  </w:style>
  <w:style w:type="paragraph" w:styleId="1281">
    <w:name w:val="Normal_15"/>
    <w:next w:val="1281"/>
    <w:link w:val="926"/>
    <w:qFormat/>
    <w:rPr>
      <w:rFonts w:eastAsia="Times New Roman"/>
      <w:sz w:val="24"/>
      <w:szCs w:val="24"/>
      <w:lang w:bidi="ar-SA"/>
    </w:rPr>
  </w:style>
  <w:style w:type="paragraph" w:styleId="1282">
    <w:name w:val="Normal_16"/>
    <w:next w:val="1282"/>
    <w:link w:val="926"/>
    <w:qFormat/>
    <w:rPr>
      <w:rFonts w:eastAsia="Times New Roman"/>
      <w:sz w:val="24"/>
      <w:szCs w:val="24"/>
      <w:lang w:bidi="ar-SA"/>
    </w:rPr>
  </w:style>
  <w:style w:type="paragraph" w:styleId="1283">
    <w:name w:val="Normal_0_0"/>
    <w:next w:val="1283"/>
    <w:link w:val="926"/>
    <w:qFormat/>
    <w:rPr>
      <w:rFonts w:eastAsia="Times New Roman"/>
      <w:sz w:val="24"/>
      <w:szCs w:val="24"/>
      <w:lang w:bidi="ar-SA"/>
    </w:rPr>
  </w:style>
  <w:style w:type="paragraph" w:styleId="1284">
    <w:name w:val="Normal_1_0"/>
    <w:next w:val="1284"/>
    <w:link w:val="926"/>
    <w:qFormat/>
    <w:rPr>
      <w:rFonts w:eastAsia="Times New Roman"/>
      <w:sz w:val="24"/>
      <w:szCs w:val="24"/>
      <w:lang w:bidi="ar-SA"/>
    </w:rPr>
  </w:style>
  <w:style w:type="paragraph" w:styleId="1285">
    <w:name w:val="Normal_0_1"/>
    <w:next w:val="1285"/>
    <w:link w:val="926"/>
    <w:qFormat/>
    <w:rPr>
      <w:rFonts w:eastAsia="Times New Roman"/>
      <w:sz w:val="24"/>
      <w:szCs w:val="24"/>
      <w:lang w:bidi="ar-SA"/>
    </w:rPr>
  </w:style>
  <w:style w:type="paragraph" w:styleId="1286">
    <w:name w:val="Normal_0_0_0"/>
    <w:next w:val="1286"/>
    <w:link w:val="926"/>
    <w:qFormat/>
    <w:rPr>
      <w:rFonts w:eastAsia="Times New Roman"/>
      <w:sz w:val="24"/>
      <w:szCs w:val="24"/>
      <w:lang w:bidi="ar-SA"/>
    </w:rPr>
  </w:style>
  <w:style w:type="paragraph" w:styleId="1287">
    <w:name w:val="Normal_1_1"/>
    <w:next w:val="1287"/>
    <w:link w:val="926"/>
    <w:qFormat/>
    <w:rPr>
      <w:rFonts w:eastAsia="Times New Roman"/>
      <w:sz w:val="24"/>
      <w:szCs w:val="24"/>
      <w:lang w:bidi="ar-SA"/>
    </w:rPr>
  </w:style>
  <w:style w:type="paragraph" w:styleId="1288">
    <w:name w:val="Normal_2_0"/>
    <w:next w:val="1288"/>
    <w:link w:val="926"/>
    <w:qFormat/>
    <w:rPr>
      <w:rFonts w:eastAsia="Times New Roman"/>
      <w:sz w:val="24"/>
      <w:szCs w:val="24"/>
      <w:lang w:bidi="ar-SA"/>
    </w:rPr>
  </w:style>
  <w:style w:type="paragraph" w:styleId="1289">
    <w:name w:val="Normal_4_0"/>
    <w:next w:val="1289"/>
    <w:link w:val="926"/>
    <w:qFormat/>
    <w:rPr>
      <w:rFonts w:eastAsia="Times New Roman"/>
      <w:sz w:val="24"/>
      <w:szCs w:val="24"/>
      <w:lang w:bidi="ar-SA"/>
    </w:rPr>
  </w:style>
  <w:style w:type="paragraph" w:styleId="1290">
    <w:name w:val="Normal_5_0"/>
    <w:next w:val="1290"/>
    <w:link w:val="926"/>
    <w:qFormat/>
    <w:rPr>
      <w:rFonts w:eastAsia="Times New Roman"/>
      <w:sz w:val="24"/>
      <w:szCs w:val="24"/>
      <w:lang w:bidi="ar-SA"/>
    </w:rPr>
  </w:style>
  <w:style w:type="paragraph" w:styleId="1291">
    <w:name w:val="Normal_6_0"/>
    <w:next w:val="1291"/>
    <w:link w:val="926"/>
    <w:qFormat/>
    <w:rPr>
      <w:rFonts w:eastAsia="Times New Roman"/>
      <w:sz w:val="24"/>
      <w:szCs w:val="24"/>
      <w:lang w:bidi="ar-SA"/>
    </w:rPr>
  </w:style>
  <w:style w:type="paragraph" w:styleId="1292">
    <w:name w:val="Normal_0_2"/>
    <w:next w:val="1292"/>
    <w:link w:val="926"/>
    <w:qFormat/>
    <w:rPr>
      <w:rFonts w:eastAsia="Times New Roman"/>
      <w:sz w:val="24"/>
      <w:szCs w:val="24"/>
      <w:lang w:bidi="ar-SA"/>
    </w:rPr>
  </w:style>
  <w:style w:type="paragraph" w:styleId="1293">
    <w:name w:val="Normal_0_3"/>
    <w:next w:val="1293"/>
    <w:link w:val="926"/>
    <w:qFormat/>
    <w:rPr>
      <w:rFonts w:eastAsia="Times New Roman"/>
      <w:sz w:val="24"/>
      <w:szCs w:val="24"/>
      <w:lang w:bidi="ar-SA"/>
    </w:rPr>
  </w:style>
  <w:style w:type="paragraph" w:styleId="1294">
    <w:name w:val="Normal_17"/>
    <w:next w:val="1294"/>
    <w:link w:val="926"/>
    <w:qFormat/>
    <w:rPr>
      <w:rFonts w:eastAsia="Times New Roman"/>
      <w:sz w:val="24"/>
      <w:szCs w:val="24"/>
      <w:lang w:bidi="ar-SA"/>
    </w:rPr>
  </w:style>
  <w:style w:type="paragraph" w:styleId="1295">
    <w:name w:val="Normal_18"/>
    <w:next w:val="1295"/>
    <w:link w:val="926"/>
    <w:qFormat/>
    <w:rPr>
      <w:rFonts w:eastAsia="Times New Roman"/>
      <w:sz w:val="24"/>
      <w:szCs w:val="24"/>
      <w:lang w:bidi="ar-SA"/>
    </w:rPr>
  </w:style>
  <w:style w:type="paragraph" w:styleId="1296">
    <w:name w:val="Normal_0_4"/>
    <w:next w:val="1296"/>
    <w:link w:val="926"/>
    <w:qFormat/>
    <w:rPr>
      <w:rFonts w:eastAsia="Times New Roman"/>
      <w:sz w:val="24"/>
      <w:szCs w:val="24"/>
      <w:lang w:bidi="ar-SA"/>
    </w:rPr>
  </w:style>
  <w:style w:type="paragraph" w:styleId="1297">
    <w:name w:val="Normal_1_2"/>
    <w:next w:val="1297"/>
    <w:link w:val="926"/>
    <w:qFormat/>
    <w:rPr>
      <w:rFonts w:eastAsia="Times New Roman"/>
      <w:sz w:val="24"/>
      <w:szCs w:val="24"/>
      <w:lang w:bidi="ar-SA"/>
    </w:rPr>
  </w:style>
  <w:style w:type="paragraph" w:styleId="1298">
    <w:name w:val="Normal_2_1"/>
    <w:next w:val="1298"/>
    <w:link w:val="926"/>
    <w:qFormat/>
    <w:rPr>
      <w:rFonts w:eastAsia="Times New Roman"/>
      <w:sz w:val="24"/>
      <w:szCs w:val="24"/>
      <w:lang w:bidi="ar-SA"/>
    </w:rPr>
  </w:style>
  <w:style w:type="paragraph" w:styleId="1299">
    <w:name w:val="Normal_3_0"/>
    <w:next w:val="1299"/>
    <w:link w:val="926"/>
    <w:qFormat/>
    <w:rPr>
      <w:rFonts w:eastAsia="Times New Roman"/>
      <w:sz w:val="24"/>
      <w:szCs w:val="24"/>
      <w:lang w:bidi="ar-SA"/>
    </w:rPr>
  </w:style>
  <w:style w:type="paragraph" w:styleId="1300">
    <w:name w:val="Normal_4_1"/>
    <w:next w:val="1300"/>
    <w:link w:val="926"/>
    <w:qFormat/>
    <w:rPr>
      <w:rFonts w:eastAsia="Times New Roman"/>
      <w:sz w:val="24"/>
      <w:szCs w:val="24"/>
      <w:lang w:bidi="ar-SA"/>
    </w:rPr>
  </w:style>
  <w:style w:type="paragraph" w:styleId="1301">
    <w:name w:val="Normal_5_1"/>
    <w:next w:val="1301"/>
    <w:link w:val="926"/>
    <w:qFormat/>
    <w:rPr>
      <w:rFonts w:eastAsia="Times New Roman"/>
      <w:sz w:val="24"/>
      <w:szCs w:val="24"/>
      <w:lang w:bidi="ar-SA"/>
    </w:rPr>
  </w:style>
  <w:style w:type="paragraph" w:styleId="1302">
    <w:name w:val="Normal_6_1"/>
    <w:next w:val="1302"/>
    <w:link w:val="926"/>
    <w:qFormat/>
    <w:rPr>
      <w:rFonts w:eastAsia="Times New Roman"/>
      <w:sz w:val="24"/>
      <w:szCs w:val="24"/>
      <w:lang w:bidi="ar-SA"/>
    </w:rPr>
  </w:style>
  <w:style w:type="paragraph" w:styleId="1303">
    <w:name w:val="Normal_7_0"/>
    <w:next w:val="1303"/>
    <w:link w:val="926"/>
    <w:qFormat/>
    <w:rPr>
      <w:rFonts w:eastAsia="Times New Roman"/>
      <w:sz w:val="24"/>
      <w:szCs w:val="24"/>
      <w:lang w:bidi="ar-SA"/>
    </w:rPr>
  </w:style>
  <w:style w:type="paragraph" w:styleId="1304">
    <w:name w:val="Normal_8_0"/>
    <w:next w:val="1304"/>
    <w:link w:val="926"/>
    <w:qFormat/>
    <w:rPr>
      <w:rFonts w:eastAsia="Times New Roman"/>
      <w:sz w:val="24"/>
      <w:szCs w:val="24"/>
      <w:lang w:bidi="ar-SA"/>
    </w:rPr>
  </w:style>
  <w:style w:type="paragraph" w:styleId="1305">
    <w:name w:val="Normal_9_0"/>
    <w:next w:val="1305"/>
    <w:link w:val="926"/>
    <w:qFormat/>
    <w:rPr>
      <w:rFonts w:eastAsia="Times New Roman"/>
      <w:sz w:val="24"/>
      <w:szCs w:val="24"/>
      <w:lang w:bidi="ar-SA"/>
    </w:rPr>
  </w:style>
  <w:style w:type="paragraph" w:styleId="1306">
    <w:name w:val="Normal_10_0"/>
    <w:next w:val="1306"/>
    <w:link w:val="926"/>
    <w:qFormat/>
    <w:rPr>
      <w:rFonts w:eastAsia="Times New Roman"/>
      <w:sz w:val="24"/>
      <w:szCs w:val="24"/>
      <w:lang w:bidi="ar-SA"/>
    </w:rPr>
  </w:style>
  <w:style w:type="paragraph" w:styleId="1307">
    <w:name w:val="Normal_11_0"/>
    <w:next w:val="1307"/>
    <w:link w:val="926"/>
    <w:qFormat/>
    <w:rPr>
      <w:rFonts w:eastAsia="Times New Roman"/>
      <w:sz w:val="24"/>
      <w:szCs w:val="24"/>
      <w:lang w:bidi="ar-SA"/>
    </w:rPr>
  </w:style>
  <w:style w:type="paragraph" w:styleId="1308">
    <w:name w:val="Normal_12_0"/>
    <w:next w:val="1308"/>
    <w:link w:val="926"/>
    <w:qFormat/>
    <w:rPr>
      <w:rFonts w:eastAsia="Times New Roman"/>
      <w:sz w:val="24"/>
      <w:szCs w:val="24"/>
      <w:lang w:bidi="ar-SA"/>
    </w:rPr>
  </w:style>
  <w:style w:type="paragraph" w:styleId="1309">
    <w:name w:val="正文_0"/>
    <w:next w:val="1309"/>
    <w:link w:val="926"/>
    <w:qFormat/>
    <w:pPr>
      <w:jc w:val="both"/>
      <w:widowControl w:val="off"/>
    </w:pPr>
    <w:rPr>
      <w:rFonts w:ascii="Calibri" w:hAnsi="Calibri"/>
      <w:sz w:val="21"/>
      <w:szCs w:val="22"/>
      <w:lang w:val="en-US" w:eastAsia="zh-CN" w:bidi="ar-SA"/>
    </w:rPr>
  </w:style>
  <w:style w:type="paragraph" w:styleId="1310">
    <w:name w:val="Normal_13_0"/>
    <w:next w:val="1310"/>
    <w:link w:val="926"/>
    <w:qFormat/>
    <w:rPr>
      <w:rFonts w:eastAsia="Times New Roman"/>
      <w:sz w:val="24"/>
      <w:szCs w:val="24"/>
      <w:lang w:bidi="ar-SA"/>
    </w:rPr>
  </w:style>
  <w:style w:type="paragraph" w:styleId="1311">
    <w:name w:val="Normal_14_0"/>
    <w:next w:val="1311"/>
    <w:link w:val="926"/>
    <w:qFormat/>
    <w:rPr>
      <w:rFonts w:eastAsia="Times New Roman"/>
      <w:sz w:val="24"/>
      <w:szCs w:val="24"/>
      <w:lang w:bidi="ar-SA"/>
    </w:rPr>
  </w:style>
  <w:style w:type="paragraph" w:styleId="1312">
    <w:name w:val="Normal_15_0"/>
    <w:next w:val="1312"/>
    <w:link w:val="926"/>
    <w:qFormat/>
    <w:rPr>
      <w:rFonts w:eastAsia="Times New Roman"/>
      <w:sz w:val="24"/>
      <w:szCs w:val="24"/>
      <w:lang w:bidi="ar-SA"/>
    </w:rPr>
  </w:style>
  <w:style w:type="paragraph" w:styleId="1313">
    <w:name w:val="Normal_16_0"/>
    <w:next w:val="1313"/>
    <w:link w:val="926"/>
    <w:qFormat/>
    <w:rPr>
      <w:rFonts w:eastAsia="Times New Roman"/>
      <w:sz w:val="24"/>
      <w:szCs w:val="24"/>
      <w:lang w:bidi="ar-SA"/>
    </w:rPr>
  </w:style>
  <w:style w:type="paragraph" w:styleId="1314">
    <w:name w:val="Normal_17_0"/>
    <w:next w:val="1314"/>
    <w:link w:val="926"/>
    <w:qFormat/>
    <w:rPr>
      <w:rFonts w:eastAsia="Times New Roman"/>
      <w:sz w:val="24"/>
      <w:szCs w:val="24"/>
      <w:lang w:bidi="ar-SA"/>
    </w:rPr>
  </w:style>
  <w:style w:type="paragraph" w:styleId="1315">
    <w:name w:val="Normal_18_0"/>
    <w:next w:val="1315"/>
    <w:link w:val="926"/>
    <w:qFormat/>
    <w:rPr>
      <w:rFonts w:eastAsia="Times New Roman"/>
      <w:sz w:val="24"/>
      <w:szCs w:val="24"/>
      <w:lang w:bidi="ar-SA"/>
    </w:rPr>
  </w:style>
  <w:style w:type="paragraph" w:styleId="1316">
    <w:name w:val="Normal_19"/>
    <w:next w:val="1316"/>
    <w:link w:val="926"/>
    <w:qFormat/>
    <w:rPr>
      <w:rFonts w:eastAsia="Times New Roman"/>
      <w:sz w:val="24"/>
      <w:szCs w:val="24"/>
      <w:lang w:bidi="ar-SA"/>
    </w:rPr>
  </w:style>
  <w:style w:type="paragraph" w:styleId="1317">
    <w:name w:val="Normal_20"/>
    <w:next w:val="1317"/>
    <w:link w:val="926"/>
    <w:qFormat/>
    <w:rPr>
      <w:rFonts w:eastAsia="Times New Roman"/>
      <w:sz w:val="24"/>
      <w:szCs w:val="24"/>
      <w:lang w:bidi="ar-SA"/>
    </w:rPr>
  </w:style>
  <w:style w:type="paragraph" w:styleId="1318">
    <w:name w:val="Normal_22"/>
    <w:next w:val="1318"/>
    <w:link w:val="926"/>
    <w:qFormat/>
    <w:rPr>
      <w:rFonts w:eastAsia="Times New Roman"/>
      <w:sz w:val="24"/>
      <w:szCs w:val="24"/>
      <w:lang w:bidi="ar-SA"/>
    </w:rPr>
  </w:style>
  <w:style w:type="paragraph" w:styleId="1319">
    <w:name w:val="Normal_23"/>
    <w:next w:val="1319"/>
    <w:link w:val="926"/>
    <w:qFormat/>
    <w:rPr>
      <w:rFonts w:eastAsia="Times New Roman"/>
      <w:sz w:val="24"/>
      <w:szCs w:val="24"/>
      <w:lang w:bidi="ar-SA"/>
    </w:rPr>
  </w:style>
  <w:style w:type="paragraph" w:styleId="1320">
    <w:name w:val="Normal_24"/>
    <w:next w:val="1320"/>
    <w:link w:val="926"/>
    <w:qFormat/>
    <w:rPr>
      <w:rFonts w:eastAsia="Times New Roman"/>
      <w:sz w:val="24"/>
      <w:szCs w:val="24"/>
      <w:lang w:bidi="ar-SA"/>
    </w:rPr>
  </w:style>
  <w:style w:type="paragraph" w:styleId="1321">
    <w:name w:val="Normal_25"/>
    <w:next w:val="1321"/>
    <w:link w:val="926"/>
    <w:qFormat/>
    <w:rPr>
      <w:rFonts w:eastAsia="Times New Roman"/>
      <w:sz w:val="24"/>
      <w:szCs w:val="24"/>
      <w:lang w:bidi="ar-SA"/>
    </w:rPr>
  </w:style>
  <w:style w:type="paragraph" w:styleId="1322">
    <w:name w:val="Normal_26"/>
    <w:next w:val="1322"/>
    <w:link w:val="926"/>
    <w:qFormat/>
    <w:rPr>
      <w:rFonts w:eastAsia="Times New Roman"/>
      <w:sz w:val="24"/>
      <w:szCs w:val="24"/>
      <w:lang w:bidi="ar-SA"/>
    </w:rPr>
  </w:style>
  <w:style w:type="paragraph" w:styleId="1323">
    <w:name w:val="正文_0_0"/>
    <w:next w:val="1324"/>
    <w:link w:val="926"/>
    <w:qFormat/>
    <w:pPr>
      <w:jc w:val="both"/>
      <w:widowControl w:val="off"/>
    </w:pPr>
    <w:rPr>
      <w:rFonts w:ascii="Calibri" w:hAnsi="Calibri"/>
      <w:sz w:val="21"/>
      <w:szCs w:val="22"/>
      <w:lang w:val="en-US" w:eastAsia="zh-CN" w:bidi="ar-SA"/>
    </w:rPr>
  </w:style>
  <w:style w:type="paragraph" w:styleId="1324">
    <w:name w:val="正文文本_0"/>
    <w:basedOn w:val="1325"/>
    <w:next w:val="1324"/>
    <w:link w:val="926"/>
    <w:pPr>
      <w:spacing w:line="400" w:lineRule="exact"/>
    </w:pPr>
    <w:rPr>
      <w:sz w:val="24"/>
    </w:rPr>
  </w:style>
  <w:style w:type="paragraph" w:styleId="1325">
    <w:name w:val="正文_1"/>
    <w:next w:val="1324"/>
    <w:link w:val="926"/>
    <w:qFormat/>
    <w:pPr>
      <w:jc w:val="both"/>
      <w:widowControl w:val="off"/>
    </w:pPr>
    <w:rPr>
      <w:sz w:val="21"/>
      <w:lang w:val="en-US" w:eastAsia="zh-CN" w:bidi="ar-SA"/>
    </w:rPr>
  </w:style>
  <w:style w:type="paragraph" w:styleId="1326">
    <w:name w:val="Normal_27"/>
    <w:next w:val="1326"/>
    <w:link w:val="926"/>
    <w:qFormat/>
    <w:rPr>
      <w:rFonts w:eastAsia="Times New Roman"/>
      <w:sz w:val="24"/>
      <w:szCs w:val="24"/>
      <w:lang w:bidi="ar-SA"/>
    </w:rPr>
  </w:style>
  <w:style w:type="paragraph" w:styleId="1327">
    <w:name w:val="Normal_28"/>
    <w:next w:val="1327"/>
    <w:link w:val="926"/>
    <w:qFormat/>
    <w:rPr>
      <w:rFonts w:eastAsia="Times New Roman"/>
      <w:sz w:val="24"/>
      <w:szCs w:val="24"/>
      <w:lang w:bidi="ar-SA"/>
    </w:rPr>
  </w:style>
  <w:style w:type="paragraph" w:styleId="1328">
    <w:name w:val="Normal_29"/>
    <w:next w:val="1328"/>
    <w:link w:val="926"/>
    <w:qFormat/>
    <w:rPr>
      <w:rFonts w:eastAsia="Times New Roman"/>
      <w:sz w:val="24"/>
      <w:szCs w:val="24"/>
      <w:lang w:bidi="ar-SA"/>
    </w:rPr>
  </w:style>
  <w:style w:type="paragraph" w:styleId="1329">
    <w:name w:val="Normal_30"/>
    <w:next w:val="1329"/>
    <w:link w:val="926"/>
    <w:qFormat/>
    <w:rPr>
      <w:rFonts w:eastAsia="Times New Roman"/>
      <w:sz w:val="24"/>
      <w:szCs w:val="24"/>
      <w:lang w:bidi="ar-SA"/>
    </w:rPr>
  </w:style>
  <w:style w:type="paragraph" w:styleId="1330">
    <w:name w:val="Normal_31"/>
    <w:next w:val="1330"/>
    <w:link w:val="926"/>
    <w:qFormat/>
    <w:rPr>
      <w:rFonts w:eastAsia="Times New Roman"/>
      <w:sz w:val="24"/>
      <w:szCs w:val="24"/>
      <w:lang w:bidi="ar-SA"/>
    </w:rPr>
  </w:style>
  <w:style w:type="paragraph" w:styleId="1331">
    <w:name w:val="正文_2"/>
    <w:next w:val="1332"/>
    <w:link w:val="926"/>
    <w:qFormat/>
    <w:pPr>
      <w:jc w:val="both"/>
      <w:widowControl w:val="off"/>
    </w:pPr>
    <w:rPr>
      <w:sz w:val="21"/>
      <w:lang w:val="en-US" w:eastAsia="zh-CN" w:bidi="ar-SA"/>
    </w:rPr>
  </w:style>
  <w:style w:type="paragraph" w:styleId="1332">
    <w:name w:val="正文文本_0_0"/>
    <w:basedOn w:val="1331"/>
    <w:next w:val="1332"/>
    <w:link w:val="926"/>
    <w:pPr>
      <w:spacing w:line="400" w:lineRule="exact"/>
    </w:pPr>
    <w:rPr>
      <w:sz w:val="24"/>
    </w:rPr>
  </w:style>
  <w:style w:type="paragraph" w:styleId="1333">
    <w:name w:val="Normal_32"/>
    <w:next w:val="1333"/>
    <w:link w:val="926"/>
    <w:qFormat/>
    <w:rPr>
      <w:rFonts w:eastAsia="Times New Roman"/>
      <w:sz w:val="24"/>
      <w:szCs w:val="24"/>
      <w:lang w:bidi="ar-SA"/>
    </w:rPr>
  </w:style>
  <w:style w:type="paragraph" w:styleId="1334">
    <w:name w:val="Normal_33"/>
    <w:next w:val="1334"/>
    <w:link w:val="926"/>
    <w:qFormat/>
    <w:rPr>
      <w:rFonts w:eastAsia="Times New Roman"/>
      <w:sz w:val="24"/>
      <w:szCs w:val="24"/>
      <w:lang w:bidi="ar-SA"/>
    </w:rPr>
  </w:style>
  <w:style w:type="paragraph" w:styleId="1335">
    <w:name w:val="Normal_34"/>
    <w:next w:val="1335"/>
    <w:link w:val="926"/>
    <w:qFormat/>
    <w:rPr>
      <w:rFonts w:eastAsia="Times New Roman"/>
      <w:sz w:val="24"/>
      <w:szCs w:val="24"/>
      <w:lang w:bidi="ar-SA"/>
    </w:rPr>
  </w:style>
  <w:style w:type="paragraph" w:styleId="1336">
    <w:name w:val="Normal_35"/>
    <w:next w:val="1336"/>
    <w:link w:val="926"/>
    <w:qFormat/>
    <w:rPr>
      <w:rFonts w:eastAsia="Times New Roman"/>
      <w:sz w:val="24"/>
      <w:szCs w:val="24"/>
      <w:lang w:bidi="ar-SA"/>
    </w:rPr>
  </w:style>
  <w:style w:type="paragraph" w:styleId="1337">
    <w:name w:val="Normal_36"/>
    <w:next w:val="1337"/>
    <w:link w:val="926"/>
    <w:qFormat/>
    <w:rPr>
      <w:rFonts w:eastAsia="Times New Roman"/>
      <w:sz w:val="24"/>
      <w:szCs w:val="24"/>
      <w:lang w:bidi="ar-SA"/>
    </w:rPr>
  </w:style>
  <w:style w:type="paragraph" w:styleId="1338">
    <w:name w:val="Normal_37"/>
    <w:next w:val="1338"/>
    <w:link w:val="926"/>
    <w:qFormat/>
    <w:rPr>
      <w:rFonts w:eastAsia="Times New Roman"/>
      <w:sz w:val="24"/>
      <w:szCs w:val="24"/>
      <w:lang w:bidi="ar-SA"/>
    </w:rPr>
  </w:style>
  <w:style w:type="paragraph" w:styleId="1339">
    <w:name w:val="Normal_38"/>
    <w:next w:val="1339"/>
    <w:link w:val="926"/>
    <w:qFormat/>
    <w:rPr>
      <w:rFonts w:eastAsia="Times New Roman"/>
      <w:sz w:val="24"/>
      <w:szCs w:val="24"/>
      <w:lang w:bidi="ar-SA"/>
    </w:rPr>
  </w:style>
  <w:style w:type="paragraph" w:styleId="1340">
    <w:name w:val="Normal_39"/>
    <w:next w:val="1340"/>
    <w:link w:val="926"/>
    <w:qFormat/>
    <w:rPr>
      <w:rFonts w:eastAsia="Times New Roman"/>
      <w:sz w:val="24"/>
      <w:szCs w:val="24"/>
      <w:lang w:bidi="ar-SA"/>
    </w:rPr>
  </w:style>
  <w:style w:type="paragraph" w:styleId="1341">
    <w:name w:val="Normal_40"/>
    <w:next w:val="1341"/>
    <w:link w:val="926"/>
    <w:qFormat/>
    <w:rPr>
      <w:rFonts w:eastAsia="Times New Roman"/>
      <w:sz w:val="24"/>
      <w:szCs w:val="24"/>
      <w:lang w:bidi="ar-SA"/>
    </w:rPr>
  </w:style>
  <w:style w:type="paragraph" w:styleId="1342">
    <w:name w:val="Normal_21"/>
    <w:next w:val="1342"/>
    <w:link w:val="926"/>
    <w:qFormat/>
    <w:rPr>
      <w:rFonts w:eastAsia="Times New Roman"/>
      <w:sz w:val="24"/>
      <w:szCs w:val="24"/>
      <w:lang w:bidi="ar-SA"/>
    </w:rPr>
  </w:style>
  <w:style w:type="paragraph" w:styleId="1343">
    <w:name w:val="Normal_43"/>
    <w:next w:val="1343"/>
    <w:link w:val="926"/>
    <w:qFormat/>
    <w:rPr>
      <w:rFonts w:eastAsia="Times New Roman"/>
      <w:sz w:val="24"/>
      <w:szCs w:val="24"/>
      <w:lang w:val="en-US" w:eastAsia="zh-CN" w:bidi="ar-SA"/>
    </w:rPr>
  </w:style>
  <w:style w:type="paragraph" w:styleId="1344">
    <w:name w:val="Normal_41"/>
    <w:next w:val="1344"/>
    <w:link w:val="926"/>
    <w:qFormat/>
    <w:rPr>
      <w:rFonts w:eastAsia="Times New Roman"/>
      <w:sz w:val="24"/>
      <w:szCs w:val="24"/>
      <w:lang w:val="en-US" w:eastAsia="zh-CN" w:bidi="ar-SA"/>
    </w:rPr>
  </w:style>
  <w:style w:type="paragraph" w:styleId="1345">
    <w:name w:val="Normal_42"/>
    <w:next w:val="1345"/>
    <w:link w:val="926"/>
    <w:qFormat/>
    <w:rPr>
      <w:rFonts w:eastAsia="Times New Roman"/>
      <w:sz w:val="24"/>
      <w:szCs w:val="24"/>
      <w:lang w:val="en-US" w:eastAsia="zh-CN" w:bidi="ar-SA"/>
    </w:rPr>
  </w:style>
  <w:style w:type="paragraph" w:styleId="1346">
    <w:name w:val="Normal_44"/>
    <w:next w:val="1346"/>
    <w:link w:val="926"/>
    <w:qFormat/>
    <w:rPr>
      <w:rFonts w:eastAsia="Times New Roman"/>
      <w:sz w:val="24"/>
      <w:szCs w:val="24"/>
      <w:lang w:val="en-US" w:eastAsia="zh-CN" w:bidi="ar-SA"/>
    </w:rPr>
  </w:style>
  <w:style w:type="paragraph" w:styleId="1347">
    <w:name w:val="Normal_45"/>
    <w:next w:val="1347"/>
    <w:link w:val="926"/>
    <w:qFormat/>
    <w:rPr>
      <w:rFonts w:eastAsia="Times New Roman"/>
      <w:sz w:val="24"/>
      <w:szCs w:val="24"/>
      <w:lang w:val="en-US" w:eastAsia="zh-CN" w:bidi="ar-SA"/>
    </w:rPr>
  </w:style>
  <w:style w:type="paragraph" w:styleId="1348">
    <w:name w:val="正文文本_1"/>
    <w:next w:val="1348"/>
    <w:link w:val="926"/>
    <w:qFormat/>
    <w:pPr>
      <w:jc w:val="both"/>
      <w:spacing w:line="400" w:lineRule="exact"/>
      <w:widowControl w:val="off"/>
    </w:pPr>
    <w:rPr>
      <w:sz w:val="24"/>
      <w:lang w:val="en-US" w:eastAsia="zh-CN" w:bidi="ar-SA"/>
    </w:rPr>
  </w:style>
  <w:style w:type="paragraph" w:styleId="1349">
    <w:name w:val="Normal_46"/>
    <w:next w:val="1349"/>
    <w:link w:val="926"/>
    <w:qFormat/>
    <w:rPr>
      <w:rFonts w:eastAsia="Times New Roman"/>
      <w:sz w:val="24"/>
      <w:szCs w:val="24"/>
      <w:lang w:val="en-US" w:eastAsia="zh-CN" w:bidi="ar-SA"/>
    </w:rPr>
  </w:style>
  <w:style w:type="paragraph" w:styleId="1350">
    <w:name w:val="Normal_0_1_0"/>
    <w:next w:val="1350"/>
    <w:link w:val="926"/>
    <w:qFormat/>
    <w:rPr>
      <w:rFonts w:eastAsia="Times New Roman"/>
      <w:sz w:val="24"/>
      <w:szCs w:val="24"/>
      <w:lang w:val="en-US" w:eastAsia="zh-CN" w:bidi="ar-SA"/>
    </w:rPr>
  </w:style>
  <w:style w:type="paragraph" w:styleId="1351">
    <w:name w:val="Normal_0_0_1"/>
    <w:next w:val="1351"/>
    <w:link w:val="926"/>
    <w:qFormat/>
    <w:rPr>
      <w:rFonts w:eastAsia="Times New Roman"/>
      <w:sz w:val="24"/>
      <w:szCs w:val="24"/>
      <w:lang w:val="en-US" w:eastAsia="zh-CN" w:bidi="ar-SA"/>
    </w:rPr>
  </w:style>
  <w:style w:type="paragraph" w:styleId="1352">
    <w:name w:val="Normal_1_0_0"/>
    <w:next w:val="1352"/>
    <w:link w:val="926"/>
    <w:qFormat/>
    <w:rPr>
      <w:rFonts w:eastAsia="Times New Roman"/>
      <w:sz w:val="24"/>
      <w:szCs w:val="24"/>
      <w:lang w:val="en-US" w:eastAsia="zh-CN" w:bidi="ar-SA"/>
    </w:rPr>
  </w:style>
  <w:style w:type="paragraph" w:styleId="1353">
    <w:name w:val="Normal_0_0_2"/>
    <w:next w:val="1353"/>
    <w:link w:val="926"/>
    <w:qFormat/>
    <w:rPr>
      <w:rFonts w:eastAsia="Times New Roman"/>
      <w:sz w:val="24"/>
      <w:szCs w:val="24"/>
      <w:lang w:val="en-US" w:eastAsia="zh-CN" w:bidi="ar-SA"/>
    </w:rPr>
  </w:style>
  <w:style w:type="paragraph" w:styleId="1354">
    <w:name w:val="p0_0"/>
    <w:basedOn w:val="1265"/>
    <w:next w:val="1354"/>
    <w:link w:val="926"/>
    <w:qFormat/>
    <w:pPr>
      <w:ind w:firstLine="200"/>
      <w:spacing w:line="440" w:lineRule="exact"/>
      <w:widowControl/>
    </w:pPr>
    <w:rPr>
      <w:szCs w:val="21"/>
    </w:rPr>
  </w:style>
  <w:style w:type="character" w:styleId="1355">
    <w:name w:val="15"/>
    <w:next w:val="1355"/>
    <w:link w:val="926"/>
    <w:rPr>
      <w:rFonts w:hint="eastAsia" w:ascii="等线" w:hAnsi="等线" w:eastAsia="等线"/>
      <w:sz w:val="24"/>
      <w:szCs w:val="24"/>
    </w:rPr>
  </w:style>
  <w:style w:type="character" w:styleId="1356">
    <w:name w:val="16"/>
    <w:next w:val="1356"/>
    <w:link w:val="926"/>
    <w:rPr>
      <w:rFonts w:hint="eastAsia" w:ascii="等线" w:hAnsi="等线" w:eastAsia="等线"/>
      <w:sz w:val="21"/>
      <w:szCs w:val="21"/>
    </w:rPr>
  </w:style>
  <w:style w:type="paragraph" w:styleId="1357">
    <w:name w:val="修订"/>
    <w:next w:val="1357"/>
    <w:link w:val="926"/>
    <w:uiPriority w:val="99"/>
    <w:unhideWhenUsed/>
    <w:rPr>
      <w:rFonts w:ascii="Calibri" w:hAnsi="Calibri"/>
      <w:sz w:val="21"/>
      <w:szCs w:val="22"/>
      <w:lang w:val="en-US" w:eastAsia="zh-CN" w:bidi="ar-SA"/>
    </w:rPr>
  </w:style>
  <w:style w:type="character" w:styleId="1358" w:default="1">
    <w:name w:val="Default Paragraph Font"/>
    <w:uiPriority w:val="1"/>
    <w:semiHidden/>
    <w:unhideWhenUsed/>
  </w:style>
  <w:style w:type="numbering" w:styleId="1359" w:default="1">
    <w:name w:val="No List"/>
    <w:uiPriority w:val="99"/>
    <w:semiHidden/>
    <w:unhideWhenUsed/>
  </w:style>
  <w:style w:type="table" w:styleId="13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09" w:default="1">
    <w:name w:val="Normal"/>
    <w:qFormat/>
  </w:style>
  <w:style w:type="character" w:styleId="1810" w:default="1">
    <w:name w:val="Default Paragraph Font"/>
    <w:uiPriority w:val="1"/>
    <w:semiHidden/>
    <w:unhideWhenUsed/>
  </w:style>
  <w:style w:type="numbering" w:styleId="1811" w:default="1">
    <w:name w:val="No List"/>
    <w:uiPriority w:val="99"/>
    <w:semiHidden/>
    <w:unhideWhenUsed/>
  </w:style>
  <w:style w:type="paragraph" w:styleId="1812">
    <w:name w:val="Heading 1"/>
    <w:basedOn w:val="1809"/>
    <w:next w:val="1809"/>
    <w:link w:val="1813"/>
    <w:uiPriority w:val="9"/>
    <w:qFormat/>
    <w:pPr>
      <w:keepLines/>
      <w:keepNext/>
      <w:spacing w:before="480" w:after="200"/>
      <w:outlineLvl w:val="0"/>
    </w:pPr>
    <w:rPr>
      <w:rFonts w:ascii="Arial" w:hAnsi="Arial" w:eastAsia="Arial" w:cs="Arial"/>
      <w:sz w:val="40"/>
      <w:szCs w:val="40"/>
    </w:rPr>
  </w:style>
  <w:style w:type="character" w:styleId="1813">
    <w:name w:val="Heading 1 Char"/>
    <w:basedOn w:val="1810"/>
    <w:link w:val="1812"/>
    <w:uiPriority w:val="9"/>
    <w:rPr>
      <w:rFonts w:ascii="Arial" w:hAnsi="Arial" w:eastAsia="Arial" w:cs="Arial"/>
      <w:sz w:val="40"/>
      <w:szCs w:val="40"/>
    </w:rPr>
  </w:style>
  <w:style w:type="paragraph" w:styleId="1814">
    <w:name w:val="Heading 2"/>
    <w:basedOn w:val="1809"/>
    <w:next w:val="1809"/>
    <w:link w:val="1815"/>
    <w:uiPriority w:val="9"/>
    <w:unhideWhenUsed/>
    <w:qFormat/>
    <w:pPr>
      <w:keepLines/>
      <w:keepNext/>
      <w:spacing w:before="360" w:after="200"/>
      <w:outlineLvl w:val="1"/>
    </w:pPr>
    <w:rPr>
      <w:rFonts w:ascii="Arial" w:hAnsi="Arial" w:eastAsia="Arial" w:cs="Arial"/>
      <w:sz w:val="34"/>
    </w:rPr>
  </w:style>
  <w:style w:type="character" w:styleId="1815">
    <w:name w:val="Heading 2 Char"/>
    <w:basedOn w:val="1810"/>
    <w:link w:val="1814"/>
    <w:uiPriority w:val="9"/>
    <w:rPr>
      <w:rFonts w:ascii="Arial" w:hAnsi="Arial" w:eastAsia="Arial" w:cs="Arial"/>
      <w:sz w:val="34"/>
    </w:rPr>
  </w:style>
  <w:style w:type="paragraph" w:styleId="1816">
    <w:name w:val="Heading 3"/>
    <w:basedOn w:val="1809"/>
    <w:next w:val="1809"/>
    <w:link w:val="1817"/>
    <w:uiPriority w:val="9"/>
    <w:unhideWhenUsed/>
    <w:qFormat/>
    <w:pPr>
      <w:keepLines/>
      <w:keepNext/>
      <w:spacing w:before="320" w:after="200"/>
      <w:outlineLvl w:val="2"/>
    </w:pPr>
    <w:rPr>
      <w:rFonts w:ascii="Arial" w:hAnsi="Arial" w:eastAsia="Arial" w:cs="Arial"/>
      <w:sz w:val="30"/>
      <w:szCs w:val="30"/>
    </w:rPr>
  </w:style>
  <w:style w:type="character" w:styleId="1817">
    <w:name w:val="Heading 3 Char"/>
    <w:basedOn w:val="1810"/>
    <w:link w:val="1816"/>
    <w:uiPriority w:val="9"/>
    <w:rPr>
      <w:rFonts w:ascii="Arial" w:hAnsi="Arial" w:eastAsia="Arial" w:cs="Arial"/>
      <w:sz w:val="30"/>
      <w:szCs w:val="30"/>
    </w:rPr>
  </w:style>
  <w:style w:type="paragraph" w:styleId="1818">
    <w:name w:val="Heading 4"/>
    <w:basedOn w:val="1809"/>
    <w:next w:val="1809"/>
    <w:link w:val="1819"/>
    <w:uiPriority w:val="9"/>
    <w:unhideWhenUsed/>
    <w:qFormat/>
    <w:pPr>
      <w:keepLines/>
      <w:keepNext/>
      <w:spacing w:before="320" w:after="200"/>
      <w:outlineLvl w:val="3"/>
    </w:pPr>
    <w:rPr>
      <w:rFonts w:ascii="Arial" w:hAnsi="Arial" w:eastAsia="Arial" w:cs="Arial"/>
      <w:b/>
      <w:bCs/>
      <w:sz w:val="26"/>
      <w:szCs w:val="26"/>
    </w:rPr>
  </w:style>
  <w:style w:type="character" w:styleId="1819">
    <w:name w:val="Heading 4 Char"/>
    <w:basedOn w:val="1810"/>
    <w:link w:val="1818"/>
    <w:uiPriority w:val="9"/>
    <w:rPr>
      <w:rFonts w:ascii="Arial" w:hAnsi="Arial" w:eastAsia="Arial" w:cs="Arial"/>
      <w:b/>
      <w:bCs/>
      <w:sz w:val="26"/>
      <w:szCs w:val="26"/>
    </w:rPr>
  </w:style>
  <w:style w:type="paragraph" w:styleId="1820">
    <w:name w:val="Heading 5"/>
    <w:basedOn w:val="1809"/>
    <w:next w:val="1809"/>
    <w:link w:val="1821"/>
    <w:uiPriority w:val="9"/>
    <w:unhideWhenUsed/>
    <w:qFormat/>
    <w:pPr>
      <w:keepLines/>
      <w:keepNext/>
      <w:spacing w:before="320" w:after="200"/>
      <w:outlineLvl w:val="4"/>
    </w:pPr>
    <w:rPr>
      <w:rFonts w:ascii="Arial" w:hAnsi="Arial" w:eastAsia="Arial" w:cs="Arial"/>
      <w:b/>
      <w:bCs/>
      <w:sz w:val="24"/>
      <w:szCs w:val="24"/>
    </w:rPr>
  </w:style>
  <w:style w:type="character" w:styleId="1821">
    <w:name w:val="Heading 5 Char"/>
    <w:basedOn w:val="1810"/>
    <w:link w:val="1820"/>
    <w:uiPriority w:val="9"/>
    <w:rPr>
      <w:rFonts w:ascii="Arial" w:hAnsi="Arial" w:eastAsia="Arial" w:cs="Arial"/>
      <w:b/>
      <w:bCs/>
      <w:sz w:val="24"/>
      <w:szCs w:val="24"/>
    </w:rPr>
  </w:style>
  <w:style w:type="paragraph" w:styleId="1822">
    <w:name w:val="Heading 6"/>
    <w:basedOn w:val="1809"/>
    <w:next w:val="1809"/>
    <w:link w:val="1823"/>
    <w:uiPriority w:val="9"/>
    <w:unhideWhenUsed/>
    <w:qFormat/>
    <w:pPr>
      <w:keepLines/>
      <w:keepNext/>
      <w:spacing w:before="320" w:after="200"/>
      <w:outlineLvl w:val="5"/>
    </w:pPr>
    <w:rPr>
      <w:rFonts w:ascii="Arial" w:hAnsi="Arial" w:eastAsia="Arial" w:cs="Arial"/>
      <w:b/>
      <w:bCs/>
      <w:sz w:val="22"/>
      <w:szCs w:val="22"/>
    </w:rPr>
  </w:style>
  <w:style w:type="character" w:styleId="1823">
    <w:name w:val="Heading 6 Char"/>
    <w:basedOn w:val="1810"/>
    <w:link w:val="1822"/>
    <w:uiPriority w:val="9"/>
    <w:rPr>
      <w:rFonts w:ascii="Arial" w:hAnsi="Arial" w:eastAsia="Arial" w:cs="Arial"/>
      <w:b/>
      <w:bCs/>
      <w:sz w:val="22"/>
      <w:szCs w:val="22"/>
    </w:rPr>
  </w:style>
  <w:style w:type="paragraph" w:styleId="1824">
    <w:name w:val="Heading 7"/>
    <w:basedOn w:val="1809"/>
    <w:next w:val="1809"/>
    <w:link w:val="1825"/>
    <w:uiPriority w:val="9"/>
    <w:unhideWhenUsed/>
    <w:qFormat/>
    <w:pPr>
      <w:keepLines/>
      <w:keepNext/>
      <w:spacing w:before="320" w:after="200"/>
      <w:outlineLvl w:val="6"/>
    </w:pPr>
    <w:rPr>
      <w:rFonts w:ascii="Arial" w:hAnsi="Arial" w:eastAsia="Arial" w:cs="Arial"/>
      <w:b/>
      <w:bCs/>
      <w:i/>
      <w:iCs/>
      <w:sz w:val="22"/>
      <w:szCs w:val="22"/>
    </w:rPr>
  </w:style>
  <w:style w:type="character" w:styleId="1825">
    <w:name w:val="Heading 7 Char"/>
    <w:basedOn w:val="1810"/>
    <w:link w:val="1824"/>
    <w:uiPriority w:val="9"/>
    <w:rPr>
      <w:rFonts w:ascii="Arial" w:hAnsi="Arial" w:eastAsia="Arial" w:cs="Arial"/>
      <w:b/>
      <w:bCs/>
      <w:i/>
      <w:iCs/>
      <w:sz w:val="22"/>
      <w:szCs w:val="22"/>
    </w:rPr>
  </w:style>
  <w:style w:type="paragraph" w:styleId="1826">
    <w:name w:val="Heading 8"/>
    <w:basedOn w:val="1809"/>
    <w:next w:val="1809"/>
    <w:link w:val="1827"/>
    <w:uiPriority w:val="9"/>
    <w:unhideWhenUsed/>
    <w:qFormat/>
    <w:pPr>
      <w:keepLines/>
      <w:keepNext/>
      <w:spacing w:before="320" w:after="200"/>
      <w:outlineLvl w:val="7"/>
    </w:pPr>
    <w:rPr>
      <w:rFonts w:ascii="Arial" w:hAnsi="Arial" w:eastAsia="Arial" w:cs="Arial"/>
      <w:i/>
      <w:iCs/>
      <w:sz w:val="22"/>
      <w:szCs w:val="22"/>
    </w:rPr>
  </w:style>
  <w:style w:type="character" w:styleId="1827">
    <w:name w:val="Heading 8 Char"/>
    <w:basedOn w:val="1810"/>
    <w:link w:val="1826"/>
    <w:uiPriority w:val="9"/>
    <w:rPr>
      <w:rFonts w:ascii="Arial" w:hAnsi="Arial" w:eastAsia="Arial" w:cs="Arial"/>
      <w:i/>
      <w:iCs/>
      <w:sz w:val="22"/>
      <w:szCs w:val="22"/>
    </w:rPr>
  </w:style>
  <w:style w:type="paragraph" w:styleId="1828">
    <w:name w:val="Heading 9"/>
    <w:basedOn w:val="1809"/>
    <w:next w:val="1809"/>
    <w:link w:val="1829"/>
    <w:uiPriority w:val="9"/>
    <w:unhideWhenUsed/>
    <w:qFormat/>
    <w:pPr>
      <w:keepLines/>
      <w:keepNext/>
      <w:spacing w:before="320" w:after="200"/>
      <w:outlineLvl w:val="8"/>
    </w:pPr>
    <w:rPr>
      <w:rFonts w:ascii="Arial" w:hAnsi="Arial" w:eastAsia="Arial" w:cs="Arial"/>
      <w:i/>
      <w:iCs/>
      <w:sz w:val="21"/>
      <w:szCs w:val="21"/>
    </w:rPr>
  </w:style>
  <w:style w:type="character" w:styleId="1829">
    <w:name w:val="Heading 9 Char"/>
    <w:basedOn w:val="1810"/>
    <w:link w:val="1828"/>
    <w:uiPriority w:val="9"/>
    <w:rPr>
      <w:rFonts w:ascii="Arial" w:hAnsi="Arial" w:eastAsia="Arial" w:cs="Arial"/>
      <w:i/>
      <w:iCs/>
      <w:sz w:val="21"/>
      <w:szCs w:val="21"/>
    </w:rPr>
  </w:style>
  <w:style w:type="paragraph" w:styleId="1830">
    <w:name w:val="List Paragraph"/>
    <w:basedOn w:val="1809"/>
    <w:uiPriority w:val="34"/>
    <w:qFormat/>
    <w:pPr>
      <w:contextualSpacing/>
      <w:ind w:left="720"/>
    </w:pPr>
  </w:style>
  <w:style w:type="table" w:styleId="1831" w:default="1">
    <w:name w:val="Normal Table"/>
    <w:uiPriority w:val="99"/>
    <w:semiHidden/>
    <w:unhideWhenUsed/>
    <w:tblPr>
      <w:tblInd w:w="0" w:type="dxa"/>
      <w:tblCellMar>
        <w:left w:w="108" w:type="dxa"/>
        <w:top w:w="0" w:type="dxa"/>
        <w:right w:w="108" w:type="dxa"/>
        <w:bottom w:w="0" w:type="dxa"/>
      </w:tblCellMar>
    </w:tblPr>
  </w:style>
  <w:style w:type="paragraph" w:styleId="1832">
    <w:name w:val="No Spacing"/>
    <w:uiPriority w:val="1"/>
    <w:qFormat/>
    <w:pPr>
      <w:spacing w:before="0" w:after="0" w:line="240" w:lineRule="auto"/>
    </w:pPr>
  </w:style>
  <w:style w:type="paragraph" w:styleId="1833">
    <w:name w:val="Title"/>
    <w:basedOn w:val="1809"/>
    <w:next w:val="1809"/>
    <w:link w:val="1834"/>
    <w:uiPriority w:val="10"/>
    <w:qFormat/>
    <w:pPr>
      <w:contextualSpacing/>
      <w:spacing w:before="300" w:after="200"/>
    </w:pPr>
    <w:rPr>
      <w:sz w:val="48"/>
      <w:szCs w:val="48"/>
    </w:rPr>
  </w:style>
  <w:style w:type="character" w:styleId="1834">
    <w:name w:val="Title Char"/>
    <w:basedOn w:val="1810"/>
    <w:link w:val="1833"/>
    <w:uiPriority w:val="10"/>
    <w:rPr>
      <w:sz w:val="48"/>
      <w:szCs w:val="48"/>
    </w:rPr>
  </w:style>
  <w:style w:type="paragraph" w:styleId="1835">
    <w:name w:val="Subtitle"/>
    <w:basedOn w:val="1809"/>
    <w:next w:val="1809"/>
    <w:link w:val="1836"/>
    <w:uiPriority w:val="11"/>
    <w:qFormat/>
    <w:pPr>
      <w:spacing w:before="200" w:after="200"/>
    </w:pPr>
    <w:rPr>
      <w:sz w:val="24"/>
      <w:szCs w:val="24"/>
    </w:rPr>
  </w:style>
  <w:style w:type="character" w:styleId="1836">
    <w:name w:val="Subtitle Char"/>
    <w:basedOn w:val="1810"/>
    <w:link w:val="1835"/>
    <w:uiPriority w:val="11"/>
    <w:rPr>
      <w:sz w:val="24"/>
      <w:szCs w:val="24"/>
    </w:rPr>
  </w:style>
  <w:style w:type="paragraph" w:styleId="1837">
    <w:name w:val="Quote"/>
    <w:basedOn w:val="1809"/>
    <w:next w:val="1809"/>
    <w:link w:val="1838"/>
    <w:uiPriority w:val="29"/>
    <w:qFormat/>
    <w:pPr>
      <w:ind w:left="720" w:right="720"/>
    </w:pPr>
    <w:rPr>
      <w:i/>
    </w:rPr>
  </w:style>
  <w:style w:type="character" w:styleId="1838">
    <w:name w:val="Quote Char"/>
    <w:link w:val="1837"/>
    <w:uiPriority w:val="29"/>
    <w:rPr>
      <w:i/>
    </w:rPr>
  </w:style>
  <w:style w:type="paragraph" w:styleId="1839">
    <w:name w:val="Intense Quote"/>
    <w:basedOn w:val="1809"/>
    <w:next w:val="1809"/>
    <w:link w:val="1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840">
    <w:name w:val="Intense Quote Char"/>
    <w:link w:val="1839"/>
    <w:uiPriority w:val="30"/>
    <w:rPr>
      <w:i/>
    </w:rPr>
  </w:style>
  <w:style w:type="paragraph" w:styleId="1841">
    <w:name w:val="Header"/>
    <w:basedOn w:val="1809"/>
    <w:link w:val="1842"/>
    <w:uiPriority w:val="99"/>
    <w:unhideWhenUsed/>
    <w:pPr>
      <w:spacing w:after="0" w:line="240" w:lineRule="auto"/>
      <w:tabs>
        <w:tab w:val="center" w:pos="7143" w:leader="none"/>
        <w:tab w:val="right" w:pos="14287" w:leader="none"/>
      </w:tabs>
    </w:pPr>
  </w:style>
  <w:style w:type="character" w:styleId="1842">
    <w:name w:val="Header Char"/>
    <w:basedOn w:val="1810"/>
    <w:link w:val="1841"/>
    <w:uiPriority w:val="99"/>
  </w:style>
  <w:style w:type="paragraph" w:styleId="1843">
    <w:name w:val="Footer"/>
    <w:basedOn w:val="1809"/>
    <w:link w:val="1846"/>
    <w:uiPriority w:val="99"/>
    <w:unhideWhenUsed/>
    <w:pPr>
      <w:spacing w:after="0" w:line="240" w:lineRule="auto"/>
      <w:tabs>
        <w:tab w:val="center" w:pos="7143" w:leader="none"/>
        <w:tab w:val="right" w:pos="14287" w:leader="none"/>
      </w:tabs>
    </w:pPr>
  </w:style>
  <w:style w:type="character" w:styleId="1844">
    <w:name w:val="Footer Char"/>
    <w:basedOn w:val="1810"/>
    <w:link w:val="1843"/>
    <w:uiPriority w:val="99"/>
  </w:style>
  <w:style w:type="paragraph" w:styleId="1845">
    <w:name w:val="Caption"/>
    <w:basedOn w:val="1809"/>
    <w:next w:val="1809"/>
    <w:uiPriority w:val="35"/>
    <w:semiHidden/>
    <w:unhideWhenUsed/>
    <w:qFormat/>
    <w:pPr>
      <w:spacing w:line="276" w:lineRule="auto"/>
    </w:pPr>
    <w:rPr>
      <w:b/>
      <w:bCs/>
      <w:color w:val="4f81bd" w:themeColor="accent1"/>
      <w:sz w:val="18"/>
      <w:szCs w:val="18"/>
    </w:rPr>
  </w:style>
  <w:style w:type="character" w:styleId="1846">
    <w:name w:val="Caption Char"/>
    <w:basedOn w:val="1845"/>
    <w:link w:val="1843"/>
    <w:uiPriority w:val="99"/>
  </w:style>
  <w:style w:type="table" w:styleId="1847">
    <w:name w:val="Table Grid"/>
    <w:basedOn w:val="18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48">
    <w:name w:val="Table Grid Light"/>
    <w:basedOn w:val="1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849">
    <w:name w:val="Plain Table 1"/>
    <w:basedOn w:val="1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850">
    <w:name w:val="Plain Table 2"/>
    <w:basedOn w:val="1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851">
    <w:name w:val="Plain Table 3"/>
    <w:basedOn w:val="1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852">
    <w:name w:val="Plain Table 4"/>
    <w:basedOn w:val="1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853">
    <w:name w:val="Plain Table 5"/>
    <w:basedOn w:val="1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854">
    <w:name w:val="Grid Table 1 Light"/>
    <w:basedOn w:val="1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855">
    <w:name w:val="Grid Table 1 Light - Accent 1"/>
    <w:basedOn w:val="1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856">
    <w:name w:val="Grid Table 1 Light - Accent 2"/>
    <w:basedOn w:val="1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857">
    <w:name w:val="Grid Table 1 Light - Accent 3"/>
    <w:basedOn w:val="1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858">
    <w:name w:val="Grid Table 1 Light - Accent 4"/>
    <w:basedOn w:val="1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859">
    <w:name w:val="Grid Table 1 Light - Accent 5"/>
    <w:basedOn w:val="1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860">
    <w:name w:val="Grid Table 1 Light - Accent 6"/>
    <w:basedOn w:val="1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861">
    <w:name w:val="Grid Table 2"/>
    <w:basedOn w:val="1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862">
    <w:name w:val="Grid Table 2 - Accent 1"/>
    <w:basedOn w:val="1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863">
    <w:name w:val="Grid Table 2 - Accent 2"/>
    <w:basedOn w:val="1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864">
    <w:name w:val="Grid Table 2 - Accent 3"/>
    <w:basedOn w:val="1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865">
    <w:name w:val="Grid Table 2 - Accent 4"/>
    <w:basedOn w:val="1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866">
    <w:name w:val="Grid Table 2 - Accent 5"/>
    <w:basedOn w:val="1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867">
    <w:name w:val="Grid Table 2 - Accent 6"/>
    <w:basedOn w:val="1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868">
    <w:name w:val="Grid Table 3"/>
    <w:basedOn w:val="1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69">
    <w:name w:val="Grid Table 3 - Accent 1"/>
    <w:basedOn w:val="1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70">
    <w:name w:val="Grid Table 3 - Accent 2"/>
    <w:basedOn w:val="1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71">
    <w:name w:val="Grid Table 3 - Accent 3"/>
    <w:basedOn w:val="1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72">
    <w:name w:val="Grid Table 3 - Accent 4"/>
    <w:basedOn w:val="1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73">
    <w:name w:val="Grid Table 3 - Accent 5"/>
    <w:basedOn w:val="1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74">
    <w:name w:val="Grid Table 3 - Accent 6"/>
    <w:basedOn w:val="1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75">
    <w:name w:val="Grid Table 4"/>
    <w:basedOn w:val="1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876">
    <w:name w:val="Grid Table 4 - Accent 1"/>
    <w:basedOn w:val="1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877">
    <w:name w:val="Grid Table 4 - Accent 2"/>
    <w:basedOn w:val="1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878">
    <w:name w:val="Grid Table 4 - Accent 3"/>
    <w:basedOn w:val="1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879">
    <w:name w:val="Grid Table 4 - Accent 4"/>
    <w:basedOn w:val="1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880">
    <w:name w:val="Grid Table 4 - Accent 5"/>
    <w:basedOn w:val="1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881">
    <w:name w:val="Grid Table 4 - Accent 6"/>
    <w:basedOn w:val="1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882">
    <w:name w:val="Grid Table 5 Dark"/>
    <w:basedOn w:val="1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883">
    <w:name w:val="Grid Table 5 Dark- Accent 1"/>
    <w:basedOn w:val="1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884">
    <w:name w:val="Grid Table 5 Dark - Accent 2"/>
    <w:basedOn w:val="1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885">
    <w:name w:val="Grid Table 5 Dark - Accent 3"/>
    <w:basedOn w:val="1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886">
    <w:name w:val="Grid Table 5 Dark- Accent 4"/>
    <w:basedOn w:val="1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887">
    <w:name w:val="Grid Table 5 Dark - Accent 5"/>
    <w:basedOn w:val="1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888">
    <w:name w:val="Grid Table 5 Dark - Accent 6"/>
    <w:basedOn w:val="1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889">
    <w:name w:val="Grid Table 6 Colorful"/>
    <w:basedOn w:val="1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890">
    <w:name w:val="Grid Table 6 Colorful - Accent 1"/>
    <w:basedOn w:val="1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891">
    <w:name w:val="Grid Table 6 Colorful - Accent 2"/>
    <w:basedOn w:val="1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892">
    <w:name w:val="Grid Table 6 Colorful - Accent 3"/>
    <w:basedOn w:val="1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893">
    <w:name w:val="Grid Table 6 Colorful - Accent 4"/>
    <w:basedOn w:val="1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894">
    <w:name w:val="Grid Table 6 Colorful - Accent 5"/>
    <w:basedOn w:val="1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895">
    <w:name w:val="Grid Table 6 Colorful - Accent 6"/>
    <w:basedOn w:val="1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896">
    <w:name w:val="Grid Table 7 Colorful"/>
    <w:basedOn w:val="1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897">
    <w:name w:val="Grid Table 7 Colorful - Accent 1"/>
    <w:basedOn w:val="1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898">
    <w:name w:val="Grid Table 7 Colorful - Accent 2"/>
    <w:basedOn w:val="1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899">
    <w:name w:val="Grid Table 7 Colorful - Accent 3"/>
    <w:basedOn w:val="1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900">
    <w:name w:val="Grid Table 7 Colorful - Accent 4"/>
    <w:basedOn w:val="1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901">
    <w:name w:val="Grid Table 7 Colorful - Accent 5"/>
    <w:basedOn w:val="1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902">
    <w:name w:val="Grid Table 7 Colorful - Accent 6"/>
    <w:basedOn w:val="1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903">
    <w:name w:val="List Table 1 Light"/>
    <w:basedOn w:val="1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04">
    <w:name w:val="List Table 1 Light - Accent 1"/>
    <w:basedOn w:val="18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905">
    <w:name w:val="List Table 1 Light - Accent 2"/>
    <w:basedOn w:val="18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906">
    <w:name w:val="List Table 1 Light - Accent 3"/>
    <w:basedOn w:val="18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907">
    <w:name w:val="List Table 1 Light - Accent 4"/>
    <w:basedOn w:val="18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908">
    <w:name w:val="List Table 1 Light - Accent 5"/>
    <w:basedOn w:val="18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909">
    <w:name w:val="List Table 1 Light - Accent 6"/>
    <w:basedOn w:val="18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910">
    <w:name w:val="List Table 2"/>
    <w:basedOn w:val="1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911">
    <w:name w:val="List Table 2 - Accent 1"/>
    <w:basedOn w:val="1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912">
    <w:name w:val="List Table 2 - Accent 2"/>
    <w:basedOn w:val="1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913">
    <w:name w:val="List Table 2 - Accent 3"/>
    <w:basedOn w:val="1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914">
    <w:name w:val="List Table 2 - Accent 4"/>
    <w:basedOn w:val="1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915">
    <w:name w:val="List Table 2 - Accent 5"/>
    <w:basedOn w:val="1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916">
    <w:name w:val="List Table 2 - Accent 6"/>
    <w:basedOn w:val="1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917">
    <w:name w:val="List Table 3"/>
    <w:basedOn w:val="1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918">
    <w:name w:val="List Table 3 - Accent 1"/>
    <w:basedOn w:val="1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919">
    <w:name w:val="List Table 3 - Accent 2"/>
    <w:basedOn w:val="1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920">
    <w:name w:val="List Table 3 - Accent 3"/>
    <w:basedOn w:val="1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921">
    <w:name w:val="List Table 3 - Accent 4"/>
    <w:basedOn w:val="1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922">
    <w:name w:val="List Table 3 - Accent 5"/>
    <w:basedOn w:val="1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923">
    <w:name w:val="List Table 3 - Accent 6"/>
    <w:basedOn w:val="1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924">
    <w:name w:val="List Table 4"/>
    <w:basedOn w:val="1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925">
    <w:name w:val="List Table 4 - Accent 1"/>
    <w:basedOn w:val="1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926">
    <w:name w:val="List Table 4 - Accent 2"/>
    <w:basedOn w:val="1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927">
    <w:name w:val="List Table 4 - Accent 3"/>
    <w:basedOn w:val="1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928">
    <w:name w:val="List Table 4 - Accent 4"/>
    <w:basedOn w:val="1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929">
    <w:name w:val="List Table 4 - Accent 5"/>
    <w:basedOn w:val="1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930">
    <w:name w:val="List Table 4 - Accent 6"/>
    <w:basedOn w:val="1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931">
    <w:name w:val="List Table 5 Dark"/>
    <w:basedOn w:val="1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32">
    <w:name w:val="List Table 5 Dark - Accent 1"/>
    <w:basedOn w:val="1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33">
    <w:name w:val="List Table 5 Dark - Accent 2"/>
    <w:basedOn w:val="1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34">
    <w:name w:val="List Table 5 Dark - Accent 3"/>
    <w:basedOn w:val="1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35">
    <w:name w:val="List Table 5 Dark - Accent 4"/>
    <w:basedOn w:val="1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36">
    <w:name w:val="List Table 5 Dark - Accent 5"/>
    <w:basedOn w:val="1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37">
    <w:name w:val="List Table 5 Dark - Accent 6"/>
    <w:basedOn w:val="1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38">
    <w:name w:val="List Table 6 Colorful"/>
    <w:basedOn w:val="1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939">
    <w:name w:val="List Table 6 Colorful - Accent 1"/>
    <w:basedOn w:val="1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940">
    <w:name w:val="List Table 6 Colorful - Accent 2"/>
    <w:basedOn w:val="1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941">
    <w:name w:val="List Table 6 Colorful - Accent 3"/>
    <w:basedOn w:val="1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942">
    <w:name w:val="List Table 6 Colorful - Accent 4"/>
    <w:basedOn w:val="1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943">
    <w:name w:val="List Table 6 Colorful - Accent 5"/>
    <w:basedOn w:val="1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944">
    <w:name w:val="List Table 6 Colorful - Accent 6"/>
    <w:basedOn w:val="1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945">
    <w:name w:val="List Table 7 Colorful"/>
    <w:basedOn w:val="1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946">
    <w:name w:val="List Table 7 Colorful - Accent 1"/>
    <w:basedOn w:val="1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947">
    <w:name w:val="List Table 7 Colorful - Accent 2"/>
    <w:basedOn w:val="1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948">
    <w:name w:val="List Table 7 Colorful - Accent 3"/>
    <w:basedOn w:val="1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949">
    <w:name w:val="List Table 7 Colorful - Accent 4"/>
    <w:basedOn w:val="1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950">
    <w:name w:val="List Table 7 Colorful - Accent 5"/>
    <w:basedOn w:val="1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951">
    <w:name w:val="List Table 7 Colorful - Accent 6"/>
    <w:basedOn w:val="1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952">
    <w:name w:val="Lined - Accent"/>
    <w:basedOn w:val="1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953">
    <w:name w:val="Lined - Accent 1"/>
    <w:basedOn w:val="1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954">
    <w:name w:val="Lined - Accent 2"/>
    <w:basedOn w:val="1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955">
    <w:name w:val="Lined - Accent 3"/>
    <w:basedOn w:val="1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956">
    <w:name w:val="Lined - Accent 4"/>
    <w:basedOn w:val="1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957">
    <w:name w:val="Lined - Accent 5"/>
    <w:basedOn w:val="1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958">
    <w:name w:val="Lined - Accent 6"/>
    <w:basedOn w:val="1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959">
    <w:name w:val="Bordered &amp; Lined - Accent"/>
    <w:basedOn w:val="1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960">
    <w:name w:val="Bordered &amp; Lined - Accent 1"/>
    <w:basedOn w:val="1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961">
    <w:name w:val="Bordered &amp; Lined - Accent 2"/>
    <w:basedOn w:val="1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962">
    <w:name w:val="Bordered &amp; Lined - Accent 3"/>
    <w:basedOn w:val="1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963">
    <w:name w:val="Bordered &amp; Lined - Accent 4"/>
    <w:basedOn w:val="1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964">
    <w:name w:val="Bordered &amp; Lined - Accent 5"/>
    <w:basedOn w:val="1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965">
    <w:name w:val="Bordered &amp; Lined - Accent 6"/>
    <w:basedOn w:val="1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966">
    <w:name w:val="Bordered"/>
    <w:basedOn w:val="1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967">
    <w:name w:val="Bordered - Accent 1"/>
    <w:basedOn w:val="1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968">
    <w:name w:val="Bordered - Accent 2"/>
    <w:basedOn w:val="1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969">
    <w:name w:val="Bordered - Accent 3"/>
    <w:basedOn w:val="1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970">
    <w:name w:val="Bordered - Accent 4"/>
    <w:basedOn w:val="1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971">
    <w:name w:val="Bordered - Accent 5"/>
    <w:basedOn w:val="1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972">
    <w:name w:val="Bordered - Accent 6"/>
    <w:basedOn w:val="1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973">
    <w:name w:val="Hyperlink"/>
    <w:uiPriority w:val="99"/>
    <w:unhideWhenUsed/>
    <w:rPr>
      <w:color w:val="0000ff" w:themeColor="hyperlink"/>
      <w:u w:val="single"/>
    </w:rPr>
  </w:style>
  <w:style w:type="paragraph" w:styleId="1974">
    <w:name w:val="footnote text"/>
    <w:basedOn w:val="1809"/>
    <w:link w:val="1975"/>
    <w:uiPriority w:val="99"/>
    <w:semiHidden/>
    <w:unhideWhenUsed/>
    <w:pPr>
      <w:spacing w:after="40" w:line="240" w:lineRule="auto"/>
    </w:pPr>
    <w:rPr>
      <w:sz w:val="18"/>
    </w:rPr>
  </w:style>
  <w:style w:type="character" w:styleId="1975">
    <w:name w:val="Footnote Text Char"/>
    <w:link w:val="1974"/>
    <w:uiPriority w:val="99"/>
    <w:rPr>
      <w:sz w:val="18"/>
    </w:rPr>
  </w:style>
  <w:style w:type="character" w:styleId="1976">
    <w:name w:val="footnote reference"/>
    <w:basedOn w:val="1810"/>
    <w:uiPriority w:val="99"/>
    <w:unhideWhenUsed/>
    <w:rPr>
      <w:vertAlign w:val="superscript"/>
    </w:rPr>
  </w:style>
  <w:style w:type="paragraph" w:styleId="1977">
    <w:name w:val="endnote text"/>
    <w:basedOn w:val="1809"/>
    <w:link w:val="1978"/>
    <w:uiPriority w:val="99"/>
    <w:semiHidden/>
    <w:unhideWhenUsed/>
    <w:pPr>
      <w:spacing w:after="0" w:line="240" w:lineRule="auto"/>
    </w:pPr>
    <w:rPr>
      <w:sz w:val="20"/>
    </w:rPr>
  </w:style>
  <w:style w:type="character" w:styleId="1978">
    <w:name w:val="Endnote Text Char"/>
    <w:link w:val="1977"/>
    <w:uiPriority w:val="99"/>
    <w:rPr>
      <w:sz w:val="20"/>
    </w:rPr>
  </w:style>
  <w:style w:type="character" w:styleId="1979">
    <w:name w:val="endnote reference"/>
    <w:basedOn w:val="1810"/>
    <w:uiPriority w:val="99"/>
    <w:semiHidden/>
    <w:unhideWhenUsed/>
    <w:rPr>
      <w:vertAlign w:val="superscript"/>
    </w:rPr>
  </w:style>
  <w:style w:type="paragraph" w:styleId="1980">
    <w:name w:val="toc 1"/>
    <w:basedOn w:val="1809"/>
    <w:next w:val="1809"/>
    <w:uiPriority w:val="39"/>
    <w:unhideWhenUsed/>
    <w:pPr>
      <w:ind w:left="0" w:right="0" w:firstLine="0"/>
      <w:spacing w:after="57"/>
    </w:pPr>
  </w:style>
  <w:style w:type="paragraph" w:styleId="1981">
    <w:name w:val="toc 2"/>
    <w:basedOn w:val="1809"/>
    <w:next w:val="1809"/>
    <w:uiPriority w:val="39"/>
    <w:unhideWhenUsed/>
    <w:pPr>
      <w:ind w:left="283" w:right="0" w:firstLine="0"/>
      <w:spacing w:after="57"/>
    </w:pPr>
  </w:style>
  <w:style w:type="paragraph" w:styleId="1982">
    <w:name w:val="toc 3"/>
    <w:basedOn w:val="1809"/>
    <w:next w:val="1809"/>
    <w:uiPriority w:val="39"/>
    <w:unhideWhenUsed/>
    <w:pPr>
      <w:ind w:left="567" w:right="0" w:firstLine="0"/>
      <w:spacing w:after="57"/>
    </w:pPr>
  </w:style>
  <w:style w:type="paragraph" w:styleId="1983">
    <w:name w:val="toc 4"/>
    <w:basedOn w:val="1809"/>
    <w:next w:val="1809"/>
    <w:uiPriority w:val="39"/>
    <w:unhideWhenUsed/>
    <w:pPr>
      <w:ind w:left="850" w:right="0" w:firstLine="0"/>
      <w:spacing w:after="57"/>
    </w:pPr>
  </w:style>
  <w:style w:type="paragraph" w:styleId="1984">
    <w:name w:val="toc 5"/>
    <w:basedOn w:val="1809"/>
    <w:next w:val="1809"/>
    <w:uiPriority w:val="39"/>
    <w:unhideWhenUsed/>
    <w:pPr>
      <w:ind w:left="1134" w:right="0" w:firstLine="0"/>
      <w:spacing w:after="57"/>
    </w:pPr>
  </w:style>
  <w:style w:type="paragraph" w:styleId="1985">
    <w:name w:val="toc 6"/>
    <w:basedOn w:val="1809"/>
    <w:next w:val="1809"/>
    <w:uiPriority w:val="39"/>
    <w:unhideWhenUsed/>
    <w:pPr>
      <w:ind w:left="1417" w:right="0" w:firstLine="0"/>
      <w:spacing w:after="57"/>
    </w:pPr>
  </w:style>
  <w:style w:type="paragraph" w:styleId="1986">
    <w:name w:val="toc 7"/>
    <w:basedOn w:val="1809"/>
    <w:next w:val="1809"/>
    <w:uiPriority w:val="39"/>
    <w:unhideWhenUsed/>
    <w:pPr>
      <w:ind w:left="1701" w:right="0" w:firstLine="0"/>
      <w:spacing w:after="57"/>
    </w:pPr>
  </w:style>
  <w:style w:type="paragraph" w:styleId="1987">
    <w:name w:val="toc 8"/>
    <w:basedOn w:val="1809"/>
    <w:next w:val="1809"/>
    <w:uiPriority w:val="39"/>
    <w:unhideWhenUsed/>
    <w:pPr>
      <w:ind w:left="1984" w:right="0" w:firstLine="0"/>
      <w:spacing w:after="57"/>
    </w:pPr>
  </w:style>
  <w:style w:type="paragraph" w:styleId="1988">
    <w:name w:val="toc 9"/>
    <w:basedOn w:val="1809"/>
    <w:next w:val="1809"/>
    <w:uiPriority w:val="39"/>
    <w:unhideWhenUsed/>
    <w:pPr>
      <w:ind w:left="2268" w:right="0" w:firstLine="0"/>
      <w:spacing w:after="57"/>
    </w:pPr>
  </w:style>
  <w:style w:type="paragraph" w:styleId="1989">
    <w:name w:val="TOC Heading"/>
    <w:uiPriority w:val="39"/>
    <w:unhideWhenUsed/>
  </w:style>
  <w:style w:type="paragraph" w:styleId="1990">
    <w:name w:val="table of figures"/>
    <w:basedOn w:val="1809"/>
    <w:next w:val="1809"/>
    <w:uiPriority w:val="99"/>
    <w:unhideWhenUsed/>
    <w:pPr>
      <w:spacing w:after="0" w:afterAutospacing="0"/>
    </w:p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屠益</cp:lastModifiedBy>
  <cp:revision>4</cp:revision>
  <dcterms:created xsi:type="dcterms:W3CDTF">2024-04-02T03:59:00Z</dcterms:created>
  <dcterms:modified xsi:type="dcterms:W3CDTF">2024-04-03T00:46:26Z</dcterms:modified>
</cp:coreProperties>
</file>