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C9E9E1">
      <w:pPr>
        <w:keepNext w:val="0"/>
        <w:keepLines w:val="0"/>
        <w:pageBreakBefore w:val="0"/>
        <w:kinsoku/>
        <w:wordWrap/>
        <w:overflowPunct/>
        <w:topLinePunct w:val="0"/>
        <w:autoSpaceDE/>
        <w:autoSpaceDN/>
        <w:bidi w:val="0"/>
        <w:spacing w:after="0" w:line="360" w:lineRule="auto"/>
        <w:jc w:val="center"/>
        <w:rPr>
          <w:rFonts w:ascii="宋体" w:hAnsi="宋体"/>
          <w:b/>
          <w:color w:val="auto"/>
          <w:sz w:val="28"/>
          <w:szCs w:val="28"/>
        </w:rPr>
      </w:pPr>
      <w:r>
        <w:rPr>
          <w:rFonts w:ascii="宋体" w:hAnsi="宋体"/>
          <w:b/>
          <w:color w:val="auto"/>
          <w:sz w:val="28"/>
          <w:szCs w:val="28"/>
          <w:u w:val="single"/>
        </w:rPr>
        <w:t xml:space="preserve"> </w:t>
      </w:r>
      <w:r>
        <w:rPr>
          <w:rFonts w:hint="eastAsia" w:ascii="宋体" w:hAnsi="宋体"/>
          <w:b/>
          <w:color w:val="auto"/>
          <w:sz w:val="28"/>
          <w:szCs w:val="28"/>
          <w:u w:val="single"/>
        </w:rPr>
        <w:t>工业互联网边缘计算实训室项目</w:t>
      </w:r>
      <w:r>
        <w:rPr>
          <w:rFonts w:ascii="宋体" w:hAnsi="宋体"/>
          <w:b/>
          <w:color w:val="auto"/>
          <w:sz w:val="28"/>
          <w:szCs w:val="28"/>
          <w:u w:val="single"/>
        </w:rPr>
        <w:t xml:space="preserve"> </w:t>
      </w:r>
      <w:r>
        <w:rPr>
          <w:rFonts w:hint="eastAsia" w:ascii="宋体" w:hAnsi="宋体"/>
          <w:b/>
          <w:color w:val="auto"/>
          <w:sz w:val="28"/>
          <w:szCs w:val="28"/>
        </w:rPr>
        <w:t>合同</w:t>
      </w:r>
    </w:p>
    <w:p w14:paraId="12E59768">
      <w:pPr>
        <w:pStyle w:val="23"/>
        <w:keepNext w:val="0"/>
        <w:keepLines w:val="0"/>
        <w:pageBreakBefore w:val="0"/>
        <w:kinsoku/>
        <w:wordWrap/>
        <w:overflowPunct/>
        <w:topLinePunct w:val="0"/>
        <w:autoSpaceDE/>
        <w:autoSpaceDN/>
        <w:bidi w:val="0"/>
        <w:spacing w:after="0" w:line="360" w:lineRule="auto"/>
        <w:ind w:firstLine="210"/>
        <w:rPr>
          <w:color w:val="auto"/>
        </w:rPr>
      </w:pPr>
      <w:r>
        <w:rPr>
          <w:rFonts w:hint="eastAsia"/>
          <w:color w:val="auto"/>
        </w:rPr>
        <w:t xml:space="preserve">                     </w:t>
      </w:r>
    </w:p>
    <w:p w14:paraId="6F22DBE7">
      <w:pPr>
        <w:pStyle w:val="23"/>
        <w:keepNext w:val="0"/>
        <w:keepLines w:val="0"/>
        <w:pageBreakBefore w:val="0"/>
        <w:kinsoku/>
        <w:wordWrap/>
        <w:overflowPunct/>
        <w:topLinePunct w:val="0"/>
        <w:autoSpaceDE/>
        <w:autoSpaceDN/>
        <w:bidi w:val="0"/>
        <w:spacing w:after="0" w:line="360" w:lineRule="auto"/>
        <w:ind w:firstLine="210"/>
        <w:rPr>
          <w:rFonts w:hAnsi="宋体"/>
          <w:color w:val="auto"/>
          <w:szCs w:val="21"/>
        </w:rPr>
      </w:pPr>
      <w:r>
        <w:rPr>
          <w:rFonts w:hint="eastAsia" w:hAnsi="宋体"/>
          <w:color w:val="auto"/>
          <w:szCs w:val="21"/>
        </w:rPr>
        <w:t>甲方:</w:t>
      </w:r>
      <w:r>
        <w:rPr>
          <w:rFonts w:hint="eastAsia" w:hAnsi="宋体"/>
          <w:b/>
          <w:color w:val="auto"/>
          <w:szCs w:val="21"/>
        </w:rPr>
        <w:t xml:space="preserve"> </w:t>
      </w:r>
      <w:r>
        <w:rPr>
          <w:rFonts w:hint="eastAsia" w:hAnsi="宋体"/>
          <w:color w:val="auto"/>
          <w:szCs w:val="21"/>
          <w:u w:val="single"/>
        </w:rPr>
        <w:t xml:space="preserve"> 常州机电职业技术学院  </w:t>
      </w:r>
      <w:r>
        <w:rPr>
          <w:rFonts w:hint="eastAsia" w:hAnsi="宋体"/>
          <w:b/>
          <w:color w:val="auto"/>
          <w:szCs w:val="21"/>
        </w:rPr>
        <w:t xml:space="preserve">     </w:t>
      </w:r>
      <w:r>
        <w:rPr>
          <w:rFonts w:hint="eastAsia" w:hAnsi="宋体"/>
          <w:color w:val="auto"/>
          <w:szCs w:val="21"/>
        </w:rPr>
        <w:t>合同编号：</w:t>
      </w:r>
      <w:r>
        <w:rPr>
          <w:rFonts w:hint="eastAsia" w:hAnsi="宋体"/>
          <w:color w:val="auto"/>
          <w:szCs w:val="21"/>
          <w:u w:val="single"/>
          <w:lang w:val="en-US" w:eastAsia="zh-CN"/>
        </w:rPr>
        <w:t>ZC202512058-Z</w:t>
      </w:r>
      <w:r>
        <w:rPr>
          <w:rFonts w:hint="eastAsia" w:hAnsi="宋体"/>
          <w:color w:val="auto"/>
          <w:szCs w:val="21"/>
          <w:u w:val="single"/>
        </w:rPr>
        <w:t xml:space="preserve">   </w:t>
      </w:r>
      <w:r>
        <w:rPr>
          <w:rFonts w:hint="eastAsia" w:hAnsi="宋体"/>
          <w:color w:val="auto"/>
          <w:szCs w:val="21"/>
          <w:u w:val="single"/>
          <w:lang w:val="en-US" w:eastAsia="zh-CN"/>
        </w:rPr>
        <w:t xml:space="preserve">        </w:t>
      </w:r>
      <w:bookmarkStart w:id="26" w:name="_GoBack"/>
      <w:bookmarkEnd w:id="26"/>
      <w:r>
        <w:rPr>
          <w:rFonts w:hint="eastAsia" w:hAnsi="宋体"/>
          <w:color w:val="auto"/>
          <w:szCs w:val="21"/>
          <w:u w:val="single"/>
        </w:rPr>
        <w:t xml:space="preserve">   </w:t>
      </w:r>
    </w:p>
    <w:p w14:paraId="451BFBD1">
      <w:pPr>
        <w:pStyle w:val="23"/>
        <w:keepNext w:val="0"/>
        <w:keepLines w:val="0"/>
        <w:pageBreakBefore w:val="0"/>
        <w:kinsoku/>
        <w:wordWrap/>
        <w:overflowPunct/>
        <w:topLinePunct w:val="0"/>
        <w:autoSpaceDE/>
        <w:autoSpaceDN/>
        <w:bidi w:val="0"/>
        <w:spacing w:after="0" w:line="360" w:lineRule="auto"/>
        <w:ind w:firstLine="210"/>
        <w:rPr>
          <w:rFonts w:hAnsi="宋体"/>
          <w:color w:val="auto"/>
          <w:szCs w:val="21"/>
          <w:u w:val="single"/>
        </w:rPr>
      </w:pPr>
      <w:r>
        <w:rPr>
          <w:rFonts w:hint="eastAsia" w:hAnsi="宋体"/>
          <w:color w:val="auto"/>
          <w:szCs w:val="21"/>
        </w:rPr>
        <w:t xml:space="preserve">乙方: </w:t>
      </w:r>
      <w:r>
        <w:rPr>
          <w:rFonts w:hint="eastAsia" w:hAnsi="宋体"/>
          <w:b/>
          <w:color w:val="auto"/>
          <w:szCs w:val="21"/>
          <w:u w:val="single"/>
        </w:rPr>
        <w:t xml:space="preserve"> </w:t>
      </w:r>
      <w:r>
        <w:rPr>
          <w:rFonts w:hint="eastAsia" w:ascii="宋体" w:hAnsi="宋体" w:eastAsia="宋体" w:cs="Times New Roman"/>
          <w:color w:val="auto"/>
          <w:szCs w:val="21"/>
          <w:u w:val="single"/>
        </w:rPr>
        <w:t>江苏秦唐科技有限公司</w:t>
      </w:r>
      <w:r>
        <w:rPr>
          <w:rFonts w:hint="eastAsia" w:hAnsi="宋体"/>
          <w:b/>
          <w:color w:val="auto"/>
          <w:szCs w:val="21"/>
          <w:u w:val="single"/>
        </w:rPr>
        <w:t xml:space="preserve"> </w:t>
      </w:r>
      <w:r>
        <w:rPr>
          <w:rFonts w:hint="eastAsia" w:hAnsi="宋体"/>
          <w:b/>
          <w:color w:val="auto"/>
          <w:szCs w:val="21"/>
          <w:u w:val="single"/>
          <w:lang w:val="en-US" w:eastAsia="zh-CN"/>
        </w:rPr>
        <w:t xml:space="preserve">  </w:t>
      </w:r>
      <w:r>
        <w:rPr>
          <w:rFonts w:hint="eastAsia" w:hAnsi="宋体"/>
          <w:b/>
          <w:color w:val="auto"/>
          <w:szCs w:val="21"/>
        </w:rPr>
        <w:t xml:space="preserve"> </w:t>
      </w:r>
      <w:r>
        <w:rPr>
          <w:rFonts w:hint="eastAsia" w:hAnsi="宋体"/>
          <w:b/>
          <w:color w:val="auto"/>
          <w:szCs w:val="21"/>
          <w:lang w:val="en-US" w:eastAsia="zh-CN"/>
        </w:rPr>
        <w:t xml:space="preserve"> </w:t>
      </w:r>
      <w:r>
        <w:rPr>
          <w:rFonts w:hint="eastAsia" w:hAnsi="宋体"/>
          <w:b/>
          <w:color w:val="auto"/>
          <w:szCs w:val="21"/>
        </w:rPr>
        <w:t xml:space="preserve">  </w:t>
      </w:r>
      <w:r>
        <w:rPr>
          <w:rFonts w:hint="eastAsia" w:hAnsi="宋体"/>
          <w:color w:val="auto"/>
          <w:szCs w:val="21"/>
        </w:rPr>
        <w:t xml:space="preserve">签订时间: </w:t>
      </w:r>
      <w:r>
        <w:rPr>
          <w:rFonts w:hint="eastAsia" w:hAnsi="宋体"/>
          <w:color w:val="auto"/>
          <w:szCs w:val="21"/>
          <w:u w:val="single"/>
        </w:rPr>
        <w:t xml:space="preserve">  </w:t>
      </w:r>
      <w:r>
        <w:rPr>
          <w:rFonts w:hint="eastAsia" w:hAnsi="宋体"/>
          <w:color w:val="auto"/>
          <w:szCs w:val="21"/>
          <w:u w:val="single"/>
          <w:lang w:val="en-US" w:eastAsia="zh-CN"/>
        </w:rPr>
        <w:t>2025</w:t>
      </w:r>
      <w:r>
        <w:rPr>
          <w:rFonts w:hint="eastAsia" w:hAnsi="宋体"/>
          <w:color w:val="auto"/>
          <w:szCs w:val="21"/>
          <w:u w:val="single"/>
        </w:rPr>
        <w:t xml:space="preserve">    </w:t>
      </w:r>
      <w:r>
        <w:rPr>
          <w:rFonts w:hint="eastAsia" w:hAnsi="宋体"/>
          <w:color w:val="auto"/>
          <w:szCs w:val="21"/>
        </w:rPr>
        <w:t>年</w:t>
      </w:r>
      <w:r>
        <w:rPr>
          <w:rFonts w:hint="eastAsia" w:hAnsi="宋体"/>
          <w:color w:val="auto"/>
          <w:szCs w:val="21"/>
          <w:u w:val="single"/>
        </w:rPr>
        <w:t xml:space="preserve">  </w:t>
      </w:r>
      <w:r>
        <w:rPr>
          <w:rFonts w:hint="eastAsia" w:hAnsi="宋体"/>
          <w:color w:val="auto"/>
          <w:szCs w:val="21"/>
          <w:u w:val="single"/>
          <w:lang w:val="en-US" w:eastAsia="zh-CN"/>
        </w:rPr>
        <w:t>12</w:t>
      </w:r>
      <w:r>
        <w:rPr>
          <w:rFonts w:hint="eastAsia" w:hAnsi="宋体"/>
          <w:color w:val="auto"/>
          <w:szCs w:val="21"/>
          <w:u w:val="single"/>
        </w:rPr>
        <w:t xml:space="preserve">  </w:t>
      </w:r>
      <w:r>
        <w:rPr>
          <w:rFonts w:hint="eastAsia" w:hAnsi="宋体"/>
          <w:color w:val="auto"/>
          <w:szCs w:val="21"/>
        </w:rPr>
        <w:t>月</w:t>
      </w:r>
      <w:r>
        <w:rPr>
          <w:rFonts w:hint="eastAsia" w:hAnsi="宋体"/>
          <w:color w:val="auto"/>
          <w:szCs w:val="21"/>
          <w:u w:val="single"/>
        </w:rPr>
        <w:t xml:space="preserve">  </w:t>
      </w:r>
      <w:r>
        <w:rPr>
          <w:rFonts w:hint="eastAsia" w:hAnsi="宋体"/>
          <w:color w:val="auto"/>
          <w:szCs w:val="21"/>
          <w:u w:val="single"/>
          <w:lang w:val="en-US" w:eastAsia="zh-CN"/>
        </w:rPr>
        <w:t>22</w:t>
      </w:r>
      <w:r>
        <w:rPr>
          <w:rFonts w:hint="eastAsia" w:hAnsi="宋体"/>
          <w:color w:val="auto"/>
          <w:szCs w:val="21"/>
          <w:u w:val="single"/>
        </w:rPr>
        <w:t xml:space="preserve">  </w:t>
      </w:r>
      <w:r>
        <w:rPr>
          <w:rFonts w:hint="eastAsia" w:hAnsi="宋体"/>
          <w:color w:val="auto"/>
          <w:szCs w:val="21"/>
        </w:rPr>
        <w:t>日</w:t>
      </w:r>
    </w:p>
    <w:p w14:paraId="2B5C6B17">
      <w:pPr>
        <w:pStyle w:val="23"/>
        <w:keepNext w:val="0"/>
        <w:keepLines w:val="0"/>
        <w:pageBreakBefore w:val="0"/>
        <w:kinsoku/>
        <w:wordWrap/>
        <w:overflowPunct/>
        <w:topLinePunct w:val="0"/>
        <w:autoSpaceDE/>
        <w:autoSpaceDN/>
        <w:bidi w:val="0"/>
        <w:spacing w:after="0" w:line="360" w:lineRule="auto"/>
        <w:ind w:firstLine="210"/>
        <w:rPr>
          <w:rFonts w:hAnsi="宋体"/>
          <w:color w:val="auto"/>
          <w:szCs w:val="21"/>
          <w:u w:val="single"/>
        </w:rPr>
      </w:pPr>
    </w:p>
    <w:p w14:paraId="718BD352">
      <w:pPr>
        <w:keepNext w:val="0"/>
        <w:keepLines w:val="0"/>
        <w:pageBreakBefore w:val="0"/>
        <w:widowControl w:val="0"/>
        <w:kinsoku/>
        <w:wordWrap/>
        <w:overflowPunct/>
        <w:topLinePunct w:val="0"/>
        <w:autoSpaceDE/>
        <w:autoSpaceDN/>
        <w:bidi w:val="0"/>
        <w:spacing w:after="0" w:line="360" w:lineRule="auto"/>
        <w:ind w:firstLine="437"/>
        <w:rPr>
          <w:rFonts w:ascii="宋体" w:hAnsi="宋体"/>
          <w:b/>
          <w:color w:val="auto"/>
          <w:szCs w:val="21"/>
        </w:rPr>
      </w:pPr>
      <w:r>
        <w:rPr>
          <w:rFonts w:hint="eastAsia" w:ascii="宋体" w:hAnsi="宋体"/>
          <w:color w:val="auto"/>
          <w:szCs w:val="21"/>
        </w:rPr>
        <w:t>根据</w:t>
      </w:r>
      <w:r>
        <w:rPr>
          <w:rFonts w:hint="eastAsia" w:ascii="宋体" w:hAnsi="宋体"/>
          <w:color w:val="auto"/>
          <w:szCs w:val="21"/>
          <w:lang w:val="en-US" w:eastAsia="zh-CN"/>
        </w:rPr>
        <w:t>常州常投招标有限公司</w:t>
      </w:r>
      <w:r>
        <w:rPr>
          <w:rFonts w:hint="eastAsia" w:ascii="宋体" w:hAnsi="宋体"/>
          <w:color w:val="auto"/>
          <w:szCs w:val="21"/>
          <w:u w:val="single"/>
        </w:rPr>
        <w:t xml:space="preserve"> </w:t>
      </w:r>
      <w:r>
        <w:rPr>
          <w:rFonts w:hint="eastAsia" w:ascii="宋体" w:hAnsi="宋体"/>
          <w:color w:val="auto"/>
          <w:szCs w:val="21"/>
          <w:u w:val="single"/>
          <w:lang w:val="en-US" w:eastAsia="zh-CN"/>
        </w:rPr>
        <w:t>2025</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12</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15</w:t>
      </w:r>
      <w:r>
        <w:rPr>
          <w:rFonts w:hint="eastAsia" w:ascii="宋体" w:hAnsi="宋体"/>
          <w:color w:val="auto"/>
          <w:szCs w:val="21"/>
          <w:u w:val="single"/>
        </w:rPr>
        <w:t xml:space="preserve"> </w:t>
      </w:r>
      <w:r>
        <w:rPr>
          <w:rFonts w:hint="eastAsia" w:ascii="宋体" w:hAnsi="宋体"/>
          <w:color w:val="auto"/>
          <w:szCs w:val="21"/>
        </w:rPr>
        <w:t>日进行的</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eastAsia="宋体" w:cs="Times New Roman"/>
          <w:color w:val="auto"/>
          <w:szCs w:val="21"/>
          <w:u w:val="single"/>
          <w:lang w:val="en-US" w:eastAsia="zh-CN"/>
        </w:rPr>
        <w:t>JSZC-320400-CZCT-G2025-0028</w:t>
      </w:r>
      <w:r>
        <w:rPr>
          <w:rFonts w:hint="eastAsia" w:ascii="宋体" w:hAnsi="宋体"/>
          <w:color w:val="auto"/>
          <w:szCs w:val="21"/>
          <w:u w:val="single"/>
          <w:lang w:val="en-US" w:eastAsia="zh-CN"/>
        </w:rPr>
        <w:t xml:space="preserve"> </w:t>
      </w:r>
      <w:r>
        <w:rPr>
          <w:rFonts w:hint="eastAsia" w:ascii="宋体" w:hAnsi="宋体"/>
          <w:color w:val="auto"/>
          <w:szCs w:val="21"/>
        </w:rPr>
        <w:t>号招标要求，甲、乙双方就</w:t>
      </w:r>
      <w:r>
        <w:rPr>
          <w:rFonts w:hint="eastAsia" w:ascii="宋体" w:hAnsi="宋体"/>
          <w:color w:val="auto"/>
          <w:szCs w:val="21"/>
          <w:u w:val="single"/>
        </w:rPr>
        <w:t xml:space="preserve"> 工业互联网边缘计算实训室</w:t>
      </w:r>
      <w:r>
        <w:rPr>
          <w:rFonts w:ascii="宋体" w:hAnsi="宋体"/>
          <w:color w:val="auto"/>
          <w:szCs w:val="21"/>
          <w:u w:val="single"/>
        </w:rPr>
        <w:t xml:space="preserve">   </w:t>
      </w:r>
      <w:r>
        <w:rPr>
          <w:rFonts w:hint="eastAsia" w:ascii="宋体" w:hAnsi="宋体"/>
          <w:color w:val="auto"/>
          <w:szCs w:val="21"/>
        </w:rPr>
        <w:t>项目</w:t>
      </w:r>
      <w:r>
        <w:rPr>
          <w:rFonts w:hint="eastAsia" w:ascii="宋体" w:hAnsi="宋体"/>
          <w:bCs/>
          <w:color w:val="auto"/>
          <w:szCs w:val="21"/>
        </w:rPr>
        <w:t>，</w:t>
      </w:r>
      <w:r>
        <w:rPr>
          <w:rFonts w:hint="eastAsia" w:ascii="宋体" w:hAnsi="宋体"/>
          <w:color w:val="auto"/>
          <w:szCs w:val="21"/>
        </w:rPr>
        <w:t>本着平等互利的原则，通过共同协商，根据</w:t>
      </w:r>
      <w:r>
        <w:rPr>
          <w:rFonts w:hint="eastAsia" w:ascii="宋体" w:hAnsi="宋体"/>
          <w:bCs/>
          <w:color w:val="auto"/>
          <w:szCs w:val="21"/>
        </w:rPr>
        <w:t>《中华人民共和国政府采购法》、《中华人民共和国民法典》</w:t>
      </w:r>
      <w:r>
        <w:rPr>
          <w:rFonts w:hint="eastAsia" w:ascii="宋体" w:hAnsi="宋体"/>
          <w:color w:val="auto"/>
          <w:szCs w:val="21"/>
        </w:rPr>
        <w:t>及有关法律法规，就相关事宜达成如下合同。</w:t>
      </w:r>
    </w:p>
    <w:p w14:paraId="175493AD">
      <w:pPr>
        <w:pStyle w:val="23"/>
        <w:keepNext w:val="0"/>
        <w:keepLines w:val="0"/>
        <w:pageBreakBefore w:val="0"/>
        <w:kinsoku/>
        <w:wordWrap/>
        <w:overflowPunct/>
        <w:topLinePunct w:val="0"/>
        <w:autoSpaceDE/>
        <w:autoSpaceDN/>
        <w:bidi w:val="0"/>
        <w:spacing w:after="0" w:line="360" w:lineRule="auto"/>
        <w:ind w:firstLine="422"/>
        <w:rPr>
          <w:rFonts w:hAnsi="宋体"/>
          <w:b/>
          <w:color w:val="auto"/>
          <w:szCs w:val="21"/>
        </w:rPr>
      </w:pPr>
      <w:r>
        <w:rPr>
          <w:rFonts w:hint="eastAsia" w:hAnsi="宋体"/>
          <w:b/>
          <w:color w:val="auto"/>
          <w:szCs w:val="21"/>
        </w:rPr>
        <w:t>一、合同标的</w:t>
      </w:r>
    </w:p>
    <w:tbl>
      <w:tblPr>
        <w:tblStyle w:val="45"/>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516"/>
        <w:gridCol w:w="1117"/>
        <w:gridCol w:w="1234"/>
        <w:gridCol w:w="721"/>
        <w:gridCol w:w="714"/>
        <w:gridCol w:w="870"/>
        <w:gridCol w:w="885"/>
        <w:gridCol w:w="1085"/>
        <w:gridCol w:w="1275"/>
        <w:gridCol w:w="765"/>
      </w:tblGrid>
      <w:tr w14:paraId="6D9D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729AF854">
            <w:pPr>
              <w:keepNext w:val="0"/>
              <w:keepLines w:val="0"/>
              <w:pageBreakBefore w:val="0"/>
              <w:tabs>
                <w:tab w:val="left" w:pos="840"/>
              </w:tabs>
              <w:kinsoku/>
              <w:wordWrap/>
              <w:overflowPunct/>
              <w:topLinePunct w:val="0"/>
              <w:autoSpaceDE/>
              <w:autoSpaceDN/>
              <w:bidi w:val="0"/>
              <w:snapToGrid w:val="0"/>
              <w:spacing w:after="0" w:line="360" w:lineRule="auto"/>
              <w:ind w:right="867"/>
              <w:textAlignment w:val="auto"/>
              <w:rPr>
                <w:rFonts w:ascii="宋体"/>
                <w:color w:val="auto"/>
                <w:sz w:val="21"/>
                <w:szCs w:val="21"/>
              </w:rPr>
            </w:pPr>
            <w:bookmarkStart w:id="0" w:name="_Hlk514701348"/>
            <w:r>
              <w:rPr>
                <w:rFonts w:hint="eastAsia" w:ascii="宋体"/>
                <w:color w:val="auto"/>
                <w:sz w:val="21"/>
                <w:szCs w:val="21"/>
              </w:rPr>
              <w:t>序号</w:t>
            </w:r>
          </w:p>
        </w:tc>
        <w:tc>
          <w:tcPr>
            <w:tcW w:w="1633" w:type="dxa"/>
            <w:gridSpan w:val="2"/>
            <w:tcBorders>
              <w:top w:val="single" w:color="auto" w:sz="4" w:space="0"/>
              <w:left w:val="single" w:color="auto" w:sz="4" w:space="0"/>
              <w:bottom w:val="single" w:color="auto" w:sz="4" w:space="0"/>
              <w:right w:val="single" w:color="auto" w:sz="4" w:space="0"/>
            </w:tcBorders>
            <w:vAlign w:val="center"/>
          </w:tcPr>
          <w:p w14:paraId="36628D5D">
            <w:pPr>
              <w:keepNext w:val="0"/>
              <w:keepLines w:val="0"/>
              <w:pageBreakBefore w:val="0"/>
              <w:kinsoku/>
              <w:wordWrap/>
              <w:overflowPunct/>
              <w:topLinePunct w:val="0"/>
              <w:autoSpaceDE/>
              <w:autoSpaceDN/>
              <w:bidi w:val="0"/>
              <w:snapToGrid w:val="0"/>
              <w:spacing w:after="0" w:line="360" w:lineRule="auto"/>
              <w:jc w:val="center"/>
              <w:textAlignment w:val="auto"/>
              <w:rPr>
                <w:rFonts w:ascii="宋体"/>
                <w:color w:val="auto"/>
                <w:sz w:val="21"/>
                <w:szCs w:val="21"/>
              </w:rPr>
            </w:pPr>
            <w:r>
              <w:rPr>
                <w:rFonts w:hint="eastAsia" w:ascii="宋体" w:hAnsi="宋体" w:cs="宋体"/>
                <w:color w:val="auto"/>
                <w:sz w:val="21"/>
                <w:szCs w:val="21"/>
              </w:rPr>
              <w:t>名称</w:t>
            </w:r>
          </w:p>
        </w:tc>
        <w:tc>
          <w:tcPr>
            <w:tcW w:w="1234" w:type="dxa"/>
            <w:tcBorders>
              <w:top w:val="single" w:color="auto" w:sz="4" w:space="0"/>
              <w:left w:val="single" w:color="auto" w:sz="4" w:space="0"/>
              <w:bottom w:val="single" w:color="auto" w:sz="4" w:space="0"/>
              <w:right w:val="single" w:color="auto" w:sz="4" w:space="0"/>
            </w:tcBorders>
          </w:tcPr>
          <w:p w14:paraId="332867F3">
            <w:pPr>
              <w:keepNext w:val="0"/>
              <w:keepLines w:val="0"/>
              <w:pageBreakBefore w:val="0"/>
              <w:kinsoku/>
              <w:wordWrap/>
              <w:overflowPunct/>
              <w:topLinePunct w:val="0"/>
              <w:autoSpaceDE/>
              <w:autoSpaceDN/>
              <w:bidi w:val="0"/>
              <w:snapToGrid w:val="0"/>
              <w:spacing w:after="0" w:line="360" w:lineRule="auto"/>
              <w:jc w:val="center"/>
              <w:textAlignment w:val="auto"/>
              <w:rPr>
                <w:rFonts w:ascii="宋体" w:hAnsi="宋体" w:cs="宋体"/>
                <w:color w:val="auto"/>
                <w:sz w:val="21"/>
                <w:szCs w:val="21"/>
              </w:rPr>
            </w:pPr>
            <w:r>
              <w:rPr>
                <w:rFonts w:hint="eastAsia" w:ascii="宋体" w:hAnsi="宋体" w:cs="宋体"/>
                <w:color w:val="auto"/>
                <w:sz w:val="21"/>
                <w:szCs w:val="21"/>
              </w:rPr>
              <w:t>型号</w:t>
            </w:r>
          </w:p>
          <w:p w14:paraId="02B5E92E">
            <w:pPr>
              <w:keepNext w:val="0"/>
              <w:keepLines w:val="0"/>
              <w:pageBreakBefore w:val="0"/>
              <w:kinsoku/>
              <w:wordWrap/>
              <w:overflowPunct/>
              <w:topLinePunct w:val="0"/>
              <w:autoSpaceDE/>
              <w:autoSpaceDN/>
              <w:bidi w:val="0"/>
              <w:snapToGrid w:val="0"/>
              <w:spacing w:after="0" w:line="360" w:lineRule="auto"/>
              <w:jc w:val="center"/>
              <w:textAlignment w:val="auto"/>
              <w:rPr>
                <w:rFonts w:ascii="宋体" w:hAnsi="宋体" w:cs="宋体"/>
                <w:color w:val="auto"/>
                <w:sz w:val="21"/>
                <w:szCs w:val="21"/>
              </w:rPr>
            </w:pPr>
            <w:r>
              <w:rPr>
                <w:rFonts w:hint="eastAsia" w:ascii="宋体" w:hAnsi="宋体" w:cs="宋体"/>
                <w:color w:val="auto"/>
                <w:sz w:val="21"/>
                <w:szCs w:val="21"/>
              </w:rPr>
              <w:t>规格</w:t>
            </w:r>
          </w:p>
        </w:tc>
        <w:tc>
          <w:tcPr>
            <w:tcW w:w="721" w:type="dxa"/>
            <w:tcBorders>
              <w:top w:val="single" w:color="auto" w:sz="4" w:space="0"/>
              <w:left w:val="single" w:color="auto" w:sz="4" w:space="0"/>
              <w:bottom w:val="single" w:color="auto" w:sz="4" w:space="0"/>
              <w:right w:val="single" w:color="auto" w:sz="4" w:space="0"/>
            </w:tcBorders>
            <w:vAlign w:val="center"/>
          </w:tcPr>
          <w:p w14:paraId="0E6CBD01">
            <w:pPr>
              <w:keepNext w:val="0"/>
              <w:keepLines w:val="0"/>
              <w:pageBreakBefore w:val="0"/>
              <w:kinsoku/>
              <w:wordWrap/>
              <w:overflowPunct/>
              <w:topLinePunct w:val="0"/>
              <w:autoSpaceDE/>
              <w:autoSpaceDN/>
              <w:bidi w:val="0"/>
              <w:snapToGrid w:val="0"/>
              <w:spacing w:after="0" w:line="360" w:lineRule="auto"/>
              <w:ind w:left="708" w:hanging="708"/>
              <w:jc w:val="center"/>
              <w:textAlignment w:val="auto"/>
              <w:rPr>
                <w:rFonts w:ascii="宋体" w:hAnsi="宋体" w:cs="宋体"/>
                <w:color w:val="auto"/>
                <w:sz w:val="21"/>
                <w:szCs w:val="21"/>
              </w:rPr>
            </w:pPr>
            <w:r>
              <w:rPr>
                <w:rFonts w:hint="eastAsia" w:ascii="宋体" w:hAnsi="宋体" w:eastAsia="宋体" w:cs="宋体"/>
                <w:color w:val="auto"/>
                <w:sz w:val="21"/>
                <w:szCs w:val="21"/>
              </w:rPr>
              <w:t>品牌</w:t>
            </w:r>
          </w:p>
        </w:tc>
        <w:tc>
          <w:tcPr>
            <w:tcW w:w="714" w:type="dxa"/>
            <w:tcBorders>
              <w:top w:val="single" w:color="auto" w:sz="4" w:space="0"/>
              <w:left w:val="single" w:color="auto" w:sz="4" w:space="0"/>
              <w:bottom w:val="single" w:color="auto" w:sz="4" w:space="0"/>
              <w:right w:val="single" w:color="auto" w:sz="4" w:space="0"/>
            </w:tcBorders>
            <w:vAlign w:val="center"/>
          </w:tcPr>
          <w:p w14:paraId="1762620B">
            <w:pPr>
              <w:keepNext w:val="0"/>
              <w:keepLines w:val="0"/>
              <w:pageBreakBefore w:val="0"/>
              <w:kinsoku/>
              <w:wordWrap/>
              <w:overflowPunct/>
              <w:topLinePunct w:val="0"/>
              <w:autoSpaceDE/>
              <w:autoSpaceDN/>
              <w:bidi w:val="0"/>
              <w:snapToGrid w:val="0"/>
              <w:spacing w:after="0" w:line="360" w:lineRule="auto"/>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产地</w:t>
            </w:r>
          </w:p>
        </w:tc>
        <w:tc>
          <w:tcPr>
            <w:tcW w:w="870" w:type="dxa"/>
            <w:tcBorders>
              <w:top w:val="single" w:color="auto" w:sz="4" w:space="0"/>
              <w:left w:val="single" w:color="auto" w:sz="4" w:space="0"/>
              <w:bottom w:val="single" w:color="auto" w:sz="4" w:space="0"/>
              <w:right w:val="single" w:color="auto" w:sz="4" w:space="0"/>
            </w:tcBorders>
            <w:vAlign w:val="center"/>
          </w:tcPr>
          <w:p w14:paraId="59E6CEFA">
            <w:pPr>
              <w:keepNext w:val="0"/>
              <w:keepLines w:val="0"/>
              <w:pageBreakBefore w:val="0"/>
              <w:kinsoku/>
              <w:wordWrap/>
              <w:overflowPunct/>
              <w:topLinePunct w:val="0"/>
              <w:autoSpaceDE/>
              <w:autoSpaceDN/>
              <w:bidi w:val="0"/>
              <w:snapToGrid w:val="0"/>
              <w:spacing w:after="0" w:line="360" w:lineRule="auto"/>
              <w:jc w:val="center"/>
              <w:textAlignment w:val="auto"/>
              <w:rPr>
                <w:rFonts w:ascii="宋体"/>
                <w:color w:val="auto"/>
                <w:sz w:val="21"/>
                <w:szCs w:val="21"/>
              </w:rPr>
            </w:pPr>
            <w:r>
              <w:rPr>
                <w:rFonts w:hint="eastAsia" w:ascii="宋体" w:hAnsi="宋体" w:cs="宋体"/>
                <w:color w:val="auto"/>
                <w:sz w:val="21"/>
                <w:szCs w:val="21"/>
              </w:rPr>
              <w:t>数量</w:t>
            </w:r>
          </w:p>
        </w:tc>
        <w:tc>
          <w:tcPr>
            <w:tcW w:w="885" w:type="dxa"/>
            <w:tcBorders>
              <w:top w:val="single" w:color="auto" w:sz="4" w:space="0"/>
              <w:left w:val="single" w:color="auto" w:sz="4" w:space="0"/>
              <w:bottom w:val="single" w:color="auto" w:sz="4" w:space="0"/>
              <w:right w:val="single" w:color="auto" w:sz="4" w:space="0"/>
            </w:tcBorders>
            <w:vAlign w:val="center"/>
          </w:tcPr>
          <w:p w14:paraId="487448BB">
            <w:pPr>
              <w:keepNext w:val="0"/>
              <w:keepLines w:val="0"/>
              <w:pageBreakBefore w:val="0"/>
              <w:kinsoku/>
              <w:wordWrap/>
              <w:overflowPunct/>
              <w:topLinePunct w:val="0"/>
              <w:autoSpaceDE/>
              <w:autoSpaceDN/>
              <w:bidi w:val="0"/>
              <w:snapToGrid w:val="0"/>
              <w:spacing w:after="0" w:line="360" w:lineRule="auto"/>
              <w:jc w:val="center"/>
              <w:textAlignment w:val="auto"/>
              <w:rPr>
                <w:rFonts w:ascii="宋体"/>
                <w:color w:val="auto"/>
                <w:sz w:val="21"/>
                <w:szCs w:val="21"/>
              </w:rPr>
            </w:pPr>
            <w:r>
              <w:rPr>
                <w:rFonts w:hint="eastAsia" w:ascii="宋体"/>
                <w:color w:val="auto"/>
                <w:sz w:val="21"/>
                <w:szCs w:val="21"/>
              </w:rPr>
              <w:t>单位</w:t>
            </w:r>
          </w:p>
        </w:tc>
        <w:tc>
          <w:tcPr>
            <w:tcW w:w="1085" w:type="dxa"/>
            <w:tcBorders>
              <w:top w:val="single" w:color="auto" w:sz="4" w:space="0"/>
              <w:left w:val="single" w:color="auto" w:sz="4" w:space="0"/>
              <w:bottom w:val="single" w:color="auto" w:sz="4" w:space="0"/>
              <w:right w:val="single" w:color="auto" w:sz="4" w:space="0"/>
            </w:tcBorders>
            <w:vAlign w:val="center"/>
          </w:tcPr>
          <w:p w14:paraId="2643B1F9">
            <w:pPr>
              <w:keepNext w:val="0"/>
              <w:keepLines w:val="0"/>
              <w:pageBreakBefore w:val="0"/>
              <w:kinsoku/>
              <w:wordWrap/>
              <w:overflowPunct/>
              <w:topLinePunct w:val="0"/>
              <w:autoSpaceDE/>
              <w:autoSpaceDN/>
              <w:bidi w:val="0"/>
              <w:snapToGrid w:val="0"/>
              <w:spacing w:after="0" w:line="360" w:lineRule="auto"/>
              <w:ind w:left="708" w:hanging="708"/>
              <w:jc w:val="center"/>
              <w:textAlignment w:val="auto"/>
              <w:rPr>
                <w:rFonts w:ascii="宋体"/>
                <w:color w:val="auto"/>
                <w:sz w:val="21"/>
                <w:szCs w:val="21"/>
              </w:rPr>
            </w:pPr>
            <w:r>
              <w:rPr>
                <w:rFonts w:hint="eastAsia" w:ascii="宋体" w:hAnsi="宋体" w:cs="宋体"/>
                <w:color w:val="auto"/>
                <w:sz w:val="21"/>
                <w:szCs w:val="21"/>
              </w:rPr>
              <w:t>单价（元）</w:t>
            </w:r>
          </w:p>
        </w:tc>
        <w:tc>
          <w:tcPr>
            <w:tcW w:w="1275" w:type="dxa"/>
            <w:tcBorders>
              <w:top w:val="single" w:color="auto" w:sz="4" w:space="0"/>
              <w:left w:val="single" w:color="auto" w:sz="4" w:space="0"/>
              <w:bottom w:val="single" w:color="auto" w:sz="4" w:space="0"/>
              <w:right w:val="single" w:color="auto" w:sz="4" w:space="0"/>
            </w:tcBorders>
            <w:vAlign w:val="center"/>
          </w:tcPr>
          <w:p w14:paraId="41061465">
            <w:pPr>
              <w:keepNext w:val="0"/>
              <w:keepLines w:val="0"/>
              <w:pageBreakBefore w:val="0"/>
              <w:kinsoku/>
              <w:wordWrap/>
              <w:overflowPunct/>
              <w:topLinePunct w:val="0"/>
              <w:autoSpaceDE/>
              <w:autoSpaceDN/>
              <w:bidi w:val="0"/>
              <w:snapToGrid w:val="0"/>
              <w:spacing w:after="0" w:line="360" w:lineRule="auto"/>
              <w:jc w:val="center"/>
              <w:textAlignment w:val="auto"/>
              <w:rPr>
                <w:rFonts w:ascii="宋体"/>
                <w:color w:val="auto"/>
                <w:sz w:val="21"/>
                <w:szCs w:val="21"/>
              </w:rPr>
            </w:pPr>
            <w:r>
              <w:rPr>
                <w:rFonts w:hint="eastAsia" w:ascii="宋体" w:hAnsi="宋体" w:cs="宋体"/>
                <w:color w:val="auto"/>
                <w:sz w:val="21"/>
                <w:szCs w:val="21"/>
              </w:rPr>
              <w:t>金额（元）</w:t>
            </w:r>
          </w:p>
        </w:tc>
        <w:tc>
          <w:tcPr>
            <w:tcW w:w="765" w:type="dxa"/>
            <w:tcBorders>
              <w:top w:val="single" w:color="auto" w:sz="4" w:space="0"/>
              <w:left w:val="single" w:color="auto" w:sz="4" w:space="0"/>
              <w:bottom w:val="single" w:color="auto" w:sz="4" w:space="0"/>
              <w:right w:val="single" w:color="auto" w:sz="4" w:space="0"/>
            </w:tcBorders>
            <w:vAlign w:val="center"/>
          </w:tcPr>
          <w:p w14:paraId="08DFF7F1">
            <w:pPr>
              <w:keepNext w:val="0"/>
              <w:keepLines w:val="0"/>
              <w:pageBreakBefore w:val="0"/>
              <w:kinsoku/>
              <w:wordWrap/>
              <w:overflowPunct/>
              <w:topLinePunct w:val="0"/>
              <w:autoSpaceDE/>
              <w:autoSpaceDN/>
              <w:bidi w:val="0"/>
              <w:snapToGrid w:val="0"/>
              <w:spacing w:after="0" w:line="360" w:lineRule="auto"/>
              <w:jc w:val="center"/>
              <w:textAlignment w:val="auto"/>
              <w:rPr>
                <w:rFonts w:ascii="宋体"/>
                <w:color w:val="auto"/>
                <w:sz w:val="21"/>
                <w:szCs w:val="21"/>
              </w:rPr>
            </w:pPr>
            <w:r>
              <w:rPr>
                <w:rFonts w:hint="eastAsia" w:ascii="宋体" w:hAnsi="宋体" w:cs="宋体"/>
                <w:color w:val="auto"/>
                <w:sz w:val="21"/>
                <w:szCs w:val="21"/>
              </w:rPr>
              <w:t>备注</w:t>
            </w:r>
          </w:p>
        </w:tc>
      </w:tr>
      <w:tr w14:paraId="1150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48CDC016">
            <w:pPr>
              <w:keepNext w:val="0"/>
              <w:keepLines w:val="0"/>
              <w:pageBreakBefore w:val="0"/>
              <w:kinsoku/>
              <w:wordWrap/>
              <w:overflowPunct/>
              <w:topLinePunct w:val="0"/>
              <w:autoSpaceDE/>
              <w:autoSpaceDN/>
              <w:bidi w:val="0"/>
              <w:snapToGrid w:val="0"/>
              <w:spacing w:after="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w:t>
            </w:r>
          </w:p>
        </w:tc>
        <w:tc>
          <w:tcPr>
            <w:tcW w:w="163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6F9B4C">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rPr>
              <w:t>工业互联网边缘计算实训</w:t>
            </w:r>
            <w:r>
              <w:rPr>
                <w:rFonts w:hint="eastAsia" w:ascii="宋体" w:hAnsi="宋体" w:eastAsia="宋体" w:cs="宋体"/>
                <w:sz w:val="20"/>
                <w:szCs w:val="20"/>
                <w:lang w:val="en-US" w:eastAsia="zh-CN"/>
              </w:rPr>
              <w:t>装置</w:t>
            </w:r>
          </w:p>
        </w:tc>
        <w:tc>
          <w:tcPr>
            <w:tcW w:w="1234" w:type="dxa"/>
            <w:tcBorders>
              <w:top w:val="single" w:color="auto" w:sz="4" w:space="0"/>
              <w:left w:val="single" w:color="auto" w:sz="4" w:space="0"/>
              <w:bottom w:val="single" w:color="auto" w:sz="4" w:space="0"/>
              <w:right w:val="single" w:color="auto" w:sz="4" w:space="0"/>
            </w:tcBorders>
            <w:shd w:val="clear" w:color="auto" w:fill="auto"/>
            <w:vAlign w:val="center"/>
          </w:tcPr>
          <w:p w14:paraId="7BB93ABA">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QT-EC-01</w:t>
            </w:r>
          </w:p>
        </w:tc>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074DCCF7">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秦唐</w:t>
            </w:r>
          </w:p>
        </w:tc>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708FF20C">
            <w:pPr>
              <w:keepNext w:val="0"/>
              <w:keepLines w:val="0"/>
              <w:pageBreakBefore w:val="0"/>
              <w:kinsoku/>
              <w:wordWrap/>
              <w:overflowPunct/>
              <w:topLinePunct w:val="0"/>
              <w:autoSpaceDE/>
              <w:autoSpaceDN/>
              <w:bidi w:val="0"/>
              <w:spacing w:after="0" w:line="360" w:lineRule="auto"/>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江苏常州</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3171A468">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13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D043BCD">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套</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69E3EBC5">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100000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EB74FF2">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1300000</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9A279DF">
            <w:pPr>
              <w:keepNext w:val="0"/>
              <w:keepLines w:val="0"/>
              <w:pageBreakBefore w:val="0"/>
              <w:widowControl/>
              <w:kinsoku/>
              <w:wordWrap/>
              <w:overflowPunct/>
              <w:topLinePunct w:val="0"/>
              <w:autoSpaceDE/>
              <w:autoSpaceDN/>
              <w:bidi w:val="0"/>
              <w:spacing w:after="0" w:line="360" w:lineRule="auto"/>
              <w:jc w:val="center"/>
              <w:textAlignment w:val="center"/>
              <w:rPr>
                <w:rFonts w:hint="eastAsia" w:ascii="宋体" w:hAnsi="宋体" w:eastAsia="宋体" w:cs="宋体"/>
                <w:color w:val="auto"/>
                <w:kern w:val="2"/>
                <w:sz w:val="21"/>
                <w:szCs w:val="21"/>
                <w:lang w:val="en-US" w:eastAsia="zh-CN" w:bidi="ar-SA"/>
              </w:rPr>
            </w:pPr>
          </w:p>
        </w:tc>
      </w:tr>
      <w:tr w14:paraId="753D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39FA4712">
            <w:pPr>
              <w:keepNext w:val="0"/>
              <w:keepLines w:val="0"/>
              <w:pageBreakBefore w:val="0"/>
              <w:kinsoku/>
              <w:wordWrap/>
              <w:overflowPunct/>
              <w:topLinePunct w:val="0"/>
              <w:autoSpaceDE/>
              <w:autoSpaceDN/>
              <w:bidi w:val="0"/>
              <w:snapToGrid w:val="0"/>
              <w:spacing w:after="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 </w:t>
            </w:r>
          </w:p>
        </w:tc>
        <w:tc>
          <w:tcPr>
            <w:tcW w:w="163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C9B718">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rPr>
              <w:t>工业边缘计算软件平台</w:t>
            </w:r>
          </w:p>
        </w:tc>
        <w:tc>
          <w:tcPr>
            <w:tcW w:w="1234" w:type="dxa"/>
            <w:tcBorders>
              <w:top w:val="single" w:color="auto" w:sz="4" w:space="0"/>
              <w:left w:val="single" w:color="auto" w:sz="4" w:space="0"/>
              <w:bottom w:val="single" w:color="auto" w:sz="4" w:space="0"/>
              <w:right w:val="single" w:color="auto" w:sz="4" w:space="0"/>
            </w:tcBorders>
            <w:shd w:val="clear" w:color="auto" w:fill="auto"/>
            <w:vAlign w:val="center"/>
          </w:tcPr>
          <w:p w14:paraId="45D3B07C">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QT-PT-01</w:t>
            </w:r>
          </w:p>
        </w:tc>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4BEB2F70">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秦唐</w:t>
            </w:r>
          </w:p>
        </w:tc>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148B20D9">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sz w:val="20"/>
                <w:szCs w:val="20"/>
              </w:rPr>
            </w:pPr>
            <w:r>
              <w:rPr>
                <w:rFonts w:hint="eastAsia" w:ascii="宋体" w:hAnsi="宋体" w:cs="宋体"/>
                <w:sz w:val="20"/>
                <w:szCs w:val="20"/>
                <w:lang w:val="en-US" w:eastAsia="zh-CN"/>
              </w:rPr>
              <w:t>江苏常州</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A3DB3A5">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rPr>
              <w:t>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C3822C0">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套</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2B2C7B06">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638500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7F600B9">
            <w:pPr>
              <w:keepNext w:val="0"/>
              <w:keepLines w:val="0"/>
              <w:pageBreakBefore w:val="0"/>
              <w:kinsoku/>
              <w:wordWrap/>
              <w:overflowPunct/>
              <w:topLinePunct w:val="0"/>
              <w:autoSpaceDE/>
              <w:autoSpaceDN/>
              <w:bidi w:val="0"/>
              <w:spacing w:after="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0"/>
                <w:szCs w:val="20"/>
                <w:lang w:val="en-US" w:eastAsia="zh-CN"/>
              </w:rPr>
              <w:t>638500</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28F1DBE">
            <w:pPr>
              <w:keepNext w:val="0"/>
              <w:keepLines w:val="0"/>
              <w:pageBreakBefore w:val="0"/>
              <w:widowControl/>
              <w:kinsoku/>
              <w:wordWrap/>
              <w:overflowPunct/>
              <w:topLinePunct w:val="0"/>
              <w:autoSpaceDE/>
              <w:autoSpaceDN/>
              <w:bidi w:val="0"/>
              <w:spacing w:after="0" w:line="360" w:lineRule="auto"/>
              <w:jc w:val="center"/>
              <w:textAlignment w:val="center"/>
              <w:rPr>
                <w:rFonts w:hint="eastAsia" w:ascii="宋体" w:hAnsi="宋体" w:eastAsia="宋体" w:cs="宋体"/>
                <w:color w:val="auto"/>
                <w:kern w:val="2"/>
                <w:sz w:val="21"/>
                <w:szCs w:val="21"/>
                <w:lang w:val="en-US" w:eastAsia="zh-CN" w:bidi="ar-SA"/>
              </w:rPr>
            </w:pPr>
          </w:p>
        </w:tc>
      </w:tr>
      <w:tr w14:paraId="5DC2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1008" w:type="dxa"/>
            <w:gridSpan w:val="2"/>
            <w:tcBorders>
              <w:top w:val="single" w:color="auto" w:sz="4" w:space="0"/>
              <w:left w:val="single" w:color="auto" w:sz="4" w:space="0"/>
              <w:bottom w:val="single" w:color="auto" w:sz="4" w:space="0"/>
              <w:right w:val="single" w:color="auto" w:sz="4" w:space="0"/>
            </w:tcBorders>
            <w:vAlign w:val="center"/>
          </w:tcPr>
          <w:p w14:paraId="1577BA3C">
            <w:pPr>
              <w:keepNext w:val="0"/>
              <w:keepLines w:val="0"/>
              <w:pageBreakBefore w:val="0"/>
              <w:kinsoku/>
              <w:wordWrap/>
              <w:overflowPunct/>
              <w:topLinePunct w:val="0"/>
              <w:autoSpaceDE/>
              <w:autoSpaceDN/>
              <w:bidi w:val="0"/>
              <w:spacing w:after="0" w:line="360" w:lineRule="auto"/>
              <w:jc w:val="center"/>
              <w:textAlignment w:val="auto"/>
              <w:rPr>
                <w:rFonts w:ascii="宋体"/>
                <w:color w:val="auto"/>
                <w:sz w:val="24"/>
                <w:szCs w:val="24"/>
              </w:rPr>
            </w:pPr>
          </w:p>
        </w:tc>
        <w:tc>
          <w:tcPr>
            <w:tcW w:w="8666" w:type="dxa"/>
            <w:gridSpan w:val="9"/>
            <w:tcBorders>
              <w:top w:val="single" w:color="auto" w:sz="4" w:space="0"/>
              <w:left w:val="single" w:color="auto" w:sz="4" w:space="0"/>
              <w:bottom w:val="single" w:color="auto" w:sz="4" w:space="0"/>
              <w:right w:val="single" w:color="auto" w:sz="4" w:space="0"/>
            </w:tcBorders>
            <w:vAlign w:val="center"/>
          </w:tcPr>
          <w:p w14:paraId="752C44B1">
            <w:pPr>
              <w:keepNext w:val="0"/>
              <w:keepLines w:val="0"/>
              <w:pageBreakBefore w:val="0"/>
              <w:kinsoku/>
              <w:wordWrap/>
              <w:overflowPunct/>
              <w:topLinePunct w:val="0"/>
              <w:autoSpaceDE/>
              <w:autoSpaceDN/>
              <w:bidi w:val="0"/>
              <w:spacing w:after="0" w:line="360" w:lineRule="auto"/>
              <w:jc w:val="center"/>
              <w:textAlignment w:val="auto"/>
              <w:rPr>
                <w:rFonts w:ascii="宋体"/>
                <w:color w:val="auto"/>
                <w:sz w:val="24"/>
                <w:szCs w:val="24"/>
              </w:rPr>
            </w:pPr>
            <w:r>
              <w:rPr>
                <w:rFonts w:ascii="宋体"/>
                <w:color w:val="auto"/>
                <w:sz w:val="24"/>
                <w:szCs w:val="24"/>
              </w:rPr>
              <w:t>合计</w:t>
            </w:r>
            <w:r>
              <w:rPr>
                <w:rFonts w:hint="eastAsia" w:ascii="宋体" w:hAnsi="Times New Roman" w:eastAsia="宋体" w:cs="Times New Roman"/>
                <w:color w:val="auto"/>
                <w:sz w:val="24"/>
                <w:szCs w:val="24"/>
              </w:rPr>
              <w:t>金额</w:t>
            </w:r>
            <w:r>
              <w:rPr>
                <w:rFonts w:hint="eastAsia" w:ascii="宋体" w:hAnsi="Times New Roman" w:eastAsia="宋体" w:cs="Times New Roman"/>
                <w:color w:val="auto"/>
                <w:sz w:val="24"/>
                <w:szCs w:val="24"/>
                <w:lang w:eastAsia="zh-CN"/>
              </w:rPr>
              <w:t>：</w:t>
            </w:r>
            <w:r>
              <w:rPr>
                <w:rFonts w:hint="eastAsia" w:ascii="宋体" w:hAnsi="Times New Roman" w:eastAsia="宋体" w:cs="Times New Roman"/>
                <w:color w:val="auto"/>
                <w:sz w:val="24"/>
                <w:szCs w:val="24"/>
              </w:rPr>
              <w:t>大写</w:t>
            </w:r>
            <w:r>
              <w:rPr>
                <w:rFonts w:hint="eastAsia" w:ascii="宋体" w:hAnsi="Times New Roman" w:eastAsia="宋体" w:cs="Times New Roman"/>
                <w:color w:val="auto"/>
                <w:sz w:val="24"/>
                <w:szCs w:val="24"/>
                <w:u w:val="single"/>
              </w:rPr>
              <w:t xml:space="preserve"> </w:t>
            </w:r>
            <w:r>
              <w:rPr>
                <w:rFonts w:hint="eastAsia" w:ascii="宋体" w:hAnsi="宋体" w:eastAsia="宋体" w:cs="Times New Roman"/>
                <w:b/>
                <w:color w:val="auto"/>
                <w:sz w:val="24"/>
                <w:szCs w:val="24"/>
                <w:u w:val="single"/>
              </w:rPr>
              <w:t xml:space="preserve"> </w:t>
            </w:r>
            <w:r>
              <w:rPr>
                <w:rFonts w:hint="eastAsia" w:ascii="宋体" w:hAnsi="Times New Roman" w:eastAsia="宋体" w:cs="Times New Roman"/>
                <w:color w:val="auto"/>
                <w:sz w:val="24"/>
                <w:szCs w:val="24"/>
                <w:u w:val="single"/>
              </w:rPr>
              <w:t>壹佰玖拾叁万捌仟伍佰元整</w:t>
            </w:r>
            <w:r>
              <w:rPr>
                <w:rFonts w:hint="eastAsia" w:ascii="宋体" w:hAnsi="Times New Roman" w:eastAsia="宋体" w:cs="Times New Roman"/>
                <w:color w:val="auto"/>
                <w:sz w:val="24"/>
                <w:szCs w:val="24"/>
                <w:u w:val="single"/>
                <w:lang w:val="en-US" w:eastAsia="zh-CN"/>
              </w:rPr>
              <w:t xml:space="preserve"> </w:t>
            </w:r>
            <w:r>
              <w:rPr>
                <w:rFonts w:hint="eastAsia" w:ascii="宋体" w:hAnsi="宋体" w:eastAsia="宋体" w:cs="Times New Roman"/>
                <w:b w:val="0"/>
                <w:bCs/>
                <w:color w:val="auto"/>
                <w:sz w:val="24"/>
                <w:szCs w:val="24"/>
                <w:u w:val="none"/>
              </w:rPr>
              <w:t xml:space="preserve"> ；小</w:t>
            </w:r>
            <w:r>
              <w:rPr>
                <w:rFonts w:ascii="宋体"/>
                <w:color w:val="auto"/>
                <w:sz w:val="24"/>
                <w:szCs w:val="24"/>
              </w:rPr>
              <w:t>写</w:t>
            </w:r>
            <w:r>
              <w:rPr>
                <w:rFonts w:hint="eastAsia" w:ascii="宋体" w:hAnsi="宋体"/>
                <w:b/>
                <w:color w:val="auto"/>
                <w:sz w:val="24"/>
                <w:szCs w:val="24"/>
                <w:u w:val="single"/>
              </w:rPr>
              <w:t xml:space="preserve">  </w:t>
            </w:r>
            <w:r>
              <w:rPr>
                <w:rFonts w:hint="eastAsia" w:ascii="宋体" w:hAnsi="宋体" w:eastAsia="宋体" w:cs="Times New Roman"/>
                <w:b/>
                <w:color w:val="auto"/>
                <w:sz w:val="24"/>
                <w:szCs w:val="24"/>
                <w:u w:val="single"/>
                <w:lang w:val="en-US" w:eastAsia="zh-CN"/>
              </w:rPr>
              <w:t xml:space="preserve"> </w:t>
            </w:r>
            <w:r>
              <w:rPr>
                <w:rFonts w:hint="eastAsia" w:ascii="宋体" w:hAnsi="Times New Roman" w:eastAsia="宋体" w:cs="Times New Roman"/>
                <w:color w:val="auto"/>
                <w:sz w:val="24"/>
                <w:szCs w:val="24"/>
                <w:u w:val="single"/>
                <w:lang w:val="en-US" w:eastAsia="zh-CN"/>
              </w:rPr>
              <w:t xml:space="preserve">1938500.00 </w:t>
            </w:r>
            <w:r>
              <w:rPr>
                <w:rFonts w:hint="eastAsia" w:ascii="宋体" w:hAnsi="宋体"/>
                <w:b/>
                <w:color w:val="auto"/>
                <w:sz w:val="24"/>
                <w:szCs w:val="24"/>
                <w:u w:val="single"/>
                <w:lang w:val="en-US" w:eastAsia="zh-CN"/>
              </w:rPr>
              <w:t xml:space="preserve">  </w:t>
            </w:r>
            <w:r>
              <w:rPr>
                <w:rFonts w:hint="eastAsia" w:ascii="宋体" w:hAnsi="宋体"/>
                <w:b/>
                <w:color w:val="auto"/>
                <w:sz w:val="24"/>
                <w:szCs w:val="24"/>
                <w:u w:val="single"/>
              </w:rPr>
              <w:t xml:space="preserve"> </w:t>
            </w:r>
            <w:r>
              <w:rPr>
                <w:rFonts w:hint="eastAsia" w:ascii="宋体"/>
                <w:color w:val="auto"/>
                <w:sz w:val="24"/>
                <w:szCs w:val="24"/>
              </w:rPr>
              <w:t>元</w:t>
            </w:r>
          </w:p>
        </w:tc>
      </w:tr>
      <w:bookmarkEnd w:id="0"/>
    </w:tbl>
    <w:p w14:paraId="6EEF2BE8">
      <w:pPr>
        <w:pStyle w:val="23"/>
        <w:keepNext w:val="0"/>
        <w:keepLines w:val="0"/>
        <w:pageBreakBefore w:val="0"/>
        <w:widowControl w:val="0"/>
        <w:kinsoku/>
        <w:wordWrap/>
        <w:overflowPunct/>
        <w:topLinePunct w:val="0"/>
        <w:autoSpaceDE/>
        <w:autoSpaceDN/>
        <w:bidi w:val="0"/>
        <w:spacing w:after="0" w:line="360" w:lineRule="auto"/>
        <w:ind w:firstLine="420"/>
        <w:rPr>
          <w:rFonts w:hint="eastAsia" w:cs="宋体"/>
          <w:color w:val="auto"/>
          <w:szCs w:val="21"/>
        </w:rPr>
      </w:pPr>
    </w:p>
    <w:p w14:paraId="4762E013">
      <w:pPr>
        <w:pStyle w:val="23"/>
        <w:keepNext w:val="0"/>
        <w:keepLines w:val="0"/>
        <w:pageBreakBefore w:val="0"/>
        <w:widowControl w:val="0"/>
        <w:kinsoku/>
        <w:wordWrap/>
        <w:overflowPunct/>
        <w:topLinePunct w:val="0"/>
        <w:autoSpaceDE/>
        <w:autoSpaceDN/>
        <w:bidi w:val="0"/>
        <w:spacing w:after="0" w:line="360" w:lineRule="auto"/>
        <w:ind w:firstLine="420"/>
        <w:rPr>
          <w:rFonts w:hAnsi="宋体"/>
          <w:b/>
          <w:color w:val="auto"/>
          <w:szCs w:val="21"/>
        </w:rPr>
      </w:pPr>
      <w:r>
        <w:rPr>
          <w:rFonts w:hint="eastAsia" w:cs="宋体"/>
          <w:color w:val="auto"/>
          <w:szCs w:val="21"/>
        </w:rPr>
        <w:t>本合同总价款包括货物设计、制造、包装、仓储、运输装缷、保险、安装、调试及其材料及验收合格之前保管及保修期内备品备件、专用工具、伴随服务、技术图纸资料、人员培训发生的所有含税费用。本合同总价款还包含乙方应当提供的伴随服务/售后服务费用。</w:t>
      </w:r>
    </w:p>
    <w:p w14:paraId="2B54192C">
      <w:pPr>
        <w:pStyle w:val="23"/>
        <w:keepNext w:val="0"/>
        <w:keepLines w:val="0"/>
        <w:pageBreakBefore w:val="0"/>
        <w:widowControl w:val="0"/>
        <w:kinsoku/>
        <w:wordWrap/>
        <w:overflowPunct/>
        <w:topLinePunct w:val="0"/>
        <w:autoSpaceDE/>
        <w:autoSpaceDN/>
        <w:bidi w:val="0"/>
        <w:spacing w:after="0" w:line="360" w:lineRule="auto"/>
        <w:ind w:firstLine="422"/>
        <w:rPr>
          <w:rFonts w:hAnsi="宋体"/>
          <w:b/>
          <w:color w:val="auto"/>
          <w:szCs w:val="21"/>
        </w:rPr>
      </w:pPr>
      <w:r>
        <w:rPr>
          <w:rFonts w:hint="eastAsia" w:hAnsi="宋体"/>
          <w:b/>
          <w:color w:val="auto"/>
          <w:szCs w:val="21"/>
        </w:rPr>
        <w:t xml:space="preserve">二、合同标的技术要求 </w:t>
      </w:r>
    </w:p>
    <w:p w14:paraId="508ECF7C">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1.技术质量要求：</w:t>
      </w:r>
      <w:r>
        <w:rPr>
          <w:rFonts w:hint="eastAsia" w:ascii="宋体" w:hAnsi="宋体"/>
          <w:color w:val="auto"/>
          <w:szCs w:val="21"/>
          <w:lang w:val="en-US" w:eastAsia="zh-CN"/>
        </w:rPr>
        <w:t>详见采购文件第五章 采购需求  二、招标清单及技术要求</w:t>
      </w:r>
      <w:r>
        <w:rPr>
          <w:rFonts w:hint="eastAsia" w:ascii="宋体" w:hAnsi="宋体"/>
          <w:color w:val="auto"/>
          <w:szCs w:val="21"/>
        </w:rPr>
        <w:t>；</w:t>
      </w:r>
    </w:p>
    <w:p w14:paraId="49849917">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2.下列文件是构成合同不可分割的部分，并与本合同具有同等法律效力，</w:t>
      </w:r>
      <w:r>
        <w:rPr>
          <w:rFonts w:hint="eastAsia" w:ascii="宋体" w:hAnsi="宋体"/>
          <w:bCs/>
          <w:color w:val="auto"/>
          <w:szCs w:val="21"/>
        </w:rPr>
        <w:t>这些文件包括但不限于：</w:t>
      </w:r>
    </w:p>
    <w:p w14:paraId="251BF047">
      <w:pPr>
        <w:keepNext w:val="0"/>
        <w:keepLines w:val="0"/>
        <w:pageBreakBefore w:val="0"/>
        <w:widowControl w:val="0"/>
        <w:numPr>
          <w:ilvl w:val="255"/>
          <w:numId w:val="0"/>
        </w:numPr>
        <w:kinsoku/>
        <w:wordWrap/>
        <w:overflowPunct/>
        <w:topLinePunct w:val="0"/>
        <w:autoSpaceDE/>
        <w:autoSpaceDN/>
        <w:bidi w:val="0"/>
        <w:spacing w:after="0" w:line="360" w:lineRule="auto"/>
        <w:ind w:left="420"/>
        <w:jc w:val="left"/>
        <w:rPr>
          <w:rFonts w:ascii="宋体" w:hAnsi="宋体"/>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u w:val="single"/>
          <w:lang w:val="en-US" w:eastAsia="zh-CN"/>
        </w:rPr>
        <w:t>JSZC-320400-CZCT-G2025-0028</w:t>
      </w:r>
      <w:r>
        <w:rPr>
          <w:rFonts w:hint="eastAsia" w:ascii="宋体" w:hAnsi="宋体"/>
          <w:color w:val="auto"/>
          <w:szCs w:val="21"/>
          <w:u w:val="single"/>
        </w:rPr>
        <w:t xml:space="preserve"> </w:t>
      </w:r>
      <w:r>
        <w:rPr>
          <w:rFonts w:hint="eastAsia" w:ascii="宋体" w:hAnsi="宋体"/>
          <w:color w:val="auto"/>
          <w:szCs w:val="21"/>
        </w:rPr>
        <w:t>号招标文件。</w:t>
      </w:r>
    </w:p>
    <w:p w14:paraId="70807FE3">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（2）乙方提交的投标书。</w:t>
      </w:r>
    </w:p>
    <w:p w14:paraId="22B981BB">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（3）</w:t>
      </w:r>
      <w:r>
        <w:rPr>
          <w:rFonts w:hint="eastAsia" w:hAnsi="宋体"/>
          <w:color w:val="auto"/>
          <w:szCs w:val="21"/>
        </w:rPr>
        <w:t>谈判文件及相关的资料。</w:t>
      </w:r>
    </w:p>
    <w:p w14:paraId="64D91168">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（4）乙方投标的其他资料及承诺。</w:t>
      </w:r>
    </w:p>
    <w:p w14:paraId="017324E4">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（5）</w:t>
      </w:r>
      <w:r>
        <w:rPr>
          <w:rFonts w:hint="eastAsia" w:hAnsi="宋体"/>
          <w:color w:val="auto"/>
          <w:szCs w:val="21"/>
        </w:rPr>
        <w:t>经甲、乙、双方确认的其他补充协议及相关资料。</w:t>
      </w:r>
    </w:p>
    <w:p w14:paraId="34C5A860">
      <w:pPr>
        <w:pStyle w:val="23"/>
        <w:keepNext w:val="0"/>
        <w:keepLines w:val="0"/>
        <w:pageBreakBefore w:val="0"/>
        <w:kinsoku/>
        <w:wordWrap/>
        <w:overflowPunct/>
        <w:topLinePunct w:val="0"/>
        <w:autoSpaceDE/>
        <w:autoSpaceDN/>
        <w:bidi w:val="0"/>
        <w:spacing w:after="0" w:line="360" w:lineRule="auto"/>
        <w:ind w:firstLine="422"/>
        <w:rPr>
          <w:rFonts w:hAnsi="宋体"/>
          <w:b/>
          <w:color w:val="auto"/>
          <w:szCs w:val="21"/>
        </w:rPr>
      </w:pPr>
      <w:bookmarkStart w:id="1" w:name="_Toc154830750"/>
      <w:bookmarkStart w:id="2" w:name="_Toc251500492"/>
      <w:bookmarkStart w:id="3" w:name="_Toc471819251"/>
      <w:bookmarkStart w:id="4" w:name="_Toc430158359"/>
      <w:r>
        <w:rPr>
          <w:rFonts w:hint="eastAsia" w:hAnsi="宋体"/>
          <w:b/>
          <w:color w:val="auto"/>
          <w:szCs w:val="21"/>
        </w:rPr>
        <w:t>三、交货与运输</w:t>
      </w:r>
      <w:bookmarkEnd w:id="1"/>
      <w:bookmarkEnd w:id="2"/>
      <w:bookmarkEnd w:id="3"/>
      <w:bookmarkEnd w:id="4"/>
    </w:p>
    <w:p w14:paraId="71CD2C09">
      <w:pPr>
        <w:keepNext w:val="0"/>
        <w:keepLines w:val="0"/>
        <w:pageBreakBefore w:val="0"/>
        <w:kinsoku/>
        <w:wordWrap/>
        <w:overflowPunct/>
        <w:topLinePunct w:val="0"/>
        <w:autoSpaceDE/>
        <w:autoSpaceDN/>
        <w:bidi w:val="0"/>
        <w:spacing w:after="0" w:line="360" w:lineRule="auto"/>
        <w:ind w:firstLine="420"/>
        <w:rPr>
          <w:rFonts w:ascii="宋体" w:hAnsi="宋体"/>
          <w:color w:val="auto"/>
          <w:szCs w:val="21"/>
        </w:rPr>
      </w:pPr>
      <w:bookmarkStart w:id="5" w:name="_Toc251500493"/>
      <w:bookmarkStart w:id="6" w:name="_Toc154830751"/>
      <w:bookmarkStart w:id="7" w:name="_Toc430158360"/>
      <w:bookmarkStart w:id="8" w:name="_Toc471819252"/>
      <w:r>
        <w:rPr>
          <w:rFonts w:hint="eastAsia" w:ascii="宋体" w:hAnsi="宋体"/>
          <w:color w:val="auto"/>
          <w:szCs w:val="21"/>
        </w:rPr>
        <w:t>1．货物交付</w:t>
      </w:r>
      <w:bookmarkEnd w:id="5"/>
      <w:bookmarkEnd w:id="6"/>
      <w:bookmarkEnd w:id="7"/>
      <w:bookmarkEnd w:id="8"/>
      <w:r>
        <w:rPr>
          <w:rFonts w:hint="eastAsia" w:ascii="宋体" w:hAnsi="宋体"/>
          <w:color w:val="auto"/>
          <w:szCs w:val="21"/>
        </w:rPr>
        <w:t>：</w:t>
      </w:r>
      <w:r>
        <w:rPr>
          <w:rFonts w:hint="eastAsia" w:ascii="宋体" w:hAnsi="宋体"/>
          <w:snapToGrid w:val="0"/>
          <w:color w:val="auto"/>
          <w:szCs w:val="21"/>
        </w:rPr>
        <w:t>合同签订后</w:t>
      </w:r>
      <w:r>
        <w:rPr>
          <w:rFonts w:hint="eastAsia" w:ascii="宋体" w:hAnsi="宋体"/>
          <w:snapToGrid w:val="0"/>
          <w:color w:val="auto"/>
          <w:szCs w:val="21"/>
          <w:lang w:val="en-US" w:eastAsia="zh-CN"/>
        </w:rPr>
        <w:t>3</w:t>
      </w:r>
      <w:r>
        <w:rPr>
          <w:rFonts w:hint="eastAsia" w:ascii="宋体" w:hAnsi="宋体"/>
          <w:snapToGrid w:val="0"/>
          <w:color w:val="auto"/>
          <w:szCs w:val="21"/>
        </w:rPr>
        <w:t>0天内完成供货，供货后1</w:t>
      </w:r>
      <w:r>
        <w:rPr>
          <w:rFonts w:hint="eastAsia" w:ascii="宋体" w:hAnsi="宋体"/>
          <w:snapToGrid w:val="0"/>
          <w:color w:val="auto"/>
          <w:szCs w:val="21"/>
          <w:lang w:val="en-US" w:eastAsia="zh-CN"/>
        </w:rPr>
        <w:t>0</w:t>
      </w:r>
      <w:r>
        <w:rPr>
          <w:rFonts w:hint="eastAsia" w:ascii="宋体" w:hAnsi="宋体"/>
          <w:snapToGrid w:val="0"/>
          <w:color w:val="auto"/>
          <w:szCs w:val="21"/>
        </w:rPr>
        <w:t>天内完成设备及系统安装调试、经采购人验收合格并投入使用。</w:t>
      </w:r>
    </w:p>
    <w:p w14:paraId="631E88DB">
      <w:pPr>
        <w:keepNext w:val="0"/>
        <w:keepLines w:val="0"/>
        <w:pageBreakBefore w:val="0"/>
        <w:kinsoku/>
        <w:wordWrap/>
        <w:overflowPunct/>
        <w:topLinePunct w:val="0"/>
        <w:autoSpaceDE/>
        <w:autoSpaceDN/>
        <w:bidi w:val="0"/>
        <w:spacing w:after="0" w:line="360" w:lineRule="auto"/>
        <w:ind w:firstLine="348"/>
        <w:rPr>
          <w:rFonts w:hint="eastAsia" w:ascii="宋体" w:hAnsi="宋体" w:eastAsia="宋体" w:cs="宋体"/>
          <w:color w:val="auto"/>
          <w:sz w:val="21"/>
          <w:szCs w:val="21"/>
        </w:rPr>
      </w:pPr>
      <w:r>
        <w:rPr>
          <w:rFonts w:hint="eastAsia" w:ascii="宋体" w:hAnsi="宋体"/>
          <w:color w:val="auto"/>
          <w:szCs w:val="21"/>
        </w:rPr>
        <w:t>2</w:t>
      </w:r>
      <w:r>
        <w:rPr>
          <w:rFonts w:hint="eastAsia" w:ascii="宋体" w:hAnsi="宋体" w:eastAsia="宋体" w:cs="宋体"/>
          <w:color w:val="auto"/>
          <w:sz w:val="21"/>
          <w:szCs w:val="21"/>
        </w:rPr>
        <w:t>．资料交付</w:t>
      </w:r>
    </w:p>
    <w:p w14:paraId="5DC5DC53">
      <w:pPr>
        <w:keepNext w:val="0"/>
        <w:keepLines w:val="0"/>
        <w:pageBreakBefore w:val="0"/>
        <w:kinsoku/>
        <w:wordWrap/>
        <w:overflowPunct/>
        <w:topLinePunct w:val="0"/>
        <w:autoSpaceDE/>
        <w:autoSpaceDN/>
        <w:bidi w:val="0"/>
        <w:spacing w:after="0" w:line="360" w:lineRule="auto"/>
        <w:ind w:firstLine="348"/>
        <w:rPr>
          <w:rFonts w:hint="eastAsia" w:ascii="宋体" w:hAnsi="宋体" w:eastAsia="宋体" w:cs="宋体"/>
          <w:color w:val="auto"/>
          <w:sz w:val="21"/>
          <w:szCs w:val="21"/>
        </w:rPr>
      </w:pPr>
      <w:r>
        <w:rPr>
          <w:rFonts w:hint="eastAsia" w:ascii="宋体" w:hAnsi="宋体" w:eastAsia="宋体" w:cs="宋体"/>
          <w:color w:val="auto"/>
          <w:sz w:val="21"/>
          <w:szCs w:val="21"/>
        </w:rPr>
        <w:t>乙方应在交付货物的同时向甲方提供全套随机文件（含产品合格证书、使用维护说明书、验收报告书）壹套。</w:t>
      </w:r>
    </w:p>
    <w:p w14:paraId="6BC84E7E">
      <w:pPr>
        <w:keepNext w:val="0"/>
        <w:keepLines w:val="0"/>
        <w:pageBreakBefore w:val="0"/>
        <w:kinsoku/>
        <w:wordWrap/>
        <w:overflowPunct/>
        <w:topLinePunct w:val="0"/>
        <w:autoSpaceDE/>
        <w:autoSpaceDN/>
        <w:bidi w:val="0"/>
        <w:spacing w:after="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 xml:space="preserve">   3．交货地点：乙方应将货物运到甲方指定的地点。货物现场交付，甲方检验无误，签署收货通知单后，货物所有权转移给甲方。</w:t>
      </w:r>
    </w:p>
    <w:p w14:paraId="6159FCDD">
      <w:pPr>
        <w:pStyle w:val="23"/>
        <w:keepNext w:val="0"/>
        <w:keepLines w:val="0"/>
        <w:pageBreakBefore w:val="0"/>
        <w:kinsoku/>
        <w:wordWrap/>
        <w:overflowPunct/>
        <w:topLinePunct w:val="0"/>
        <w:autoSpaceDE/>
        <w:autoSpaceDN/>
        <w:bidi w:val="0"/>
        <w:spacing w:after="0" w:line="360" w:lineRule="auto"/>
        <w:ind w:firstLine="422"/>
        <w:rPr>
          <w:rFonts w:hint="eastAsia" w:ascii="宋体" w:hAnsi="宋体" w:eastAsia="宋体" w:cs="宋体"/>
          <w:color w:val="auto"/>
          <w:sz w:val="21"/>
          <w:szCs w:val="21"/>
        </w:rPr>
      </w:pPr>
      <w:bookmarkStart w:id="9" w:name="_Toc471819255"/>
      <w:bookmarkStart w:id="10" w:name="_Toc251500496"/>
      <w:bookmarkStart w:id="11" w:name="_Toc154830755"/>
      <w:bookmarkStart w:id="12" w:name="_Toc430158363"/>
      <w:r>
        <w:rPr>
          <w:rFonts w:hint="eastAsia" w:ascii="宋体" w:hAnsi="宋体" w:eastAsia="宋体" w:cs="宋体"/>
          <w:b/>
          <w:color w:val="auto"/>
          <w:sz w:val="21"/>
          <w:szCs w:val="21"/>
        </w:rPr>
        <w:t>四、</w:t>
      </w:r>
      <w:bookmarkEnd w:id="9"/>
      <w:bookmarkEnd w:id="10"/>
      <w:bookmarkEnd w:id="11"/>
      <w:bookmarkEnd w:id="12"/>
      <w:r>
        <w:rPr>
          <w:rFonts w:hint="eastAsia" w:ascii="宋体" w:hAnsi="宋体" w:eastAsia="宋体" w:cs="宋体"/>
          <w:b/>
          <w:color w:val="auto"/>
          <w:sz w:val="21"/>
          <w:szCs w:val="21"/>
        </w:rPr>
        <w:t>验收方案</w:t>
      </w:r>
    </w:p>
    <w:p w14:paraId="3F606F63">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bookmarkStart w:id="13" w:name="_Toc471819256"/>
      <w:bookmarkStart w:id="14" w:name="_Toc154830756"/>
      <w:bookmarkStart w:id="15" w:name="_Toc251500497"/>
      <w:bookmarkStart w:id="16" w:name="_Toc430158364"/>
      <w:r>
        <w:rPr>
          <w:rFonts w:hint="eastAsia" w:ascii="宋体" w:hAnsi="宋体" w:eastAsia="宋体" w:cs="宋体"/>
          <w:color w:val="auto"/>
          <w:sz w:val="21"/>
          <w:szCs w:val="21"/>
        </w:rPr>
        <w:t>1.验收时间和地点</w:t>
      </w:r>
    </w:p>
    <w:p w14:paraId="56A3798A">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系统试运行完成无重大故障后由常州机电职业技术学院组织验收专家进行验收。</w:t>
      </w:r>
    </w:p>
    <w:p w14:paraId="40B651EA">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2.验收内容</w:t>
      </w:r>
    </w:p>
    <w:p w14:paraId="041A4EA0">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2.1 设备功能性验收</w:t>
      </w:r>
    </w:p>
    <w:p w14:paraId="34069B66">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2.1.1出厂检验：乙方提供货物的产品合格证。</w:t>
      </w:r>
    </w:p>
    <w:p w14:paraId="13B6914C">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2.1.2到货检验：货物运达目的地后，甲方通知乙方派员及验收部门赴现场共同清验交收，并形成记录材料。清验中，若发现货物由于非甲方原因（包括运输）发生任何损坏、缺陷、缺少或与合同规定的质量标准和规范不符，应做好记录，并由双方代表签字，各执一份，作为甲方向乙方提出修理、更换、索赔的依据。若乙方代表未按约定时间赴现场参加验收，甲方有权自行开箱清点检验，其检验结果和记录对双方同样有效，并作为甲方向乙方索赔的有效证据。</w:t>
      </w:r>
    </w:p>
    <w:p w14:paraId="45114037">
      <w:pPr>
        <w:keepNext w:val="0"/>
        <w:keepLines w:val="0"/>
        <w:pageBreakBefore w:val="0"/>
        <w:kinsoku/>
        <w:wordWrap/>
        <w:overflowPunct/>
        <w:topLinePunct w:val="0"/>
        <w:autoSpaceDE/>
        <w:autoSpaceDN/>
        <w:bidi w:val="0"/>
        <w:spacing w:after="0"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2.1.3安装调试检验：货物安装调整后进行试运行，试用期10天，结束后由甲方组织相关部门进行验收，需满足招标合同要求，并出具验收结果。若对验收结有异议，可由双方委托权威的第三方检验机构进行检验。检验结果对双方都有约束力，检验费用由责任方负担。</w:t>
      </w:r>
    </w:p>
    <w:tbl>
      <w:tblPr>
        <w:tblStyle w:val="45"/>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24"/>
        <w:gridCol w:w="5232"/>
        <w:gridCol w:w="1487"/>
      </w:tblGrid>
      <w:tr w14:paraId="4F92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A54D00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工业互联网边缘计算实训装置验收内容</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218A9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验收指标</w:t>
            </w:r>
          </w:p>
        </w:tc>
        <w:tc>
          <w:tcPr>
            <w:tcW w:w="1487"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EDC738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验收结果</w:t>
            </w:r>
          </w:p>
        </w:tc>
      </w:tr>
      <w:tr w14:paraId="067A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9" w:hRule="atLeast"/>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1A153E6">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质量检测流水线单元</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B56323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包含：驱动传送装置；高度传感器；触摸屏；可编程控制器（PLC）；编码器；工况指示灯；接近开关。</w:t>
            </w:r>
          </w:p>
        </w:tc>
        <w:tc>
          <w:tcPr>
            <w:tcW w:w="1487" w:type="dxa"/>
            <w:vMerge w:val="restar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6D75515">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bidi="ar-SA"/>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7EB6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9" w:hRule="atLeast"/>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BCE00E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试验箱框架</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8F8A1E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采用便携式试验箱设计，尺寸不小于550*400*250mm（长*宽*高）。</w:t>
            </w:r>
          </w:p>
        </w:tc>
        <w:tc>
          <w:tcPr>
            <w:tcW w:w="1487"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C426D1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rPr>
            </w:pPr>
          </w:p>
        </w:tc>
      </w:tr>
      <w:tr w14:paraId="1A53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BD112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工业网络单元</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643458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包含：工业边缘计算网关工业级交换机工业级路由器。</w:t>
            </w:r>
          </w:p>
        </w:tc>
        <w:tc>
          <w:tcPr>
            <w:tcW w:w="1487"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CD6A73C">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bidi="ar-SA"/>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4DCC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217DC90">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工业环境单元</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C557A8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包含：温湿度传感模块；空气质量传感模块。</w:t>
            </w:r>
          </w:p>
        </w:tc>
        <w:tc>
          <w:tcPr>
            <w:tcW w:w="1487"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189D6D1">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bidi="ar-SA"/>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3B5D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82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01A43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碳中和采集单元</w:t>
            </w:r>
          </w:p>
        </w:tc>
        <w:tc>
          <w:tcPr>
            <w:tcW w:w="52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0C0D223">
            <w:pPr>
              <w:pStyle w:val="268"/>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包含：</w:t>
            </w:r>
            <w:r>
              <w:rPr>
                <w:rFonts w:hint="eastAsia" w:ascii="宋体" w:hAnsi="宋体" w:eastAsia="宋体" w:cs="宋体"/>
                <w:color w:val="auto"/>
                <w:sz w:val="21"/>
                <w:szCs w:val="21"/>
              </w:rPr>
              <w:t>电能表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二氧化碳传感模块</w:t>
            </w:r>
            <w:r>
              <w:rPr>
                <w:rFonts w:hint="eastAsia" w:ascii="宋体" w:hAnsi="宋体" w:eastAsia="宋体" w:cs="宋体"/>
                <w:color w:val="auto"/>
                <w:sz w:val="21"/>
                <w:szCs w:val="21"/>
                <w:lang w:eastAsia="zh-CN"/>
              </w:rPr>
              <w:t>。</w:t>
            </w:r>
          </w:p>
        </w:tc>
        <w:tc>
          <w:tcPr>
            <w:tcW w:w="1487"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8334FB3">
            <w:pPr>
              <w:pStyle w:val="268"/>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bl>
    <w:p w14:paraId="6BCF4BA3">
      <w:pPr>
        <w:keepNext w:val="0"/>
        <w:keepLines w:val="0"/>
        <w:pageBreakBefore w:val="0"/>
        <w:numPr>
          <w:ilvl w:val="0"/>
          <w:numId w:val="0"/>
        </w:numPr>
        <w:kinsoku/>
        <w:wordWrap/>
        <w:overflowPunct/>
        <w:topLinePunct w:val="0"/>
        <w:autoSpaceDE/>
        <w:autoSpaceDN/>
        <w:bidi w:val="0"/>
        <w:spacing w:after="0" w:line="360" w:lineRule="auto"/>
        <w:jc w:val="left"/>
        <w:rPr>
          <w:rFonts w:hint="eastAsia" w:ascii="宋体" w:hAnsi="宋体" w:eastAsia="宋体" w:cs="宋体"/>
          <w:color w:val="auto"/>
          <w:sz w:val="21"/>
          <w:szCs w:val="21"/>
        </w:rPr>
      </w:pPr>
    </w:p>
    <w:tbl>
      <w:tblPr>
        <w:tblStyle w:val="45"/>
        <w:tblW w:w="0" w:type="auto"/>
        <w:tblInd w:w="4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6"/>
        <w:gridCol w:w="5194"/>
        <w:gridCol w:w="1500"/>
      </w:tblGrid>
      <w:tr w14:paraId="1644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6" w:hRule="atLeast"/>
        </w:trPr>
        <w:tc>
          <w:tcPr>
            <w:tcW w:w="180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3065811">
            <w:pPr>
              <w:pStyle w:val="268"/>
              <w:keepNext w:val="0"/>
              <w:keepLines w:val="0"/>
              <w:pageBreakBefore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工业边缘计算软件平台</w:t>
            </w:r>
            <w:r>
              <w:rPr>
                <w:rFonts w:hint="eastAsia" w:ascii="宋体" w:hAnsi="宋体" w:eastAsia="宋体" w:cs="宋体"/>
                <w:b/>
                <w:color w:val="auto"/>
                <w:sz w:val="21"/>
                <w:szCs w:val="21"/>
                <w:lang w:val="en-US" w:eastAsia="zh-CN" w:bidi="ar-SA"/>
              </w:rPr>
              <w:t>验收内容</w:t>
            </w: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AF9BFF0">
            <w:pPr>
              <w:pStyle w:val="268"/>
              <w:keepNext w:val="0"/>
              <w:keepLines w:val="0"/>
              <w:pageBreakBefore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验收指标</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8515030">
            <w:pPr>
              <w:pStyle w:val="268"/>
              <w:keepNext w:val="0"/>
              <w:keepLines w:val="0"/>
              <w:pageBreakBefore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验收</w:t>
            </w:r>
            <w:r>
              <w:rPr>
                <w:rFonts w:hint="eastAsia" w:ascii="宋体" w:hAnsi="宋体" w:eastAsia="宋体" w:cs="宋体"/>
                <w:b/>
                <w:color w:val="auto"/>
                <w:sz w:val="21"/>
                <w:szCs w:val="21"/>
                <w:lang w:val="en-US" w:eastAsia="zh-CN"/>
              </w:rPr>
              <w:t>结果</w:t>
            </w:r>
          </w:p>
        </w:tc>
      </w:tr>
      <w:tr w14:paraId="144B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6" w:hRule="atLeast"/>
        </w:trPr>
        <w:tc>
          <w:tcPr>
            <w:tcW w:w="1806" w:type="dxa"/>
            <w:vMerge w:val="restar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8F5F26F">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工业边缘计算软件平台功能</w:t>
            </w: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C615A50">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实时监控中心：支持实时展示网关运行状态数量以及边缘数据接收流水记录</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F3F94C2">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1E67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1"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312CB9B">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7B42C88">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边缘权限管理：组织架构管理:支持角色、人员的增删改操作，角色对应权限配置</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0DEA626">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35B4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2"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AC551AB">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6C55567">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边缘网关管理：支持网关增删改</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5A030F2">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7653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3509595">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D7CECF4">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边缘参数配置:支持网关参数增删改、网关参数实时监控、曲线显示</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0A66068">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7FB7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5"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AE31DCB">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3D397CE">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边缘设备管理：支持设备与网关关联绑定参数</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54C8AF1">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1335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2"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8AE88EE">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042C8C7">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边缘可视化设计：支持零代码可视化开发进行数据画面构建</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7875470">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5533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7"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65C40D9">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D1D3744">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工业仿真模块：拖拉拽设计：支持拖拉拽进行三维场景构建</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D8A0823">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2402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9"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E661254">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B06E776">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工业仿真模块：预制模板：</w:t>
            </w:r>
            <w:r>
              <w:rPr>
                <w:rFonts w:hint="eastAsia" w:ascii="宋体" w:hAnsi="宋体" w:eastAsia="宋体" w:cs="宋体"/>
                <w:color w:val="auto"/>
                <w:sz w:val="21"/>
                <w:szCs w:val="21"/>
              </w:rPr>
              <w:t>提供一套内置</w:t>
            </w:r>
            <w:r>
              <w:rPr>
                <w:rFonts w:hint="eastAsia" w:ascii="宋体" w:hAnsi="宋体" w:eastAsia="宋体" w:cs="宋体"/>
                <w:color w:val="auto"/>
                <w:sz w:val="21"/>
                <w:szCs w:val="21"/>
                <w:lang w:val="en-US" w:eastAsia="zh-CN"/>
              </w:rPr>
              <w:t>模</w:t>
            </w:r>
            <w:r>
              <w:rPr>
                <w:rFonts w:hint="eastAsia" w:ascii="宋体" w:hAnsi="宋体" w:eastAsia="宋体" w:cs="宋体"/>
                <w:color w:val="auto"/>
                <w:sz w:val="21"/>
                <w:szCs w:val="21"/>
              </w:rPr>
              <w:t>板，可快速搭建标准化教学与训练环境。</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2540235">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6B6D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6"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BDDDA5F">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CCC9E0F">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工业仿真模块：</w:t>
            </w:r>
            <w:r>
              <w:rPr>
                <w:rFonts w:hint="eastAsia" w:ascii="宋体" w:hAnsi="宋体" w:eastAsia="宋体" w:cs="宋体"/>
                <w:color w:val="auto"/>
                <w:sz w:val="21"/>
                <w:szCs w:val="21"/>
              </w:rPr>
              <w:t>块化配置：设备、逻辑、通信接口</w:t>
            </w:r>
            <w:r>
              <w:rPr>
                <w:rFonts w:hint="eastAsia" w:ascii="宋体" w:hAnsi="宋体" w:eastAsia="宋体" w:cs="宋体"/>
                <w:color w:val="auto"/>
                <w:sz w:val="21"/>
                <w:szCs w:val="21"/>
                <w:lang w:val="en-US" w:eastAsia="zh-CN"/>
              </w:rPr>
              <w:t>均支持动态配置</w:t>
            </w:r>
            <w:r>
              <w:rPr>
                <w:rFonts w:hint="eastAsia" w:ascii="宋体" w:hAnsi="宋体" w:eastAsia="宋体" w:cs="宋体"/>
                <w:color w:val="auto"/>
                <w:sz w:val="21"/>
                <w:szCs w:val="21"/>
              </w:rPr>
              <w:t>。</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56B0EC07">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65E4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1"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422F9B4">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3CF6855">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工业仿真模块：</w:t>
            </w:r>
            <w:r>
              <w:rPr>
                <w:rFonts w:hint="eastAsia" w:ascii="宋体" w:hAnsi="宋体" w:eastAsia="宋体" w:cs="宋体"/>
                <w:color w:val="auto"/>
                <w:sz w:val="21"/>
                <w:szCs w:val="21"/>
              </w:rPr>
              <w:t>数据配置映射：提供</w:t>
            </w:r>
            <w:r>
              <w:rPr>
                <w:rFonts w:hint="eastAsia" w:ascii="宋体" w:hAnsi="宋体" w:eastAsia="宋体" w:cs="宋体"/>
                <w:color w:val="auto"/>
                <w:sz w:val="21"/>
                <w:szCs w:val="21"/>
                <w:lang w:val="en-US" w:eastAsia="zh-CN"/>
              </w:rPr>
              <w:t>自定义</w:t>
            </w:r>
            <w:r>
              <w:rPr>
                <w:rFonts w:hint="eastAsia" w:ascii="宋体" w:hAnsi="宋体" w:eastAsia="宋体" w:cs="宋体"/>
                <w:color w:val="auto"/>
                <w:sz w:val="21"/>
                <w:szCs w:val="21"/>
              </w:rPr>
              <w:t>数据</w:t>
            </w:r>
            <w:r>
              <w:rPr>
                <w:rFonts w:hint="eastAsia" w:ascii="宋体" w:hAnsi="宋体" w:eastAsia="宋体" w:cs="宋体"/>
                <w:color w:val="auto"/>
                <w:sz w:val="21"/>
                <w:szCs w:val="21"/>
                <w:lang w:val="en-US" w:eastAsia="zh-CN"/>
              </w:rPr>
              <w:t>映射地址</w:t>
            </w:r>
            <w:r>
              <w:rPr>
                <w:rFonts w:hint="eastAsia" w:ascii="宋体" w:hAnsi="宋体" w:eastAsia="宋体" w:cs="宋体"/>
                <w:color w:val="auto"/>
                <w:sz w:val="21"/>
                <w:szCs w:val="21"/>
              </w:rPr>
              <w:t>配置。</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3079DD7">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r w14:paraId="3014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37" w:hRule="atLeast"/>
        </w:trPr>
        <w:tc>
          <w:tcPr>
            <w:tcW w:w="1806" w:type="dxa"/>
            <w:vMerge w:val="continue"/>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549C1E8C">
            <w:pPr>
              <w:pStyle w:val="268"/>
              <w:keepNext w:val="0"/>
              <w:keepLines w:val="0"/>
              <w:pageBreakBefore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color w:val="auto"/>
                <w:sz w:val="21"/>
                <w:szCs w:val="21"/>
                <w:lang w:val="en-US" w:eastAsia="zh-CN" w:bidi="ar-SA"/>
              </w:rPr>
            </w:pPr>
          </w:p>
        </w:tc>
        <w:tc>
          <w:tcPr>
            <w:tcW w:w="519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11C8C91">
            <w:pPr>
              <w:pStyle w:val="101"/>
              <w:keepNext w:val="0"/>
              <w:keepLines w:val="0"/>
              <w:pageBreakBefore w:val="0"/>
              <w:numPr>
                <w:ilvl w:val="0"/>
                <w:numId w:val="0"/>
              </w:numPr>
              <w:kinsoku/>
              <w:wordWrap/>
              <w:overflowPunct/>
              <w:topLinePunct w:val="0"/>
              <w:autoSpaceDE/>
              <w:autoSpaceDN/>
              <w:bidi w:val="0"/>
              <w:adjustRightInd/>
              <w:snapToGrid/>
              <w:spacing w:after="0" w:line="240" w:lineRule="auto"/>
              <w:ind w:left="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工业仿真模块：场景保存与复用：支持用户将已搭建的仿真场景与配置参数进行保存。</w:t>
            </w:r>
          </w:p>
        </w:tc>
        <w:tc>
          <w:tcPr>
            <w:tcW w:w="150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F17B1D8">
            <w:pPr>
              <w:pStyle w:val="268"/>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color w:val="auto"/>
                <w:sz w:val="21"/>
                <w:szCs w:val="21"/>
                <w:lang w:val="en-US" w:eastAsia="zh-CN"/>
              </w:rPr>
            </w:pP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 xml:space="preserve">是  </w:t>
            </w:r>
            <w:r>
              <w:rPr>
                <w:rFonts w:ascii="Wingdings" w:hAnsi="Wingdings" w:eastAsia="Wingdings" w:cs="Wingdings"/>
                <w:color w:val="auto"/>
                <w:sz w:val="21"/>
                <w:szCs w:val="21"/>
                <w:lang w:val="en-US" w:eastAsia="zh-CN"/>
              </w:rPr>
              <w:t>¨</w:t>
            </w:r>
            <w:r>
              <w:rPr>
                <w:rFonts w:hint="eastAsia" w:ascii="宋体" w:hAnsi="宋体" w:eastAsia="宋体" w:cs="宋体"/>
                <w:color w:val="auto"/>
                <w:sz w:val="21"/>
                <w:szCs w:val="21"/>
                <w:lang w:val="en-US" w:eastAsia="zh-CN"/>
              </w:rPr>
              <w:t>否</w:t>
            </w:r>
          </w:p>
        </w:tc>
      </w:tr>
    </w:tbl>
    <w:p w14:paraId="07A4D047">
      <w:pPr>
        <w:keepNext w:val="0"/>
        <w:keepLines w:val="0"/>
        <w:pageBreakBefore w:val="0"/>
        <w:widowControl w:val="0"/>
        <w:kinsoku/>
        <w:wordWrap/>
        <w:overflowPunct/>
        <w:topLinePunct w:val="0"/>
        <w:autoSpaceDE/>
        <w:autoSpaceDN/>
        <w:bidi w:val="0"/>
        <w:spacing w:after="0" w:line="360" w:lineRule="auto"/>
        <w:ind w:left="210" w:leftChars="100" w:firstLine="210" w:firstLineChars="100"/>
        <w:jc w:val="left"/>
        <w:rPr>
          <w:rFonts w:hint="eastAsia" w:ascii="宋体" w:hAnsi="宋体" w:eastAsia="宋体" w:cs="宋体"/>
          <w:color w:val="auto"/>
          <w:sz w:val="21"/>
          <w:szCs w:val="21"/>
        </w:rPr>
      </w:pPr>
      <w:r>
        <w:rPr>
          <w:rFonts w:hint="eastAsia" w:ascii="宋体" w:hAnsi="宋体" w:eastAsia="宋体" w:cs="宋体"/>
          <w:color w:val="auto"/>
          <w:sz w:val="21"/>
          <w:szCs w:val="21"/>
        </w:rPr>
        <w:t>2.1.4配套服务检验：乙方必须提供货物的现场安装、启动、调试、监督等服务；提供标的物组装和一般维修所必须的工具；提供在合同规定的期限内对所提供货物实行运行监督、维修服务的前提条件是该服务并不能免除乙方在质量保证期内所承担的义务；</w:t>
      </w:r>
    </w:p>
    <w:p w14:paraId="564F32A8">
      <w:pPr>
        <w:keepNext w:val="0"/>
        <w:keepLines w:val="0"/>
        <w:pageBreakBefore w:val="0"/>
        <w:widowControl w:val="0"/>
        <w:kinsoku/>
        <w:wordWrap/>
        <w:overflowPunct/>
        <w:topLinePunct w:val="0"/>
        <w:autoSpaceDE/>
        <w:autoSpaceDN/>
        <w:bidi w:val="0"/>
        <w:spacing w:after="0" w:line="360" w:lineRule="auto"/>
        <w:ind w:left="210" w:leftChars="100" w:firstLine="210" w:firstLineChars="100"/>
        <w:jc w:val="left"/>
        <w:rPr>
          <w:rFonts w:hint="eastAsia" w:ascii="宋体" w:hAnsi="宋体" w:eastAsia="宋体" w:cs="宋体"/>
          <w:color w:val="auto"/>
          <w:sz w:val="21"/>
          <w:szCs w:val="21"/>
        </w:rPr>
      </w:pPr>
      <w:r>
        <w:rPr>
          <w:rFonts w:hint="eastAsia" w:ascii="宋体" w:hAnsi="宋体" w:eastAsia="宋体" w:cs="宋体"/>
          <w:color w:val="auto"/>
          <w:sz w:val="21"/>
          <w:szCs w:val="21"/>
        </w:rPr>
        <w:t>2.1.5提出异议的时间和办法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3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除。</w:t>
      </w:r>
    </w:p>
    <w:p w14:paraId="1AEA3824">
      <w:pPr>
        <w:pStyle w:val="23"/>
        <w:keepNext w:val="0"/>
        <w:keepLines w:val="0"/>
        <w:pageBreakBefore w:val="0"/>
        <w:widowControl w:val="0"/>
        <w:kinsoku/>
        <w:wordWrap/>
        <w:overflowPunct/>
        <w:topLinePunct w:val="0"/>
        <w:autoSpaceDE/>
        <w:autoSpaceDN/>
        <w:bidi w:val="0"/>
        <w:spacing w:after="0" w:line="360" w:lineRule="auto"/>
        <w:ind w:firstLine="422"/>
        <w:rPr>
          <w:rFonts w:hAnsi="宋体"/>
          <w:b/>
          <w:color w:val="auto"/>
          <w:szCs w:val="21"/>
        </w:rPr>
      </w:pPr>
      <w:r>
        <w:rPr>
          <w:rFonts w:hint="eastAsia" w:hAnsi="宋体"/>
          <w:b/>
          <w:color w:val="auto"/>
          <w:szCs w:val="21"/>
        </w:rPr>
        <w:t>五、</w:t>
      </w:r>
      <w:bookmarkEnd w:id="13"/>
      <w:bookmarkEnd w:id="14"/>
      <w:bookmarkEnd w:id="15"/>
      <w:bookmarkEnd w:id="16"/>
      <w:bookmarkStart w:id="17" w:name="_Toc154830757"/>
      <w:bookmarkStart w:id="18" w:name="_Toc471819258"/>
      <w:bookmarkStart w:id="19" w:name="_Toc430158366"/>
      <w:bookmarkStart w:id="20" w:name="_Toc251500498"/>
      <w:r>
        <w:rPr>
          <w:rFonts w:hint="eastAsia" w:hAnsi="宋体"/>
          <w:b/>
          <w:color w:val="auto"/>
          <w:szCs w:val="21"/>
        </w:rPr>
        <w:t>履约保证金：</w:t>
      </w:r>
      <w:bookmarkStart w:id="21" w:name="_Hlk514701096"/>
    </w:p>
    <w:p w14:paraId="740DF5D5">
      <w:pPr>
        <w:pStyle w:val="23"/>
        <w:keepNext w:val="0"/>
        <w:keepLines w:val="0"/>
        <w:pageBreakBefore w:val="0"/>
        <w:widowControl w:val="0"/>
        <w:kinsoku/>
        <w:wordWrap/>
        <w:overflowPunct/>
        <w:topLinePunct w:val="0"/>
        <w:autoSpaceDE/>
        <w:autoSpaceDN/>
        <w:bidi w:val="0"/>
        <w:spacing w:after="0" w:line="360" w:lineRule="auto"/>
        <w:ind w:left="210" w:leftChars="100" w:firstLine="315" w:firstLineChars="150"/>
        <w:rPr>
          <w:rFonts w:hAnsi="宋体"/>
          <w:color w:val="auto"/>
          <w:szCs w:val="21"/>
        </w:rPr>
      </w:pPr>
      <w:r>
        <w:rPr>
          <w:rFonts w:hint="eastAsia" w:hAnsi="宋体"/>
          <w:color w:val="auto"/>
          <w:szCs w:val="21"/>
        </w:rPr>
        <w:t>为保障合同的有效履行，签订合同前，乙方应先缴纳合同总额的</w:t>
      </w:r>
      <w:r>
        <w:rPr>
          <w:rFonts w:hint="eastAsia" w:hAnsi="宋体"/>
          <w:color w:val="auto"/>
          <w:szCs w:val="21"/>
          <w:u w:val="single"/>
        </w:rPr>
        <w:t>5%</w:t>
      </w:r>
      <w:r>
        <w:rPr>
          <w:rFonts w:hint="eastAsia" w:hAnsi="宋体"/>
          <w:color w:val="auto"/>
          <w:szCs w:val="21"/>
        </w:rPr>
        <w:t>的履约保证金，计</w:t>
      </w:r>
      <w:r>
        <w:rPr>
          <w:rFonts w:hint="eastAsia" w:hAnsi="宋体"/>
          <w:color w:val="auto"/>
          <w:szCs w:val="21"/>
          <w:u w:val="single"/>
          <w:lang w:val="en-US" w:eastAsia="zh-CN"/>
        </w:rPr>
        <w:t>96925.00</w:t>
      </w:r>
      <w:r>
        <w:rPr>
          <w:rFonts w:hint="eastAsia" w:hAnsi="宋体"/>
          <w:color w:val="auto"/>
          <w:szCs w:val="21"/>
        </w:rPr>
        <w:t>元</w:t>
      </w:r>
      <w:r>
        <w:rPr>
          <w:rFonts w:hint="eastAsia" w:hAnsi="宋体"/>
          <w:color w:val="auto"/>
          <w:szCs w:val="21"/>
          <w:lang w:eastAsia="zh-CN"/>
        </w:rPr>
        <w:t>（</w:t>
      </w:r>
      <w:r>
        <w:rPr>
          <w:rFonts w:hint="eastAsia" w:hAnsi="宋体"/>
          <w:color w:val="auto"/>
          <w:szCs w:val="21"/>
        </w:rPr>
        <w:t>玖万陆仟玖佰贰拾伍元整</w:t>
      </w:r>
      <w:r>
        <w:rPr>
          <w:rFonts w:hint="eastAsia" w:hAnsi="宋体"/>
          <w:color w:val="auto"/>
          <w:szCs w:val="21"/>
          <w:lang w:val="en-US" w:eastAsia="zh-CN"/>
        </w:rPr>
        <w:t>）</w:t>
      </w:r>
      <w:r>
        <w:rPr>
          <w:rFonts w:hint="eastAsia" w:hAnsi="宋体"/>
          <w:color w:val="auto"/>
          <w:szCs w:val="21"/>
        </w:rPr>
        <w:t>；承诺的质保期满后15个工作日内退还履约保证金。（不计息）</w:t>
      </w:r>
    </w:p>
    <w:p w14:paraId="7BE93C5D">
      <w:pPr>
        <w:keepNext w:val="0"/>
        <w:keepLines w:val="0"/>
        <w:pageBreakBefore w:val="0"/>
        <w:widowControl w:val="0"/>
        <w:kinsoku/>
        <w:wordWrap/>
        <w:overflowPunct/>
        <w:topLinePunct w:val="0"/>
        <w:autoSpaceDE/>
        <w:autoSpaceDN/>
        <w:bidi w:val="0"/>
        <w:spacing w:after="0" w:line="360" w:lineRule="auto"/>
        <w:ind w:firstLine="422"/>
        <w:rPr>
          <w:rFonts w:ascii="宋体" w:hAnsi="宋体"/>
          <w:b/>
          <w:color w:val="auto"/>
          <w:szCs w:val="21"/>
        </w:rPr>
      </w:pPr>
      <w:r>
        <w:rPr>
          <w:rFonts w:hint="eastAsia" w:ascii="宋体" w:hAnsi="宋体"/>
          <w:b/>
          <w:color w:val="auto"/>
          <w:szCs w:val="21"/>
        </w:rPr>
        <w:t>六、付款方式：</w:t>
      </w:r>
      <w:bookmarkEnd w:id="21"/>
    </w:p>
    <w:p w14:paraId="7806C0A0">
      <w:pPr>
        <w:keepNext w:val="0"/>
        <w:keepLines w:val="0"/>
        <w:pageBreakBefore w:val="0"/>
        <w:widowControl w:val="0"/>
        <w:kinsoku/>
        <w:wordWrap/>
        <w:overflowPunct/>
        <w:topLinePunct w:val="0"/>
        <w:autoSpaceDE/>
        <w:autoSpaceDN/>
        <w:bidi w:val="0"/>
        <w:spacing w:after="0" w:line="360" w:lineRule="auto"/>
        <w:ind w:firstLine="420"/>
        <w:rPr>
          <w:rFonts w:ascii="宋体" w:hAnsi="宋体" w:cs="宋体"/>
          <w:color w:val="auto"/>
          <w:szCs w:val="21"/>
        </w:rPr>
      </w:pPr>
      <w:r>
        <w:rPr>
          <w:rFonts w:hint="eastAsia" w:ascii="宋体" w:hAnsi="宋体" w:cs="宋体"/>
          <w:color w:val="auto"/>
          <w:szCs w:val="21"/>
        </w:rPr>
        <w:t>本合同经费按以下第</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2</w:t>
      </w:r>
      <w:r>
        <w:rPr>
          <w:rFonts w:hint="eastAsia" w:ascii="宋体" w:hAnsi="宋体" w:cs="宋体"/>
          <w:color w:val="auto"/>
          <w:szCs w:val="21"/>
          <w:u w:val="single"/>
        </w:rPr>
        <w:t xml:space="preserve">  </w:t>
      </w:r>
      <w:r>
        <w:rPr>
          <w:rFonts w:hint="eastAsia" w:ascii="宋体" w:hAnsi="宋体" w:cs="宋体"/>
          <w:color w:val="auto"/>
          <w:szCs w:val="21"/>
        </w:rPr>
        <w:t>种方式支付：</w:t>
      </w:r>
    </w:p>
    <w:p w14:paraId="1EDDE124">
      <w:pPr>
        <w:keepNext w:val="0"/>
        <w:keepLines w:val="0"/>
        <w:pageBreakBefore w:val="0"/>
        <w:widowControl w:val="0"/>
        <w:kinsoku/>
        <w:wordWrap/>
        <w:overflowPunct/>
        <w:topLinePunct w:val="0"/>
        <w:autoSpaceDE/>
        <w:autoSpaceDN/>
        <w:bidi w:val="0"/>
        <w:spacing w:after="0" w:line="360" w:lineRule="auto"/>
        <w:ind w:left="210" w:leftChars="100" w:firstLine="210" w:firstLineChars="100"/>
        <w:rPr>
          <w:rFonts w:ascii="宋体" w:hAnsi="宋体" w:cs="宋体"/>
          <w:color w:val="auto"/>
          <w:szCs w:val="21"/>
        </w:rPr>
      </w:pPr>
      <w:r>
        <w:rPr>
          <w:rFonts w:hint="eastAsia" w:ascii="宋体" w:hAnsi="宋体" w:cs="宋体"/>
          <w:color w:val="auto"/>
          <w:szCs w:val="21"/>
        </w:rPr>
        <w:t>1.一次性支付，支付时间和方式。合同签订后，按验收标准验收合格后15个工作日内付合同总额的1</w:t>
      </w:r>
      <w:r>
        <w:rPr>
          <w:rFonts w:ascii="宋体" w:hAnsi="宋体" w:cs="宋体"/>
          <w:color w:val="auto"/>
          <w:szCs w:val="21"/>
        </w:rPr>
        <w:t>00</w:t>
      </w:r>
      <w:r>
        <w:rPr>
          <w:rFonts w:hint="eastAsia" w:ascii="宋体" w:hAnsi="宋体" w:cs="宋体"/>
          <w:color w:val="auto"/>
          <w:szCs w:val="21"/>
        </w:rPr>
        <w:t>%。</w:t>
      </w:r>
    </w:p>
    <w:p w14:paraId="36AAF0F4">
      <w:pPr>
        <w:keepNext w:val="0"/>
        <w:keepLines w:val="0"/>
        <w:pageBreakBefore w:val="0"/>
        <w:widowControl w:val="0"/>
        <w:kinsoku/>
        <w:wordWrap/>
        <w:overflowPunct/>
        <w:topLinePunct w:val="0"/>
        <w:autoSpaceDE/>
        <w:autoSpaceDN/>
        <w:bidi w:val="0"/>
        <w:spacing w:after="0" w:line="360" w:lineRule="auto"/>
        <w:ind w:firstLine="420"/>
        <w:rPr>
          <w:rFonts w:ascii="宋体" w:hAnsi="宋体" w:cs="宋体"/>
          <w:color w:val="auto"/>
          <w:szCs w:val="21"/>
        </w:rPr>
      </w:pPr>
      <w:r>
        <w:rPr>
          <w:rFonts w:hint="eastAsia" w:ascii="宋体" w:hAnsi="宋体" w:cs="宋体"/>
          <w:color w:val="auto"/>
          <w:szCs w:val="21"/>
        </w:rPr>
        <w:t>2.分期支付，支付时间和方式：</w:t>
      </w:r>
    </w:p>
    <w:p w14:paraId="3EF2E747">
      <w:pPr>
        <w:keepNext w:val="0"/>
        <w:keepLines w:val="0"/>
        <w:pageBreakBefore w:val="0"/>
        <w:widowControl w:val="0"/>
        <w:kinsoku/>
        <w:wordWrap/>
        <w:overflowPunct/>
        <w:topLinePunct w:val="0"/>
        <w:autoSpaceDE/>
        <w:autoSpaceDN/>
        <w:bidi w:val="0"/>
        <w:spacing w:after="0" w:line="360" w:lineRule="auto"/>
        <w:ind w:firstLine="420"/>
        <w:rPr>
          <w:rFonts w:ascii="宋体" w:hAnsi="宋体" w:cs="宋体"/>
          <w:color w:val="auto"/>
          <w:szCs w:val="21"/>
        </w:rPr>
      </w:pPr>
      <w:r>
        <w:rPr>
          <w:rFonts w:hint="eastAsia" w:ascii="宋体" w:hAnsi="宋体" w:cs="宋体"/>
          <w:color w:val="auto"/>
          <w:szCs w:val="21"/>
        </w:rPr>
        <w:t>（1）合同签订后15个工作日内甲方支付给乙方合同总额的</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35</w:t>
      </w:r>
      <w:r>
        <w:rPr>
          <w:rFonts w:hint="eastAsia" w:ascii="宋体" w:hAnsi="宋体" w:cs="宋体"/>
          <w:color w:val="auto"/>
          <w:szCs w:val="21"/>
          <w:u w:val="single"/>
        </w:rPr>
        <w:t xml:space="preserve"> </w:t>
      </w:r>
      <w:r>
        <w:rPr>
          <w:rFonts w:hint="eastAsia" w:ascii="宋体" w:hAnsi="宋体" w:cs="宋体"/>
          <w:color w:val="auto"/>
          <w:szCs w:val="21"/>
        </w:rPr>
        <w:t xml:space="preserve">  %作为预付款；</w:t>
      </w:r>
    </w:p>
    <w:p w14:paraId="6EFEC3D9">
      <w:pPr>
        <w:keepNext w:val="0"/>
        <w:keepLines w:val="0"/>
        <w:pageBreakBefore w:val="0"/>
        <w:widowControl w:val="0"/>
        <w:kinsoku/>
        <w:wordWrap/>
        <w:overflowPunct/>
        <w:topLinePunct w:val="0"/>
        <w:autoSpaceDE/>
        <w:autoSpaceDN/>
        <w:bidi w:val="0"/>
        <w:spacing w:after="0" w:line="360" w:lineRule="auto"/>
        <w:ind w:firstLine="420"/>
        <w:rPr>
          <w:rFonts w:ascii="宋体" w:hAnsi="宋体" w:cs="宋体"/>
          <w:color w:val="auto"/>
          <w:szCs w:val="21"/>
        </w:rPr>
      </w:pPr>
      <w:r>
        <w:rPr>
          <w:rFonts w:hint="eastAsia" w:ascii="宋体" w:hAnsi="宋体" w:cs="宋体"/>
          <w:color w:val="auto"/>
          <w:szCs w:val="21"/>
        </w:rPr>
        <w:t>（2）余款</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lang w:val="en-US" w:eastAsia="zh-CN"/>
        </w:rPr>
        <w:t>65</w:t>
      </w:r>
      <w:r>
        <w:rPr>
          <w:rFonts w:ascii="宋体" w:hAnsi="宋体" w:cs="宋体"/>
          <w:color w:val="auto"/>
          <w:szCs w:val="21"/>
          <w:u w:val="single"/>
        </w:rPr>
        <w:t xml:space="preserve">%  </w:t>
      </w:r>
      <w:r>
        <w:rPr>
          <w:rFonts w:hint="eastAsia" w:ascii="宋体" w:hAnsi="宋体" w:cs="宋体"/>
          <w:color w:val="auto"/>
          <w:szCs w:val="21"/>
        </w:rPr>
        <w:t>待验收合格后15个工作日付清。</w:t>
      </w:r>
    </w:p>
    <w:p w14:paraId="2E752F43">
      <w:pPr>
        <w:keepNext w:val="0"/>
        <w:keepLines w:val="0"/>
        <w:pageBreakBefore w:val="0"/>
        <w:widowControl w:val="0"/>
        <w:kinsoku/>
        <w:wordWrap/>
        <w:overflowPunct/>
        <w:topLinePunct w:val="0"/>
        <w:autoSpaceDE/>
        <w:autoSpaceDN/>
        <w:bidi w:val="0"/>
        <w:spacing w:after="0" w:line="360" w:lineRule="auto"/>
        <w:ind w:firstLine="420"/>
        <w:rPr>
          <w:rFonts w:ascii="宋体" w:hAnsi="宋体" w:cs="宋体"/>
          <w:color w:val="auto"/>
          <w:szCs w:val="21"/>
        </w:rPr>
      </w:pPr>
      <w:r>
        <w:rPr>
          <w:rFonts w:hint="eastAsia" w:ascii="宋体" w:hAnsi="宋体" w:cs="宋体"/>
          <w:color w:val="auto"/>
          <w:szCs w:val="21"/>
        </w:rPr>
        <w:t>3.其他约定的支付方式，约定如下：</w:t>
      </w:r>
      <w:r>
        <w:rPr>
          <w:rFonts w:hint="eastAsia" w:ascii="宋体" w:hAnsi="宋体" w:cs="宋体"/>
          <w:color w:val="auto"/>
          <w:szCs w:val="21"/>
          <w:u w:val="single"/>
        </w:rPr>
        <w:t xml:space="preserve">                       ；</w:t>
      </w:r>
    </w:p>
    <w:p w14:paraId="5F0BFD1F">
      <w:pPr>
        <w:keepNext w:val="0"/>
        <w:keepLines w:val="0"/>
        <w:pageBreakBefore w:val="0"/>
        <w:widowControl w:val="0"/>
        <w:kinsoku/>
        <w:wordWrap/>
        <w:overflowPunct/>
        <w:topLinePunct w:val="0"/>
        <w:autoSpaceDE/>
        <w:autoSpaceDN/>
        <w:bidi w:val="0"/>
        <w:spacing w:after="0" w:line="360" w:lineRule="auto"/>
        <w:ind w:firstLine="422"/>
        <w:rPr>
          <w:rFonts w:ascii="宋体" w:hAnsi="宋体"/>
          <w:b/>
          <w:bCs/>
          <w:color w:val="auto"/>
          <w:szCs w:val="21"/>
        </w:rPr>
      </w:pPr>
      <w:r>
        <w:rPr>
          <w:rFonts w:hint="eastAsia" w:ascii="宋体" w:hAnsi="宋体"/>
          <w:b/>
          <w:bCs/>
          <w:color w:val="auto"/>
          <w:szCs w:val="21"/>
        </w:rPr>
        <w:t>七、质量保证期与售后服务</w:t>
      </w:r>
      <w:bookmarkEnd w:id="17"/>
      <w:bookmarkEnd w:id="18"/>
      <w:bookmarkEnd w:id="19"/>
      <w:bookmarkEnd w:id="20"/>
    </w:p>
    <w:p w14:paraId="6CC979E0">
      <w:pPr>
        <w:keepNext w:val="0"/>
        <w:keepLines w:val="0"/>
        <w:pageBreakBefore w:val="0"/>
        <w:widowControl w:val="0"/>
        <w:kinsoku/>
        <w:wordWrap/>
        <w:overflowPunct/>
        <w:topLinePunct w:val="0"/>
        <w:autoSpaceDE/>
        <w:autoSpaceDN/>
        <w:bidi w:val="0"/>
        <w:spacing w:after="0" w:line="360" w:lineRule="auto"/>
        <w:rPr>
          <w:rFonts w:ascii="宋体" w:hAnsi="宋体"/>
          <w:color w:val="auto"/>
          <w:szCs w:val="21"/>
        </w:rPr>
      </w:pPr>
      <w:r>
        <w:rPr>
          <w:rFonts w:hint="eastAsia" w:ascii="宋体" w:hAnsi="宋体"/>
          <w:color w:val="auto"/>
          <w:szCs w:val="21"/>
        </w:rPr>
        <w:t xml:space="preserve">    1.质量保证期为自物资设备验收合格并通过试运后</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1</w:t>
      </w:r>
      <w:r>
        <w:rPr>
          <w:rFonts w:ascii="宋体" w:hAnsi="宋体"/>
          <w:color w:val="auto"/>
          <w:szCs w:val="21"/>
          <w:u w:val="single"/>
        </w:rPr>
        <w:t xml:space="preserve">  </w:t>
      </w:r>
      <w:r>
        <w:rPr>
          <w:rFonts w:hint="eastAsia" w:ascii="宋体" w:hAnsi="宋体"/>
          <w:color w:val="auto"/>
          <w:szCs w:val="21"/>
        </w:rPr>
        <w:t>年。</w:t>
      </w:r>
    </w:p>
    <w:p w14:paraId="0A76BED4">
      <w:pPr>
        <w:pStyle w:val="23"/>
        <w:keepNext w:val="0"/>
        <w:keepLines w:val="0"/>
        <w:pageBreakBefore w:val="0"/>
        <w:widowControl w:val="0"/>
        <w:kinsoku/>
        <w:wordWrap/>
        <w:overflowPunct/>
        <w:topLinePunct w:val="0"/>
        <w:autoSpaceDE/>
        <w:autoSpaceDN/>
        <w:bidi w:val="0"/>
        <w:spacing w:after="0" w:line="360" w:lineRule="auto"/>
        <w:ind w:firstLine="420"/>
        <w:rPr>
          <w:rFonts w:hint="eastAsia" w:ascii="宋体" w:hAnsi="宋体"/>
          <w:color w:val="auto"/>
          <w:szCs w:val="21"/>
        </w:rPr>
      </w:pPr>
      <w:r>
        <w:rPr>
          <w:rFonts w:hint="eastAsia" w:ascii="宋体" w:hAnsi="宋体"/>
          <w:color w:val="auto"/>
          <w:szCs w:val="21"/>
        </w:rPr>
        <w:t>2. 售后服务</w:t>
      </w:r>
    </w:p>
    <w:p w14:paraId="4085F4CE">
      <w:pPr>
        <w:pStyle w:val="23"/>
        <w:keepNext w:val="0"/>
        <w:keepLines w:val="0"/>
        <w:pageBreakBefore w:val="0"/>
        <w:widowControl w:val="0"/>
        <w:kinsoku/>
        <w:wordWrap/>
        <w:overflowPunct/>
        <w:topLinePunct w:val="0"/>
        <w:autoSpaceDE/>
        <w:autoSpaceDN/>
        <w:bidi w:val="0"/>
        <w:spacing w:after="0" w:line="360" w:lineRule="auto"/>
        <w:ind w:left="210" w:leftChars="100" w:firstLine="210" w:firstLineChars="100"/>
        <w:rPr>
          <w:rFonts w:hint="eastAsia" w:ascii="宋体" w:hAnsi="宋体"/>
          <w:color w:val="auto"/>
          <w:szCs w:val="21"/>
        </w:rPr>
      </w:pPr>
      <w:r>
        <w:rPr>
          <w:rFonts w:hint="eastAsia" w:ascii="宋体" w:hAnsi="宋体"/>
          <w:color w:val="auto"/>
          <w:szCs w:val="21"/>
        </w:rPr>
        <w:t>（1）质保期内，中标人负责联系产品厂家对其提供的设备、软件进行维修或更换，不收取额外费用。</w:t>
      </w:r>
    </w:p>
    <w:p w14:paraId="7E24B6E6">
      <w:pPr>
        <w:pStyle w:val="23"/>
        <w:keepNext w:val="0"/>
        <w:keepLines w:val="0"/>
        <w:pageBreakBefore w:val="0"/>
        <w:widowControl w:val="0"/>
        <w:kinsoku/>
        <w:wordWrap/>
        <w:overflowPunct/>
        <w:topLinePunct w:val="0"/>
        <w:autoSpaceDE/>
        <w:autoSpaceDN/>
        <w:bidi w:val="0"/>
        <w:spacing w:after="0" w:line="360" w:lineRule="auto"/>
        <w:ind w:left="210" w:leftChars="100" w:firstLine="210" w:firstLineChars="100"/>
        <w:rPr>
          <w:rFonts w:hint="eastAsia" w:ascii="宋体" w:hAnsi="宋体"/>
          <w:color w:val="auto"/>
          <w:szCs w:val="21"/>
        </w:rPr>
      </w:pPr>
      <w:r>
        <w:rPr>
          <w:rFonts w:hint="eastAsia" w:ascii="宋体" w:hAnsi="宋体"/>
          <w:color w:val="auto"/>
          <w:szCs w:val="21"/>
        </w:rPr>
        <w:t>（2）质保期内，在接到校方报修通知后，中标人维修人员需按约定赶到现场提供故障排除服务，如涉及非本次采购的其他网络设备故障，仍需协助校方排除故障，直至校方系统完全恢复正常。</w:t>
      </w:r>
    </w:p>
    <w:p w14:paraId="797D0338">
      <w:pPr>
        <w:pStyle w:val="23"/>
        <w:keepNext w:val="0"/>
        <w:keepLines w:val="0"/>
        <w:pageBreakBefore w:val="0"/>
        <w:widowControl w:val="0"/>
        <w:kinsoku/>
        <w:wordWrap/>
        <w:overflowPunct/>
        <w:topLinePunct w:val="0"/>
        <w:autoSpaceDE/>
        <w:autoSpaceDN/>
        <w:bidi w:val="0"/>
        <w:spacing w:after="0" w:line="360" w:lineRule="auto"/>
        <w:ind w:left="210" w:leftChars="100" w:firstLine="210" w:firstLineChars="100"/>
        <w:rPr>
          <w:rFonts w:hint="eastAsia" w:ascii="宋体" w:hAnsi="宋体"/>
          <w:color w:val="auto"/>
          <w:szCs w:val="21"/>
        </w:rPr>
      </w:pPr>
      <w:r>
        <w:rPr>
          <w:rFonts w:hint="eastAsia" w:ascii="宋体" w:hAnsi="宋体"/>
          <w:color w:val="auto"/>
          <w:szCs w:val="21"/>
        </w:rPr>
        <w:t>（3）超过质保期的设备，如遇生产厂商产品调整停止生产，中标人需提前通知校方，并同时告知可替代的新产品。如设备发生硬件故障，校方仍需维修时，中标人应按当时同类产品的市场维修价格提供产品维修。</w:t>
      </w:r>
    </w:p>
    <w:p w14:paraId="7E141D0C">
      <w:pPr>
        <w:pStyle w:val="23"/>
        <w:keepNext w:val="0"/>
        <w:keepLines w:val="0"/>
        <w:pageBreakBefore w:val="0"/>
        <w:widowControl w:val="0"/>
        <w:kinsoku/>
        <w:wordWrap/>
        <w:overflowPunct/>
        <w:topLinePunct w:val="0"/>
        <w:autoSpaceDE/>
        <w:autoSpaceDN/>
        <w:bidi w:val="0"/>
        <w:spacing w:after="0" w:line="360" w:lineRule="auto"/>
        <w:ind w:left="210" w:leftChars="100" w:firstLine="210" w:firstLineChars="100"/>
        <w:rPr>
          <w:rFonts w:hAnsi="宋体"/>
          <w:color w:val="auto"/>
          <w:szCs w:val="21"/>
        </w:rPr>
      </w:pPr>
      <w:r>
        <w:rPr>
          <w:rFonts w:hint="eastAsia" w:ascii="宋体" w:hAnsi="宋体"/>
          <w:color w:val="auto"/>
          <w:szCs w:val="21"/>
        </w:rPr>
        <w:t>（4）技术培训要求：投标人应安排专业技术人员提供现场技术培训，保证使用人员能正常操作设备的各种功能。</w:t>
      </w:r>
    </w:p>
    <w:p w14:paraId="50547A15">
      <w:pPr>
        <w:keepNext w:val="0"/>
        <w:keepLines w:val="0"/>
        <w:pageBreakBefore w:val="0"/>
        <w:widowControl w:val="0"/>
        <w:kinsoku/>
        <w:wordWrap/>
        <w:overflowPunct/>
        <w:topLinePunct w:val="0"/>
        <w:autoSpaceDE/>
        <w:autoSpaceDN/>
        <w:bidi w:val="0"/>
        <w:spacing w:after="0" w:line="360" w:lineRule="auto"/>
        <w:ind w:firstLine="422"/>
        <w:rPr>
          <w:color w:val="auto"/>
        </w:rPr>
      </w:pPr>
      <w:bookmarkStart w:id="22" w:name="_Toc430158367"/>
      <w:bookmarkStart w:id="23" w:name="_Toc471819259"/>
      <w:bookmarkStart w:id="24" w:name="_Toc154830758"/>
      <w:bookmarkStart w:id="25" w:name="_Toc251500499"/>
      <w:r>
        <w:rPr>
          <w:rFonts w:hint="eastAsia" w:ascii="宋体" w:hAnsi="宋体"/>
          <w:b/>
          <w:bCs/>
          <w:color w:val="auto"/>
          <w:szCs w:val="21"/>
        </w:rPr>
        <w:t>八、违约责任</w:t>
      </w:r>
      <w:bookmarkEnd w:id="22"/>
      <w:bookmarkEnd w:id="23"/>
      <w:bookmarkEnd w:id="24"/>
      <w:bookmarkEnd w:id="25"/>
    </w:p>
    <w:p w14:paraId="1162C9FA">
      <w:pPr>
        <w:pStyle w:val="23"/>
        <w:keepNext w:val="0"/>
        <w:keepLines w:val="0"/>
        <w:pageBreakBefore w:val="0"/>
        <w:widowControl w:val="0"/>
        <w:kinsoku/>
        <w:wordWrap/>
        <w:overflowPunct/>
        <w:topLinePunct w:val="0"/>
        <w:autoSpaceDE/>
        <w:autoSpaceDN/>
        <w:bidi w:val="0"/>
        <w:spacing w:after="0" w:line="360" w:lineRule="auto"/>
        <w:ind w:firstLine="315"/>
        <w:rPr>
          <w:rFonts w:hAnsi="宋体"/>
          <w:color w:val="auto"/>
          <w:szCs w:val="21"/>
        </w:rPr>
      </w:pPr>
      <w:r>
        <w:rPr>
          <w:rFonts w:hint="eastAsia" w:hAnsi="宋体"/>
          <w:color w:val="auto"/>
          <w:szCs w:val="21"/>
        </w:rPr>
        <w:t>1、乙方不履行或未按约定要求完全履行合同，甲方有权扣除履约保证金作为违约金。</w:t>
      </w:r>
    </w:p>
    <w:p w14:paraId="48F54BA8">
      <w:pPr>
        <w:pStyle w:val="23"/>
        <w:keepNext w:val="0"/>
        <w:keepLines w:val="0"/>
        <w:pageBreakBefore w:val="0"/>
        <w:widowControl w:val="0"/>
        <w:kinsoku/>
        <w:wordWrap/>
        <w:overflowPunct/>
        <w:topLinePunct w:val="0"/>
        <w:autoSpaceDE/>
        <w:autoSpaceDN/>
        <w:bidi w:val="0"/>
        <w:spacing w:after="0" w:line="360" w:lineRule="auto"/>
        <w:ind w:left="210" w:leftChars="100" w:firstLine="105" w:firstLineChars="50"/>
        <w:rPr>
          <w:rFonts w:hAnsi="宋体"/>
          <w:color w:val="auto"/>
          <w:szCs w:val="21"/>
        </w:rPr>
      </w:pPr>
      <w:r>
        <w:rPr>
          <w:rFonts w:hint="eastAsia" w:hAnsi="宋体"/>
          <w:color w:val="auto"/>
          <w:szCs w:val="21"/>
        </w:rPr>
        <w:t>2、乙方逾期交货或者甲方逾期付款,应向对方支付违约金,迟延履行违约金以逾期部分价款总额每日千分之</w:t>
      </w:r>
      <w:r>
        <w:rPr>
          <w:rFonts w:hint="eastAsia" w:hAnsi="宋体"/>
          <w:color w:val="auto"/>
          <w:szCs w:val="21"/>
          <w:u w:val="single"/>
        </w:rPr>
        <w:t xml:space="preserve"> 八  </w:t>
      </w:r>
      <w:r>
        <w:rPr>
          <w:rFonts w:hint="eastAsia" w:hAnsi="宋体"/>
          <w:color w:val="auto"/>
          <w:szCs w:val="21"/>
        </w:rPr>
        <w:t>计算。任何一方逾期履行超过</w:t>
      </w:r>
      <w:r>
        <w:rPr>
          <w:rFonts w:hint="eastAsia" w:hAnsi="宋体"/>
          <w:color w:val="auto"/>
          <w:szCs w:val="21"/>
          <w:u w:val="single"/>
        </w:rPr>
        <w:t xml:space="preserve"> 十  </w:t>
      </w:r>
      <w:r>
        <w:rPr>
          <w:rFonts w:hint="eastAsia" w:hAnsi="宋体"/>
          <w:color w:val="auto"/>
          <w:szCs w:val="21"/>
        </w:rPr>
        <w:t>天，应当以逾期部分价款总额5％向对方支付</w:t>
      </w:r>
      <w:r>
        <w:rPr>
          <w:rFonts w:hint="eastAsia" w:hAnsi="宋体"/>
          <w:color w:val="auto"/>
          <w:szCs w:val="21"/>
          <w:lang w:val="en-US" w:eastAsia="zh-CN"/>
        </w:rPr>
        <w:t xml:space="preserve"> </w:t>
      </w:r>
      <w:r>
        <w:rPr>
          <w:rFonts w:hint="eastAsia" w:hAnsi="宋体"/>
          <w:color w:val="auto"/>
          <w:szCs w:val="21"/>
        </w:rPr>
        <w:t>违约金，守约方有权解除合同或要求继续履行合同。</w:t>
      </w:r>
    </w:p>
    <w:p w14:paraId="20ED8DA0">
      <w:pPr>
        <w:pStyle w:val="23"/>
        <w:keepNext w:val="0"/>
        <w:keepLines w:val="0"/>
        <w:pageBreakBefore w:val="0"/>
        <w:widowControl w:val="0"/>
        <w:kinsoku/>
        <w:wordWrap/>
        <w:overflowPunct/>
        <w:topLinePunct w:val="0"/>
        <w:autoSpaceDE/>
        <w:autoSpaceDN/>
        <w:bidi w:val="0"/>
        <w:spacing w:after="0" w:line="360" w:lineRule="auto"/>
        <w:ind w:left="210" w:leftChars="100" w:firstLine="105" w:firstLineChars="50"/>
        <w:rPr>
          <w:rFonts w:hint="eastAsia" w:hAnsi="宋体"/>
          <w:color w:val="auto"/>
          <w:szCs w:val="21"/>
        </w:rPr>
      </w:pPr>
      <w:r>
        <w:rPr>
          <w:rFonts w:hint="eastAsia" w:hAnsi="宋体"/>
          <w:color w:val="auto"/>
          <w:szCs w:val="21"/>
        </w:rPr>
        <w:t>3、提供的部件不符合谈判文件的技术要求，必须按要求进行修复、拆除或重新采购；若乙方拒不按要求更正的，将对乙方处以不低于5倍的罚款（按不合格部件价值计算），且乙方应承担由此</w:t>
      </w:r>
      <w:r>
        <w:rPr>
          <w:rFonts w:hint="eastAsia" w:hAnsi="宋体"/>
          <w:color w:val="auto"/>
          <w:szCs w:val="21"/>
          <w:lang w:val="en-US" w:eastAsia="zh-CN"/>
        </w:rPr>
        <w:t xml:space="preserve"> </w:t>
      </w:r>
      <w:r>
        <w:rPr>
          <w:rFonts w:hint="eastAsia" w:hAnsi="宋体"/>
          <w:color w:val="auto"/>
          <w:szCs w:val="21"/>
        </w:rPr>
        <w:t>发生的一切费用，延误的工期不予顺延。</w:t>
      </w:r>
    </w:p>
    <w:p w14:paraId="11390E34">
      <w:pPr>
        <w:pStyle w:val="4"/>
        <w:rPr>
          <w:rFonts w:hint="default" w:ascii="宋体" w:hAnsi="宋体" w:eastAsia="宋体" w:cs="Times New Roman"/>
          <w:color w:val="auto"/>
          <w:kern w:val="2"/>
          <w:sz w:val="21"/>
          <w:szCs w:val="21"/>
          <w:lang w:val="en-US" w:eastAsia="zh-CN" w:bidi="ar-SA"/>
        </w:rPr>
      </w:pPr>
      <w:r>
        <w:rPr>
          <w:rFonts w:hint="eastAsia" w:hAnsi="宋体"/>
          <w:color w:val="auto"/>
          <w:szCs w:val="21"/>
          <w:lang w:val="en-US" w:eastAsia="zh-CN"/>
        </w:rPr>
        <w:t>4、</w:t>
      </w:r>
      <w:r>
        <w:rPr>
          <w:rFonts w:hint="eastAsia" w:ascii="宋体" w:hAnsi="宋体" w:eastAsia="宋体" w:cs="Times New Roman"/>
          <w:color w:val="auto"/>
          <w:kern w:val="2"/>
          <w:sz w:val="21"/>
          <w:szCs w:val="21"/>
          <w:lang w:val="en-US" w:eastAsia="zh-CN" w:bidi="ar-SA"/>
        </w:rPr>
        <w:t>验收不合格甲方可以解除合同，乙方全额退还预付款，并按照合同总额20%支付违约金</w:t>
      </w:r>
      <w:r>
        <w:rPr>
          <w:rFonts w:hint="eastAsia" w:hAnsi="宋体" w:cs="Times New Roman"/>
          <w:color w:val="auto"/>
          <w:kern w:val="2"/>
          <w:sz w:val="21"/>
          <w:szCs w:val="21"/>
          <w:lang w:val="en-US" w:eastAsia="zh-CN" w:bidi="ar-SA"/>
        </w:rPr>
        <w:t>。</w:t>
      </w:r>
    </w:p>
    <w:p w14:paraId="5EC655E3">
      <w:pPr>
        <w:keepNext w:val="0"/>
        <w:keepLines w:val="0"/>
        <w:pageBreakBefore w:val="0"/>
        <w:widowControl w:val="0"/>
        <w:kinsoku/>
        <w:wordWrap/>
        <w:overflowPunct/>
        <w:topLinePunct w:val="0"/>
        <w:autoSpaceDE/>
        <w:autoSpaceDN/>
        <w:bidi w:val="0"/>
        <w:spacing w:after="0" w:line="360" w:lineRule="auto"/>
        <w:ind w:firstLine="422"/>
        <w:rPr>
          <w:rFonts w:ascii="宋体" w:hAnsi="宋体"/>
          <w:b/>
          <w:color w:val="auto"/>
          <w:szCs w:val="21"/>
        </w:rPr>
      </w:pPr>
      <w:r>
        <w:rPr>
          <w:rFonts w:hint="eastAsia" w:ascii="宋体" w:hAnsi="宋体"/>
          <w:b/>
          <w:color w:val="auto"/>
          <w:szCs w:val="21"/>
        </w:rPr>
        <w:t>九、不可抗力</w:t>
      </w:r>
    </w:p>
    <w:p w14:paraId="2D796055">
      <w:pPr>
        <w:keepNext w:val="0"/>
        <w:keepLines w:val="0"/>
        <w:pageBreakBefore w:val="0"/>
        <w:widowControl w:val="0"/>
        <w:kinsoku/>
        <w:wordWrap/>
        <w:overflowPunct/>
        <w:topLinePunct w:val="0"/>
        <w:autoSpaceDE/>
        <w:autoSpaceDN/>
        <w:bidi w:val="0"/>
        <w:spacing w:after="0" w:line="360" w:lineRule="auto"/>
        <w:ind w:firstLine="420"/>
        <w:jc w:val="left"/>
        <w:rPr>
          <w:rFonts w:ascii="宋体" w:hAnsi="宋体"/>
          <w:color w:val="auto"/>
          <w:szCs w:val="21"/>
        </w:rPr>
      </w:pPr>
      <w:r>
        <w:rPr>
          <w:rFonts w:hint="eastAsia" w:ascii="宋体" w:hAnsi="宋体"/>
          <w:color w:val="auto"/>
          <w:szCs w:val="21"/>
        </w:rPr>
        <w:t>1.本合同所称不可抗力，是指不能预见、不能避免并不能克服的客观情况。</w:t>
      </w:r>
    </w:p>
    <w:p w14:paraId="53A35E2F">
      <w:pPr>
        <w:keepNext w:val="0"/>
        <w:keepLines w:val="0"/>
        <w:pageBreakBefore w:val="0"/>
        <w:widowControl w:val="0"/>
        <w:kinsoku/>
        <w:wordWrap/>
        <w:overflowPunct/>
        <w:topLinePunct w:val="0"/>
        <w:autoSpaceDE/>
        <w:autoSpaceDN/>
        <w:bidi w:val="0"/>
        <w:spacing w:after="0" w:line="360" w:lineRule="auto"/>
        <w:ind w:left="210" w:leftChars="100" w:firstLine="210" w:firstLineChars="100"/>
        <w:jc w:val="left"/>
        <w:rPr>
          <w:rFonts w:ascii="宋体" w:hAnsi="宋体"/>
          <w:color w:val="auto"/>
          <w:szCs w:val="21"/>
        </w:rPr>
      </w:pPr>
      <w:r>
        <w:rPr>
          <w:rFonts w:hint="eastAsia" w:ascii="宋体" w:hAnsi="宋体"/>
          <w:color w:val="auto"/>
          <w:szCs w:val="21"/>
        </w:rPr>
        <w:t>2.由于不可抗力事件，致使一方在履行其本合同项下的义务过程遇到的障碍或延误，不能按规定的条款全部或部分履行其义务的，遇到不可抗力事件的一方（受阻方），不应视为违反本合同。</w:t>
      </w:r>
    </w:p>
    <w:p w14:paraId="2935CD40">
      <w:pPr>
        <w:keepNext w:val="0"/>
        <w:keepLines w:val="0"/>
        <w:pageBreakBefore w:val="0"/>
        <w:widowControl w:val="0"/>
        <w:kinsoku/>
        <w:wordWrap/>
        <w:overflowPunct/>
        <w:topLinePunct w:val="0"/>
        <w:autoSpaceDE/>
        <w:autoSpaceDN/>
        <w:bidi w:val="0"/>
        <w:spacing w:after="0" w:line="360" w:lineRule="auto"/>
        <w:ind w:left="210" w:leftChars="100" w:firstLine="210" w:firstLineChars="100"/>
        <w:jc w:val="left"/>
        <w:rPr>
          <w:rFonts w:ascii="宋体" w:hAnsi="宋体"/>
          <w:color w:val="auto"/>
          <w:szCs w:val="21"/>
        </w:rPr>
      </w:pPr>
      <w:r>
        <w:rPr>
          <w:rFonts w:hint="eastAsia" w:ascii="宋体" w:hAnsi="宋体"/>
          <w:color w:val="auto"/>
          <w:szCs w:val="21"/>
        </w:rPr>
        <w:t>3.不可抗力事件终止或被排除后，受阻方应继续履行本合同，并应立即通知另一方。受阻方可以延长履行义务的时间，延长期应相当于不可抗力事件实际造成延误的时间。</w:t>
      </w:r>
    </w:p>
    <w:p w14:paraId="31E5D0F3">
      <w:pPr>
        <w:pStyle w:val="17"/>
        <w:keepNext w:val="0"/>
        <w:keepLines w:val="0"/>
        <w:pageBreakBefore w:val="0"/>
        <w:widowControl w:val="0"/>
        <w:kinsoku/>
        <w:wordWrap/>
        <w:overflowPunct/>
        <w:topLinePunct w:val="0"/>
        <w:autoSpaceDE/>
        <w:autoSpaceDN/>
        <w:bidi w:val="0"/>
        <w:spacing w:before="0" w:after="0" w:line="360" w:lineRule="auto"/>
        <w:ind w:firstLine="482"/>
        <w:rPr>
          <w:rFonts w:ascii="宋体" w:hAnsi="宋体"/>
          <w:b/>
          <w:bCs/>
          <w:color w:val="auto"/>
          <w:szCs w:val="21"/>
        </w:rPr>
      </w:pPr>
      <w:r>
        <w:rPr>
          <w:rFonts w:hint="eastAsia" w:ascii="宋体" w:hAnsi="宋体"/>
          <w:b/>
          <w:bCs/>
          <w:color w:val="auto"/>
          <w:szCs w:val="21"/>
        </w:rPr>
        <w:t>十、</w:t>
      </w:r>
      <w:r>
        <w:rPr>
          <w:rFonts w:hint="eastAsia" w:ascii="宋体" w:hAnsi="宋体"/>
          <w:b/>
          <w:color w:val="auto"/>
          <w:szCs w:val="21"/>
        </w:rPr>
        <w:t>合同纠纷处理</w:t>
      </w:r>
    </w:p>
    <w:p w14:paraId="2310DF7A">
      <w:pPr>
        <w:pStyle w:val="23"/>
        <w:keepNext w:val="0"/>
        <w:keepLines w:val="0"/>
        <w:pageBreakBefore w:val="0"/>
        <w:widowControl w:val="0"/>
        <w:kinsoku/>
        <w:wordWrap/>
        <w:overflowPunct/>
        <w:topLinePunct w:val="0"/>
        <w:autoSpaceDE/>
        <w:autoSpaceDN/>
        <w:bidi w:val="0"/>
        <w:spacing w:after="0" w:line="360" w:lineRule="auto"/>
        <w:ind w:firstLine="210" w:firstLineChars="100"/>
        <w:rPr>
          <w:rFonts w:hint="eastAsia" w:ascii="宋体" w:hAnsi="宋体" w:eastAsia="宋体"/>
          <w:b w:val="0"/>
          <w:bCs/>
          <w:color w:val="auto"/>
          <w:szCs w:val="21"/>
        </w:rPr>
      </w:pPr>
      <w:r>
        <w:rPr>
          <w:rFonts w:hint="eastAsia" w:ascii="宋体" w:hAnsi="宋体" w:eastAsia="宋体"/>
          <w:b w:val="0"/>
          <w:bCs/>
          <w:color w:val="auto"/>
          <w:szCs w:val="21"/>
        </w:rPr>
        <w:t>因履行本合同发生争议，由双方协商解决，解决不成则提交常州仲裁委员会仲裁。</w:t>
      </w:r>
    </w:p>
    <w:p w14:paraId="21E61B92">
      <w:pPr>
        <w:pStyle w:val="23"/>
        <w:keepNext w:val="0"/>
        <w:keepLines w:val="0"/>
        <w:pageBreakBefore w:val="0"/>
        <w:widowControl w:val="0"/>
        <w:kinsoku/>
        <w:wordWrap/>
        <w:overflowPunct/>
        <w:topLinePunct w:val="0"/>
        <w:autoSpaceDE/>
        <w:autoSpaceDN/>
        <w:bidi w:val="0"/>
        <w:spacing w:after="0" w:line="360" w:lineRule="auto"/>
        <w:ind w:firstLine="422"/>
        <w:rPr>
          <w:rFonts w:hAnsi="宋体"/>
          <w:b/>
          <w:color w:val="auto"/>
          <w:szCs w:val="21"/>
        </w:rPr>
      </w:pPr>
      <w:r>
        <w:rPr>
          <w:rFonts w:hint="eastAsia" w:hAnsi="宋体"/>
          <w:b/>
          <w:color w:val="auto"/>
          <w:szCs w:val="21"/>
        </w:rPr>
        <w:t>十一、生效</w:t>
      </w:r>
    </w:p>
    <w:p w14:paraId="1131D523">
      <w:pPr>
        <w:pStyle w:val="23"/>
        <w:keepNext w:val="0"/>
        <w:keepLines w:val="0"/>
        <w:pageBreakBefore w:val="0"/>
        <w:widowControl w:val="0"/>
        <w:kinsoku/>
        <w:wordWrap/>
        <w:overflowPunct/>
        <w:topLinePunct w:val="0"/>
        <w:autoSpaceDE/>
        <w:autoSpaceDN/>
        <w:bidi w:val="0"/>
        <w:spacing w:after="0" w:line="360" w:lineRule="auto"/>
        <w:ind w:firstLine="210" w:firstLineChars="100"/>
        <w:rPr>
          <w:rFonts w:hint="eastAsia" w:hAnsi="宋体"/>
          <w:color w:val="auto"/>
          <w:szCs w:val="21"/>
        </w:rPr>
      </w:pPr>
      <w:r>
        <w:rPr>
          <w:rFonts w:hint="eastAsia" w:hAnsi="宋体"/>
          <w:color w:val="auto"/>
          <w:szCs w:val="21"/>
        </w:rPr>
        <w:t>本合同自双方签字盖章之日起生效。</w:t>
      </w:r>
      <w:r>
        <w:rPr>
          <w:rFonts w:hint="eastAsia" w:hAnsi="宋体"/>
          <w:color w:val="auto"/>
          <w:szCs w:val="21"/>
          <w:lang w:val="en-US" w:eastAsia="zh-CN"/>
        </w:rPr>
        <w:t xml:space="preserve"> </w:t>
      </w:r>
      <w:r>
        <w:rPr>
          <w:rFonts w:hint="eastAsia" w:hAnsi="宋体"/>
          <w:color w:val="auto"/>
          <w:szCs w:val="21"/>
        </w:rPr>
        <w:t>见证方对甲方通过见证方平台采购本合同标的的事实进</w:t>
      </w:r>
    </w:p>
    <w:p w14:paraId="569E31D2">
      <w:pPr>
        <w:pStyle w:val="23"/>
        <w:keepNext w:val="0"/>
        <w:keepLines w:val="0"/>
        <w:pageBreakBefore w:val="0"/>
        <w:kinsoku/>
        <w:wordWrap/>
        <w:overflowPunct/>
        <w:topLinePunct w:val="0"/>
        <w:autoSpaceDE/>
        <w:autoSpaceDN/>
        <w:bidi w:val="0"/>
        <w:spacing w:after="0" w:line="360" w:lineRule="auto"/>
        <w:textAlignment w:val="auto"/>
        <w:rPr>
          <w:rFonts w:hAnsi="宋体"/>
          <w:color w:val="auto"/>
          <w:szCs w:val="21"/>
        </w:rPr>
      </w:pPr>
      <w:r>
        <w:rPr>
          <w:rFonts w:hint="eastAsia" w:hAnsi="宋体"/>
          <w:color w:val="auto"/>
          <w:szCs w:val="21"/>
        </w:rPr>
        <w:t>见证，本合同的履行与见证方无关。</w:t>
      </w:r>
    </w:p>
    <w:p w14:paraId="5632C01E">
      <w:pPr>
        <w:pStyle w:val="23"/>
        <w:keepNext w:val="0"/>
        <w:keepLines w:val="0"/>
        <w:pageBreakBefore w:val="0"/>
        <w:kinsoku/>
        <w:wordWrap/>
        <w:overflowPunct/>
        <w:topLinePunct w:val="0"/>
        <w:autoSpaceDE/>
        <w:autoSpaceDN/>
        <w:bidi w:val="0"/>
        <w:spacing w:after="0" w:line="360" w:lineRule="auto"/>
        <w:ind w:firstLine="422" w:firstLineChars="200"/>
        <w:textAlignment w:val="auto"/>
        <w:rPr>
          <w:rFonts w:hAnsi="宋体"/>
          <w:b/>
          <w:snapToGrid w:val="0"/>
          <w:color w:val="auto"/>
          <w:szCs w:val="21"/>
        </w:rPr>
      </w:pPr>
      <w:r>
        <w:rPr>
          <w:rFonts w:hint="eastAsia" w:hAnsi="宋体"/>
          <w:b/>
          <w:snapToGrid w:val="0"/>
          <w:color w:val="auto"/>
          <w:szCs w:val="21"/>
        </w:rPr>
        <w:t>十二、合同份数</w:t>
      </w:r>
    </w:p>
    <w:p w14:paraId="6A7F1025">
      <w:pPr>
        <w:pStyle w:val="23"/>
        <w:keepNext w:val="0"/>
        <w:keepLines w:val="0"/>
        <w:pageBreakBefore w:val="0"/>
        <w:kinsoku/>
        <w:wordWrap/>
        <w:overflowPunct/>
        <w:topLinePunct w:val="0"/>
        <w:autoSpaceDE/>
        <w:autoSpaceDN/>
        <w:bidi w:val="0"/>
        <w:spacing w:after="0" w:line="360" w:lineRule="auto"/>
        <w:ind w:firstLine="420" w:firstLineChars="200"/>
        <w:textAlignment w:val="auto"/>
        <w:rPr>
          <w:rFonts w:hAnsi="宋体"/>
          <w:color w:val="auto"/>
          <w:szCs w:val="21"/>
        </w:rPr>
      </w:pPr>
      <w:r>
        <w:rPr>
          <w:rFonts w:hint="eastAsia" w:hAnsi="宋体"/>
          <w:color w:val="auto"/>
          <w:szCs w:val="21"/>
        </w:rPr>
        <w:t>本合同一式伍份。甲方叁份、乙方贰份。</w:t>
      </w:r>
    </w:p>
    <w:p w14:paraId="301C51DB">
      <w:pPr>
        <w:adjustRightInd w:val="0"/>
        <w:snapToGrid w:val="0"/>
        <w:spacing w:line="360" w:lineRule="auto"/>
        <w:outlineLvl w:val="0"/>
        <w:rPr>
          <w:rFonts w:hint="eastAsia" w:ascii="宋体" w:hAnsi="宋体" w:eastAsia="宋体"/>
          <w:color w:val="auto"/>
          <w:szCs w:val="21"/>
          <w:lang w:eastAsia="zh-CN"/>
        </w:rPr>
      </w:pPr>
      <w:r>
        <w:rPr>
          <w:rFonts w:hint="eastAsia" w:ascii="宋体" w:hAnsi="宋体"/>
          <w:color w:val="auto"/>
          <w:szCs w:val="21"/>
          <w:lang w:eastAsia="zh-CN"/>
        </w:rPr>
        <w:t>以下无正文</w:t>
      </w:r>
    </w:p>
    <w:p w14:paraId="5078E559">
      <w:pPr>
        <w:adjustRightInd w:val="0"/>
        <w:snapToGrid w:val="0"/>
        <w:spacing w:line="360" w:lineRule="auto"/>
        <w:outlineLvl w:val="0"/>
        <w:rPr>
          <w:rFonts w:hint="eastAsia" w:ascii="宋体" w:hAnsi="宋体"/>
          <w:color w:val="auto"/>
          <w:szCs w:val="21"/>
        </w:rPr>
      </w:pPr>
    </w:p>
    <w:p w14:paraId="4FCE1A4C">
      <w:pPr>
        <w:adjustRightInd w:val="0"/>
        <w:snapToGrid w:val="0"/>
        <w:spacing w:line="360" w:lineRule="auto"/>
        <w:outlineLvl w:val="0"/>
        <w:rPr>
          <w:rFonts w:hint="eastAsia" w:ascii="宋体" w:hAnsi="宋体"/>
          <w:color w:val="auto"/>
          <w:szCs w:val="21"/>
        </w:rPr>
      </w:pPr>
    </w:p>
    <w:p w14:paraId="63C8D449">
      <w:pPr>
        <w:adjustRightInd w:val="0"/>
        <w:snapToGrid w:val="0"/>
        <w:spacing w:line="360" w:lineRule="auto"/>
        <w:outlineLvl w:val="0"/>
        <w:rPr>
          <w:rFonts w:hint="eastAsia" w:ascii="宋体" w:hAnsi="宋体"/>
          <w:color w:val="auto"/>
          <w:szCs w:val="21"/>
        </w:rPr>
      </w:pPr>
    </w:p>
    <w:p w14:paraId="1E5601B4">
      <w:pPr>
        <w:adjustRightInd w:val="0"/>
        <w:snapToGrid w:val="0"/>
        <w:spacing w:line="360" w:lineRule="auto"/>
        <w:outlineLvl w:val="0"/>
        <w:rPr>
          <w:rFonts w:hint="eastAsia" w:ascii="宋体" w:hAnsi="宋体"/>
          <w:color w:val="auto"/>
          <w:szCs w:val="21"/>
        </w:rPr>
      </w:pPr>
    </w:p>
    <w:p w14:paraId="0BF4CD53">
      <w:pPr>
        <w:adjustRightInd w:val="0"/>
        <w:snapToGrid w:val="0"/>
        <w:spacing w:line="360" w:lineRule="auto"/>
        <w:outlineLvl w:val="0"/>
        <w:rPr>
          <w:rFonts w:ascii="宋体" w:hAnsi="宋体"/>
          <w:color w:val="auto"/>
          <w:szCs w:val="21"/>
        </w:rPr>
      </w:pPr>
      <w:r>
        <w:rPr>
          <w:rFonts w:hint="eastAsia" w:ascii="宋体" w:hAnsi="宋体"/>
          <w:color w:val="auto"/>
          <w:szCs w:val="21"/>
        </w:rPr>
        <w:t xml:space="preserve">甲方：   </w:t>
      </w:r>
      <w:r>
        <w:rPr>
          <w:rFonts w:hint="eastAsia" w:ascii="宋体" w:hAnsi="宋体"/>
          <w:color w:val="auto"/>
          <w:szCs w:val="21"/>
          <w:lang w:val="en-US" w:eastAsia="zh-CN"/>
        </w:rPr>
        <w:t>常州机电职业技术学院</w:t>
      </w:r>
      <w:r>
        <w:rPr>
          <w:rFonts w:hint="eastAsia" w:ascii="宋体" w:hAnsi="宋体"/>
          <w:color w:val="auto"/>
          <w:szCs w:val="21"/>
        </w:rPr>
        <w:t xml:space="preserve">               乙方：</w:t>
      </w:r>
      <w:r>
        <w:rPr>
          <w:rFonts w:hint="eastAsia" w:ascii="宋体" w:hAnsi="宋体" w:eastAsia="宋体" w:cs="Times New Roman"/>
          <w:color w:val="auto"/>
          <w:szCs w:val="21"/>
          <w:lang w:val="en-US" w:eastAsia="zh-CN"/>
        </w:rPr>
        <w:t>江苏秦唐科技有限公司</w:t>
      </w:r>
    </w:p>
    <w:p w14:paraId="7652A153">
      <w:pPr>
        <w:adjustRightInd w:val="0"/>
        <w:snapToGrid w:val="0"/>
        <w:spacing w:line="360" w:lineRule="auto"/>
        <w:outlineLvl w:val="0"/>
        <w:rPr>
          <w:rFonts w:ascii="宋体" w:hAnsi="宋体"/>
          <w:color w:val="auto"/>
          <w:szCs w:val="21"/>
        </w:rPr>
      </w:pPr>
      <w:r>
        <w:rPr>
          <w:rFonts w:hint="eastAsia" w:ascii="宋体" w:hAnsi="宋体"/>
          <w:color w:val="auto"/>
          <w:szCs w:val="21"/>
        </w:rPr>
        <w:t>单位名称（章）：</w:t>
      </w:r>
      <w:r>
        <w:rPr>
          <w:rFonts w:hint="eastAsia" w:ascii="宋体" w:hAnsi="宋体"/>
          <w:color w:val="auto"/>
          <w:szCs w:val="21"/>
          <w:u w:val="single"/>
        </w:rPr>
        <w:t xml:space="preserve">                          </w:t>
      </w:r>
      <w:r>
        <w:rPr>
          <w:rFonts w:hint="eastAsia" w:ascii="宋体" w:hAnsi="宋体"/>
          <w:color w:val="auto"/>
          <w:szCs w:val="21"/>
        </w:rPr>
        <w:t xml:space="preserve">   单位名称（章）：</w:t>
      </w:r>
      <w:r>
        <w:rPr>
          <w:rFonts w:hint="eastAsia" w:ascii="宋体" w:hAnsi="宋体"/>
          <w:color w:val="auto"/>
          <w:szCs w:val="21"/>
          <w:u w:val="single"/>
        </w:rPr>
        <w:t xml:space="preserve">                            </w:t>
      </w:r>
    </w:p>
    <w:p w14:paraId="4A1305F6">
      <w:pPr>
        <w:adjustRightInd w:val="0"/>
        <w:snapToGrid w:val="0"/>
        <w:spacing w:line="360" w:lineRule="auto"/>
        <w:rPr>
          <w:rFonts w:ascii="宋体" w:hAnsi="宋体"/>
          <w:color w:val="auto"/>
          <w:szCs w:val="21"/>
          <w:u w:val="single"/>
        </w:rPr>
      </w:pPr>
      <w:r>
        <w:rPr>
          <w:rFonts w:hint="eastAsia" w:ascii="宋体" w:hAnsi="宋体"/>
          <w:color w:val="auto"/>
          <w:szCs w:val="21"/>
        </w:rPr>
        <w:t xml:space="preserve">单位地址：   常州市武进区鸣新中路26号      单位地址： </w:t>
      </w:r>
      <w:r>
        <w:rPr>
          <w:rFonts w:hint="eastAsia" w:ascii="宋体" w:hAnsi="宋体" w:eastAsia="宋体" w:cs="Times New Roman"/>
          <w:color w:val="auto"/>
          <w:szCs w:val="21"/>
        </w:rPr>
        <w:t xml:space="preserve">常州市武进区湖塘镇花园街178号  </w:t>
      </w:r>
      <w:r>
        <w:rPr>
          <w:rFonts w:hint="eastAsia" w:ascii="宋体" w:hAnsi="宋体"/>
          <w:color w:val="auto"/>
          <w:szCs w:val="21"/>
          <w:u w:val="single"/>
        </w:rPr>
        <w:t xml:space="preserve">     </w:t>
      </w:r>
      <w:r>
        <w:rPr>
          <w:rFonts w:hint="eastAsia" w:ascii="宋体" w:hAnsi="宋体"/>
          <w:color w:val="auto"/>
          <w:szCs w:val="21"/>
        </w:rPr>
        <w:t xml:space="preserve">  </w:t>
      </w:r>
    </w:p>
    <w:p w14:paraId="2E7B06FD">
      <w:pPr>
        <w:adjustRightInd w:val="0"/>
        <w:snapToGrid w:val="0"/>
        <w:spacing w:line="360" w:lineRule="auto"/>
        <w:rPr>
          <w:rFonts w:ascii="宋体" w:hAnsi="宋体"/>
          <w:color w:val="auto"/>
          <w:szCs w:val="21"/>
        </w:rPr>
      </w:pPr>
      <w:r>
        <w:rPr>
          <w:rFonts w:hint="eastAsia" w:ascii="宋体" w:hAnsi="宋体"/>
          <w:color w:val="auto"/>
          <w:szCs w:val="21"/>
        </w:rPr>
        <w:t>法定代表人：                                法定代表人：</w:t>
      </w:r>
    </w:p>
    <w:p w14:paraId="419CE65A">
      <w:pPr>
        <w:adjustRightInd w:val="0"/>
        <w:snapToGrid w:val="0"/>
        <w:spacing w:line="360" w:lineRule="auto"/>
        <w:rPr>
          <w:rFonts w:ascii="宋体" w:hAnsi="宋体"/>
          <w:color w:val="auto"/>
          <w:szCs w:val="21"/>
        </w:rPr>
      </w:pPr>
      <w:r>
        <w:rPr>
          <w:rFonts w:hint="eastAsia" w:ascii="宋体" w:hAnsi="宋体"/>
          <w:color w:val="auto"/>
          <w:szCs w:val="21"/>
        </w:rPr>
        <w:t xml:space="preserve">委托代理人：                                </w:t>
      </w:r>
    </w:p>
    <w:p w14:paraId="56DECBB6">
      <w:pPr>
        <w:adjustRightInd w:val="0"/>
        <w:snapToGrid w:val="0"/>
        <w:spacing w:line="360" w:lineRule="auto"/>
        <w:rPr>
          <w:rFonts w:ascii="宋体" w:hAnsi="宋体"/>
          <w:color w:val="auto"/>
          <w:szCs w:val="21"/>
        </w:rPr>
      </w:pPr>
      <w:r>
        <w:rPr>
          <w:rFonts w:hint="eastAsia" w:ascii="宋体" w:hAnsi="宋体"/>
          <w:color w:val="auto"/>
          <w:szCs w:val="21"/>
        </w:rPr>
        <w:t>项目负责人：                                委托代理人：</w:t>
      </w:r>
    </w:p>
    <w:p w14:paraId="2DDFB447">
      <w:pPr>
        <w:adjustRightInd w:val="0"/>
        <w:snapToGrid w:val="0"/>
        <w:spacing w:line="360" w:lineRule="auto"/>
        <w:rPr>
          <w:rFonts w:ascii="宋体" w:hAnsi="宋体"/>
          <w:color w:val="auto"/>
          <w:szCs w:val="21"/>
        </w:rPr>
      </w:pPr>
      <w:r>
        <w:rPr>
          <w:rFonts w:hint="eastAsia" w:ascii="宋体" w:hAnsi="宋体"/>
          <w:color w:val="auto"/>
          <w:szCs w:val="21"/>
        </w:rPr>
        <w:t xml:space="preserve">开户银行： 农行邱墅支行                     开户银行：建设银行常州湖塘支行                       </w:t>
      </w:r>
    </w:p>
    <w:p w14:paraId="1FEF6416">
      <w:pPr>
        <w:adjustRightInd w:val="0"/>
        <w:snapToGrid w:val="0"/>
        <w:spacing w:line="360" w:lineRule="auto"/>
        <w:rPr>
          <w:rFonts w:ascii="宋体" w:hAnsi="宋体"/>
          <w:color w:val="auto"/>
          <w:szCs w:val="21"/>
        </w:rPr>
      </w:pPr>
      <w:r>
        <w:rPr>
          <w:rFonts w:hint="eastAsia" w:ascii="宋体" w:hAnsi="宋体"/>
          <w:color w:val="auto"/>
          <w:szCs w:val="21"/>
        </w:rPr>
        <w:t xml:space="preserve">账    号： 10-605701040004030               帐号：32050162673800000937           </w:t>
      </w:r>
    </w:p>
    <w:p w14:paraId="70580EC0">
      <w:pPr>
        <w:adjustRightInd w:val="0"/>
        <w:snapToGrid w:val="0"/>
        <w:spacing w:line="360" w:lineRule="auto"/>
        <w:rPr>
          <w:rFonts w:ascii="宋体" w:hAnsi="宋体"/>
          <w:color w:val="auto"/>
          <w:szCs w:val="21"/>
        </w:rPr>
      </w:pPr>
      <w:r>
        <w:rPr>
          <w:rFonts w:hint="eastAsia" w:ascii="宋体" w:hAnsi="宋体"/>
          <w:color w:val="auto"/>
          <w:szCs w:val="21"/>
        </w:rPr>
        <w:t>税    号： 123200004660069658               税号：91320412MA22JY8BXC</w:t>
      </w:r>
    </w:p>
    <w:p w14:paraId="48A44431">
      <w:pPr>
        <w:adjustRightInd w:val="0"/>
        <w:snapToGrid w:val="0"/>
        <w:spacing w:line="360" w:lineRule="auto"/>
        <w:rPr>
          <w:rFonts w:ascii="宋体" w:hAnsi="宋体"/>
          <w:color w:val="auto"/>
          <w:szCs w:val="21"/>
        </w:rPr>
      </w:pPr>
      <w:r>
        <w:rPr>
          <w:rFonts w:hint="eastAsia" w:ascii="宋体" w:hAnsi="宋体"/>
          <w:color w:val="auto"/>
          <w:szCs w:val="21"/>
        </w:rPr>
        <w:t>电    话：                                  电  话：</w:t>
      </w:r>
    </w:p>
    <w:p w14:paraId="15A934D5">
      <w:pPr>
        <w:rPr>
          <w:rFonts w:ascii="宋体" w:hAnsi="宋体" w:cs="宋体"/>
          <w:b/>
          <w:bCs/>
          <w:color w:val="auto"/>
          <w:sz w:val="24"/>
        </w:rPr>
      </w:pPr>
    </w:p>
    <w:p w14:paraId="6A25AC91">
      <w:pPr>
        <w:rPr>
          <w:b/>
          <w:bCs/>
          <w:color w:val="auto"/>
          <w:sz w:val="24"/>
        </w:rPr>
      </w:pPr>
    </w:p>
    <w:p w14:paraId="667599AC">
      <w:pPr>
        <w:rPr>
          <w:b/>
          <w:bCs/>
          <w:color w:val="auto"/>
          <w:sz w:val="24"/>
        </w:rPr>
      </w:pPr>
    </w:p>
    <w:p w14:paraId="37F925A4">
      <w:pPr>
        <w:rPr>
          <w:b/>
          <w:bCs/>
          <w:color w:val="auto"/>
          <w:sz w:val="24"/>
        </w:rPr>
      </w:pPr>
    </w:p>
    <w:p w14:paraId="25D7FB09">
      <w:pPr>
        <w:rPr>
          <w:b/>
          <w:color w:val="auto"/>
          <w:sz w:val="36"/>
          <w:szCs w:val="36"/>
        </w:rPr>
      </w:pPr>
      <w:r>
        <w:rPr>
          <w:b/>
          <w:color w:val="auto"/>
          <w:sz w:val="36"/>
          <w:szCs w:val="36"/>
        </w:rPr>
        <w:br w:type="page"/>
      </w:r>
    </w:p>
    <w:p w14:paraId="7A5EF088">
      <w:pPr>
        <w:pStyle w:val="267"/>
        <w:keepNext w:val="0"/>
        <w:keepLines w:val="0"/>
        <w:pageBreakBefore w:val="0"/>
        <w:kinsoku/>
        <w:wordWrap/>
        <w:overflowPunct/>
        <w:topLinePunct w:val="0"/>
        <w:autoSpaceDE/>
        <w:autoSpaceDN/>
        <w:bidi w:val="0"/>
        <w:spacing w:before="0" w:beforeAutospacing="0" w:after="0" w:afterAutospacing="0" w:line="360" w:lineRule="auto"/>
        <w:contextualSpacing/>
        <w:jc w:val="left"/>
        <w:rPr>
          <w:rStyle w:val="58"/>
          <w:rFonts w:hint="eastAsia" w:ascii="仿宋" w:hAnsi="仿宋" w:eastAsia="仿宋" w:cs="仿宋"/>
          <w:color w:val="000000"/>
          <w:sz w:val="36"/>
          <w:szCs w:val="36"/>
          <w:lang w:val="en-US" w:eastAsia="zh-CN"/>
        </w:rPr>
      </w:pPr>
      <w:r>
        <w:rPr>
          <w:rStyle w:val="58"/>
          <w:rFonts w:hint="eastAsia" w:ascii="仿宋" w:hAnsi="仿宋" w:eastAsia="仿宋" w:cs="仿宋"/>
          <w:color w:val="000000"/>
          <w:sz w:val="36"/>
          <w:szCs w:val="36"/>
          <w:lang w:val="en-US" w:eastAsia="zh-CN"/>
        </w:rPr>
        <w:t>附件</w:t>
      </w:r>
    </w:p>
    <w:tbl>
      <w:tblPr>
        <w:tblStyle w:val="45"/>
        <w:tblW w:w="9025" w:type="dxa"/>
        <w:tblInd w:w="0" w:type="dxa"/>
        <w:tblLayout w:type="fixed"/>
        <w:tblCellMar>
          <w:top w:w="0" w:type="dxa"/>
          <w:left w:w="108" w:type="dxa"/>
          <w:bottom w:w="0" w:type="dxa"/>
          <w:right w:w="108" w:type="dxa"/>
        </w:tblCellMar>
      </w:tblPr>
      <w:tblGrid>
        <w:gridCol w:w="457"/>
        <w:gridCol w:w="721"/>
        <w:gridCol w:w="6958"/>
        <w:gridCol w:w="459"/>
        <w:gridCol w:w="430"/>
      </w:tblGrid>
      <w:tr w14:paraId="140F8B2E">
        <w:tblPrEx>
          <w:tblCellMar>
            <w:top w:w="0" w:type="dxa"/>
            <w:left w:w="108" w:type="dxa"/>
            <w:bottom w:w="0" w:type="dxa"/>
            <w:right w:w="108" w:type="dxa"/>
          </w:tblCellMar>
        </w:tblPrEx>
        <w:trPr>
          <w:trHeight w:val="7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482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bidi="ar"/>
              </w:rPr>
              <w:t>序号</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559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bidi="ar"/>
              </w:rPr>
              <w:t>项目名称</w:t>
            </w:r>
          </w:p>
        </w:tc>
        <w:tc>
          <w:tcPr>
            <w:tcW w:w="69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52BC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TW" w:bidi="ar"/>
              </w:rPr>
              <w:t>技术</w:t>
            </w:r>
            <w:r>
              <w:rPr>
                <w:rFonts w:hint="eastAsia" w:ascii="宋体" w:hAnsi="宋体" w:eastAsia="宋体" w:cs="宋体"/>
                <w:b/>
                <w:bCs/>
                <w:color w:val="auto"/>
                <w:sz w:val="21"/>
                <w:szCs w:val="21"/>
                <w:highlight w:val="none"/>
                <w:lang w:val="zh-TW" w:eastAsia="zh-TW" w:bidi="ar"/>
              </w:rPr>
              <w:t>指标要求</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8A90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color w:val="auto"/>
                <w:sz w:val="21"/>
                <w:szCs w:val="21"/>
                <w:highlight w:val="none"/>
                <w:lang w:val="en-US" w:eastAsia="zh-CN" w:bidi="ar"/>
              </w:rPr>
            </w:pPr>
            <w:r>
              <w:rPr>
                <w:rFonts w:hint="eastAsia" w:ascii="宋体" w:hAnsi="宋体" w:eastAsia="宋体" w:cs="宋体"/>
                <w:b/>
                <w:bCs/>
                <w:color w:val="auto"/>
                <w:sz w:val="21"/>
                <w:szCs w:val="21"/>
                <w:highlight w:val="none"/>
                <w:lang w:val="en-US" w:eastAsia="zh-CN" w:bidi="ar"/>
              </w:rPr>
              <w:t>数量</w:t>
            </w:r>
          </w:p>
        </w:tc>
        <w:tc>
          <w:tcPr>
            <w:tcW w:w="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B3C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color w:val="auto"/>
                <w:sz w:val="21"/>
                <w:szCs w:val="21"/>
                <w:highlight w:val="none"/>
                <w:lang w:val="en-US" w:eastAsia="zh-CN" w:bidi="ar"/>
              </w:rPr>
            </w:pPr>
            <w:r>
              <w:rPr>
                <w:rFonts w:hint="eastAsia" w:ascii="宋体" w:hAnsi="宋体" w:eastAsia="宋体" w:cs="宋体"/>
                <w:b/>
                <w:bCs/>
                <w:color w:val="auto"/>
                <w:sz w:val="21"/>
                <w:szCs w:val="21"/>
                <w:highlight w:val="none"/>
                <w:lang w:val="en-US" w:eastAsia="zh-CN" w:bidi="ar"/>
              </w:rPr>
              <w:t>单位</w:t>
            </w:r>
          </w:p>
        </w:tc>
      </w:tr>
      <w:tr w14:paraId="0B0D58A0">
        <w:tblPrEx>
          <w:tblCellMar>
            <w:top w:w="0" w:type="dxa"/>
            <w:left w:w="108" w:type="dxa"/>
            <w:bottom w:w="0" w:type="dxa"/>
            <w:right w:w="108" w:type="dxa"/>
          </w:tblCellMar>
        </w:tblPrEx>
        <w:trPr>
          <w:trHeight w:val="4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31A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CBFB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工业互联网边缘计算实训</w:t>
            </w:r>
            <w:r>
              <w:rPr>
                <w:rFonts w:hint="eastAsia" w:ascii="宋体" w:hAnsi="宋体" w:eastAsia="宋体" w:cs="宋体"/>
                <w:color w:val="auto"/>
                <w:sz w:val="21"/>
                <w:szCs w:val="21"/>
                <w:highlight w:val="none"/>
                <w:lang w:val="en-US" w:eastAsia="zh-CN"/>
              </w:rPr>
              <w:t>装置（核心产品）</w:t>
            </w:r>
          </w:p>
        </w:tc>
        <w:tc>
          <w:tcPr>
            <w:tcW w:w="69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9651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总体要求：</w:t>
            </w:r>
            <w:r>
              <w:rPr>
                <w:rFonts w:hint="eastAsia" w:ascii="宋体" w:hAnsi="宋体" w:eastAsia="宋体" w:cs="宋体"/>
                <w:color w:val="auto"/>
                <w:sz w:val="21"/>
                <w:szCs w:val="21"/>
                <w:highlight w:val="none"/>
                <w:lang w:eastAsia="zh-CN"/>
              </w:rPr>
              <w:t>工业互联网边缘计算实训装置</w:t>
            </w:r>
            <w:r>
              <w:rPr>
                <w:rFonts w:hint="eastAsia" w:ascii="宋体" w:hAnsi="宋体" w:eastAsia="宋体" w:cs="宋体"/>
                <w:color w:val="auto"/>
                <w:sz w:val="21"/>
                <w:szCs w:val="21"/>
                <w:highlight w:val="none"/>
              </w:rPr>
              <w:t>是一款便携箱式设计的工业</w:t>
            </w:r>
            <w:r>
              <w:rPr>
                <w:rFonts w:hint="eastAsia" w:ascii="宋体" w:hAnsi="宋体" w:eastAsia="宋体" w:cs="宋体"/>
                <w:color w:val="auto"/>
                <w:sz w:val="21"/>
                <w:szCs w:val="21"/>
                <w:highlight w:val="none"/>
                <w:lang w:val="en-US" w:eastAsia="zh-CN"/>
              </w:rPr>
              <w:t>互联网边缘计算</w:t>
            </w:r>
            <w:r>
              <w:rPr>
                <w:rFonts w:hint="eastAsia" w:ascii="宋体" w:hAnsi="宋体" w:eastAsia="宋体" w:cs="宋体"/>
                <w:color w:val="auto"/>
                <w:sz w:val="21"/>
                <w:szCs w:val="21"/>
                <w:highlight w:val="none"/>
              </w:rPr>
              <w:t>教学实训平台，以工业非接触式质量检测为教学案例，生成复杂多变的内外部环境数据、实现动态系统特性数据分析及应用。装置包括：质量检测流水线单元、工业网络单元、工业环境单元、碳中和采集单元。实现工业边缘计算应用、运动控制、组态设计、监控管理、数据上云等应用，具有丰富的教学、生产仿真、数据展示、对外培训、专业比赛、科普教育等用途和功能，为工业互联网应用及开发提供数据支撑。</w:t>
            </w:r>
          </w:p>
          <w:p w14:paraId="06027C2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▲1、质量检测流水线单元：</w:t>
            </w:r>
          </w:p>
          <w:p w14:paraId="07A62E7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质量检测流水线单元采用高速运动控制，精准定位逐个扫描工件数据，实现工件精确测量，完成流水线数据采集和汇总。</w:t>
            </w:r>
          </w:p>
          <w:p w14:paraId="665A072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▲1.1驱动传送装置： </w:t>
            </w:r>
          </w:p>
          <w:p w14:paraId="3A8126A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线性模组导程4mm，净行程不小于250mm。驱动模块脉冲控制工件移动，可精准定位，额定电压：12~40VDC；最大输出电流：3.5A，驱动方式：脉冲+方向；IP防护等级：IP20；环境温度：-10～40℃；环境湿度：5～95 % 无凝结；可调节细分。</w:t>
            </w:r>
          </w:p>
          <w:p w14:paraId="5D5531D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▲1.2高度传感器：</w:t>
            </w:r>
          </w:p>
          <w:p w14:paraId="2BBBCB6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工作电压：12~24VDC；输出电流：100mA；检测距离35-65mm；检测精度:0,05mm；反应时间:最大1.5ms。</w:t>
            </w:r>
          </w:p>
          <w:p w14:paraId="1263AE0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▲1.3触摸屏：</w:t>
            </w:r>
          </w:p>
          <w:p w14:paraId="11B6C29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屏幕尺寸7”；工作电压：DC12-24V；分辨率：≥800×480；以太网：10/100M自适应；通讯接口包含RS232/RS485；工作温度：-10~60℃，工作湿度：10~90%RH。</w:t>
            </w:r>
          </w:p>
          <w:p w14:paraId="5A2BAD5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▲1.4可编程控制器（PLC）：</w:t>
            </w:r>
          </w:p>
          <w:p w14:paraId="55EDC5D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1)输出类型：晶体管；</w:t>
            </w:r>
          </w:p>
          <w:p w14:paraId="7C32131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2)额定电压：DC24V；</w:t>
            </w:r>
          </w:p>
          <w:p w14:paraId="494CF75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3)数字量输入数量：不少于12点；</w:t>
            </w:r>
          </w:p>
          <w:p w14:paraId="52FB02A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4)数字量输出数量：不少于8点；</w:t>
            </w:r>
          </w:p>
          <w:p w14:paraId="31F49D6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5)以太网：10/100M自适应；</w:t>
            </w:r>
          </w:p>
          <w:p w14:paraId="608B25E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6)支持HMI连接。</w:t>
            </w:r>
          </w:p>
          <w:p w14:paraId="6473988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▲1.5模拟量输入模块：</w:t>
            </w:r>
          </w:p>
          <w:p w14:paraId="7EA30D5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通道输入：输入电压范围±10V、±5V、±2.5V 或输入电流 0-20mA.</w:t>
            </w:r>
          </w:p>
          <w:p w14:paraId="0336FDC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▲1.6编码器：</w:t>
            </w:r>
          </w:p>
          <w:p w14:paraId="2699493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额定电压：5~24VDC；输出相位：A，B；分辨率：600；环境温度：-10～70℃；环境湿度：35～85 % 无凝结。 </w:t>
            </w:r>
          </w:p>
          <w:p w14:paraId="18591DE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工况指示灯：</w:t>
            </w:r>
          </w:p>
          <w:p w14:paraId="55114FF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1)工作电压24VDC；</w:t>
            </w:r>
          </w:p>
          <w:p w14:paraId="00DE6F3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2)红黄绿三色一体；</w:t>
            </w:r>
          </w:p>
          <w:p w14:paraId="06BD276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3)IP67防护等级；</w:t>
            </w:r>
          </w:p>
          <w:p w14:paraId="7120A46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4)放光方式:LED；</w:t>
            </w:r>
          </w:p>
          <w:p w14:paraId="27FD440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接近开关：</w:t>
            </w:r>
          </w:p>
          <w:p w14:paraId="1F66C37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工作电压：24VDC，工作电流: 0.15A，检测距离:3mm，输出信号：NPN常开。</w:t>
            </w:r>
          </w:p>
          <w:p w14:paraId="1ACFE60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其他电气元件：</w:t>
            </w:r>
          </w:p>
          <w:p w14:paraId="0D1007C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操作面板包含工作站启动、复位、急停功能按钮，空气开关、继电器、按钮、指示灯、线缆、端子等均采用知名品牌。</w:t>
            </w:r>
          </w:p>
          <w:p w14:paraId="1971AA2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试验箱框架：</w:t>
            </w:r>
          </w:p>
          <w:p w14:paraId="73F7116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采用便携式试验箱设计，尺寸不小于5</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0*4</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0*2</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mm（长*宽*高）。</w:t>
            </w:r>
          </w:p>
          <w:p w14:paraId="4333784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2、工业网络单元</w:t>
            </w:r>
          </w:p>
          <w:p w14:paraId="580D22A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▲2.1工业</w:t>
            </w:r>
            <w:r>
              <w:rPr>
                <w:rFonts w:hint="eastAsia" w:ascii="宋体" w:hAnsi="宋体" w:eastAsia="宋体" w:cs="宋体"/>
                <w:color w:val="auto"/>
                <w:sz w:val="21"/>
                <w:szCs w:val="21"/>
                <w:highlight w:val="none"/>
                <w:lang w:val="en-US" w:eastAsia="zh-CN"/>
              </w:rPr>
              <w:t>边缘计算</w:t>
            </w:r>
            <w:r>
              <w:rPr>
                <w:rFonts w:hint="eastAsia" w:ascii="宋体" w:hAnsi="宋体" w:eastAsia="宋体" w:cs="宋体"/>
                <w:color w:val="auto"/>
                <w:sz w:val="21"/>
                <w:szCs w:val="21"/>
                <w:highlight w:val="none"/>
              </w:rPr>
              <w:t>网关：</w:t>
            </w:r>
          </w:p>
          <w:p w14:paraId="4B7B1CB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支持数十种常用工业协议接入，本地完成数据解析，将数据推送至云端服务器；</w:t>
            </w:r>
          </w:p>
          <w:p w14:paraId="5017106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支持边缘计算，可在本地进行数据运算，支持远程配置；</w:t>
            </w:r>
          </w:p>
          <w:p w14:paraId="51D1B26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支持历史数据本地缓存，网关支持RS485、以太网等常见工业通讯接口；</w:t>
            </w:r>
          </w:p>
          <w:p w14:paraId="076B321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支持常见PLC、串口协议、网络协议；</w:t>
            </w:r>
          </w:p>
          <w:p w14:paraId="43D60A4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支持边缘计算算法；</w:t>
            </w:r>
          </w:p>
          <w:p w14:paraId="243FCFF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电源：9V～48VDC,支持防反接，抗雷，过流等保护；</w:t>
            </w:r>
          </w:p>
          <w:p w14:paraId="03826DA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功率：≤2W；</w:t>
            </w:r>
          </w:p>
          <w:p w14:paraId="5F9BDE3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防护等级:IP51；</w:t>
            </w:r>
          </w:p>
          <w:p w14:paraId="3C8EB98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工作温度：-40～85℃；</w:t>
            </w:r>
          </w:p>
          <w:p w14:paraId="21979AE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工作湿度：20～90%RH（无冷凝）</w:t>
            </w:r>
          </w:p>
          <w:p w14:paraId="01595C1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遵循 OPC UA 协议的网关；</w:t>
            </w:r>
          </w:p>
          <w:p w14:paraId="0C7F676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遵循DLT645协议的网关；</w:t>
            </w:r>
          </w:p>
          <w:p w14:paraId="3C72089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遵循 Modbus TCP/IP 协议的网关。</w:t>
            </w:r>
          </w:p>
          <w:p w14:paraId="7571538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2.2工业级交换机：</w:t>
            </w:r>
          </w:p>
          <w:p w14:paraId="40E6B35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1)5口工业级以太网交换机；</w:t>
            </w:r>
          </w:p>
          <w:p w14:paraId="009A48C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2)5个RJ45端口，端口支持10/100BaseT（X）自动侦测；</w:t>
            </w:r>
          </w:p>
          <w:p w14:paraId="6CE39DA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3)全/半双工MDI/MDI-X自适应；</w:t>
            </w:r>
          </w:p>
          <w:p w14:paraId="61D3C17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4)工作温度 ：-40～85 ℃；</w:t>
            </w:r>
          </w:p>
          <w:p w14:paraId="2D7C2D5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5)相对湿度 :5%～95%(无凝露）；</w:t>
            </w:r>
          </w:p>
          <w:p w14:paraId="3B07CA6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6)电源支持防接反保护；</w:t>
            </w:r>
          </w:p>
          <w:p w14:paraId="039638A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7)金属外壳，防护等级IP40。</w:t>
            </w:r>
          </w:p>
          <w:p w14:paraId="0B904C5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2.3工业级路由器：</w:t>
            </w:r>
          </w:p>
          <w:p w14:paraId="51DAE5E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1)端口数量：4个RJ45端口支持10/100M；</w:t>
            </w:r>
          </w:p>
          <w:p w14:paraId="49AC72A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2)支持网页配置方式；</w:t>
            </w:r>
          </w:p>
          <w:p w14:paraId="1CE0001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3)宽电压9～36VDC供电；</w:t>
            </w:r>
          </w:p>
          <w:p w14:paraId="12D1F39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4)工作温度：-25 ～ 85°C；</w:t>
            </w:r>
          </w:p>
          <w:p w14:paraId="149D144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5)湿度：5 ～ 95% RH（无凝水）</w:t>
            </w:r>
          </w:p>
          <w:p w14:paraId="0223134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3、工业环境单元</w:t>
            </w:r>
          </w:p>
          <w:p w14:paraId="7F11209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3.1温湿度传感模块：</w:t>
            </w:r>
          </w:p>
          <w:p w14:paraId="3512559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1)湿度量程：0～100%RH；</w:t>
            </w:r>
          </w:p>
          <w:p w14:paraId="02FABAF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2)温度量程：-10～+60℃；</w:t>
            </w:r>
          </w:p>
          <w:p w14:paraId="287D807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3)湿度精度：±0.3%RH；</w:t>
            </w:r>
          </w:p>
          <w:p w14:paraId="7EFC643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4)温度精度：±0.5℃；</w:t>
            </w:r>
          </w:p>
          <w:p w14:paraId="4B7235E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3.2空气质量传感模块：</w:t>
            </w:r>
          </w:p>
          <w:p w14:paraId="71543E6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1)测量范围：0-65535ug/m3；</w:t>
            </w:r>
          </w:p>
          <w:p w14:paraId="54D402B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2)接口类型：RS485；</w:t>
            </w:r>
          </w:p>
          <w:p w14:paraId="298E0B1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3)工作环境；-40℃-85℃；&lt;=95%RH。</w:t>
            </w:r>
          </w:p>
          <w:p w14:paraId="080AC8B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4、碳中和采集单元</w:t>
            </w:r>
          </w:p>
          <w:p w14:paraId="4F12EFC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4.1电能表：</w:t>
            </w:r>
          </w:p>
          <w:p w14:paraId="39EAD80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1)交流电表；</w:t>
            </w:r>
          </w:p>
          <w:p w14:paraId="7DF8AF9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2)显示方式：液晶显示；</w:t>
            </w:r>
          </w:p>
          <w:p w14:paraId="2060EC6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3)额定电压：AC 220V；</w:t>
            </w:r>
          </w:p>
          <w:p w14:paraId="25812D5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4)频率：50/60Hz；</w:t>
            </w:r>
          </w:p>
          <w:p w14:paraId="13309CF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5)精度：1级；</w:t>
            </w:r>
          </w:p>
          <w:p w14:paraId="283A6AB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6)功耗：≤2W /5VA；</w:t>
            </w:r>
          </w:p>
          <w:p w14:paraId="2CBDD78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7)通讯接口：RS485；</w:t>
            </w:r>
          </w:p>
          <w:p w14:paraId="1735F96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4.2二氧化碳传感模块：</w:t>
            </w:r>
          </w:p>
          <w:p w14:paraId="334FF1F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1)工作电压：10-30VDC，功耗：0.3W；</w:t>
            </w:r>
          </w:p>
          <w:p w14:paraId="25CA382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2)接口类型：RS485；</w:t>
            </w:r>
          </w:p>
          <w:p w14:paraId="26A3F82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3)检测范围：0-5000ppm。</w:t>
            </w:r>
          </w:p>
          <w:p w14:paraId="3039234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提供实训装置整体实物图片并对构件和模块进行标注，展示设备完整结构形态及各工作状态</w:t>
            </w:r>
          </w:p>
          <w:p w14:paraId="36DDBB2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eastAsia="宋体" w:cs="宋体"/>
                <w:i w:val="0"/>
                <w:iCs w:val="0"/>
                <w:caps w:val="0"/>
                <w:color w:val="auto"/>
                <w:spacing w:val="0"/>
                <w:sz w:val="21"/>
                <w:szCs w:val="21"/>
                <w:highlight w:val="none"/>
                <w:shd w:val="clear" w:color="auto" w:fill="FFFFFF"/>
              </w:rPr>
              <w:t>通过新增</w:t>
            </w:r>
            <w:r>
              <w:rPr>
                <w:rFonts w:hint="eastAsia" w:ascii="宋体" w:hAnsi="宋体" w:eastAsia="宋体" w:cs="宋体"/>
                <w:color w:val="auto"/>
                <w:sz w:val="21"/>
                <w:szCs w:val="21"/>
                <w:highlight w:val="none"/>
              </w:rPr>
              <w:t>工业互联网边缘计算实训装置</w:t>
            </w:r>
            <w:r>
              <w:rPr>
                <w:rFonts w:hint="eastAsia" w:ascii="宋体" w:hAnsi="宋体" w:eastAsia="宋体" w:cs="宋体"/>
                <w:i w:val="0"/>
                <w:iCs w:val="0"/>
                <w:caps w:val="0"/>
                <w:color w:val="auto"/>
                <w:spacing w:val="0"/>
                <w:sz w:val="21"/>
                <w:szCs w:val="21"/>
                <w:highlight w:val="none"/>
                <w:shd w:val="clear" w:color="auto" w:fill="FFFFFF"/>
              </w:rPr>
              <w:t>与学校 2 台现有</w:t>
            </w:r>
            <w:r>
              <w:rPr>
                <w:rFonts w:hint="eastAsia" w:ascii="宋体" w:hAnsi="宋体" w:eastAsia="宋体" w:cs="宋体"/>
                <w:i w:val="0"/>
                <w:iCs w:val="0"/>
                <w:caps w:val="0"/>
                <w:color w:val="auto"/>
                <w:spacing w:val="0"/>
                <w:sz w:val="21"/>
                <w:szCs w:val="21"/>
                <w:highlight w:val="none"/>
                <w:shd w:val="clear" w:color="auto" w:fill="FFFFFF"/>
                <w:lang w:val="en-US" w:eastAsia="zh-CN"/>
              </w:rPr>
              <w:t>工业互联网装置</w:t>
            </w:r>
            <w:r>
              <w:rPr>
                <w:rFonts w:hint="eastAsia" w:ascii="宋体" w:hAnsi="宋体" w:eastAsia="宋体" w:cs="宋体"/>
                <w:i w:val="0"/>
                <w:iCs w:val="0"/>
                <w:caps w:val="0"/>
                <w:color w:val="auto"/>
                <w:spacing w:val="0"/>
                <w:sz w:val="21"/>
                <w:szCs w:val="21"/>
                <w:highlight w:val="none"/>
                <w:shd w:val="clear" w:color="auto" w:fill="FFFFFF"/>
              </w:rPr>
              <w:t xml:space="preserve">（以下简称 </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rPr>
              <w:t>现有装置</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lang w:val="en-US" w:eastAsia="zh-CN"/>
              </w:rPr>
              <w:t>现有装置开放接口协议，</w:t>
            </w:r>
            <w:r>
              <w:rPr>
                <w:rFonts w:hint="eastAsia" w:ascii="宋体" w:hAnsi="宋体" w:eastAsia="宋体" w:cs="宋体"/>
                <w:i w:val="0"/>
                <w:iCs w:val="0"/>
                <w:caps w:val="0"/>
                <w:color w:val="auto"/>
                <w:spacing w:val="0"/>
                <w:sz w:val="21"/>
                <w:szCs w:val="21"/>
                <w:highlight w:val="none"/>
                <w:shd w:val="clear" w:color="auto" w:fill="FFFFFF"/>
              </w:rPr>
              <w:t>硬件接口需与现有设备适配，若涉及接口转换，需由中标方提供匹配的接口模块）的技术兼容、功能整合，形成一套完整、可协同运行的工业互联网实训系统，将现有 2 台设备全面纳入实训室教学场景，满足工业数据采集与分析、设备</w:t>
            </w:r>
            <w:r>
              <w:rPr>
                <w:rFonts w:hint="eastAsia" w:ascii="宋体" w:hAnsi="宋体" w:eastAsia="宋体" w:cs="宋体"/>
                <w:i w:val="0"/>
                <w:iCs w:val="0"/>
                <w:caps w:val="0"/>
                <w:color w:val="auto"/>
                <w:spacing w:val="0"/>
                <w:sz w:val="21"/>
                <w:szCs w:val="21"/>
                <w:highlight w:val="none"/>
                <w:shd w:val="clear" w:color="auto" w:fill="FFFFFF"/>
                <w:lang w:val="en-US" w:eastAsia="zh-CN"/>
              </w:rPr>
              <w:t>数据</w:t>
            </w:r>
            <w:r>
              <w:rPr>
                <w:rFonts w:hint="eastAsia" w:ascii="宋体" w:hAnsi="宋体" w:eastAsia="宋体" w:cs="宋体"/>
                <w:i w:val="0"/>
                <w:iCs w:val="0"/>
                <w:caps w:val="0"/>
                <w:color w:val="auto"/>
                <w:spacing w:val="0"/>
                <w:sz w:val="21"/>
                <w:szCs w:val="21"/>
                <w:highlight w:val="none"/>
                <w:shd w:val="clear" w:color="auto" w:fill="FFFFFF"/>
              </w:rPr>
              <w:t>监控、边缘计算应用、</w:t>
            </w:r>
            <w:r>
              <w:rPr>
                <w:rFonts w:hint="eastAsia" w:ascii="宋体" w:hAnsi="宋体" w:eastAsia="宋体" w:cs="宋体"/>
                <w:i w:val="0"/>
                <w:iCs w:val="0"/>
                <w:caps w:val="0"/>
                <w:color w:val="auto"/>
                <w:spacing w:val="0"/>
                <w:sz w:val="21"/>
                <w:szCs w:val="21"/>
                <w:highlight w:val="none"/>
                <w:shd w:val="clear" w:color="auto" w:fill="FFFFFF"/>
                <w:lang w:val="en-US" w:eastAsia="zh-CN"/>
              </w:rPr>
              <w:t>工业仿真</w:t>
            </w:r>
            <w:r>
              <w:rPr>
                <w:rFonts w:hint="eastAsia" w:ascii="宋体" w:hAnsi="宋体" w:eastAsia="宋体" w:cs="宋体"/>
                <w:i w:val="0"/>
                <w:iCs w:val="0"/>
                <w:caps w:val="0"/>
                <w:color w:val="auto"/>
                <w:spacing w:val="0"/>
                <w:sz w:val="21"/>
                <w:szCs w:val="21"/>
                <w:highlight w:val="none"/>
                <w:shd w:val="clear" w:color="auto" w:fill="FFFFFF"/>
              </w:rPr>
              <w:t>等</w:t>
            </w:r>
            <w:r>
              <w:rPr>
                <w:rFonts w:hint="eastAsia" w:ascii="宋体" w:hAnsi="宋体" w:eastAsia="宋体" w:cs="宋体"/>
                <w:i w:val="0"/>
                <w:iCs w:val="0"/>
                <w:caps w:val="0"/>
                <w:color w:val="auto"/>
                <w:spacing w:val="0"/>
                <w:sz w:val="21"/>
                <w:szCs w:val="21"/>
                <w:highlight w:val="none"/>
                <w:shd w:val="clear" w:color="auto" w:fill="FFFFFF"/>
                <w:lang w:val="en-US" w:eastAsia="zh-CN"/>
              </w:rPr>
              <w:t>功能</w:t>
            </w:r>
            <w:r>
              <w:rPr>
                <w:rFonts w:hint="eastAsia" w:ascii="宋体" w:hAnsi="宋体" w:eastAsia="宋体" w:cs="宋体"/>
                <w:i w:val="0"/>
                <w:iCs w:val="0"/>
                <w:caps w:val="0"/>
                <w:color w:val="auto"/>
                <w:spacing w:val="0"/>
                <w:sz w:val="21"/>
                <w:szCs w:val="21"/>
                <w:highlight w:val="none"/>
                <w:shd w:val="clear" w:color="auto" w:fill="FFFFFF"/>
              </w:rPr>
              <w:t>需求，确保实训室整体功能连贯、教学效果最优</w:t>
            </w:r>
            <w:r>
              <w:rPr>
                <w:rFonts w:hint="eastAsia" w:ascii="宋体" w:hAnsi="宋体" w:eastAsia="宋体" w:cs="宋体"/>
                <w:color w:val="auto"/>
                <w:sz w:val="21"/>
                <w:szCs w:val="21"/>
                <w:highlight w:val="none"/>
                <w:lang w:val="en-US" w:eastAsia="zh-CN"/>
              </w:rPr>
              <w:t>。</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D16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D49D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r>
      <w:tr w14:paraId="6183627A">
        <w:tblPrEx>
          <w:tblCellMar>
            <w:top w:w="0" w:type="dxa"/>
            <w:left w:w="108" w:type="dxa"/>
            <w:bottom w:w="0" w:type="dxa"/>
            <w:right w:w="108" w:type="dxa"/>
          </w:tblCellMar>
        </w:tblPrEx>
        <w:trPr>
          <w:trHeight w:val="1866"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35C2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F7F8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工业边缘计算软件平台</w:t>
            </w:r>
          </w:p>
        </w:tc>
        <w:tc>
          <w:tcPr>
            <w:tcW w:w="69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F6C4B">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实时监控中心</w:t>
            </w:r>
          </w:p>
          <w:p w14:paraId="69790148">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1)边缘节点总览：实时展示边缘网关运行状态，包含：运行数据总览、日志查询</w:t>
            </w:r>
            <w:r>
              <w:rPr>
                <w:rFonts w:hint="eastAsia" w:ascii="宋体" w:hAnsi="宋体" w:eastAsia="宋体" w:cs="宋体"/>
                <w:color w:val="auto"/>
                <w:sz w:val="21"/>
                <w:szCs w:val="21"/>
                <w:highlight w:val="none"/>
                <w:lang w:eastAsia="zh-CN"/>
              </w:rPr>
              <w:t>。</w:t>
            </w:r>
          </w:p>
          <w:p w14:paraId="29B4BF28">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)运行态势总览：</w:t>
            </w:r>
          </w:p>
          <w:p w14:paraId="7B7D52D4">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边缘设备在线率、节点总数、在线节点、离线节点统计；</w:t>
            </w:r>
          </w:p>
          <w:p w14:paraId="10B38380">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设备运行效率趋势图（运行、待机、离线、告警）；</w:t>
            </w:r>
          </w:p>
          <w:p w14:paraId="714D3994">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设备综合效率(OEE)雷达图（运行、故障、待机、离线状态时长分析）；边缘数据接收流水记录；</w:t>
            </w:r>
          </w:p>
          <w:p w14:paraId="00EF2E63">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边缘权限管理：</w:t>
            </w:r>
          </w:p>
          <w:p w14:paraId="4006982D">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1)组织架构管理:包含：边缘角色管理、人员管理、操作日志管理、权限策略管理,实现边缘场景下的分级权限控制,支持人员权限配置</w:t>
            </w:r>
            <w:r>
              <w:rPr>
                <w:rFonts w:hint="eastAsia" w:ascii="宋体" w:hAnsi="宋体" w:eastAsia="宋体" w:cs="宋体"/>
                <w:color w:val="auto"/>
                <w:sz w:val="21"/>
                <w:szCs w:val="21"/>
                <w:highlight w:val="none"/>
                <w:lang w:eastAsia="zh-CN"/>
              </w:rPr>
              <w:t>。</w:t>
            </w:r>
          </w:p>
          <w:p w14:paraId="3D54B78D">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边缘网关管理：</w:t>
            </w:r>
          </w:p>
          <w:p w14:paraId="68A202F9">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1)网关配置管理：网关设备注册/</w:t>
            </w:r>
            <w:r>
              <w:rPr>
                <w:rFonts w:hint="eastAsia" w:ascii="宋体" w:hAnsi="宋体" w:eastAsia="宋体" w:cs="宋体"/>
                <w:color w:val="auto"/>
                <w:sz w:val="21"/>
                <w:szCs w:val="21"/>
                <w:highlight w:val="none"/>
                <w:lang w:val="en-US" w:eastAsia="zh-CN"/>
              </w:rPr>
              <w:t>删除</w:t>
            </w:r>
            <w:r>
              <w:rPr>
                <w:rFonts w:hint="eastAsia" w:ascii="宋体" w:hAnsi="宋体" w:eastAsia="宋体" w:cs="宋体"/>
                <w:color w:val="auto"/>
                <w:sz w:val="21"/>
                <w:szCs w:val="21"/>
                <w:highlight w:val="none"/>
              </w:rPr>
              <w:t>/导出/检索：</w:t>
            </w:r>
          </w:p>
          <w:p w14:paraId="7597C3AB">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支持SN码、编号、网关类型、维护人员、最后心跳等全字段管理</w:t>
            </w:r>
            <w:r>
              <w:rPr>
                <w:rFonts w:hint="eastAsia" w:ascii="宋体" w:hAnsi="宋体" w:eastAsia="宋体" w:cs="宋体"/>
                <w:color w:val="auto"/>
                <w:sz w:val="21"/>
                <w:szCs w:val="21"/>
                <w:highlight w:val="none"/>
                <w:lang w:eastAsia="zh-CN"/>
              </w:rPr>
              <w:t>。</w:t>
            </w:r>
          </w:p>
          <w:p w14:paraId="5882EB43">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边缘参数配置</w:t>
            </w:r>
            <w:r>
              <w:rPr>
                <w:rFonts w:hint="eastAsia" w:ascii="宋体" w:hAnsi="宋体" w:eastAsia="宋体" w:cs="宋体"/>
                <w:color w:val="auto"/>
                <w:sz w:val="21"/>
                <w:szCs w:val="21"/>
                <w:highlight w:val="none"/>
                <w:lang w:eastAsia="zh-CN"/>
              </w:rPr>
              <w:t>：</w:t>
            </w:r>
          </w:p>
          <w:p w14:paraId="394DD25D">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)网关参数维护</w:t>
            </w:r>
          </w:p>
          <w:p w14:paraId="6FFBBBEE">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边缘计算参数配置</w:t>
            </w:r>
          </w:p>
          <w:p w14:paraId="78E96211">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参数精度、设定值、容差范围配置</w:t>
            </w:r>
          </w:p>
          <w:p w14:paraId="64F142AC">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运行状态标识与告警策略设置</w:t>
            </w:r>
          </w:p>
          <w:p w14:paraId="39700845">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)网关实时监控：</w:t>
            </w:r>
          </w:p>
          <w:p w14:paraId="42303E22">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边缘数据流实时监测</w:t>
            </w:r>
          </w:p>
          <w:p w14:paraId="3FD40882">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关键参数历史趋势可视化</w:t>
            </w:r>
          </w:p>
          <w:p w14:paraId="69F7DDFC">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参数</w:t>
            </w:r>
            <w:r>
              <w:rPr>
                <w:rFonts w:hint="eastAsia" w:ascii="宋体" w:hAnsi="宋体" w:eastAsia="宋体" w:cs="宋体"/>
                <w:color w:val="auto"/>
                <w:sz w:val="21"/>
                <w:szCs w:val="21"/>
                <w:highlight w:val="none"/>
              </w:rPr>
              <w:t>状态</w:t>
            </w:r>
            <w:r>
              <w:rPr>
                <w:rFonts w:hint="eastAsia" w:ascii="宋体" w:hAnsi="宋体" w:eastAsia="宋体" w:cs="宋体"/>
                <w:color w:val="auto"/>
                <w:sz w:val="21"/>
                <w:szCs w:val="21"/>
                <w:highlight w:val="none"/>
                <w:lang w:val="en-US" w:eastAsia="zh-CN"/>
              </w:rPr>
              <w:t>显示</w:t>
            </w:r>
          </w:p>
          <w:p w14:paraId="516B17F5">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边缘设备管理：</w:t>
            </w:r>
          </w:p>
          <w:p w14:paraId="344A2F80">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1)边缘节点绑定</w:t>
            </w:r>
          </w:p>
          <w:p w14:paraId="46A253EC">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网关与边缘单元关联</w:t>
            </w:r>
          </w:p>
          <w:p w14:paraId="795AD5CE">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网关参数继承</w:t>
            </w:r>
          </w:p>
          <w:p w14:paraId="60F4D85F">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采集点配置状态监</w:t>
            </w:r>
            <w:r>
              <w:rPr>
                <w:rFonts w:hint="eastAsia" w:ascii="宋体" w:hAnsi="宋体" w:eastAsia="宋体" w:cs="宋体"/>
                <w:color w:val="auto"/>
                <w:sz w:val="21"/>
                <w:szCs w:val="21"/>
                <w:highlight w:val="none"/>
                <w:lang w:eastAsia="zh-CN"/>
              </w:rPr>
              <w:t>控</w:t>
            </w:r>
          </w:p>
          <w:p w14:paraId="09FD377E">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)设备实时监控</w:t>
            </w:r>
          </w:p>
          <w:p w14:paraId="06487A74">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边缘设备数据流监控</w:t>
            </w:r>
          </w:p>
          <w:p w14:paraId="33665E96">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数据趋势图表分析</w:t>
            </w:r>
          </w:p>
          <w:p w14:paraId="257966DF">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边缘可视化</w:t>
            </w:r>
            <w:r>
              <w:rPr>
                <w:rFonts w:hint="eastAsia" w:ascii="宋体" w:hAnsi="宋体" w:eastAsia="宋体" w:cs="宋体"/>
                <w:color w:val="auto"/>
                <w:sz w:val="21"/>
                <w:szCs w:val="21"/>
                <w:highlight w:val="none"/>
                <w:lang w:val="en-US" w:eastAsia="zh-CN"/>
              </w:rPr>
              <w:t>设计</w:t>
            </w:r>
            <w:r>
              <w:rPr>
                <w:rFonts w:hint="eastAsia" w:ascii="宋体" w:hAnsi="宋体" w:eastAsia="宋体" w:cs="宋体"/>
                <w:color w:val="auto"/>
                <w:sz w:val="21"/>
                <w:szCs w:val="21"/>
                <w:highlight w:val="none"/>
              </w:rPr>
              <w:t>：</w:t>
            </w:r>
          </w:p>
          <w:p w14:paraId="1D1BF4A9">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1)零代码可视化开发：</w:t>
            </w:r>
          </w:p>
          <w:p w14:paraId="6012C732">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在线组态设计器</w:t>
            </w:r>
          </w:p>
          <w:p w14:paraId="69ABF07A">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拖拽式边缘场景构建</w:t>
            </w:r>
          </w:p>
          <w:p w14:paraId="03CDDCF8">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提供丰富的工业互联网组件库：</w:t>
            </w:r>
          </w:p>
          <w:p w14:paraId="69F52821">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基础组件：交互控件、图形元素、智能图表</w:t>
            </w:r>
          </w:p>
          <w:p w14:paraId="759DF584">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行业图库：传感器、执行器等专用图元</w:t>
            </w:r>
          </w:p>
          <w:p w14:paraId="1594A86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7、</w:t>
            </w:r>
            <w:r>
              <w:rPr>
                <w:rFonts w:hint="eastAsia" w:ascii="宋体" w:hAnsi="宋体" w:eastAsia="宋体" w:cs="宋体"/>
                <w:color w:val="auto"/>
                <w:sz w:val="21"/>
                <w:szCs w:val="21"/>
                <w:highlight w:val="none"/>
              </w:rPr>
              <w:t>工业仿真</w:t>
            </w:r>
            <w:r>
              <w:rPr>
                <w:rFonts w:hint="eastAsia" w:ascii="宋体" w:hAnsi="宋体" w:eastAsia="宋体" w:cs="宋体"/>
                <w:color w:val="auto"/>
                <w:sz w:val="21"/>
                <w:szCs w:val="21"/>
                <w:highlight w:val="none"/>
                <w:lang w:eastAsia="zh-CN"/>
              </w:rPr>
              <w:t>：</w:t>
            </w:r>
          </w:p>
          <w:p w14:paraId="5B18CFCF">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三维可视化与交互层</w:t>
            </w:r>
          </w:p>
          <w:p w14:paraId="6662A618">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使用PBR材质，高度还原现实中存在的设备和硬件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通过多级优化策略，即使在低端设备上也能流畅运行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提供三维拖拽交互操作，提升教学与培训沉浸感。</w:t>
            </w:r>
          </w:p>
          <w:p w14:paraId="2FA260FA">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仿真环境创建与管理：</w:t>
            </w:r>
          </w:p>
          <w:p w14:paraId="111E4C2F">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三维虚拟设备，支持实时运行状态与虚拟工艺参数同步，动画物理仿真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预制模板：提供一套内置</w:t>
            </w:r>
            <w:r>
              <w:rPr>
                <w:rFonts w:hint="eastAsia" w:ascii="宋体" w:hAnsi="宋体" w:eastAsia="宋体" w:cs="宋体"/>
                <w:color w:val="auto"/>
                <w:sz w:val="21"/>
                <w:szCs w:val="21"/>
                <w:highlight w:val="none"/>
                <w:lang w:eastAsia="zh-CN"/>
              </w:rPr>
              <w:t>6A21</w:t>
            </w:r>
            <w:r>
              <w:rPr>
                <w:rFonts w:hint="eastAsia" w:ascii="宋体" w:hAnsi="宋体" w:eastAsia="宋体" w:cs="宋体"/>
                <w:color w:val="auto"/>
                <w:sz w:val="21"/>
                <w:szCs w:val="21"/>
                <w:highlight w:val="none"/>
              </w:rPr>
              <w:t>板，可快速搭建标准化教学与训练环境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模块化配置：设备、逻辑、通信接口均以组件形式组织，用户可通过提供的设备库组合设备模型、逻辑单元与通信接口，满足科研、培训和企业实际工况复现需求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数据配置映射：提供可视化的数据配置界面，降低工程人员配置门槛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场景保存与复用：支持用户将已搭建的仿真场景与配置参数进行保存，便于后续快速加载、修改与重复使用，实现跨课程与跨项目的高效复用。</w:t>
            </w:r>
          </w:p>
          <w:p w14:paraId="1511CCF0">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协议与数据接入层</w:t>
            </w:r>
          </w:p>
          <w:p w14:paraId="44963589">
            <w:pPr>
              <w:pStyle w:val="10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原生支持 Modbus </w:t>
            </w:r>
            <w:r>
              <w:rPr>
                <w:rFonts w:hint="eastAsia" w:ascii="宋体" w:hAnsi="宋体" w:eastAsia="宋体" w:cs="宋体"/>
                <w:color w:val="auto"/>
                <w:sz w:val="21"/>
                <w:szCs w:val="21"/>
                <w:highlight w:val="none"/>
                <w:lang w:eastAsia="zh-CN"/>
              </w:rPr>
              <w:t>T</w:t>
            </w:r>
            <w:r>
              <w:rPr>
                <w:rFonts w:hint="eastAsia" w:ascii="宋体" w:hAnsi="宋体" w:eastAsia="宋体" w:cs="宋体"/>
                <w:color w:val="auto"/>
                <w:sz w:val="21"/>
                <w:szCs w:val="21"/>
                <w:highlight w:val="none"/>
              </w:rPr>
              <w:t>CP、Siemens</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S7(S7-300/400/1200/1500)、MQTT 协议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类型转换与字节序：支持 Big/Little Endian驱动层统一做显式转换，转换规则写入配置并参与校验。</w:t>
            </w:r>
          </w:p>
          <w:p w14:paraId="4F18707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eastAsia="宋体" w:cs="宋体"/>
                <w:color w:val="auto"/>
                <w:sz w:val="21"/>
                <w:szCs w:val="21"/>
                <w:highlight w:val="none"/>
                <w:lang w:val="en-US" w:eastAsia="zh-CN" w:bidi="ar-SA"/>
              </w:rPr>
              <w:t>需要将学校现有工业互联网平台（以下简称 “现有平台”开放API接口，新增平台需提供接口适配开发服务，确保接口调用成功率≥99.9%）全面接入新增平台，将学校2 台现有装置全面接入</w:t>
            </w:r>
            <w:r>
              <w:rPr>
                <w:rFonts w:hint="eastAsia" w:ascii="宋体" w:hAnsi="宋体" w:eastAsia="宋体" w:cs="宋体"/>
                <w:color w:val="auto"/>
                <w:sz w:val="21"/>
                <w:szCs w:val="21"/>
                <w:highlight w:val="none"/>
              </w:rPr>
              <w:t>工业</w:t>
            </w:r>
            <w:r>
              <w:rPr>
                <w:rFonts w:hint="eastAsia" w:ascii="宋体" w:hAnsi="宋体" w:eastAsia="宋体" w:cs="宋体"/>
                <w:color w:val="auto"/>
                <w:sz w:val="21"/>
                <w:szCs w:val="21"/>
                <w:highlight w:val="none"/>
                <w:lang w:val="en-US" w:eastAsia="zh-CN" w:bidi="ar-SA"/>
              </w:rPr>
              <w:t>仿真，实现 “现有平台 + 新增平台” 的技术融合、数据互通与功能协同，形成一套稳定运行、满足教学需求的综合性工业互联网实训平台，确保整体系统无兼容性故障、操作流程连贯.</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B54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FA30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r>
    </w:tbl>
    <w:p w14:paraId="3EA15353">
      <w:pPr>
        <w:keepNext w:val="0"/>
        <w:keepLines w:val="0"/>
        <w:pageBreakBefore w:val="0"/>
        <w:kinsoku/>
        <w:wordWrap/>
        <w:overflowPunct/>
        <w:topLinePunct w:val="0"/>
        <w:autoSpaceDE/>
        <w:autoSpaceDN/>
        <w:bidi w:val="0"/>
        <w:spacing w:after="0" w:line="360" w:lineRule="auto"/>
      </w:pPr>
    </w:p>
    <w:p w14:paraId="3E50D7F7">
      <w:pPr>
        <w:keepNext w:val="0"/>
        <w:keepLines w:val="0"/>
        <w:pageBreakBefore w:val="0"/>
        <w:kinsoku/>
        <w:wordWrap/>
        <w:overflowPunct/>
        <w:topLinePunct w:val="0"/>
        <w:autoSpaceDE/>
        <w:autoSpaceDN/>
        <w:bidi w:val="0"/>
        <w:spacing w:after="0" w:line="360" w:lineRule="auto"/>
      </w:pPr>
    </w:p>
    <w:sectPr>
      <w:headerReference r:id="rId7" w:type="first"/>
      <w:footerReference r:id="rId10" w:type="first"/>
      <w:headerReference r:id="rId5" w:type="default"/>
      <w:footerReference r:id="rId8" w:type="default"/>
      <w:headerReference r:id="rId6" w:type="even"/>
      <w:footerReference r:id="rId9" w:type="even"/>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B373">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32</w:t>
    </w:r>
    <w:r>
      <w:rPr>
        <w:rFonts w:asci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C2A06">
    <w:pPr>
      <w:pStyle w:val="28"/>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03F9DA86">
    <w:pPr>
      <w:pStyle w:val="28"/>
      <w:ind w:right="360"/>
    </w:pPr>
  </w:p>
  <w:p w14:paraId="299FC4E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D3BD">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38D1">
    <w:pPr>
      <w:pStyle w:val="30"/>
      <w:jc w:val="right"/>
    </w:pPr>
    <w:r>
      <w:rPr>
        <w:rFonts w:hint="eastAsia"/>
      </w:rPr>
      <w:t>常州常投招标有限公司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C1F58">
    <w:pPr>
      <w:pStyle w:val="30"/>
    </w:pPr>
  </w:p>
  <w:p w14:paraId="02777B4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3486A">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11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8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60"/>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09"/>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8"/>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5"/>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4"/>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6"/>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7"/>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14"/>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14"/>
      <w:lvlText w:val="%1"/>
      <w:lvlJc w:val="left"/>
      <w:pPr>
        <w:ind w:left="680" w:hanging="680"/>
      </w:pPr>
      <w:rPr>
        <w:rFonts w:hint="eastAsia" w:ascii="宋体" w:hAnsi="宋体" w:eastAsia="宋体"/>
      </w:rPr>
    </w:lvl>
    <w:lvl w:ilvl="1" w:tentative="0">
      <w:start w:val="1"/>
      <w:numFmt w:val="decimal"/>
      <w:pStyle w:val="215"/>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zg4NDcxNDIyZmMzYTFmODgzZTI1Y2M4YmE3YjY1MjA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623"/>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3E7D"/>
    <w:rsid w:val="000241D9"/>
    <w:rsid w:val="00024343"/>
    <w:rsid w:val="00024427"/>
    <w:rsid w:val="00024446"/>
    <w:rsid w:val="0002455F"/>
    <w:rsid w:val="000247C5"/>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1F7"/>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3EA"/>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5"/>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692"/>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69A"/>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706"/>
    <w:rsid w:val="000C692E"/>
    <w:rsid w:val="000C69D5"/>
    <w:rsid w:val="000C6D78"/>
    <w:rsid w:val="000C6EBF"/>
    <w:rsid w:val="000C6F06"/>
    <w:rsid w:val="000C70D6"/>
    <w:rsid w:val="000C76DD"/>
    <w:rsid w:val="000C78DB"/>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A07"/>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18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3F84"/>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81B"/>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13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3E6A"/>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DD3"/>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6A"/>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A84"/>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21C"/>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8C2"/>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10B"/>
    <w:rsid w:val="00204728"/>
    <w:rsid w:val="00204761"/>
    <w:rsid w:val="002047C4"/>
    <w:rsid w:val="00204865"/>
    <w:rsid w:val="00204E72"/>
    <w:rsid w:val="00204FA5"/>
    <w:rsid w:val="00205CED"/>
    <w:rsid w:val="00205D16"/>
    <w:rsid w:val="00205F4E"/>
    <w:rsid w:val="002062B3"/>
    <w:rsid w:val="00206410"/>
    <w:rsid w:val="00206722"/>
    <w:rsid w:val="00206A04"/>
    <w:rsid w:val="00206BE4"/>
    <w:rsid w:val="00206D3E"/>
    <w:rsid w:val="00206D5B"/>
    <w:rsid w:val="002074D2"/>
    <w:rsid w:val="0020761E"/>
    <w:rsid w:val="002077D3"/>
    <w:rsid w:val="00207852"/>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AB4"/>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2A8"/>
    <w:rsid w:val="00243352"/>
    <w:rsid w:val="00243380"/>
    <w:rsid w:val="0024345C"/>
    <w:rsid w:val="00243846"/>
    <w:rsid w:val="00243ACD"/>
    <w:rsid w:val="00243CC7"/>
    <w:rsid w:val="00243F98"/>
    <w:rsid w:val="0024445A"/>
    <w:rsid w:val="0024469F"/>
    <w:rsid w:val="00244762"/>
    <w:rsid w:val="00244840"/>
    <w:rsid w:val="00244C16"/>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CB6"/>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7F3"/>
    <w:rsid w:val="00277856"/>
    <w:rsid w:val="00277AC2"/>
    <w:rsid w:val="00277E50"/>
    <w:rsid w:val="0028005D"/>
    <w:rsid w:val="00280076"/>
    <w:rsid w:val="00280246"/>
    <w:rsid w:val="002802BA"/>
    <w:rsid w:val="002806AC"/>
    <w:rsid w:val="002806B3"/>
    <w:rsid w:val="00280D62"/>
    <w:rsid w:val="00280E73"/>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3F"/>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4E7E"/>
    <w:rsid w:val="002B502D"/>
    <w:rsid w:val="002B5166"/>
    <w:rsid w:val="002B518F"/>
    <w:rsid w:val="002B531C"/>
    <w:rsid w:val="002B5632"/>
    <w:rsid w:val="002B597F"/>
    <w:rsid w:val="002B59FD"/>
    <w:rsid w:val="002B5CEC"/>
    <w:rsid w:val="002B5D2F"/>
    <w:rsid w:val="002B5F20"/>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57E"/>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797"/>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94D"/>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383"/>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0E5B"/>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AD8"/>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3FA"/>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8EF"/>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C01"/>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35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9C"/>
    <w:rsid w:val="003D43D3"/>
    <w:rsid w:val="003D488D"/>
    <w:rsid w:val="003D4906"/>
    <w:rsid w:val="003D4A70"/>
    <w:rsid w:val="003D4A82"/>
    <w:rsid w:val="003D4B0B"/>
    <w:rsid w:val="003D4BAB"/>
    <w:rsid w:val="003D4E5F"/>
    <w:rsid w:val="003D51E5"/>
    <w:rsid w:val="003D52F9"/>
    <w:rsid w:val="003D53CF"/>
    <w:rsid w:val="003D575F"/>
    <w:rsid w:val="003D5875"/>
    <w:rsid w:val="003D58D6"/>
    <w:rsid w:val="003D59FB"/>
    <w:rsid w:val="003D5ABC"/>
    <w:rsid w:val="003D5AE6"/>
    <w:rsid w:val="003D5DEC"/>
    <w:rsid w:val="003D5FE3"/>
    <w:rsid w:val="003D615B"/>
    <w:rsid w:val="003D6498"/>
    <w:rsid w:val="003D674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3B5"/>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2E1"/>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26"/>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9DF"/>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1B3"/>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836"/>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3F0"/>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227"/>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3A"/>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29"/>
    <w:rsid w:val="00486EC6"/>
    <w:rsid w:val="00486FB8"/>
    <w:rsid w:val="0048714A"/>
    <w:rsid w:val="00487276"/>
    <w:rsid w:val="004877DB"/>
    <w:rsid w:val="00487893"/>
    <w:rsid w:val="004879A9"/>
    <w:rsid w:val="00487BE6"/>
    <w:rsid w:val="00487D77"/>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CDB"/>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5D3"/>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48"/>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8F9"/>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1E5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7F8"/>
    <w:rsid w:val="004C6B5D"/>
    <w:rsid w:val="004C6C22"/>
    <w:rsid w:val="004C704C"/>
    <w:rsid w:val="004C7211"/>
    <w:rsid w:val="004C7B76"/>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49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20E"/>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49"/>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BD5"/>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981"/>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A3E"/>
    <w:rsid w:val="00527B13"/>
    <w:rsid w:val="00527DF6"/>
    <w:rsid w:val="00530095"/>
    <w:rsid w:val="00530183"/>
    <w:rsid w:val="00530578"/>
    <w:rsid w:val="00530842"/>
    <w:rsid w:val="005309FA"/>
    <w:rsid w:val="00530CD6"/>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81"/>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5C3A"/>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75"/>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3"/>
    <w:rsid w:val="00583E24"/>
    <w:rsid w:val="00584267"/>
    <w:rsid w:val="005845B8"/>
    <w:rsid w:val="005845EF"/>
    <w:rsid w:val="00584ACD"/>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8BE"/>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ADC"/>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751"/>
    <w:rsid w:val="005F699D"/>
    <w:rsid w:val="005F6C2C"/>
    <w:rsid w:val="005F6EFA"/>
    <w:rsid w:val="005F7011"/>
    <w:rsid w:val="005F70F0"/>
    <w:rsid w:val="005F713E"/>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4E8C"/>
    <w:rsid w:val="006351E2"/>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8F"/>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52D"/>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6D1"/>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9A5"/>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55A"/>
    <w:rsid w:val="00684ACD"/>
    <w:rsid w:val="00684B8F"/>
    <w:rsid w:val="006853DA"/>
    <w:rsid w:val="00685632"/>
    <w:rsid w:val="00685A09"/>
    <w:rsid w:val="00685DB2"/>
    <w:rsid w:val="00685E50"/>
    <w:rsid w:val="00685EE4"/>
    <w:rsid w:val="00685F1A"/>
    <w:rsid w:val="00685F3C"/>
    <w:rsid w:val="00685F5D"/>
    <w:rsid w:val="00685FC5"/>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82B"/>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7D2"/>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E01"/>
    <w:rsid w:val="006B1003"/>
    <w:rsid w:val="006B1449"/>
    <w:rsid w:val="006B179D"/>
    <w:rsid w:val="006B1815"/>
    <w:rsid w:val="006B1ACC"/>
    <w:rsid w:val="006B1C2B"/>
    <w:rsid w:val="006B1C4E"/>
    <w:rsid w:val="006B1E1A"/>
    <w:rsid w:val="006B1E6E"/>
    <w:rsid w:val="006B1FAF"/>
    <w:rsid w:val="006B24F7"/>
    <w:rsid w:val="006B261E"/>
    <w:rsid w:val="006B2674"/>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1E"/>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22"/>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26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616"/>
    <w:rsid w:val="006F276D"/>
    <w:rsid w:val="006F2962"/>
    <w:rsid w:val="006F296E"/>
    <w:rsid w:val="006F2A88"/>
    <w:rsid w:val="006F2DB7"/>
    <w:rsid w:val="006F2EB4"/>
    <w:rsid w:val="006F3631"/>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23"/>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5F5"/>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139"/>
    <w:rsid w:val="007074C8"/>
    <w:rsid w:val="00707507"/>
    <w:rsid w:val="00707641"/>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190"/>
    <w:rsid w:val="0071144C"/>
    <w:rsid w:val="0071164F"/>
    <w:rsid w:val="007117E0"/>
    <w:rsid w:val="0071185C"/>
    <w:rsid w:val="00711DE3"/>
    <w:rsid w:val="007121AF"/>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7B6"/>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40B"/>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B81"/>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950"/>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83"/>
    <w:rsid w:val="007A2C36"/>
    <w:rsid w:val="007A2C72"/>
    <w:rsid w:val="007A2D17"/>
    <w:rsid w:val="007A2ECA"/>
    <w:rsid w:val="007A3003"/>
    <w:rsid w:val="007A3A19"/>
    <w:rsid w:val="007A3AC9"/>
    <w:rsid w:val="007A3ACB"/>
    <w:rsid w:val="007A3DE6"/>
    <w:rsid w:val="007A3F2B"/>
    <w:rsid w:val="007A447C"/>
    <w:rsid w:val="007A46FC"/>
    <w:rsid w:val="007A489E"/>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7F1"/>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98A"/>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67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A35"/>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33A"/>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4F96"/>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2BB"/>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CE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841"/>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8C"/>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CFD"/>
    <w:rsid w:val="00877E6F"/>
    <w:rsid w:val="00877FAC"/>
    <w:rsid w:val="00880053"/>
    <w:rsid w:val="00880195"/>
    <w:rsid w:val="008802CD"/>
    <w:rsid w:val="008804DA"/>
    <w:rsid w:val="00880527"/>
    <w:rsid w:val="008806CA"/>
    <w:rsid w:val="008807C5"/>
    <w:rsid w:val="00880CA6"/>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D8A"/>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97E5E"/>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24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4D56"/>
    <w:rsid w:val="008D5435"/>
    <w:rsid w:val="008D57EE"/>
    <w:rsid w:val="008D590C"/>
    <w:rsid w:val="008D5A3E"/>
    <w:rsid w:val="008D5B1F"/>
    <w:rsid w:val="008D5D7C"/>
    <w:rsid w:val="008D5D9C"/>
    <w:rsid w:val="008D5E11"/>
    <w:rsid w:val="008D5F81"/>
    <w:rsid w:val="008D6146"/>
    <w:rsid w:val="008D6208"/>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21C"/>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22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1F7"/>
    <w:rsid w:val="0091667B"/>
    <w:rsid w:val="00916843"/>
    <w:rsid w:val="009168CA"/>
    <w:rsid w:val="00916F01"/>
    <w:rsid w:val="009170C8"/>
    <w:rsid w:val="00917156"/>
    <w:rsid w:val="0091717B"/>
    <w:rsid w:val="009171A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25C"/>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38"/>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385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0C"/>
    <w:rsid w:val="00950AAC"/>
    <w:rsid w:val="00950AB4"/>
    <w:rsid w:val="00951531"/>
    <w:rsid w:val="00951758"/>
    <w:rsid w:val="009517B8"/>
    <w:rsid w:val="009519F3"/>
    <w:rsid w:val="00951D82"/>
    <w:rsid w:val="00951DE6"/>
    <w:rsid w:val="00952277"/>
    <w:rsid w:val="0095243E"/>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32"/>
    <w:rsid w:val="00956636"/>
    <w:rsid w:val="00956DAB"/>
    <w:rsid w:val="009576B3"/>
    <w:rsid w:val="00957747"/>
    <w:rsid w:val="009578F0"/>
    <w:rsid w:val="00957AE1"/>
    <w:rsid w:val="00957C00"/>
    <w:rsid w:val="00957C4E"/>
    <w:rsid w:val="00957CB5"/>
    <w:rsid w:val="009606DD"/>
    <w:rsid w:val="009606E9"/>
    <w:rsid w:val="00960936"/>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61E"/>
    <w:rsid w:val="00962749"/>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3D9E"/>
    <w:rsid w:val="0097476F"/>
    <w:rsid w:val="0097481B"/>
    <w:rsid w:val="00974CA4"/>
    <w:rsid w:val="00975051"/>
    <w:rsid w:val="0097510E"/>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25C"/>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079"/>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EEC"/>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475"/>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4A7E"/>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0DB"/>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EC"/>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B1"/>
    <w:rsid w:val="00A206E4"/>
    <w:rsid w:val="00A20702"/>
    <w:rsid w:val="00A20703"/>
    <w:rsid w:val="00A2080F"/>
    <w:rsid w:val="00A20A0B"/>
    <w:rsid w:val="00A20A0C"/>
    <w:rsid w:val="00A20A26"/>
    <w:rsid w:val="00A20AC2"/>
    <w:rsid w:val="00A20F31"/>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2B9"/>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B0"/>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3F0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C1"/>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AE9"/>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B65"/>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C97"/>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292"/>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75B"/>
    <w:rsid w:val="00A91A1C"/>
    <w:rsid w:val="00A91ACD"/>
    <w:rsid w:val="00A91EDF"/>
    <w:rsid w:val="00A92347"/>
    <w:rsid w:val="00A92407"/>
    <w:rsid w:val="00A9253B"/>
    <w:rsid w:val="00A925F3"/>
    <w:rsid w:val="00A92921"/>
    <w:rsid w:val="00A92DAC"/>
    <w:rsid w:val="00A92DF9"/>
    <w:rsid w:val="00A92EF0"/>
    <w:rsid w:val="00A93101"/>
    <w:rsid w:val="00A9338F"/>
    <w:rsid w:val="00A935BD"/>
    <w:rsid w:val="00A93D0E"/>
    <w:rsid w:val="00A93F0B"/>
    <w:rsid w:val="00A93F4F"/>
    <w:rsid w:val="00A940DF"/>
    <w:rsid w:val="00A9421F"/>
    <w:rsid w:val="00A94354"/>
    <w:rsid w:val="00A94843"/>
    <w:rsid w:val="00A94883"/>
    <w:rsid w:val="00A94BD7"/>
    <w:rsid w:val="00A94DED"/>
    <w:rsid w:val="00A94EA5"/>
    <w:rsid w:val="00A94F39"/>
    <w:rsid w:val="00A950FC"/>
    <w:rsid w:val="00A95198"/>
    <w:rsid w:val="00A953D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91"/>
    <w:rsid w:val="00AA17CC"/>
    <w:rsid w:val="00AA187A"/>
    <w:rsid w:val="00AA1937"/>
    <w:rsid w:val="00AA1A34"/>
    <w:rsid w:val="00AA1AE8"/>
    <w:rsid w:val="00AA2597"/>
    <w:rsid w:val="00AA25A4"/>
    <w:rsid w:val="00AA2836"/>
    <w:rsid w:val="00AA2A28"/>
    <w:rsid w:val="00AA2BE3"/>
    <w:rsid w:val="00AA2FB6"/>
    <w:rsid w:val="00AA30CD"/>
    <w:rsid w:val="00AA30F3"/>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000"/>
    <w:rsid w:val="00AD411D"/>
    <w:rsid w:val="00AD416B"/>
    <w:rsid w:val="00AD4193"/>
    <w:rsid w:val="00AD41EE"/>
    <w:rsid w:val="00AD4420"/>
    <w:rsid w:val="00AD450E"/>
    <w:rsid w:val="00AD47EF"/>
    <w:rsid w:val="00AD486A"/>
    <w:rsid w:val="00AD4CA9"/>
    <w:rsid w:val="00AD4DDC"/>
    <w:rsid w:val="00AD4E56"/>
    <w:rsid w:val="00AD50EA"/>
    <w:rsid w:val="00AD50FB"/>
    <w:rsid w:val="00AD54CE"/>
    <w:rsid w:val="00AD5813"/>
    <w:rsid w:val="00AD59EB"/>
    <w:rsid w:val="00AD5A0B"/>
    <w:rsid w:val="00AD5A3D"/>
    <w:rsid w:val="00AD5AE7"/>
    <w:rsid w:val="00AD5BCC"/>
    <w:rsid w:val="00AD5BFF"/>
    <w:rsid w:val="00AD5C59"/>
    <w:rsid w:val="00AD600F"/>
    <w:rsid w:val="00AD6036"/>
    <w:rsid w:val="00AD6132"/>
    <w:rsid w:val="00AD63B1"/>
    <w:rsid w:val="00AD63B5"/>
    <w:rsid w:val="00AD65A4"/>
    <w:rsid w:val="00AD678D"/>
    <w:rsid w:val="00AD67CF"/>
    <w:rsid w:val="00AD6BDF"/>
    <w:rsid w:val="00AD6C36"/>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76"/>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5DF"/>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5E12"/>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27"/>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27E97"/>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1BE"/>
    <w:rsid w:val="00B35799"/>
    <w:rsid w:val="00B357D5"/>
    <w:rsid w:val="00B357EA"/>
    <w:rsid w:val="00B358A6"/>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0E4"/>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894"/>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1E0"/>
    <w:rsid w:val="00B93340"/>
    <w:rsid w:val="00B93405"/>
    <w:rsid w:val="00B93600"/>
    <w:rsid w:val="00B93637"/>
    <w:rsid w:val="00B93767"/>
    <w:rsid w:val="00B9388F"/>
    <w:rsid w:val="00B93B72"/>
    <w:rsid w:val="00B93F6C"/>
    <w:rsid w:val="00B94007"/>
    <w:rsid w:val="00B945FA"/>
    <w:rsid w:val="00B948DA"/>
    <w:rsid w:val="00B94CD2"/>
    <w:rsid w:val="00B94D35"/>
    <w:rsid w:val="00B95341"/>
    <w:rsid w:val="00B9536A"/>
    <w:rsid w:val="00B953FA"/>
    <w:rsid w:val="00B95AB0"/>
    <w:rsid w:val="00B95C70"/>
    <w:rsid w:val="00B95DBF"/>
    <w:rsid w:val="00B95E24"/>
    <w:rsid w:val="00B96224"/>
    <w:rsid w:val="00B9626C"/>
    <w:rsid w:val="00B962F3"/>
    <w:rsid w:val="00B96418"/>
    <w:rsid w:val="00B9649D"/>
    <w:rsid w:val="00B96679"/>
    <w:rsid w:val="00B968C2"/>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5D3"/>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4C"/>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EFA"/>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52F"/>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12"/>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3F69"/>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5FFA"/>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26"/>
    <w:rsid w:val="00C236CF"/>
    <w:rsid w:val="00C23A73"/>
    <w:rsid w:val="00C23C0D"/>
    <w:rsid w:val="00C23CB8"/>
    <w:rsid w:val="00C23DDF"/>
    <w:rsid w:val="00C23EE3"/>
    <w:rsid w:val="00C240AF"/>
    <w:rsid w:val="00C240B0"/>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5EA3"/>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C70"/>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03"/>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4DC"/>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17B"/>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737"/>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BF"/>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F44"/>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319"/>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855"/>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3F7"/>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2E"/>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129"/>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1A5"/>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3F01"/>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0FA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3C2"/>
    <w:rsid w:val="00E405E9"/>
    <w:rsid w:val="00E40774"/>
    <w:rsid w:val="00E40B32"/>
    <w:rsid w:val="00E4118D"/>
    <w:rsid w:val="00E41208"/>
    <w:rsid w:val="00E4139D"/>
    <w:rsid w:val="00E4147A"/>
    <w:rsid w:val="00E414F4"/>
    <w:rsid w:val="00E41658"/>
    <w:rsid w:val="00E41B4A"/>
    <w:rsid w:val="00E41BF4"/>
    <w:rsid w:val="00E42300"/>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E50"/>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1"/>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2E"/>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546"/>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68"/>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68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A7C"/>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05E"/>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0E3E"/>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042"/>
    <w:rsid w:val="00F757D2"/>
    <w:rsid w:val="00F759C3"/>
    <w:rsid w:val="00F75DBB"/>
    <w:rsid w:val="00F76182"/>
    <w:rsid w:val="00F762BC"/>
    <w:rsid w:val="00F7665A"/>
    <w:rsid w:val="00F76928"/>
    <w:rsid w:val="00F76A05"/>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6EF"/>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A74"/>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872"/>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6FA9"/>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38E"/>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77"/>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5F24"/>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5FF8"/>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E3888"/>
    <w:rsid w:val="01494304"/>
    <w:rsid w:val="015123B9"/>
    <w:rsid w:val="016E1FE0"/>
    <w:rsid w:val="018A7FBB"/>
    <w:rsid w:val="01EC5C3E"/>
    <w:rsid w:val="021C6183"/>
    <w:rsid w:val="02641C78"/>
    <w:rsid w:val="028B36A9"/>
    <w:rsid w:val="03C03826"/>
    <w:rsid w:val="042A6EF2"/>
    <w:rsid w:val="0432329F"/>
    <w:rsid w:val="04461F7D"/>
    <w:rsid w:val="04BF5C8D"/>
    <w:rsid w:val="04ED064B"/>
    <w:rsid w:val="05104339"/>
    <w:rsid w:val="054A55C0"/>
    <w:rsid w:val="05573D16"/>
    <w:rsid w:val="05597A8E"/>
    <w:rsid w:val="05874253"/>
    <w:rsid w:val="05C50C80"/>
    <w:rsid w:val="05D53ADD"/>
    <w:rsid w:val="06112117"/>
    <w:rsid w:val="0664120F"/>
    <w:rsid w:val="06693D0A"/>
    <w:rsid w:val="06BA455D"/>
    <w:rsid w:val="06C90C44"/>
    <w:rsid w:val="07556EB5"/>
    <w:rsid w:val="084F5179"/>
    <w:rsid w:val="085D4E0D"/>
    <w:rsid w:val="086441F3"/>
    <w:rsid w:val="087D10A1"/>
    <w:rsid w:val="09DB63AA"/>
    <w:rsid w:val="09E638BB"/>
    <w:rsid w:val="0A894972"/>
    <w:rsid w:val="0AFE7C7D"/>
    <w:rsid w:val="0B1A1A6E"/>
    <w:rsid w:val="0B5655AF"/>
    <w:rsid w:val="0B604DDF"/>
    <w:rsid w:val="0B660C1A"/>
    <w:rsid w:val="0B73117E"/>
    <w:rsid w:val="0B867EB0"/>
    <w:rsid w:val="0B9C06D5"/>
    <w:rsid w:val="0B9C6927"/>
    <w:rsid w:val="0B9E4BC5"/>
    <w:rsid w:val="0C2D3A23"/>
    <w:rsid w:val="0C760F26"/>
    <w:rsid w:val="0C9615C8"/>
    <w:rsid w:val="0CD06A65"/>
    <w:rsid w:val="0DC60734"/>
    <w:rsid w:val="0E191BFB"/>
    <w:rsid w:val="0EFD3479"/>
    <w:rsid w:val="0F13349F"/>
    <w:rsid w:val="0F4C05FA"/>
    <w:rsid w:val="0F5513C5"/>
    <w:rsid w:val="0F64150A"/>
    <w:rsid w:val="10321608"/>
    <w:rsid w:val="106A6FF4"/>
    <w:rsid w:val="121B227F"/>
    <w:rsid w:val="12575356"/>
    <w:rsid w:val="13286CF2"/>
    <w:rsid w:val="1332191F"/>
    <w:rsid w:val="1352528C"/>
    <w:rsid w:val="13AA4FA1"/>
    <w:rsid w:val="13AD5156"/>
    <w:rsid w:val="14065285"/>
    <w:rsid w:val="140B4E66"/>
    <w:rsid w:val="143A0887"/>
    <w:rsid w:val="14496161"/>
    <w:rsid w:val="153D4CD7"/>
    <w:rsid w:val="15476F61"/>
    <w:rsid w:val="15602773"/>
    <w:rsid w:val="15700CE0"/>
    <w:rsid w:val="157731DB"/>
    <w:rsid w:val="15B825AF"/>
    <w:rsid w:val="163836F0"/>
    <w:rsid w:val="16743964"/>
    <w:rsid w:val="16AD3796"/>
    <w:rsid w:val="16FB6BF7"/>
    <w:rsid w:val="17F93E0B"/>
    <w:rsid w:val="18480080"/>
    <w:rsid w:val="19061883"/>
    <w:rsid w:val="19481E9C"/>
    <w:rsid w:val="19AE61A3"/>
    <w:rsid w:val="19E568D4"/>
    <w:rsid w:val="1AE836FD"/>
    <w:rsid w:val="1B34781D"/>
    <w:rsid w:val="1B6A434C"/>
    <w:rsid w:val="1B8F08EC"/>
    <w:rsid w:val="1BD21D08"/>
    <w:rsid w:val="1C455CA5"/>
    <w:rsid w:val="1D091942"/>
    <w:rsid w:val="1D2C69D2"/>
    <w:rsid w:val="1D4B43B2"/>
    <w:rsid w:val="1E86500C"/>
    <w:rsid w:val="1EE6018D"/>
    <w:rsid w:val="1F301408"/>
    <w:rsid w:val="1F905302"/>
    <w:rsid w:val="1FC61D6D"/>
    <w:rsid w:val="20D919E3"/>
    <w:rsid w:val="21052421"/>
    <w:rsid w:val="21B52099"/>
    <w:rsid w:val="21FF225E"/>
    <w:rsid w:val="2265761B"/>
    <w:rsid w:val="22F17100"/>
    <w:rsid w:val="22F510EF"/>
    <w:rsid w:val="239E00B4"/>
    <w:rsid w:val="241C01AD"/>
    <w:rsid w:val="243C25FD"/>
    <w:rsid w:val="248E1F3D"/>
    <w:rsid w:val="251E74A4"/>
    <w:rsid w:val="26E72CF4"/>
    <w:rsid w:val="27076EF2"/>
    <w:rsid w:val="27302FEC"/>
    <w:rsid w:val="27843CE5"/>
    <w:rsid w:val="27D50D9F"/>
    <w:rsid w:val="281D0B2A"/>
    <w:rsid w:val="2828042A"/>
    <w:rsid w:val="283755B5"/>
    <w:rsid w:val="289742A6"/>
    <w:rsid w:val="28E52DD3"/>
    <w:rsid w:val="291D67FD"/>
    <w:rsid w:val="292875F4"/>
    <w:rsid w:val="29C476C3"/>
    <w:rsid w:val="2A1E2046"/>
    <w:rsid w:val="2A4A64A5"/>
    <w:rsid w:val="2A8F7AD3"/>
    <w:rsid w:val="2A973DEA"/>
    <w:rsid w:val="2AA8176F"/>
    <w:rsid w:val="2AC806CF"/>
    <w:rsid w:val="2ACB6489"/>
    <w:rsid w:val="2B116592"/>
    <w:rsid w:val="2B2101B1"/>
    <w:rsid w:val="2DC851B5"/>
    <w:rsid w:val="2E1168A9"/>
    <w:rsid w:val="2E3F5358"/>
    <w:rsid w:val="2EFC1307"/>
    <w:rsid w:val="30711881"/>
    <w:rsid w:val="312A6260"/>
    <w:rsid w:val="312B5ED3"/>
    <w:rsid w:val="3192385D"/>
    <w:rsid w:val="31A57A34"/>
    <w:rsid w:val="31A737AC"/>
    <w:rsid w:val="321E76F0"/>
    <w:rsid w:val="323D5EBE"/>
    <w:rsid w:val="32513718"/>
    <w:rsid w:val="329272F4"/>
    <w:rsid w:val="329E3104"/>
    <w:rsid w:val="32AD0DF1"/>
    <w:rsid w:val="32EB653A"/>
    <w:rsid w:val="32FD5BE1"/>
    <w:rsid w:val="32FE7CAF"/>
    <w:rsid w:val="332E0BB8"/>
    <w:rsid w:val="333467A8"/>
    <w:rsid w:val="33721B98"/>
    <w:rsid w:val="33900270"/>
    <w:rsid w:val="33A24CF3"/>
    <w:rsid w:val="33DC1707"/>
    <w:rsid w:val="33E91A1A"/>
    <w:rsid w:val="34057E8A"/>
    <w:rsid w:val="346040E6"/>
    <w:rsid w:val="34900014"/>
    <w:rsid w:val="34ED0EE3"/>
    <w:rsid w:val="35123632"/>
    <w:rsid w:val="35C0308E"/>
    <w:rsid w:val="35CC42BC"/>
    <w:rsid w:val="36622962"/>
    <w:rsid w:val="36C721FA"/>
    <w:rsid w:val="36D668E1"/>
    <w:rsid w:val="36E80ECA"/>
    <w:rsid w:val="37A34A15"/>
    <w:rsid w:val="37F0537C"/>
    <w:rsid w:val="386D5023"/>
    <w:rsid w:val="391C51EB"/>
    <w:rsid w:val="39390062"/>
    <w:rsid w:val="396A4218"/>
    <w:rsid w:val="396A6CF9"/>
    <w:rsid w:val="3A086A8B"/>
    <w:rsid w:val="3A5417CE"/>
    <w:rsid w:val="3A575AF9"/>
    <w:rsid w:val="3ACC6031"/>
    <w:rsid w:val="3B067D09"/>
    <w:rsid w:val="3B5B73B5"/>
    <w:rsid w:val="3B981185"/>
    <w:rsid w:val="3BBD7735"/>
    <w:rsid w:val="3BC968F7"/>
    <w:rsid w:val="3BCB6780"/>
    <w:rsid w:val="3C5837C4"/>
    <w:rsid w:val="3C683C2C"/>
    <w:rsid w:val="3CA1704A"/>
    <w:rsid w:val="3CB74ABF"/>
    <w:rsid w:val="3D9077EA"/>
    <w:rsid w:val="3DB04BE3"/>
    <w:rsid w:val="3DCE0312"/>
    <w:rsid w:val="3DEA5F21"/>
    <w:rsid w:val="3E167C7D"/>
    <w:rsid w:val="3E9B36C6"/>
    <w:rsid w:val="3EF06AC2"/>
    <w:rsid w:val="3F236B17"/>
    <w:rsid w:val="3F6E2316"/>
    <w:rsid w:val="3F9F3DFA"/>
    <w:rsid w:val="3FA4132B"/>
    <w:rsid w:val="3FCC443E"/>
    <w:rsid w:val="40762907"/>
    <w:rsid w:val="40BB5C8B"/>
    <w:rsid w:val="41DF489C"/>
    <w:rsid w:val="41EE0F83"/>
    <w:rsid w:val="41F50843"/>
    <w:rsid w:val="421107CE"/>
    <w:rsid w:val="42CD0A98"/>
    <w:rsid w:val="42FF2331"/>
    <w:rsid w:val="431A0C09"/>
    <w:rsid w:val="43503578"/>
    <w:rsid w:val="438E6551"/>
    <w:rsid w:val="443C47D6"/>
    <w:rsid w:val="44700B68"/>
    <w:rsid w:val="44BA15F0"/>
    <w:rsid w:val="45856C8B"/>
    <w:rsid w:val="46B85267"/>
    <w:rsid w:val="47294719"/>
    <w:rsid w:val="473E6E25"/>
    <w:rsid w:val="47A125F4"/>
    <w:rsid w:val="47B84838"/>
    <w:rsid w:val="480E2158"/>
    <w:rsid w:val="480F5C14"/>
    <w:rsid w:val="48C7260C"/>
    <w:rsid w:val="48EB7FCA"/>
    <w:rsid w:val="49CA4084"/>
    <w:rsid w:val="4A68334C"/>
    <w:rsid w:val="4ABF170F"/>
    <w:rsid w:val="4AC97E97"/>
    <w:rsid w:val="4B65373A"/>
    <w:rsid w:val="4B7324F9"/>
    <w:rsid w:val="4B9A7A86"/>
    <w:rsid w:val="4BA566AD"/>
    <w:rsid w:val="4C4B663A"/>
    <w:rsid w:val="4C7767A7"/>
    <w:rsid w:val="4C79130A"/>
    <w:rsid w:val="4CC30FC5"/>
    <w:rsid w:val="4CCD22DE"/>
    <w:rsid w:val="4D00163A"/>
    <w:rsid w:val="4DB835BC"/>
    <w:rsid w:val="4E240DFD"/>
    <w:rsid w:val="4E962786"/>
    <w:rsid w:val="4EB63412"/>
    <w:rsid w:val="4F0F5BE3"/>
    <w:rsid w:val="4F2E0C11"/>
    <w:rsid w:val="4F3A5808"/>
    <w:rsid w:val="4F4E12B3"/>
    <w:rsid w:val="4F7C7BCE"/>
    <w:rsid w:val="50121022"/>
    <w:rsid w:val="501716A5"/>
    <w:rsid w:val="504B134F"/>
    <w:rsid w:val="507242DC"/>
    <w:rsid w:val="50797CC1"/>
    <w:rsid w:val="50A0169A"/>
    <w:rsid w:val="512242F8"/>
    <w:rsid w:val="51D11D27"/>
    <w:rsid w:val="51E61EC5"/>
    <w:rsid w:val="52422029"/>
    <w:rsid w:val="533662E6"/>
    <w:rsid w:val="533D4D35"/>
    <w:rsid w:val="535624E4"/>
    <w:rsid w:val="537D4CCD"/>
    <w:rsid w:val="53BF452D"/>
    <w:rsid w:val="54B51C3D"/>
    <w:rsid w:val="54C73437"/>
    <w:rsid w:val="55040901"/>
    <w:rsid w:val="556C4241"/>
    <w:rsid w:val="562D06C7"/>
    <w:rsid w:val="56DF05DE"/>
    <w:rsid w:val="56F70118"/>
    <w:rsid w:val="57240E97"/>
    <w:rsid w:val="57325016"/>
    <w:rsid w:val="57C21DE0"/>
    <w:rsid w:val="57E207EA"/>
    <w:rsid w:val="57FC6189"/>
    <w:rsid w:val="583D0117"/>
    <w:rsid w:val="592B61C1"/>
    <w:rsid w:val="59BD32BD"/>
    <w:rsid w:val="59BE7035"/>
    <w:rsid w:val="59DF76D7"/>
    <w:rsid w:val="59F81D4F"/>
    <w:rsid w:val="5A0709DC"/>
    <w:rsid w:val="5A601E9A"/>
    <w:rsid w:val="5A7B7BA7"/>
    <w:rsid w:val="5A9C7376"/>
    <w:rsid w:val="5AB87F28"/>
    <w:rsid w:val="5B1A64ED"/>
    <w:rsid w:val="5B625A97"/>
    <w:rsid w:val="5B922527"/>
    <w:rsid w:val="5B962018"/>
    <w:rsid w:val="5BBE331C"/>
    <w:rsid w:val="5C2A6C04"/>
    <w:rsid w:val="5C6A3979"/>
    <w:rsid w:val="5C9347A9"/>
    <w:rsid w:val="5C9C561E"/>
    <w:rsid w:val="5C9E4397"/>
    <w:rsid w:val="5D333447"/>
    <w:rsid w:val="5D973E25"/>
    <w:rsid w:val="5E5E2B95"/>
    <w:rsid w:val="5ECE7D1A"/>
    <w:rsid w:val="5F073306"/>
    <w:rsid w:val="5F2D2C93"/>
    <w:rsid w:val="5F5F73B9"/>
    <w:rsid w:val="5FD914BD"/>
    <w:rsid w:val="601834AA"/>
    <w:rsid w:val="60355508"/>
    <w:rsid w:val="60874625"/>
    <w:rsid w:val="611B7328"/>
    <w:rsid w:val="613C1914"/>
    <w:rsid w:val="613F280A"/>
    <w:rsid w:val="616A65EB"/>
    <w:rsid w:val="61821F76"/>
    <w:rsid w:val="620E2F09"/>
    <w:rsid w:val="6246445C"/>
    <w:rsid w:val="627C7C08"/>
    <w:rsid w:val="629101F1"/>
    <w:rsid w:val="62C70D09"/>
    <w:rsid w:val="633D1B6D"/>
    <w:rsid w:val="63807109"/>
    <w:rsid w:val="638D4BC4"/>
    <w:rsid w:val="643E324C"/>
    <w:rsid w:val="645B632C"/>
    <w:rsid w:val="647B419D"/>
    <w:rsid w:val="64B67287"/>
    <w:rsid w:val="65087DB3"/>
    <w:rsid w:val="651674B7"/>
    <w:rsid w:val="65892069"/>
    <w:rsid w:val="663C37BC"/>
    <w:rsid w:val="665D0E4C"/>
    <w:rsid w:val="66A31A8D"/>
    <w:rsid w:val="66C537B1"/>
    <w:rsid w:val="675C3673"/>
    <w:rsid w:val="67A23AF2"/>
    <w:rsid w:val="67BA6B80"/>
    <w:rsid w:val="67F26828"/>
    <w:rsid w:val="67F73E3E"/>
    <w:rsid w:val="67FA4110"/>
    <w:rsid w:val="6838144E"/>
    <w:rsid w:val="68AA7398"/>
    <w:rsid w:val="68C17608"/>
    <w:rsid w:val="68D979E8"/>
    <w:rsid w:val="69692B1A"/>
    <w:rsid w:val="69AF2C13"/>
    <w:rsid w:val="69FF5D58"/>
    <w:rsid w:val="6A15449D"/>
    <w:rsid w:val="6A6E4160"/>
    <w:rsid w:val="6AB040C2"/>
    <w:rsid w:val="6B3158B9"/>
    <w:rsid w:val="6B7B2F1C"/>
    <w:rsid w:val="6BC82D80"/>
    <w:rsid w:val="6C133AE2"/>
    <w:rsid w:val="6C540D40"/>
    <w:rsid w:val="6C693983"/>
    <w:rsid w:val="6C6D0B73"/>
    <w:rsid w:val="6CA7194D"/>
    <w:rsid w:val="6D064B23"/>
    <w:rsid w:val="6DB70DD5"/>
    <w:rsid w:val="6E1932C0"/>
    <w:rsid w:val="6E4A6B04"/>
    <w:rsid w:val="6EC01784"/>
    <w:rsid w:val="6F896F89"/>
    <w:rsid w:val="6F97D24A"/>
    <w:rsid w:val="6F9F1B01"/>
    <w:rsid w:val="706A4C51"/>
    <w:rsid w:val="70CC1BE0"/>
    <w:rsid w:val="711A0B9D"/>
    <w:rsid w:val="71B903B6"/>
    <w:rsid w:val="71E909FE"/>
    <w:rsid w:val="72247E90"/>
    <w:rsid w:val="73221F8B"/>
    <w:rsid w:val="733F0D29"/>
    <w:rsid w:val="73440FAA"/>
    <w:rsid w:val="73FD3E64"/>
    <w:rsid w:val="73FE6554"/>
    <w:rsid w:val="742C597A"/>
    <w:rsid w:val="74405B00"/>
    <w:rsid w:val="74942A15"/>
    <w:rsid w:val="75A54C36"/>
    <w:rsid w:val="75E73FDE"/>
    <w:rsid w:val="76201E0A"/>
    <w:rsid w:val="77272DBC"/>
    <w:rsid w:val="77356731"/>
    <w:rsid w:val="775C3CBE"/>
    <w:rsid w:val="779E30BC"/>
    <w:rsid w:val="77A13DC6"/>
    <w:rsid w:val="77AC64E4"/>
    <w:rsid w:val="78023098"/>
    <w:rsid w:val="780B043B"/>
    <w:rsid w:val="784F3822"/>
    <w:rsid w:val="78C1745D"/>
    <w:rsid w:val="78C77E80"/>
    <w:rsid w:val="78CF0E6A"/>
    <w:rsid w:val="79507852"/>
    <w:rsid w:val="79711576"/>
    <w:rsid w:val="79F306A6"/>
    <w:rsid w:val="79F96B5A"/>
    <w:rsid w:val="7A2B7F7C"/>
    <w:rsid w:val="7A4B0019"/>
    <w:rsid w:val="7A603AC5"/>
    <w:rsid w:val="7ABB1C9C"/>
    <w:rsid w:val="7B3F4D1F"/>
    <w:rsid w:val="7BC506FF"/>
    <w:rsid w:val="7C1F1181"/>
    <w:rsid w:val="7C464F3C"/>
    <w:rsid w:val="7C547659"/>
    <w:rsid w:val="7C9841D9"/>
    <w:rsid w:val="7CC31929"/>
    <w:rsid w:val="7CF01FAF"/>
    <w:rsid w:val="7E0D597D"/>
    <w:rsid w:val="7E3F658B"/>
    <w:rsid w:val="7EC81247"/>
    <w:rsid w:val="7F5E068D"/>
    <w:rsid w:val="7F5F6197"/>
    <w:rsid w:val="7F97D7F2"/>
    <w:rsid w:val="7FAB58F5"/>
    <w:rsid w:val="7FDF4510"/>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0"/>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6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63"/>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4"/>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6"/>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9"/>
    <w:qFormat/>
    <w:uiPriority w:val="0"/>
    <w:pPr>
      <w:shd w:val="clear" w:color="auto" w:fill="000080"/>
    </w:pPr>
  </w:style>
  <w:style w:type="paragraph" w:styleId="15">
    <w:name w:val="annotation text"/>
    <w:basedOn w:val="1"/>
    <w:link w:val="70"/>
    <w:qFormat/>
    <w:uiPriority w:val="99"/>
    <w:pPr>
      <w:jc w:val="left"/>
    </w:pPr>
  </w:style>
  <w:style w:type="paragraph" w:styleId="16">
    <w:name w:val="Body Text 3"/>
    <w:basedOn w:val="1"/>
    <w:link w:val="71"/>
    <w:qFormat/>
    <w:uiPriority w:val="0"/>
    <w:pPr>
      <w:spacing w:after="120"/>
    </w:pPr>
    <w:rPr>
      <w:sz w:val="16"/>
      <w:szCs w:val="16"/>
    </w:rPr>
  </w:style>
  <w:style w:type="paragraph" w:styleId="17">
    <w:name w:val="Body Text"/>
    <w:basedOn w:val="1"/>
    <w:next w:val="1"/>
    <w:link w:val="72"/>
    <w:qFormat/>
    <w:uiPriority w:val="0"/>
    <w:pPr>
      <w:tabs>
        <w:tab w:val="left" w:pos="567"/>
      </w:tabs>
      <w:spacing w:before="120" w:line="22" w:lineRule="atLeast"/>
    </w:pPr>
    <w:rPr>
      <w:rFonts w:ascii="宋体" w:hAnsi="宋体"/>
      <w:sz w:val="24"/>
    </w:rPr>
  </w:style>
  <w:style w:type="paragraph" w:styleId="18">
    <w:name w:val="Body Text Indent"/>
    <w:basedOn w:val="1"/>
    <w:link w:val="73"/>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4"/>
    <w:link w:val="7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5"/>
    <w:qFormat/>
    <w:uiPriority w:val="0"/>
    <w:pPr>
      <w:ind w:left="100" w:leftChars="2500"/>
    </w:pPr>
    <w:rPr>
      <w:rFonts w:ascii="仿宋_GB2312" w:hAnsi="宋体" w:eastAsia="仿宋_GB2312"/>
      <w:color w:val="000000"/>
      <w:sz w:val="24"/>
    </w:rPr>
  </w:style>
  <w:style w:type="paragraph" w:styleId="26">
    <w:name w:val="Body Text Indent 2"/>
    <w:basedOn w:val="1"/>
    <w:link w:val="76"/>
    <w:qFormat/>
    <w:uiPriority w:val="0"/>
    <w:pPr>
      <w:ind w:firstLine="480" w:firstLineChars="200"/>
    </w:pPr>
    <w:rPr>
      <w:rFonts w:ascii="仿宋_GB2312" w:eastAsia="仿宋_GB2312"/>
      <w:sz w:val="24"/>
    </w:rPr>
  </w:style>
  <w:style w:type="paragraph" w:styleId="27">
    <w:name w:val="Balloon Text"/>
    <w:basedOn w:val="1"/>
    <w:link w:val="77"/>
    <w:qFormat/>
    <w:uiPriority w:val="0"/>
    <w:rPr>
      <w:sz w:val="18"/>
      <w:szCs w:val="18"/>
    </w:rPr>
  </w:style>
  <w:style w:type="paragraph" w:styleId="28">
    <w:name w:val="footer"/>
    <w:basedOn w:val="1"/>
    <w:link w:val="7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envelope return"/>
    <w:basedOn w:val="1"/>
    <w:unhideWhenUsed/>
    <w:qFormat/>
    <w:uiPriority w:val="99"/>
    <w:pPr>
      <w:snapToGrid w:val="0"/>
    </w:pPr>
    <w:rPr>
      <w:rFonts w:ascii="Arial" w:hAnsi="Arial"/>
    </w:rPr>
  </w:style>
  <w:style w:type="paragraph" w:styleId="30">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80"/>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Body Text 2"/>
    <w:basedOn w:val="1"/>
    <w:qFormat/>
    <w:uiPriority w:val="0"/>
    <w:pPr>
      <w:spacing w:line="360" w:lineRule="auto"/>
    </w:pPr>
    <w:rPr>
      <w:rFonts w:ascii="宋体" w:hAnsi="宋体"/>
      <w:color w:val="0000FF"/>
      <w:sz w:val="24"/>
    </w:rPr>
  </w:style>
  <w:style w:type="paragraph" w:styleId="38">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82"/>
    <w:qFormat/>
    <w:uiPriority w:val="0"/>
    <w:pPr>
      <w:jc w:val="center"/>
      <w:outlineLvl w:val="0"/>
    </w:pPr>
    <w:rPr>
      <w:b/>
      <w:sz w:val="32"/>
      <w:szCs w:val="20"/>
    </w:rPr>
  </w:style>
  <w:style w:type="paragraph" w:styleId="42">
    <w:name w:val="annotation subject"/>
    <w:basedOn w:val="15"/>
    <w:next w:val="15"/>
    <w:link w:val="83"/>
    <w:qFormat/>
    <w:uiPriority w:val="0"/>
    <w:rPr>
      <w:b/>
      <w:bCs/>
    </w:rPr>
  </w:style>
  <w:style w:type="paragraph" w:styleId="43">
    <w:name w:val="Body Text First Indent"/>
    <w:basedOn w:val="17"/>
    <w:unhideWhenUsed/>
    <w:qFormat/>
    <w:uiPriority w:val="99"/>
    <w:pPr>
      <w:ind w:firstLine="420" w:firstLineChars="100"/>
    </w:pPr>
  </w:style>
  <w:style w:type="paragraph" w:styleId="44">
    <w:name w:val="Body Text First Indent 2"/>
    <w:basedOn w:val="1"/>
    <w:next w:val="1"/>
    <w:link w:val="85"/>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22"/>
    <w:rPr>
      <w:b/>
      <w:bCs/>
    </w:rPr>
  </w:style>
  <w:style w:type="character" w:styleId="50">
    <w:name w:val="page number"/>
    <w:basedOn w:val="48"/>
    <w:qFormat/>
    <w:uiPriority w:val="0"/>
  </w:style>
  <w:style w:type="character" w:styleId="51">
    <w:name w:val="FollowedHyperlink"/>
    <w:basedOn w:val="48"/>
    <w:qFormat/>
    <w:uiPriority w:val="0"/>
    <w:rPr>
      <w:color w:val="333333"/>
      <w:u w:val="none"/>
    </w:rPr>
  </w:style>
  <w:style w:type="character" w:styleId="52">
    <w:name w:val="Emphasis"/>
    <w:qFormat/>
    <w:uiPriority w:val="0"/>
    <w:rPr>
      <w:color w:val="CC0033"/>
    </w:rPr>
  </w:style>
  <w:style w:type="character" w:styleId="53">
    <w:name w:val="Hyperlink"/>
    <w:basedOn w:val="48"/>
    <w:qFormat/>
    <w:uiPriority w:val="99"/>
    <w:rPr>
      <w:color w:val="333333"/>
      <w:u w:val="none"/>
    </w:rPr>
  </w:style>
  <w:style w:type="character" w:styleId="54">
    <w:name w:val="annotation reference"/>
    <w:qFormat/>
    <w:uiPriority w:val="99"/>
    <w:rPr>
      <w:sz w:val="21"/>
      <w:szCs w:val="21"/>
    </w:rPr>
  </w:style>
  <w:style w:type="character" w:styleId="55">
    <w:name w:val="HTML Cite"/>
    <w:qFormat/>
    <w:uiPriority w:val="0"/>
    <w:rPr>
      <w:i/>
      <w:iCs/>
    </w:rPr>
  </w:style>
  <w:style w:type="paragraph" w:customStyle="1" w:styleId="56">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57">
    <w:name w:val="正文首行缩进 21"/>
    <w:basedOn w:val="1"/>
    <w:qFormat/>
    <w:uiPriority w:val="0"/>
    <w:pPr>
      <w:spacing w:after="120" w:line="500" w:lineRule="exact"/>
      <w:ind w:left="420" w:leftChars="200" w:firstLine="420" w:firstLineChars="200"/>
    </w:pPr>
  </w:style>
  <w:style w:type="character" w:customStyle="1" w:styleId="58">
    <w:name w:val="标题 1 字符"/>
    <w:link w:val="59"/>
    <w:qFormat/>
    <w:uiPriority w:val="0"/>
    <w:rPr>
      <w:rFonts w:ascii="宋体"/>
      <w:b/>
      <w:sz w:val="32"/>
      <w:szCs w:val="20"/>
    </w:rPr>
  </w:style>
  <w:style w:type="paragraph" w:customStyle="1" w:styleId="59">
    <w:name w:val="标题 11"/>
    <w:basedOn w:val="1"/>
    <w:next w:val="1"/>
    <w:link w:val="58"/>
    <w:qFormat/>
    <w:uiPriority w:val="0"/>
    <w:pPr>
      <w:keepNext/>
      <w:keepLines/>
      <w:spacing w:before="240" w:after="120" w:line="300" w:lineRule="auto"/>
      <w:jc w:val="center"/>
      <w:outlineLvl w:val="0"/>
    </w:pPr>
    <w:rPr>
      <w:rFonts w:ascii="宋体"/>
      <w:b/>
      <w:sz w:val="32"/>
      <w:szCs w:val="20"/>
    </w:rPr>
  </w:style>
  <w:style w:type="character" w:customStyle="1" w:styleId="60">
    <w:name w:val="标题 2 字符"/>
    <w:link w:val="3"/>
    <w:qFormat/>
    <w:uiPriority w:val="0"/>
    <w:rPr>
      <w:rFonts w:ascii="Arial" w:hAnsi="Arial" w:eastAsia="黑体"/>
      <w:b/>
      <w:sz w:val="30"/>
      <w:lang w:val="en-US" w:eastAsia="zh-CN" w:bidi="ar-SA"/>
    </w:rPr>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标题 3 字符"/>
    <w:link w:val="5"/>
    <w:qFormat/>
    <w:uiPriority w:val="0"/>
    <w:rPr>
      <w:rFonts w:ascii="宋体" w:eastAsia="宋体"/>
      <w:b/>
      <w:sz w:val="24"/>
      <w:u w:val="single"/>
      <w:lang w:val="en-US" w:eastAsia="zh-CN" w:bidi="ar-SA"/>
    </w:rPr>
  </w:style>
  <w:style w:type="character" w:customStyle="1" w:styleId="63">
    <w:name w:val="标题 4 字符"/>
    <w:basedOn w:val="48"/>
    <w:link w:val="6"/>
    <w:qFormat/>
    <w:uiPriority w:val="0"/>
    <w:rPr>
      <w:rFonts w:ascii="Arial" w:hAnsi="Arial" w:eastAsia="黑体"/>
      <w:b/>
      <w:sz w:val="28"/>
    </w:rPr>
  </w:style>
  <w:style w:type="character" w:customStyle="1" w:styleId="64">
    <w:name w:val="标题 5 字符"/>
    <w:basedOn w:val="48"/>
    <w:link w:val="7"/>
    <w:qFormat/>
    <w:uiPriority w:val="0"/>
    <w:rPr>
      <w:b/>
      <w:sz w:val="28"/>
    </w:rPr>
  </w:style>
  <w:style w:type="character" w:customStyle="1" w:styleId="65">
    <w:name w:val="标题 6 字符"/>
    <w:basedOn w:val="48"/>
    <w:link w:val="8"/>
    <w:qFormat/>
    <w:uiPriority w:val="0"/>
    <w:rPr>
      <w:rFonts w:ascii="Arial" w:hAnsi="Arial" w:eastAsia="黑体"/>
      <w:b/>
      <w:sz w:val="24"/>
    </w:rPr>
  </w:style>
  <w:style w:type="character" w:customStyle="1" w:styleId="66">
    <w:name w:val="标题 7 字符"/>
    <w:basedOn w:val="48"/>
    <w:link w:val="9"/>
    <w:qFormat/>
    <w:uiPriority w:val="0"/>
    <w:rPr>
      <w:b/>
      <w:sz w:val="24"/>
    </w:rPr>
  </w:style>
  <w:style w:type="character" w:customStyle="1" w:styleId="67">
    <w:name w:val="标题 8 字符"/>
    <w:basedOn w:val="48"/>
    <w:link w:val="10"/>
    <w:qFormat/>
    <w:uiPriority w:val="0"/>
    <w:rPr>
      <w:rFonts w:ascii="Arial" w:hAnsi="Arial" w:eastAsia="黑体"/>
      <w:sz w:val="24"/>
    </w:rPr>
  </w:style>
  <w:style w:type="character" w:customStyle="1" w:styleId="68">
    <w:name w:val="标题 9 字符"/>
    <w:basedOn w:val="48"/>
    <w:link w:val="11"/>
    <w:qFormat/>
    <w:uiPriority w:val="0"/>
    <w:rPr>
      <w:rFonts w:ascii="Arial" w:hAnsi="Arial" w:eastAsia="黑体"/>
      <w:sz w:val="21"/>
    </w:rPr>
  </w:style>
  <w:style w:type="character" w:customStyle="1" w:styleId="69">
    <w:name w:val="文档结构图 字符"/>
    <w:basedOn w:val="48"/>
    <w:link w:val="14"/>
    <w:qFormat/>
    <w:uiPriority w:val="0"/>
    <w:rPr>
      <w:kern w:val="2"/>
      <w:sz w:val="21"/>
      <w:szCs w:val="24"/>
      <w:shd w:val="clear" w:color="auto" w:fill="000080"/>
    </w:rPr>
  </w:style>
  <w:style w:type="character" w:customStyle="1" w:styleId="70">
    <w:name w:val="批注文字 字符1"/>
    <w:link w:val="15"/>
    <w:qFormat/>
    <w:uiPriority w:val="99"/>
    <w:rPr>
      <w:kern w:val="2"/>
      <w:sz w:val="21"/>
      <w:szCs w:val="24"/>
    </w:rPr>
  </w:style>
  <w:style w:type="character" w:customStyle="1" w:styleId="71">
    <w:name w:val="正文文本 3 字符"/>
    <w:basedOn w:val="48"/>
    <w:link w:val="16"/>
    <w:qFormat/>
    <w:uiPriority w:val="0"/>
    <w:rPr>
      <w:kern w:val="2"/>
      <w:sz w:val="16"/>
      <w:szCs w:val="16"/>
    </w:rPr>
  </w:style>
  <w:style w:type="character" w:customStyle="1" w:styleId="72">
    <w:name w:val="正文文本 字符"/>
    <w:basedOn w:val="48"/>
    <w:link w:val="17"/>
    <w:qFormat/>
    <w:uiPriority w:val="0"/>
    <w:rPr>
      <w:rFonts w:ascii="宋体" w:hAnsi="宋体"/>
      <w:kern w:val="2"/>
      <w:sz w:val="24"/>
      <w:szCs w:val="24"/>
    </w:rPr>
  </w:style>
  <w:style w:type="character" w:customStyle="1" w:styleId="73">
    <w:name w:val="正文文本缩进 字符"/>
    <w:link w:val="18"/>
    <w:qFormat/>
    <w:uiPriority w:val="0"/>
    <w:rPr>
      <w:rFonts w:eastAsia="宋体"/>
      <w:kern w:val="2"/>
      <w:sz w:val="24"/>
      <w:szCs w:val="24"/>
      <w:lang w:val="en-US" w:eastAsia="zh-CN" w:bidi="ar-SA"/>
    </w:rPr>
  </w:style>
  <w:style w:type="character" w:customStyle="1" w:styleId="74">
    <w:name w:val="纯文本 字符2"/>
    <w:basedOn w:val="48"/>
    <w:link w:val="23"/>
    <w:qFormat/>
    <w:uiPriority w:val="0"/>
    <w:rPr>
      <w:rFonts w:hint="eastAsia" w:ascii="宋体" w:hAnsi="Courier New" w:eastAsia="宋体" w:cs="宋体"/>
      <w:kern w:val="2"/>
      <w:sz w:val="21"/>
    </w:rPr>
  </w:style>
  <w:style w:type="character" w:customStyle="1" w:styleId="75">
    <w:name w:val="日期 字符"/>
    <w:basedOn w:val="48"/>
    <w:link w:val="25"/>
    <w:qFormat/>
    <w:uiPriority w:val="0"/>
    <w:rPr>
      <w:rFonts w:ascii="仿宋_GB2312" w:hAnsi="宋体" w:eastAsia="仿宋_GB2312"/>
      <w:color w:val="000000"/>
      <w:kern w:val="2"/>
      <w:sz w:val="24"/>
      <w:szCs w:val="24"/>
    </w:rPr>
  </w:style>
  <w:style w:type="character" w:customStyle="1" w:styleId="76">
    <w:name w:val="正文文本缩进 2 字符"/>
    <w:basedOn w:val="48"/>
    <w:link w:val="26"/>
    <w:qFormat/>
    <w:uiPriority w:val="0"/>
    <w:rPr>
      <w:rFonts w:ascii="仿宋_GB2312" w:eastAsia="仿宋_GB2312"/>
      <w:kern w:val="2"/>
      <w:sz w:val="24"/>
      <w:szCs w:val="24"/>
    </w:rPr>
  </w:style>
  <w:style w:type="character" w:customStyle="1" w:styleId="77">
    <w:name w:val="批注框文本 字符"/>
    <w:basedOn w:val="48"/>
    <w:link w:val="27"/>
    <w:qFormat/>
    <w:uiPriority w:val="0"/>
    <w:rPr>
      <w:kern w:val="2"/>
      <w:sz w:val="18"/>
      <w:szCs w:val="18"/>
    </w:rPr>
  </w:style>
  <w:style w:type="character" w:customStyle="1" w:styleId="78">
    <w:name w:val="页脚 字符"/>
    <w:link w:val="28"/>
    <w:qFormat/>
    <w:uiPriority w:val="99"/>
    <w:rPr>
      <w:rFonts w:ascii="宋体" w:eastAsia="宋体"/>
      <w:sz w:val="18"/>
      <w:lang w:val="en-US" w:eastAsia="zh-CN" w:bidi="ar-SA"/>
    </w:rPr>
  </w:style>
  <w:style w:type="character" w:customStyle="1" w:styleId="79">
    <w:name w:val="页眉 字符"/>
    <w:link w:val="30"/>
    <w:qFormat/>
    <w:uiPriority w:val="0"/>
    <w:rPr>
      <w:rFonts w:eastAsia="宋体"/>
      <w:kern w:val="2"/>
      <w:sz w:val="18"/>
      <w:szCs w:val="18"/>
      <w:lang w:val="en-US" w:eastAsia="zh-CN" w:bidi="ar-SA"/>
    </w:rPr>
  </w:style>
  <w:style w:type="character" w:customStyle="1" w:styleId="80">
    <w:name w:val="正文文本缩进 3 字符"/>
    <w:basedOn w:val="48"/>
    <w:link w:val="34"/>
    <w:qFormat/>
    <w:uiPriority w:val="0"/>
    <w:rPr>
      <w:rFonts w:ascii="宋体"/>
      <w:sz w:val="24"/>
    </w:rPr>
  </w:style>
  <w:style w:type="character" w:customStyle="1" w:styleId="81">
    <w:name w:val="HTML 预设格式 字符"/>
    <w:basedOn w:val="48"/>
    <w:link w:val="38"/>
    <w:qFormat/>
    <w:uiPriority w:val="0"/>
    <w:rPr>
      <w:rFonts w:ascii="宋体" w:hAnsi="宋体" w:cs="宋体"/>
      <w:sz w:val="24"/>
      <w:szCs w:val="24"/>
    </w:rPr>
  </w:style>
  <w:style w:type="character" w:customStyle="1" w:styleId="82">
    <w:name w:val="标题 字符"/>
    <w:link w:val="41"/>
    <w:qFormat/>
    <w:uiPriority w:val="0"/>
    <w:rPr>
      <w:b/>
      <w:kern w:val="2"/>
      <w:sz w:val="32"/>
    </w:rPr>
  </w:style>
  <w:style w:type="character" w:customStyle="1" w:styleId="83">
    <w:name w:val="批注主题 字符"/>
    <w:basedOn w:val="84"/>
    <w:link w:val="42"/>
    <w:qFormat/>
    <w:uiPriority w:val="0"/>
    <w:rPr>
      <w:rFonts w:ascii="Times New Roman" w:hAnsi="Times New Roman" w:eastAsia="宋体" w:cs="Times New Roman"/>
      <w:b/>
      <w:bCs/>
      <w:kern w:val="2"/>
      <w:sz w:val="21"/>
      <w:szCs w:val="24"/>
      <w:lang w:val="en-US" w:eastAsia="zh-CN" w:bidi="ar-SA"/>
    </w:rPr>
  </w:style>
  <w:style w:type="character" w:customStyle="1" w:styleId="84">
    <w:name w:val="批注文字 字符"/>
    <w:qFormat/>
    <w:uiPriority w:val="99"/>
    <w:rPr>
      <w:rFonts w:ascii="Times New Roman" w:hAnsi="Times New Roman" w:eastAsia="宋体" w:cs="Times New Roman"/>
      <w:sz w:val="24"/>
      <w:lang w:val="en-US" w:eastAsia="zh-CN" w:bidi="ar-SA"/>
    </w:rPr>
  </w:style>
  <w:style w:type="character" w:customStyle="1" w:styleId="85">
    <w:name w:val="正文文本首行缩进 2 字符"/>
    <w:basedOn w:val="73"/>
    <w:link w:val="44"/>
    <w:qFormat/>
    <w:uiPriority w:val="0"/>
    <w:rPr>
      <w:rFonts w:eastAsia="宋体"/>
      <w:kern w:val="2"/>
      <w:sz w:val="24"/>
      <w:szCs w:val="24"/>
      <w:lang w:val="en-US" w:eastAsia="zh-CN" w:bidi="ar-SA"/>
    </w:rPr>
  </w:style>
  <w:style w:type="character" w:customStyle="1" w:styleId="86">
    <w:name w:val="c21"/>
    <w:qFormat/>
    <w:uiPriority w:val="0"/>
    <w:rPr>
      <w:rFonts w:hint="default" w:ascii="ˎ̥" w:hAnsi="ˎ̥"/>
      <w:color w:val="000000"/>
      <w:sz w:val="20"/>
      <w:szCs w:val="20"/>
      <w:u w:val="none"/>
    </w:rPr>
  </w:style>
  <w:style w:type="character" w:customStyle="1" w:styleId="87">
    <w:name w:val="title4"/>
    <w:qFormat/>
    <w:uiPriority w:val="0"/>
    <w:rPr>
      <w:b/>
      <w:bCs/>
      <w:color w:val="1D87B3"/>
      <w:sz w:val="15"/>
      <w:szCs w:val="15"/>
    </w:rPr>
  </w:style>
  <w:style w:type="character" w:customStyle="1" w:styleId="88">
    <w:name w:val="标题 2 Char Char"/>
    <w:qFormat/>
    <w:uiPriority w:val="0"/>
    <w:rPr>
      <w:rFonts w:ascii="Arial" w:hAnsi="Arial" w:eastAsia="黑体"/>
      <w:b/>
      <w:bCs/>
      <w:kern w:val="2"/>
      <w:sz w:val="32"/>
      <w:szCs w:val="32"/>
      <w:lang w:val="en-US" w:eastAsia="zh-CN" w:bidi="ar-SA"/>
    </w:rPr>
  </w:style>
  <w:style w:type="character" w:customStyle="1" w:styleId="89">
    <w:name w:val="black1"/>
    <w:qFormat/>
    <w:uiPriority w:val="0"/>
    <w:rPr>
      <w:color w:val="000000"/>
    </w:rPr>
  </w:style>
  <w:style w:type="character" w:customStyle="1" w:styleId="90">
    <w:name w:val="street-address"/>
    <w:basedOn w:val="48"/>
    <w:qFormat/>
    <w:uiPriority w:val="0"/>
  </w:style>
  <w:style w:type="character" w:customStyle="1" w:styleId="91">
    <w:name w:val="locality"/>
    <w:basedOn w:val="48"/>
    <w:qFormat/>
    <w:uiPriority w:val="0"/>
  </w:style>
  <w:style w:type="character" w:customStyle="1" w:styleId="92">
    <w:name w:val="正文文本缩进 Char1"/>
    <w:link w:val="93"/>
    <w:qFormat/>
    <w:uiPriority w:val="0"/>
    <w:rPr>
      <w:rFonts w:ascii="宋体" w:hAnsi="宋体" w:eastAsia="宋体"/>
      <w:sz w:val="24"/>
      <w:szCs w:val="24"/>
      <w:lang w:bidi="ar-SA"/>
    </w:rPr>
  </w:style>
  <w:style w:type="paragraph" w:customStyle="1" w:styleId="93">
    <w:name w:val="正文文本缩进1"/>
    <w:basedOn w:val="1"/>
    <w:link w:val="92"/>
    <w:qFormat/>
    <w:uiPriority w:val="0"/>
    <w:pPr>
      <w:spacing w:line="480" w:lineRule="exact"/>
      <w:ind w:firstLine="480" w:firstLineChars="200"/>
    </w:pPr>
    <w:rPr>
      <w:rFonts w:ascii="宋体" w:hAnsi="宋体"/>
      <w:kern w:val="0"/>
      <w:sz w:val="24"/>
    </w:rPr>
  </w:style>
  <w:style w:type="character" w:customStyle="1" w:styleId="94">
    <w:name w:val="Char Char11"/>
    <w:qFormat/>
    <w:uiPriority w:val="0"/>
    <w:rPr>
      <w:rFonts w:ascii="宋体" w:eastAsia="宋体"/>
      <w:b/>
      <w:sz w:val="24"/>
      <w:u w:val="single"/>
      <w:lang w:val="en-US" w:eastAsia="zh-CN" w:bidi="ar-SA"/>
    </w:rPr>
  </w:style>
  <w:style w:type="character" w:customStyle="1" w:styleId="95">
    <w:name w:val="txt"/>
    <w:basedOn w:val="48"/>
    <w:qFormat/>
    <w:uiPriority w:val="0"/>
  </w:style>
  <w:style w:type="character" w:customStyle="1" w:styleId="96">
    <w:name w:val="正文缩进 Char Char"/>
    <w:link w:val="97"/>
    <w:qFormat/>
    <w:uiPriority w:val="0"/>
    <w:rPr>
      <w:rFonts w:ascii="宋体" w:eastAsia="宋体"/>
      <w:snapToGrid w:val="0"/>
      <w:color w:val="000000"/>
      <w:kern w:val="28"/>
      <w:sz w:val="28"/>
      <w:lang w:bidi="ar-SA"/>
    </w:rPr>
  </w:style>
  <w:style w:type="paragraph" w:customStyle="1" w:styleId="97">
    <w:name w:val="正文缩进1"/>
    <w:basedOn w:val="1"/>
    <w:link w:val="96"/>
    <w:qFormat/>
    <w:uiPriority w:val="99"/>
    <w:pPr>
      <w:widowControl/>
      <w:adjustRightInd w:val="0"/>
      <w:snapToGrid w:val="0"/>
      <w:spacing w:line="480" w:lineRule="exact"/>
      <w:ind w:firstLine="567"/>
    </w:pPr>
    <w:rPr>
      <w:rFonts w:ascii="宋体"/>
      <w:snapToGrid w:val="0"/>
      <w:color w:val="000000"/>
      <w:kern w:val="28"/>
      <w:sz w:val="28"/>
      <w:szCs w:val="20"/>
    </w:rPr>
  </w:style>
  <w:style w:type="character" w:customStyle="1" w:styleId="98">
    <w:name w:val="普通文字1 Char1"/>
    <w:qFormat/>
    <w:uiPriority w:val="0"/>
    <w:rPr>
      <w:rFonts w:ascii="宋体" w:hAnsi="Courier New" w:eastAsia="宋体"/>
      <w:kern w:val="2"/>
      <w:sz w:val="21"/>
      <w:lang w:val="en-US" w:eastAsia="zh-CN" w:bidi="ar-SA"/>
    </w:rPr>
  </w:style>
  <w:style w:type="character" w:customStyle="1" w:styleId="99">
    <w:name w:val="chanpin1"/>
    <w:qFormat/>
    <w:uiPriority w:val="0"/>
    <w:rPr>
      <w:rFonts w:hint="default" w:ascii="ˎ̥" w:hAnsi="ˎ̥"/>
      <w:color w:val="000000"/>
      <w:sz w:val="20"/>
      <w:szCs w:val="20"/>
      <w:u w:val="none"/>
    </w:rPr>
  </w:style>
  <w:style w:type="character" w:customStyle="1" w:styleId="100">
    <w:name w:val="列表段落 字符"/>
    <w:link w:val="101"/>
    <w:qFormat/>
    <w:uiPriority w:val="34"/>
    <w:rPr>
      <w:rFonts w:ascii="Calibri" w:hAnsi="Calibri" w:eastAsia="宋体"/>
      <w:kern w:val="2"/>
      <w:sz w:val="21"/>
      <w:szCs w:val="22"/>
      <w:lang w:val="en-US" w:eastAsia="zh-CN" w:bidi="ar-SA"/>
    </w:rPr>
  </w:style>
  <w:style w:type="paragraph" w:styleId="101">
    <w:name w:val="List Paragraph"/>
    <w:basedOn w:val="1"/>
    <w:link w:val="100"/>
    <w:qFormat/>
    <w:uiPriority w:val="34"/>
    <w:pPr>
      <w:ind w:firstLine="420" w:firstLineChars="200"/>
    </w:pPr>
    <w:rPr>
      <w:rFonts w:ascii="Calibri" w:hAnsi="Calibri"/>
      <w:szCs w:val="22"/>
    </w:rPr>
  </w:style>
  <w:style w:type="character" w:customStyle="1" w:styleId="102">
    <w:name w:val="标题 3 Char Char"/>
    <w:qFormat/>
    <w:uiPriority w:val="0"/>
    <w:rPr>
      <w:rFonts w:eastAsia="宋体"/>
      <w:b/>
      <w:bCs/>
      <w:kern w:val="2"/>
      <w:sz w:val="32"/>
      <w:szCs w:val="32"/>
      <w:lang w:val="en-US" w:eastAsia="zh-CN" w:bidi="ar-SA"/>
    </w:rPr>
  </w:style>
  <w:style w:type="character" w:customStyle="1" w:styleId="103">
    <w:name w:val="段1 Char"/>
    <w:qFormat/>
    <w:uiPriority w:val="0"/>
    <w:rPr>
      <w:rFonts w:ascii="宋体" w:eastAsia="宋体"/>
      <w:sz w:val="24"/>
      <w:lang w:val="en-US" w:eastAsia="zh-CN" w:bidi="ar-SA"/>
    </w:rPr>
  </w:style>
  <w:style w:type="character" w:customStyle="1" w:styleId="104">
    <w:name w:val="chanpin拷贝"/>
    <w:basedOn w:val="48"/>
    <w:qFormat/>
    <w:uiPriority w:val="0"/>
  </w:style>
  <w:style w:type="character" w:customStyle="1" w:styleId="105">
    <w:name w:val="纯文本 Char1"/>
    <w:qFormat/>
    <w:uiPriority w:val="0"/>
    <w:rPr>
      <w:rFonts w:ascii="宋体" w:hAnsi="Courier New" w:eastAsia="宋体"/>
      <w:kern w:val="2"/>
      <w:sz w:val="21"/>
      <w:lang w:val="en-US" w:eastAsia="zh-CN" w:bidi="ar-SA"/>
    </w:rPr>
  </w:style>
  <w:style w:type="character" w:customStyle="1" w:styleId="106">
    <w:name w:val="apple-style-span"/>
    <w:qFormat/>
    <w:uiPriority w:val="0"/>
    <w:rPr>
      <w:rFonts w:cs="Times New Roman"/>
    </w:rPr>
  </w:style>
  <w:style w:type="paragraph" w:customStyle="1" w:styleId="107">
    <w:name w:val="二级条标题"/>
    <w:basedOn w:val="108"/>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8">
    <w:name w:val="一级条标题"/>
    <w:basedOn w:val="109"/>
    <w:next w:val="1"/>
    <w:qFormat/>
    <w:uiPriority w:val="0"/>
    <w:pPr>
      <w:numPr>
        <w:ilvl w:val="1"/>
      </w:numPr>
      <w:tabs>
        <w:tab w:val="left" w:pos="360"/>
        <w:tab w:val="left" w:pos="840"/>
      </w:tabs>
      <w:ind w:left="0" w:hanging="840"/>
      <w:outlineLvl w:val="1"/>
    </w:pPr>
  </w:style>
  <w:style w:type="paragraph" w:customStyle="1" w:styleId="109">
    <w:name w:val="章标题"/>
    <w:next w:val="1"/>
    <w:qFormat/>
    <w:uiPriority w:val="0"/>
    <w:pPr>
      <w:numPr>
        <w:ilvl w:val="0"/>
        <w:numId w:val="1"/>
      </w:numPr>
      <w:spacing w:beforeLines="50" w:after="160"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0">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1">
    <w:name w:val="字元 字元"/>
    <w:basedOn w:val="1"/>
    <w:qFormat/>
    <w:uiPriority w:val="0"/>
    <w:rPr>
      <w:rFonts w:ascii="Tahoma" w:hAnsi="Tahoma"/>
      <w:sz w:val="24"/>
      <w:szCs w:val="20"/>
    </w:rPr>
  </w:style>
  <w:style w:type="paragraph" w:customStyle="1" w:styleId="112">
    <w:name w:val="Char3 Char Char Char"/>
    <w:basedOn w:val="1"/>
    <w:qFormat/>
    <w:uiPriority w:val="0"/>
    <w:rPr>
      <w:rFonts w:ascii="Tahoma" w:hAnsi="Tahoma"/>
      <w:sz w:val="24"/>
      <w:szCs w:val="20"/>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4">
    <w:name w:val="项目编号2"/>
    <w:basedOn w:val="115"/>
    <w:qFormat/>
    <w:uiPriority w:val="0"/>
    <w:pPr>
      <w:numPr>
        <w:numId w:val="2"/>
      </w:numPr>
    </w:pPr>
  </w:style>
  <w:style w:type="paragraph" w:customStyle="1" w:styleId="115">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6">
    <w:name w:val="图中文字"/>
    <w:basedOn w:val="1"/>
    <w:qFormat/>
    <w:uiPriority w:val="0"/>
    <w:pPr>
      <w:adjustRightInd w:val="0"/>
      <w:snapToGrid w:val="0"/>
      <w:spacing w:line="0" w:lineRule="atLeast"/>
      <w:jc w:val="center"/>
    </w:pPr>
    <w:rPr>
      <w:sz w:val="24"/>
      <w:szCs w:val="20"/>
    </w:rPr>
  </w:style>
  <w:style w:type="paragraph" w:customStyle="1" w:styleId="117">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9">
    <w:name w:val="Char2"/>
    <w:basedOn w:val="1"/>
    <w:qFormat/>
    <w:uiPriority w:val="0"/>
    <w:rPr>
      <w:rFonts w:ascii="Tahoma" w:hAnsi="Tahoma"/>
      <w:sz w:val="24"/>
      <w:szCs w:val="20"/>
    </w:rPr>
  </w:style>
  <w:style w:type="paragraph" w:customStyle="1" w:styleId="120">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3">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4">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7">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8">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9">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3">
    <w:name w:val="font8"/>
    <w:basedOn w:val="1"/>
    <w:qFormat/>
    <w:uiPriority w:val="0"/>
    <w:pPr>
      <w:widowControl/>
      <w:spacing w:before="100" w:beforeAutospacing="1" w:after="100" w:afterAutospacing="1"/>
      <w:jc w:val="left"/>
    </w:pPr>
    <w:rPr>
      <w:kern w:val="0"/>
      <w:sz w:val="36"/>
      <w:szCs w:val="36"/>
    </w:rPr>
  </w:style>
  <w:style w:type="paragraph" w:customStyle="1" w:styleId="134">
    <w:name w:val="Char"/>
    <w:basedOn w:val="1"/>
    <w:qFormat/>
    <w:uiPriority w:val="0"/>
    <w:pPr>
      <w:tabs>
        <w:tab w:val="left" w:pos="360"/>
      </w:tabs>
    </w:pPr>
    <w:rPr>
      <w:sz w:val="24"/>
    </w:rPr>
  </w:style>
  <w:style w:type="paragraph" w:customStyle="1" w:styleId="135">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3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7">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38">
    <w:name w:val="Char Char1"/>
    <w:basedOn w:val="14"/>
    <w:qFormat/>
    <w:uiPriority w:val="0"/>
    <w:rPr>
      <w:rFonts w:ascii="Tahoma" w:hAnsi="Tahoma"/>
      <w:sz w:val="24"/>
    </w:rPr>
  </w:style>
  <w:style w:type="paragraph" w:customStyle="1" w:styleId="13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1">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3">
    <w:name w:val="Char1 Char Char Char1"/>
    <w:basedOn w:val="1"/>
    <w:qFormat/>
    <w:uiPriority w:val="0"/>
    <w:rPr>
      <w:rFonts w:ascii="Tahoma" w:hAnsi="Tahoma" w:cs="仿宋_GB2312"/>
      <w:sz w:val="24"/>
      <w:szCs w:val="28"/>
    </w:rPr>
  </w:style>
  <w:style w:type="paragraph" w:customStyle="1" w:styleId="144">
    <w:name w:val="四级条标题"/>
    <w:basedOn w:val="145"/>
    <w:next w:val="1"/>
    <w:qFormat/>
    <w:uiPriority w:val="0"/>
    <w:pPr>
      <w:numPr>
        <w:ilvl w:val="4"/>
      </w:numPr>
      <w:tabs>
        <w:tab w:val="left" w:pos="360"/>
        <w:tab w:val="left" w:pos="840"/>
      </w:tabs>
      <w:ind w:left="0" w:hanging="840"/>
      <w:outlineLvl w:val="4"/>
    </w:pPr>
  </w:style>
  <w:style w:type="paragraph" w:customStyle="1" w:styleId="145">
    <w:name w:val="三级条标题"/>
    <w:basedOn w:val="107"/>
    <w:next w:val="1"/>
    <w:qFormat/>
    <w:uiPriority w:val="0"/>
    <w:pPr>
      <w:numPr>
        <w:ilvl w:val="3"/>
        <w:numId w:val="1"/>
      </w:numPr>
      <w:ind w:left="0" w:hanging="840"/>
      <w:outlineLvl w:val="3"/>
    </w:pPr>
  </w:style>
  <w:style w:type="paragraph" w:customStyle="1" w:styleId="146">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47">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8">
    <w:name w:val="List Paragraph1"/>
    <w:basedOn w:val="1"/>
    <w:qFormat/>
    <w:uiPriority w:val="0"/>
    <w:pPr>
      <w:ind w:firstLine="420" w:firstLineChars="200"/>
    </w:pPr>
    <w:rPr>
      <w:rFonts w:ascii="Calibri" w:hAnsi="Calibri"/>
      <w:szCs w:val="22"/>
    </w:rPr>
  </w:style>
  <w:style w:type="paragraph" w:customStyle="1" w:styleId="149">
    <w:name w:val="项目符号1"/>
    <w:basedOn w:val="150"/>
    <w:qFormat/>
    <w:uiPriority w:val="0"/>
    <w:pPr>
      <w:ind w:left="-25" w:firstLine="0"/>
    </w:pPr>
  </w:style>
  <w:style w:type="paragraph" w:customStyle="1" w:styleId="150">
    <w:name w:val="正文文本样式"/>
    <w:basedOn w:val="1"/>
    <w:qFormat/>
    <w:uiPriority w:val="0"/>
    <w:pPr>
      <w:spacing w:line="360" w:lineRule="auto"/>
      <w:ind w:firstLine="482"/>
    </w:pPr>
    <w:rPr>
      <w:rFonts w:cs="宋体"/>
      <w:sz w:val="24"/>
      <w:szCs w:val="20"/>
    </w:rPr>
  </w:style>
  <w:style w:type="paragraph" w:customStyle="1" w:styleId="15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3">
    <w:name w:val="五级条标题"/>
    <w:basedOn w:val="144"/>
    <w:next w:val="1"/>
    <w:qFormat/>
    <w:uiPriority w:val="0"/>
    <w:pPr>
      <w:numPr>
        <w:ilvl w:val="5"/>
      </w:numPr>
      <w:ind w:left="0" w:hanging="840"/>
      <w:outlineLvl w:val="5"/>
    </w:pPr>
  </w:style>
  <w:style w:type="paragraph" w:customStyle="1" w:styleId="15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5">
    <w:name w:val="文档正文"/>
    <w:basedOn w:val="1"/>
    <w:qFormat/>
    <w:uiPriority w:val="0"/>
    <w:pPr>
      <w:snapToGrid w:val="0"/>
      <w:spacing w:before="120" w:after="120" w:line="180" w:lineRule="auto"/>
    </w:pPr>
    <w:rPr>
      <w:rFonts w:ascii="Arial" w:hAnsi="Arial"/>
      <w:szCs w:val="20"/>
    </w:rPr>
  </w:style>
  <w:style w:type="paragraph" w:customStyle="1" w:styleId="15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7">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8">
    <w:name w:val="Char Char Char1 Char"/>
    <w:basedOn w:val="1"/>
    <w:qFormat/>
    <w:uiPriority w:val="0"/>
    <w:rPr>
      <w:rFonts w:ascii="Tahoma" w:hAnsi="Tahoma"/>
      <w:sz w:val="24"/>
      <w:szCs w:val="20"/>
    </w:rPr>
  </w:style>
  <w:style w:type="paragraph" w:customStyle="1" w:styleId="15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0">
    <w:name w:val="1名"/>
    <w:basedOn w:val="1"/>
    <w:qFormat/>
    <w:uiPriority w:val="0"/>
    <w:pPr>
      <w:numPr>
        <w:ilvl w:val="0"/>
        <w:numId w:val="5"/>
      </w:numPr>
      <w:spacing w:before="120"/>
    </w:pPr>
    <w:rPr>
      <w:rFonts w:ascii="宋体"/>
      <w:sz w:val="28"/>
      <w:szCs w:val="20"/>
    </w:rPr>
  </w:style>
  <w:style w:type="paragraph" w:customStyle="1" w:styleId="161">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2">
    <w:name w:val="Char Char Char1 Char1"/>
    <w:basedOn w:val="1"/>
    <w:qFormat/>
    <w:uiPriority w:val="0"/>
    <w:rPr>
      <w:rFonts w:ascii="Tahoma" w:hAnsi="Tahoma"/>
      <w:sz w:val="24"/>
      <w:szCs w:val="20"/>
    </w:rPr>
  </w:style>
  <w:style w:type="paragraph" w:customStyle="1" w:styleId="163">
    <w:name w:val="Char Char Char Char Char Char Char Char Char Char"/>
    <w:basedOn w:val="1"/>
    <w:qFormat/>
    <w:uiPriority w:val="0"/>
  </w:style>
  <w:style w:type="paragraph" w:customStyle="1" w:styleId="164">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65">
    <w:name w:val="Char1"/>
    <w:basedOn w:val="1"/>
    <w:qFormat/>
    <w:uiPriority w:val="0"/>
    <w:pPr>
      <w:tabs>
        <w:tab w:val="left" w:pos="360"/>
      </w:tabs>
    </w:pPr>
    <w:rPr>
      <w:sz w:val="24"/>
    </w:rPr>
  </w:style>
  <w:style w:type="paragraph" w:customStyle="1" w:styleId="166">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8">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9">
    <w:name w:val="默认段落字体 Para Char Char Char Char"/>
    <w:basedOn w:val="1"/>
    <w:qFormat/>
    <w:uiPriority w:val="0"/>
    <w:rPr>
      <w:rFonts w:ascii="Arial" w:hAnsi="Arial" w:cs="Arial"/>
      <w:szCs w:val="21"/>
    </w:rPr>
  </w:style>
  <w:style w:type="paragraph" w:customStyle="1" w:styleId="17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3">
    <w:name w:val="Char Char Char"/>
    <w:basedOn w:val="1"/>
    <w:qFormat/>
    <w:uiPriority w:val="0"/>
    <w:rPr>
      <w:rFonts w:ascii="Tahoma" w:hAnsi="Tahoma"/>
      <w:sz w:val="24"/>
      <w:szCs w:val="20"/>
    </w:rPr>
  </w:style>
  <w:style w:type="paragraph" w:customStyle="1" w:styleId="174">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5">
    <w:name w:val="缺省文本"/>
    <w:basedOn w:val="1"/>
    <w:qFormat/>
    <w:uiPriority w:val="0"/>
    <w:pPr>
      <w:autoSpaceDE w:val="0"/>
      <w:autoSpaceDN w:val="0"/>
      <w:adjustRightInd w:val="0"/>
      <w:jc w:val="left"/>
    </w:pPr>
    <w:rPr>
      <w:kern w:val="0"/>
      <w:sz w:val="24"/>
    </w:rPr>
  </w:style>
  <w:style w:type="paragraph" w:customStyle="1" w:styleId="176">
    <w:name w:val="Char Char Char1"/>
    <w:basedOn w:val="1"/>
    <w:qFormat/>
    <w:uiPriority w:val="0"/>
    <w:rPr>
      <w:rFonts w:ascii="Tahoma" w:hAnsi="Tahoma"/>
      <w:sz w:val="24"/>
      <w:szCs w:val="20"/>
    </w:rPr>
  </w:style>
  <w:style w:type="paragraph" w:customStyle="1" w:styleId="17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9">
    <w:name w:val="样式2"/>
    <w:basedOn w:val="40"/>
    <w:qFormat/>
    <w:uiPriority w:val="0"/>
    <w:pPr>
      <w:spacing w:line="360" w:lineRule="auto"/>
      <w:jc w:val="center"/>
    </w:pPr>
    <w:rPr>
      <w:sz w:val="24"/>
    </w:rPr>
  </w:style>
  <w:style w:type="paragraph" w:customStyle="1" w:styleId="1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2">
    <w:name w:val="正文 + 楷体_GB2312"/>
    <w:basedOn w:val="1"/>
    <w:qFormat/>
    <w:uiPriority w:val="0"/>
    <w:pPr>
      <w:widowControl/>
      <w:jc w:val="left"/>
    </w:pPr>
    <w:rPr>
      <w:rFonts w:ascii="楷体_GB2312" w:eastAsia="楷体_GB2312" w:cs="Arial"/>
      <w:kern w:val="0"/>
      <w:sz w:val="24"/>
    </w:rPr>
  </w:style>
  <w:style w:type="paragraph" w:customStyle="1" w:styleId="18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4">
    <w:name w:val="1 Char Char Char Char"/>
    <w:basedOn w:val="1"/>
    <w:qFormat/>
    <w:uiPriority w:val="0"/>
    <w:rPr>
      <w:rFonts w:ascii="Tahoma" w:hAnsi="Tahoma"/>
      <w:sz w:val="24"/>
      <w:szCs w:val="20"/>
    </w:rPr>
  </w:style>
  <w:style w:type="paragraph" w:customStyle="1" w:styleId="185">
    <w:name w:val="列出段落1"/>
    <w:basedOn w:val="1"/>
    <w:qFormat/>
    <w:uiPriority w:val="0"/>
    <w:pPr>
      <w:ind w:firstLine="420" w:firstLineChars="200"/>
    </w:pPr>
    <w:rPr>
      <w:rFonts w:ascii="Calibri" w:hAnsi="Calibri"/>
      <w:szCs w:val="22"/>
    </w:rPr>
  </w:style>
  <w:style w:type="paragraph" w:customStyle="1" w:styleId="186">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7">
    <w:name w:val="字元 字元1"/>
    <w:basedOn w:val="1"/>
    <w:qFormat/>
    <w:uiPriority w:val="0"/>
    <w:rPr>
      <w:rFonts w:ascii="Tahoma" w:hAnsi="Tahoma"/>
      <w:sz w:val="24"/>
      <w:szCs w:val="20"/>
    </w:rPr>
  </w:style>
  <w:style w:type="paragraph" w:customStyle="1" w:styleId="188">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89">
    <w:name w:val="项目编号3"/>
    <w:basedOn w:val="150"/>
    <w:qFormat/>
    <w:uiPriority w:val="0"/>
    <w:pPr>
      <w:numPr>
        <w:ilvl w:val="0"/>
        <w:numId w:val="6"/>
      </w:numPr>
    </w:pPr>
  </w:style>
  <w:style w:type="paragraph" w:customStyle="1" w:styleId="190">
    <w:name w:val="Char21"/>
    <w:basedOn w:val="1"/>
    <w:qFormat/>
    <w:uiPriority w:val="0"/>
    <w:rPr>
      <w:rFonts w:ascii="Tahoma" w:hAnsi="Tahoma"/>
      <w:sz w:val="24"/>
      <w:szCs w:val="20"/>
    </w:rPr>
  </w:style>
  <w:style w:type="paragraph" w:customStyle="1" w:styleId="191">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92">
    <w:name w:val="Char Char Char Char Char Char Char Char Char Char1"/>
    <w:basedOn w:val="1"/>
    <w:qFormat/>
    <w:uiPriority w:val="0"/>
    <w:rPr>
      <w:rFonts w:ascii="宋体" w:hAnsi="宋体" w:cs="Courier New"/>
      <w:sz w:val="32"/>
      <w:szCs w:val="32"/>
    </w:rPr>
  </w:style>
  <w:style w:type="paragraph" w:customStyle="1" w:styleId="193">
    <w:name w:val="正文文本样式 加粗"/>
    <w:basedOn w:val="150"/>
    <w:qFormat/>
    <w:uiPriority w:val="0"/>
    <w:rPr>
      <w:b/>
    </w:rPr>
  </w:style>
  <w:style w:type="paragraph" w:customStyle="1" w:styleId="194">
    <w:name w:val="Char2 Char Char Char Char Char Char"/>
    <w:basedOn w:val="1"/>
    <w:qFormat/>
    <w:uiPriority w:val="0"/>
    <w:pPr>
      <w:widowControl/>
      <w:spacing w:line="400" w:lineRule="exact"/>
      <w:jc w:val="center"/>
    </w:pPr>
  </w:style>
  <w:style w:type="paragraph" w:customStyle="1" w:styleId="195">
    <w:name w:val="Char Char4"/>
    <w:basedOn w:val="1"/>
    <w:qFormat/>
    <w:uiPriority w:val="0"/>
    <w:pPr>
      <w:widowControl/>
      <w:spacing w:line="400" w:lineRule="exact"/>
      <w:jc w:val="center"/>
    </w:pPr>
  </w:style>
  <w:style w:type="paragraph" w:customStyle="1" w:styleId="196">
    <w:name w:val="Char3 Char Char Char1"/>
    <w:basedOn w:val="1"/>
    <w:qFormat/>
    <w:uiPriority w:val="0"/>
    <w:rPr>
      <w:rFonts w:ascii="Tahoma" w:hAnsi="Tahoma"/>
      <w:sz w:val="24"/>
      <w:szCs w:val="20"/>
    </w:rPr>
  </w:style>
  <w:style w:type="paragraph" w:styleId="197">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9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9">
    <w:name w:val="中等深浅网格 1 - 强调文字颜色 2 Char"/>
    <w:link w:val="200"/>
    <w:qFormat/>
    <w:uiPriority w:val="0"/>
    <w:rPr>
      <w:kern w:val="2"/>
      <w:sz w:val="21"/>
      <w:szCs w:val="24"/>
      <w:lang w:val="zh-CN" w:eastAsia="zh-CN" w:bidi="ar-SA"/>
    </w:rPr>
  </w:style>
  <w:style w:type="paragraph" w:customStyle="1" w:styleId="200">
    <w:name w:val="1"/>
    <w:link w:val="199"/>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201">
    <w:name w:val="图文"/>
    <w:basedOn w:val="1"/>
    <w:qFormat/>
    <w:uiPriority w:val="0"/>
    <w:pPr>
      <w:adjustRightInd w:val="0"/>
      <w:snapToGrid w:val="0"/>
      <w:spacing w:after="50" w:line="360" w:lineRule="auto"/>
    </w:pPr>
    <w:rPr>
      <w:sz w:val="24"/>
    </w:rPr>
  </w:style>
  <w:style w:type="paragraph" w:customStyle="1" w:styleId="20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3">
    <w:name w:val="正文表格"/>
    <w:basedOn w:val="1"/>
    <w:link w:val="204"/>
    <w:qFormat/>
    <w:uiPriority w:val="0"/>
    <w:pPr>
      <w:adjustRightInd w:val="0"/>
      <w:snapToGrid w:val="0"/>
      <w:jc w:val="left"/>
    </w:pPr>
    <w:rPr>
      <w:rFonts w:ascii="宋体" w:hAnsi="宋体"/>
      <w:color w:val="000000"/>
      <w:szCs w:val="21"/>
    </w:rPr>
  </w:style>
  <w:style w:type="character" w:customStyle="1" w:styleId="204">
    <w:name w:val="正文表格 Char"/>
    <w:link w:val="203"/>
    <w:qFormat/>
    <w:uiPriority w:val="0"/>
    <w:rPr>
      <w:rFonts w:ascii="宋体" w:hAnsi="宋体"/>
      <w:color w:val="000000"/>
      <w:kern w:val="2"/>
      <w:sz w:val="21"/>
      <w:szCs w:val="21"/>
    </w:rPr>
  </w:style>
  <w:style w:type="paragraph" w:customStyle="1" w:styleId="205">
    <w:name w:val="正文重点"/>
    <w:basedOn w:val="1"/>
    <w:link w:val="206"/>
    <w:qFormat/>
    <w:uiPriority w:val="0"/>
    <w:pPr>
      <w:adjustRightInd w:val="0"/>
      <w:spacing w:line="360" w:lineRule="auto"/>
      <w:ind w:firstLine="482" w:firstLineChars="200"/>
      <w:jc w:val="left"/>
      <w:textAlignment w:val="baseline"/>
    </w:pPr>
    <w:rPr>
      <w:b/>
      <w:kern w:val="0"/>
      <w:sz w:val="24"/>
      <w:szCs w:val="20"/>
    </w:rPr>
  </w:style>
  <w:style w:type="character" w:customStyle="1" w:styleId="206">
    <w:name w:val="正文重点 Char"/>
    <w:link w:val="205"/>
    <w:qFormat/>
    <w:uiPriority w:val="0"/>
    <w:rPr>
      <w:b/>
      <w:sz w:val="24"/>
    </w:rPr>
  </w:style>
  <w:style w:type="paragraph" w:customStyle="1" w:styleId="207">
    <w:name w:val="标题1-附件"/>
    <w:basedOn w:val="2"/>
    <w:qFormat/>
    <w:uiPriority w:val="0"/>
    <w:pPr>
      <w:jc w:val="left"/>
    </w:pPr>
    <w:rPr>
      <w:sz w:val="24"/>
      <w:szCs w:val="24"/>
    </w:rPr>
  </w:style>
  <w:style w:type="paragraph" w:customStyle="1" w:styleId="208">
    <w:name w:val="正文小标题"/>
    <w:basedOn w:val="1"/>
    <w:next w:val="4"/>
    <w:link w:val="209"/>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209">
    <w:name w:val="正文小标题 Char"/>
    <w:link w:val="208"/>
    <w:qFormat/>
    <w:uiPriority w:val="0"/>
    <w:rPr>
      <w:rFonts w:ascii="宋体" w:hAnsi="宋体"/>
      <w:b/>
      <w:i/>
      <w:color w:val="FF0000"/>
      <w:kern w:val="2"/>
      <w:sz w:val="24"/>
    </w:rPr>
  </w:style>
  <w:style w:type="paragraph" w:customStyle="1" w:styleId="210">
    <w:name w:val="正文大标题"/>
    <w:basedOn w:val="208"/>
    <w:next w:val="4"/>
    <w:link w:val="211"/>
    <w:qFormat/>
    <w:uiPriority w:val="0"/>
    <w:pPr>
      <w:jc w:val="center"/>
    </w:pPr>
    <w:rPr>
      <w:i w:val="0"/>
      <w:color w:val="000000"/>
      <w:sz w:val="28"/>
      <w:szCs w:val="21"/>
    </w:rPr>
  </w:style>
  <w:style w:type="character" w:customStyle="1" w:styleId="211">
    <w:name w:val="正文大标题 Char"/>
    <w:link w:val="210"/>
    <w:qFormat/>
    <w:uiPriority w:val="0"/>
    <w:rPr>
      <w:rFonts w:ascii="宋体" w:hAnsi="宋体"/>
      <w:b/>
      <w:color w:val="000000"/>
      <w:kern w:val="2"/>
      <w:sz w:val="28"/>
      <w:szCs w:val="21"/>
    </w:rPr>
  </w:style>
  <w:style w:type="paragraph" w:customStyle="1" w:styleId="212">
    <w:name w:val="注释"/>
    <w:basedOn w:val="1"/>
    <w:link w:val="213"/>
    <w:qFormat/>
    <w:uiPriority w:val="0"/>
    <w:pPr>
      <w:adjustRightInd w:val="0"/>
      <w:snapToGrid w:val="0"/>
      <w:ind w:left="420" w:hanging="420" w:hangingChars="200"/>
      <w:jc w:val="left"/>
    </w:pPr>
    <w:rPr>
      <w:rFonts w:ascii="宋体" w:hAnsi="宋体"/>
      <w:szCs w:val="21"/>
    </w:rPr>
  </w:style>
  <w:style w:type="character" w:customStyle="1" w:styleId="213">
    <w:name w:val="注释 Char"/>
    <w:link w:val="212"/>
    <w:qFormat/>
    <w:uiPriority w:val="0"/>
    <w:rPr>
      <w:rFonts w:ascii="宋体" w:hAnsi="宋体"/>
      <w:kern w:val="2"/>
      <w:sz w:val="21"/>
      <w:szCs w:val="21"/>
    </w:rPr>
  </w:style>
  <w:style w:type="paragraph" w:customStyle="1" w:styleId="21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7">
    <w:name w:val="纯文本 字符"/>
    <w:qFormat/>
    <w:uiPriority w:val="99"/>
    <w:rPr>
      <w:rFonts w:ascii="宋体" w:hAnsi="Courier New" w:eastAsia="宋体" w:cs="Times New Roman"/>
      <w:kern w:val="2"/>
      <w:sz w:val="21"/>
      <w:szCs w:val="21"/>
      <w:lang w:val="en-US" w:eastAsia="zh-CN" w:bidi="ar-SA"/>
    </w:rPr>
  </w:style>
  <w:style w:type="paragraph" w:customStyle="1" w:styleId="218">
    <w:name w:val="表格1"/>
    <w:basedOn w:val="1"/>
    <w:qFormat/>
    <w:uiPriority w:val="0"/>
    <w:pPr>
      <w:ind w:firstLine="480" w:firstLineChars="200"/>
      <w:jc w:val="center"/>
    </w:pPr>
    <w:rPr>
      <w:sz w:val="24"/>
      <w:szCs w:val="20"/>
    </w:rPr>
  </w:style>
  <w:style w:type="character" w:customStyle="1" w:styleId="219">
    <w:name w:val="纯文本 字符1"/>
    <w:qFormat/>
    <w:uiPriority w:val="0"/>
    <w:rPr>
      <w:rFonts w:ascii="宋体" w:hAnsi="Courier New"/>
    </w:rPr>
  </w:style>
  <w:style w:type="character" w:customStyle="1" w:styleId="220">
    <w:name w:val="bjh-p"/>
    <w:qFormat/>
    <w:uiPriority w:val="0"/>
  </w:style>
  <w:style w:type="paragraph" w:customStyle="1" w:styleId="221">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22">
    <w:name w:val="正文格式 Char"/>
    <w:link w:val="223"/>
    <w:qFormat/>
    <w:locked/>
    <w:uiPriority w:val="0"/>
    <w:rPr>
      <w:rFonts w:ascii="宋体" w:hAnsi="宋体"/>
      <w:sz w:val="24"/>
      <w:szCs w:val="24"/>
      <w:lang w:val="en-GB"/>
    </w:rPr>
  </w:style>
  <w:style w:type="paragraph" w:customStyle="1" w:styleId="223">
    <w:name w:val="正文格式"/>
    <w:basedOn w:val="1"/>
    <w:link w:val="222"/>
    <w:qFormat/>
    <w:uiPriority w:val="0"/>
    <w:pPr>
      <w:spacing w:beforeLines="50" w:line="360" w:lineRule="auto"/>
      <w:ind w:firstLine="480" w:firstLineChars="200"/>
    </w:pPr>
    <w:rPr>
      <w:rFonts w:ascii="宋体" w:hAnsi="宋体"/>
      <w:kern w:val="0"/>
      <w:sz w:val="24"/>
      <w:lang w:val="en-GB"/>
    </w:rPr>
  </w:style>
  <w:style w:type="character" w:customStyle="1" w:styleId="224">
    <w:name w:val="标题 3 Char"/>
    <w:qFormat/>
    <w:uiPriority w:val="0"/>
    <w:rPr>
      <w:rFonts w:ascii="宋体" w:eastAsia="宋体"/>
      <w:b/>
      <w:sz w:val="24"/>
      <w:u w:val="single"/>
      <w:lang w:val="en-US" w:eastAsia="zh-CN" w:bidi="ar-SA"/>
    </w:rPr>
  </w:style>
  <w:style w:type="character" w:customStyle="1" w:styleId="225">
    <w:name w:val="正文缩进 Char"/>
    <w:qFormat/>
    <w:uiPriority w:val="99"/>
    <w:rPr>
      <w:rFonts w:ascii="宋体" w:eastAsia="宋体"/>
      <w:kern w:val="2"/>
      <w:sz w:val="24"/>
      <w:szCs w:val="24"/>
      <w:lang w:val="en-US" w:eastAsia="zh-CN" w:bidi="ar-SA"/>
    </w:rPr>
  </w:style>
  <w:style w:type="character" w:customStyle="1" w:styleId="226">
    <w:name w:val="Char Char111"/>
    <w:qFormat/>
    <w:uiPriority w:val="0"/>
    <w:rPr>
      <w:rFonts w:ascii="宋体" w:eastAsia="宋体"/>
      <w:b/>
      <w:sz w:val="24"/>
      <w:u w:val="single"/>
      <w:lang w:val="en-US" w:eastAsia="zh-CN" w:bidi="ar-SA"/>
    </w:rPr>
  </w:style>
  <w:style w:type="character" w:customStyle="1" w:styleId="227">
    <w:name w:val="正文文本缩进 Char"/>
    <w:qFormat/>
    <w:uiPriority w:val="0"/>
    <w:rPr>
      <w:rFonts w:eastAsia="宋体"/>
      <w:kern w:val="2"/>
      <w:sz w:val="24"/>
      <w:szCs w:val="24"/>
      <w:lang w:val="en-US" w:eastAsia="zh-CN" w:bidi="ar-SA"/>
    </w:rPr>
  </w:style>
  <w:style w:type="character" w:customStyle="1" w:styleId="228">
    <w:name w:val="列出段落 Char"/>
    <w:qFormat/>
    <w:uiPriority w:val="0"/>
    <w:rPr>
      <w:rFonts w:ascii="Calibri" w:hAnsi="Calibri" w:eastAsia="宋体"/>
      <w:kern w:val="2"/>
      <w:sz w:val="21"/>
      <w:szCs w:val="22"/>
      <w:lang w:val="en-US" w:eastAsia="zh-CN" w:bidi="ar-SA"/>
    </w:rPr>
  </w:style>
  <w:style w:type="character" w:customStyle="1" w:styleId="229">
    <w:name w:val="页眉 Char"/>
    <w:qFormat/>
    <w:uiPriority w:val="0"/>
    <w:rPr>
      <w:rFonts w:eastAsia="宋体"/>
      <w:kern w:val="2"/>
      <w:sz w:val="18"/>
      <w:szCs w:val="18"/>
      <w:lang w:val="en-US" w:eastAsia="zh-CN" w:bidi="ar-SA"/>
    </w:rPr>
  </w:style>
  <w:style w:type="character" w:customStyle="1" w:styleId="230">
    <w:name w:val="标题 2 Char"/>
    <w:qFormat/>
    <w:uiPriority w:val="0"/>
    <w:rPr>
      <w:rFonts w:ascii="Arial" w:hAnsi="Arial" w:eastAsia="黑体"/>
      <w:b/>
      <w:sz w:val="30"/>
      <w:lang w:val="en-US" w:eastAsia="zh-CN" w:bidi="ar-SA"/>
    </w:rPr>
  </w:style>
  <w:style w:type="paragraph" w:customStyle="1" w:styleId="231">
    <w:name w:val="字元 字元2"/>
    <w:basedOn w:val="1"/>
    <w:qFormat/>
    <w:uiPriority w:val="0"/>
    <w:rPr>
      <w:rFonts w:ascii="Tahoma" w:hAnsi="Tahoma"/>
      <w:sz w:val="24"/>
      <w:szCs w:val="20"/>
    </w:rPr>
  </w:style>
  <w:style w:type="paragraph" w:customStyle="1" w:styleId="232">
    <w:name w:val="Char3 Char Char Char2"/>
    <w:basedOn w:val="1"/>
    <w:qFormat/>
    <w:uiPriority w:val="0"/>
    <w:rPr>
      <w:rFonts w:ascii="Tahoma" w:hAnsi="Tahoma"/>
      <w:sz w:val="24"/>
      <w:szCs w:val="20"/>
    </w:rPr>
  </w:style>
  <w:style w:type="paragraph" w:customStyle="1" w:styleId="23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4">
    <w:name w:val="Char3"/>
    <w:basedOn w:val="1"/>
    <w:qFormat/>
    <w:uiPriority w:val="0"/>
    <w:pPr>
      <w:tabs>
        <w:tab w:val="left" w:pos="360"/>
      </w:tabs>
    </w:pPr>
    <w:rPr>
      <w:sz w:val="24"/>
    </w:rPr>
  </w:style>
  <w:style w:type="paragraph" w:customStyle="1" w:styleId="235">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36">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37">
    <w:name w:val="列出段落2"/>
    <w:basedOn w:val="1"/>
    <w:qFormat/>
    <w:uiPriority w:val="0"/>
    <w:pPr>
      <w:ind w:firstLine="420" w:firstLineChars="200"/>
    </w:pPr>
    <w:rPr>
      <w:rFonts w:ascii="Calibri" w:hAnsi="Calibri"/>
      <w:szCs w:val="22"/>
    </w:rPr>
  </w:style>
  <w:style w:type="paragraph" w:customStyle="1" w:styleId="238">
    <w:name w:val="Char Char Char1 Char2"/>
    <w:basedOn w:val="1"/>
    <w:qFormat/>
    <w:uiPriority w:val="0"/>
    <w:rPr>
      <w:rFonts w:ascii="Tahoma" w:hAnsi="Tahoma"/>
      <w:sz w:val="24"/>
      <w:szCs w:val="20"/>
    </w:rPr>
  </w:style>
  <w:style w:type="paragraph" w:customStyle="1" w:styleId="239">
    <w:name w:val="Char Char Char2"/>
    <w:basedOn w:val="1"/>
    <w:qFormat/>
    <w:uiPriority w:val="0"/>
    <w:rPr>
      <w:rFonts w:ascii="Tahoma" w:hAnsi="Tahoma"/>
      <w:sz w:val="24"/>
      <w:szCs w:val="20"/>
    </w:rPr>
  </w:style>
  <w:style w:type="paragraph" w:customStyle="1" w:styleId="24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2">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43">
    <w:name w:val="Char22"/>
    <w:basedOn w:val="1"/>
    <w:qFormat/>
    <w:uiPriority w:val="0"/>
    <w:rPr>
      <w:rFonts w:ascii="Tahoma" w:hAnsi="Tahoma"/>
      <w:sz w:val="24"/>
      <w:szCs w:val="20"/>
    </w:rPr>
  </w:style>
  <w:style w:type="paragraph" w:customStyle="1" w:styleId="244">
    <w:name w:val="Char Char Char Char Char Char Char Char Char Char2"/>
    <w:basedOn w:val="1"/>
    <w:qFormat/>
    <w:uiPriority w:val="0"/>
    <w:rPr>
      <w:rFonts w:ascii="宋体" w:hAnsi="宋体" w:cs="Courier New"/>
      <w:sz w:val="32"/>
      <w:szCs w:val="32"/>
    </w:rPr>
  </w:style>
  <w:style w:type="paragraph" w:customStyle="1" w:styleId="245">
    <w:name w:val="Char2 Char Char Char Char Char Char1"/>
    <w:basedOn w:val="1"/>
    <w:qFormat/>
    <w:uiPriority w:val="0"/>
    <w:pPr>
      <w:widowControl/>
      <w:spacing w:line="400" w:lineRule="exact"/>
      <w:jc w:val="center"/>
    </w:pPr>
  </w:style>
  <w:style w:type="character" w:customStyle="1" w:styleId="246">
    <w:name w:val="页脚 Char"/>
    <w:qFormat/>
    <w:uiPriority w:val="0"/>
    <w:rPr>
      <w:rFonts w:ascii="宋体" w:eastAsia="宋体"/>
      <w:sz w:val="18"/>
      <w:lang w:val="en-US" w:eastAsia="zh-CN" w:bidi="ar-SA"/>
    </w:rPr>
  </w:style>
  <w:style w:type="paragraph" w:customStyle="1" w:styleId="247">
    <w:name w:val="Char Char41"/>
    <w:basedOn w:val="1"/>
    <w:qFormat/>
    <w:uiPriority w:val="0"/>
    <w:pPr>
      <w:widowControl/>
      <w:spacing w:line="400" w:lineRule="exact"/>
      <w:jc w:val="center"/>
    </w:pPr>
  </w:style>
  <w:style w:type="character" w:customStyle="1" w:styleId="248">
    <w:name w:val="批注文字 Char"/>
    <w:qFormat/>
    <w:uiPriority w:val="99"/>
    <w:rPr>
      <w:kern w:val="2"/>
      <w:sz w:val="21"/>
      <w:szCs w:val="24"/>
    </w:rPr>
  </w:style>
  <w:style w:type="character" w:customStyle="1" w:styleId="249">
    <w:name w:val="标题 Char"/>
    <w:qFormat/>
    <w:uiPriority w:val="0"/>
    <w:rPr>
      <w:b/>
      <w:kern w:val="2"/>
      <w:sz w:val="32"/>
    </w:rPr>
  </w:style>
  <w:style w:type="paragraph" w:customStyle="1" w:styleId="250">
    <w:name w:val="图例"/>
    <w:basedOn w:val="1"/>
    <w:qFormat/>
    <w:uiPriority w:val="0"/>
    <w:pPr>
      <w:spacing w:before="120" w:after="120" w:line="360" w:lineRule="auto"/>
      <w:jc w:val="center"/>
    </w:pPr>
    <w:rPr>
      <w:rFonts w:eastAsia="仿宋_GB2312"/>
      <w:b/>
      <w:sz w:val="24"/>
      <w:szCs w:val="20"/>
    </w:rPr>
  </w:style>
  <w:style w:type="table" w:customStyle="1" w:styleId="251">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3">
    <w:name w:val="成文日期"/>
    <w:basedOn w:val="1"/>
    <w:link w:val="254"/>
    <w:qFormat/>
    <w:uiPriority w:val="0"/>
    <w:pPr>
      <w:spacing w:line="570" w:lineRule="exact"/>
      <w:ind w:right="400" w:rightChars="400" w:firstLine="200" w:firstLineChars="200"/>
      <w:jc w:val="right"/>
    </w:pPr>
    <w:rPr>
      <w:rFonts w:ascii="仿宋_GB2312" w:eastAsia="仿宋_GB2312"/>
      <w:sz w:val="32"/>
      <w:szCs w:val="20"/>
    </w:rPr>
  </w:style>
  <w:style w:type="character" w:customStyle="1" w:styleId="254">
    <w:name w:val="成文日期 Char"/>
    <w:link w:val="253"/>
    <w:qFormat/>
    <w:uiPriority w:val="0"/>
    <w:rPr>
      <w:rFonts w:ascii="仿宋_GB2312" w:eastAsia="仿宋_GB2312"/>
      <w:kern w:val="2"/>
      <w:sz w:val="32"/>
    </w:rPr>
  </w:style>
  <w:style w:type="paragraph" w:customStyle="1" w:styleId="255">
    <w:name w:val="修订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256">
    <w:name w:val="无"/>
    <w:qFormat/>
    <w:uiPriority w:val="0"/>
  </w:style>
  <w:style w:type="paragraph" w:customStyle="1" w:styleId="257">
    <w:name w:val="PlainText"/>
    <w:basedOn w:val="1"/>
    <w:qFormat/>
    <w:uiPriority w:val="99"/>
    <w:rPr>
      <w:rFonts w:ascii="宋体" w:hAnsi="Courier New"/>
    </w:rPr>
  </w:style>
  <w:style w:type="paragraph" w:customStyle="1" w:styleId="258">
    <w:name w:val="正文1"/>
    <w:basedOn w:val="1"/>
    <w:next w:val="1"/>
    <w:qFormat/>
    <w:uiPriority w:val="0"/>
    <w:pPr>
      <w:spacing w:before="120" w:line="360" w:lineRule="auto"/>
      <w:ind w:left="420" w:firstLine="527"/>
    </w:pPr>
    <w:rPr>
      <w:rFonts w:ascii="宋体" w:hAnsi="宋体"/>
    </w:rPr>
  </w:style>
  <w:style w:type="character" w:customStyle="1" w:styleId="259">
    <w:name w:val="fontstyle01"/>
    <w:qFormat/>
    <w:uiPriority w:val="0"/>
    <w:rPr>
      <w:rFonts w:ascii="宋体" w:hAnsi="宋体" w:eastAsia="宋体" w:cs="宋体"/>
      <w:color w:val="000000"/>
      <w:sz w:val="22"/>
      <w:szCs w:val="22"/>
    </w:rPr>
  </w:style>
  <w:style w:type="character" w:customStyle="1" w:styleId="260">
    <w:name w:val="NormalCharacter"/>
    <w:qFormat/>
    <w:uiPriority w:val="0"/>
    <w:rPr>
      <w:rFonts w:ascii="Times New Roman" w:hAnsi="Times New Roman" w:eastAsia="宋体" w:cs="Times New Roman"/>
      <w:kern w:val="2"/>
      <w:sz w:val="21"/>
      <w:szCs w:val="24"/>
      <w:lang w:val="en-US" w:eastAsia="zh-CN" w:bidi="ar-SA"/>
    </w:rPr>
  </w:style>
  <w:style w:type="character" w:customStyle="1" w:styleId="261">
    <w:name w:val="l-btn-text36"/>
    <w:basedOn w:val="48"/>
    <w:qFormat/>
    <w:uiPriority w:val="0"/>
  </w:style>
  <w:style w:type="character" w:customStyle="1" w:styleId="262">
    <w:name w:val="current"/>
    <w:basedOn w:val="48"/>
    <w:qFormat/>
    <w:uiPriority w:val="0"/>
    <w:rPr>
      <w:b/>
      <w:bCs/>
      <w:color w:val="05A7D8"/>
      <w:sz w:val="14"/>
      <w:szCs w:val="14"/>
    </w:rPr>
  </w:style>
  <w:style w:type="character" w:customStyle="1" w:styleId="263">
    <w:name w:val="l-btn-left"/>
    <w:basedOn w:val="48"/>
    <w:qFormat/>
    <w:uiPriority w:val="0"/>
  </w:style>
  <w:style w:type="paragraph" w:customStyle="1" w:styleId="264">
    <w:name w:val="段"/>
    <w:next w:val="1"/>
    <w:qFormat/>
    <w:uiPriority w:val="99"/>
    <w:pPr>
      <w:autoSpaceDE w:val="0"/>
      <w:autoSpaceDN w:val="0"/>
      <w:adjustRightInd w:val="0"/>
      <w:snapToGrid w:val="0"/>
      <w:spacing w:after="160"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65">
    <w:name w:val="正文文本缩进11"/>
    <w:basedOn w:val="1"/>
    <w:next w:val="1"/>
    <w:qFormat/>
    <w:uiPriority w:val="0"/>
    <w:pPr>
      <w:spacing w:line="360" w:lineRule="auto"/>
      <w:ind w:firstLine="570"/>
    </w:pPr>
    <w:rPr>
      <w:sz w:val="24"/>
    </w:rPr>
  </w:style>
  <w:style w:type="paragraph" w:customStyle="1" w:styleId="266">
    <w:name w:val="正文文本11"/>
    <w:basedOn w:val="1"/>
    <w:next w:val="1"/>
    <w:qFormat/>
    <w:uiPriority w:val="0"/>
    <w:rPr>
      <w:rFonts w:ascii="楷体_GB2312" w:hAnsi="Arial" w:eastAsia="楷体_GB2312"/>
      <w:sz w:val="28"/>
      <w:szCs w:val="28"/>
    </w:rPr>
  </w:style>
  <w:style w:type="paragraph" w:customStyle="1" w:styleId="267">
    <w:name w:val="普通(网站)1"/>
    <w:basedOn w:val="1"/>
    <w:unhideWhenUsed/>
    <w:qFormat/>
    <w:uiPriority w:val="99"/>
    <w:pPr>
      <w:widowControl/>
      <w:spacing w:before="100" w:beforeAutospacing="1" w:after="100" w:afterAutospacing="1"/>
      <w:jc w:val="left"/>
    </w:pPr>
    <w:rPr>
      <w:rFonts w:ascii="宋体" w:hAnsi="宋体"/>
      <w:sz w:val="24"/>
    </w:rPr>
  </w:style>
  <w:style w:type="paragraph" w:customStyle="1" w:styleId="268">
    <w:name w:val="_Style 13"/>
    <w:qFormat/>
    <w:uiPriority w:val="0"/>
    <w:pPr>
      <w:spacing w:before="120" w:after="120" w:line="288" w:lineRule="auto"/>
      <w:ind w:left="0"/>
      <w:jc w:val="left"/>
    </w:pPr>
    <w:rPr>
      <w:rFonts w:hint="default"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11</Pages>
  <Words>6182</Words>
  <Characters>6927</Characters>
  <Lines>256</Lines>
  <Paragraphs>72</Paragraphs>
  <TotalTime>5</TotalTime>
  <ScaleCrop>false</ScaleCrop>
  <LinksUpToDate>false</LinksUpToDate>
  <CharactersWithSpaces>7493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2024-05-13T14:50:00Z</dcterms:created>
  <dc:creator>尹皓</dc:creator>
  <cp:lastModifiedBy>四菜一汤</cp:lastModifiedBy>
  <cp:lastPrinted>2025-12-12T13:07:00Z</cp:lastPrinted>
  <dcterms:modified xsi:type="dcterms:W3CDTF">2025-12-22T06:23:49Z</dcterms:modified>
  <dc:title>02年杜范本稿</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428E457D5F7844F988BFF658FDD2B2EC_13</vt:lpwstr>
  </property>
  <property fmtid="{D5CDD505-2E9C-101B-9397-08002B2CF9AE}" pid="4" name="KSOTemplateDocerSaveRecord">
    <vt:lpwstr>eyJoZGlkIjoiNzVhMDgwM2MyYzRlNDIzYWY0YTBkZGY5YWJiNDFkZjciLCJ1c2VySWQiOiI1OTY5MDA3NTQifQ==</vt:lpwstr>
  </property>
</Properties>
</file>