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F5096">
      <w:pPr>
        <w:pStyle w:val="255"/>
        <w:ind w:firstLine="0"/>
        <w:rPr>
          <w:rFonts w:eastAsia="黑体"/>
          <w:b/>
          <w:bCs/>
          <w:color w:val="000000"/>
          <w:sz w:val="84"/>
          <w:shd w:val="clear" w:color="FFFFFF" w:fill="D9D9D9"/>
        </w:rPr>
      </w:pPr>
    </w:p>
    <w:p w14:paraId="7B941DEA">
      <w:pPr>
        <w:pStyle w:val="255"/>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41823FF4">
      <w:pPr>
        <w:pStyle w:val="255"/>
        <w:ind w:firstLine="0"/>
        <w:jc w:val="center"/>
        <w:rPr>
          <w:rFonts w:ascii="黑体" w:hAnsi="华文中宋" w:eastAsia="黑体"/>
          <w:bCs/>
          <w:color w:val="000000"/>
          <w:spacing w:val="20"/>
          <w:sz w:val="52"/>
          <w:szCs w:val="52"/>
        </w:rPr>
      </w:pPr>
    </w:p>
    <w:p w14:paraId="43FAF6E0">
      <w:pPr>
        <w:pStyle w:val="255"/>
        <w:ind w:firstLine="0"/>
        <w:jc w:val="center"/>
        <w:rPr>
          <w:rFonts w:ascii="黑体" w:hAnsi="华文中宋" w:eastAsia="黑体"/>
          <w:bCs/>
          <w:color w:val="000000"/>
          <w:spacing w:val="20"/>
          <w:sz w:val="52"/>
          <w:szCs w:val="52"/>
          <w:shd w:val="clear" w:color="FFFFFF" w:fill="D9D9D9"/>
        </w:rPr>
      </w:pPr>
    </w:p>
    <w:p w14:paraId="64939AD5">
      <w:pPr>
        <w:pStyle w:val="255"/>
        <w:ind w:firstLine="0"/>
        <w:jc w:val="center"/>
        <w:rPr>
          <w:rFonts w:ascii="黑体" w:hAnsi="华文中宋" w:eastAsia="黑体"/>
          <w:bCs/>
          <w:color w:val="000000"/>
          <w:spacing w:val="20"/>
          <w:sz w:val="52"/>
          <w:szCs w:val="52"/>
          <w:shd w:val="clear" w:color="FFFFFF" w:fill="D9D9D9"/>
        </w:rPr>
      </w:pPr>
    </w:p>
    <w:p w14:paraId="64463069">
      <w:pPr>
        <w:pStyle w:val="255"/>
        <w:ind w:firstLine="0"/>
        <w:jc w:val="center"/>
        <w:rPr>
          <w:rFonts w:ascii="黑体" w:hAnsi="华文中宋" w:eastAsia="黑体"/>
          <w:bCs/>
          <w:color w:val="000000"/>
          <w:spacing w:val="20"/>
          <w:sz w:val="52"/>
          <w:szCs w:val="52"/>
          <w:shd w:val="clear" w:color="FFFFFF" w:fill="D9D9D9"/>
        </w:rPr>
      </w:pPr>
    </w:p>
    <w:p w14:paraId="0D123FAE">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lang w:eastAsia="zh-CN"/>
        </w:rPr>
        <w:t>JSZC-320200-WXJY-G2024-0030</w:t>
      </w:r>
    </w:p>
    <w:p w14:paraId="073DA293">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2"/>
          <w:szCs w:val="32"/>
          <w:lang w:eastAsia="zh-CN"/>
        </w:rPr>
        <w:t>无锡学院智慧应急管理情景模拟综合实训室</w:t>
      </w:r>
    </w:p>
    <w:p w14:paraId="43B7D249">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无锡学院</w:t>
      </w:r>
    </w:p>
    <w:p w14:paraId="134E2482">
      <w:pPr>
        <w:jc w:val="center"/>
        <w:rPr>
          <w:rFonts w:ascii="黑体" w:hAnsi="华文中宋" w:eastAsia="黑体"/>
          <w:bCs/>
          <w:color w:val="000000"/>
          <w:sz w:val="30"/>
          <w:szCs w:val="30"/>
        </w:rPr>
      </w:pPr>
    </w:p>
    <w:p w14:paraId="5050A696">
      <w:pPr>
        <w:pStyle w:val="255"/>
        <w:spacing w:before="0" w:after="0"/>
        <w:ind w:firstLine="0"/>
        <w:jc w:val="center"/>
        <w:rPr>
          <w:rFonts w:ascii="宋体" w:hAnsi="宋体"/>
          <w:color w:val="000000"/>
          <w:shd w:val="clear" w:color="FFFFFF" w:fill="D9D9D9"/>
        </w:rPr>
      </w:pPr>
    </w:p>
    <w:p w14:paraId="6760FA5D">
      <w:pPr>
        <w:pStyle w:val="255"/>
        <w:spacing w:before="0" w:after="0"/>
        <w:ind w:firstLine="0"/>
        <w:jc w:val="center"/>
        <w:rPr>
          <w:rFonts w:ascii="宋体" w:hAnsi="宋体"/>
          <w:color w:val="000000"/>
          <w:shd w:val="clear" w:color="FFFFFF" w:fill="D9D9D9"/>
        </w:rPr>
      </w:pPr>
    </w:p>
    <w:p w14:paraId="46A78AAA">
      <w:pPr>
        <w:pStyle w:val="255"/>
        <w:spacing w:before="0" w:after="0"/>
        <w:ind w:firstLine="0"/>
        <w:jc w:val="center"/>
        <w:rPr>
          <w:rFonts w:ascii="宋体" w:hAnsi="宋体"/>
          <w:color w:val="000000"/>
          <w:shd w:val="clear" w:color="FFFFFF" w:fill="D9D9D9"/>
        </w:rPr>
      </w:pPr>
    </w:p>
    <w:p w14:paraId="1208C913">
      <w:pPr>
        <w:pStyle w:val="255"/>
        <w:spacing w:before="0" w:after="0"/>
        <w:ind w:firstLine="0"/>
        <w:jc w:val="center"/>
        <w:rPr>
          <w:rFonts w:ascii="宋体" w:hAnsi="宋体"/>
          <w:color w:val="000000"/>
          <w:sz w:val="32"/>
          <w:szCs w:val="32"/>
          <w:shd w:val="clear" w:color="FFFFFF" w:fill="D9D9D9"/>
        </w:rPr>
      </w:pPr>
      <w:r>
        <w:rPr>
          <w:rFonts w:hint="eastAsia" w:ascii="黑体" w:hAnsi="华文中宋" w:eastAsia="黑体"/>
          <w:bCs/>
          <w:color w:val="000000"/>
          <w:sz w:val="32"/>
          <w:szCs w:val="32"/>
        </w:rPr>
        <w:t>采购代理机构：无锡市教育信息化和装备管理服务中心</w:t>
      </w:r>
    </w:p>
    <w:p w14:paraId="4E33D140">
      <w:pPr>
        <w:pStyle w:val="255"/>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二○二四年</w:t>
      </w:r>
      <w:r>
        <w:rPr>
          <w:rFonts w:hint="eastAsia" w:ascii="黑体" w:hAnsi="华文中宋" w:eastAsia="黑体"/>
          <w:bCs/>
          <w:color w:val="000000"/>
          <w:sz w:val="32"/>
          <w:szCs w:val="32"/>
          <w:lang w:val="en-US" w:eastAsia="zh-CN"/>
        </w:rPr>
        <w:t>十一</w:t>
      </w:r>
      <w:r>
        <w:rPr>
          <w:rFonts w:hint="eastAsia" w:ascii="黑体" w:hAnsi="华文中宋" w:eastAsia="黑体"/>
          <w:bCs/>
          <w:color w:val="000000"/>
          <w:sz w:val="32"/>
          <w:szCs w:val="32"/>
        </w:rPr>
        <w:t>月</w:t>
      </w:r>
    </w:p>
    <w:p w14:paraId="517D2AC7">
      <w:pPr>
        <w:pStyle w:val="255"/>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bookmarkStart w:id="1" w:name="_Toc16938516"/>
      <w:bookmarkStart w:id="2" w:name="_Toc20823272"/>
      <w:bookmarkStart w:id="3" w:name="_Toc479757206"/>
      <w:bookmarkStart w:id="4" w:name="_Toc523127445"/>
      <w:bookmarkStart w:id="5" w:name="_Toc513029200"/>
      <w:r>
        <w:rPr>
          <w:rFonts w:hint="eastAsia" w:ascii="黑体" w:hAnsi="黑体" w:eastAsia="黑体"/>
          <w:color w:val="000000"/>
          <w:sz w:val="36"/>
          <w:szCs w:val="36"/>
        </w:rPr>
        <w:t>总  目  录</w:t>
      </w:r>
    </w:p>
    <w:p w14:paraId="2B1EBEB2">
      <w:pPr>
        <w:spacing w:line="480" w:lineRule="auto"/>
        <w:jc w:val="center"/>
        <w:outlineLvl w:val="0"/>
        <w:rPr>
          <w:rFonts w:ascii="黑体" w:hAnsi="Arial" w:eastAsia="黑体"/>
          <w:color w:val="000000"/>
          <w:sz w:val="44"/>
        </w:rPr>
      </w:pPr>
    </w:p>
    <w:p w14:paraId="69BF00BD">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投标邀请-------------------------------------（2）</w:t>
      </w:r>
    </w:p>
    <w:p w14:paraId="7B3A1A1E">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投标人须知-----------------------------------（</w:t>
      </w:r>
      <w:r>
        <w:rPr>
          <w:rFonts w:ascii="宋体" w:hAnsi="宋体"/>
          <w:color w:val="000000"/>
          <w:sz w:val="30"/>
          <w:szCs w:val="30"/>
        </w:rPr>
        <w:t>7</w:t>
      </w:r>
      <w:r>
        <w:rPr>
          <w:rFonts w:hint="eastAsia" w:ascii="宋体" w:hAnsi="宋体"/>
          <w:color w:val="000000"/>
          <w:sz w:val="30"/>
          <w:szCs w:val="30"/>
        </w:rPr>
        <w:t>）</w:t>
      </w:r>
    </w:p>
    <w:p w14:paraId="40304898">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合同文本------------------------------------（</w:t>
      </w:r>
      <w:r>
        <w:rPr>
          <w:rFonts w:ascii="宋体" w:hAnsi="宋体"/>
          <w:color w:val="000000"/>
          <w:sz w:val="30"/>
          <w:szCs w:val="30"/>
        </w:rPr>
        <w:t>20</w:t>
      </w:r>
      <w:r>
        <w:rPr>
          <w:rFonts w:hint="eastAsia" w:ascii="宋体" w:hAnsi="宋体"/>
          <w:color w:val="000000"/>
          <w:sz w:val="30"/>
          <w:szCs w:val="30"/>
        </w:rPr>
        <w:t>）</w:t>
      </w:r>
    </w:p>
    <w:p w14:paraId="21B69711">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rPr>
        <w:t>采购需求--------------------------------</w:t>
      </w:r>
      <w:r>
        <w:rPr>
          <w:rFonts w:hint="eastAsia" w:ascii="宋体" w:hAnsi="宋体"/>
          <w:color w:val="000000"/>
          <w:sz w:val="30"/>
          <w:szCs w:val="30"/>
          <w:highlight w:val="none"/>
        </w:rPr>
        <w:t>----（2</w:t>
      </w:r>
      <w:r>
        <w:rPr>
          <w:rFonts w:ascii="宋体" w:hAnsi="宋体"/>
          <w:color w:val="000000"/>
          <w:sz w:val="30"/>
          <w:szCs w:val="30"/>
          <w:highlight w:val="none"/>
        </w:rPr>
        <w:t>4</w:t>
      </w:r>
      <w:r>
        <w:rPr>
          <w:rFonts w:hint="eastAsia" w:ascii="宋体" w:hAnsi="宋体"/>
          <w:color w:val="000000"/>
          <w:sz w:val="30"/>
          <w:szCs w:val="30"/>
          <w:highlight w:val="none"/>
        </w:rPr>
        <w:t>）</w:t>
      </w:r>
    </w:p>
    <w:p w14:paraId="0A83F7A5">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r>
        <w:rPr>
          <w:rFonts w:hint="eastAsia" w:ascii="宋体" w:hAnsi="宋体"/>
          <w:color w:val="auto"/>
          <w:sz w:val="30"/>
          <w:szCs w:val="30"/>
          <w:highlight w:val="none"/>
          <w:lang w:val="en-US" w:eastAsia="zh-CN"/>
        </w:rPr>
        <w:t>54</w:t>
      </w:r>
      <w:r>
        <w:rPr>
          <w:rFonts w:hint="eastAsia" w:ascii="宋体" w:hAnsi="宋体"/>
          <w:color w:val="000000"/>
          <w:sz w:val="30"/>
          <w:szCs w:val="30"/>
          <w:highlight w:val="none"/>
        </w:rPr>
        <w:t>）</w:t>
      </w:r>
    </w:p>
    <w:p w14:paraId="567FE40F">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投标文件内容与格式--------------------------（</w:t>
      </w:r>
      <w:r>
        <w:rPr>
          <w:rFonts w:hint="eastAsia" w:ascii="宋体" w:hAnsi="宋体"/>
          <w:color w:val="000000"/>
          <w:sz w:val="30"/>
          <w:szCs w:val="30"/>
          <w:highlight w:val="none"/>
          <w:lang w:val="en-US" w:eastAsia="zh-CN"/>
        </w:rPr>
        <w:t>59</w:t>
      </w:r>
      <w:r>
        <w:rPr>
          <w:rFonts w:hint="eastAsia" w:ascii="宋体" w:hAnsi="宋体"/>
          <w:color w:val="000000"/>
          <w:sz w:val="30"/>
          <w:szCs w:val="30"/>
          <w:highlight w:val="none"/>
        </w:rPr>
        <w:t>）</w:t>
      </w:r>
    </w:p>
    <w:p w14:paraId="120E806C">
      <w:pPr>
        <w:tabs>
          <w:tab w:val="left" w:pos="1440"/>
        </w:tabs>
        <w:spacing w:line="500" w:lineRule="exact"/>
        <w:jc w:val="center"/>
        <w:outlineLvl w:val="0"/>
        <w:rPr>
          <w:rFonts w:ascii="黑体" w:hAnsi="黑体" w:eastAsia="黑体"/>
          <w:color w:val="000000"/>
          <w:sz w:val="36"/>
          <w:szCs w:val="36"/>
        </w:rPr>
      </w:pPr>
      <w:r>
        <w:rPr>
          <w:rFonts w:ascii="黑体" w:hAnsi="Showcard Gothic" w:eastAsia="黑体"/>
          <w:color w:val="000000"/>
          <w:sz w:val="30"/>
          <w:szCs w:val="30"/>
        </w:rPr>
        <w:br w:type="page" w:clear="all"/>
      </w:r>
      <w:r>
        <w:rPr>
          <w:rFonts w:hint="eastAsia" w:ascii="黑体" w:hAnsi="黑体" w:eastAsia="黑体"/>
          <w:color w:val="000000"/>
          <w:sz w:val="36"/>
          <w:szCs w:val="36"/>
        </w:rPr>
        <w:t>第一章  投标邀请</w:t>
      </w:r>
    </w:p>
    <w:bookmarkEnd w:id="0"/>
    <w:p w14:paraId="3159C093">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无锡学院</w:t>
      </w:r>
      <w:r>
        <w:rPr>
          <w:rFonts w:hint="eastAsia" w:ascii="宋体" w:hAnsi="宋体"/>
          <w:color w:val="000000"/>
          <w:sz w:val="24"/>
          <w:szCs w:val="24"/>
        </w:rPr>
        <w:t>的委托，无锡市教育信息化和装备管理服务中心就</w:t>
      </w:r>
      <w:r>
        <w:rPr>
          <w:rFonts w:hint="eastAsia" w:ascii="宋体" w:hAnsi="宋体"/>
          <w:color w:val="000000"/>
          <w:sz w:val="24"/>
          <w:szCs w:val="24"/>
          <w:lang w:eastAsia="zh-CN"/>
        </w:rPr>
        <w:t>无锡学院智慧应急管理情景模拟综合实训室</w:t>
      </w:r>
      <w:r>
        <w:rPr>
          <w:rFonts w:hint="eastAsia" w:ascii="宋体" w:hAnsi="宋体"/>
          <w:color w:val="000000"/>
          <w:sz w:val="24"/>
          <w:szCs w:val="24"/>
        </w:rPr>
        <w:t>（</w:t>
      </w:r>
      <w:r>
        <w:rPr>
          <w:rFonts w:hint="eastAsia" w:ascii="宋体" w:hAnsi="宋体"/>
          <w:color w:val="000000"/>
          <w:sz w:val="24"/>
          <w:szCs w:val="24"/>
          <w:lang w:eastAsia="zh-CN"/>
        </w:rPr>
        <w:t>JSZC-320200-WXJY-G2024-0030</w:t>
      </w:r>
      <w:r>
        <w:rPr>
          <w:rFonts w:hint="eastAsia" w:ascii="宋体" w:hAnsi="宋体"/>
          <w:color w:val="000000"/>
          <w:sz w:val="24"/>
          <w:szCs w:val="24"/>
        </w:rPr>
        <w:t>）进行公开招标采购，欢迎符合条件的供应商投标。</w:t>
      </w:r>
    </w:p>
    <w:p w14:paraId="042E15E6">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3AE11B3A">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lang w:eastAsia="zh-CN"/>
        </w:rPr>
        <w:t>无锡学院智慧应急管理情景模拟综合实训室</w:t>
      </w:r>
      <w:r>
        <w:rPr>
          <w:rFonts w:hint="eastAsia" w:ascii="宋体" w:hAnsi="宋体"/>
          <w:color w:val="000000"/>
          <w:sz w:val="24"/>
          <w:szCs w:val="24"/>
        </w:rPr>
        <w:t>的潜在投标人应在“无锡政府采购网”“江苏政府采购网”自行浏览招标文件，如有投标意向须在本招标文件有效获取期内通过登录</w:t>
      </w:r>
      <w:r>
        <w:rPr>
          <w:rFonts w:ascii="宋体" w:hAnsi="宋体"/>
          <w:color w:val="000000"/>
          <w:sz w:val="24"/>
          <w:szCs w:val="24"/>
        </w:rPr>
        <w:t>“江苏省政府采购（苏采云）平台”</w:t>
      </w:r>
      <w:r>
        <w:rPr>
          <w:rFonts w:hint="eastAsia" w:ascii="宋体" w:hAnsi="宋体"/>
          <w:color w:val="000000"/>
          <w:sz w:val="24"/>
          <w:szCs w:val="24"/>
        </w:rPr>
        <w:t>下载的方式依法获取招标文件，并于</w:t>
      </w:r>
      <w:r>
        <w:rPr>
          <w:rFonts w:hint="eastAsia" w:ascii="宋体" w:hAnsi="宋体"/>
          <w:color w:val="000000"/>
          <w:sz w:val="24"/>
          <w:szCs w:val="24"/>
          <w:highlight w:val="none"/>
        </w:rPr>
        <w:t>2024年</w:t>
      </w:r>
      <w:r>
        <w:rPr>
          <w:rFonts w:hint="eastAsia" w:ascii="宋体" w:hAnsi="宋体"/>
          <w:color w:val="000000"/>
          <w:sz w:val="24"/>
          <w:szCs w:val="24"/>
          <w:highlight w:val="none"/>
          <w:lang w:val="en-US" w:eastAsia="zh-CN"/>
        </w:rPr>
        <w:t>11</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29</w:t>
      </w:r>
      <w:r>
        <w:rPr>
          <w:rFonts w:hint="eastAsia" w:ascii="宋体" w:hAnsi="宋体"/>
          <w:color w:val="000000"/>
          <w:sz w:val="24"/>
          <w:szCs w:val="24"/>
          <w:highlight w:val="none"/>
        </w:rPr>
        <w:t>日</w:t>
      </w:r>
      <w:r>
        <w:rPr>
          <w:rFonts w:hint="eastAsia" w:ascii="宋体" w:hAnsi="宋体"/>
          <w:color w:val="000000"/>
          <w:sz w:val="24"/>
          <w:szCs w:val="24"/>
          <w:highlight w:val="none"/>
          <w:lang w:val="en-US" w:eastAsia="zh-CN"/>
        </w:rPr>
        <w:t>9</w:t>
      </w:r>
      <w:r>
        <w:rPr>
          <w:rFonts w:hint="eastAsia" w:ascii="宋体" w:hAnsi="宋体"/>
          <w:color w:val="000000"/>
          <w:sz w:val="24"/>
          <w:szCs w:val="24"/>
          <w:highlight w:val="none"/>
        </w:rPr>
        <w:t>点</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0B3B1D34">
      <w:pPr>
        <w:pStyle w:val="4"/>
        <w:keepNext w:val="0"/>
        <w:keepLines w:val="0"/>
        <w:spacing w:before="0" w:after="0" w:line="500" w:lineRule="exact"/>
        <w:ind w:firstLine="452"/>
        <w:rPr>
          <w:color w:val="000000"/>
          <w:sz w:val="30"/>
          <w:szCs w:val="30"/>
          <w:lang w:eastAsia="zh-CN"/>
        </w:rPr>
      </w:pPr>
      <w:bookmarkStart w:id="6" w:name="_Toc35393621"/>
      <w:bookmarkStart w:id="7" w:name="_Toc35393790"/>
      <w:bookmarkStart w:id="8" w:name="_Toc28359002"/>
      <w:bookmarkStart w:id="9" w:name="_Toc28359079"/>
      <w:bookmarkStart w:id="10" w:name="_Toc38985263"/>
      <w:bookmarkStart w:id="11" w:name="_Hlk24379207"/>
      <w:r>
        <w:rPr>
          <w:rFonts w:hint="eastAsia"/>
          <w:color w:val="000000"/>
          <w:sz w:val="30"/>
          <w:szCs w:val="30"/>
          <w:lang w:eastAsia="zh-CN"/>
        </w:rPr>
        <w:t>一、项目基本情况</w:t>
      </w:r>
      <w:bookmarkEnd w:id="6"/>
      <w:bookmarkEnd w:id="7"/>
      <w:bookmarkEnd w:id="8"/>
      <w:bookmarkEnd w:id="9"/>
      <w:bookmarkEnd w:id="10"/>
    </w:p>
    <w:p w14:paraId="55A69353">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JSZC-320200-WXJY-G2024-0030</w:t>
      </w:r>
    </w:p>
    <w:p w14:paraId="36F70772">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无锡学院智慧应急管理情景模拟综合实训室</w:t>
      </w:r>
    </w:p>
    <w:bookmarkEnd w:id="11"/>
    <w:p w14:paraId="1F0508F2">
      <w:pPr>
        <w:spacing w:line="500" w:lineRule="exact"/>
        <w:ind w:firstLine="480"/>
        <w:rPr>
          <w:rFonts w:ascii="宋体" w:hAnsi="宋体"/>
          <w:color w:val="000000"/>
          <w:sz w:val="24"/>
          <w:szCs w:val="24"/>
        </w:rPr>
      </w:pPr>
      <w:r>
        <w:rPr>
          <w:rFonts w:hint="eastAsia" w:ascii="宋体" w:hAnsi="宋体"/>
          <w:color w:val="000000"/>
          <w:sz w:val="24"/>
          <w:szCs w:val="24"/>
        </w:rPr>
        <w:t>3.项目预算金额：</w:t>
      </w:r>
      <w:r>
        <w:rPr>
          <w:rFonts w:hint="eastAsia" w:asciiTheme="minorEastAsia" w:hAnsiTheme="minorEastAsia" w:eastAsiaTheme="minorEastAsia"/>
          <w:sz w:val="24"/>
          <w:szCs w:val="24"/>
          <w:lang w:val="en-US" w:eastAsia="zh-CN"/>
        </w:rPr>
        <w:t>140</w:t>
      </w:r>
      <w:r>
        <w:rPr>
          <w:rFonts w:hint="eastAsia" w:ascii="宋体" w:hAnsi="宋体"/>
          <w:color w:val="000000"/>
          <w:sz w:val="24"/>
          <w:szCs w:val="24"/>
        </w:rPr>
        <w:t>万元</w:t>
      </w:r>
    </w:p>
    <w:p w14:paraId="165DF6D1">
      <w:pPr>
        <w:spacing w:line="500" w:lineRule="exact"/>
        <w:ind w:firstLine="480"/>
        <w:rPr>
          <w:rFonts w:ascii="宋体" w:hAnsi="宋体"/>
          <w:color w:val="000000"/>
          <w:sz w:val="24"/>
          <w:szCs w:val="24"/>
        </w:rPr>
      </w:pPr>
      <w:r>
        <w:rPr>
          <w:rFonts w:hint="eastAsia" w:ascii="宋体" w:hAnsi="宋体"/>
          <w:color w:val="000000"/>
          <w:sz w:val="24"/>
          <w:szCs w:val="24"/>
        </w:rPr>
        <w:t>4.项目最高限价：</w:t>
      </w:r>
      <w:r>
        <w:rPr>
          <w:rFonts w:hint="eastAsia" w:asciiTheme="minorEastAsia" w:hAnsiTheme="minorEastAsia" w:eastAsiaTheme="minorEastAsia"/>
          <w:sz w:val="24"/>
          <w:szCs w:val="24"/>
          <w:lang w:val="en-US" w:eastAsia="zh-CN"/>
        </w:rPr>
        <w:t>140</w:t>
      </w:r>
      <w:r>
        <w:rPr>
          <w:rFonts w:hint="eastAsia" w:ascii="宋体" w:hAnsi="宋体"/>
          <w:color w:val="000000"/>
          <w:sz w:val="24"/>
          <w:szCs w:val="24"/>
        </w:rPr>
        <w:t>万元</w:t>
      </w:r>
    </w:p>
    <w:p w14:paraId="509DADCD">
      <w:pPr>
        <w:spacing w:line="500" w:lineRule="exact"/>
        <w:ind w:firstLine="480"/>
        <w:rPr>
          <w:rFonts w:ascii="宋体" w:hAnsi="宋体"/>
          <w:color w:val="000000"/>
          <w:sz w:val="24"/>
          <w:szCs w:val="24"/>
        </w:rPr>
      </w:pPr>
      <w:r>
        <w:rPr>
          <w:rFonts w:hint="eastAsia" w:ascii="宋体" w:hAnsi="宋体"/>
          <w:color w:val="000000"/>
          <w:sz w:val="24"/>
          <w:szCs w:val="24"/>
        </w:rPr>
        <w:t>5.采购需求：</w:t>
      </w:r>
      <w:r>
        <w:rPr>
          <w:rFonts w:hint="eastAsia" w:ascii="宋体" w:hAnsi="宋体" w:cs="宋体"/>
          <w:color w:val="000000"/>
          <w:sz w:val="24"/>
          <w:szCs w:val="24"/>
        </w:rPr>
        <w:t>详见招标文件第四章《采购需求》</w:t>
      </w:r>
    </w:p>
    <w:p w14:paraId="136C5AE4">
      <w:pPr>
        <w:spacing w:line="500" w:lineRule="exact"/>
        <w:ind w:firstLine="480"/>
        <w:rPr>
          <w:rFonts w:ascii="宋体" w:hAnsi="宋体" w:cs="宋体"/>
          <w:color w:val="000000"/>
          <w:sz w:val="24"/>
          <w:szCs w:val="24"/>
        </w:rPr>
      </w:pPr>
      <w:r>
        <w:rPr>
          <w:rFonts w:hint="eastAsia" w:ascii="宋体" w:hAnsi="宋体"/>
          <w:color w:val="000000"/>
          <w:sz w:val="24"/>
          <w:szCs w:val="24"/>
        </w:rPr>
        <w:t>6.合同履行期限：</w:t>
      </w:r>
      <w:r>
        <w:rPr>
          <w:rFonts w:hint="eastAsia" w:ascii="宋体" w:hAnsi="宋体" w:cs="宋体"/>
          <w:color w:val="000000"/>
          <w:sz w:val="24"/>
          <w:szCs w:val="24"/>
        </w:rPr>
        <w:t>详见招标文件第四章《采购需求》</w:t>
      </w:r>
    </w:p>
    <w:p w14:paraId="7534362F">
      <w:pPr>
        <w:spacing w:line="500" w:lineRule="exact"/>
        <w:ind w:firstLine="480"/>
        <w:rPr>
          <w:rFonts w:ascii="宋体" w:hAnsi="宋体" w:cs="宋体"/>
          <w:color w:val="000000"/>
          <w:sz w:val="24"/>
          <w:szCs w:val="24"/>
        </w:rPr>
      </w:pPr>
      <w:r>
        <w:rPr>
          <w:rFonts w:ascii="宋体" w:hAnsi="宋体" w:cs="宋体"/>
          <w:color w:val="000000"/>
          <w:sz w:val="24"/>
          <w:szCs w:val="24"/>
        </w:rPr>
        <w:t>7.</w:t>
      </w:r>
      <w:r>
        <w:rPr>
          <w:rFonts w:hint="eastAsia" w:ascii="宋体" w:hAnsi="宋体" w:cs="宋体"/>
          <w:color w:val="000000"/>
          <w:sz w:val="24"/>
          <w:szCs w:val="24"/>
        </w:rPr>
        <w:t>本</w:t>
      </w:r>
      <w:r>
        <w:rPr>
          <w:rFonts w:hint="eastAsia" w:ascii="宋体" w:hAnsi="宋体" w:cs="宋体"/>
          <w:color w:val="000000"/>
          <w:sz w:val="24"/>
          <w:szCs w:val="24"/>
          <w:highlight w:val="none"/>
        </w:rPr>
        <w:t>项目</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非</w:t>
      </w:r>
      <w:r>
        <w:rPr>
          <w:rFonts w:hint="eastAsia" w:ascii="宋体" w:hAnsi="宋体" w:cs="宋体"/>
          <w:color w:val="000000"/>
          <w:sz w:val="24"/>
          <w:szCs w:val="24"/>
          <w:highlight w:val="none"/>
          <w:lang w:eastAsia="zh-CN"/>
        </w:rPr>
        <w:t>）</w:t>
      </w:r>
      <w:r>
        <w:rPr>
          <w:rFonts w:hint="eastAsia" w:ascii="宋体" w:hAnsi="宋体"/>
          <w:sz w:val="24"/>
          <w:szCs w:val="24"/>
          <w:highlight w:val="none"/>
          <w:lang w:val="zh-CN"/>
        </w:rPr>
        <w:t>专门面向中小企业</w:t>
      </w:r>
    </w:p>
    <w:p w14:paraId="375EDBB7">
      <w:pPr>
        <w:spacing w:line="500" w:lineRule="exact"/>
        <w:ind w:firstLine="480"/>
        <w:rPr>
          <w:rFonts w:ascii="宋体" w:hAnsi="宋体" w:cs="宋体"/>
          <w:color w:val="000000"/>
          <w:sz w:val="24"/>
          <w:szCs w:val="24"/>
        </w:rPr>
      </w:pPr>
      <w:r>
        <w:rPr>
          <w:rFonts w:ascii="宋体" w:hAnsi="宋体" w:cs="宋体"/>
          <w:color w:val="000000"/>
          <w:sz w:val="24"/>
          <w:szCs w:val="24"/>
        </w:rPr>
        <w:t>8</w:t>
      </w:r>
      <w:r>
        <w:rPr>
          <w:rFonts w:hint="eastAsia" w:ascii="宋体" w:hAnsi="宋体" w:cs="宋体"/>
          <w:color w:val="000000"/>
          <w:sz w:val="24"/>
          <w:szCs w:val="24"/>
        </w:rPr>
        <w:t>.本项目不接受联合体投标。</w:t>
      </w:r>
    </w:p>
    <w:p w14:paraId="5F97133F">
      <w:pPr>
        <w:pStyle w:val="4"/>
        <w:keepNext w:val="0"/>
        <w:keepLines w:val="0"/>
        <w:spacing w:before="0" w:after="0" w:line="500" w:lineRule="exact"/>
        <w:ind w:firstLine="452"/>
        <w:rPr>
          <w:color w:val="000000"/>
          <w:sz w:val="30"/>
          <w:szCs w:val="30"/>
          <w:lang w:eastAsia="zh-CN"/>
        </w:rPr>
      </w:pPr>
      <w:bookmarkStart w:id="12" w:name="_Toc28359080"/>
      <w:bookmarkStart w:id="13" w:name="_Toc35393791"/>
      <w:bookmarkStart w:id="14" w:name="_Toc35393622"/>
      <w:bookmarkStart w:id="15" w:name="_Toc38985264"/>
      <w:bookmarkStart w:id="16" w:name="_Toc28359003"/>
      <w:r>
        <w:rPr>
          <w:rFonts w:hint="eastAsia"/>
          <w:color w:val="000000"/>
          <w:sz w:val="30"/>
          <w:szCs w:val="30"/>
          <w:lang w:eastAsia="zh-CN"/>
        </w:rPr>
        <w:t>二、申请人的资格要求</w:t>
      </w:r>
      <w:bookmarkEnd w:id="12"/>
      <w:bookmarkEnd w:id="13"/>
      <w:bookmarkEnd w:id="14"/>
      <w:bookmarkEnd w:id="15"/>
      <w:bookmarkEnd w:id="16"/>
    </w:p>
    <w:p w14:paraId="76E71B95">
      <w:pPr>
        <w:spacing w:line="500" w:lineRule="exact"/>
        <w:ind w:firstLine="480"/>
        <w:rPr>
          <w:rFonts w:ascii="宋体" w:hAnsi="宋体"/>
          <w:color w:val="000000"/>
          <w:sz w:val="24"/>
          <w:szCs w:val="24"/>
        </w:rPr>
      </w:pPr>
      <w:bookmarkStart w:id="17" w:name="_Toc38985265"/>
      <w:bookmarkStart w:id="18" w:name="_Toc35393623"/>
      <w:bookmarkStart w:id="19" w:name="_Toc28359004"/>
      <w:bookmarkStart w:id="20" w:name="_Toc28359081"/>
      <w:bookmarkStart w:id="21" w:name="_Toc35393792"/>
      <w:r>
        <w:rPr>
          <w:rFonts w:hint="eastAsia" w:ascii="宋体" w:hAnsi="宋体"/>
          <w:color w:val="000000"/>
          <w:sz w:val="24"/>
          <w:szCs w:val="24"/>
        </w:rPr>
        <w:t>1.满足《中华人民共和国政府采购法》第二十二条规定；</w:t>
      </w:r>
    </w:p>
    <w:p w14:paraId="1198B8F0">
      <w:pPr>
        <w:spacing w:line="500" w:lineRule="exact"/>
        <w:ind w:firstLine="480"/>
        <w:rPr>
          <w:rFonts w:ascii="宋体" w:hAnsi="宋体"/>
          <w:color w:val="000000"/>
          <w:sz w:val="24"/>
          <w:szCs w:val="24"/>
          <w:u w:val="single"/>
        </w:rPr>
      </w:pPr>
      <w:r>
        <w:rPr>
          <w:rFonts w:hint="eastAsia" w:ascii="宋体" w:hAnsi="宋体"/>
          <w:color w:val="000000"/>
          <w:sz w:val="24"/>
          <w:szCs w:val="24"/>
        </w:rPr>
        <w:t>2.在“信用中国”网站（www.creditchina.gov.cn）、中国政府采购网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查询，无被列入失信被执行人、重大税收违法案件当事人名单、政府采购严重失信行为记录名单及其他不符合《中华人民共和国政府采购法》第二十二条规定条件的信用记录；</w:t>
      </w:r>
    </w:p>
    <w:p w14:paraId="597845EB">
      <w:pPr>
        <w:spacing w:line="500" w:lineRule="exact"/>
        <w:ind w:firstLine="480"/>
        <w:rPr>
          <w:rFonts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.本项目的特定资格要求：无</w:t>
      </w:r>
    </w:p>
    <w:p w14:paraId="52C6A5CF">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三、获取招标文件</w:t>
      </w:r>
      <w:bookmarkEnd w:id="17"/>
      <w:bookmarkEnd w:id="18"/>
      <w:bookmarkEnd w:id="19"/>
      <w:bookmarkEnd w:id="20"/>
      <w:bookmarkEnd w:id="21"/>
    </w:p>
    <w:p w14:paraId="65205AFF">
      <w:pPr>
        <w:spacing w:line="500" w:lineRule="exact"/>
        <w:ind w:firstLine="540"/>
        <w:rPr>
          <w:rFonts w:ascii="宋体" w:hAnsi="宋体" w:cs="宋体"/>
          <w:color w:val="000000"/>
          <w:sz w:val="24"/>
          <w:szCs w:val="24"/>
        </w:rPr>
      </w:pPr>
      <w:bookmarkStart w:id="22" w:name="_Toc28359082"/>
      <w:bookmarkStart w:id="23" w:name="_Toc28359005"/>
      <w:bookmarkStart w:id="24" w:name="_Toc35393624"/>
      <w:bookmarkStart w:id="25" w:name="_Toc35393793"/>
      <w:bookmarkStart w:id="26" w:name="_Toc38985266"/>
      <w:r>
        <w:rPr>
          <w:rFonts w:hint="eastAsia" w:ascii="宋体" w:hAnsi="宋体" w:cs="宋体"/>
          <w:color w:val="000000"/>
          <w:sz w:val="24"/>
          <w:szCs w:val="24"/>
        </w:rPr>
        <w:t>1.</w:t>
      </w:r>
      <w:r>
        <w:rPr>
          <w:rFonts w:hint="eastAsia"/>
          <w:color w:val="000000"/>
        </w:rPr>
        <w:t xml:space="preserve"> </w:t>
      </w:r>
      <w:r>
        <w:rPr>
          <w:rFonts w:hint="eastAsia" w:ascii="宋体" w:hAnsi="宋体" w:cs="宋体"/>
          <w:color w:val="000000"/>
          <w:sz w:val="24"/>
          <w:szCs w:val="24"/>
        </w:rPr>
        <w:t>时间：</w:t>
      </w:r>
      <w:r>
        <w:rPr>
          <w:rFonts w:hint="eastAsia" w:ascii="宋体" w:hAnsi="宋体"/>
          <w:color w:val="000000"/>
          <w:sz w:val="24"/>
          <w:szCs w:val="24"/>
        </w:rPr>
        <w:t>本招标文件有效获取期</w:t>
      </w:r>
      <w:r>
        <w:rPr>
          <w:rFonts w:hint="eastAsia" w:ascii="宋体" w:hAnsi="宋体" w:cs="宋体"/>
          <w:color w:val="000000"/>
          <w:sz w:val="24"/>
          <w:szCs w:val="24"/>
        </w:rPr>
        <w:t>自招标文件公告发布之日起5个工作日，（有效获取期内的）每天上午00:00至12:00，下午12:00至23:59（北京时间，法定节假日除外）。</w:t>
      </w:r>
    </w:p>
    <w:p w14:paraId="1172927B">
      <w:pPr>
        <w:spacing w:line="500" w:lineRule="exact"/>
        <w:ind w:firstLine="540"/>
        <w:rPr>
          <w:rFonts w:ascii="宋体" w:hAnsi="宋体"/>
          <w:bCs/>
          <w:color w:val="000000"/>
          <w:sz w:val="24"/>
          <w:szCs w:val="24"/>
        </w:rPr>
      </w:pPr>
      <w:r>
        <w:rPr>
          <w:rFonts w:hint="eastAsia" w:ascii="宋体" w:hAnsi="宋体"/>
          <w:bCs/>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w:t>
      </w:r>
    </w:p>
    <w:p w14:paraId="6821C1FB">
      <w:pPr>
        <w:spacing w:line="500" w:lineRule="exact"/>
        <w:ind w:firstLine="540"/>
        <w:rPr>
          <w:rStyle w:val="57"/>
          <w:color w:val="000000"/>
        </w:rPr>
      </w:pPr>
      <w:r>
        <w:rPr>
          <w:rFonts w:hint="eastAsia" w:ascii="宋体" w:hAnsi="宋体"/>
          <w:bCs/>
          <w:color w:val="000000"/>
          <w:sz w:val="24"/>
          <w:szCs w:val="24"/>
        </w:rPr>
        <w:t>3.方式：请有投标意向的供应商在招标文件有效获取期内及时至</w:t>
      </w:r>
      <w:r>
        <w:rPr>
          <w:rFonts w:ascii="宋体" w:hAnsi="宋体"/>
          <w:color w:val="000000"/>
          <w:sz w:val="24"/>
          <w:szCs w:val="24"/>
        </w:rPr>
        <w:t>“江苏省政府采购（苏采云）平台”获取</w:t>
      </w:r>
      <w:r>
        <w:rPr>
          <w:rFonts w:hint="eastAsia" w:ascii="宋体" w:hAnsi="宋体"/>
          <w:color w:val="000000"/>
          <w:sz w:val="24"/>
          <w:szCs w:val="24"/>
        </w:rPr>
        <w:t>。</w:t>
      </w:r>
      <w:r>
        <w:rPr>
          <w:rFonts w:hint="eastAsia" w:ascii="宋体" w:hAnsi="宋体"/>
          <w:bCs/>
          <w:color w:val="000000"/>
          <w:sz w:val="24"/>
          <w:szCs w:val="24"/>
        </w:rPr>
        <w:t>在招标文件有效获取期限内，从</w:t>
      </w:r>
      <w:r>
        <w:rPr>
          <w:rFonts w:ascii="宋体" w:hAnsi="宋体"/>
          <w:color w:val="000000"/>
          <w:sz w:val="24"/>
          <w:szCs w:val="24"/>
        </w:rPr>
        <w:t>“江苏省政府采购（苏采云）平台”获取的</w:t>
      </w:r>
      <w:r>
        <w:rPr>
          <w:rFonts w:hint="eastAsia" w:ascii="宋体" w:hAnsi="宋体"/>
          <w:bCs/>
          <w:color w:val="000000"/>
          <w:sz w:val="24"/>
          <w:szCs w:val="24"/>
        </w:rPr>
        <w:t>招标文件，视为依法获取的招标文件。</w:t>
      </w:r>
    </w:p>
    <w:p w14:paraId="60087EF6">
      <w:pPr>
        <w:spacing w:line="500" w:lineRule="exact"/>
        <w:ind w:firstLine="540"/>
        <w:rPr>
          <w:rFonts w:ascii="宋体" w:hAnsi="宋体"/>
          <w:bCs/>
          <w:color w:val="000000"/>
          <w:sz w:val="24"/>
          <w:szCs w:val="24"/>
        </w:rPr>
      </w:pPr>
      <w:r>
        <w:rPr>
          <w:rFonts w:hint="eastAsia" w:ascii="宋体" w:hAnsi="宋体"/>
          <w:bCs/>
          <w:color w:val="000000"/>
          <w:sz w:val="24"/>
          <w:szCs w:val="24"/>
        </w:rPr>
        <w:t>4.售价：本项目招标文件免费。</w:t>
      </w:r>
    </w:p>
    <w:p w14:paraId="2B779B63">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四、提交投标文件</w:t>
      </w:r>
      <w:bookmarkEnd w:id="22"/>
      <w:bookmarkEnd w:id="23"/>
      <w:r>
        <w:rPr>
          <w:rFonts w:hint="eastAsia"/>
          <w:color w:val="000000"/>
          <w:sz w:val="30"/>
          <w:szCs w:val="30"/>
          <w:lang w:eastAsia="zh-CN"/>
        </w:rPr>
        <w:t>截止时间、开标时间和地点</w:t>
      </w:r>
      <w:bookmarkEnd w:id="24"/>
      <w:bookmarkEnd w:id="25"/>
      <w:bookmarkEnd w:id="26"/>
    </w:p>
    <w:p w14:paraId="08DD3F18">
      <w:pPr>
        <w:spacing w:line="500" w:lineRule="exact"/>
        <w:ind w:firstLine="480"/>
        <w:rPr>
          <w:rFonts w:ascii="宋体" w:hAnsi="宋体"/>
          <w:bCs/>
          <w:color w:val="000000"/>
          <w:sz w:val="24"/>
          <w:szCs w:val="24"/>
        </w:rPr>
      </w:pPr>
      <w:r>
        <w:rPr>
          <w:rFonts w:hint="eastAsia" w:ascii="宋体" w:hAnsi="宋体"/>
          <w:bCs/>
          <w:color w:val="000000"/>
          <w:sz w:val="24"/>
          <w:szCs w:val="24"/>
        </w:rPr>
        <w:t>1.时间</w:t>
      </w:r>
      <w:r>
        <w:rPr>
          <w:rFonts w:hint="eastAsia" w:ascii="宋体" w:hAnsi="宋体"/>
          <w:bCs/>
          <w:color w:val="000000"/>
          <w:sz w:val="24"/>
          <w:szCs w:val="24"/>
          <w:highlight w:val="none"/>
        </w:rPr>
        <w:t>：2024年</w:t>
      </w:r>
      <w:r>
        <w:rPr>
          <w:rFonts w:hint="eastAsia" w:ascii="宋体" w:hAnsi="宋体"/>
          <w:bCs/>
          <w:color w:val="000000"/>
          <w:sz w:val="24"/>
          <w:szCs w:val="24"/>
          <w:highlight w:val="none"/>
          <w:lang w:val="en-US" w:eastAsia="zh-CN"/>
        </w:rPr>
        <w:t>11</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29</w:t>
      </w:r>
      <w:r>
        <w:rPr>
          <w:rFonts w:hint="eastAsia" w:ascii="宋体" w:hAnsi="宋体"/>
          <w:bCs/>
          <w:color w:val="000000"/>
          <w:sz w:val="24"/>
          <w:szCs w:val="24"/>
          <w:highlight w:val="none"/>
        </w:rPr>
        <w:t>日</w:t>
      </w:r>
      <w:r>
        <w:rPr>
          <w:rFonts w:hint="eastAsia" w:ascii="宋体" w:hAnsi="宋体"/>
          <w:bCs/>
          <w:color w:val="000000"/>
          <w:sz w:val="24"/>
          <w:szCs w:val="24"/>
          <w:highlight w:val="none"/>
          <w:lang w:val="en-US" w:eastAsia="zh-CN"/>
        </w:rPr>
        <w:t>9</w:t>
      </w:r>
      <w:r>
        <w:rPr>
          <w:rFonts w:hint="eastAsia" w:ascii="宋体" w:hAnsi="宋体"/>
          <w:bCs/>
          <w:color w:val="000000"/>
          <w:sz w:val="24"/>
          <w:szCs w:val="24"/>
          <w:highlight w:val="none"/>
        </w:rPr>
        <w:t>点</w:t>
      </w:r>
      <w:r>
        <w:rPr>
          <w:rFonts w:hint="eastAsia" w:ascii="宋体" w:hAnsi="宋体"/>
          <w:bCs/>
          <w:color w:val="000000"/>
          <w:sz w:val="24"/>
          <w:szCs w:val="24"/>
          <w:highlight w:val="none"/>
          <w:lang w:val="en-US" w:eastAsia="zh-CN"/>
        </w:rPr>
        <w:t>30</w:t>
      </w:r>
      <w:r>
        <w:rPr>
          <w:rFonts w:hint="eastAsia" w:ascii="宋体" w:hAnsi="宋体"/>
          <w:bCs/>
          <w:color w:val="000000"/>
          <w:sz w:val="24"/>
          <w:szCs w:val="24"/>
        </w:rPr>
        <w:t>分（北京时间）</w:t>
      </w:r>
    </w:p>
    <w:p w14:paraId="19309D33">
      <w:pPr>
        <w:spacing w:line="500" w:lineRule="exact"/>
        <w:ind w:firstLine="480"/>
        <w:rPr>
          <w:rFonts w:ascii="宋体" w:hAnsi="宋体"/>
          <w:bCs/>
          <w:color w:val="000000"/>
          <w:sz w:val="24"/>
          <w:szCs w:val="24"/>
          <w:u w:val="single"/>
        </w:rPr>
      </w:pPr>
      <w:r>
        <w:rPr>
          <w:rFonts w:hint="eastAsia" w:ascii="宋体" w:hAnsi="宋体"/>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网上开标大厅。</w:t>
      </w:r>
    </w:p>
    <w:p w14:paraId="0780BA43">
      <w:pPr>
        <w:pStyle w:val="4"/>
        <w:keepNext w:val="0"/>
        <w:keepLines w:val="0"/>
        <w:spacing w:before="0" w:after="0" w:line="500" w:lineRule="exact"/>
        <w:ind w:firstLine="452"/>
        <w:rPr>
          <w:color w:val="000000"/>
          <w:sz w:val="30"/>
          <w:szCs w:val="30"/>
          <w:lang w:eastAsia="zh-CN"/>
        </w:rPr>
      </w:pPr>
      <w:bookmarkStart w:id="27" w:name="_Toc28359007"/>
      <w:bookmarkStart w:id="28" w:name="_Toc35393794"/>
      <w:bookmarkStart w:id="29" w:name="_Toc35393625"/>
      <w:bookmarkStart w:id="30" w:name="_Toc38985267"/>
      <w:bookmarkStart w:id="31" w:name="_Toc28359084"/>
      <w:r>
        <w:rPr>
          <w:rFonts w:hint="eastAsia"/>
          <w:color w:val="000000"/>
          <w:sz w:val="30"/>
          <w:szCs w:val="30"/>
          <w:lang w:eastAsia="zh-CN"/>
        </w:rPr>
        <w:t>五、公告期限</w:t>
      </w:r>
      <w:bookmarkEnd w:id="27"/>
      <w:bookmarkEnd w:id="28"/>
      <w:bookmarkEnd w:id="29"/>
      <w:bookmarkEnd w:id="30"/>
      <w:bookmarkEnd w:id="31"/>
    </w:p>
    <w:p w14:paraId="5AD26EF5">
      <w:pPr>
        <w:spacing w:line="500" w:lineRule="exact"/>
        <w:ind w:firstLine="480"/>
        <w:rPr>
          <w:rFonts w:ascii="宋体" w:hAnsi="宋体" w:cs="宋体"/>
          <w:color w:val="000000"/>
          <w:sz w:val="24"/>
          <w:szCs w:val="24"/>
        </w:rPr>
      </w:pPr>
      <w:bookmarkStart w:id="32" w:name="_Toc35393626"/>
      <w:bookmarkStart w:id="33" w:name="_Toc38985268"/>
      <w:bookmarkStart w:id="34" w:name="_Toc35393795"/>
      <w:r>
        <w:rPr>
          <w:rFonts w:hint="eastAsia" w:ascii="宋体" w:hAnsi="宋体" w:cs="宋体"/>
          <w:color w:val="000000"/>
          <w:sz w:val="24"/>
          <w:szCs w:val="24"/>
        </w:rPr>
        <w:t>（招标公告及招标文件公告期限）自本公告发布之日起5个工作日。</w:t>
      </w:r>
    </w:p>
    <w:p w14:paraId="71D13AF7">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六、其他补充事宜</w:t>
      </w:r>
      <w:bookmarkEnd w:id="32"/>
      <w:bookmarkEnd w:id="33"/>
      <w:bookmarkEnd w:id="34"/>
    </w:p>
    <w:p w14:paraId="3012A948">
      <w:pPr>
        <w:spacing w:line="500" w:lineRule="exact"/>
        <w:ind w:firstLine="480"/>
        <w:rPr>
          <w:rFonts w:ascii="宋体" w:hAnsi="宋体" w:cs="宋体"/>
          <w:color w:val="000000"/>
          <w:sz w:val="24"/>
          <w:szCs w:val="24"/>
        </w:rPr>
      </w:pPr>
      <w:r>
        <w:rPr>
          <w:rFonts w:hint="eastAsia" w:ascii="宋体" w:hAnsi="宋体" w:cs="宋体"/>
          <w:color w:val="000000"/>
          <w:sz w:val="24"/>
          <w:szCs w:val="24"/>
        </w:rPr>
        <w:t>无</w:t>
      </w:r>
    </w:p>
    <w:p w14:paraId="097F6A56">
      <w:pPr>
        <w:pStyle w:val="4"/>
        <w:keepNext w:val="0"/>
        <w:keepLines w:val="0"/>
        <w:spacing w:before="0" w:after="0" w:line="500" w:lineRule="exact"/>
        <w:ind w:firstLine="452"/>
        <w:rPr>
          <w:color w:val="000000"/>
          <w:sz w:val="30"/>
          <w:szCs w:val="30"/>
          <w:lang w:eastAsia="zh-CN"/>
        </w:rPr>
      </w:pPr>
      <w:bookmarkStart w:id="35" w:name="_Toc38985269"/>
      <w:bookmarkStart w:id="36" w:name="_Toc35393796"/>
      <w:bookmarkStart w:id="37" w:name="_Toc28359085"/>
      <w:bookmarkStart w:id="38" w:name="_Toc35393627"/>
      <w:bookmarkStart w:id="39" w:name="_Toc28359008"/>
      <w:r>
        <w:rPr>
          <w:rFonts w:hint="eastAsia"/>
          <w:color w:val="000000"/>
          <w:sz w:val="30"/>
          <w:szCs w:val="30"/>
          <w:lang w:eastAsia="zh-CN"/>
        </w:rPr>
        <w:t>七、本项目联系方式</w:t>
      </w:r>
      <w:bookmarkEnd w:id="35"/>
      <w:bookmarkEnd w:id="36"/>
      <w:bookmarkEnd w:id="37"/>
      <w:bookmarkEnd w:id="38"/>
      <w:bookmarkEnd w:id="39"/>
    </w:p>
    <w:p w14:paraId="5D431520">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0BF3EB48">
      <w:pPr>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名    称：</w:t>
      </w:r>
      <w:r>
        <w:rPr>
          <w:rFonts w:hint="eastAsia" w:ascii="宋体" w:hAnsi="宋体" w:cs="宋体"/>
          <w:color w:val="000000"/>
          <w:sz w:val="24"/>
          <w:szCs w:val="24"/>
          <w:lang w:eastAsia="zh-CN"/>
        </w:rPr>
        <w:t>无锡学院</w:t>
      </w:r>
    </w:p>
    <w:p w14:paraId="34F83B49">
      <w:pPr>
        <w:spacing w:line="500" w:lineRule="exact"/>
        <w:ind w:firstLine="480"/>
        <w:rPr>
          <w:rFonts w:hint="eastAsia" w:ascii="宋体" w:hAnsi="宋体" w:cs="宋体"/>
          <w:color w:val="000000"/>
          <w:sz w:val="24"/>
          <w:szCs w:val="24"/>
          <w:lang w:eastAsia="zh-CN"/>
        </w:rPr>
      </w:pPr>
      <w:r>
        <w:rPr>
          <w:rFonts w:hint="eastAsia" w:ascii="宋体" w:hAnsi="宋体" w:cs="宋体"/>
          <w:color w:val="000000"/>
          <w:sz w:val="24"/>
          <w:szCs w:val="24"/>
        </w:rPr>
        <w:t>地    址：</w:t>
      </w:r>
      <w:r>
        <w:rPr>
          <w:rFonts w:hint="eastAsia" w:ascii="宋体" w:hAnsi="宋体" w:cs="宋体"/>
          <w:color w:val="000000"/>
          <w:sz w:val="24"/>
          <w:szCs w:val="24"/>
          <w:lang w:val="en-US" w:eastAsia="zh-CN"/>
        </w:rPr>
        <w:t>无锡市锡山区锡山大道333号</w:t>
      </w:r>
    </w:p>
    <w:p w14:paraId="75ED60B7">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w:t>
      </w:r>
      <w:bookmarkStart w:id="40" w:name="_Toc28359086"/>
      <w:bookmarkStart w:id="41" w:name="_Toc28359009"/>
      <w:r>
        <w:rPr>
          <w:rFonts w:hint="eastAsia" w:ascii="宋体" w:hAnsi="宋体" w:cs="宋体"/>
          <w:color w:val="000000"/>
          <w:sz w:val="24"/>
          <w:szCs w:val="24"/>
        </w:rPr>
        <w:t>见“项目联系方式”</w:t>
      </w:r>
    </w:p>
    <w:p w14:paraId="7C3715BC">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6D64A6BF">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称：无锡市教育信息化和装备管理服务中心</w:t>
      </w:r>
    </w:p>
    <w:p w14:paraId="448E8C73">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址：无锡市学前街2</w:t>
      </w:r>
      <w:r>
        <w:rPr>
          <w:rFonts w:ascii="宋体" w:hAnsi="宋体" w:cs="宋体"/>
          <w:color w:val="000000"/>
          <w:sz w:val="24"/>
          <w:szCs w:val="24"/>
        </w:rPr>
        <w:t>7</w:t>
      </w:r>
      <w:r>
        <w:rPr>
          <w:rFonts w:hint="eastAsia" w:ascii="宋体" w:hAnsi="宋体" w:cs="宋体"/>
          <w:color w:val="000000"/>
          <w:sz w:val="24"/>
          <w:szCs w:val="24"/>
        </w:rPr>
        <w:t>号4楼</w:t>
      </w:r>
    </w:p>
    <w:p w14:paraId="4EA1E4F7">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联系方式：见“项目联系方式”</w:t>
      </w:r>
    </w:p>
    <w:p w14:paraId="2C6EB7B4">
      <w:pPr>
        <w:spacing w:line="500" w:lineRule="exact"/>
        <w:ind w:firstLine="480"/>
        <w:rPr>
          <w:rFonts w:ascii="宋体" w:hAnsi="宋体" w:cs="宋体"/>
          <w:color w:val="000000"/>
          <w:sz w:val="24"/>
          <w:szCs w:val="24"/>
        </w:rPr>
      </w:pPr>
      <w:r>
        <w:rPr>
          <w:rFonts w:hint="eastAsia" w:ascii="宋体" w:hAnsi="宋体" w:cs="宋体"/>
          <w:color w:val="000000"/>
          <w:sz w:val="24"/>
          <w:szCs w:val="24"/>
        </w:rPr>
        <w:t>3.项目联系方式</w:t>
      </w:r>
    </w:p>
    <w:p w14:paraId="55519088">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采购人项目咨询联系人：</w:t>
      </w:r>
      <w:r>
        <w:rPr>
          <w:rFonts w:hint="eastAsia" w:ascii="宋体" w:hAnsi="宋体" w:cs="宋体"/>
          <w:color w:val="000000"/>
          <w:sz w:val="24"/>
          <w:szCs w:val="24"/>
          <w:lang w:val="en-US" w:eastAsia="zh-CN"/>
        </w:rPr>
        <w:t>张冲</w:t>
      </w:r>
      <w:r>
        <w:rPr>
          <w:rFonts w:hint="eastAsia" w:ascii="宋体" w:hAnsi="宋体" w:cs="宋体"/>
          <w:color w:val="000000"/>
          <w:sz w:val="24"/>
          <w:szCs w:val="24"/>
        </w:rPr>
        <w:t>；电话：</w:t>
      </w:r>
      <w:r>
        <w:rPr>
          <w:rFonts w:hint="eastAsia" w:ascii="宋体" w:hAnsi="宋体" w:cs="宋体"/>
          <w:color w:val="000000"/>
          <w:sz w:val="24"/>
          <w:szCs w:val="24"/>
          <w:lang w:val="en-US" w:eastAsia="zh-CN"/>
        </w:rPr>
        <w:t>0510-80560098</w:t>
      </w:r>
    </w:p>
    <w:p w14:paraId="2800C7E1">
      <w:pPr>
        <w:spacing w:line="500" w:lineRule="exact"/>
        <w:ind w:firstLine="480"/>
        <w:rPr>
          <w:rFonts w:ascii="宋体" w:hAnsi="宋体" w:cs="宋体"/>
          <w:color w:val="000000"/>
          <w:sz w:val="24"/>
          <w:szCs w:val="24"/>
        </w:rPr>
      </w:pPr>
      <w:r>
        <w:rPr>
          <w:rFonts w:hint="eastAsia" w:ascii="宋体" w:hAnsi="宋体" w:cs="宋体"/>
          <w:color w:val="000000"/>
          <w:sz w:val="24"/>
          <w:szCs w:val="24"/>
        </w:rPr>
        <w:t>采购人质疑受理联系人：</w:t>
      </w:r>
      <w:r>
        <w:rPr>
          <w:rFonts w:hint="eastAsia" w:ascii="宋体" w:hAnsi="宋体" w:cs="宋体"/>
          <w:color w:val="000000"/>
          <w:sz w:val="24"/>
          <w:szCs w:val="24"/>
          <w:lang w:val="en-US" w:eastAsia="zh-CN"/>
        </w:rPr>
        <w:t>张冲</w:t>
      </w:r>
      <w:r>
        <w:rPr>
          <w:rFonts w:hint="eastAsia" w:ascii="宋体" w:hAnsi="宋体" w:cs="宋体"/>
          <w:color w:val="000000"/>
          <w:sz w:val="24"/>
          <w:szCs w:val="24"/>
        </w:rPr>
        <w:t>；电话：</w:t>
      </w:r>
      <w:r>
        <w:rPr>
          <w:rFonts w:hint="eastAsia" w:ascii="宋体" w:hAnsi="宋体" w:cs="宋体"/>
          <w:color w:val="000000"/>
          <w:sz w:val="24"/>
          <w:szCs w:val="24"/>
          <w:lang w:val="en-US" w:eastAsia="zh-CN"/>
        </w:rPr>
        <w:t>0510-80560098</w:t>
      </w:r>
    </w:p>
    <w:p w14:paraId="1D736789">
      <w:pPr>
        <w:spacing w:line="500" w:lineRule="exact"/>
        <w:ind w:firstLine="480"/>
        <w:rPr>
          <w:rFonts w:ascii="宋体" w:hAnsi="宋体" w:cs="宋体"/>
          <w:color w:val="000000"/>
          <w:sz w:val="24"/>
          <w:szCs w:val="24"/>
        </w:rPr>
      </w:pPr>
      <w:r>
        <w:rPr>
          <w:rFonts w:hint="eastAsia" w:ascii="宋体" w:hAnsi="宋体" w:cs="宋体"/>
          <w:color w:val="000000"/>
          <w:sz w:val="24"/>
          <w:szCs w:val="24"/>
        </w:rPr>
        <w:t>无锡市教育信息化和装备管理服务中心项目联系人：陈旻晔；电话：0510-</w:t>
      </w:r>
      <w:r>
        <w:rPr>
          <w:rFonts w:ascii="宋体" w:hAnsi="宋体" w:cs="宋体"/>
          <w:color w:val="000000"/>
          <w:sz w:val="24"/>
          <w:szCs w:val="24"/>
        </w:rPr>
        <w:t>82730672</w:t>
      </w:r>
    </w:p>
    <w:p w14:paraId="6621E8C5">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八、其他</w:t>
      </w:r>
    </w:p>
    <w:p w14:paraId="03B2FE83">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41D42752">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35CAF646">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2DC0E65C">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2A61A4FC">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6DC6EB23">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w:t>
      </w:r>
      <w:r>
        <w:rPr>
          <w:rFonts w:hint="eastAsia" w:ascii="宋体" w:hAnsi="宋体"/>
          <w:color w:val="000000"/>
          <w:sz w:val="24"/>
          <w:szCs w:val="24"/>
        </w:rPr>
        <w:t>登录</w:t>
      </w:r>
      <w:r>
        <w:rPr>
          <w:rFonts w:ascii="宋体" w:hAnsi="宋体"/>
          <w:color w:val="000000"/>
          <w:sz w:val="24"/>
          <w:szCs w:val="24"/>
        </w:rPr>
        <w:t>页面，点击“驱动下载”链接中的“政务CA、方正签章控件驱动安装包及安装说明”可以直接下载驱动安装包，安装包中附有驱动安装手册。</w:t>
      </w:r>
    </w:p>
    <w:p w14:paraId="2893BD25">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4B81FA47">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4C0CCFF5">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0A5813D7">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“苏采云”系统供应商操作手册</w:t>
      </w:r>
      <w:r>
        <w:rPr>
          <w:rFonts w:hint="eastAsia" w:ascii="宋体" w:hAnsi="宋体"/>
          <w:color w:val="000000"/>
          <w:sz w:val="24"/>
          <w:szCs w:val="24"/>
        </w:rPr>
        <w:fldChar w:fldCharType="end"/>
      </w:r>
      <w:r>
        <w:rPr>
          <w:rFonts w:hint="eastAsia" w:ascii="宋体" w:hAnsi="宋体"/>
          <w:color w:val="000000"/>
          <w:sz w:val="24"/>
          <w:szCs w:val="24"/>
        </w:rPr>
        <w:t>。</w:t>
      </w:r>
    </w:p>
    <w:p w14:paraId="288D3E29">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4BF4DEA9">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516292AF">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4ECADB50">
      <w:pPr>
        <w:tabs>
          <w:tab w:val="left" w:pos="900"/>
        </w:tabs>
        <w:spacing w:line="500" w:lineRule="exact"/>
        <w:ind w:firstLine="480"/>
        <w:rPr>
          <w:rFonts w:ascii="宋体" w:hAnsi="宋体"/>
          <w:bCs/>
          <w:color w:val="000000"/>
          <w:sz w:val="24"/>
          <w:szCs w:val="24"/>
        </w:rPr>
      </w:pPr>
      <w:r>
        <w:rPr>
          <w:rFonts w:hint="eastAsia" w:ascii="宋体" w:hAnsi="宋体"/>
          <w:bCs/>
          <w:color w:val="000000"/>
          <w:sz w:val="24"/>
          <w:szCs w:val="24"/>
        </w:rPr>
        <w:t>（三）有关本次采购的事项若存在变动或修改，敬请及时关注无锡市教育信息化和装备管理服务中心在“无锡政府采购网”“江苏政府采购网”发布的更正公告。</w:t>
      </w:r>
    </w:p>
    <w:p w14:paraId="22697FCF">
      <w:pPr>
        <w:tabs>
          <w:tab w:val="left" w:pos="900"/>
        </w:tabs>
        <w:spacing w:line="500" w:lineRule="exact"/>
        <w:ind w:firstLine="480"/>
        <w:rPr>
          <w:rFonts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03623BB2">
      <w:pPr>
        <w:tabs>
          <w:tab w:val="left" w:pos="1440"/>
        </w:tabs>
        <w:spacing w:line="500" w:lineRule="exact"/>
        <w:jc w:val="center"/>
        <w:outlineLvl w:val="0"/>
        <w:rPr>
          <w:rFonts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16938518"/>
      <w:bookmarkStart w:id="44" w:name="_Toc513029202"/>
      <w:bookmarkStart w:id="45" w:name="_Toc120614213"/>
      <w:bookmarkStart w:id="46" w:name="_Toc20823274"/>
      <w:r>
        <w:rPr>
          <w:rFonts w:hint="eastAsia" w:ascii="黑体" w:hAnsi="黑体" w:eastAsia="黑体"/>
          <w:color w:val="000000"/>
          <w:sz w:val="36"/>
          <w:szCs w:val="36"/>
        </w:rPr>
        <w:t>投标人须知</w:t>
      </w:r>
      <w:bookmarkEnd w:id="43"/>
      <w:bookmarkEnd w:id="44"/>
      <w:bookmarkEnd w:id="45"/>
      <w:bookmarkEnd w:id="46"/>
    </w:p>
    <w:p w14:paraId="35E64E24">
      <w:pPr>
        <w:pStyle w:val="4"/>
        <w:keepNext w:val="0"/>
        <w:keepLines w:val="0"/>
        <w:spacing w:before="0" w:after="0" w:line="500" w:lineRule="exact"/>
        <w:ind w:firstLine="452"/>
        <w:rPr>
          <w:color w:val="000000"/>
          <w:sz w:val="30"/>
          <w:szCs w:val="30"/>
          <w:lang w:eastAsia="zh-CN"/>
        </w:rPr>
      </w:pPr>
      <w:bookmarkStart w:id="47" w:name="_Toc120614214"/>
      <w:bookmarkStart w:id="48" w:name="_Toc16938519"/>
      <w:bookmarkStart w:id="49" w:name="_Toc20823275"/>
      <w:bookmarkStart w:id="50" w:name="_Toc513029203"/>
      <w:r>
        <w:rPr>
          <w:rFonts w:hint="eastAsia"/>
          <w:color w:val="000000"/>
          <w:sz w:val="30"/>
          <w:szCs w:val="30"/>
          <w:lang w:eastAsia="zh-CN"/>
        </w:rPr>
        <w:t>一、总则</w:t>
      </w:r>
      <w:bookmarkEnd w:id="47"/>
      <w:bookmarkEnd w:id="48"/>
      <w:bookmarkEnd w:id="49"/>
      <w:bookmarkEnd w:id="50"/>
    </w:p>
    <w:p w14:paraId="559B38A6">
      <w:pPr>
        <w:pStyle w:val="6"/>
        <w:keepNext w:val="0"/>
        <w:keepLines w:val="0"/>
        <w:spacing w:before="0" w:after="0" w:line="500" w:lineRule="exact"/>
        <w:ind w:firstLine="422"/>
        <w:rPr>
          <w:rFonts w:ascii="宋体" w:hAnsi="宋体" w:eastAsia="宋体"/>
          <w:bCs w:val="0"/>
          <w:color w:val="000000"/>
          <w:lang w:eastAsia="zh-CN"/>
        </w:rPr>
      </w:pPr>
      <w:bookmarkStart w:id="51" w:name="_Hlt16619475"/>
      <w:bookmarkEnd w:id="51"/>
      <w:bookmarkStart w:id="52" w:name="_Toc16938520"/>
      <w:bookmarkStart w:id="53" w:name="_Toc20823276"/>
      <w:bookmarkStart w:id="54" w:name="_Toc513029204"/>
      <w:r>
        <w:rPr>
          <w:rFonts w:hint="eastAsia" w:ascii="宋体" w:hAnsi="宋体" w:eastAsia="宋体"/>
          <w:bCs w:val="0"/>
          <w:color w:val="000000"/>
          <w:lang w:eastAsia="zh-CN"/>
        </w:rPr>
        <w:t>1.招标方式</w:t>
      </w:r>
      <w:bookmarkEnd w:id="52"/>
      <w:bookmarkEnd w:id="53"/>
      <w:bookmarkEnd w:id="54"/>
    </w:p>
    <w:p w14:paraId="39691E6E">
      <w:pPr>
        <w:spacing w:line="500" w:lineRule="exact"/>
        <w:ind w:firstLine="480"/>
        <w:rPr>
          <w:rFonts w:ascii="宋体" w:hAnsi="宋体"/>
          <w:color w:val="000000"/>
          <w:sz w:val="24"/>
        </w:rPr>
      </w:pPr>
      <w:r>
        <w:rPr>
          <w:rFonts w:hint="eastAsia" w:ascii="宋体" w:hAnsi="宋体"/>
          <w:color w:val="000000"/>
          <w:sz w:val="24"/>
        </w:rPr>
        <w:t>1.1本次招标采取公开招标方式，本招标文件仅适用于招标公告中所述项目。</w:t>
      </w:r>
    </w:p>
    <w:p w14:paraId="1AE9223C">
      <w:pPr>
        <w:pStyle w:val="6"/>
        <w:keepNext w:val="0"/>
        <w:keepLines w:val="0"/>
        <w:spacing w:before="0" w:after="0" w:line="500" w:lineRule="exact"/>
        <w:ind w:firstLine="422"/>
        <w:rPr>
          <w:rFonts w:ascii="宋体" w:hAnsi="宋体" w:eastAsia="宋体"/>
          <w:bCs w:val="0"/>
          <w:color w:val="000000"/>
          <w:lang w:eastAsia="zh-CN"/>
        </w:rPr>
      </w:pPr>
      <w:bookmarkStart w:id="55" w:name="_Toc16938521"/>
      <w:bookmarkStart w:id="56" w:name="_Toc20823277"/>
      <w:bookmarkStart w:id="57" w:name="_Toc513029205"/>
      <w:r>
        <w:rPr>
          <w:rFonts w:hint="eastAsia" w:ascii="宋体" w:hAnsi="宋体" w:eastAsia="宋体"/>
          <w:bCs w:val="0"/>
          <w:color w:val="000000"/>
          <w:lang w:eastAsia="zh-CN"/>
        </w:rPr>
        <w:t>2.</w:t>
      </w:r>
      <w:bookmarkEnd w:id="55"/>
      <w:bookmarkEnd w:id="56"/>
      <w:bookmarkEnd w:id="57"/>
      <w:r>
        <w:rPr>
          <w:rFonts w:hint="eastAsia" w:ascii="宋体" w:hAnsi="宋体" w:eastAsia="宋体"/>
          <w:bCs w:val="0"/>
          <w:color w:val="000000"/>
          <w:lang w:eastAsia="zh-CN"/>
        </w:rPr>
        <w:t>采购人、采购代理机构、投标人、联合体</w:t>
      </w:r>
    </w:p>
    <w:p w14:paraId="146DB68C">
      <w:pPr>
        <w:spacing w:line="500" w:lineRule="exact"/>
        <w:ind w:firstLine="480"/>
        <w:rPr>
          <w:rFonts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2883FC81">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7196E3AA">
      <w:pPr>
        <w:spacing w:line="500" w:lineRule="exact"/>
        <w:ind w:firstLine="480"/>
        <w:rPr>
          <w:rFonts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F151C6E">
      <w:pPr>
        <w:pStyle w:val="6"/>
        <w:keepNext w:val="0"/>
        <w:keepLines w:val="0"/>
        <w:spacing w:before="0" w:after="0" w:line="500" w:lineRule="exact"/>
        <w:ind w:firstLine="422"/>
        <w:rPr>
          <w:rFonts w:ascii="宋体" w:hAnsi="宋体" w:eastAsia="宋体"/>
          <w:bCs w:val="0"/>
          <w:color w:val="000000"/>
          <w:lang w:eastAsia="zh-CN"/>
        </w:rPr>
      </w:pPr>
      <w:bookmarkStart w:id="58" w:name="_Toc20823278"/>
      <w:bookmarkStart w:id="59" w:name="_Toc16938522"/>
      <w:bookmarkStart w:id="60" w:name="_Toc513029206"/>
      <w:r>
        <w:rPr>
          <w:rFonts w:hint="eastAsia" w:ascii="宋体" w:hAnsi="宋体" w:eastAsia="宋体"/>
          <w:bCs w:val="0"/>
          <w:color w:val="000000"/>
          <w:lang w:eastAsia="zh-CN"/>
        </w:rPr>
        <w:t>3.适用法律</w:t>
      </w:r>
      <w:bookmarkEnd w:id="58"/>
      <w:bookmarkEnd w:id="59"/>
      <w:bookmarkEnd w:id="60"/>
    </w:p>
    <w:p w14:paraId="56E5002E">
      <w:pPr>
        <w:spacing w:line="500" w:lineRule="exact"/>
        <w:ind w:firstLine="480"/>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446CC09E">
      <w:pPr>
        <w:pStyle w:val="6"/>
        <w:keepNext w:val="0"/>
        <w:keepLines w:val="0"/>
        <w:spacing w:before="0" w:after="0" w:line="500" w:lineRule="exact"/>
        <w:ind w:firstLine="422"/>
        <w:rPr>
          <w:rFonts w:ascii="宋体" w:hAnsi="宋体" w:eastAsia="宋体"/>
          <w:bCs w:val="0"/>
          <w:color w:val="000000"/>
          <w:lang w:eastAsia="zh-CN"/>
        </w:rPr>
      </w:pPr>
      <w:bookmarkStart w:id="61" w:name="_Toc20823279"/>
      <w:bookmarkStart w:id="62" w:name="_Toc16938523"/>
      <w:bookmarkStart w:id="63" w:name="_Toc513029207"/>
      <w:bookmarkStart w:id="64" w:name="_Toc462564067"/>
      <w:r>
        <w:rPr>
          <w:rFonts w:hint="eastAsia" w:ascii="宋体" w:hAnsi="宋体" w:eastAsia="宋体"/>
          <w:bCs w:val="0"/>
          <w:color w:val="000000"/>
          <w:lang w:eastAsia="zh-CN"/>
        </w:rPr>
        <w:t>4.投标费用</w:t>
      </w:r>
      <w:bookmarkEnd w:id="61"/>
      <w:bookmarkEnd w:id="62"/>
      <w:bookmarkEnd w:id="63"/>
      <w:bookmarkEnd w:id="64"/>
    </w:p>
    <w:p w14:paraId="515CCE56">
      <w:pPr>
        <w:spacing w:line="500" w:lineRule="exact"/>
        <w:ind w:firstLine="480"/>
        <w:rPr>
          <w:rFonts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p>
    <w:p w14:paraId="63EA029C">
      <w:pPr>
        <w:spacing w:line="500" w:lineRule="exact"/>
        <w:ind w:firstLine="480"/>
        <w:rPr>
          <w:rFonts w:ascii="宋体" w:hAnsi="宋体"/>
          <w:color w:val="000000"/>
          <w:sz w:val="24"/>
        </w:rPr>
      </w:pPr>
      <w:r>
        <w:rPr>
          <w:rFonts w:hint="eastAsia" w:ascii="宋体" w:hAnsi="宋体"/>
          <w:color w:val="000000"/>
          <w:sz w:val="24"/>
        </w:rPr>
        <w:t>4.2本次招标标书工本费、中标服务费、招标文件均免费。</w:t>
      </w:r>
    </w:p>
    <w:p w14:paraId="721C2272">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5.招标文件的约束力</w:t>
      </w:r>
    </w:p>
    <w:p w14:paraId="386FF544">
      <w:pPr>
        <w:spacing w:line="50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4FC76D8C">
      <w:pPr>
        <w:pStyle w:val="4"/>
        <w:keepNext w:val="0"/>
        <w:keepLines w:val="0"/>
        <w:spacing w:before="0" w:after="0" w:line="500" w:lineRule="exact"/>
        <w:ind w:firstLine="452"/>
        <w:rPr>
          <w:color w:val="000000"/>
          <w:sz w:val="30"/>
          <w:szCs w:val="30"/>
          <w:lang w:eastAsia="zh-CN"/>
        </w:rPr>
      </w:pPr>
      <w:bookmarkStart w:id="65" w:name="_Toc120614215"/>
      <w:bookmarkStart w:id="66" w:name="_Toc16938525"/>
      <w:bookmarkStart w:id="67" w:name="_Toc20823281"/>
      <w:bookmarkStart w:id="68" w:name="_Toc513029209"/>
      <w:r>
        <w:rPr>
          <w:rFonts w:hint="eastAsia"/>
          <w:color w:val="000000"/>
          <w:sz w:val="30"/>
          <w:szCs w:val="30"/>
          <w:lang w:eastAsia="zh-CN"/>
        </w:rPr>
        <w:t>二、招标文件</w:t>
      </w:r>
      <w:bookmarkEnd w:id="65"/>
      <w:bookmarkEnd w:id="66"/>
      <w:bookmarkEnd w:id="67"/>
      <w:bookmarkEnd w:id="68"/>
    </w:p>
    <w:p w14:paraId="5F040FE0">
      <w:pPr>
        <w:pStyle w:val="6"/>
        <w:keepNext w:val="0"/>
        <w:keepLines w:val="0"/>
        <w:spacing w:before="0" w:after="0" w:line="500" w:lineRule="exact"/>
        <w:ind w:firstLine="422"/>
        <w:rPr>
          <w:rFonts w:ascii="宋体" w:hAnsi="宋体" w:eastAsia="宋体"/>
          <w:bCs w:val="0"/>
          <w:color w:val="000000"/>
          <w:lang w:eastAsia="zh-CN"/>
        </w:rPr>
      </w:pPr>
      <w:bookmarkStart w:id="69" w:name="_Toc513029210"/>
      <w:bookmarkStart w:id="70" w:name="_Toc16938526"/>
      <w:bookmarkStart w:id="71" w:name="_Toc20823282"/>
      <w:r>
        <w:rPr>
          <w:rFonts w:hint="eastAsia" w:ascii="宋体" w:hAnsi="宋体" w:eastAsia="宋体"/>
          <w:bCs w:val="0"/>
          <w:color w:val="000000"/>
          <w:lang w:eastAsia="zh-CN"/>
        </w:rPr>
        <w:t>6.招标文件构成</w:t>
      </w:r>
      <w:bookmarkEnd w:id="69"/>
      <w:bookmarkEnd w:id="70"/>
      <w:bookmarkEnd w:id="71"/>
    </w:p>
    <w:p w14:paraId="368AB683">
      <w:pPr>
        <w:spacing w:line="500" w:lineRule="exact"/>
        <w:ind w:firstLine="480"/>
        <w:rPr>
          <w:rFonts w:ascii="宋体" w:hAnsi="宋体"/>
          <w:color w:val="000000"/>
          <w:sz w:val="24"/>
        </w:rPr>
      </w:pPr>
      <w:r>
        <w:rPr>
          <w:rFonts w:hint="eastAsia" w:ascii="宋体" w:hAnsi="宋体"/>
          <w:bCs/>
          <w:color w:val="000000"/>
          <w:sz w:val="24"/>
        </w:rPr>
        <w:t>6.1</w:t>
      </w:r>
      <w:r>
        <w:rPr>
          <w:rFonts w:hint="eastAsia" w:ascii="宋体" w:hAnsi="宋体"/>
          <w:color w:val="000000"/>
          <w:sz w:val="24"/>
        </w:rPr>
        <w:t>招标文件由以下部分组成：</w:t>
      </w:r>
    </w:p>
    <w:p w14:paraId="174AE8AC">
      <w:pPr>
        <w:spacing w:line="500" w:lineRule="exact"/>
        <w:ind w:firstLine="48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292CA82">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1C89159F">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5445C5C1">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67B1AD3B">
      <w:pPr>
        <w:spacing w:line="500" w:lineRule="exact"/>
        <w:ind w:firstLine="480"/>
        <w:rPr>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4E73B23C">
      <w:pPr>
        <w:spacing w:line="500" w:lineRule="exact"/>
        <w:ind w:firstLine="480"/>
        <w:rPr>
          <w:rFonts w:ascii="宋体" w:hAnsi="宋体"/>
          <w:color w:val="000000"/>
          <w:sz w:val="24"/>
          <w:szCs w:val="24"/>
        </w:rPr>
      </w:pPr>
      <w:r>
        <w:rPr>
          <w:rFonts w:hint="eastAsia" w:ascii="宋体" w:hAnsi="宋体"/>
          <w:color w:val="000000"/>
          <w:sz w:val="24"/>
          <w:szCs w:val="24"/>
        </w:rPr>
        <w:t>（6）投标文件内容与格式</w:t>
      </w:r>
    </w:p>
    <w:p w14:paraId="6C4AA478">
      <w:pPr>
        <w:spacing w:line="500" w:lineRule="exact"/>
        <w:ind w:firstLine="480"/>
        <w:rPr>
          <w:rFonts w:ascii="宋体" w:hAnsi="宋体"/>
          <w:color w:val="000000"/>
          <w:sz w:val="24"/>
        </w:rPr>
      </w:pPr>
      <w:r>
        <w:rPr>
          <w:rFonts w:hint="eastAsia" w:ascii="宋体" w:hAnsi="宋体"/>
          <w:color w:val="000000"/>
          <w:sz w:val="24"/>
        </w:rPr>
        <w:t>请仔细检查招标文件是否齐全，如有缺漏请立即与无锡市教育信息化和装备管理服务中心联系解决。</w:t>
      </w:r>
    </w:p>
    <w:p w14:paraId="03CA9D53">
      <w:pPr>
        <w:spacing w:line="500" w:lineRule="exact"/>
        <w:ind w:firstLine="480"/>
        <w:rPr>
          <w:rFonts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81353AE">
      <w:pPr>
        <w:pStyle w:val="6"/>
        <w:keepNext w:val="0"/>
        <w:keepLines w:val="0"/>
        <w:spacing w:before="0" w:after="0" w:line="500" w:lineRule="exact"/>
        <w:ind w:firstLine="422"/>
        <w:rPr>
          <w:rFonts w:ascii="宋体" w:hAnsi="宋体" w:eastAsia="宋体"/>
          <w:bCs w:val="0"/>
          <w:color w:val="000000"/>
          <w:lang w:eastAsia="zh-CN"/>
        </w:rPr>
      </w:pPr>
      <w:bookmarkStart w:id="72" w:name="_Toc462564070"/>
      <w:bookmarkStart w:id="73" w:name="_Toc20823283"/>
      <w:bookmarkStart w:id="74" w:name="_Toc16938527"/>
      <w:bookmarkStart w:id="75" w:name="_Toc513029211"/>
      <w:r>
        <w:rPr>
          <w:rFonts w:hint="eastAsia" w:ascii="宋体" w:hAnsi="宋体" w:eastAsia="宋体"/>
          <w:bCs w:val="0"/>
          <w:color w:val="000000"/>
          <w:lang w:eastAsia="zh-CN"/>
        </w:rPr>
        <w:t>7.招标文件的澄清</w:t>
      </w:r>
      <w:bookmarkEnd w:id="72"/>
      <w:bookmarkEnd w:id="73"/>
      <w:bookmarkEnd w:id="74"/>
      <w:bookmarkEnd w:id="75"/>
    </w:p>
    <w:p w14:paraId="51B6CDF5">
      <w:pPr>
        <w:spacing w:line="500" w:lineRule="exact"/>
        <w:ind w:firstLine="480"/>
        <w:rPr>
          <w:rFonts w:ascii="宋体" w:hAnsi="宋体"/>
          <w:bCs/>
          <w:color w:val="000000"/>
          <w:sz w:val="24"/>
        </w:rPr>
      </w:pPr>
      <w:r>
        <w:rPr>
          <w:rFonts w:hint="eastAsia" w:ascii="宋体" w:hAnsi="宋体"/>
          <w:bCs/>
          <w:color w:val="000000"/>
          <w:sz w:val="24"/>
        </w:rPr>
        <w:t>7.1本项目不召开开标前答疑会，投标人如有需要对招标文件要求澄清的问题，应在投标截止期至少十五日前按招标公告或招标文件中的通讯地址，参照本章下述28.4条款的规定向采购人或无锡市教育信息化和装备管理服务中心以书面形式提出。</w:t>
      </w:r>
    </w:p>
    <w:p w14:paraId="4B4A4D8E">
      <w:pPr>
        <w:pStyle w:val="6"/>
        <w:keepNext w:val="0"/>
        <w:keepLines w:val="0"/>
        <w:spacing w:before="0" w:after="0" w:line="500" w:lineRule="exact"/>
        <w:ind w:firstLine="422"/>
        <w:rPr>
          <w:rFonts w:ascii="宋体" w:hAnsi="宋体" w:eastAsia="宋体"/>
          <w:bCs w:val="0"/>
          <w:color w:val="000000"/>
          <w:lang w:eastAsia="zh-CN"/>
        </w:rPr>
      </w:pPr>
      <w:bookmarkStart w:id="76" w:name="_Toc16938528"/>
      <w:bookmarkStart w:id="77" w:name="_Toc513029212"/>
      <w:bookmarkStart w:id="78" w:name="_Toc20823284"/>
      <w:bookmarkStart w:id="79" w:name="_Toc462564071"/>
      <w:r>
        <w:rPr>
          <w:rFonts w:hint="eastAsia" w:ascii="宋体" w:hAnsi="宋体" w:eastAsia="宋体"/>
          <w:bCs w:val="0"/>
          <w:color w:val="000000"/>
          <w:lang w:eastAsia="zh-CN"/>
        </w:rPr>
        <w:t>8.招标文件的修改</w:t>
      </w:r>
      <w:bookmarkEnd w:id="76"/>
      <w:bookmarkEnd w:id="77"/>
      <w:bookmarkEnd w:id="78"/>
      <w:bookmarkEnd w:id="79"/>
    </w:p>
    <w:p w14:paraId="337CD53E">
      <w:pPr>
        <w:spacing w:line="500" w:lineRule="exact"/>
        <w:ind w:firstLine="480"/>
        <w:rPr>
          <w:rFonts w:ascii="宋体" w:hAnsi="宋体"/>
          <w:bCs/>
          <w:color w:val="000000"/>
          <w:sz w:val="24"/>
          <w:szCs w:val="24"/>
        </w:rPr>
      </w:pPr>
      <w:r>
        <w:rPr>
          <w:rFonts w:hint="eastAsia" w:ascii="宋体" w:hAnsi="宋体"/>
          <w:bCs/>
          <w:color w:val="000000"/>
          <w:sz w:val="24"/>
          <w:szCs w:val="24"/>
        </w:rPr>
        <w:t>8.1无锡市教育信息化和装备管理服务中心可在投标截止时间十五日前对招标文件进行必要的澄清或者修改，不足十五日的，将顺延提交投标文件的截止时间和开标日期。</w:t>
      </w:r>
    </w:p>
    <w:p w14:paraId="636545C0">
      <w:pPr>
        <w:spacing w:line="500" w:lineRule="exact"/>
        <w:ind w:firstLine="480"/>
        <w:rPr>
          <w:rFonts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无锡市教育信息化和装备管理服务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4F651DEA">
      <w:pPr>
        <w:pStyle w:val="4"/>
        <w:keepNext w:val="0"/>
        <w:keepLines w:val="0"/>
        <w:spacing w:before="0" w:after="0" w:line="500" w:lineRule="exact"/>
        <w:ind w:firstLine="452"/>
        <w:rPr>
          <w:color w:val="000000"/>
          <w:sz w:val="30"/>
          <w:szCs w:val="30"/>
          <w:lang w:eastAsia="zh-CN"/>
        </w:rPr>
      </w:pPr>
      <w:bookmarkStart w:id="80" w:name="_Toc462564072"/>
      <w:bookmarkStart w:id="81" w:name="_Toc20823285"/>
      <w:bookmarkStart w:id="82" w:name="_Toc513029213"/>
      <w:bookmarkStart w:id="83" w:name="_Toc120614216"/>
      <w:bookmarkStart w:id="84" w:name="_Toc16938529"/>
      <w:r>
        <w:rPr>
          <w:rFonts w:hint="eastAsia"/>
          <w:color w:val="000000"/>
          <w:sz w:val="30"/>
          <w:szCs w:val="30"/>
          <w:lang w:eastAsia="zh-CN"/>
        </w:rPr>
        <w:t>三、投标文件的编制</w:t>
      </w:r>
      <w:bookmarkEnd w:id="80"/>
      <w:bookmarkEnd w:id="81"/>
      <w:bookmarkEnd w:id="82"/>
      <w:bookmarkEnd w:id="83"/>
      <w:bookmarkEnd w:id="84"/>
    </w:p>
    <w:p w14:paraId="1058DAF2">
      <w:pPr>
        <w:pStyle w:val="6"/>
        <w:keepNext w:val="0"/>
        <w:keepLines w:val="0"/>
        <w:spacing w:before="0" w:after="0" w:line="500" w:lineRule="exact"/>
        <w:ind w:firstLine="422"/>
        <w:rPr>
          <w:rFonts w:ascii="宋体" w:hAnsi="宋体" w:eastAsia="宋体"/>
          <w:bCs w:val="0"/>
          <w:color w:val="000000"/>
          <w:lang w:eastAsia="zh-CN"/>
        </w:rPr>
      </w:pPr>
      <w:bookmarkStart w:id="85" w:name="_Toc20823286"/>
      <w:bookmarkStart w:id="86" w:name="_Toc16938530"/>
      <w:bookmarkStart w:id="87" w:name="_Toc513029214"/>
      <w:bookmarkStart w:id="88" w:name="_Toc462564073"/>
      <w:r>
        <w:rPr>
          <w:rFonts w:hint="eastAsia" w:ascii="宋体" w:hAnsi="宋体" w:eastAsia="宋体"/>
          <w:bCs w:val="0"/>
          <w:color w:val="000000"/>
          <w:lang w:eastAsia="zh-CN"/>
        </w:rPr>
        <w:t>9.投标文件的语言及度量衡单位</w:t>
      </w:r>
      <w:bookmarkEnd w:id="85"/>
      <w:bookmarkEnd w:id="86"/>
      <w:bookmarkEnd w:id="87"/>
      <w:bookmarkEnd w:id="88"/>
    </w:p>
    <w:p w14:paraId="29524FBF">
      <w:pPr>
        <w:spacing w:line="500" w:lineRule="exact"/>
        <w:ind w:firstLine="480"/>
        <w:rPr>
          <w:rFonts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投标人提交的投标文件以及投标人与无锡市教育信息化和装备管理服务中心就有关投标的所有来往通知、函件和文件均应使用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5A7D567A">
      <w:pPr>
        <w:spacing w:line="500" w:lineRule="exact"/>
        <w:ind w:firstLine="480"/>
        <w:rPr>
          <w:rFonts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671432F9">
      <w:pPr>
        <w:pStyle w:val="6"/>
        <w:keepNext w:val="0"/>
        <w:keepLines w:val="0"/>
        <w:spacing w:before="0" w:after="0" w:line="500" w:lineRule="exact"/>
        <w:ind w:firstLine="422"/>
        <w:rPr>
          <w:rFonts w:ascii="宋体" w:hAnsi="宋体" w:eastAsia="宋体"/>
          <w:bCs w:val="0"/>
          <w:color w:val="000000"/>
          <w:lang w:eastAsia="zh-CN"/>
        </w:rPr>
      </w:pPr>
      <w:bookmarkStart w:id="89" w:name="_Toc16938531"/>
      <w:bookmarkStart w:id="90" w:name="_Toc20823287"/>
      <w:bookmarkStart w:id="91" w:name="_Toc462564074"/>
      <w:bookmarkStart w:id="92" w:name="_Toc513029215"/>
      <w:r>
        <w:rPr>
          <w:rFonts w:hint="eastAsia" w:ascii="宋体" w:hAnsi="宋体" w:eastAsia="宋体"/>
          <w:bCs w:val="0"/>
          <w:color w:val="000000"/>
          <w:lang w:eastAsia="zh-CN"/>
        </w:rPr>
        <w:t>10.投标文件构成</w:t>
      </w:r>
      <w:bookmarkEnd w:id="89"/>
      <w:bookmarkEnd w:id="90"/>
      <w:bookmarkEnd w:id="91"/>
      <w:bookmarkEnd w:id="92"/>
    </w:p>
    <w:p w14:paraId="3CF5D388">
      <w:pPr>
        <w:spacing w:line="500" w:lineRule="exact"/>
        <w:ind w:firstLine="480"/>
        <w:rPr>
          <w:rFonts w:ascii="宋体" w:hAnsi="宋体"/>
          <w:color w:val="000000"/>
          <w:sz w:val="24"/>
        </w:rPr>
      </w:pPr>
      <w:r>
        <w:rPr>
          <w:rFonts w:hint="eastAsia" w:ascii="宋体" w:hAnsi="宋体"/>
          <w:color w:val="000000"/>
          <w:sz w:val="24"/>
        </w:rPr>
        <w:t>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p>
    <w:p w14:paraId="74B560C5">
      <w:pPr>
        <w:spacing w:line="500" w:lineRule="exact"/>
        <w:ind w:firstLine="480"/>
        <w:rPr>
          <w:rFonts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56CDD352">
      <w:pPr>
        <w:spacing w:line="500" w:lineRule="exact"/>
        <w:ind w:firstLine="480"/>
        <w:rPr>
          <w:rFonts w:ascii="宋体" w:hAnsi="宋体"/>
          <w:color w:val="000000"/>
          <w:sz w:val="24"/>
        </w:rPr>
      </w:pPr>
      <w:r>
        <w:rPr>
          <w:rFonts w:hint="eastAsia" w:ascii="宋体" w:hAnsi="宋体"/>
          <w:color w:val="000000"/>
          <w:sz w:val="24"/>
        </w:rPr>
        <w:t>10.3如标书制作工具中格式和内容与招标文件不一致的，请以招标文件为准。</w:t>
      </w:r>
    </w:p>
    <w:p w14:paraId="682ADE23">
      <w:pPr>
        <w:pStyle w:val="6"/>
        <w:keepNext w:val="0"/>
        <w:keepLines w:val="0"/>
        <w:spacing w:before="0" w:after="0" w:line="500" w:lineRule="exact"/>
        <w:ind w:firstLine="422"/>
        <w:rPr>
          <w:rFonts w:ascii="宋体" w:hAnsi="宋体" w:eastAsia="宋体"/>
          <w:bCs w:val="0"/>
          <w:color w:val="000000"/>
          <w:lang w:eastAsia="zh-CN"/>
        </w:rPr>
      </w:pPr>
      <w:bookmarkStart w:id="93" w:name="_Hlt26670360"/>
      <w:bookmarkEnd w:id="93"/>
      <w:bookmarkStart w:id="94" w:name="_Hlt26954838"/>
      <w:bookmarkEnd w:id="94"/>
      <w:bookmarkStart w:id="95" w:name="_Hlt26668975"/>
      <w:bookmarkEnd w:id="95"/>
      <w:bookmarkStart w:id="96" w:name="_Toc513029219"/>
      <w:bookmarkStart w:id="97" w:name="_Toc49090509"/>
      <w:bookmarkStart w:id="98" w:name="_Toc14577357"/>
      <w:bookmarkStart w:id="99" w:name="_Toc14577354"/>
      <w:bookmarkStart w:id="100" w:name="_Toc513029216"/>
      <w:bookmarkStart w:id="101" w:name="_Toc49090507"/>
      <w:r>
        <w:rPr>
          <w:rFonts w:hint="eastAsia" w:ascii="宋体" w:hAnsi="宋体" w:eastAsia="宋体"/>
          <w:bCs w:val="0"/>
          <w:color w:val="000000"/>
          <w:lang w:eastAsia="zh-CN"/>
        </w:rPr>
        <w:t>11.证明投标人及投标标的符合招标文件规定的文件</w:t>
      </w:r>
      <w:bookmarkEnd w:id="96"/>
      <w:bookmarkEnd w:id="97"/>
      <w:bookmarkEnd w:id="98"/>
    </w:p>
    <w:bookmarkEnd w:id="99"/>
    <w:bookmarkEnd w:id="100"/>
    <w:bookmarkEnd w:id="101"/>
    <w:p w14:paraId="44BD633A">
      <w:pPr>
        <w:spacing w:line="500" w:lineRule="exact"/>
        <w:ind w:firstLine="480"/>
        <w:rPr>
          <w:rFonts w:ascii="宋体" w:hAnsi="宋体"/>
          <w:bCs/>
          <w:color w:val="000000"/>
          <w:sz w:val="24"/>
        </w:rPr>
      </w:pPr>
      <w:bookmarkStart w:id="102" w:name="_Toc14577355"/>
      <w:bookmarkStart w:id="103" w:name="_Toc49090508"/>
      <w:r>
        <w:rPr>
          <w:rFonts w:hint="eastAsia" w:ascii="宋体" w:hAnsi="宋体"/>
          <w:bCs/>
          <w:color w:val="000000"/>
          <w:sz w:val="24"/>
        </w:rPr>
        <w:t>11.1投标人应按照</w:t>
      </w:r>
      <w:r>
        <w:rPr>
          <w:rFonts w:hint="eastAsia" w:ascii="宋体" w:hAnsi="宋体"/>
          <w:bCs/>
          <w:color w:val="000000"/>
          <w:sz w:val="24"/>
          <w:lang w:eastAsia="zh-CN"/>
        </w:rPr>
        <w:t>法律法规</w:t>
      </w:r>
      <w:r>
        <w:rPr>
          <w:rFonts w:hint="eastAsia" w:ascii="宋体" w:hAnsi="宋体"/>
          <w:bCs/>
          <w:color w:val="000000"/>
          <w:sz w:val="24"/>
        </w:rPr>
        <w:t>、规章和规范性文件以及招标文件要求提交证明文件，证明其及投标标的符合招标文件规定。</w:t>
      </w:r>
    </w:p>
    <w:p w14:paraId="17FD220D">
      <w:pPr>
        <w:spacing w:line="50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79E1CB7C">
      <w:pPr>
        <w:pStyle w:val="6"/>
        <w:keepNext w:val="0"/>
        <w:keepLines w:val="0"/>
        <w:spacing w:before="0" w:after="0" w:line="500" w:lineRule="exact"/>
        <w:ind w:firstLine="422"/>
        <w:rPr>
          <w:rFonts w:ascii="宋体" w:hAnsi="宋体" w:eastAsia="宋体"/>
          <w:bCs w:val="0"/>
          <w:color w:val="000000"/>
          <w:lang w:eastAsia="zh-CN"/>
        </w:rPr>
      </w:pPr>
      <w:bookmarkStart w:id="104" w:name="_Toc14577359"/>
      <w:bookmarkStart w:id="105" w:name="_Toc49090510"/>
      <w:r>
        <w:rPr>
          <w:rFonts w:hint="eastAsia" w:ascii="宋体" w:hAnsi="宋体" w:eastAsia="宋体"/>
          <w:bCs w:val="0"/>
          <w:color w:val="000000"/>
          <w:lang w:eastAsia="zh-CN"/>
        </w:rPr>
        <w:t>12.投标函、承诺书和开标一览表</w:t>
      </w:r>
    </w:p>
    <w:p w14:paraId="10BDAEDC">
      <w:pPr>
        <w:spacing w:line="500" w:lineRule="exact"/>
        <w:ind w:firstLine="480"/>
        <w:rPr>
          <w:rFonts w:ascii="宋体" w:hAnsi="宋体"/>
          <w:color w:val="000000"/>
          <w:sz w:val="24"/>
        </w:rPr>
      </w:pPr>
      <w:r>
        <w:rPr>
          <w:rFonts w:hint="eastAsia" w:ascii="宋体" w:hAnsi="宋体"/>
          <w:bCs/>
          <w:color w:val="000000"/>
          <w:sz w:val="24"/>
        </w:rPr>
        <w:t>12.1</w:t>
      </w:r>
      <w:r>
        <w:rPr>
          <w:rFonts w:hint="eastAsia" w:ascii="宋体" w:hAnsi="宋体"/>
          <w:color w:val="000000"/>
          <w:sz w:val="24"/>
        </w:rPr>
        <w:t>投标人应按照招标文件中提供的格式完整、正确填写投标函、承诺书和开标一览表。</w:t>
      </w:r>
    </w:p>
    <w:p w14:paraId="72F7170E">
      <w:pPr>
        <w:spacing w:line="500" w:lineRule="exact"/>
        <w:ind w:firstLine="480"/>
        <w:rPr>
          <w:rFonts w:ascii="宋体" w:hAnsi="宋体"/>
          <w:bCs/>
          <w:color w:val="000000"/>
          <w:sz w:val="24"/>
        </w:rPr>
      </w:pPr>
      <w:r>
        <w:rPr>
          <w:rFonts w:hint="eastAsia" w:ascii="宋体" w:hAnsi="宋体"/>
          <w:color w:val="000000"/>
          <w:sz w:val="24"/>
        </w:rPr>
        <w:t>12.2对于采用货币报价的项目，开标一览表中的投标总报价应与明细报价表的总额一致，如不一致，不作为无效投标处理，但评标时按开标一览表中价格为准。</w:t>
      </w:r>
    </w:p>
    <w:bookmarkEnd w:id="104"/>
    <w:bookmarkEnd w:id="105"/>
    <w:p w14:paraId="74E9D919">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13.</w:t>
      </w:r>
      <w:bookmarkEnd w:id="102"/>
      <w:bookmarkEnd w:id="103"/>
      <w:r>
        <w:rPr>
          <w:rFonts w:hint="eastAsia" w:ascii="宋体" w:hAnsi="宋体" w:eastAsia="宋体"/>
          <w:bCs w:val="0"/>
          <w:color w:val="000000"/>
          <w:lang w:eastAsia="zh-CN"/>
        </w:rPr>
        <w:t>明细报价表</w:t>
      </w:r>
    </w:p>
    <w:p w14:paraId="428289D6">
      <w:pPr>
        <w:spacing w:line="500" w:lineRule="exact"/>
        <w:ind w:firstLine="480"/>
        <w:rPr>
          <w:rFonts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明细报价表。</w:t>
      </w:r>
    </w:p>
    <w:p w14:paraId="4C97104D">
      <w:pPr>
        <w:spacing w:line="500" w:lineRule="exact"/>
        <w:ind w:firstLine="480"/>
        <w:rPr>
          <w:rFonts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1DC00693">
      <w:pPr>
        <w:pStyle w:val="6"/>
        <w:keepNext w:val="0"/>
        <w:keepLines w:val="0"/>
        <w:spacing w:before="0" w:after="0" w:line="500" w:lineRule="exact"/>
        <w:ind w:firstLine="422"/>
        <w:rPr>
          <w:rFonts w:ascii="宋体" w:hAnsi="宋体" w:eastAsia="宋体"/>
          <w:bCs w:val="0"/>
          <w:color w:val="000000"/>
          <w:lang w:eastAsia="zh-CN"/>
        </w:rPr>
      </w:pPr>
      <w:bookmarkStart w:id="108" w:name="_Hlt26670403"/>
      <w:bookmarkEnd w:id="108"/>
      <w:bookmarkStart w:id="109" w:name="_Hlt26954848"/>
      <w:bookmarkEnd w:id="109"/>
      <w:bookmarkStart w:id="110" w:name="_Hlt26954731"/>
      <w:bookmarkEnd w:id="110"/>
      <w:bookmarkStart w:id="111" w:name="_Hlt26670425"/>
      <w:bookmarkEnd w:id="111"/>
      <w:bookmarkStart w:id="112" w:name="_Hlt26954844"/>
      <w:bookmarkEnd w:id="112"/>
      <w:bookmarkStart w:id="113" w:name="_Hlt26670486"/>
      <w:bookmarkEnd w:id="113"/>
      <w:bookmarkStart w:id="114" w:name="_Hlt26670482"/>
      <w:bookmarkEnd w:id="114"/>
      <w:bookmarkStart w:id="115" w:name="_Hlt26954846"/>
      <w:bookmarkEnd w:id="115"/>
      <w:bookmarkStart w:id="116" w:name="_Hlt26954842"/>
      <w:bookmarkEnd w:id="116"/>
      <w:bookmarkStart w:id="117" w:name="_Hlt26668983"/>
      <w:bookmarkEnd w:id="117"/>
      <w:r>
        <w:rPr>
          <w:rFonts w:hint="eastAsia" w:ascii="宋体" w:hAnsi="宋体" w:eastAsia="宋体"/>
          <w:bCs w:val="0"/>
          <w:color w:val="000000"/>
          <w:lang w:eastAsia="zh-CN"/>
        </w:rPr>
        <w:t>14.投标偏离表</w:t>
      </w:r>
    </w:p>
    <w:p w14:paraId="799DF017">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63A05292">
      <w:pPr>
        <w:pStyle w:val="6"/>
        <w:keepNext w:val="0"/>
        <w:keepLines w:val="0"/>
        <w:spacing w:before="0" w:after="0" w:line="500" w:lineRule="exact"/>
        <w:ind w:firstLine="422"/>
        <w:rPr>
          <w:rFonts w:ascii="宋体" w:hAnsi="宋体" w:eastAsia="宋体"/>
          <w:bCs w:val="0"/>
          <w:color w:val="000000"/>
          <w:lang w:eastAsia="zh-CN"/>
        </w:rPr>
      </w:pPr>
      <w:bookmarkStart w:id="118" w:name="_Hlt26954850"/>
      <w:bookmarkEnd w:id="118"/>
      <w:bookmarkStart w:id="119" w:name="_Hlt26954734"/>
      <w:bookmarkEnd w:id="119"/>
      <w:bookmarkStart w:id="120" w:name="_Hlt26670489"/>
      <w:bookmarkEnd w:id="120"/>
      <w:bookmarkStart w:id="121" w:name="_Toc49090511"/>
      <w:bookmarkStart w:id="122" w:name="_Toc14577360"/>
      <w:r>
        <w:rPr>
          <w:rFonts w:hint="eastAsia" w:ascii="宋体" w:hAnsi="宋体" w:eastAsia="宋体"/>
          <w:bCs w:val="0"/>
          <w:color w:val="000000"/>
          <w:lang w:eastAsia="zh-CN"/>
        </w:rPr>
        <w:t>15.投标有效期</w:t>
      </w:r>
      <w:bookmarkEnd w:id="121"/>
      <w:bookmarkEnd w:id="122"/>
    </w:p>
    <w:p w14:paraId="234BFA19">
      <w:pPr>
        <w:spacing w:line="500" w:lineRule="exact"/>
        <w:ind w:firstLine="480"/>
        <w:rPr>
          <w:rFonts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6C03C63E">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16.投标有效期的延长</w:t>
      </w:r>
    </w:p>
    <w:p w14:paraId="6A337462">
      <w:pPr>
        <w:spacing w:line="500" w:lineRule="exact"/>
        <w:ind w:firstLine="480"/>
        <w:rPr>
          <w:rFonts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18DB42BC">
      <w:pPr>
        <w:pStyle w:val="4"/>
        <w:keepNext w:val="0"/>
        <w:keepLines w:val="0"/>
        <w:spacing w:before="0" w:after="0" w:line="500" w:lineRule="exact"/>
        <w:ind w:firstLine="452"/>
        <w:rPr>
          <w:color w:val="000000"/>
          <w:sz w:val="30"/>
          <w:szCs w:val="30"/>
          <w:lang w:eastAsia="zh-CN"/>
        </w:rPr>
      </w:pPr>
      <w:bookmarkStart w:id="123" w:name="_Hlt26954852"/>
      <w:bookmarkEnd w:id="123"/>
      <w:bookmarkStart w:id="124" w:name="_Hlt26954739"/>
      <w:bookmarkEnd w:id="124"/>
      <w:bookmarkStart w:id="125" w:name="_Toc513029224"/>
      <w:bookmarkStart w:id="126" w:name="_Toc20823296"/>
      <w:bookmarkStart w:id="127" w:name="_Toc16938540"/>
      <w:bookmarkStart w:id="128" w:name="_Toc120614217"/>
      <w:r>
        <w:rPr>
          <w:rFonts w:hint="eastAsia"/>
          <w:color w:val="000000"/>
          <w:sz w:val="30"/>
          <w:szCs w:val="30"/>
          <w:lang w:eastAsia="zh-CN"/>
        </w:rPr>
        <w:t>四、投标文件的递交</w:t>
      </w:r>
      <w:bookmarkEnd w:id="125"/>
      <w:bookmarkEnd w:id="126"/>
      <w:bookmarkEnd w:id="127"/>
      <w:bookmarkEnd w:id="128"/>
    </w:p>
    <w:p w14:paraId="2BEF25F7">
      <w:pPr>
        <w:pStyle w:val="6"/>
        <w:keepNext w:val="0"/>
        <w:keepLines w:val="0"/>
        <w:spacing w:before="0" w:after="0" w:line="500" w:lineRule="exact"/>
        <w:ind w:firstLine="422"/>
        <w:rPr>
          <w:rFonts w:ascii="宋体" w:hAnsi="宋体" w:eastAsia="宋体"/>
          <w:bCs w:val="0"/>
          <w:color w:val="000000"/>
          <w:lang w:eastAsia="zh-CN"/>
        </w:rPr>
      </w:pPr>
      <w:bookmarkStart w:id="129" w:name="_Toc513029225"/>
      <w:bookmarkStart w:id="130" w:name="_Toc462564084"/>
      <w:bookmarkStart w:id="131" w:name="_Toc16938541"/>
      <w:bookmarkStart w:id="132" w:name="_Toc20823297"/>
      <w:r>
        <w:rPr>
          <w:rFonts w:hint="eastAsia" w:ascii="宋体" w:hAnsi="宋体" w:eastAsia="宋体"/>
          <w:bCs w:val="0"/>
          <w:color w:val="000000"/>
          <w:lang w:eastAsia="zh-CN"/>
        </w:rPr>
        <w:t>17.投标文件</w:t>
      </w:r>
      <w:bookmarkEnd w:id="129"/>
      <w:bookmarkEnd w:id="130"/>
      <w:bookmarkEnd w:id="131"/>
      <w:bookmarkEnd w:id="132"/>
      <w:r>
        <w:rPr>
          <w:rFonts w:hint="eastAsia" w:ascii="宋体" w:hAnsi="宋体" w:eastAsia="宋体"/>
          <w:bCs w:val="0"/>
          <w:color w:val="000000"/>
          <w:lang w:eastAsia="zh-CN"/>
        </w:rPr>
        <w:t>的递交</w:t>
      </w:r>
    </w:p>
    <w:p w14:paraId="50B474AF">
      <w:pPr>
        <w:spacing w:line="500" w:lineRule="exact"/>
        <w:ind w:firstLine="480"/>
        <w:rPr>
          <w:rFonts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4985B18D">
      <w:pPr>
        <w:pStyle w:val="69"/>
        <w:spacing w:line="500" w:lineRule="exact"/>
        <w:ind w:firstLine="480"/>
        <w:rPr>
          <w:rFonts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513029226"/>
      <w:bookmarkStart w:id="134" w:name="_Toc20823298"/>
      <w:bookmarkStart w:id="135" w:name="_Toc16938542"/>
    </w:p>
    <w:p w14:paraId="100BFB19">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18.投标截止</w:t>
      </w:r>
      <w:bookmarkEnd w:id="133"/>
      <w:bookmarkEnd w:id="134"/>
      <w:bookmarkEnd w:id="135"/>
      <w:r>
        <w:rPr>
          <w:rFonts w:hint="eastAsia" w:ascii="宋体" w:hAnsi="宋体" w:eastAsia="宋体"/>
          <w:bCs w:val="0"/>
          <w:color w:val="000000"/>
          <w:lang w:eastAsia="zh-CN"/>
        </w:rPr>
        <w:t>时间</w:t>
      </w:r>
    </w:p>
    <w:p w14:paraId="4CDFD6A5">
      <w:pPr>
        <w:spacing w:line="500" w:lineRule="exact"/>
        <w:ind w:firstLine="480"/>
        <w:rPr>
          <w:rFonts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514F58D5">
      <w:pPr>
        <w:spacing w:line="500" w:lineRule="exact"/>
        <w:ind w:firstLine="480"/>
        <w:rPr>
          <w:rFonts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投标人应充分考虑到网络环境、网络带宽等风险因素，如因投标人自身原因造成的电子投标文件上传不成功的视作投标人未按照招标文件要求上传电子投标文件，做无效投标处理。</w:t>
      </w:r>
    </w:p>
    <w:p w14:paraId="294648A6">
      <w:pPr>
        <w:spacing w:line="500" w:lineRule="exact"/>
        <w:ind w:firstLine="480"/>
        <w:rPr>
          <w:rFonts w:ascii="宋体" w:hAnsi="宋体"/>
          <w:bCs/>
          <w:color w:val="000000"/>
          <w:sz w:val="24"/>
        </w:rPr>
      </w:pPr>
      <w:r>
        <w:rPr>
          <w:rFonts w:hint="eastAsia" w:ascii="宋体" w:hAnsi="宋体"/>
          <w:color w:val="000000"/>
          <w:sz w:val="24"/>
        </w:rPr>
        <w:t>18.2</w:t>
      </w:r>
      <w:r>
        <w:rPr>
          <w:rFonts w:hint="eastAsia" w:ascii="宋体" w:hAnsi="宋体"/>
          <w:bCs/>
          <w:color w:val="000000"/>
          <w:sz w:val="24"/>
        </w:rPr>
        <w:t>无锡市教育信息化和装备管理服务中心可以按照规定，通过更正公告修改投标截止时间，投标人的所有权利和义务以及投标人受制的截止时间均应以延长后新的截止时间为准。</w:t>
      </w:r>
    </w:p>
    <w:p w14:paraId="6EDDB762">
      <w:pPr>
        <w:pStyle w:val="6"/>
        <w:keepNext w:val="0"/>
        <w:keepLines w:val="0"/>
        <w:spacing w:before="0" w:after="0" w:line="500" w:lineRule="exact"/>
        <w:ind w:firstLine="422"/>
        <w:rPr>
          <w:rFonts w:ascii="宋体" w:hAnsi="宋体" w:eastAsia="宋体"/>
          <w:bCs w:val="0"/>
          <w:color w:val="000000"/>
          <w:lang w:eastAsia="zh-CN"/>
        </w:rPr>
      </w:pPr>
      <w:bookmarkStart w:id="136" w:name="_Toc513029227"/>
      <w:bookmarkStart w:id="137" w:name="_Toc20823299"/>
      <w:bookmarkStart w:id="138" w:name="_Toc16938543"/>
      <w:r>
        <w:rPr>
          <w:rFonts w:hint="eastAsia" w:ascii="宋体" w:hAnsi="宋体" w:eastAsia="宋体"/>
          <w:bCs w:val="0"/>
          <w:color w:val="000000"/>
          <w:lang w:eastAsia="zh-CN"/>
        </w:rPr>
        <w:t>19.投标文件</w:t>
      </w:r>
      <w:bookmarkEnd w:id="136"/>
      <w:bookmarkEnd w:id="137"/>
      <w:bookmarkEnd w:id="138"/>
      <w:r>
        <w:rPr>
          <w:rFonts w:hint="eastAsia" w:ascii="宋体" w:hAnsi="宋体" w:eastAsia="宋体"/>
          <w:bCs w:val="0"/>
          <w:color w:val="000000"/>
          <w:lang w:eastAsia="zh-CN"/>
        </w:rPr>
        <w:t>的拒收</w:t>
      </w:r>
    </w:p>
    <w:p w14:paraId="574ADCEE">
      <w:pPr>
        <w:spacing w:line="500" w:lineRule="exact"/>
        <w:ind w:firstLine="480"/>
        <w:rPr>
          <w:rFonts w:ascii="宋体" w:hAnsi="宋体"/>
          <w:bCs/>
          <w:color w:val="000000"/>
          <w:sz w:val="24"/>
        </w:rPr>
      </w:pPr>
      <w:r>
        <w:rPr>
          <w:rFonts w:hint="eastAsia" w:ascii="宋体" w:hAnsi="宋体"/>
          <w:color w:val="000000"/>
          <w:sz w:val="24"/>
        </w:rPr>
        <w:t>19.1</w:t>
      </w:r>
      <w:r>
        <w:rPr>
          <w:rFonts w:hint="eastAsia" w:ascii="宋体" w:hAnsi="宋体"/>
          <w:bCs/>
          <w:color w:val="000000"/>
          <w:sz w:val="24"/>
        </w:rPr>
        <w:t>无锡市教育信息化和装备管理服务中心拒绝接收在其规定的投标截止时间后上传的任何投标文件。</w:t>
      </w:r>
    </w:p>
    <w:p w14:paraId="16874363">
      <w:pPr>
        <w:pStyle w:val="6"/>
        <w:keepNext w:val="0"/>
        <w:keepLines w:val="0"/>
        <w:spacing w:before="0" w:after="0" w:line="500" w:lineRule="exact"/>
        <w:ind w:firstLine="422"/>
        <w:rPr>
          <w:rFonts w:ascii="宋体" w:hAnsi="宋体" w:eastAsia="宋体"/>
          <w:bCs w:val="0"/>
          <w:color w:val="000000"/>
          <w:lang w:eastAsia="zh-CN"/>
        </w:rPr>
      </w:pPr>
      <w:bookmarkStart w:id="139" w:name="_Toc16938544"/>
      <w:bookmarkStart w:id="140" w:name="_Toc513029228"/>
      <w:bookmarkStart w:id="141" w:name="_Toc20823300"/>
      <w:r>
        <w:rPr>
          <w:rFonts w:hint="eastAsia" w:ascii="宋体" w:hAnsi="宋体" w:eastAsia="宋体"/>
          <w:bCs w:val="0"/>
          <w:color w:val="000000"/>
          <w:lang w:eastAsia="zh-CN"/>
        </w:rPr>
        <w:t>20.投标文件的撤回和修改</w:t>
      </w:r>
      <w:bookmarkEnd w:id="139"/>
      <w:bookmarkEnd w:id="140"/>
      <w:bookmarkEnd w:id="141"/>
    </w:p>
    <w:p w14:paraId="17916368">
      <w:pPr>
        <w:spacing w:line="500" w:lineRule="exact"/>
        <w:ind w:firstLine="480"/>
        <w:rPr>
          <w:rFonts w:ascii="宋体" w:hAnsi="宋体"/>
          <w:color w:val="000000"/>
          <w:sz w:val="24"/>
        </w:rPr>
      </w:pPr>
      <w:r>
        <w:rPr>
          <w:rFonts w:hint="eastAsia" w:ascii="宋体" w:hAnsi="宋体"/>
          <w:color w:val="000000"/>
          <w:sz w:val="24"/>
        </w:rPr>
        <w:t>20.1投标文件的撤回</w:t>
      </w:r>
    </w:p>
    <w:p w14:paraId="6B227811">
      <w:pPr>
        <w:spacing w:line="500" w:lineRule="exact"/>
        <w:ind w:firstLine="480"/>
        <w:rPr>
          <w:rFonts w:ascii="宋体" w:hAnsi="宋体"/>
          <w:color w:val="000000"/>
          <w:sz w:val="24"/>
        </w:rPr>
      </w:pPr>
      <w:r>
        <w:rPr>
          <w:rFonts w:hint="eastAsia" w:ascii="宋体" w:hAnsi="宋体"/>
          <w:color w:val="000000"/>
          <w:sz w:val="24"/>
        </w:rPr>
        <w:t>21.1.1电子投标文件的撤回</w:t>
      </w:r>
    </w:p>
    <w:p w14:paraId="15FA37D6">
      <w:pPr>
        <w:spacing w:line="500" w:lineRule="exact"/>
        <w:ind w:firstLine="480"/>
        <w:rPr>
          <w:rFonts w:ascii="宋体" w:hAnsi="宋体"/>
          <w:color w:val="000000"/>
          <w:sz w:val="24"/>
        </w:rPr>
      </w:pPr>
      <w:r>
        <w:rPr>
          <w:rFonts w:hint="eastAsia" w:ascii="宋体" w:hAnsi="宋体"/>
          <w:color w:val="000000"/>
          <w:sz w:val="24"/>
        </w:rPr>
        <w:t>投标人可在投标截止时间前，撤回其电子投标文件，具体操作方法见《操作手册》。</w:t>
      </w:r>
    </w:p>
    <w:p w14:paraId="2F16BA1C">
      <w:pPr>
        <w:spacing w:line="500" w:lineRule="exact"/>
        <w:ind w:firstLine="480"/>
        <w:rPr>
          <w:rFonts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2BDB7DA7">
      <w:pPr>
        <w:spacing w:line="500" w:lineRule="exact"/>
        <w:ind w:firstLine="480"/>
        <w:rPr>
          <w:rFonts w:ascii="宋体" w:hAnsi="宋体"/>
          <w:color w:val="000000"/>
          <w:sz w:val="24"/>
          <w:szCs w:val="24"/>
        </w:rPr>
      </w:pPr>
      <w:r>
        <w:rPr>
          <w:rFonts w:hint="eastAsia" w:ascii="宋体" w:hAnsi="宋体"/>
          <w:color w:val="000000"/>
          <w:sz w:val="24"/>
          <w:szCs w:val="24"/>
        </w:rPr>
        <w:t>20.2投标文件的修改</w:t>
      </w:r>
    </w:p>
    <w:p w14:paraId="64C86EC2">
      <w:pPr>
        <w:spacing w:line="500" w:lineRule="exact"/>
        <w:ind w:firstLine="480"/>
        <w:rPr>
          <w:rFonts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75D842CF">
      <w:pPr>
        <w:spacing w:line="500" w:lineRule="exact"/>
        <w:ind w:firstLine="480"/>
        <w:rPr>
          <w:rFonts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63FD5ED6">
      <w:pPr>
        <w:spacing w:line="500" w:lineRule="exact"/>
        <w:ind w:firstLine="480"/>
        <w:rPr>
          <w:rFonts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63C3C0F1">
      <w:pPr>
        <w:pStyle w:val="4"/>
        <w:keepNext w:val="0"/>
        <w:keepLines w:val="0"/>
        <w:spacing w:before="0" w:after="0" w:line="500" w:lineRule="exact"/>
        <w:ind w:firstLine="452"/>
        <w:rPr>
          <w:color w:val="000000"/>
          <w:sz w:val="30"/>
          <w:szCs w:val="30"/>
          <w:lang w:eastAsia="zh-CN"/>
        </w:rPr>
      </w:pPr>
      <w:bookmarkStart w:id="142" w:name="_Toc16938545"/>
      <w:bookmarkStart w:id="143" w:name="_Toc513029229"/>
      <w:bookmarkStart w:id="144" w:name="_Toc120614218"/>
      <w:bookmarkStart w:id="145" w:name="_Toc20823301"/>
      <w:r>
        <w:rPr>
          <w:rFonts w:hint="eastAsia"/>
          <w:color w:val="000000"/>
          <w:sz w:val="30"/>
          <w:szCs w:val="30"/>
          <w:lang w:eastAsia="zh-CN"/>
        </w:rPr>
        <w:t>五、开标与评标</w:t>
      </w:r>
      <w:bookmarkEnd w:id="142"/>
      <w:bookmarkEnd w:id="143"/>
      <w:bookmarkEnd w:id="144"/>
      <w:bookmarkEnd w:id="145"/>
    </w:p>
    <w:p w14:paraId="041B2487">
      <w:pPr>
        <w:pStyle w:val="6"/>
        <w:keepNext w:val="0"/>
        <w:keepLines w:val="0"/>
        <w:spacing w:before="0" w:after="0" w:line="500" w:lineRule="exact"/>
        <w:ind w:firstLine="422"/>
        <w:rPr>
          <w:rFonts w:ascii="宋体" w:hAnsi="宋体" w:eastAsia="宋体"/>
          <w:bCs w:val="0"/>
          <w:color w:val="000000"/>
          <w:lang w:eastAsia="zh-CN"/>
        </w:rPr>
      </w:pPr>
      <w:bookmarkStart w:id="146" w:name="_Toc513029230"/>
      <w:bookmarkStart w:id="147" w:name="_Toc20823302"/>
      <w:bookmarkStart w:id="148" w:name="_Toc16938546"/>
      <w:r>
        <w:rPr>
          <w:rFonts w:hint="eastAsia" w:ascii="宋体" w:hAnsi="宋体" w:eastAsia="宋体"/>
          <w:bCs w:val="0"/>
          <w:color w:val="000000"/>
          <w:lang w:eastAsia="zh-CN"/>
        </w:rPr>
        <w:t>21.开标</w:t>
      </w:r>
      <w:bookmarkEnd w:id="146"/>
      <w:bookmarkEnd w:id="147"/>
      <w:bookmarkEnd w:id="148"/>
    </w:p>
    <w:p w14:paraId="71A3F4DD">
      <w:pPr>
        <w:spacing w:line="500" w:lineRule="exact"/>
        <w:ind w:firstLine="480"/>
        <w:rPr>
          <w:color w:val="000000"/>
        </w:rPr>
      </w:pPr>
      <w:r>
        <w:rPr>
          <w:rFonts w:hint="eastAsia" w:ascii="宋体" w:hAnsi="宋体"/>
          <w:color w:val="000000"/>
          <w:sz w:val="24"/>
        </w:rPr>
        <w:t>21.1</w:t>
      </w:r>
      <w:r>
        <w:rPr>
          <w:rFonts w:hint="eastAsia" w:ascii="宋体" w:hAnsi="宋体"/>
          <w:bCs/>
          <w:color w:val="000000"/>
          <w:sz w:val="24"/>
        </w:rPr>
        <w:t>无锡市教育信息化和装备管理服务中心将在招标公告中规定的时间和地点组织公开开标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066C400B">
      <w:pPr>
        <w:spacing w:line="500" w:lineRule="exact"/>
        <w:ind w:firstLine="480"/>
        <w:rPr>
          <w:rFonts w:ascii="宋体" w:hAnsi="宋体"/>
          <w:color w:val="000000"/>
          <w:sz w:val="24"/>
        </w:rPr>
      </w:pPr>
      <w:r>
        <w:rPr>
          <w:rFonts w:hint="eastAsia" w:ascii="宋体" w:hAnsi="宋体"/>
          <w:color w:val="000000"/>
          <w:sz w:val="24"/>
        </w:rPr>
        <w:t>21.2开标仪式由无锡市教育信息化和装备管理服务中心组织。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2A9600B8">
      <w:pPr>
        <w:spacing w:line="500" w:lineRule="exact"/>
        <w:ind w:firstLine="480"/>
        <w:rPr>
          <w:rFonts w:ascii="宋体" w:hAnsi="宋体"/>
          <w:color w:val="000000"/>
          <w:sz w:val="24"/>
        </w:rPr>
      </w:pPr>
      <w:r>
        <w:rPr>
          <w:rFonts w:hint="eastAsia" w:ascii="宋体" w:hAnsi="宋体"/>
          <w:color w:val="000000"/>
          <w:sz w:val="24"/>
        </w:rPr>
        <w:t>21.3投标人在开标过程中</w:t>
      </w:r>
      <w:r>
        <w:rPr>
          <w:rFonts w:hint="eastAsia" w:ascii="宋体" w:hAnsi="宋体"/>
          <w:color w:val="000000"/>
          <w:sz w:val="24"/>
          <w:lang w:eastAsia="zh-CN"/>
        </w:rPr>
        <w:t>涉及的</w:t>
      </w:r>
      <w:r>
        <w:rPr>
          <w:rFonts w:hint="eastAsia" w:ascii="宋体" w:hAnsi="宋体"/>
          <w:color w:val="000000"/>
          <w:sz w:val="24"/>
        </w:rPr>
        <w:t>投标文件解密、开标结果确认等工作，应按照《操作手册》规定执行。</w:t>
      </w:r>
    </w:p>
    <w:p w14:paraId="277A3BBA">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677BCCE6">
      <w:pPr>
        <w:pStyle w:val="6"/>
        <w:keepNext w:val="0"/>
        <w:keepLines w:val="0"/>
        <w:spacing w:before="0" w:after="0" w:line="500" w:lineRule="exact"/>
        <w:ind w:firstLine="422"/>
        <w:rPr>
          <w:rFonts w:ascii="宋体" w:hAnsi="宋体" w:eastAsia="宋体"/>
          <w:bCs w:val="0"/>
          <w:color w:val="000000"/>
          <w:lang w:eastAsia="zh-CN"/>
        </w:rPr>
      </w:pPr>
      <w:bookmarkStart w:id="149" w:name="_Toc513029231"/>
      <w:bookmarkStart w:id="150" w:name="_Toc16938547"/>
      <w:bookmarkStart w:id="151" w:name="_Toc20823303"/>
      <w:r>
        <w:rPr>
          <w:rFonts w:hint="eastAsia" w:ascii="宋体" w:hAnsi="宋体" w:eastAsia="宋体"/>
          <w:bCs w:val="0"/>
          <w:color w:val="000000"/>
          <w:lang w:eastAsia="zh-CN"/>
        </w:rPr>
        <w:t>22.评标委员会</w:t>
      </w:r>
    </w:p>
    <w:p w14:paraId="759C369F">
      <w:pPr>
        <w:spacing w:line="500" w:lineRule="exact"/>
        <w:ind w:firstLine="480"/>
        <w:rPr>
          <w:rFonts w:ascii="宋体" w:hAnsi="宋体"/>
          <w:b/>
          <w:color w:val="000000"/>
          <w:sz w:val="24"/>
          <w:szCs w:val="24"/>
        </w:rPr>
      </w:pPr>
      <w:r>
        <w:rPr>
          <w:rFonts w:hint="eastAsia" w:ascii="宋体" w:hAnsi="宋体"/>
          <w:color w:val="000000"/>
          <w:sz w:val="24"/>
          <w:szCs w:val="24"/>
        </w:rPr>
        <w:t>22.1开标后，无锡市教育信息化和装备管理服务中心将立即组织评标委员会（以下简称评委会）进行评标。</w:t>
      </w:r>
    </w:p>
    <w:p w14:paraId="5C23B757">
      <w:pPr>
        <w:spacing w:line="500" w:lineRule="exact"/>
        <w:ind w:firstLine="480"/>
        <w:rPr>
          <w:rFonts w:ascii="宋体" w:hAnsi="宋体"/>
          <w:color w:val="000000"/>
          <w:sz w:val="24"/>
          <w:szCs w:val="24"/>
        </w:rPr>
      </w:pPr>
      <w:r>
        <w:rPr>
          <w:rFonts w:hint="eastAsia" w:ascii="宋体" w:hAnsi="宋体"/>
          <w:color w:val="000000"/>
          <w:sz w:val="24"/>
          <w:szCs w:val="24"/>
        </w:rPr>
        <w:t>22.2评委会依法组建，且人员构成符合政府采购有关规定。</w:t>
      </w:r>
    </w:p>
    <w:p w14:paraId="1585F5E2">
      <w:pPr>
        <w:spacing w:line="500" w:lineRule="exact"/>
        <w:ind w:firstLine="480"/>
        <w:rPr>
          <w:rFonts w:ascii="宋体" w:hAnsi="宋体"/>
          <w:color w:val="000000"/>
          <w:sz w:val="24"/>
          <w:szCs w:val="24"/>
        </w:rPr>
      </w:pPr>
      <w:r>
        <w:rPr>
          <w:rFonts w:hint="eastAsia" w:ascii="宋体" w:hAnsi="宋体"/>
          <w:color w:val="000000"/>
          <w:sz w:val="24"/>
          <w:szCs w:val="24"/>
        </w:rPr>
        <w:t>22.3评委会独立工作，负责评审所有投标文件并确定中标候选人。</w:t>
      </w:r>
    </w:p>
    <w:p w14:paraId="03A86D0C">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23.评标过程的保密与公正</w:t>
      </w:r>
    </w:p>
    <w:bookmarkEnd w:id="149"/>
    <w:bookmarkEnd w:id="150"/>
    <w:bookmarkEnd w:id="151"/>
    <w:p w14:paraId="1E60A6EC">
      <w:pPr>
        <w:spacing w:line="500" w:lineRule="exact"/>
        <w:ind w:firstLine="480"/>
        <w:rPr>
          <w:rFonts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凡是与审查、澄清、评价和比较投标的有关资料以及投标建议等，采购人、评委、无锡市教育信息化和装备管理服务中心均不得向投标人或与评标无关的其他人员透露。</w:t>
      </w:r>
    </w:p>
    <w:p w14:paraId="2AC56DD8">
      <w:pPr>
        <w:spacing w:line="500" w:lineRule="exact"/>
        <w:ind w:firstLine="480"/>
        <w:rPr>
          <w:rFonts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1D3D17AB">
      <w:pPr>
        <w:spacing w:line="500" w:lineRule="exact"/>
        <w:ind w:firstLine="480"/>
        <w:rPr>
          <w:rFonts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无锡市教育信息化和装备管理服务中心和评标委员会不向未中标的投标人解释未中标原因，也不公布评标过程中的相关细节。</w:t>
      </w:r>
    </w:p>
    <w:p w14:paraId="66B52CE4">
      <w:pPr>
        <w:spacing w:line="500" w:lineRule="exact"/>
        <w:ind w:firstLine="480"/>
        <w:rPr>
          <w:rFonts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0E8DDFC2">
      <w:pPr>
        <w:pStyle w:val="6"/>
        <w:keepNext w:val="0"/>
        <w:keepLines w:val="0"/>
        <w:spacing w:before="0" w:after="0" w:line="500" w:lineRule="exact"/>
        <w:ind w:firstLine="422"/>
        <w:rPr>
          <w:rFonts w:ascii="宋体" w:hAnsi="宋体" w:eastAsia="宋体"/>
          <w:bCs w:val="0"/>
          <w:color w:val="000000"/>
          <w:lang w:eastAsia="zh-CN"/>
        </w:rPr>
      </w:pPr>
      <w:bookmarkStart w:id="152" w:name="_Toc16938548"/>
      <w:bookmarkStart w:id="153" w:name="_Toc513029232"/>
      <w:bookmarkStart w:id="154" w:name="_Toc20823304"/>
      <w:r>
        <w:rPr>
          <w:rFonts w:hint="eastAsia" w:ascii="宋体" w:hAnsi="宋体" w:eastAsia="宋体"/>
          <w:bCs w:val="0"/>
          <w:color w:val="000000"/>
          <w:lang w:eastAsia="zh-CN"/>
        </w:rPr>
        <w:t>24.投标文件的澄清</w:t>
      </w:r>
      <w:bookmarkEnd w:id="152"/>
      <w:bookmarkEnd w:id="153"/>
      <w:bookmarkEnd w:id="154"/>
    </w:p>
    <w:p w14:paraId="1C5FDAFF">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18F6492D">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7414B0F9">
      <w:pPr>
        <w:spacing w:line="500" w:lineRule="exact"/>
        <w:ind w:firstLine="480"/>
        <w:rPr>
          <w:rFonts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1A8CEC4A">
      <w:pPr>
        <w:spacing w:line="500" w:lineRule="exact"/>
        <w:ind w:firstLine="480"/>
        <w:rPr>
          <w:rFonts w:ascii="宋体" w:hAnsi="宋体"/>
          <w:color w:val="000000"/>
          <w:sz w:val="24"/>
          <w:szCs w:val="24"/>
        </w:rPr>
      </w:pPr>
      <w:r>
        <w:rPr>
          <w:rFonts w:hint="eastAsia" w:ascii="宋体" w:hAnsi="宋体"/>
          <w:color w:val="000000"/>
          <w:sz w:val="24"/>
          <w:szCs w:val="24"/>
        </w:rPr>
        <w:t>24.3接到评委会澄清、说明和补正要求的投标人如未按规定及时作出澄清、说明和补正，其风险由投标人自行承担。</w:t>
      </w:r>
    </w:p>
    <w:p w14:paraId="1D94C7AE">
      <w:pPr>
        <w:pStyle w:val="6"/>
        <w:keepNext w:val="0"/>
        <w:keepLines w:val="0"/>
        <w:spacing w:before="0" w:after="0" w:line="500" w:lineRule="exact"/>
        <w:ind w:firstLine="422"/>
        <w:rPr>
          <w:rFonts w:ascii="宋体" w:hAnsi="宋体" w:eastAsia="宋体"/>
          <w:bCs w:val="0"/>
          <w:color w:val="000000"/>
          <w:lang w:eastAsia="zh-CN"/>
        </w:rPr>
      </w:pPr>
      <w:bookmarkStart w:id="155" w:name="_Toc513029233"/>
      <w:bookmarkStart w:id="156" w:name="_Toc20823305"/>
      <w:bookmarkStart w:id="157" w:name="_Toc16938549"/>
      <w:r>
        <w:rPr>
          <w:rFonts w:hint="eastAsia" w:ascii="宋体" w:hAnsi="宋体" w:eastAsia="宋体"/>
          <w:bCs w:val="0"/>
          <w:color w:val="000000"/>
          <w:lang w:eastAsia="zh-CN"/>
        </w:rPr>
        <w:t>25.对投标文件的初审</w:t>
      </w:r>
      <w:bookmarkEnd w:id="155"/>
      <w:bookmarkEnd w:id="156"/>
      <w:bookmarkEnd w:id="157"/>
    </w:p>
    <w:p w14:paraId="538EA2D0">
      <w:pPr>
        <w:spacing w:line="500" w:lineRule="exact"/>
        <w:ind w:firstLine="480"/>
        <w:rPr>
          <w:rFonts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3DFEF97C">
      <w:pPr>
        <w:spacing w:line="500" w:lineRule="exact"/>
        <w:ind w:firstLine="480"/>
        <w:rPr>
          <w:rFonts w:ascii="宋体" w:hAnsi="宋体"/>
          <w:bCs/>
          <w:color w:val="000000"/>
          <w:sz w:val="24"/>
        </w:rPr>
      </w:pPr>
      <w:r>
        <w:rPr>
          <w:rFonts w:hint="eastAsia" w:ascii="宋体" w:hAnsi="宋体"/>
          <w:bCs/>
          <w:color w:val="000000"/>
          <w:sz w:val="24"/>
        </w:rPr>
        <w:t>25.1.1资格审查：依据法律法规和招标文件的规定，由采购人或采购代理机构对投标文件中的资格证明文件进行审查。</w:t>
      </w:r>
    </w:p>
    <w:p w14:paraId="1E04FD2F">
      <w:pPr>
        <w:spacing w:line="500" w:lineRule="exact"/>
        <w:ind w:firstLine="480"/>
        <w:rPr>
          <w:rFonts w:ascii="宋体" w:hAnsi="宋体" w:cs="宋体"/>
          <w:bCs/>
          <w:color w:val="000000"/>
          <w:sz w:val="24"/>
        </w:rPr>
      </w:pPr>
      <w:r>
        <w:rPr>
          <w:rFonts w:hint="eastAsia" w:ascii="宋体" w:hAnsi="宋体" w:cs="宋体"/>
          <w:bCs/>
          <w:color w:val="000000"/>
          <w:sz w:val="24"/>
        </w:rPr>
        <w:t>采购人</w:t>
      </w:r>
      <w:r>
        <w:rPr>
          <w:rFonts w:hint="eastAsia" w:ascii="宋体" w:hAnsi="宋体"/>
          <w:bCs/>
          <w:color w:val="000000"/>
          <w:sz w:val="24"/>
        </w:rPr>
        <w:t>或采购代理机构</w:t>
      </w:r>
      <w:r>
        <w:rPr>
          <w:rFonts w:hint="eastAsia" w:ascii="宋体" w:hAnsi="宋体" w:cs="宋体"/>
          <w:bCs/>
          <w:color w:val="000000"/>
          <w:sz w:val="24"/>
        </w:rPr>
        <w:t>在进行资格审查的同时，将</w:t>
      </w:r>
      <w:r>
        <w:rPr>
          <w:rFonts w:hint="eastAsia" w:ascii="宋体" w:hAnsi="宋体" w:cs="宋体"/>
          <w:bCs/>
          <w:color w:val="000000"/>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0EFEB818">
      <w:pPr>
        <w:spacing w:line="500" w:lineRule="exact"/>
        <w:ind w:firstLine="480"/>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联合体成员存在不良信用记录的，视同联合体存在不良信用记录。</w:t>
      </w:r>
    </w:p>
    <w:p w14:paraId="76028890">
      <w:pPr>
        <w:spacing w:line="500" w:lineRule="exact"/>
        <w:ind w:firstLine="480"/>
        <w:rPr>
          <w:rFonts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357BFC31">
      <w:pPr>
        <w:spacing w:line="500" w:lineRule="exact"/>
        <w:ind w:firstLine="480"/>
        <w:rPr>
          <w:rFonts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11ED8FA2">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56185CE8">
      <w:pPr>
        <w:spacing w:line="500" w:lineRule="exact"/>
        <w:ind w:firstLine="48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1D323F6">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.3如果投标文件实质上没有响应招标文件的要求，评委会将予以拒绝，其投标文件无效，投标人不得通过修改或撤销不合要求的偏离或保留而使其投标成为实质性响应的投标。</w:t>
      </w:r>
    </w:p>
    <w:p w14:paraId="3EA4039D">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1ABB4C20">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6E91AC5B">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697C3856">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53873556">
      <w:pPr>
        <w:spacing w:line="500" w:lineRule="exact"/>
        <w:ind w:firstLine="480"/>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4B32D4E6">
      <w:pPr>
        <w:spacing w:line="500" w:lineRule="exact"/>
        <w:ind w:firstLine="480"/>
        <w:rPr>
          <w:rFonts w:ascii="宋体" w:hAnsi="宋体"/>
          <w:bCs/>
          <w:color w:val="000000"/>
          <w:sz w:val="24"/>
        </w:rPr>
      </w:pPr>
      <w:r>
        <w:rPr>
          <w:rFonts w:hint="eastAsia" w:ascii="宋体" w:hAnsi="宋体"/>
          <w:bCs/>
          <w:color w:val="000000"/>
          <w:sz w:val="24"/>
        </w:rPr>
        <w:t>同时出现两种以上错误的，按照前款规定的顺序修正。</w:t>
      </w:r>
    </w:p>
    <w:p w14:paraId="1FEAD3C2">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55B1C6E2">
      <w:pPr>
        <w:spacing w:line="500" w:lineRule="exact"/>
        <w:ind w:firstLine="420"/>
        <w:rPr>
          <w:rFonts w:ascii="宋体" w:hAnsi="宋体"/>
          <w:color w:val="000000"/>
          <w:sz w:val="24"/>
        </w:rPr>
      </w:pPr>
      <w:bookmarkStart w:id="158" w:name="_Toc16938550"/>
      <w:bookmarkStart w:id="159" w:name="_Toc513029234"/>
      <w:bookmarkStart w:id="160" w:name="_Toc20823306"/>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5F4084AB">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26</w:t>
      </w:r>
      <w:bookmarkEnd w:id="158"/>
      <w:bookmarkEnd w:id="159"/>
      <w:bookmarkEnd w:id="160"/>
      <w:r>
        <w:rPr>
          <w:rFonts w:hint="eastAsia" w:ascii="宋体" w:hAnsi="宋体" w:eastAsia="宋体"/>
          <w:bCs w:val="0"/>
          <w:color w:val="000000"/>
          <w:lang w:eastAsia="zh-CN"/>
        </w:rPr>
        <w:t>.无效投标条款和废标条款</w:t>
      </w:r>
    </w:p>
    <w:p w14:paraId="6DBAB079">
      <w:pPr>
        <w:spacing w:line="500" w:lineRule="exact"/>
        <w:ind w:left="479"/>
        <w:rPr>
          <w:rFonts w:ascii="宋体" w:hAnsi="宋体"/>
          <w:bCs/>
          <w:color w:val="000000"/>
          <w:sz w:val="24"/>
        </w:rPr>
      </w:pPr>
      <w:bookmarkStart w:id="161" w:name="_Toc16938551"/>
      <w:bookmarkStart w:id="162" w:name="_Toc20823307"/>
      <w:bookmarkStart w:id="163" w:name="_Toc513029235"/>
      <w:r>
        <w:rPr>
          <w:rFonts w:hint="eastAsia" w:ascii="宋体" w:hAnsi="宋体"/>
          <w:bCs/>
          <w:color w:val="000000"/>
          <w:sz w:val="24"/>
        </w:rPr>
        <w:t>26.1无效投标条款</w:t>
      </w:r>
    </w:p>
    <w:p w14:paraId="189DD6EF">
      <w:pPr>
        <w:spacing w:line="500" w:lineRule="exact"/>
        <w:ind w:firstLine="480"/>
        <w:rPr>
          <w:rFonts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7098967E">
      <w:pPr>
        <w:spacing w:line="500" w:lineRule="exact"/>
        <w:ind w:firstLine="480"/>
        <w:rPr>
          <w:rFonts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6C33AA45">
      <w:pPr>
        <w:spacing w:line="500" w:lineRule="exact"/>
        <w:ind w:firstLine="480"/>
        <w:rPr>
          <w:rFonts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18232565">
      <w:pPr>
        <w:spacing w:line="500" w:lineRule="exact"/>
        <w:ind w:firstLine="480"/>
        <w:rPr>
          <w:rFonts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4C0A5356">
      <w:pPr>
        <w:spacing w:line="500" w:lineRule="exact"/>
        <w:ind w:firstLine="480"/>
        <w:rPr>
          <w:rFonts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08AADE84">
      <w:pPr>
        <w:spacing w:line="500" w:lineRule="exact"/>
        <w:ind w:firstLine="480"/>
        <w:rPr>
          <w:rFonts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7B34D5D1">
      <w:pPr>
        <w:spacing w:line="500" w:lineRule="exact"/>
        <w:ind w:firstLine="480"/>
        <w:rPr>
          <w:rFonts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同一投标人提交两种（含两种）以上不同的投标报价的。</w:t>
      </w:r>
    </w:p>
    <w:p w14:paraId="45B37DE4">
      <w:pPr>
        <w:spacing w:line="500" w:lineRule="exact"/>
        <w:ind w:firstLine="480"/>
        <w:rPr>
          <w:rFonts w:ascii="宋体" w:hAnsi="宋体"/>
          <w:bCs/>
          <w:color w:val="000000"/>
          <w:sz w:val="24"/>
          <w:szCs w:val="24"/>
        </w:rPr>
      </w:pPr>
      <w:r>
        <w:rPr>
          <w:rFonts w:hint="eastAsia" w:ascii="宋体" w:hAnsi="宋体"/>
          <w:color w:val="000000"/>
          <w:sz w:val="24"/>
          <w:szCs w:val="24"/>
        </w:rPr>
        <w:t>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0C899817">
      <w:pPr>
        <w:spacing w:line="500" w:lineRule="exact"/>
        <w:ind w:firstLine="480"/>
        <w:rPr>
          <w:rFonts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32F334C4">
      <w:pPr>
        <w:spacing w:line="500" w:lineRule="exact"/>
        <w:ind w:firstLine="480"/>
        <w:rPr>
          <w:rFonts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14:paraId="6AC44F44">
      <w:pPr>
        <w:spacing w:line="500" w:lineRule="exact"/>
        <w:ind w:firstLine="480"/>
        <w:rPr>
          <w:rFonts w:ascii="宋体" w:hAnsi="宋体"/>
          <w:bCs/>
          <w:color w:val="000000"/>
          <w:sz w:val="24"/>
          <w:szCs w:val="24"/>
        </w:rPr>
      </w:pPr>
      <w:r>
        <w:rPr>
          <w:rFonts w:hint="eastAsia" w:ascii="宋体" w:hAnsi="宋体"/>
          <w:bCs/>
          <w:color w:val="000000"/>
          <w:sz w:val="24"/>
          <w:szCs w:val="24"/>
        </w:rPr>
        <w:t>26.1.11未通过符合性审查的。</w:t>
      </w:r>
    </w:p>
    <w:p w14:paraId="7C91E294">
      <w:pPr>
        <w:spacing w:line="500" w:lineRule="exact"/>
        <w:ind w:firstLine="480"/>
        <w:rPr>
          <w:rFonts w:ascii="宋体" w:hAnsi="宋体"/>
          <w:bCs/>
          <w:color w:val="000000"/>
          <w:sz w:val="24"/>
          <w:szCs w:val="24"/>
        </w:rPr>
      </w:pPr>
      <w:r>
        <w:rPr>
          <w:rFonts w:hint="eastAsia" w:ascii="宋体" w:hAnsi="宋体"/>
          <w:bCs/>
          <w:color w:val="000000"/>
          <w:sz w:val="24"/>
          <w:szCs w:val="24"/>
        </w:rPr>
        <w:t>26.1.12投标文件含有采购人不能接受的附加条件的。</w:t>
      </w:r>
    </w:p>
    <w:p w14:paraId="6091FE5F">
      <w:pPr>
        <w:spacing w:line="500" w:lineRule="exact"/>
        <w:ind w:firstLine="480"/>
        <w:rPr>
          <w:rFonts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69B6B2ED">
      <w:pPr>
        <w:spacing w:line="500" w:lineRule="exact"/>
        <w:ind w:firstLine="480"/>
        <w:rPr>
          <w:rFonts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3FEC1491">
      <w:pPr>
        <w:spacing w:line="500" w:lineRule="exact"/>
        <w:ind w:firstLine="480"/>
        <w:rPr>
          <w:rFonts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615B309E">
      <w:pPr>
        <w:spacing w:line="500" w:lineRule="exact"/>
        <w:ind w:firstLine="480"/>
        <w:rPr>
          <w:rFonts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21448FA2">
      <w:pPr>
        <w:spacing w:line="500" w:lineRule="exact"/>
        <w:ind w:firstLine="480"/>
        <w:rPr>
          <w:rFonts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12583EA5">
      <w:pPr>
        <w:spacing w:line="500" w:lineRule="exact"/>
        <w:ind w:firstLine="480"/>
        <w:rPr>
          <w:rFonts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792702E0">
      <w:pPr>
        <w:spacing w:line="500" w:lineRule="exact"/>
        <w:ind w:firstLine="480"/>
        <w:rPr>
          <w:rFonts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4DF1DD21">
      <w:pPr>
        <w:spacing w:line="500" w:lineRule="exact"/>
        <w:ind w:firstLine="480"/>
        <w:rPr>
          <w:rFonts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0910B612">
      <w:pPr>
        <w:spacing w:line="500" w:lineRule="exact"/>
        <w:ind w:firstLine="480"/>
        <w:rPr>
          <w:rFonts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45B1CBE7">
      <w:pPr>
        <w:spacing w:line="500" w:lineRule="exact"/>
        <w:ind w:firstLine="480"/>
        <w:rPr>
          <w:rFonts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）在给定的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14:paraId="0F7F46E7">
      <w:pPr>
        <w:spacing w:line="500" w:lineRule="exact"/>
        <w:ind w:firstLine="480"/>
        <w:rPr>
          <w:rFonts w:ascii="宋体" w:hAnsi="宋体"/>
          <w:bCs/>
          <w:color w:val="000000"/>
          <w:sz w:val="24"/>
        </w:rPr>
      </w:pPr>
      <w:r>
        <w:rPr>
          <w:rFonts w:hint="eastAsia" w:ascii="宋体" w:hAnsi="宋体"/>
          <w:bCs/>
          <w:color w:val="000000"/>
          <w:sz w:val="24"/>
          <w:szCs w:val="24"/>
        </w:rPr>
        <w:t>26.1.23投标文件内容不全或不符合招标文件中规定的其他实质性要求和条件的</w:t>
      </w:r>
    </w:p>
    <w:p w14:paraId="5CFF9803">
      <w:pPr>
        <w:spacing w:line="500" w:lineRule="exact"/>
        <w:ind w:firstLine="480"/>
        <w:rPr>
          <w:rFonts w:ascii="宋体" w:hAnsi="宋体"/>
          <w:bCs/>
          <w:color w:val="000000"/>
          <w:sz w:val="24"/>
        </w:rPr>
      </w:pPr>
      <w:r>
        <w:rPr>
          <w:rFonts w:hint="eastAsia" w:ascii="宋体" w:hAnsi="宋体"/>
          <w:bCs/>
          <w:color w:val="000000"/>
          <w:sz w:val="24"/>
        </w:rPr>
        <w:t>26.1.24其他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750537AF">
      <w:pPr>
        <w:spacing w:line="500" w:lineRule="exact"/>
        <w:ind w:left="479"/>
        <w:rPr>
          <w:rFonts w:ascii="宋体" w:hAnsi="宋体"/>
          <w:bCs/>
          <w:color w:val="000000"/>
          <w:sz w:val="24"/>
        </w:rPr>
      </w:pPr>
      <w:r>
        <w:rPr>
          <w:rFonts w:hint="eastAsia" w:ascii="宋体" w:hAnsi="宋体"/>
          <w:bCs/>
          <w:color w:val="000000"/>
          <w:sz w:val="24"/>
        </w:rPr>
        <w:t>26.2废标条款</w:t>
      </w:r>
    </w:p>
    <w:p w14:paraId="53D240C4">
      <w:pPr>
        <w:spacing w:line="500" w:lineRule="exact"/>
        <w:ind w:left="479"/>
        <w:rPr>
          <w:rFonts w:ascii="宋体" w:hAnsi="宋体"/>
          <w:bCs/>
          <w:color w:val="000000"/>
          <w:sz w:val="24"/>
        </w:rPr>
      </w:pPr>
      <w:r>
        <w:rPr>
          <w:rFonts w:hint="eastAsia" w:ascii="宋体" w:hAnsi="宋体"/>
          <w:bCs/>
          <w:color w:val="000000"/>
          <w:sz w:val="24"/>
        </w:rPr>
        <w:t>26.2.1符合专业条件的供应商或者对招标文件做实质响应的供应商不足三家的。26.2.2出现影响采购公正的违法、违规行为的。</w:t>
      </w:r>
    </w:p>
    <w:p w14:paraId="1645EC2E">
      <w:pPr>
        <w:spacing w:line="500" w:lineRule="exact"/>
        <w:ind w:left="479"/>
        <w:rPr>
          <w:rFonts w:ascii="宋体" w:hAnsi="宋体"/>
          <w:bCs/>
          <w:color w:val="000000"/>
          <w:sz w:val="24"/>
        </w:rPr>
      </w:pPr>
      <w:r>
        <w:rPr>
          <w:rFonts w:hint="eastAsia" w:ascii="宋体" w:hAnsi="宋体"/>
          <w:bCs/>
          <w:color w:val="000000"/>
          <w:sz w:val="24"/>
        </w:rPr>
        <w:t>26.2.3因重大变故，采购任务取消的。</w:t>
      </w:r>
    </w:p>
    <w:p w14:paraId="6D6F23BA">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4496ACA6">
      <w:pPr>
        <w:spacing w:line="500" w:lineRule="exact"/>
        <w:ind w:left="479"/>
        <w:rPr>
          <w:rFonts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1363D26E">
      <w:pPr>
        <w:spacing w:line="500" w:lineRule="exact"/>
        <w:ind w:left="479"/>
        <w:rPr>
          <w:rFonts w:ascii="宋体" w:hAnsi="宋体"/>
          <w:bCs/>
          <w:color w:val="000000"/>
          <w:sz w:val="24"/>
        </w:rPr>
      </w:pPr>
      <w:r>
        <w:rPr>
          <w:rFonts w:hint="eastAsia" w:ascii="宋体" w:hAnsi="宋体"/>
          <w:bCs/>
          <w:color w:val="000000"/>
          <w:sz w:val="24"/>
          <w:szCs w:val="24"/>
        </w:rPr>
        <w:t>26.2.6投标人的报价均超过采购预算，采购人不能支付的。</w:t>
      </w:r>
    </w:p>
    <w:p w14:paraId="587A4920">
      <w:pPr>
        <w:spacing w:line="500" w:lineRule="exact"/>
        <w:ind w:left="479"/>
        <w:rPr>
          <w:rFonts w:ascii="宋体" w:hAnsi="宋体"/>
          <w:bCs/>
          <w:color w:val="000000"/>
          <w:sz w:val="24"/>
        </w:rPr>
      </w:pPr>
      <w:r>
        <w:rPr>
          <w:rFonts w:hint="eastAsia" w:ascii="宋体" w:hAnsi="宋体"/>
          <w:bCs/>
          <w:color w:val="000000"/>
          <w:sz w:val="24"/>
        </w:rPr>
        <w:t>26.3 投标截止时间结束后参加投标的供应商不足三家的处理：</w:t>
      </w:r>
    </w:p>
    <w:p w14:paraId="22592C19">
      <w:pPr>
        <w:spacing w:line="500" w:lineRule="exact"/>
        <w:ind w:firstLine="480"/>
        <w:rPr>
          <w:rFonts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727A1DC2">
      <w:pPr>
        <w:pStyle w:val="4"/>
        <w:keepNext w:val="0"/>
        <w:keepLines w:val="0"/>
        <w:spacing w:before="0" w:after="0" w:line="500" w:lineRule="exact"/>
        <w:ind w:firstLine="452"/>
        <w:rPr>
          <w:color w:val="000000"/>
          <w:sz w:val="30"/>
          <w:szCs w:val="30"/>
          <w:lang w:eastAsia="zh-CN"/>
        </w:rPr>
      </w:pPr>
      <w:bookmarkStart w:id="164" w:name="_Toc120614219"/>
      <w:r>
        <w:rPr>
          <w:rFonts w:hint="eastAsia"/>
          <w:color w:val="000000"/>
          <w:sz w:val="30"/>
          <w:szCs w:val="30"/>
          <w:lang w:eastAsia="zh-CN"/>
        </w:rPr>
        <w:t>六、</w:t>
      </w:r>
      <w:bookmarkEnd w:id="161"/>
      <w:bookmarkEnd w:id="162"/>
      <w:bookmarkEnd w:id="163"/>
      <w:r>
        <w:rPr>
          <w:rFonts w:hint="eastAsia"/>
          <w:color w:val="000000"/>
          <w:sz w:val="30"/>
          <w:szCs w:val="30"/>
          <w:lang w:eastAsia="zh-CN"/>
        </w:rPr>
        <w:t>定标</w:t>
      </w:r>
      <w:bookmarkEnd w:id="164"/>
    </w:p>
    <w:p w14:paraId="6ECDC4FF">
      <w:pPr>
        <w:pStyle w:val="6"/>
        <w:keepNext w:val="0"/>
        <w:keepLines w:val="0"/>
        <w:spacing w:before="0" w:after="0" w:line="500" w:lineRule="exact"/>
        <w:ind w:firstLine="422"/>
        <w:rPr>
          <w:rFonts w:ascii="宋体" w:hAnsi="宋体" w:eastAsia="宋体"/>
          <w:bCs w:val="0"/>
          <w:color w:val="000000"/>
          <w:lang w:eastAsia="zh-CN"/>
        </w:rPr>
      </w:pPr>
      <w:bookmarkStart w:id="165" w:name="_Toc513029238"/>
      <w:bookmarkStart w:id="166" w:name="_Toc20823310"/>
      <w:bookmarkStart w:id="167" w:name="_Toc16938554"/>
      <w:r>
        <w:rPr>
          <w:rFonts w:hint="eastAsia" w:ascii="宋体" w:hAnsi="宋体" w:eastAsia="宋体"/>
          <w:bCs w:val="0"/>
          <w:color w:val="000000"/>
          <w:lang w:eastAsia="zh-CN"/>
        </w:rPr>
        <w:t>27</w:t>
      </w:r>
      <w:bookmarkEnd w:id="165"/>
      <w:r>
        <w:rPr>
          <w:rFonts w:hint="eastAsia" w:ascii="宋体" w:hAnsi="宋体" w:eastAsia="宋体"/>
          <w:bCs w:val="0"/>
          <w:color w:val="000000"/>
          <w:lang w:eastAsia="zh-CN"/>
        </w:rPr>
        <w:t>.确定</w:t>
      </w:r>
      <w:bookmarkEnd w:id="166"/>
      <w:bookmarkEnd w:id="167"/>
      <w:r>
        <w:rPr>
          <w:rFonts w:hint="eastAsia" w:ascii="宋体" w:hAnsi="宋体" w:eastAsia="宋体"/>
          <w:bCs w:val="0"/>
          <w:color w:val="000000"/>
          <w:lang w:eastAsia="zh-CN"/>
        </w:rPr>
        <w:t>中标单位</w:t>
      </w:r>
    </w:p>
    <w:p w14:paraId="05A7458F">
      <w:pPr>
        <w:spacing w:line="500" w:lineRule="exact"/>
        <w:ind w:firstLine="480"/>
        <w:rPr>
          <w:rFonts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7FBFD201">
      <w:pPr>
        <w:spacing w:line="500" w:lineRule="exact"/>
        <w:ind w:firstLine="480"/>
        <w:rPr>
          <w:rFonts w:ascii="宋体" w:hAnsi="宋体"/>
          <w:bCs/>
          <w:color w:val="000000"/>
          <w:sz w:val="24"/>
        </w:rPr>
      </w:pPr>
      <w:r>
        <w:rPr>
          <w:rFonts w:hint="eastAsia" w:ascii="宋体" w:hAnsi="宋体"/>
          <w:bCs/>
          <w:color w:val="000000"/>
          <w:sz w:val="24"/>
        </w:rPr>
        <w:t>27.2采购人应根据评委会推荐的中标候选人名单中按排名先后顺序确定第一名投标人为中标单位。联合体中标的，联合体各方应当共同与采购人签订合同，就中标项目向采购人承担连带责任。</w:t>
      </w:r>
    </w:p>
    <w:p w14:paraId="222F8AD6">
      <w:pPr>
        <w:spacing w:line="500" w:lineRule="exact"/>
        <w:ind w:firstLine="480"/>
        <w:rPr>
          <w:rFonts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无锡市教育信息化和装备管理服务中心将在“无锡政府采购网”“江苏政府采购网”发布中标公告，公告期限为1个工作日。</w:t>
      </w:r>
    </w:p>
    <w:p w14:paraId="03B9A41B">
      <w:pPr>
        <w:spacing w:line="500" w:lineRule="exact"/>
        <w:ind w:firstLine="480"/>
        <w:rPr>
          <w:rFonts w:ascii="宋体" w:hAnsi="宋体"/>
          <w:color w:val="000000"/>
          <w:sz w:val="24"/>
          <w:szCs w:val="24"/>
        </w:rPr>
      </w:pPr>
      <w:r>
        <w:rPr>
          <w:rFonts w:hint="eastAsia" w:ascii="宋体" w:hAnsi="宋体"/>
          <w:color w:val="000000"/>
          <w:sz w:val="24"/>
          <w:szCs w:val="24"/>
        </w:rPr>
        <w:t>27.4中标无效的确认</w:t>
      </w:r>
    </w:p>
    <w:p w14:paraId="034BB00F">
      <w:pPr>
        <w:spacing w:line="500" w:lineRule="exact"/>
        <w:ind w:firstLine="480"/>
        <w:rPr>
          <w:rFonts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055B5AFF">
      <w:pPr>
        <w:spacing w:line="500" w:lineRule="exact"/>
        <w:ind w:firstLine="480"/>
        <w:rPr>
          <w:rFonts w:ascii="宋体" w:hAnsi="宋体"/>
          <w:color w:val="000000"/>
          <w:sz w:val="24"/>
          <w:szCs w:val="24"/>
        </w:rPr>
      </w:pPr>
      <w:r>
        <w:rPr>
          <w:rFonts w:hint="eastAsia" w:ascii="宋体" w:hAnsi="宋体"/>
          <w:color w:val="000000"/>
          <w:sz w:val="24"/>
          <w:szCs w:val="24"/>
        </w:rPr>
        <w:t>27.4.1提供虚假材料谋取中标的。</w:t>
      </w:r>
    </w:p>
    <w:p w14:paraId="1CE0F122">
      <w:pPr>
        <w:spacing w:line="500" w:lineRule="exact"/>
        <w:ind w:firstLine="480"/>
        <w:rPr>
          <w:rFonts w:ascii="宋体" w:hAnsi="宋体"/>
          <w:color w:val="000000"/>
          <w:sz w:val="24"/>
          <w:szCs w:val="24"/>
        </w:rPr>
      </w:pPr>
      <w:r>
        <w:rPr>
          <w:rFonts w:hint="eastAsia" w:ascii="宋体" w:hAnsi="宋体"/>
          <w:color w:val="000000"/>
          <w:sz w:val="24"/>
          <w:szCs w:val="24"/>
        </w:rPr>
        <w:t>27.4.2向采购人、无锡市教育信息化和装备管理服务中心行贿或者提供其他不正当利益的。</w:t>
      </w:r>
    </w:p>
    <w:p w14:paraId="062C3612">
      <w:pPr>
        <w:spacing w:line="500" w:lineRule="exact"/>
        <w:ind w:firstLine="480"/>
        <w:rPr>
          <w:rFonts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67F8F236">
      <w:pPr>
        <w:spacing w:line="500" w:lineRule="exact"/>
        <w:ind w:firstLine="480"/>
        <w:rPr>
          <w:rFonts w:ascii="宋体" w:hAnsi="宋体"/>
          <w:color w:val="000000"/>
          <w:sz w:val="24"/>
          <w:szCs w:val="24"/>
        </w:rPr>
      </w:pPr>
      <w:r>
        <w:rPr>
          <w:rFonts w:hint="eastAsia" w:ascii="宋体" w:hAnsi="宋体"/>
          <w:color w:val="000000"/>
          <w:sz w:val="24"/>
          <w:szCs w:val="24"/>
        </w:rPr>
        <w:t>27.4.4与采购人或者其他供应商恶意串通的。</w:t>
      </w:r>
    </w:p>
    <w:p w14:paraId="35B1975F">
      <w:pPr>
        <w:spacing w:line="500" w:lineRule="exact"/>
        <w:ind w:firstLine="480"/>
        <w:rPr>
          <w:rFonts w:ascii="宋体" w:hAnsi="宋体"/>
          <w:color w:val="000000"/>
          <w:sz w:val="24"/>
          <w:szCs w:val="24"/>
        </w:rPr>
      </w:pPr>
      <w:r>
        <w:rPr>
          <w:rFonts w:hint="eastAsia" w:ascii="宋体" w:hAnsi="宋体"/>
          <w:color w:val="000000"/>
          <w:sz w:val="24"/>
          <w:szCs w:val="24"/>
        </w:rPr>
        <w:t>27.4.5采取不正当手段诋毁、排挤其他供应商的。</w:t>
      </w:r>
    </w:p>
    <w:p w14:paraId="1CA890BE">
      <w:pPr>
        <w:spacing w:line="500" w:lineRule="exact"/>
        <w:ind w:firstLine="480"/>
        <w:rPr>
          <w:rFonts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64EDFF7F">
      <w:pPr>
        <w:spacing w:line="500" w:lineRule="exact"/>
        <w:ind w:firstLine="480"/>
        <w:rPr>
          <w:rFonts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751FF774">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65BA9869">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589EA036">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36C5D384">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0722BB8E">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6767FBC0">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28.质疑处理</w:t>
      </w:r>
      <w:bookmarkEnd w:id="168"/>
    </w:p>
    <w:p w14:paraId="4BA7AF84">
      <w:pPr>
        <w:spacing w:line="500" w:lineRule="exact"/>
        <w:ind w:firstLine="480"/>
        <w:rPr>
          <w:rFonts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提出质疑的供应商应当是参与所质疑项目采购活动的供应商。潜在供应商依法获取其可质疑的采购文件的，可以对采购文件提出质疑。</w:t>
      </w:r>
    </w:p>
    <w:p w14:paraId="6E72BF75">
      <w:pPr>
        <w:spacing w:line="500" w:lineRule="exact"/>
        <w:ind w:firstLine="480"/>
        <w:rPr>
          <w:rFonts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无锡市教育信息化和装备管理服务中心</w:t>
      </w:r>
      <w:r>
        <w:rPr>
          <w:rFonts w:hint="eastAsia" w:ascii="宋体" w:hAnsi="宋体"/>
          <w:color w:val="000000"/>
          <w:sz w:val="24"/>
          <w:szCs w:val="24"/>
          <w:lang w:eastAsia="zh-CN"/>
        </w:rPr>
        <w:t>质疑</w:t>
      </w:r>
      <w:r>
        <w:rPr>
          <w:rFonts w:hint="eastAsia" w:ascii="宋体" w:hAnsi="宋体"/>
          <w:color w:val="000000"/>
          <w:sz w:val="24"/>
          <w:szCs w:val="24"/>
        </w:rPr>
        <w:t>，供应商因未按该规定以相应事项向相应机构提出质疑从而造成质疑超出政府采购法定期限或其他情形导致质疑不予受理或无法受理的，由供应商自行承担。上述应知其权益受到损害之日，是指：</w:t>
      </w:r>
    </w:p>
    <w:p w14:paraId="2EA56DE7">
      <w:pPr>
        <w:spacing w:line="500" w:lineRule="exact"/>
        <w:ind w:firstLine="480"/>
        <w:rPr>
          <w:rFonts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对可以质疑的采购文件提出质疑的，为收到采购文件之日或者采购文件公告期限届满之日；</w:t>
      </w:r>
    </w:p>
    <w:p w14:paraId="0AA988A8">
      <w:pPr>
        <w:spacing w:line="500" w:lineRule="exact"/>
        <w:ind w:firstLine="480"/>
        <w:rPr>
          <w:rFonts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对采购过程提出质疑的，为各采购程序环节结束之日；</w:t>
      </w:r>
    </w:p>
    <w:p w14:paraId="4AB8F474">
      <w:pPr>
        <w:spacing w:line="500" w:lineRule="exact"/>
        <w:ind w:firstLine="480"/>
        <w:rPr>
          <w:rFonts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对中标或者成交结果提出质疑的，为中标或者成交结果公告期限届满之日。</w:t>
      </w:r>
    </w:p>
    <w:p w14:paraId="77137FDC">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w:t>
      </w:r>
      <w:r>
        <w:rPr>
          <w:rFonts w:hint="eastAsia" w:ascii="宋体" w:hAnsi="宋体" w:cs="宋体"/>
          <w:sz w:val="24"/>
          <w:szCs w:val="24"/>
        </w:rPr>
        <w:t>（采购文件，采购过程或结果）</w:t>
      </w:r>
      <w:r>
        <w:rPr>
          <w:rFonts w:hint="eastAsia" w:ascii="宋体" w:hAnsi="宋体"/>
          <w:color w:val="000000"/>
          <w:sz w:val="24"/>
          <w:szCs w:val="24"/>
        </w:rPr>
        <w:t>质疑。供应商如在法定期限内对同一采购程序环节提出多次质疑的，无锡市教育信息化和装备管理服务中心、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6D9B790A">
      <w:pPr>
        <w:spacing w:line="500" w:lineRule="exact"/>
        <w:ind w:firstLine="480"/>
        <w:rPr>
          <w:rFonts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0B89028E">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装备管理服务中心提出，由无锡市教育信息化和装备管理服务中心负责答复。</w:t>
      </w:r>
    </w:p>
    <w:p w14:paraId="24A559B0">
      <w:pPr>
        <w:spacing w:line="500" w:lineRule="exact"/>
        <w:ind w:firstLine="480"/>
        <w:rPr>
          <w:rFonts w:ascii="宋体" w:hAnsi="宋体"/>
          <w:color w:val="000000"/>
          <w:sz w:val="24"/>
          <w:szCs w:val="24"/>
        </w:rPr>
      </w:pPr>
      <w:r>
        <w:rPr>
          <w:rFonts w:hint="eastAsia" w:ascii="宋体" w:hAnsi="宋体"/>
          <w:color w:val="000000"/>
          <w:sz w:val="24"/>
          <w:szCs w:val="24"/>
        </w:rPr>
        <w:t>采购人、无锡市教育信息化和装备管理服务中心只接收以纸质原件形式送达的质疑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质疑供应商可通过面交或邮寄方式送达（采购人和无锡市教育信息化和装备管理服务中心不接受未填写快递运单的快件）。</w:t>
      </w:r>
    </w:p>
    <w:p w14:paraId="11FC7EE5">
      <w:pPr>
        <w:spacing w:line="500" w:lineRule="exact"/>
        <w:ind w:firstLine="480"/>
        <w:rPr>
          <w:rFonts w:ascii="宋体" w:hAnsi="宋体"/>
          <w:color w:val="000000"/>
          <w:sz w:val="24"/>
          <w:szCs w:val="24"/>
        </w:rPr>
      </w:pPr>
      <w:r>
        <w:rPr>
          <w:rFonts w:hint="eastAsia" w:ascii="宋体" w:hAnsi="宋体"/>
          <w:color w:val="000000"/>
          <w:sz w:val="24"/>
          <w:szCs w:val="24"/>
        </w:rPr>
        <w:t>采购人、无锡市教育信息化和装备管理服务中心联系人、联系方式、通信地址见招标文件第一章。</w:t>
      </w:r>
    </w:p>
    <w:p w14:paraId="68FD4749">
      <w:pPr>
        <w:spacing w:line="500" w:lineRule="exact"/>
        <w:ind w:firstLine="480"/>
        <w:rPr>
          <w:rFonts w:ascii="宋体" w:hAnsi="宋体"/>
          <w:color w:val="000000"/>
          <w:sz w:val="24"/>
          <w:szCs w:val="24"/>
        </w:rPr>
      </w:pPr>
      <w:r>
        <w:rPr>
          <w:rFonts w:hint="eastAsia" w:ascii="宋体" w:hAnsi="宋体"/>
          <w:color w:val="000000"/>
          <w:sz w:val="24"/>
          <w:szCs w:val="24"/>
        </w:rPr>
        <w:t>28.5 以下情形的质疑不予受理</w:t>
      </w:r>
    </w:p>
    <w:p w14:paraId="20EBA212">
      <w:pPr>
        <w:spacing w:line="500" w:lineRule="exact"/>
        <w:ind w:firstLine="480"/>
        <w:rPr>
          <w:rFonts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63CCA85D">
      <w:pPr>
        <w:spacing w:line="500" w:lineRule="exact"/>
        <w:ind w:firstLine="480"/>
        <w:rPr>
          <w:rFonts w:ascii="宋体" w:hAnsi="宋体"/>
          <w:color w:val="000000"/>
          <w:sz w:val="24"/>
          <w:szCs w:val="24"/>
        </w:rPr>
      </w:pPr>
      <w:r>
        <w:rPr>
          <w:rFonts w:hint="eastAsia" w:ascii="宋体" w:hAnsi="宋体"/>
          <w:color w:val="000000"/>
          <w:sz w:val="24"/>
          <w:szCs w:val="24"/>
        </w:rPr>
        <w:t>28.5.2 超出政府采购法定期限的质疑。</w:t>
      </w:r>
    </w:p>
    <w:p w14:paraId="47CA54A8">
      <w:pPr>
        <w:spacing w:line="500" w:lineRule="exact"/>
        <w:ind w:firstLine="480"/>
        <w:rPr>
          <w:rFonts w:ascii="宋体" w:hAnsi="宋体"/>
          <w:color w:val="000000"/>
          <w:sz w:val="24"/>
          <w:szCs w:val="24"/>
        </w:rPr>
      </w:pPr>
      <w:r>
        <w:rPr>
          <w:rFonts w:hint="eastAsia" w:ascii="宋体" w:hAnsi="宋体"/>
          <w:color w:val="000000"/>
          <w:sz w:val="24"/>
          <w:szCs w:val="24"/>
        </w:rPr>
        <w:t>28.5.3 以传真、电子邮件等方式递交的非原件形式的质疑。</w:t>
      </w:r>
    </w:p>
    <w:p w14:paraId="792C2599">
      <w:pPr>
        <w:spacing w:line="500" w:lineRule="exact"/>
        <w:ind w:firstLine="480"/>
        <w:rPr>
          <w:rFonts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0781BEB5">
      <w:pPr>
        <w:spacing w:line="500" w:lineRule="exact"/>
        <w:ind w:firstLine="480"/>
        <w:rPr>
          <w:rFonts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352310CC">
      <w:pPr>
        <w:spacing w:line="500" w:lineRule="exact"/>
        <w:ind w:firstLine="468"/>
        <w:rPr>
          <w:rFonts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w:t>
      </w:r>
      <w:r>
        <w:rPr>
          <w:rFonts w:hint="eastAsia" w:ascii="宋体" w:hAnsi="宋体"/>
          <w:bCs/>
          <w:color w:val="000000"/>
          <w:sz w:val="24"/>
          <w:lang w:eastAsia="zh-CN"/>
        </w:rPr>
        <w:t>事宜</w:t>
      </w:r>
      <w:r>
        <w:rPr>
          <w:rFonts w:hint="eastAsia" w:ascii="宋体" w:hAnsi="宋体"/>
          <w:bCs/>
          <w:color w:val="000000"/>
          <w:sz w:val="24"/>
        </w:rPr>
        <w:t>的，</w:t>
      </w:r>
      <w:r>
        <w:rPr>
          <w:rFonts w:hint="eastAsia" w:ascii="宋体" w:hAnsi="宋体"/>
          <w:color w:val="000000"/>
          <w:sz w:val="24"/>
          <w:szCs w:val="24"/>
        </w:rPr>
        <w:t>一经查实，无锡市教育信息化和装备管理服务中心有权依据政府采购的有关规定，报请政府采购监管部门对该供应商进行相应的行政处罚和记录该供应商的失信信息。</w:t>
      </w:r>
    </w:p>
    <w:p w14:paraId="461D74AC">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29.中标通知书</w:t>
      </w:r>
    </w:p>
    <w:p w14:paraId="0DA867A7">
      <w:pPr>
        <w:spacing w:line="500" w:lineRule="exact"/>
        <w:ind w:firstLine="480"/>
        <w:rPr>
          <w:rFonts w:ascii="宋体" w:hAnsi="宋体"/>
          <w:color w:val="000000"/>
          <w:sz w:val="24"/>
          <w:szCs w:val="24"/>
        </w:rPr>
      </w:pPr>
      <w:r>
        <w:rPr>
          <w:rFonts w:hint="eastAsia" w:ascii="宋体" w:hAnsi="宋体"/>
          <w:color w:val="000000"/>
          <w:sz w:val="24"/>
          <w:szCs w:val="24"/>
        </w:rPr>
        <w:t>29.l中标结果确定后，无锡市教育信息化和装备管理服务中心将向中标人发出中标通知书。请中标人在中标结果公告届满之日起30日内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24AE2808">
      <w:pPr>
        <w:spacing w:line="500" w:lineRule="exact"/>
        <w:ind w:firstLine="480"/>
        <w:rPr>
          <w:rFonts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0964B0EB">
      <w:pPr>
        <w:pStyle w:val="4"/>
        <w:keepNext w:val="0"/>
        <w:keepLines w:val="0"/>
        <w:spacing w:before="0" w:after="0" w:line="500" w:lineRule="exact"/>
        <w:ind w:firstLine="452"/>
        <w:rPr>
          <w:color w:val="000000"/>
          <w:sz w:val="30"/>
          <w:szCs w:val="30"/>
          <w:lang w:eastAsia="zh-CN"/>
        </w:rPr>
      </w:pPr>
      <w:bookmarkStart w:id="169" w:name="_Toc120614220"/>
      <w:bookmarkStart w:id="170" w:name="_Toc513029236"/>
      <w:bookmarkStart w:id="171" w:name="_Toc16938552"/>
      <w:bookmarkStart w:id="172" w:name="_Toc20823308"/>
      <w:r>
        <w:rPr>
          <w:rFonts w:hint="eastAsia"/>
          <w:color w:val="000000"/>
          <w:sz w:val="30"/>
          <w:szCs w:val="30"/>
          <w:lang w:eastAsia="zh-CN"/>
        </w:rPr>
        <w:t>七、授予合同</w:t>
      </w:r>
      <w:bookmarkEnd w:id="169"/>
    </w:p>
    <w:bookmarkEnd w:id="170"/>
    <w:bookmarkEnd w:id="171"/>
    <w:bookmarkEnd w:id="172"/>
    <w:p w14:paraId="6CADE7AF">
      <w:pPr>
        <w:pStyle w:val="6"/>
        <w:keepNext w:val="0"/>
        <w:keepLines w:val="0"/>
        <w:spacing w:before="0" w:after="0" w:line="500" w:lineRule="exact"/>
        <w:ind w:firstLine="422"/>
        <w:rPr>
          <w:rFonts w:ascii="宋体" w:hAnsi="宋体" w:eastAsia="宋体"/>
          <w:bCs w:val="0"/>
          <w:color w:val="000000"/>
          <w:lang w:eastAsia="zh-CN"/>
        </w:rPr>
      </w:pPr>
      <w:bookmarkStart w:id="173" w:name="_Toc16938553"/>
      <w:bookmarkStart w:id="174" w:name="_Toc513029237"/>
      <w:bookmarkStart w:id="175" w:name="_Toc20823309"/>
      <w:r>
        <w:rPr>
          <w:rFonts w:hint="eastAsia" w:ascii="宋体" w:hAnsi="宋体" w:eastAsia="宋体"/>
          <w:bCs w:val="0"/>
          <w:color w:val="000000"/>
          <w:lang w:eastAsia="zh-CN"/>
        </w:rPr>
        <w:t>30.签订合同</w:t>
      </w:r>
    </w:p>
    <w:p w14:paraId="3A3F0D51">
      <w:pPr>
        <w:spacing w:line="500" w:lineRule="exact"/>
        <w:ind w:firstLine="480"/>
        <w:rPr>
          <w:rFonts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512D6F72">
      <w:pPr>
        <w:spacing w:line="500" w:lineRule="exact"/>
        <w:ind w:firstLine="480"/>
        <w:rPr>
          <w:rFonts w:ascii="宋体" w:hAnsi="宋体"/>
          <w:color w:val="000000"/>
          <w:sz w:val="24"/>
          <w:szCs w:val="24"/>
        </w:rPr>
      </w:pPr>
      <w:r>
        <w:rPr>
          <w:rFonts w:hint="eastAsia" w:ascii="宋体" w:hAnsi="宋体"/>
          <w:color w:val="000000"/>
          <w:sz w:val="24"/>
          <w:szCs w:val="24"/>
        </w:rPr>
        <w:t>30.2中标人非因不可抗力未履行招、投标文件和合同规定的义务，一经查实，无锡市教育信息化和装备管理服务中心将根据具体情况提请政府采购管理部门作出相应处理。</w:t>
      </w:r>
    </w:p>
    <w:p w14:paraId="7D0B50BA">
      <w:pPr>
        <w:spacing w:line="500" w:lineRule="exact"/>
        <w:ind w:firstLine="480"/>
        <w:rPr>
          <w:rFonts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2CAF5F64">
      <w:pPr>
        <w:spacing w:line="500" w:lineRule="exact"/>
        <w:ind w:firstLine="480"/>
        <w:rPr>
          <w:rFonts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7D29C1F">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31.服务（包含与服务相关的货物）的追加</w:t>
      </w:r>
    </w:p>
    <w:p w14:paraId="584D3056">
      <w:pPr>
        <w:spacing w:line="500" w:lineRule="exact"/>
        <w:ind w:firstLine="480"/>
        <w:rPr>
          <w:rFonts w:ascii="宋体" w:hAnsi="宋体"/>
          <w:color w:val="000000"/>
          <w:sz w:val="24"/>
          <w:szCs w:val="24"/>
        </w:rPr>
      </w:pPr>
      <w:r>
        <w:rPr>
          <w:rFonts w:hint="eastAsia" w:ascii="宋体" w:hAnsi="宋体"/>
          <w:color w:val="000000"/>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的10%。</w:t>
      </w:r>
    </w:p>
    <w:bookmarkEnd w:id="173"/>
    <w:bookmarkEnd w:id="174"/>
    <w:bookmarkEnd w:id="175"/>
    <w:p w14:paraId="44671278">
      <w:pPr>
        <w:pStyle w:val="5"/>
        <w:spacing w:line="500" w:lineRule="exact"/>
        <w:jc w:val="center"/>
        <w:rPr>
          <w:rFonts w:ascii="黑体" w:eastAsia="黑体"/>
          <w:bCs/>
          <w:color w:val="000000"/>
          <w:sz w:val="36"/>
          <w:szCs w:val="36"/>
          <w:lang w:eastAsia="zh-CN"/>
        </w:rPr>
      </w:pPr>
      <w:bookmarkStart w:id="176" w:name="_Toc513029242"/>
      <w:bookmarkStart w:id="177" w:name="_Toc16938558"/>
      <w:bookmarkStart w:id="178" w:name="_Toc120614221"/>
      <w:bookmarkStart w:id="179" w:name="_Toc20823314"/>
      <w:bookmarkStart w:id="180" w:name="_Toc479757207"/>
      <w:r>
        <w:rPr>
          <w:rFonts w:ascii="宋体" w:hAnsi="宋体"/>
          <w:bCs/>
          <w:color w:val="000000"/>
          <w:sz w:val="24"/>
          <w:shd w:val="clear" w:color="FFFFFF" w:fill="D9D9D9"/>
          <w:lang w:eastAsia="zh-CN"/>
        </w:rPr>
        <w:br w:type="page" w:clear="all"/>
      </w:r>
      <w:r>
        <w:rPr>
          <w:rFonts w:hint="eastAsia" w:ascii="黑体" w:eastAsia="黑体"/>
          <w:bCs/>
          <w:color w:val="000000"/>
          <w:sz w:val="36"/>
          <w:szCs w:val="36"/>
          <w:lang w:eastAsia="zh-CN"/>
        </w:rPr>
        <w:t>第三章  合同</w:t>
      </w:r>
      <w:bookmarkEnd w:id="176"/>
      <w:bookmarkEnd w:id="177"/>
      <w:bookmarkEnd w:id="178"/>
      <w:bookmarkEnd w:id="179"/>
      <w:bookmarkEnd w:id="180"/>
      <w:r>
        <w:rPr>
          <w:rFonts w:hint="eastAsia" w:ascii="黑体" w:eastAsia="黑体"/>
          <w:bCs/>
          <w:color w:val="000000"/>
          <w:sz w:val="36"/>
          <w:szCs w:val="36"/>
          <w:lang w:eastAsia="zh-CN"/>
        </w:rPr>
        <w:t>文本</w:t>
      </w:r>
    </w:p>
    <w:p w14:paraId="56DA088D">
      <w:pPr>
        <w:spacing w:line="400" w:lineRule="exact"/>
        <w:ind w:firstLine="480"/>
        <w:rPr>
          <w:rFonts w:ascii="宋体" w:hAnsi="宋体"/>
          <w:bCs/>
          <w:color w:val="000000"/>
          <w:sz w:val="24"/>
        </w:rPr>
      </w:pPr>
      <w:bookmarkStart w:id="181" w:name="_Toc513029243"/>
      <w:bookmarkStart w:id="182" w:name="_Toc20823315"/>
      <w:bookmarkStart w:id="183" w:name="_Toc16938559"/>
      <w:r>
        <w:rPr>
          <w:rFonts w:hint="eastAsia" w:ascii="宋体" w:hAnsi="宋体"/>
          <w:bCs/>
          <w:color w:val="000000"/>
          <w:sz w:val="24"/>
        </w:rPr>
        <w:t>以下为中标后签订本项目合同的通用条款，中标人不得提出实质性的修改。</w:t>
      </w:r>
    </w:p>
    <w:p w14:paraId="036A682B">
      <w:pPr>
        <w:spacing w:line="400" w:lineRule="exact"/>
        <w:ind w:firstLine="602"/>
        <w:jc w:val="center"/>
        <w:rPr>
          <w:rFonts w:ascii="宋体" w:hAnsi="宋体"/>
          <w:b/>
          <w:bCs/>
          <w:sz w:val="30"/>
          <w:szCs w:val="20"/>
        </w:rPr>
      </w:pPr>
      <w:r>
        <w:rPr>
          <w:rFonts w:hint="eastAsia" w:ascii="宋体" w:hAnsi="宋体"/>
          <w:b/>
          <w:sz w:val="30"/>
        </w:rPr>
        <w:t>江苏省政府采购合同</w:t>
      </w:r>
    </w:p>
    <w:p w14:paraId="6AF522A5">
      <w:pPr>
        <w:spacing w:line="400" w:lineRule="exact"/>
        <w:rPr>
          <w:rFonts w:ascii="宋体" w:hAnsi="宋体" w:cs="Courier New"/>
          <w:sz w:val="24"/>
          <w:szCs w:val="24"/>
        </w:rPr>
      </w:pPr>
      <w:r>
        <w:rPr>
          <w:rFonts w:ascii="宋体" w:hAnsi="宋体" w:cs="Courier New"/>
          <w:sz w:val="24"/>
          <w:szCs w:val="24"/>
        </w:rPr>
        <w:t>项目名称：                                       项目编号：</w:t>
      </w:r>
    </w:p>
    <w:p w14:paraId="676822A4">
      <w:pPr>
        <w:spacing w:line="400" w:lineRule="exact"/>
        <w:rPr>
          <w:rFonts w:ascii="宋体" w:hAnsi="宋体" w:cs="Courier New"/>
          <w:sz w:val="24"/>
          <w:szCs w:val="24"/>
        </w:rPr>
      </w:pPr>
      <w:r>
        <w:rPr>
          <w:rFonts w:ascii="宋体" w:hAnsi="宋体" w:cs="Courier New"/>
          <w:sz w:val="24"/>
          <w:szCs w:val="24"/>
        </w:rPr>
        <w:t>甲方：（买方、需方、采购人）_________</w:t>
      </w:r>
    </w:p>
    <w:p w14:paraId="07C0F49D">
      <w:pPr>
        <w:spacing w:line="400" w:lineRule="exact"/>
        <w:rPr>
          <w:rFonts w:ascii="宋体" w:hAnsi="宋体" w:cs="Courier New"/>
          <w:sz w:val="24"/>
          <w:szCs w:val="24"/>
        </w:rPr>
      </w:pPr>
      <w:r>
        <w:rPr>
          <w:rFonts w:ascii="宋体" w:hAnsi="宋体" w:cs="Courier New"/>
          <w:sz w:val="24"/>
          <w:szCs w:val="24"/>
        </w:rPr>
        <w:t>乙方：（卖方、供方、供应商）_________</w:t>
      </w:r>
    </w:p>
    <w:p w14:paraId="408793ED">
      <w:pPr>
        <w:spacing w:line="400" w:lineRule="exact"/>
        <w:ind w:firstLine="480"/>
        <w:rPr>
          <w:rFonts w:ascii="宋体" w:hAnsi="宋体" w:cs="Courier New"/>
          <w:b/>
          <w:sz w:val="24"/>
          <w:szCs w:val="24"/>
        </w:rPr>
      </w:pPr>
      <w:r>
        <w:rPr>
          <w:rFonts w:ascii="宋体" w:hAnsi="宋体" w:cs="Courier New"/>
          <w:sz w:val="24"/>
          <w:szCs w:val="24"/>
        </w:rPr>
        <w:t>甲、乙双方根据</w:t>
      </w:r>
      <w:r>
        <w:rPr>
          <w:rFonts w:hint="eastAsia" w:ascii="宋体" w:hAnsi="宋体" w:cs="Courier New"/>
          <w:sz w:val="24"/>
          <w:szCs w:val="24"/>
        </w:rPr>
        <w:t>无锡市公共资源交易中心</w:t>
      </w:r>
      <w:r>
        <w:rPr>
          <w:rFonts w:hint="eastAsia" w:ascii="宋体" w:hAnsi="宋体" w:cs="Courier New"/>
          <w:sz w:val="24"/>
          <w:szCs w:val="24"/>
          <w:u w:val="single"/>
        </w:rPr>
        <w:t xml:space="preserve">   </w:t>
      </w:r>
      <w:r>
        <w:rPr>
          <w:rFonts w:ascii="宋体" w:hAnsi="宋体" w:cs="Courier New"/>
          <w:sz w:val="24"/>
          <w:szCs w:val="24"/>
        </w:rPr>
        <w:t>项目公开招标的结果，签署本合同。</w:t>
      </w:r>
    </w:p>
    <w:p w14:paraId="2331A318">
      <w:pPr>
        <w:spacing w:line="400" w:lineRule="exact"/>
        <w:ind w:firstLine="482"/>
        <w:rPr>
          <w:rFonts w:ascii="宋体" w:hAnsi="宋体" w:cs="Courier New"/>
          <w:b/>
          <w:sz w:val="24"/>
          <w:szCs w:val="24"/>
        </w:rPr>
      </w:pPr>
      <w:r>
        <w:rPr>
          <w:rFonts w:ascii="宋体" w:hAnsi="宋体" w:cs="Courier New"/>
          <w:b/>
          <w:sz w:val="24"/>
          <w:szCs w:val="24"/>
        </w:rPr>
        <w:t>一、</w:t>
      </w:r>
      <w:r>
        <w:rPr>
          <w:rFonts w:hint="eastAsia" w:ascii="宋体" w:hAnsi="宋体" w:cs="Courier New"/>
          <w:b/>
          <w:sz w:val="24"/>
          <w:szCs w:val="24"/>
        </w:rPr>
        <w:t>合同</w:t>
      </w:r>
      <w:r>
        <w:rPr>
          <w:rFonts w:ascii="宋体" w:hAnsi="宋体" w:cs="Courier New"/>
          <w:b/>
          <w:sz w:val="24"/>
          <w:szCs w:val="24"/>
        </w:rPr>
        <w:t>内容</w:t>
      </w:r>
    </w:p>
    <w:p w14:paraId="65CBAC5D">
      <w:pPr>
        <w:spacing w:line="400" w:lineRule="exact"/>
        <w:ind w:firstLine="48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p>
    <w:p w14:paraId="2C794CE6">
      <w:pPr>
        <w:spacing w:line="400" w:lineRule="exact"/>
        <w:ind w:firstLine="480"/>
        <w:rPr>
          <w:rFonts w:ascii="宋体" w:hAnsi="宋体" w:cs="Courier New"/>
          <w:sz w:val="24"/>
          <w:szCs w:val="24"/>
        </w:rPr>
      </w:pPr>
      <w:r>
        <w:rPr>
          <w:rFonts w:ascii="宋体" w:hAnsi="宋体" w:cs="Courier New"/>
          <w:sz w:val="24"/>
          <w:szCs w:val="24"/>
        </w:rPr>
        <w:t>1.2</w:t>
      </w:r>
      <w:r>
        <w:rPr>
          <w:rFonts w:hint="eastAsia" w:ascii="宋体" w:hAnsi="宋体" w:cs="Courier New"/>
          <w:sz w:val="24"/>
          <w:szCs w:val="24"/>
        </w:rPr>
        <w:t xml:space="preserve"> 标的质量：</w:t>
      </w:r>
    </w:p>
    <w:p w14:paraId="31C239C8">
      <w:pPr>
        <w:spacing w:line="400" w:lineRule="exact"/>
        <w:ind w:firstLine="480"/>
        <w:rPr>
          <w:rFonts w:ascii="宋体" w:hAnsi="宋体" w:cs="Courier New"/>
          <w:sz w:val="24"/>
          <w:szCs w:val="24"/>
        </w:rPr>
      </w:pPr>
      <w:r>
        <w:rPr>
          <w:rFonts w:hint="eastAsia" w:ascii="宋体" w:hAnsi="宋体" w:cs="Courier New"/>
          <w:sz w:val="24"/>
          <w:szCs w:val="24"/>
        </w:rPr>
        <w:t>1.3 标的数量（规模）：</w:t>
      </w:r>
    </w:p>
    <w:p w14:paraId="3814389D">
      <w:pPr>
        <w:spacing w:line="400" w:lineRule="exact"/>
        <w:ind w:firstLine="480"/>
        <w:rPr>
          <w:rFonts w:ascii="宋体" w:hAnsi="宋体" w:cs="Courier New"/>
          <w:sz w:val="24"/>
          <w:szCs w:val="24"/>
        </w:rPr>
      </w:pPr>
      <w:r>
        <w:rPr>
          <w:rFonts w:hint="eastAsia" w:ascii="宋体" w:hAnsi="宋体" w:cs="Courier New"/>
          <w:sz w:val="24"/>
          <w:szCs w:val="24"/>
        </w:rPr>
        <w:t>1.4 履行时间（期限）：</w:t>
      </w:r>
    </w:p>
    <w:p w14:paraId="50B83AA2">
      <w:pPr>
        <w:spacing w:line="400" w:lineRule="exact"/>
        <w:ind w:firstLine="480"/>
        <w:rPr>
          <w:rFonts w:ascii="宋体" w:hAnsi="宋体" w:cs="Courier New"/>
          <w:sz w:val="24"/>
          <w:szCs w:val="24"/>
        </w:rPr>
      </w:pPr>
      <w:r>
        <w:rPr>
          <w:rFonts w:hint="eastAsia" w:ascii="宋体" w:hAnsi="宋体" w:cs="Courier New"/>
          <w:sz w:val="24"/>
          <w:szCs w:val="24"/>
        </w:rPr>
        <w:t>1.5 履行地点：</w:t>
      </w:r>
    </w:p>
    <w:p w14:paraId="536F3C06">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 履行方式：</w:t>
      </w:r>
    </w:p>
    <w:p w14:paraId="38252730">
      <w:pPr>
        <w:spacing w:line="400" w:lineRule="exact"/>
        <w:ind w:firstLine="480"/>
        <w:rPr>
          <w:rFonts w:ascii="宋体" w:hAnsi="宋体" w:cs="Courier New"/>
          <w:sz w:val="24"/>
          <w:szCs w:val="24"/>
        </w:rPr>
      </w:pPr>
      <w:r>
        <w:rPr>
          <w:rFonts w:hint="eastAsia" w:ascii="宋体" w:hAnsi="宋体" w:cs="Courier New"/>
          <w:sz w:val="24"/>
          <w:szCs w:val="24"/>
        </w:rPr>
        <w:t>1.7 包装方式：</w:t>
      </w:r>
    </w:p>
    <w:p w14:paraId="717944E2">
      <w:pPr>
        <w:spacing w:line="400" w:lineRule="exact"/>
        <w:ind w:firstLine="482"/>
        <w:rPr>
          <w:rFonts w:ascii="宋体" w:hAnsi="宋体" w:cs="Courier New"/>
          <w:b/>
          <w:sz w:val="24"/>
          <w:szCs w:val="24"/>
        </w:rPr>
      </w:pPr>
      <w:r>
        <w:rPr>
          <w:rFonts w:ascii="宋体" w:hAnsi="宋体" w:cs="Courier New"/>
          <w:b/>
          <w:sz w:val="24"/>
          <w:szCs w:val="24"/>
        </w:rPr>
        <w:t>二、合同金额</w:t>
      </w:r>
    </w:p>
    <w:p w14:paraId="413E5206">
      <w:pPr>
        <w:spacing w:line="400" w:lineRule="exact"/>
        <w:ind w:firstLine="480"/>
        <w:rPr>
          <w:rFonts w:ascii="宋体" w:hAnsi="宋体" w:cs="Courier New"/>
          <w:sz w:val="24"/>
          <w:szCs w:val="24"/>
        </w:rPr>
      </w:pPr>
      <w:r>
        <w:rPr>
          <w:rFonts w:ascii="宋体" w:hAnsi="宋体" w:cs="Courier New"/>
          <w:sz w:val="24"/>
          <w:szCs w:val="24"/>
        </w:rPr>
        <w:t>2.1</w:t>
      </w:r>
      <w:r>
        <w:rPr>
          <w:rFonts w:hAnsi="宋体"/>
          <w:sz w:val="24"/>
          <w:szCs w:val="24"/>
        </w:rPr>
        <w:t>本合同金额为（大写）： _____________</w:t>
      </w:r>
      <w:r>
        <w:rPr>
          <w:rFonts w:hint="eastAsia" w:hAnsi="宋体"/>
          <w:sz w:val="24"/>
          <w:szCs w:val="24"/>
        </w:rPr>
        <w:t>圆</w:t>
      </w:r>
      <w:r>
        <w:rPr>
          <w:rFonts w:hAnsi="宋体"/>
          <w:sz w:val="24"/>
          <w:szCs w:val="24"/>
        </w:rPr>
        <w:t>（______元）人民币</w:t>
      </w:r>
      <w:r>
        <w:rPr>
          <w:rFonts w:hint="eastAsia" w:hAnsi="宋体"/>
          <w:sz w:val="24"/>
          <w:szCs w:val="24"/>
        </w:rPr>
        <w:t>或其他币种</w:t>
      </w:r>
      <w:r>
        <w:rPr>
          <w:rFonts w:hAnsi="宋体"/>
          <w:sz w:val="24"/>
          <w:szCs w:val="24"/>
        </w:rPr>
        <w:t>。</w:t>
      </w:r>
    </w:p>
    <w:p w14:paraId="69811FEB">
      <w:pPr>
        <w:spacing w:line="400" w:lineRule="exact"/>
        <w:ind w:firstLine="482"/>
        <w:rPr>
          <w:rFonts w:ascii="宋体" w:hAnsi="宋体" w:cs="Courier New"/>
          <w:b/>
          <w:sz w:val="24"/>
          <w:szCs w:val="24"/>
        </w:rPr>
      </w:pPr>
      <w:r>
        <w:rPr>
          <w:rFonts w:ascii="宋体" w:hAnsi="宋体" w:cs="Courier New"/>
          <w:b/>
          <w:sz w:val="24"/>
          <w:szCs w:val="24"/>
        </w:rPr>
        <w:t>三、技术资料</w:t>
      </w:r>
    </w:p>
    <w:p w14:paraId="44621553">
      <w:pPr>
        <w:spacing w:line="400" w:lineRule="exact"/>
        <w:ind w:firstLine="480"/>
        <w:rPr>
          <w:rFonts w:ascii="宋体" w:hAnsi="宋体" w:cs="Courier New"/>
          <w:sz w:val="24"/>
          <w:szCs w:val="24"/>
        </w:rPr>
      </w:pPr>
      <w:r>
        <w:rPr>
          <w:rFonts w:ascii="宋体" w:hAnsi="宋体" w:cs="Courier New"/>
          <w:sz w:val="24"/>
          <w:szCs w:val="24"/>
        </w:rPr>
        <w:t>3.1乙方应按招标文件规定的时间向甲方提供使用货物</w:t>
      </w:r>
      <w:r>
        <w:rPr>
          <w:rFonts w:hint="eastAsia" w:ascii="宋体" w:hAnsi="宋体" w:cs="Courier New"/>
          <w:sz w:val="24"/>
          <w:szCs w:val="24"/>
          <w:lang w:eastAsia="zh-CN"/>
        </w:rPr>
        <w:t>（</w:t>
      </w:r>
      <w:r>
        <w:rPr>
          <w:rFonts w:hint="eastAsia" w:ascii="宋体" w:hAnsi="宋体" w:cs="Courier New"/>
          <w:sz w:val="24"/>
          <w:szCs w:val="24"/>
        </w:rPr>
        <w:t>包含与货物相关的服务</w:t>
      </w:r>
      <w:r>
        <w:rPr>
          <w:rFonts w:hint="eastAsia" w:ascii="宋体" w:hAnsi="宋体" w:cs="Courier New"/>
          <w:sz w:val="24"/>
          <w:szCs w:val="24"/>
          <w:lang w:eastAsia="zh-CN"/>
        </w:rPr>
        <w:t>）</w:t>
      </w:r>
      <w:r>
        <w:rPr>
          <w:rFonts w:ascii="宋体" w:hAnsi="宋体" w:cs="Courier New"/>
          <w:sz w:val="24"/>
          <w:szCs w:val="24"/>
        </w:rPr>
        <w:t>的有关技术资料。</w:t>
      </w:r>
    </w:p>
    <w:p w14:paraId="2EB03A9A">
      <w:pPr>
        <w:spacing w:line="400" w:lineRule="exact"/>
        <w:ind w:firstLine="48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w:t>
      </w:r>
      <w:r>
        <w:rPr>
          <w:rFonts w:hint="eastAsia" w:ascii="宋体" w:hAnsi="宋体" w:cs="Courier New"/>
          <w:sz w:val="24"/>
          <w:szCs w:val="24"/>
          <w:lang w:eastAsia="zh-CN"/>
        </w:rPr>
        <w:t>提供</w:t>
      </w:r>
      <w:r>
        <w:rPr>
          <w:rFonts w:hint="eastAsia" w:ascii="宋体" w:hAnsi="宋体" w:cs="Courier New"/>
          <w:sz w:val="24"/>
          <w:szCs w:val="24"/>
          <w:lang w:val="en-US" w:eastAsia="zh-CN"/>
        </w:rPr>
        <w:t>给与</w:t>
      </w:r>
      <w:r>
        <w:rPr>
          <w:rFonts w:ascii="宋体" w:hAnsi="宋体" w:cs="Courier New"/>
          <w:sz w:val="24"/>
          <w:szCs w:val="24"/>
        </w:rPr>
        <w:t>履行本合同无关的任何其他人。即使向履行本合同有关的人员提供，也应注意保密并限于履行合同的必需范围。</w:t>
      </w:r>
    </w:p>
    <w:p w14:paraId="49D39B19">
      <w:pPr>
        <w:spacing w:line="400" w:lineRule="exact"/>
        <w:ind w:firstLine="482"/>
        <w:rPr>
          <w:rFonts w:ascii="宋体" w:hAnsi="宋体" w:cs="Courier New"/>
          <w:b/>
          <w:sz w:val="24"/>
          <w:szCs w:val="24"/>
        </w:rPr>
      </w:pPr>
      <w:r>
        <w:rPr>
          <w:rFonts w:ascii="宋体" w:hAnsi="宋体" w:cs="Courier New"/>
          <w:b/>
          <w:sz w:val="24"/>
          <w:szCs w:val="24"/>
        </w:rPr>
        <w:t>四、知识产权</w:t>
      </w:r>
    </w:p>
    <w:p w14:paraId="346A9725">
      <w:pPr>
        <w:spacing w:line="400" w:lineRule="exact"/>
        <w:ind w:firstLine="480"/>
        <w:rPr>
          <w:rFonts w:ascii="宋体" w:hAnsi="宋体"/>
          <w:sz w:val="24"/>
        </w:rPr>
      </w:pPr>
      <w:r>
        <w:rPr>
          <w:rFonts w:hAnsi="宋体"/>
          <w:sz w:val="24"/>
          <w:szCs w:val="24"/>
        </w:rPr>
        <w:t>4.1乙</w:t>
      </w:r>
      <w:r>
        <w:rPr>
          <w:rFonts w:hint="eastAsia" w:ascii="宋体" w:hAnsi="宋体"/>
          <w:sz w:val="24"/>
        </w:rPr>
        <w:t>方应保证甲方在使用、接受本合同货物</w:t>
      </w:r>
      <w:r>
        <w:rPr>
          <w:rFonts w:hint="eastAsia" w:hAnsi="宋体"/>
          <w:sz w:val="24"/>
          <w:szCs w:val="24"/>
        </w:rPr>
        <w:t>（包含与货物相关的服务）</w:t>
      </w:r>
      <w:r>
        <w:rPr>
          <w:rFonts w:hint="eastAsia" w:ascii="宋体" w:hAnsi="宋体"/>
          <w:sz w:val="24"/>
        </w:rPr>
        <w:t>或其任何一部分时不受第三方提出侵犯其专利权、版权、商标权和工业设计权等知识产权的起诉。一旦出现侵权，由乙方负全部责任。</w:t>
      </w:r>
    </w:p>
    <w:p w14:paraId="394994F1">
      <w:pPr>
        <w:spacing w:line="400" w:lineRule="exact"/>
        <w:rPr>
          <w:rFonts w:ascii="宋体" w:hAnsi="宋体" w:cs="Courier New"/>
          <w:sz w:val="24"/>
          <w:szCs w:val="24"/>
        </w:rPr>
      </w:pPr>
      <w:r>
        <w:rPr>
          <w:rFonts w:hint="eastAsia" w:hAnsi="宋体"/>
          <w:sz w:val="24"/>
          <w:szCs w:val="24"/>
        </w:rPr>
        <w:t>（注：采购项目如涉及采购标的的知识产权归属、处理的，如订购、设计、定制开发的信息化建设项目等，应当约定知识产权的归属和处理方式）</w:t>
      </w:r>
    </w:p>
    <w:p w14:paraId="62144DFC">
      <w:pPr>
        <w:spacing w:line="400" w:lineRule="exact"/>
        <w:ind w:firstLine="482"/>
        <w:rPr>
          <w:rFonts w:ascii="宋体" w:hAnsi="宋体" w:cs="Courier New"/>
          <w:sz w:val="24"/>
          <w:szCs w:val="24"/>
          <w:u w:val="single"/>
        </w:rPr>
      </w:pPr>
      <w:r>
        <w:rPr>
          <w:rFonts w:ascii="宋体" w:hAnsi="宋体" w:cs="Courier New"/>
          <w:b/>
          <w:sz w:val="24"/>
          <w:szCs w:val="24"/>
        </w:rPr>
        <w:t>五、产权担保</w:t>
      </w:r>
    </w:p>
    <w:p w14:paraId="781247C7">
      <w:pPr>
        <w:spacing w:line="400" w:lineRule="exact"/>
        <w:ind w:firstLine="480"/>
        <w:rPr>
          <w:rFonts w:ascii="宋体" w:hAnsi="宋体" w:cs="Courier New"/>
          <w:sz w:val="24"/>
          <w:szCs w:val="24"/>
          <w:u w:val="single"/>
        </w:rPr>
      </w:pPr>
      <w:r>
        <w:rPr>
          <w:rFonts w:ascii="宋体" w:hAnsi="宋体" w:cs="Courier New"/>
          <w:sz w:val="24"/>
          <w:szCs w:val="24"/>
        </w:rPr>
        <w:t>5.1 乙方保证所交付的货物</w:t>
      </w:r>
      <w:r>
        <w:rPr>
          <w:rFonts w:hint="eastAsia" w:ascii="宋体" w:hAnsi="宋体" w:cs="Courier New"/>
          <w:sz w:val="24"/>
          <w:szCs w:val="24"/>
        </w:rPr>
        <w:t>（包含与货物相关的服务）</w:t>
      </w:r>
      <w:r>
        <w:rPr>
          <w:rFonts w:ascii="宋体" w:hAnsi="宋体" w:cs="Courier New"/>
          <w:sz w:val="24"/>
          <w:szCs w:val="24"/>
        </w:rPr>
        <w:t>的所有权完全属于乙方且无任何抵押、查封等产权瑕疵。</w:t>
      </w:r>
    </w:p>
    <w:p w14:paraId="4D70B369">
      <w:pPr>
        <w:spacing w:line="400" w:lineRule="exact"/>
        <w:ind w:firstLine="482"/>
        <w:rPr>
          <w:rFonts w:ascii="宋体" w:hAnsi="宋体" w:cs="Courier New"/>
          <w:b/>
          <w:sz w:val="24"/>
          <w:szCs w:val="24"/>
        </w:rPr>
      </w:pPr>
      <w:r>
        <w:rPr>
          <w:rFonts w:ascii="宋体" w:hAnsi="宋体" w:cs="Courier New"/>
          <w:b/>
          <w:sz w:val="24"/>
          <w:szCs w:val="24"/>
        </w:rPr>
        <w:t>六、履约保证金</w:t>
      </w:r>
    </w:p>
    <w:p w14:paraId="5EC59E5A">
      <w:pPr>
        <w:spacing w:line="400" w:lineRule="exact"/>
        <w:ind w:firstLine="480"/>
        <w:rPr>
          <w:rFonts w:ascii="宋体" w:hAnsi="宋体" w:cs="Courier New"/>
          <w:sz w:val="24"/>
          <w:szCs w:val="24"/>
        </w:rPr>
      </w:pPr>
      <w:r>
        <w:rPr>
          <w:rFonts w:ascii="宋体" w:hAnsi="宋体" w:cs="Courier New"/>
          <w:sz w:val="24"/>
          <w:szCs w:val="24"/>
        </w:rPr>
        <w:t>6.1 乙方交纳人民币__元作为本合同的履约保证金。</w:t>
      </w:r>
      <w:r>
        <w:rPr>
          <w:rFonts w:hint="eastAsia" w:ascii="宋体" w:hAnsi="宋体" w:cs="Courier New"/>
          <w:sz w:val="24"/>
          <w:szCs w:val="24"/>
        </w:rPr>
        <w:t>（不得超过合同金额的10%）</w:t>
      </w:r>
    </w:p>
    <w:p w14:paraId="1232CE0B">
      <w:pPr>
        <w:spacing w:line="400" w:lineRule="exact"/>
        <w:ind w:firstLine="480"/>
        <w:rPr>
          <w:rFonts w:ascii="宋体" w:hAnsi="宋体" w:cs="Courier New"/>
          <w:sz w:val="24"/>
          <w:szCs w:val="24"/>
        </w:rPr>
      </w:pPr>
      <w:r>
        <w:rPr>
          <w:rFonts w:hint="eastAsia" w:ascii="宋体" w:hAnsi="宋体" w:cs="Courier New"/>
          <w:sz w:val="24"/>
          <w:szCs w:val="24"/>
        </w:rPr>
        <w:t>6.2合同履行结束后，甲方应及时退还交纳的履约保证金。</w:t>
      </w:r>
    </w:p>
    <w:p w14:paraId="1A6D3024">
      <w:pPr>
        <w:spacing w:line="400" w:lineRule="exact"/>
        <w:ind w:firstLine="480"/>
        <w:rPr>
          <w:rFonts w:ascii="宋体" w:hAnsi="宋体" w:cs="Courier New"/>
          <w:sz w:val="24"/>
          <w:szCs w:val="24"/>
        </w:rPr>
      </w:pPr>
      <w:r>
        <w:rPr>
          <w:rFonts w:hint="eastAsia" w:ascii="宋体" w:hAnsi="宋体" w:cs="Courier New"/>
          <w:sz w:val="24"/>
          <w:szCs w:val="24"/>
        </w:rPr>
        <w:t>6.2.1履约保证金退还方式：</w:t>
      </w:r>
    </w:p>
    <w:p w14:paraId="54F04140">
      <w:pPr>
        <w:spacing w:line="400" w:lineRule="exact"/>
        <w:ind w:firstLine="480"/>
        <w:rPr>
          <w:rFonts w:ascii="宋体" w:hAnsi="宋体" w:cs="Courier New"/>
          <w:sz w:val="24"/>
          <w:szCs w:val="24"/>
        </w:rPr>
      </w:pPr>
      <w:r>
        <w:rPr>
          <w:rFonts w:hint="eastAsia" w:ascii="宋体" w:hAnsi="宋体" w:cs="Courier New"/>
          <w:sz w:val="24"/>
          <w:szCs w:val="24"/>
        </w:rPr>
        <w:t>6.2.2履约保证金退还时间：</w:t>
      </w:r>
    </w:p>
    <w:p w14:paraId="1AC2F4D8">
      <w:pPr>
        <w:spacing w:line="400" w:lineRule="exact"/>
        <w:ind w:firstLine="480"/>
        <w:rPr>
          <w:rFonts w:ascii="宋体" w:hAnsi="宋体" w:cs="Courier New"/>
          <w:sz w:val="24"/>
          <w:szCs w:val="24"/>
        </w:rPr>
      </w:pPr>
      <w:r>
        <w:rPr>
          <w:rFonts w:hint="eastAsia" w:ascii="宋体" w:hAnsi="宋体" w:cs="Courier New"/>
          <w:sz w:val="24"/>
          <w:szCs w:val="24"/>
        </w:rPr>
        <w:t>6.2.3履约保证金退还条件：</w:t>
      </w:r>
    </w:p>
    <w:p w14:paraId="3DEC26A5">
      <w:pPr>
        <w:spacing w:line="400" w:lineRule="exact"/>
        <w:ind w:firstLine="480"/>
        <w:rPr>
          <w:rFonts w:ascii="宋体" w:hAnsi="宋体" w:cs="Courier New"/>
          <w:sz w:val="24"/>
          <w:szCs w:val="24"/>
        </w:rPr>
      </w:pPr>
      <w:r>
        <w:rPr>
          <w:rFonts w:hint="eastAsia" w:ascii="宋体" w:hAnsi="宋体" w:cs="Courier New"/>
          <w:sz w:val="24"/>
          <w:szCs w:val="24"/>
        </w:rPr>
        <w:t>6.2.4履约保证金不予退还的情形：</w:t>
      </w:r>
    </w:p>
    <w:p w14:paraId="23A5EA17">
      <w:pPr>
        <w:spacing w:line="400" w:lineRule="exact"/>
        <w:ind w:firstLine="482"/>
        <w:rPr>
          <w:rFonts w:ascii="宋体" w:hAnsi="宋体" w:eastAsia="仿宋_GB2312"/>
          <w:b/>
          <w:sz w:val="24"/>
          <w:szCs w:val="24"/>
        </w:rPr>
      </w:pPr>
      <w:r>
        <w:rPr>
          <w:rFonts w:hint="eastAsia" w:ascii="宋体" w:hAnsi="宋体"/>
          <w:b/>
          <w:sz w:val="24"/>
          <w:szCs w:val="24"/>
        </w:rPr>
        <w:t>七、合同转包或分包</w:t>
      </w:r>
    </w:p>
    <w:p w14:paraId="6DE320B2">
      <w:pPr>
        <w:spacing w:line="400" w:lineRule="exact"/>
        <w:ind w:firstLine="480"/>
        <w:rPr>
          <w:rFonts w:ascii="宋体" w:hAnsi="宋体"/>
          <w:sz w:val="24"/>
          <w:szCs w:val="24"/>
        </w:rPr>
      </w:pPr>
      <w:r>
        <w:rPr>
          <w:rFonts w:hint="eastAsia" w:ascii="宋体" w:hAnsi="宋体"/>
          <w:sz w:val="24"/>
          <w:szCs w:val="24"/>
        </w:rPr>
        <w:t>7.1乙方不得将合同标的转包给他人履行。</w:t>
      </w:r>
    </w:p>
    <w:p w14:paraId="0072B276">
      <w:pPr>
        <w:spacing w:line="400" w:lineRule="exact"/>
        <w:ind w:firstLine="480"/>
        <w:rPr>
          <w:rFonts w:ascii="宋体" w:hAnsi="宋体"/>
          <w:sz w:val="24"/>
          <w:szCs w:val="24"/>
        </w:rPr>
      </w:pPr>
      <w:r>
        <w:rPr>
          <w:rFonts w:hint="eastAsia" w:ascii="宋体" w:hAnsi="宋体"/>
          <w:sz w:val="24"/>
          <w:szCs w:val="24"/>
        </w:rPr>
        <w:t>7.2乙方应按招标文件要求，如项目不允许分包的，乙方不得将合同标的分包给他人履行；如项目允许分包的，乙方应当按照投标文件中提供的分包意向协议履行合同。</w:t>
      </w:r>
    </w:p>
    <w:p w14:paraId="24D30482">
      <w:pPr>
        <w:spacing w:line="400" w:lineRule="exact"/>
        <w:ind w:firstLine="480"/>
        <w:rPr>
          <w:rFonts w:ascii="宋体" w:hAnsi="宋体" w:eastAsia="仿宋_GB2312"/>
          <w:sz w:val="24"/>
          <w:szCs w:val="24"/>
        </w:rPr>
      </w:pPr>
      <w:r>
        <w:rPr>
          <w:rFonts w:ascii="宋体" w:hAnsi="宋体"/>
          <w:sz w:val="24"/>
          <w:szCs w:val="24"/>
        </w:rPr>
        <w:t>7.3</w:t>
      </w:r>
      <w:r>
        <w:rPr>
          <w:rFonts w:hint="eastAsia" w:ascii="宋体" w:hAnsi="宋体"/>
          <w:sz w:val="24"/>
          <w:szCs w:val="24"/>
        </w:rPr>
        <w:t>乙方如有转包或未经甲方同意的分包行为，甲方有权给予终止合同。</w:t>
      </w:r>
    </w:p>
    <w:p w14:paraId="1649D53C">
      <w:pPr>
        <w:spacing w:line="400" w:lineRule="exact"/>
        <w:ind w:firstLine="482"/>
        <w:rPr>
          <w:rFonts w:ascii="宋体" w:hAnsi="宋体" w:cs="Courier New"/>
          <w:b/>
          <w:sz w:val="24"/>
          <w:szCs w:val="24"/>
        </w:rPr>
      </w:pPr>
      <w:r>
        <w:rPr>
          <w:rFonts w:hint="eastAsia" w:ascii="宋体" w:hAnsi="宋体" w:cs="Courier New"/>
          <w:b/>
          <w:sz w:val="24"/>
          <w:szCs w:val="24"/>
        </w:rPr>
        <w:t>八</w:t>
      </w:r>
      <w:r>
        <w:rPr>
          <w:rFonts w:ascii="宋体" w:hAnsi="宋体" w:cs="Courier New"/>
          <w:b/>
          <w:sz w:val="24"/>
          <w:szCs w:val="24"/>
        </w:rPr>
        <w:t>、</w:t>
      </w:r>
      <w:r>
        <w:rPr>
          <w:rFonts w:hint="eastAsia" w:ascii="宋体" w:hAnsi="宋体" w:cs="Courier New"/>
          <w:b/>
          <w:sz w:val="24"/>
          <w:szCs w:val="24"/>
        </w:rPr>
        <w:t>合同款项</w:t>
      </w:r>
      <w:r>
        <w:rPr>
          <w:rFonts w:ascii="宋体" w:hAnsi="宋体" w:cs="Courier New"/>
          <w:b/>
          <w:sz w:val="24"/>
          <w:szCs w:val="24"/>
        </w:rPr>
        <w:t>支付</w:t>
      </w:r>
    </w:p>
    <w:p w14:paraId="2E6CE2E2">
      <w:pPr>
        <w:spacing w:line="400" w:lineRule="exact"/>
        <w:ind w:firstLine="480"/>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05CB0963">
      <w:pPr>
        <w:spacing w:line="400" w:lineRule="exact"/>
        <w:ind w:firstLine="480"/>
        <w:rPr>
          <w:rFonts w:ascii="宋体" w:hAnsi="宋体" w:cs="Courier New"/>
          <w:bCs/>
          <w:sz w:val="24"/>
          <w:szCs w:val="24"/>
        </w:rPr>
      </w:pPr>
      <w:r>
        <w:rPr>
          <w:rFonts w:hint="eastAsia" w:ascii="宋体" w:hAnsi="宋体" w:cs="Courier New"/>
          <w:bCs/>
          <w:sz w:val="24"/>
          <w:szCs w:val="24"/>
        </w:rPr>
        <w:t>8．1.1预付款支付时间：合同签订后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w:t>
      </w:r>
    </w:p>
    <w:p w14:paraId="233ADBEA">
      <w:pPr>
        <w:spacing w:line="400" w:lineRule="exact"/>
        <w:ind w:firstLine="480"/>
        <w:rPr>
          <w:rFonts w:ascii="宋体" w:hAnsi="宋体" w:cs="Courier New"/>
          <w:sz w:val="24"/>
          <w:szCs w:val="24"/>
        </w:rPr>
      </w:pPr>
      <w:r>
        <w:rPr>
          <w:rFonts w:hint="eastAsia" w:ascii="宋体" w:hAnsi="宋体" w:cs="Courier New"/>
          <w:bCs/>
          <w:sz w:val="24"/>
          <w:szCs w:val="24"/>
        </w:rPr>
        <w:t>8.1.2尾款支付时间：产品验收通过</w:t>
      </w:r>
      <w:r>
        <w:rPr>
          <w:rFonts w:hint="eastAsia" w:ascii="宋体" w:hAnsi="宋体" w:cs="Courier New"/>
          <w:bCs/>
          <w:sz w:val="24"/>
          <w:szCs w:val="24"/>
          <w:lang w:eastAsia="zh-CN"/>
        </w:rPr>
        <w:t>，</w:t>
      </w:r>
      <w:r>
        <w:rPr>
          <w:rFonts w:hint="eastAsia" w:ascii="宋体" w:hAnsi="宋体" w:cs="Courier New"/>
          <w:bCs/>
          <w:sz w:val="24"/>
          <w:szCs w:val="24"/>
        </w:rPr>
        <w:t>采购人收到发票后15日内，尾款支付比例：合同金额的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w:t>
      </w:r>
    </w:p>
    <w:p w14:paraId="76F1693B">
      <w:pPr>
        <w:spacing w:line="400" w:lineRule="exact"/>
        <w:rPr>
          <w:rFonts w:ascii="宋体" w:hAnsi="宋体" w:cs="Courier New"/>
          <w:bCs/>
          <w:sz w:val="24"/>
          <w:szCs w:val="24"/>
        </w:rPr>
      </w:pPr>
      <w:r>
        <w:rPr>
          <w:rFonts w:hint="eastAsia" w:hAnsi="宋体"/>
          <w:bCs/>
          <w:sz w:val="24"/>
          <w:szCs w:val="24"/>
        </w:rPr>
        <w:t>（注：根据《关于做好政府采购支持企业发展有关事项的通知》（苏采购</w:t>
      </w:r>
      <w:r>
        <w:rPr>
          <w:rFonts w:hint="eastAsia" w:hAnsi="宋体"/>
          <w:bCs/>
          <w:sz w:val="24"/>
          <w:szCs w:val="24"/>
          <w:lang w:eastAsia="zh-CN"/>
        </w:rPr>
        <w:t>〔2020〕52号</w:t>
      </w:r>
      <w:r>
        <w:rPr>
          <w:rFonts w:hint="eastAsia" w:hAnsi="宋体"/>
          <w:bCs/>
          <w:sz w:val="24"/>
          <w:szCs w:val="24"/>
        </w:rPr>
        <w:t>）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234F5BA3">
      <w:pPr>
        <w:spacing w:line="400" w:lineRule="exact"/>
        <w:ind w:firstLine="480"/>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.2</w:t>
      </w:r>
      <w:r>
        <w:rPr>
          <w:rFonts w:ascii="宋体" w:hAnsi="宋体" w:cs="Courier New"/>
          <w:sz w:val="24"/>
          <w:szCs w:val="24"/>
        </w:rPr>
        <w:t>当采购数量与实际使用数量不一致时，</w:t>
      </w:r>
      <w:r>
        <w:rPr>
          <w:rFonts w:hint="eastAsia" w:ascii="宋体" w:hAnsi="宋体" w:cs="Courier New"/>
          <w:sz w:val="24"/>
          <w:szCs w:val="24"/>
        </w:rPr>
        <w:t>乙方</w:t>
      </w:r>
      <w:r>
        <w:rPr>
          <w:rFonts w:ascii="宋体" w:hAnsi="宋体" w:cs="Courier New"/>
          <w:sz w:val="24"/>
          <w:szCs w:val="24"/>
        </w:rPr>
        <w:t>应根据实际使用量供货，合同的最终结算金额按实际使用量乘以成交单价进行计算。</w:t>
      </w:r>
    </w:p>
    <w:p w14:paraId="4E91E637">
      <w:pPr>
        <w:spacing w:line="400" w:lineRule="exact"/>
        <w:ind w:firstLine="482"/>
        <w:rPr>
          <w:rFonts w:ascii="宋体" w:hAnsi="宋体" w:eastAsia="仿宋_GB2312"/>
          <w:b/>
          <w:sz w:val="24"/>
          <w:szCs w:val="24"/>
        </w:rPr>
      </w:pPr>
      <w:r>
        <w:rPr>
          <w:rFonts w:hint="eastAsia" w:ascii="宋体" w:hAnsi="宋体"/>
          <w:b/>
          <w:sz w:val="24"/>
          <w:szCs w:val="24"/>
        </w:rPr>
        <w:t>九、税费</w:t>
      </w:r>
    </w:p>
    <w:p w14:paraId="529BE831">
      <w:pPr>
        <w:spacing w:line="400" w:lineRule="exact"/>
        <w:ind w:firstLine="480"/>
        <w:rPr>
          <w:rFonts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60B848E4">
      <w:pPr>
        <w:spacing w:line="400" w:lineRule="exact"/>
        <w:ind w:firstLine="482"/>
        <w:rPr>
          <w:rFonts w:ascii="宋体" w:hAnsi="宋体" w:cs="Courier New"/>
          <w:sz w:val="24"/>
          <w:szCs w:val="24"/>
        </w:rPr>
      </w:pPr>
      <w:r>
        <w:rPr>
          <w:rFonts w:ascii="宋体" w:hAnsi="宋体" w:cs="Courier New"/>
          <w:b/>
          <w:sz w:val="24"/>
          <w:szCs w:val="24"/>
        </w:rPr>
        <w:t>十、质量</w:t>
      </w:r>
      <w:r>
        <w:rPr>
          <w:rFonts w:hint="eastAsia" w:ascii="宋体" w:hAnsi="宋体" w:cs="Courier New"/>
          <w:b/>
          <w:sz w:val="24"/>
          <w:szCs w:val="24"/>
        </w:rPr>
        <w:t>保修范围和保修期</w:t>
      </w:r>
      <w:r>
        <w:rPr>
          <w:rFonts w:ascii="宋体" w:hAnsi="宋体" w:cs="Courier New"/>
          <w:b/>
          <w:sz w:val="24"/>
          <w:szCs w:val="24"/>
        </w:rPr>
        <w:t>及售后服务</w:t>
      </w:r>
    </w:p>
    <w:p w14:paraId="1897CDA8">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.1 乙方应按招标文件规定的货物性能、技术要求、质量标准向甲方提供未经使用的全新产品。</w:t>
      </w:r>
    </w:p>
    <w:p w14:paraId="1D0F05D7">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.2 乙方提供的货物在质量期内因货物本身的质量问题发生故障，乙方应负责免费更换。对达不到技术要求者，根据实际情况，经双方协商，可按以下办法处理：</w:t>
      </w:r>
    </w:p>
    <w:p w14:paraId="187BF9C2">
      <w:pPr>
        <w:spacing w:line="400" w:lineRule="exact"/>
        <w:ind w:firstLine="480"/>
        <w:rPr>
          <w:rFonts w:ascii="宋体" w:hAnsi="宋体" w:cs="Courier New"/>
          <w:sz w:val="24"/>
          <w:szCs w:val="24"/>
        </w:rPr>
      </w:pPr>
      <w:r>
        <w:rPr>
          <w:rFonts w:ascii="宋体" w:hAnsi="宋体" w:cs="Courier New"/>
          <w:sz w:val="24"/>
          <w:szCs w:val="24"/>
        </w:rPr>
        <w:t>⑴更换：由乙方承担所发生的全部费用。</w:t>
      </w:r>
    </w:p>
    <w:p w14:paraId="17AE790E">
      <w:pPr>
        <w:spacing w:line="400" w:lineRule="exact"/>
        <w:ind w:firstLine="480"/>
        <w:rPr>
          <w:rFonts w:ascii="宋体" w:hAnsi="宋体" w:cs="Courier New"/>
          <w:sz w:val="24"/>
          <w:szCs w:val="24"/>
        </w:rPr>
      </w:pPr>
      <w:r>
        <w:rPr>
          <w:rFonts w:ascii="宋体" w:hAnsi="宋体" w:cs="Courier New"/>
          <w:sz w:val="24"/>
          <w:szCs w:val="24"/>
        </w:rPr>
        <w:t>⑵贬值处理：由甲乙双方合议定价。</w:t>
      </w:r>
    </w:p>
    <w:p w14:paraId="6D7E1820">
      <w:pPr>
        <w:spacing w:line="400" w:lineRule="exact"/>
        <w:ind w:firstLine="480"/>
        <w:rPr>
          <w:rFonts w:ascii="宋体" w:hAnsi="宋体" w:cs="Courier New"/>
          <w:sz w:val="24"/>
          <w:szCs w:val="24"/>
        </w:rPr>
      </w:pPr>
      <w:r>
        <w:rPr>
          <w:rFonts w:ascii="宋体" w:hAnsi="宋体" w:cs="Courier New"/>
          <w:sz w:val="24"/>
          <w:szCs w:val="24"/>
        </w:rPr>
        <w:t>⑶退货处理：乙方应退还甲方支付的合同款，同时应承担该货物的直接费用（运输、保险、检验、</w:t>
      </w:r>
      <w:r>
        <w:rPr>
          <w:rFonts w:hint="eastAsia" w:ascii="宋体" w:hAnsi="宋体" w:cs="Courier New"/>
          <w:sz w:val="24"/>
          <w:szCs w:val="24"/>
        </w:rPr>
        <w:t>贷款利息</w:t>
      </w:r>
      <w:r>
        <w:rPr>
          <w:rFonts w:ascii="宋体" w:hAnsi="宋体" w:cs="Courier New"/>
          <w:sz w:val="24"/>
          <w:szCs w:val="24"/>
        </w:rPr>
        <w:t>及银行手续费等）。</w:t>
      </w:r>
    </w:p>
    <w:p w14:paraId="1FD6A46F">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.3 如在使用过程中发生质量问题，乙方在接到甲方通知后在_________小时内到达甲方现场。</w:t>
      </w:r>
    </w:p>
    <w:p w14:paraId="60005064">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.4 在质保期内，乙方应对货物出现的质量及安全问题负责处理解决并承担一切费用。</w:t>
      </w:r>
    </w:p>
    <w:p w14:paraId="362CA012">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.5上述的货物免费保修期</w:t>
      </w:r>
      <w:r>
        <w:rPr>
          <w:rFonts w:hint="eastAsia" w:ascii="宋体" w:hAnsi="宋体" w:cs="Courier New"/>
          <w:sz w:val="24"/>
          <w:szCs w:val="24"/>
          <w:lang w:eastAsia="zh-CN"/>
        </w:rPr>
        <w:t>为</w:t>
      </w:r>
      <w:r>
        <w:rPr>
          <w:rFonts w:ascii="宋体" w:hAnsi="宋体" w:cs="Courier New"/>
          <w:sz w:val="24"/>
          <w:szCs w:val="24"/>
          <w:u w:val="single"/>
        </w:rPr>
        <w:t xml:space="preserve">     </w:t>
      </w:r>
      <w:r>
        <w:rPr>
          <w:rFonts w:ascii="宋体" w:hAnsi="宋体" w:cs="Courier New"/>
          <w:sz w:val="24"/>
          <w:szCs w:val="24"/>
        </w:rPr>
        <w:t>年（自交货验收合格之日起计），因人为因素出现的故障不在免费保修范围内。超过保修期的机器设备，</w:t>
      </w:r>
      <w:r>
        <w:rPr>
          <w:rFonts w:hint="eastAsia" w:ascii="宋体" w:hAnsi="宋体" w:cs="Courier New"/>
          <w:sz w:val="24"/>
          <w:szCs w:val="24"/>
        </w:rPr>
        <w:t>终身</w:t>
      </w:r>
      <w:r>
        <w:rPr>
          <w:rFonts w:ascii="宋体" w:hAnsi="宋体" w:cs="Courier New"/>
          <w:sz w:val="24"/>
          <w:szCs w:val="24"/>
        </w:rPr>
        <w:t>维修，维修时只收部件成本费。</w:t>
      </w:r>
    </w:p>
    <w:p w14:paraId="3F517A9A">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w:t>
      </w:r>
      <w:r>
        <w:rPr>
          <w:rFonts w:hint="eastAsia" w:ascii="宋体" w:hAnsi="宋体" w:cs="Courier New"/>
          <w:b/>
          <w:sz w:val="24"/>
          <w:szCs w:val="24"/>
        </w:rPr>
        <w:t>项目</w:t>
      </w:r>
      <w:r>
        <w:rPr>
          <w:rFonts w:ascii="宋体" w:hAnsi="宋体" w:cs="Courier New"/>
          <w:b/>
          <w:sz w:val="24"/>
          <w:szCs w:val="24"/>
        </w:rPr>
        <w:t>验收</w:t>
      </w:r>
    </w:p>
    <w:p w14:paraId="13218973">
      <w:pPr>
        <w:spacing w:line="400" w:lineRule="exact"/>
        <w:ind w:firstLine="480"/>
        <w:rPr>
          <w:rFonts w:ascii="宋体" w:hAnsi="宋体" w:cs="Courier New"/>
          <w:sz w:val="24"/>
          <w:szCs w:val="24"/>
        </w:rPr>
      </w:pPr>
      <w:r>
        <w:rPr>
          <w:rFonts w:hint="eastAsia" w:ascii="宋体" w:hAnsi="宋体" w:cs="Courier New"/>
          <w:sz w:val="24"/>
          <w:szCs w:val="24"/>
        </w:rPr>
        <w:t>11.1 甲方依法组织履约验收工作。</w:t>
      </w:r>
    </w:p>
    <w:p w14:paraId="41ABA633">
      <w:pPr>
        <w:spacing w:line="400" w:lineRule="exact"/>
        <w:ind w:firstLine="480"/>
        <w:rPr>
          <w:rFonts w:ascii="宋体" w:hAnsi="宋体" w:cs="Courier New"/>
          <w:sz w:val="24"/>
          <w:szCs w:val="24"/>
        </w:rPr>
      </w:pPr>
      <w:r>
        <w:rPr>
          <w:rFonts w:hint="eastAsia" w:ascii="宋体" w:hAnsi="宋体" w:cs="Courier New"/>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9D5D00F">
      <w:pPr>
        <w:spacing w:line="400" w:lineRule="exact"/>
        <w:ind w:firstLine="480"/>
        <w:rPr>
          <w:rFonts w:ascii="宋体" w:hAnsi="宋体" w:cs="Courier New"/>
          <w:sz w:val="24"/>
          <w:szCs w:val="24"/>
        </w:rPr>
      </w:pPr>
      <w:r>
        <w:rPr>
          <w:rFonts w:hint="eastAsia" w:ascii="宋体" w:hAnsi="宋体" w:cs="Courier New"/>
          <w:sz w:val="24"/>
          <w:szCs w:val="24"/>
        </w:rPr>
        <w:t>11.3 对于实际使用人和甲方分离的项目，甲方邀请实际使用人参与验收。</w:t>
      </w:r>
    </w:p>
    <w:p w14:paraId="3FC787B5">
      <w:pPr>
        <w:spacing w:line="400" w:lineRule="exact"/>
        <w:ind w:firstLine="480"/>
        <w:rPr>
          <w:rFonts w:ascii="宋体" w:hAnsi="宋体" w:cs="Courier New"/>
          <w:sz w:val="24"/>
          <w:szCs w:val="24"/>
        </w:rPr>
      </w:pPr>
      <w:r>
        <w:rPr>
          <w:rFonts w:hint="eastAsia" w:ascii="宋体" w:hAnsi="宋体" w:cs="Courier New"/>
          <w:sz w:val="24"/>
          <w:szCs w:val="24"/>
        </w:rPr>
        <w:t>11.4 如有必要，甲方邀请参加本项目的其他供应商或第三方专业机构及专家参与验收，相关意见将作为验收书的参考资料。</w:t>
      </w:r>
    </w:p>
    <w:p w14:paraId="349B6BF7">
      <w:pPr>
        <w:spacing w:line="400" w:lineRule="exact"/>
        <w:ind w:firstLine="480"/>
        <w:rPr>
          <w:rFonts w:ascii="宋体" w:hAnsi="宋体" w:cs="Courier New"/>
          <w:sz w:val="24"/>
          <w:szCs w:val="24"/>
        </w:rPr>
      </w:pPr>
      <w:r>
        <w:rPr>
          <w:rFonts w:hint="eastAsia" w:ascii="宋体" w:hAnsi="宋体" w:cs="Courier New"/>
          <w:sz w:val="24"/>
          <w:szCs w:val="24"/>
        </w:rPr>
        <w:t>11.5 甲方成立验收小组，按照采购合同的约定对乙方的履约情况进行验收。验收时间、验收标准见招标文件验收内容。验收时</w:t>
      </w:r>
      <w:r>
        <w:rPr>
          <w:rFonts w:hint="eastAsia" w:ascii="宋体" w:hAnsi="宋体" w:cs="Courier New"/>
          <w:sz w:val="24"/>
          <w:szCs w:val="24"/>
          <w:lang w:eastAsia="zh-CN"/>
        </w:rPr>
        <w:t>，</w:t>
      </w:r>
      <w:r>
        <w:rPr>
          <w:rFonts w:hint="eastAsia" w:ascii="宋体" w:hAnsi="宋体" w:cs="Courier New"/>
          <w:sz w:val="24"/>
          <w:szCs w:val="24"/>
        </w:rPr>
        <w:t>甲方按照采购合同的约定对每一项技术、商务要求的履约情况进行确认。验收结束后</w:t>
      </w:r>
      <w:r>
        <w:rPr>
          <w:rFonts w:hint="eastAsia" w:ascii="宋体" w:hAnsi="宋体" w:cs="Courier New"/>
          <w:sz w:val="24"/>
          <w:szCs w:val="24"/>
          <w:lang w:eastAsia="zh-CN"/>
        </w:rPr>
        <w:t>，</w:t>
      </w:r>
      <w:r>
        <w:rPr>
          <w:rFonts w:hint="eastAsia" w:ascii="宋体" w:hAnsi="宋体" w:cs="Courier New"/>
          <w:sz w:val="24"/>
          <w:szCs w:val="24"/>
        </w:rPr>
        <w:t>验收小组出具验收书</w:t>
      </w:r>
      <w:r>
        <w:rPr>
          <w:rFonts w:hint="eastAsia" w:ascii="宋体" w:hAnsi="宋体" w:cs="Courier New"/>
          <w:sz w:val="24"/>
          <w:szCs w:val="24"/>
          <w:lang w:eastAsia="zh-CN"/>
        </w:rPr>
        <w:t>，</w:t>
      </w:r>
      <w:r>
        <w:rPr>
          <w:rFonts w:hint="eastAsia" w:ascii="宋体" w:hAnsi="宋体" w:cs="Courier New"/>
          <w:sz w:val="24"/>
          <w:szCs w:val="24"/>
        </w:rPr>
        <w:t>列明各项标准的验收情况及项目总体评价</w:t>
      </w:r>
      <w:r>
        <w:rPr>
          <w:rFonts w:hint="eastAsia" w:ascii="宋体" w:hAnsi="宋体" w:cs="Courier New"/>
          <w:sz w:val="24"/>
          <w:szCs w:val="24"/>
          <w:lang w:eastAsia="zh-CN"/>
        </w:rPr>
        <w:t>，</w:t>
      </w:r>
      <w:r>
        <w:rPr>
          <w:rFonts w:hint="eastAsia" w:ascii="宋体" w:hAnsi="宋体" w:cs="Courier New"/>
          <w:sz w:val="24"/>
          <w:szCs w:val="24"/>
        </w:rPr>
        <w:t>由验收双方共同签署。验收结果与采购合同约定的资金支付及履约保证金返还条件挂钩。履约验收的各项资料存档备查。</w:t>
      </w:r>
    </w:p>
    <w:p w14:paraId="08D4931D">
      <w:pPr>
        <w:spacing w:line="400" w:lineRule="exact"/>
        <w:ind w:firstLine="480"/>
        <w:rPr>
          <w:rFonts w:ascii="宋体" w:hAnsi="宋体" w:cs="Courier New"/>
          <w:sz w:val="24"/>
          <w:szCs w:val="24"/>
        </w:rPr>
      </w:pPr>
      <w:r>
        <w:rPr>
          <w:rFonts w:hint="eastAsia" w:ascii="宋体" w:hAnsi="宋体" w:cs="Courier New"/>
          <w:sz w:val="24"/>
          <w:szCs w:val="24"/>
        </w:rPr>
        <w:t>11.6 验收合格的项目</w:t>
      </w:r>
      <w:r>
        <w:rPr>
          <w:rFonts w:hint="eastAsia" w:ascii="宋体" w:hAnsi="宋体" w:cs="Courier New"/>
          <w:sz w:val="24"/>
          <w:szCs w:val="24"/>
          <w:lang w:eastAsia="zh-CN"/>
        </w:rPr>
        <w:t>，</w:t>
      </w:r>
      <w:r>
        <w:rPr>
          <w:rFonts w:hint="eastAsia" w:ascii="宋体" w:hAnsi="宋体" w:cs="Courier New"/>
          <w:sz w:val="24"/>
          <w:szCs w:val="24"/>
        </w:rPr>
        <w:t>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lang w:eastAsia="zh-CN"/>
        </w:rPr>
        <w:t>中华人民共和国民法典</w:t>
      </w:r>
      <w:r>
        <w:rPr>
          <w:rFonts w:hint="eastAsia" w:ascii="宋体" w:hAnsi="宋体" w:cs="Courier New"/>
          <w:sz w:val="24"/>
          <w:szCs w:val="24"/>
        </w:rPr>
        <w:t>》。乙方在履约过程中有政府采购法律法规规定的违法违规情形的</w:t>
      </w:r>
      <w:r>
        <w:rPr>
          <w:rFonts w:hint="eastAsia" w:ascii="宋体" w:hAnsi="宋体" w:cs="Courier New"/>
          <w:sz w:val="24"/>
          <w:szCs w:val="24"/>
          <w:lang w:eastAsia="zh-CN"/>
        </w:rPr>
        <w:t>，</w:t>
      </w:r>
      <w:r>
        <w:rPr>
          <w:rFonts w:hint="eastAsia" w:ascii="宋体" w:hAnsi="宋体" w:cs="Courier New"/>
          <w:sz w:val="24"/>
          <w:szCs w:val="24"/>
        </w:rPr>
        <w:t>甲方将及时报告本级财政部门。</w:t>
      </w:r>
    </w:p>
    <w:p w14:paraId="06A356D6">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二</w:t>
      </w:r>
      <w:r>
        <w:rPr>
          <w:rFonts w:ascii="宋体" w:hAnsi="宋体" w:cs="Courier New"/>
          <w:b/>
          <w:sz w:val="24"/>
          <w:szCs w:val="24"/>
        </w:rPr>
        <w:t>、货物</w:t>
      </w:r>
      <w:r>
        <w:rPr>
          <w:rFonts w:hint="eastAsia" w:ascii="宋体" w:hAnsi="宋体" w:cs="Courier New"/>
          <w:b/>
          <w:sz w:val="24"/>
          <w:szCs w:val="24"/>
        </w:rPr>
        <w:t>的</w:t>
      </w:r>
      <w:r>
        <w:rPr>
          <w:rFonts w:ascii="宋体" w:hAnsi="宋体" w:cs="Courier New"/>
          <w:b/>
          <w:sz w:val="24"/>
          <w:szCs w:val="24"/>
        </w:rPr>
        <w:t>包装、发运及运输</w:t>
      </w:r>
    </w:p>
    <w:p w14:paraId="5B20CD06">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.1 乙方应在货物发运前对其进行满足运输距离、防潮、防震、防锈和防破损装卸等要求包装，以保证货物安全运达甲方指定地点。</w:t>
      </w:r>
      <w:r>
        <w:rPr>
          <w:rFonts w:hint="eastAsia" w:ascii="宋体" w:hAnsi="宋体"/>
          <w:sz w:val="24"/>
          <w:szCs w:val="24"/>
        </w:rPr>
        <w:t>乙方对货物的包装应符合《商品包装政府采购需求标准（试行）</w:t>
      </w:r>
      <w:r>
        <w:rPr>
          <w:rFonts w:hint="eastAsia" w:ascii="宋体" w:hAnsi="宋体"/>
          <w:sz w:val="24"/>
          <w:szCs w:val="24"/>
          <w:lang w:eastAsia="zh-CN"/>
        </w:rPr>
        <w:t>》《</w:t>
      </w:r>
      <w:r>
        <w:rPr>
          <w:rFonts w:hint="eastAsia" w:ascii="宋体" w:hAnsi="宋体"/>
          <w:sz w:val="24"/>
          <w:szCs w:val="24"/>
        </w:rPr>
        <w:t>快递包装政府采购需求标准（试行）》的规定。</w:t>
      </w:r>
    </w:p>
    <w:p w14:paraId="23E0E825">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.2 使用说明书、质量检验证明书、随配附件和工具以及清单一并附于货物内。</w:t>
      </w:r>
    </w:p>
    <w:p w14:paraId="25F0106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.3 乙方在货物发运手续办理完毕后24小时内或货到甲方48小时前通知甲方，以准备接货。</w:t>
      </w:r>
    </w:p>
    <w:p w14:paraId="5639AE76">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.4 货物在交付甲方前发生的风险均由乙方负责。</w:t>
      </w:r>
    </w:p>
    <w:p w14:paraId="5066AE15">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.5 货物在规定的交付期限内由乙方送达甲方指定的地点视为交付，乙方同时需通知甲方货物已送达。</w:t>
      </w:r>
    </w:p>
    <w:p w14:paraId="66E77DDE">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三</w:t>
      </w:r>
      <w:r>
        <w:rPr>
          <w:rFonts w:ascii="宋体" w:hAnsi="宋体" w:cs="Courier New"/>
          <w:b/>
          <w:sz w:val="24"/>
          <w:szCs w:val="24"/>
        </w:rPr>
        <w:t>、违约责任</w:t>
      </w:r>
    </w:p>
    <w:p w14:paraId="50ED90C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的违约金。</w:t>
      </w:r>
    </w:p>
    <w:p w14:paraId="0E8DFB32">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.2 甲方无故逾期验收和办理货款支付手续的</w:t>
      </w:r>
      <w:r>
        <w:rPr>
          <w:rFonts w:hint="eastAsia" w:ascii="宋体" w:hAnsi="宋体" w:cs="Courier New"/>
          <w:sz w:val="24"/>
          <w:szCs w:val="24"/>
          <w:lang w:eastAsia="zh-CN"/>
        </w:rPr>
        <w:t>，</w:t>
      </w:r>
      <w:r>
        <w:rPr>
          <w:rFonts w:ascii="宋体" w:hAnsi="宋体" w:cs="Courier New"/>
          <w:sz w:val="24"/>
          <w:szCs w:val="24"/>
        </w:rPr>
        <w:t>甲方应按逾期付款总额每日</w:t>
      </w:r>
      <w:r>
        <w:rPr>
          <w:rFonts w:hint="eastAsia" w:ascii="宋体" w:hAnsi="宋体" w:cs="Courier New"/>
          <w:sz w:val="24"/>
          <w:szCs w:val="24"/>
          <w:u w:val="single"/>
        </w:rPr>
        <w:t xml:space="preserve">    </w:t>
      </w:r>
      <w:r>
        <w:rPr>
          <w:rFonts w:ascii="宋体" w:hAnsi="宋体" w:cs="Courier New"/>
          <w:sz w:val="24"/>
          <w:szCs w:val="24"/>
        </w:rPr>
        <w:t>向乙方支付违约金。</w:t>
      </w:r>
    </w:p>
    <w:p w14:paraId="5A0B3C73">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p>
    <w:p w14:paraId="00A9EA74">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A903D09">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四</w:t>
      </w:r>
      <w:r>
        <w:rPr>
          <w:rFonts w:ascii="宋体" w:hAnsi="宋体" w:cs="Courier New"/>
          <w:b/>
          <w:sz w:val="24"/>
          <w:szCs w:val="24"/>
        </w:rPr>
        <w:t>、不可抗力事件处理</w:t>
      </w:r>
    </w:p>
    <w:p w14:paraId="0DFC7EA2">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.1 在合同有效期内，任何一方因不可抗力事件导致不能履行合同，则合同履行期可延长，其延长期与不可抗力影响期相同。</w:t>
      </w:r>
    </w:p>
    <w:p w14:paraId="1692A10D">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.2 不可抗力事件发生后，应立即通知对方，并寄送有关权威机构出具的证明。</w:t>
      </w:r>
    </w:p>
    <w:p w14:paraId="002F1EE5">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.3 不可抗力事件延续120天以上，双方应通过友好协商，确定是否继续履行合同。</w:t>
      </w:r>
    </w:p>
    <w:p w14:paraId="519DD8C9">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五</w:t>
      </w:r>
      <w:r>
        <w:rPr>
          <w:rFonts w:ascii="宋体" w:hAnsi="宋体" w:cs="Courier New"/>
          <w:b/>
          <w:sz w:val="24"/>
          <w:szCs w:val="24"/>
        </w:rPr>
        <w:t>、</w:t>
      </w:r>
      <w:r>
        <w:rPr>
          <w:rFonts w:hint="eastAsia" w:ascii="宋体" w:hAnsi="宋体" w:cs="Courier New"/>
          <w:b/>
          <w:sz w:val="24"/>
          <w:szCs w:val="24"/>
        </w:rPr>
        <w:t>解决争议的方法</w:t>
      </w:r>
    </w:p>
    <w:p w14:paraId="6F135C89">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5</w:t>
      </w:r>
      <w:r>
        <w:rPr>
          <w:rFonts w:ascii="宋体" w:hAnsi="宋体" w:cs="Courier New"/>
          <w:sz w:val="24"/>
          <w:szCs w:val="24"/>
        </w:rPr>
        <w:t>.1</w:t>
      </w:r>
      <w:r>
        <w:rPr>
          <w:rFonts w:hint="eastAsia" w:ascii="宋体" w:hAnsi="宋体" w:cs="Courier New"/>
          <w:sz w:val="24"/>
          <w:szCs w:val="24"/>
        </w:rPr>
        <w:t>甲乙</w:t>
      </w:r>
      <w:r>
        <w:rPr>
          <w:rFonts w:ascii="宋体" w:hAnsi="宋体" w:cs="Courier New"/>
          <w:sz w:val="24"/>
          <w:szCs w:val="24"/>
        </w:rPr>
        <w:t>双方</w:t>
      </w:r>
      <w:r>
        <w:rPr>
          <w:rFonts w:hint="eastAsia" w:ascii="宋体" w:hAnsi="宋体" w:cs="Courier New"/>
          <w:sz w:val="24"/>
          <w:szCs w:val="24"/>
        </w:rPr>
        <w:t>因</w:t>
      </w:r>
      <w:r>
        <w:rPr>
          <w:rFonts w:ascii="宋体" w:hAnsi="宋体" w:cs="Courier New"/>
          <w:sz w:val="24"/>
          <w:szCs w:val="24"/>
        </w:rPr>
        <w:t>合同</w:t>
      </w:r>
      <w:r>
        <w:rPr>
          <w:rFonts w:hint="eastAsia" w:ascii="宋体" w:hAnsi="宋体" w:cs="Courier New"/>
          <w:sz w:val="24"/>
          <w:szCs w:val="24"/>
        </w:rPr>
        <w:t>签订、履行而</w:t>
      </w:r>
      <w:r>
        <w:rPr>
          <w:rFonts w:ascii="宋体" w:hAnsi="宋体" w:cs="Courier New"/>
          <w:sz w:val="24"/>
          <w:szCs w:val="24"/>
        </w:rPr>
        <w:t>发生的一切争议，应通过</w:t>
      </w:r>
      <w:r>
        <w:rPr>
          <w:rFonts w:hint="eastAsia" w:ascii="宋体" w:hAnsi="宋体" w:cs="Courier New"/>
          <w:sz w:val="24"/>
          <w:szCs w:val="24"/>
        </w:rPr>
        <w:t>友好</w:t>
      </w:r>
      <w:r>
        <w:rPr>
          <w:rFonts w:ascii="宋体" w:hAnsi="宋体" w:cs="Courier New"/>
          <w:sz w:val="24"/>
          <w:szCs w:val="24"/>
        </w:rPr>
        <w:t>协商解决。如协商不成</w:t>
      </w:r>
      <w:r>
        <w:rPr>
          <w:rFonts w:hint="eastAsia" w:ascii="宋体" w:hAnsi="宋体" w:cs="Courier New"/>
          <w:sz w:val="24"/>
          <w:szCs w:val="24"/>
        </w:rPr>
        <w:t>由甲方住所地人民</w:t>
      </w:r>
      <w:r>
        <w:rPr>
          <w:rFonts w:ascii="宋体" w:hAnsi="宋体" w:cs="Courier New"/>
          <w:sz w:val="24"/>
          <w:szCs w:val="24"/>
        </w:rPr>
        <w:t>法院</w:t>
      </w:r>
      <w:r>
        <w:rPr>
          <w:rFonts w:hint="eastAsia" w:ascii="宋体" w:hAnsi="宋体" w:cs="Courier New"/>
          <w:sz w:val="24"/>
          <w:szCs w:val="24"/>
        </w:rPr>
        <w:t>管辖。</w:t>
      </w:r>
    </w:p>
    <w:p w14:paraId="5355F4DA">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六</w:t>
      </w:r>
      <w:r>
        <w:rPr>
          <w:rFonts w:ascii="宋体" w:hAnsi="宋体" w:cs="Courier New"/>
          <w:b/>
          <w:sz w:val="24"/>
          <w:szCs w:val="24"/>
        </w:rPr>
        <w:t>、合同生效及其</w:t>
      </w:r>
      <w:r>
        <w:rPr>
          <w:rFonts w:hint="eastAsia" w:ascii="宋体" w:hAnsi="宋体" w:cs="Courier New"/>
          <w:b/>
          <w:sz w:val="24"/>
          <w:szCs w:val="24"/>
        </w:rPr>
        <w:t>他</w:t>
      </w:r>
    </w:p>
    <w:p w14:paraId="1E359098">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.1 合同经双方法定代表人或授权委托代</w:t>
      </w:r>
      <w:r>
        <w:rPr>
          <w:rFonts w:hint="eastAsia" w:ascii="宋体" w:hAnsi="宋体" w:cs="Courier New"/>
          <w:sz w:val="24"/>
          <w:szCs w:val="24"/>
        </w:rPr>
        <w:t>表</w:t>
      </w:r>
      <w:r>
        <w:rPr>
          <w:rFonts w:ascii="宋体" w:hAnsi="宋体" w:cs="Courier New"/>
          <w:sz w:val="24"/>
          <w:szCs w:val="24"/>
        </w:rPr>
        <w:t>人签字并加盖单位公章后生效。</w:t>
      </w:r>
    </w:p>
    <w:p w14:paraId="134BCAE8">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.2本合同未尽事宜，遵照</w:t>
      </w:r>
      <w:r>
        <w:rPr>
          <w:rFonts w:hint="eastAsia" w:ascii="宋体" w:hAnsi="宋体" w:cs="Courier New"/>
          <w:sz w:val="24"/>
          <w:szCs w:val="24"/>
        </w:rPr>
        <w:t>《中华人民共和国民法典</w:t>
      </w:r>
      <w:r>
        <w:rPr>
          <w:rFonts w:hint="eastAsia" w:ascii="宋体" w:hAnsi="宋体" w:cs="Courier New"/>
          <w:sz w:val="24"/>
          <w:szCs w:val="24"/>
          <w:lang w:eastAsia="zh-CN"/>
        </w:rPr>
        <w:t>》《</w:t>
      </w:r>
      <w:r>
        <w:rPr>
          <w:rFonts w:hint="eastAsia" w:ascii="宋体" w:hAnsi="宋体" w:cs="Courier New"/>
          <w:sz w:val="24"/>
          <w:szCs w:val="24"/>
        </w:rPr>
        <w:t>中华人民共和国政府采购法》</w:t>
      </w:r>
      <w:r>
        <w:rPr>
          <w:rFonts w:ascii="宋体" w:hAnsi="宋体" w:cs="Courier New"/>
          <w:sz w:val="24"/>
          <w:szCs w:val="24"/>
        </w:rPr>
        <w:t>有关条文执行。</w:t>
      </w:r>
    </w:p>
    <w:p w14:paraId="7C16CCED">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w:t>
      </w:r>
      <w:r>
        <w:rPr>
          <w:rFonts w:hint="eastAsia" w:ascii="宋体" w:hAnsi="宋体" w:cs="Courier New"/>
          <w:sz w:val="24"/>
          <w:szCs w:val="24"/>
        </w:rPr>
        <w:t>3</w:t>
      </w:r>
      <w:r>
        <w:rPr>
          <w:rFonts w:ascii="宋体" w:hAnsi="宋体" w:cs="Courier New"/>
          <w:sz w:val="24"/>
          <w:szCs w:val="24"/>
        </w:rPr>
        <w:t xml:space="preserve"> 本合同正本一式</w:t>
      </w:r>
      <w:r>
        <w:rPr>
          <w:rFonts w:hint="eastAsia" w:ascii="宋体" w:hAnsi="宋体" w:cs="Courier New"/>
          <w:sz w:val="24"/>
          <w:szCs w:val="24"/>
        </w:rPr>
        <w:t>两</w:t>
      </w:r>
      <w:r>
        <w:rPr>
          <w:rFonts w:ascii="宋体" w:hAnsi="宋体" w:cs="Courier New"/>
          <w:sz w:val="24"/>
          <w:szCs w:val="24"/>
        </w:rPr>
        <w:t>份，具有同等法律效力，甲</w:t>
      </w:r>
      <w:r>
        <w:rPr>
          <w:rFonts w:hint="eastAsia" w:ascii="宋体" w:hAnsi="宋体" w:cs="Courier New"/>
          <w:sz w:val="24"/>
          <w:szCs w:val="24"/>
        </w:rPr>
        <w:t>方、</w:t>
      </w:r>
      <w:r>
        <w:rPr>
          <w:rFonts w:ascii="宋体" w:hAnsi="宋体" w:cs="Courier New"/>
          <w:sz w:val="24"/>
          <w:szCs w:val="24"/>
        </w:rPr>
        <w:t>乙方各执一份。</w:t>
      </w:r>
    </w:p>
    <w:p w14:paraId="08551C25">
      <w:pPr>
        <w:spacing w:line="400" w:lineRule="exact"/>
        <w:ind w:left="480" w:hanging="480"/>
        <w:rPr>
          <w:rFonts w:ascii="宋体" w:hAnsi="宋体" w:cs="Courier New"/>
          <w:sz w:val="24"/>
          <w:szCs w:val="24"/>
        </w:rPr>
      </w:pPr>
      <w:r>
        <w:rPr>
          <w:rFonts w:ascii="宋体" w:hAnsi="宋体" w:cs="Courier New"/>
          <w:sz w:val="24"/>
          <w:szCs w:val="24"/>
        </w:rPr>
        <w:t xml:space="preserve">  甲方：                        乙方： </w:t>
      </w:r>
    </w:p>
    <w:p w14:paraId="1364093A">
      <w:pPr>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p>
    <w:p w14:paraId="07566DD6">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或授权代表</w:t>
      </w:r>
      <w:r>
        <w:rPr>
          <w:rFonts w:ascii="宋体" w:hAnsi="宋体" w:cs="Courier New"/>
          <w:sz w:val="24"/>
          <w:szCs w:val="24"/>
        </w:rPr>
        <w:t>：        法定代表人</w:t>
      </w:r>
      <w:r>
        <w:rPr>
          <w:rFonts w:hint="eastAsia" w:ascii="宋体" w:hAnsi="宋体" w:cs="Courier New"/>
          <w:sz w:val="24"/>
          <w:szCs w:val="24"/>
        </w:rPr>
        <w:t>或授权代表</w:t>
      </w:r>
      <w:r>
        <w:rPr>
          <w:rFonts w:ascii="宋体" w:hAnsi="宋体" w:cs="Courier New"/>
          <w:sz w:val="24"/>
          <w:szCs w:val="24"/>
        </w:rPr>
        <w:t>：</w:t>
      </w:r>
    </w:p>
    <w:p w14:paraId="091EDA1A">
      <w:pPr>
        <w:spacing w:line="400" w:lineRule="exact"/>
        <w:ind w:firstLine="240"/>
        <w:rPr>
          <w:rFonts w:ascii="宋体" w:hAnsi="Courier New" w:cs="Courier New"/>
        </w:rPr>
      </w:pPr>
      <w:r>
        <w:rPr>
          <w:rFonts w:hint="eastAsia" w:ascii="宋体" w:hAnsi="宋体" w:cs="Courier New"/>
          <w:sz w:val="24"/>
          <w:szCs w:val="24"/>
        </w:rPr>
        <w:t xml:space="preserve">联系电话：                    联系电话：          </w:t>
      </w:r>
    </w:p>
    <w:p w14:paraId="596A8AFE">
      <w:pPr>
        <w:spacing w:line="400" w:lineRule="exact"/>
        <w:jc w:val="center"/>
        <w:rPr>
          <w:rFonts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p>
    <w:p w14:paraId="2D9EB83C">
      <w:pPr>
        <w:spacing w:line="400" w:lineRule="exact"/>
        <w:jc w:val="center"/>
        <w:rPr>
          <w:rFonts w:ascii="宋体" w:hAnsi="宋体" w:cs="Courier New"/>
          <w:sz w:val="24"/>
          <w:szCs w:val="24"/>
        </w:rPr>
      </w:pPr>
    </w:p>
    <w:p w14:paraId="26E3C19F">
      <w:pPr>
        <w:spacing w:line="400" w:lineRule="exact"/>
        <w:ind w:firstLine="480"/>
        <w:rPr>
          <w:rFonts w:ascii="宋体" w:hAnsi="宋体"/>
          <w:bCs/>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日</w:t>
      </w:r>
    </w:p>
    <w:p w14:paraId="1D480220">
      <w:pPr>
        <w:spacing w:line="400" w:lineRule="exact"/>
        <w:ind w:firstLine="480"/>
        <w:rPr>
          <w:rFonts w:ascii="宋体" w:hAnsi="宋体"/>
          <w:bCs/>
          <w:color w:val="000000"/>
          <w:sz w:val="24"/>
          <w:szCs w:val="24"/>
        </w:rPr>
      </w:pPr>
    </w:p>
    <w:p w14:paraId="336F50C1">
      <w:pPr>
        <w:spacing w:line="400" w:lineRule="exact"/>
        <w:jc w:val="center"/>
        <w:outlineLvl w:val="0"/>
        <w:rPr>
          <w:rFonts w:ascii="黑体" w:eastAsia="黑体"/>
          <w:bCs/>
          <w:color w:val="000000"/>
          <w:sz w:val="36"/>
          <w:szCs w:val="36"/>
        </w:rPr>
      </w:pPr>
      <w:r>
        <w:rPr>
          <w:rFonts w:ascii="宋体" w:hAnsi="宋体"/>
          <w:bCs/>
          <w:color w:val="000000"/>
          <w:sz w:val="24"/>
          <w:szCs w:val="24"/>
        </w:rPr>
        <w:br w:type="page" w:clear="all"/>
      </w:r>
      <w:bookmarkEnd w:id="181"/>
      <w:bookmarkEnd w:id="182"/>
      <w:bookmarkEnd w:id="183"/>
      <w:bookmarkStart w:id="184" w:name="_Hlt16619369"/>
      <w:bookmarkEnd w:id="184"/>
      <w:bookmarkStart w:id="185" w:name="_Hlt16619350"/>
      <w:bookmarkStart w:id="186" w:name="_Toc120614244"/>
      <w:bookmarkStart w:id="187" w:name="_Toc20823346"/>
      <w:bookmarkStart w:id="188" w:name="_Toc16938590"/>
      <w:bookmarkStart w:id="189" w:name="_Toc462564139"/>
      <w:bookmarkStart w:id="190" w:name="_Toc479757211"/>
    </w:p>
    <w:p w14:paraId="78FE46F6">
      <w:pPr>
        <w:spacing w:line="288" w:lineRule="auto"/>
        <w:ind w:firstLine="720"/>
        <w:jc w:val="center"/>
        <w:rPr>
          <w:rFonts w:hAnsi="宋体"/>
          <w:color w:val="000000"/>
          <w:sz w:val="36"/>
          <w:szCs w:val="36"/>
        </w:rPr>
      </w:pPr>
      <w:r>
        <w:rPr>
          <w:rFonts w:hint="eastAsia" w:ascii="黑体" w:eastAsia="黑体"/>
          <w:bCs/>
          <w:color w:val="000000"/>
          <w:sz w:val="36"/>
          <w:szCs w:val="36"/>
        </w:rPr>
        <w:t>第</w:t>
      </w:r>
      <w:bookmarkEnd w:id="185"/>
      <w:r>
        <w:rPr>
          <w:rFonts w:hint="eastAsia" w:ascii="黑体" w:eastAsia="黑体"/>
          <w:bCs/>
          <w:color w:val="000000"/>
          <w:sz w:val="36"/>
          <w:szCs w:val="36"/>
        </w:rPr>
        <w:t>四章 采购需求</w:t>
      </w:r>
      <w:bookmarkEnd w:id="186"/>
      <w:bookmarkEnd w:id="187"/>
      <w:bookmarkEnd w:id="188"/>
    </w:p>
    <w:p w14:paraId="3838D3AE">
      <w:pPr>
        <w:spacing w:line="360" w:lineRule="auto"/>
        <w:ind w:firstLine="600"/>
        <w:jc w:val="left"/>
        <w:rPr>
          <w:rFonts w:ascii="黑体" w:hAnsi="黑体" w:eastAsia="黑体"/>
          <w:color w:val="000000"/>
          <w:sz w:val="30"/>
          <w:szCs w:val="30"/>
        </w:rPr>
      </w:pPr>
      <w:bookmarkStart w:id="191" w:name="_Toc49090575"/>
      <w:bookmarkStart w:id="192" w:name="_Toc26554093"/>
      <w:r>
        <w:rPr>
          <w:rFonts w:hint="eastAsia" w:ascii="黑体" w:hAnsi="黑体" w:eastAsia="黑体"/>
          <w:color w:val="000000"/>
          <w:sz w:val="30"/>
          <w:szCs w:val="30"/>
        </w:rPr>
        <w:t>本项目属性：货物类项目</w:t>
      </w:r>
    </w:p>
    <w:p w14:paraId="25A1753A">
      <w:pPr>
        <w:spacing w:line="360" w:lineRule="auto"/>
        <w:ind w:firstLine="480"/>
        <w:jc w:val="left"/>
        <w:rPr>
          <w:rFonts w:ascii="宋体" w:hAnsi="宋体"/>
          <w:color w:val="000000"/>
          <w:sz w:val="24"/>
          <w:szCs w:val="24"/>
        </w:rPr>
      </w:pPr>
      <w:r>
        <w:rPr>
          <w:rFonts w:hint="eastAsia" w:ascii="宋体" w:hAnsi="宋体"/>
          <w:color w:val="000000"/>
          <w:sz w:val="24"/>
          <w:szCs w:val="24"/>
        </w:rPr>
        <w:t>投标人所投内容必须满足以下要求，不得有负偏离。</w:t>
      </w:r>
    </w:p>
    <w:p w14:paraId="75DE4E4C">
      <w:pPr>
        <w:spacing w:line="360" w:lineRule="auto"/>
        <w:ind w:firstLine="480"/>
        <w:rPr>
          <w:rFonts w:ascii="宋体" w:hAnsi="宋体"/>
          <w:bCs/>
          <w:color w:val="000000"/>
          <w:sz w:val="24"/>
          <w:szCs w:val="24"/>
          <w:highlight w:val="none"/>
        </w:rPr>
      </w:pPr>
      <w:r>
        <w:rPr>
          <w:rFonts w:hint="eastAsia" w:ascii="宋体" w:hAnsi="宋体"/>
          <w:bCs/>
          <w:color w:val="000000"/>
          <w:sz w:val="24"/>
          <w:szCs w:val="24"/>
        </w:rPr>
        <w:t>本项目标的物所属行业</w:t>
      </w:r>
      <w:r>
        <w:rPr>
          <w:rFonts w:hint="eastAsia" w:ascii="宋体" w:hAnsi="宋体"/>
          <w:bCs/>
          <w:color w:val="000000"/>
          <w:sz w:val="24"/>
          <w:szCs w:val="24"/>
          <w:highlight w:val="none"/>
        </w:rPr>
        <w:t>：工业</w:t>
      </w:r>
    </w:p>
    <w:p w14:paraId="3F702086">
      <w:pPr>
        <w:spacing w:line="360" w:lineRule="auto"/>
        <w:ind w:firstLine="480"/>
        <w:rPr>
          <w:rFonts w:hint="eastAsia" w:ascii="宋体" w:hAnsi="宋体"/>
          <w:bCs/>
          <w:color w:val="000000"/>
          <w:sz w:val="24"/>
          <w:szCs w:val="24"/>
        </w:rPr>
      </w:pPr>
      <w:r>
        <w:rPr>
          <w:rFonts w:hint="eastAsia" w:ascii="宋体" w:hAnsi="宋体"/>
          <w:bCs/>
          <w:color w:val="000000"/>
          <w:sz w:val="24"/>
          <w:szCs w:val="24"/>
        </w:rPr>
        <w:t>核心产品：沉浸式XR大屏交互显示系统</w:t>
      </w:r>
    </w:p>
    <w:p w14:paraId="6B8F04B6">
      <w:pPr>
        <w:spacing w:line="360" w:lineRule="auto"/>
        <w:ind w:firstLine="602"/>
        <w:rPr>
          <w:rFonts w:ascii="宋体" w:hAnsi="宋体"/>
          <w:b/>
          <w:color w:val="000000"/>
          <w:sz w:val="30"/>
          <w:szCs w:val="30"/>
        </w:rPr>
      </w:pPr>
      <w:r>
        <w:rPr>
          <w:rFonts w:hint="eastAsia" w:ascii="宋体" w:hAnsi="宋体"/>
          <w:b/>
          <w:color w:val="000000"/>
          <w:sz w:val="30"/>
          <w:szCs w:val="30"/>
        </w:rPr>
        <w:t>第一部分  项目技术要求</w:t>
      </w:r>
    </w:p>
    <w:p w14:paraId="6A812F74">
      <w:pPr>
        <w:pStyle w:val="68"/>
        <w:keepNext w:val="0"/>
        <w:keepLines w:val="0"/>
        <w:pageBreakBefore w:val="0"/>
        <w:widowControl/>
        <w:numPr>
          <w:ilvl w:val="0"/>
          <w:numId w:val="5"/>
        </w:numPr>
        <w:kinsoku/>
        <w:wordWrap/>
        <w:overflowPunct/>
        <w:topLinePunct w:val="0"/>
        <w:autoSpaceDE/>
        <w:autoSpaceDN/>
        <w:bidi w:val="0"/>
        <w:adjustRightInd/>
        <w:snapToGrid/>
        <w:spacing w:line="360" w:lineRule="auto"/>
        <w:contextualSpacing w:val="0"/>
        <w:textAlignment w:val="baseline"/>
        <w:rPr>
          <w:rFonts w:ascii="宋体" w:hAnsi="宋体"/>
          <w:b/>
          <w:szCs w:val="24"/>
        </w:rPr>
      </w:pPr>
      <w:r>
        <w:rPr>
          <w:rFonts w:hint="eastAsia" w:ascii="宋体" w:hAnsi="宋体" w:cs="宋体"/>
          <w:b/>
          <w:bCs/>
          <w:color w:val="000000"/>
          <w:sz w:val="24"/>
          <w:szCs w:val="24"/>
        </w:rPr>
        <w:t>项目概况</w:t>
      </w:r>
    </w:p>
    <w:p w14:paraId="2D643C69">
      <w:pPr>
        <w:pStyle w:val="68"/>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rPr>
          <w:rFonts w:hint="default" w:ascii="宋体" w:hAnsi="宋体"/>
          <w:bCs/>
          <w:color w:val="000000"/>
          <w:sz w:val="24"/>
          <w:szCs w:val="24"/>
          <w:highlight w:val="none"/>
        </w:rPr>
      </w:pPr>
      <w:r>
        <w:rPr>
          <w:rFonts w:ascii="宋体" w:hAnsi="宋体"/>
          <w:bCs/>
          <w:color w:val="000000"/>
          <w:sz w:val="24"/>
          <w:szCs w:val="24"/>
          <w:highlight w:val="none"/>
        </w:rPr>
        <w:t>本项目旨</w:t>
      </w:r>
      <w:r>
        <w:rPr>
          <w:rFonts w:hint="default" w:ascii="宋体" w:hAnsi="宋体"/>
          <w:bCs/>
          <w:color w:val="000000"/>
          <w:sz w:val="24"/>
          <w:szCs w:val="24"/>
          <w:highlight w:val="none"/>
        </w:rPr>
        <w:t>在无锡学院建设智慧应急管理情景模拟综合实训室，以提升学院在应急管理领域的教学实训能力与科研创新水平。该实训室将集成信息技术与虚拟现实技术，模拟各类自然灾害、事故灾难、公共卫生事件及社会安全事件等复杂应急场景，为师生提供一个高度逼真、互动性强的实战演练平台。通过情景模拟、案例分析、团队协作训练及决策支持系统，强化学生对应急管理理论知识的理解与应用能力，培养其快速反应、科学决策及高效协调的应急管理能力。项目还将促进校企合作，引入行业标准与最新应急管理技术，实现教育资源与社会资源的深度融合，为培养符合新时代要求的应急管理专业人才奠定坚实基础。整体而言，本项目是推动无锡学院应急管理教育现代化、实战化的重要举措，对于提升区域乃至国家应急管理水平具有重要意义。</w:t>
      </w:r>
    </w:p>
    <w:p w14:paraId="33656410">
      <w:pPr>
        <w:pStyle w:val="68"/>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Chars="200"/>
        <w:rPr>
          <w:rFonts w:hint="eastAsia" w:ascii="宋体" w:hAnsi="宋体" w:cs="宋体"/>
          <w:b/>
          <w:bCs/>
          <w:color w:val="000000"/>
          <w:sz w:val="24"/>
          <w:szCs w:val="24"/>
          <w:lang w:val="en-US" w:eastAsia="zh-CN"/>
        </w:rPr>
      </w:pP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二</w:t>
      </w:r>
      <w:r>
        <w:rPr>
          <w:rFonts w:hint="eastAsia" w:ascii="宋体" w:hAnsi="宋体" w:cs="宋体"/>
          <w:b/>
          <w:bCs/>
          <w:color w:val="000000"/>
          <w:sz w:val="24"/>
          <w:szCs w:val="24"/>
          <w:lang w:eastAsia="zh-CN"/>
        </w:rPr>
        <w:t>）</w:t>
      </w:r>
      <w:r>
        <w:rPr>
          <w:rFonts w:hint="eastAsia" w:ascii="宋体" w:hAnsi="宋体" w:cs="宋体"/>
          <w:b/>
          <w:bCs/>
          <w:color w:val="000000"/>
          <w:sz w:val="24"/>
          <w:szCs w:val="24"/>
        </w:rPr>
        <w:t>项目清单</w:t>
      </w:r>
      <w:r>
        <w:rPr>
          <w:rFonts w:hint="eastAsia" w:ascii="宋体" w:hAnsi="宋体" w:cs="宋体"/>
          <w:b/>
          <w:bCs/>
          <w:color w:val="000000"/>
          <w:sz w:val="24"/>
          <w:szCs w:val="24"/>
          <w:lang w:val="en-US" w:eastAsia="zh-CN"/>
        </w:rPr>
        <w:t>及参数要求</w:t>
      </w:r>
    </w:p>
    <w:tbl>
      <w:tblPr>
        <w:tblStyle w:val="48"/>
        <w:tblW w:w="9122" w:type="dxa"/>
        <w:tblInd w:w="0" w:type="dxa"/>
        <w:tblLayout w:type="fixed"/>
        <w:tblCellMar>
          <w:top w:w="0" w:type="dxa"/>
          <w:left w:w="108" w:type="dxa"/>
          <w:bottom w:w="0" w:type="dxa"/>
          <w:right w:w="108" w:type="dxa"/>
        </w:tblCellMar>
      </w:tblPr>
      <w:tblGrid>
        <w:gridCol w:w="597"/>
        <w:gridCol w:w="462"/>
        <w:gridCol w:w="120"/>
        <w:gridCol w:w="1343"/>
        <w:gridCol w:w="5430"/>
        <w:gridCol w:w="620"/>
        <w:gridCol w:w="550"/>
      </w:tblGrid>
      <w:tr w14:paraId="70A637B8">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vAlign w:val="center"/>
          </w:tcPr>
          <w:p w14:paraId="438C7FA0">
            <w:pPr>
              <w:widowControl/>
              <w:jc w:val="center"/>
              <w:textAlignment w:val="center"/>
              <w:rPr>
                <w:rFonts w:ascii="宋体" w:hAnsi="宋体" w:cs="宋体"/>
                <w:color w:val="000000"/>
              </w:rPr>
            </w:pPr>
            <w:r>
              <w:rPr>
                <w:rFonts w:hint="eastAsia" w:ascii="宋体" w:hAnsi="宋体" w:cs="宋体"/>
                <w:color w:val="000000"/>
                <w:lang w:bidi="ar"/>
              </w:rPr>
              <w:t>序号</w:t>
            </w:r>
          </w:p>
        </w:tc>
        <w:tc>
          <w:tcPr>
            <w:tcW w:w="1925" w:type="dxa"/>
            <w:gridSpan w:val="3"/>
            <w:tcBorders>
              <w:top w:val="single" w:color="000000" w:sz="4" w:space="0"/>
              <w:left w:val="single" w:color="000000" w:sz="4" w:space="0"/>
              <w:bottom w:val="single" w:color="000000" w:sz="4" w:space="0"/>
              <w:right w:val="single" w:color="000000" w:sz="4" w:space="0"/>
            </w:tcBorders>
            <w:noWrap/>
            <w:vAlign w:val="center"/>
          </w:tcPr>
          <w:p w14:paraId="2E7A3450">
            <w:pPr>
              <w:widowControl/>
              <w:jc w:val="center"/>
              <w:textAlignment w:val="center"/>
              <w:rPr>
                <w:rFonts w:ascii="宋体" w:hAnsi="宋体" w:cs="宋体"/>
                <w:color w:val="000000"/>
              </w:rPr>
            </w:pPr>
            <w:r>
              <w:rPr>
                <w:rFonts w:hint="eastAsia" w:ascii="宋体" w:hAnsi="宋体" w:cs="宋体"/>
                <w:color w:val="000000"/>
                <w:lang w:bidi="ar"/>
              </w:rPr>
              <w:t>名称</w:t>
            </w:r>
          </w:p>
        </w:tc>
        <w:tc>
          <w:tcPr>
            <w:tcW w:w="5430" w:type="dxa"/>
            <w:tcBorders>
              <w:top w:val="single" w:color="000000" w:sz="4" w:space="0"/>
              <w:left w:val="single" w:color="000000" w:sz="4" w:space="0"/>
              <w:bottom w:val="single" w:color="000000" w:sz="4" w:space="0"/>
              <w:right w:val="single" w:color="000000" w:sz="4" w:space="0"/>
            </w:tcBorders>
            <w:noWrap/>
            <w:vAlign w:val="center"/>
          </w:tcPr>
          <w:p w14:paraId="22045EF6">
            <w:pPr>
              <w:widowControl/>
              <w:jc w:val="center"/>
              <w:textAlignment w:val="center"/>
              <w:rPr>
                <w:rFonts w:ascii="宋体" w:hAnsi="宋体" w:cs="宋体"/>
                <w:color w:val="000000"/>
                <w:lang w:bidi="ar"/>
              </w:rPr>
            </w:pPr>
            <w:r>
              <w:rPr>
                <w:rFonts w:hint="eastAsia" w:ascii="宋体" w:hAnsi="宋体" w:cs="宋体"/>
                <w:color w:val="000000"/>
                <w:lang w:bidi="ar"/>
              </w:rPr>
              <w:t>详细描述</w:t>
            </w: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31D8C164">
            <w:pPr>
              <w:widowControl/>
              <w:jc w:val="center"/>
              <w:textAlignment w:val="center"/>
              <w:rPr>
                <w:rFonts w:ascii="宋体" w:hAnsi="宋体" w:cs="宋体"/>
                <w:color w:val="000000"/>
              </w:rPr>
            </w:pPr>
            <w:r>
              <w:rPr>
                <w:rFonts w:hint="eastAsia" w:ascii="宋体" w:hAnsi="宋体" w:cs="宋体"/>
                <w:color w:val="000000"/>
                <w:lang w:bidi="ar"/>
              </w:rPr>
              <w:t>数量</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34A3DF04">
            <w:pPr>
              <w:widowControl/>
              <w:jc w:val="center"/>
              <w:textAlignment w:val="center"/>
              <w:rPr>
                <w:rFonts w:ascii="宋体" w:hAnsi="宋体" w:cs="宋体"/>
                <w:color w:val="000000"/>
              </w:rPr>
            </w:pPr>
            <w:r>
              <w:rPr>
                <w:rFonts w:hint="eastAsia" w:ascii="宋体" w:hAnsi="宋体" w:cs="宋体"/>
                <w:color w:val="000000"/>
                <w:lang w:bidi="ar"/>
              </w:rPr>
              <w:t>单位</w:t>
            </w:r>
          </w:p>
        </w:tc>
      </w:tr>
      <w:tr w14:paraId="1541C70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66635E0">
            <w:pPr>
              <w:widowControl/>
              <w:jc w:val="center"/>
              <w:textAlignment w:val="center"/>
              <w:rPr>
                <w:rFonts w:ascii="宋体" w:hAnsi="宋体" w:cs="宋体"/>
                <w:color w:val="000000"/>
              </w:rPr>
            </w:pPr>
            <w:r>
              <w:rPr>
                <w:rFonts w:hint="eastAsia" w:ascii="宋体" w:hAnsi="宋体" w:cs="宋体"/>
                <w:color w:val="000000"/>
                <w:lang w:bidi="ar"/>
              </w:rPr>
              <w:t>1</w:t>
            </w:r>
          </w:p>
        </w:tc>
        <w:tc>
          <w:tcPr>
            <w:tcW w:w="582" w:type="dxa"/>
            <w:gridSpan w:val="2"/>
            <w:vMerge w:val="restart"/>
            <w:tcBorders>
              <w:top w:val="single" w:color="000000" w:sz="4" w:space="0"/>
              <w:left w:val="single" w:color="000000" w:sz="4" w:space="0"/>
              <w:right w:val="single" w:color="000000" w:sz="4" w:space="0"/>
            </w:tcBorders>
            <w:vAlign w:val="center"/>
          </w:tcPr>
          <w:p w14:paraId="5C021DFC">
            <w:pPr>
              <w:widowControl/>
              <w:jc w:val="center"/>
              <w:textAlignment w:val="center"/>
              <w:rPr>
                <w:rFonts w:ascii="宋体" w:hAnsi="宋体" w:cs="宋体"/>
                <w:color w:val="000000"/>
              </w:rPr>
            </w:pPr>
            <w:r>
              <w:rPr>
                <w:rFonts w:hint="eastAsia" w:ascii="宋体" w:hAnsi="宋体" w:cs="宋体"/>
                <w:color w:val="000000"/>
              </w:rPr>
              <w:t>沉浸式XR大屏交互显示系统</w:t>
            </w:r>
          </w:p>
        </w:tc>
        <w:tc>
          <w:tcPr>
            <w:tcW w:w="1343" w:type="dxa"/>
            <w:tcBorders>
              <w:top w:val="single" w:color="000000" w:sz="4" w:space="0"/>
              <w:left w:val="single" w:color="000000" w:sz="4" w:space="0"/>
              <w:bottom w:val="single" w:color="000000" w:sz="4" w:space="0"/>
              <w:right w:val="single" w:color="000000" w:sz="4" w:space="0"/>
            </w:tcBorders>
            <w:vAlign w:val="center"/>
          </w:tcPr>
          <w:p w14:paraId="174E4A48">
            <w:pPr>
              <w:widowControl/>
              <w:jc w:val="center"/>
              <w:textAlignment w:val="center"/>
              <w:rPr>
                <w:rFonts w:ascii="宋体" w:hAnsi="宋体" w:cs="宋体"/>
                <w:color w:val="000000"/>
                <w:lang w:bidi="ar"/>
              </w:rPr>
            </w:pPr>
            <w:r>
              <w:rPr>
                <w:rFonts w:hint="eastAsia" w:ascii="宋体" w:hAnsi="宋体" w:cs="宋体"/>
                <w:color w:val="000000"/>
                <w:lang w:bidi="ar"/>
              </w:rPr>
              <w:t>渲染设备</w:t>
            </w:r>
          </w:p>
        </w:tc>
        <w:tc>
          <w:tcPr>
            <w:tcW w:w="5430" w:type="dxa"/>
            <w:tcBorders>
              <w:top w:val="single" w:color="000000" w:sz="4" w:space="0"/>
              <w:left w:val="single" w:color="000000" w:sz="4" w:space="0"/>
              <w:bottom w:val="single" w:color="000000" w:sz="4" w:space="0"/>
              <w:right w:val="single" w:color="000000" w:sz="4" w:space="0"/>
            </w:tcBorders>
            <w:vAlign w:val="center"/>
          </w:tcPr>
          <w:p w14:paraId="1482A9B9">
            <w:pPr>
              <w:widowControl/>
              <w:textAlignment w:val="center"/>
              <w:rPr>
                <w:rFonts w:ascii="宋体" w:hAnsi="宋体" w:cs="宋体"/>
                <w:color w:val="000000"/>
              </w:rPr>
            </w:pPr>
            <w:r>
              <w:rPr>
                <w:rFonts w:hint="eastAsia" w:ascii="宋体" w:hAnsi="宋体" w:cs="宋体"/>
                <w:color w:val="000000"/>
                <w:lang w:bidi="ar"/>
              </w:rPr>
              <w:t>配套</w:t>
            </w:r>
            <w:r>
              <w:rPr>
                <w:rFonts w:hint="eastAsia" w:ascii="宋体" w:hAnsi="宋体" w:cs="宋体"/>
                <w:color w:val="000000"/>
              </w:rPr>
              <w:t>沉浸式定位交互系统集成一体化</w:t>
            </w:r>
          </w:p>
          <w:p w14:paraId="7E04AC8B">
            <w:pPr>
              <w:widowControl/>
              <w:textAlignment w:val="center"/>
              <w:rPr>
                <w:rFonts w:ascii="宋体" w:hAnsi="宋体" w:cs="宋体"/>
                <w:color w:val="000000"/>
                <w:lang w:bidi="ar"/>
              </w:rPr>
            </w:pPr>
            <w:r>
              <w:rPr>
                <w:rFonts w:hint="eastAsia" w:ascii="宋体" w:hAnsi="宋体" w:cs="宋体"/>
                <w:color w:val="000000"/>
                <w:lang w:bidi="ar"/>
              </w:rPr>
              <w:t>1.CPU</w:t>
            </w:r>
            <w:r>
              <w:rPr>
                <w:rFonts w:hint="eastAsia" w:ascii="宋体" w:hAnsi="宋体" w:cs="宋体"/>
                <w:color w:val="000000"/>
                <w:lang w:eastAsia="zh-CN" w:bidi="ar"/>
              </w:rPr>
              <w:t>:</w:t>
            </w:r>
            <w:r>
              <w:rPr>
                <w:rFonts w:hint="eastAsia" w:ascii="宋体" w:hAnsi="宋体" w:cs="宋体"/>
                <w:color w:val="000000"/>
                <w:lang w:bidi="ar"/>
              </w:rPr>
              <w:t>≥I7-13700</w:t>
            </w:r>
            <w:r>
              <w:rPr>
                <w:rFonts w:hint="eastAsia" w:ascii="宋体" w:hAnsi="宋体" w:cs="宋体"/>
                <w:color w:val="000000"/>
                <w:lang w:eastAsia="zh-CN" w:bidi="ar"/>
              </w:rPr>
              <w:t>;</w:t>
            </w:r>
          </w:p>
          <w:p w14:paraId="530D3DB1">
            <w:pPr>
              <w:widowControl/>
              <w:textAlignment w:val="center"/>
              <w:rPr>
                <w:rFonts w:ascii="宋体" w:hAnsi="宋体" w:cs="宋体"/>
                <w:color w:val="000000"/>
                <w:lang w:bidi="ar"/>
              </w:rPr>
            </w:pPr>
            <w:r>
              <w:rPr>
                <w:rFonts w:hint="eastAsia" w:ascii="宋体" w:hAnsi="宋体" w:cs="宋体"/>
                <w:color w:val="000000"/>
                <w:lang w:bidi="ar"/>
              </w:rPr>
              <w:t>2.内存：≥32GB DDR5;</w:t>
            </w:r>
          </w:p>
          <w:p w14:paraId="141A86B5">
            <w:pPr>
              <w:widowControl/>
              <w:textAlignment w:val="center"/>
              <w:rPr>
                <w:rFonts w:ascii="宋体" w:hAnsi="宋体" w:cs="宋体"/>
                <w:color w:val="000000"/>
                <w:lang w:bidi="ar"/>
              </w:rPr>
            </w:pPr>
            <w:r>
              <w:rPr>
                <w:rFonts w:hint="eastAsia" w:ascii="宋体" w:hAnsi="宋体" w:cs="宋体"/>
                <w:color w:val="000000"/>
                <w:lang w:bidi="ar"/>
              </w:rPr>
              <w:t>3.显存容量：≥16GB;</w:t>
            </w:r>
          </w:p>
          <w:p w14:paraId="69D6C466">
            <w:pPr>
              <w:widowControl/>
              <w:textAlignment w:val="center"/>
              <w:rPr>
                <w:rFonts w:ascii="宋体" w:hAnsi="宋体" w:cs="宋体"/>
                <w:color w:val="000000"/>
                <w:lang w:bidi="ar"/>
              </w:rPr>
            </w:pPr>
            <w:r>
              <w:rPr>
                <w:rFonts w:hint="eastAsia" w:ascii="宋体" w:hAnsi="宋体" w:cs="宋体"/>
                <w:color w:val="000000"/>
                <w:lang w:bidi="ar"/>
              </w:rPr>
              <w:t>4.支持分辨率：≥7680*4320;</w:t>
            </w:r>
          </w:p>
          <w:p w14:paraId="1A5FB7E5">
            <w:pPr>
              <w:widowControl/>
              <w:textAlignment w:val="center"/>
              <w:rPr>
                <w:rFonts w:ascii="宋体" w:hAnsi="宋体" w:cs="宋体"/>
                <w:color w:val="000000"/>
                <w:lang w:bidi="ar"/>
              </w:rPr>
            </w:pPr>
            <w:r>
              <w:rPr>
                <w:rFonts w:hint="eastAsia" w:ascii="宋体" w:hAnsi="宋体" w:cs="宋体"/>
                <w:color w:val="000000"/>
                <w:lang w:bidi="ar"/>
              </w:rPr>
              <w:t>5.显卡：≥ RTX A4000;</w:t>
            </w:r>
          </w:p>
          <w:p w14:paraId="29F5C38B">
            <w:pPr>
              <w:widowControl/>
              <w:textAlignment w:val="center"/>
              <w:rPr>
                <w:rFonts w:ascii="宋体" w:hAnsi="宋体" w:cs="宋体"/>
                <w:color w:val="000000"/>
                <w:lang w:bidi="ar"/>
              </w:rPr>
            </w:pPr>
            <w:r>
              <w:rPr>
                <w:rFonts w:hint="eastAsia" w:ascii="宋体" w:hAnsi="宋体" w:cs="宋体"/>
                <w:color w:val="000000"/>
                <w:lang w:bidi="ar"/>
              </w:rPr>
              <w:t>6.硬盘：≥2T SSD;</w:t>
            </w:r>
          </w:p>
          <w:p w14:paraId="175FAAE1">
            <w:pPr>
              <w:widowControl/>
              <w:textAlignment w:val="center"/>
              <w:rPr>
                <w:rFonts w:ascii="宋体" w:hAnsi="宋体" w:cs="宋体"/>
                <w:color w:val="000000"/>
                <w:lang w:bidi="ar"/>
              </w:rPr>
            </w:pPr>
            <w:r>
              <w:rPr>
                <w:rFonts w:hint="eastAsia" w:ascii="宋体" w:hAnsi="宋体" w:cs="宋体"/>
                <w:color w:val="000000"/>
                <w:lang w:bidi="ar"/>
              </w:rPr>
              <w:t>7.需预装正版Windows11操作系统</w:t>
            </w:r>
            <w:r>
              <w:rPr>
                <w:rFonts w:hint="eastAsia" w:ascii="宋体" w:hAnsi="宋体" w:cs="宋体"/>
                <w:color w:val="000000"/>
                <w:lang w:eastAsia="zh-CN" w:bidi="ar"/>
              </w:rPr>
              <w:t>。</w:t>
            </w:r>
          </w:p>
        </w:tc>
        <w:tc>
          <w:tcPr>
            <w:tcW w:w="620" w:type="dxa"/>
            <w:tcBorders>
              <w:top w:val="single" w:color="000000" w:sz="4" w:space="0"/>
              <w:left w:val="single" w:color="000000" w:sz="4" w:space="0"/>
              <w:bottom w:val="single" w:color="000000" w:sz="4" w:space="0"/>
              <w:right w:val="single" w:color="000000" w:sz="4" w:space="0"/>
            </w:tcBorders>
            <w:vAlign w:val="center"/>
          </w:tcPr>
          <w:p w14:paraId="04354291">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3027E63F">
            <w:pPr>
              <w:widowControl/>
              <w:jc w:val="center"/>
              <w:textAlignment w:val="center"/>
              <w:rPr>
                <w:rFonts w:ascii="宋体" w:hAnsi="宋体" w:cs="宋体"/>
                <w:color w:val="000000"/>
              </w:rPr>
            </w:pPr>
            <w:r>
              <w:rPr>
                <w:rFonts w:hint="eastAsia" w:ascii="宋体" w:hAnsi="宋体" w:cs="宋体"/>
                <w:color w:val="000000"/>
                <w:lang w:bidi="ar"/>
              </w:rPr>
              <w:t>台</w:t>
            </w:r>
          </w:p>
        </w:tc>
      </w:tr>
      <w:tr w14:paraId="5AAEADA5">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A4376B3">
            <w:pPr>
              <w:widowControl/>
              <w:jc w:val="center"/>
              <w:textAlignment w:val="center"/>
              <w:rPr>
                <w:rFonts w:ascii="宋体" w:hAnsi="宋体" w:cs="宋体"/>
                <w:color w:val="000000"/>
              </w:rPr>
            </w:pPr>
            <w:r>
              <w:rPr>
                <w:rFonts w:hint="eastAsia" w:ascii="宋体" w:hAnsi="宋体" w:cs="宋体"/>
                <w:color w:val="000000"/>
                <w:lang w:bidi="ar"/>
              </w:rPr>
              <w:t>2</w:t>
            </w:r>
          </w:p>
        </w:tc>
        <w:tc>
          <w:tcPr>
            <w:tcW w:w="582" w:type="dxa"/>
            <w:gridSpan w:val="2"/>
            <w:vMerge w:val="continue"/>
            <w:tcBorders>
              <w:left w:val="single" w:color="000000" w:sz="4" w:space="0"/>
              <w:right w:val="single" w:color="000000" w:sz="4" w:space="0"/>
            </w:tcBorders>
            <w:vAlign w:val="center"/>
          </w:tcPr>
          <w:p w14:paraId="761150FB">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064FE0ED">
            <w:pPr>
              <w:widowControl/>
              <w:jc w:val="center"/>
              <w:textAlignment w:val="center"/>
              <w:rPr>
                <w:rFonts w:ascii="宋体" w:hAnsi="宋体" w:cs="宋体"/>
                <w:color w:val="000000"/>
                <w:lang w:bidi="ar"/>
              </w:rPr>
            </w:pPr>
            <w:r>
              <w:rPr>
                <w:rFonts w:hint="eastAsia" w:ascii="宋体" w:hAnsi="宋体" w:cs="宋体"/>
                <w:color w:val="000000"/>
                <w:lang w:bidi="ar"/>
              </w:rPr>
              <w:t>定位系统</w:t>
            </w:r>
          </w:p>
        </w:tc>
        <w:tc>
          <w:tcPr>
            <w:tcW w:w="5430" w:type="dxa"/>
            <w:tcBorders>
              <w:top w:val="single" w:color="000000" w:sz="4" w:space="0"/>
              <w:left w:val="single" w:color="000000" w:sz="4" w:space="0"/>
              <w:bottom w:val="single" w:color="000000" w:sz="4" w:space="0"/>
              <w:right w:val="single" w:color="000000" w:sz="4" w:space="0"/>
            </w:tcBorders>
            <w:vAlign w:val="center"/>
          </w:tcPr>
          <w:p w14:paraId="086C8D09">
            <w:pPr>
              <w:widowControl/>
              <w:textAlignment w:val="center"/>
              <w:rPr>
                <w:rFonts w:ascii="宋体" w:hAnsi="宋体" w:cs="宋体"/>
                <w:color w:val="000000"/>
                <w:lang w:bidi="ar"/>
              </w:rPr>
            </w:pPr>
            <w:r>
              <w:rPr>
                <w:rFonts w:hint="eastAsia" w:ascii="宋体" w:hAnsi="宋体" w:cs="宋体"/>
                <w:color w:val="000000"/>
                <w:lang w:bidi="ar"/>
              </w:rPr>
              <w:t>交互硬件：</w:t>
            </w:r>
          </w:p>
          <w:p w14:paraId="7CC8CB6B">
            <w:pPr>
              <w:widowControl/>
              <w:textAlignment w:val="center"/>
              <w:rPr>
                <w:rFonts w:ascii="宋体" w:hAnsi="宋体" w:cs="宋体"/>
                <w:color w:val="000000"/>
                <w:lang w:bidi="ar"/>
              </w:rPr>
            </w:pPr>
            <w:r>
              <w:rPr>
                <w:rFonts w:hint="eastAsia" w:ascii="宋体" w:hAnsi="宋体" w:cs="宋体"/>
                <w:color w:val="000000"/>
                <w:lang w:bidi="ar"/>
              </w:rPr>
              <w:t>1.系统采用光惯融合定位方式，通过主动式红外光学追踪精准定位，结合IMU的高刷新率确保系统高精度低延时地追踪定位。</w:t>
            </w:r>
          </w:p>
          <w:p w14:paraId="07A8F1E3">
            <w:pPr>
              <w:widowControl/>
              <w:textAlignment w:val="center"/>
              <w:rPr>
                <w:rFonts w:ascii="宋体" w:hAnsi="宋体" w:cs="宋体"/>
                <w:color w:val="000000"/>
                <w:lang w:bidi="ar"/>
              </w:rPr>
            </w:pPr>
            <w:r>
              <w:rPr>
                <w:rFonts w:hint="eastAsia" w:ascii="宋体" w:hAnsi="宋体" w:cs="宋体"/>
                <w:color w:val="000000"/>
                <w:lang w:bidi="ar"/>
              </w:rPr>
              <w:t>2.系统支持追踪体验者的头部及双手运动，以支持沉浸式体验效果。需提供眼镜、双手柄和追踪摄像头结合边框标记点满足追踪使用。支持双手柄追踪无需借助第三方外设（如头盔）。</w:t>
            </w:r>
          </w:p>
          <w:p w14:paraId="5C4060E1">
            <w:pPr>
              <w:widowControl/>
              <w:textAlignment w:val="center"/>
              <w:rPr>
                <w:rFonts w:ascii="宋体" w:hAnsi="宋体" w:cs="宋体"/>
                <w:color w:val="000000"/>
                <w:lang w:bidi="ar"/>
              </w:rPr>
            </w:pPr>
            <w:r>
              <w:rPr>
                <w:rFonts w:hint="eastAsia" w:ascii="宋体" w:hAnsi="宋体" w:cs="宋体"/>
                <w:color w:val="000000"/>
                <w:lang w:bidi="ar"/>
              </w:rPr>
              <w:t>3.系统可靠性高，支持仅有单个摄像头的工作的情况下，完成物体的定位及追踪。</w:t>
            </w:r>
          </w:p>
          <w:p w14:paraId="1166F73B">
            <w:pPr>
              <w:widowControl/>
              <w:textAlignment w:val="center"/>
              <w:rPr>
                <w:rFonts w:ascii="宋体" w:hAnsi="宋体" w:cs="宋体"/>
                <w:color w:val="000000"/>
                <w:lang w:bidi="ar"/>
              </w:rPr>
            </w:pPr>
            <w:r>
              <w:rPr>
                <w:rFonts w:hint="eastAsia" w:ascii="宋体" w:hAnsi="宋体" w:cs="宋体"/>
                <w:color w:val="000000"/>
                <w:lang w:bidi="ar"/>
              </w:rPr>
              <w:t>4. 系统易用性高，系统部署后无需定期校准可确保追踪稳定性和精度不变；</w:t>
            </w:r>
          </w:p>
          <w:p w14:paraId="6D197047">
            <w:pPr>
              <w:widowControl/>
              <w:textAlignment w:val="center"/>
              <w:rPr>
                <w:rFonts w:hint="eastAsia" w:ascii="宋体" w:hAnsi="宋体" w:cs="宋体"/>
                <w:color w:val="000000"/>
                <w:lang w:bidi="ar"/>
              </w:rPr>
            </w:pPr>
            <w:r>
              <w:rPr>
                <w:rFonts w:hint="eastAsia" w:ascii="宋体" w:hAnsi="宋体" w:cs="宋体"/>
                <w:color w:val="000000"/>
                <w:lang w:bidi="ar"/>
              </w:rPr>
              <w:t>▲5.系统需提供1套（左手、右手）手持式无线追踪手柄，手持式无线手柄与摄像头通过磁吸式POGO PIN的连接方式连接，具备给摄像头供电及接收数据能力；</w:t>
            </w:r>
          </w:p>
          <w:p w14:paraId="230392FD">
            <w:pPr>
              <w:widowControl/>
              <w:textAlignment w:val="center"/>
              <w:rPr>
                <w:rFonts w:ascii="宋体" w:hAnsi="宋体" w:cs="宋体"/>
                <w:color w:val="000000"/>
                <w:lang w:bidi="ar"/>
              </w:rPr>
            </w:pPr>
            <w:r>
              <w:rPr>
                <w:rFonts w:hint="eastAsia" w:ascii="宋体" w:hAnsi="宋体" w:cs="宋体"/>
                <w:color w:val="000000"/>
                <w:lang w:bidi="ar"/>
              </w:rPr>
              <w:t>6.系统需提供2套（1套备用）支持主动追踪功能的眼镜， 眼镜与摄像头通过磁吸式POGO PIN的连接方式连接，并具备给摄像头供电及进行数据通信的能力。</w:t>
            </w:r>
          </w:p>
          <w:p w14:paraId="554C9FE1">
            <w:pPr>
              <w:widowControl/>
              <w:textAlignment w:val="center"/>
              <w:rPr>
                <w:rFonts w:ascii="宋体" w:hAnsi="宋体" w:cs="宋体"/>
                <w:color w:val="000000"/>
                <w:lang w:bidi="ar"/>
              </w:rPr>
            </w:pPr>
            <w:r>
              <w:rPr>
                <w:rFonts w:hint="eastAsia" w:ascii="宋体" w:hAnsi="宋体" w:cs="宋体"/>
                <w:color w:val="000000"/>
                <w:lang w:bidi="ar"/>
              </w:rPr>
              <w:t>7.追踪摄像头3个，具备以下性能：</w:t>
            </w:r>
          </w:p>
          <w:p w14:paraId="40016805">
            <w:pPr>
              <w:widowControl/>
              <w:textAlignment w:val="center"/>
              <w:rPr>
                <w:rFonts w:ascii="宋体" w:hAnsi="宋体" w:cs="宋体"/>
                <w:color w:val="000000"/>
                <w:lang w:bidi="ar"/>
              </w:rPr>
            </w:pPr>
            <w:r>
              <w:rPr>
                <w:rFonts w:hint="eastAsia" w:ascii="宋体" w:hAnsi="宋体" w:cs="宋体"/>
                <w:color w:val="000000"/>
                <w:lang w:bidi="ar"/>
              </w:rPr>
              <w:t>（1）摄像头模组内置光学镜头，图像处理单元，惯性传感器；</w:t>
            </w:r>
          </w:p>
          <w:p w14:paraId="5DAD8AAA">
            <w:pPr>
              <w:widowControl/>
              <w:textAlignment w:val="center"/>
              <w:rPr>
                <w:rFonts w:ascii="宋体" w:hAnsi="宋体" w:cs="宋体"/>
                <w:color w:val="000000"/>
                <w:lang w:bidi="ar"/>
              </w:rPr>
            </w:pPr>
            <w:r>
              <w:rPr>
                <w:rFonts w:hint="eastAsia" w:ascii="宋体" w:hAnsi="宋体" w:cs="宋体"/>
                <w:color w:val="000000"/>
                <w:lang w:bidi="ar"/>
              </w:rPr>
              <w:t>（2）摄像头尺寸≤16×16×21 mm，重量≤11g。</w:t>
            </w:r>
          </w:p>
          <w:p w14:paraId="0A528CC9">
            <w:pPr>
              <w:widowControl/>
              <w:textAlignment w:val="center"/>
              <w:rPr>
                <w:rFonts w:ascii="宋体" w:hAnsi="宋体" w:cs="宋体"/>
                <w:color w:val="000000"/>
                <w:lang w:bidi="ar"/>
              </w:rPr>
            </w:pPr>
            <w:r>
              <w:rPr>
                <w:rFonts w:hint="eastAsia" w:ascii="宋体" w:hAnsi="宋体" w:cs="宋体"/>
                <w:color w:val="000000"/>
                <w:lang w:bidi="ar"/>
              </w:rPr>
              <w:t>（4）摄像头视场角：水平视场角≥230度，垂直视场角≥180度。</w:t>
            </w:r>
          </w:p>
          <w:p w14:paraId="670DD9E5">
            <w:pPr>
              <w:widowControl/>
              <w:textAlignment w:val="center"/>
              <w:rPr>
                <w:rFonts w:ascii="宋体" w:hAnsi="宋体" w:cs="宋体"/>
                <w:color w:val="000000"/>
                <w:lang w:bidi="ar"/>
              </w:rPr>
            </w:pPr>
            <w:r>
              <w:rPr>
                <w:rFonts w:hint="eastAsia" w:ascii="宋体" w:hAnsi="宋体" w:cs="宋体"/>
                <w:color w:val="000000"/>
                <w:lang w:bidi="ar"/>
              </w:rPr>
              <w:t>8.系统需提供主动式发光标记点且具备以下性能指标：</w:t>
            </w:r>
          </w:p>
          <w:p w14:paraId="31AD133D">
            <w:pPr>
              <w:widowControl/>
              <w:textAlignment w:val="center"/>
              <w:rPr>
                <w:rFonts w:hint="eastAsia" w:ascii="宋体" w:hAnsi="宋体" w:cs="宋体"/>
                <w:color w:val="000000"/>
                <w:lang w:bidi="ar"/>
              </w:rPr>
            </w:pPr>
            <w:r>
              <w:rPr>
                <w:rFonts w:hint="eastAsia" w:ascii="宋体" w:hAnsi="宋体" w:cs="宋体"/>
                <w:color w:val="000000"/>
                <w:lang w:bidi="ar"/>
              </w:rPr>
              <w:t>▲（1）发光标记点可发出850nnm的红外光。</w:t>
            </w:r>
          </w:p>
          <w:p w14:paraId="3E8E1B52">
            <w:pPr>
              <w:widowControl/>
              <w:textAlignment w:val="center"/>
              <w:rPr>
                <w:rFonts w:ascii="宋体" w:hAnsi="宋体" w:cs="宋体"/>
                <w:color w:val="000000"/>
                <w:lang w:bidi="ar"/>
              </w:rPr>
            </w:pPr>
            <w:r>
              <w:rPr>
                <w:rFonts w:hint="eastAsia" w:ascii="宋体" w:hAnsi="宋体" w:cs="宋体"/>
                <w:color w:val="000000"/>
                <w:lang w:bidi="ar"/>
              </w:rPr>
              <w:t>（2）发光标记点集成于LED显示屏边框上，科学排布。</w:t>
            </w:r>
          </w:p>
          <w:p w14:paraId="7CBB36A6">
            <w:pPr>
              <w:widowControl/>
              <w:textAlignment w:val="center"/>
              <w:rPr>
                <w:rFonts w:ascii="宋体" w:hAnsi="宋体" w:cs="宋体"/>
                <w:color w:val="000000"/>
                <w:lang w:bidi="ar"/>
              </w:rPr>
            </w:pPr>
            <w:r>
              <w:rPr>
                <w:rFonts w:hint="eastAsia" w:ascii="宋体" w:hAnsi="宋体" w:cs="宋体"/>
                <w:color w:val="000000"/>
                <w:lang w:bidi="ar"/>
              </w:rPr>
              <w:t>配套软件：</w:t>
            </w:r>
          </w:p>
          <w:p w14:paraId="3B9BD75B">
            <w:pPr>
              <w:widowControl/>
              <w:textAlignment w:val="center"/>
              <w:rPr>
                <w:rFonts w:ascii="宋体" w:hAnsi="宋体" w:cs="宋体"/>
                <w:color w:val="000000"/>
                <w:lang w:bidi="ar"/>
              </w:rPr>
            </w:pPr>
            <w:r>
              <w:rPr>
                <w:rFonts w:hint="eastAsia" w:ascii="宋体" w:hAnsi="宋体" w:cs="宋体"/>
                <w:color w:val="000000"/>
                <w:lang w:bidi="ar"/>
              </w:rPr>
              <w:t>1.自主研发软件，要求提供该软件产品自主知识产权证明和测试报告文件复印件并加盖公章；</w:t>
            </w:r>
          </w:p>
          <w:p w14:paraId="69A7B4D1">
            <w:pPr>
              <w:widowControl/>
              <w:textAlignment w:val="center"/>
              <w:rPr>
                <w:rFonts w:ascii="宋体" w:hAnsi="宋体" w:cs="宋体"/>
                <w:color w:val="000000"/>
                <w:lang w:bidi="ar"/>
              </w:rPr>
            </w:pPr>
            <w:r>
              <w:rPr>
                <w:rFonts w:hint="eastAsia" w:ascii="宋体" w:hAnsi="宋体" w:cs="宋体"/>
                <w:color w:val="000000"/>
                <w:lang w:bidi="ar"/>
              </w:rPr>
              <w:t>2.为保证系统的易用性，系统支持保存功能，能够保存追踪节点设置数据并支持设置追踪体序号功能；支持设置VRPN服务器信息，包含VRPN服务器名称、端口等，并保存VRPN数据，以便程序启动后无需多次设置；</w:t>
            </w:r>
          </w:p>
          <w:p w14:paraId="0052AF8F">
            <w:pPr>
              <w:widowControl/>
              <w:textAlignment w:val="center"/>
              <w:rPr>
                <w:rFonts w:ascii="宋体" w:hAnsi="宋体" w:cs="宋体"/>
                <w:color w:val="000000"/>
                <w:lang w:bidi="ar"/>
              </w:rPr>
            </w:pPr>
            <w:r>
              <w:rPr>
                <w:rFonts w:hint="eastAsia" w:ascii="宋体" w:hAnsi="宋体" w:cs="宋体"/>
                <w:color w:val="000000"/>
                <w:lang w:bidi="ar"/>
              </w:rPr>
              <w:t>3.为了系统算法处理器的稳定性，系统要求采用C/S架构；</w:t>
            </w:r>
          </w:p>
          <w:p w14:paraId="512F2C02">
            <w:pPr>
              <w:widowControl/>
              <w:textAlignment w:val="center"/>
              <w:rPr>
                <w:rFonts w:ascii="宋体" w:hAnsi="宋体" w:cs="宋体"/>
                <w:color w:val="000000"/>
                <w:lang w:bidi="ar"/>
              </w:rPr>
            </w:pPr>
            <w:r>
              <w:rPr>
                <w:rFonts w:hint="eastAsia" w:ascii="宋体" w:hAnsi="宋体" w:cs="宋体"/>
                <w:color w:val="000000"/>
                <w:lang w:bidi="ar"/>
              </w:rPr>
              <w:t>4.为了适应不同场景不同案例对房间坐标系的要求，系统无需校准；</w:t>
            </w:r>
          </w:p>
          <w:p w14:paraId="66A0E74C">
            <w:pPr>
              <w:widowControl/>
              <w:textAlignment w:val="center"/>
              <w:rPr>
                <w:rFonts w:ascii="宋体" w:hAnsi="宋体" w:cs="宋体"/>
                <w:color w:val="000000"/>
                <w:lang w:bidi="ar"/>
              </w:rPr>
            </w:pPr>
            <w:r>
              <w:rPr>
                <w:rFonts w:hint="eastAsia" w:ascii="宋体" w:hAnsi="宋体" w:cs="宋体"/>
                <w:color w:val="000000"/>
                <w:lang w:bidi="ar"/>
              </w:rPr>
              <w:t>5.追踪环境节点可对前后偏移量、左右偏移量、上下偏移量进行设置；</w:t>
            </w:r>
          </w:p>
          <w:p w14:paraId="79C196E9">
            <w:pPr>
              <w:widowControl/>
              <w:textAlignment w:val="center"/>
              <w:rPr>
                <w:rFonts w:ascii="宋体" w:hAnsi="宋体" w:cs="宋体"/>
                <w:color w:val="000000"/>
                <w:lang w:bidi="ar"/>
              </w:rPr>
            </w:pPr>
            <w:r>
              <w:rPr>
                <w:rFonts w:hint="eastAsia" w:ascii="宋体" w:hAnsi="宋体" w:cs="宋体"/>
                <w:color w:val="000000"/>
                <w:lang w:bidi="ar"/>
              </w:rPr>
              <w:t>6.系统支持追踪节点设置，包含标识名设置、标记体序号设置、旋转偏移（Y轴）设置，其中标识名包含眼镜、左手柄、右手柄、自定义四种选项；</w:t>
            </w:r>
          </w:p>
          <w:p w14:paraId="092BC08D">
            <w:pPr>
              <w:widowControl/>
              <w:textAlignment w:val="center"/>
              <w:rPr>
                <w:rFonts w:ascii="宋体" w:hAnsi="宋体" w:cs="宋体"/>
                <w:color w:val="000000"/>
                <w:lang w:bidi="ar"/>
              </w:rPr>
            </w:pPr>
            <w:r>
              <w:rPr>
                <w:rFonts w:hint="eastAsia" w:ascii="宋体" w:hAnsi="宋体" w:cs="宋体"/>
                <w:color w:val="000000"/>
                <w:lang w:bidi="ar"/>
              </w:rPr>
              <w:t>7.支持一键适配及手动应用环境数据，可针对不同的硬件布局及不同的发光标记点的空间分布情况。支持发光标记点以图示化的方式在软件中呈现；</w:t>
            </w:r>
          </w:p>
          <w:p w14:paraId="2F3FAB8D">
            <w:pPr>
              <w:widowControl/>
              <w:textAlignment w:val="center"/>
              <w:rPr>
                <w:rFonts w:ascii="宋体" w:hAnsi="宋体" w:cs="宋体"/>
                <w:color w:val="000000"/>
                <w:lang w:bidi="ar"/>
              </w:rPr>
            </w:pPr>
            <w:r>
              <w:rPr>
                <w:rFonts w:hint="eastAsia" w:ascii="宋体" w:hAnsi="宋体" w:cs="宋体"/>
                <w:color w:val="000000"/>
                <w:lang w:bidi="ar"/>
              </w:rPr>
              <w:t>8.支持交互手柄的按键和轴映射，包含扳机键、菜单键、系统键、抓握键等。无需修改VR资源即可在追踪软件中任意修改、调整按键功能。系统可以实时显示按键和遥杆的触发状态，提高系统易用性。</w:t>
            </w:r>
          </w:p>
          <w:p w14:paraId="4F183173">
            <w:pPr>
              <w:widowControl/>
              <w:textAlignment w:val="center"/>
              <w:rPr>
                <w:rFonts w:ascii="宋体" w:hAnsi="宋体" w:cs="宋体"/>
                <w:color w:val="000000"/>
                <w:lang w:bidi="ar"/>
              </w:rPr>
            </w:pPr>
            <w:r>
              <w:rPr>
                <w:rFonts w:hint="eastAsia" w:ascii="宋体" w:hAnsi="宋体" w:cs="宋体"/>
                <w:color w:val="000000"/>
                <w:lang w:bidi="ar"/>
              </w:rPr>
              <w:t>9.为了方便查看当前追踪信息，系统支持显示3D视图，3D视图显示追踪场景的三维房间坐标系，界面实时显示3个追踪节点在场景中的6自由度运动信息；</w:t>
            </w:r>
          </w:p>
          <w:p w14:paraId="462A925D">
            <w:pPr>
              <w:widowControl/>
              <w:textAlignment w:val="center"/>
              <w:rPr>
                <w:rFonts w:ascii="宋体" w:hAnsi="宋体" w:cs="宋体"/>
                <w:color w:val="000000"/>
                <w:lang w:bidi="ar"/>
              </w:rPr>
            </w:pPr>
            <w:r>
              <w:rPr>
                <w:rFonts w:hint="eastAsia" w:ascii="宋体" w:hAnsi="宋体" w:cs="宋体"/>
                <w:color w:val="000000"/>
                <w:lang w:bidi="ar"/>
              </w:rPr>
              <w:t>10.为了显示发光标记点的空间位置信息，软件提供了可调间距的网格坐标系。可根据应用场景，自定义设置网格比例尺大小；</w:t>
            </w:r>
          </w:p>
          <w:p w14:paraId="3220E568">
            <w:pPr>
              <w:widowControl/>
              <w:textAlignment w:val="center"/>
              <w:rPr>
                <w:rFonts w:ascii="宋体" w:hAnsi="宋体" w:cs="宋体"/>
                <w:color w:val="000000"/>
                <w:lang w:bidi="ar"/>
              </w:rPr>
            </w:pPr>
            <w:r>
              <w:rPr>
                <w:rFonts w:hint="eastAsia" w:ascii="宋体" w:hAnsi="宋体" w:cs="宋体"/>
                <w:color w:val="000000"/>
                <w:lang w:bidi="ar"/>
              </w:rPr>
              <w:t>11.具备无线信道扫描功能，扫描结果可视化，根据丢包数量分析出最优信道，并可直接选取和应用最优信道，减少延迟；</w:t>
            </w:r>
          </w:p>
          <w:p w14:paraId="50CD0A1F">
            <w:pPr>
              <w:widowControl/>
              <w:textAlignment w:val="center"/>
              <w:rPr>
                <w:rFonts w:ascii="宋体" w:hAnsi="宋体" w:cs="宋体"/>
                <w:color w:val="000000"/>
                <w:lang w:bidi="ar"/>
              </w:rPr>
            </w:pPr>
            <w:r>
              <w:rPr>
                <w:rFonts w:hint="eastAsia" w:ascii="宋体" w:hAnsi="宋体" w:cs="宋体"/>
                <w:color w:val="000000"/>
                <w:lang w:bidi="ar"/>
              </w:rPr>
              <w:t>12 软件可靠性高，在摄像头被遮挡情况下，依靠惯性传感器可以实现手柄和眼镜的旋转追踪信息在软件中实时体现；</w:t>
            </w:r>
          </w:p>
          <w:p w14:paraId="304CEDEC">
            <w:pPr>
              <w:widowControl/>
              <w:textAlignment w:val="center"/>
              <w:rPr>
                <w:rFonts w:ascii="宋体" w:hAnsi="宋体" w:cs="宋体"/>
                <w:color w:val="000000"/>
                <w:lang w:bidi="ar"/>
              </w:rPr>
            </w:pPr>
            <w:r>
              <w:rPr>
                <w:rFonts w:hint="eastAsia" w:ascii="宋体" w:hAnsi="宋体" w:cs="宋体"/>
                <w:color w:val="000000"/>
                <w:lang w:bidi="ar"/>
              </w:rPr>
              <w:t>13.软件可靠性高，在遮挡2个发光标记点时，3个追踪节点仍然可以被追踪到，短时通过IMU输出追踪节点的空间坐标信息；</w:t>
            </w:r>
          </w:p>
          <w:p w14:paraId="2BCC636F">
            <w:pPr>
              <w:widowControl/>
              <w:textAlignment w:val="center"/>
              <w:rPr>
                <w:rFonts w:ascii="宋体" w:hAnsi="宋体" w:cs="宋体"/>
                <w:color w:val="000000"/>
                <w:lang w:bidi="ar"/>
              </w:rPr>
            </w:pPr>
            <w:r>
              <w:rPr>
                <w:rFonts w:hint="eastAsia" w:ascii="宋体" w:hAnsi="宋体" w:cs="宋体"/>
                <w:color w:val="000000"/>
                <w:lang w:bidi="ar"/>
              </w:rPr>
              <w:t>14.系统支持保存功能，能够保存节点设置数据、VRPN数据，以便程序启动后无需多次设置。</w:t>
            </w:r>
          </w:p>
          <w:p w14:paraId="58002748">
            <w:pPr>
              <w:widowControl/>
              <w:textAlignment w:val="center"/>
              <w:rPr>
                <w:rFonts w:ascii="宋体" w:hAnsi="宋体" w:cs="宋体"/>
                <w:color w:val="000000"/>
                <w:lang w:bidi="ar"/>
              </w:rPr>
            </w:pPr>
            <w:r>
              <w:rPr>
                <w:rFonts w:hint="eastAsia" w:ascii="宋体" w:hAnsi="宋体" w:cs="宋体"/>
                <w:color w:val="000000"/>
                <w:lang w:bidi="ar"/>
              </w:rPr>
              <w:t>15.可以实时输出通讯连接、修改内容保存提醒、环境数据更新等日志信息；</w:t>
            </w:r>
          </w:p>
        </w:tc>
        <w:tc>
          <w:tcPr>
            <w:tcW w:w="620" w:type="dxa"/>
            <w:tcBorders>
              <w:top w:val="single" w:color="000000" w:sz="4" w:space="0"/>
              <w:left w:val="single" w:color="000000" w:sz="4" w:space="0"/>
              <w:bottom w:val="single" w:color="000000" w:sz="4" w:space="0"/>
              <w:right w:val="single" w:color="000000" w:sz="4" w:space="0"/>
            </w:tcBorders>
            <w:vAlign w:val="center"/>
          </w:tcPr>
          <w:p w14:paraId="2ED81AA0">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117FA19D">
            <w:pPr>
              <w:widowControl/>
              <w:jc w:val="center"/>
              <w:textAlignment w:val="center"/>
              <w:rPr>
                <w:rFonts w:ascii="宋体" w:hAnsi="宋体" w:cs="宋体"/>
                <w:color w:val="000000"/>
              </w:rPr>
            </w:pPr>
            <w:r>
              <w:rPr>
                <w:rFonts w:hint="eastAsia" w:ascii="宋体" w:hAnsi="宋体" w:cs="宋体"/>
                <w:color w:val="000000"/>
                <w:lang w:bidi="ar"/>
              </w:rPr>
              <w:t>套</w:t>
            </w:r>
          </w:p>
        </w:tc>
      </w:tr>
      <w:tr w14:paraId="10ADBC99">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C161B9A">
            <w:pPr>
              <w:widowControl/>
              <w:jc w:val="center"/>
              <w:textAlignment w:val="center"/>
              <w:rPr>
                <w:rFonts w:ascii="宋体" w:hAnsi="宋体" w:cs="宋体"/>
                <w:color w:val="000000"/>
              </w:rPr>
            </w:pPr>
            <w:r>
              <w:rPr>
                <w:rFonts w:hint="eastAsia" w:ascii="宋体" w:hAnsi="宋体" w:cs="宋体"/>
                <w:color w:val="000000"/>
                <w:lang w:bidi="ar"/>
              </w:rPr>
              <w:t>3</w:t>
            </w:r>
          </w:p>
        </w:tc>
        <w:tc>
          <w:tcPr>
            <w:tcW w:w="582" w:type="dxa"/>
            <w:gridSpan w:val="2"/>
            <w:vMerge w:val="continue"/>
            <w:tcBorders>
              <w:left w:val="single" w:color="000000" w:sz="4" w:space="0"/>
              <w:right w:val="single" w:color="000000" w:sz="4" w:space="0"/>
            </w:tcBorders>
            <w:vAlign w:val="center"/>
          </w:tcPr>
          <w:p w14:paraId="19148CDE">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76DC7DAD">
            <w:pPr>
              <w:widowControl/>
              <w:jc w:val="center"/>
              <w:textAlignment w:val="center"/>
              <w:rPr>
                <w:rFonts w:ascii="宋体" w:hAnsi="宋体" w:cs="宋体"/>
                <w:color w:val="000000"/>
                <w:lang w:bidi="ar"/>
              </w:rPr>
            </w:pPr>
            <w:r>
              <w:rPr>
                <w:rFonts w:hint="eastAsia" w:ascii="宋体" w:hAnsi="宋体" w:cs="宋体"/>
                <w:color w:val="000000"/>
                <w:lang w:bidi="ar"/>
              </w:rPr>
              <w:t>虚拟现实显示终端</w:t>
            </w:r>
          </w:p>
        </w:tc>
        <w:tc>
          <w:tcPr>
            <w:tcW w:w="5430" w:type="dxa"/>
            <w:tcBorders>
              <w:top w:val="single" w:color="000000" w:sz="4" w:space="0"/>
              <w:left w:val="single" w:color="000000" w:sz="4" w:space="0"/>
              <w:bottom w:val="single" w:color="000000" w:sz="4" w:space="0"/>
              <w:right w:val="single" w:color="000000" w:sz="4" w:space="0"/>
            </w:tcBorders>
            <w:vAlign w:val="center"/>
          </w:tcPr>
          <w:p w14:paraId="20A3CDA0">
            <w:pPr>
              <w:widowControl/>
              <w:textAlignment w:val="center"/>
              <w:rPr>
                <w:rFonts w:ascii="宋体" w:hAnsi="宋体" w:cs="宋体"/>
                <w:color w:val="000000"/>
                <w:lang w:bidi="ar"/>
              </w:rPr>
            </w:pPr>
            <w:r>
              <w:rPr>
                <w:rFonts w:hint="eastAsia" w:ascii="宋体" w:hAnsi="宋体" w:cs="宋体"/>
                <w:color w:val="000000"/>
                <w:lang w:bidi="ar"/>
              </w:rPr>
              <w:t>1.显示面积：≥9.2㎡；</w:t>
            </w:r>
          </w:p>
          <w:p w14:paraId="7A5E9EB1">
            <w:pPr>
              <w:widowControl/>
              <w:textAlignment w:val="center"/>
              <w:rPr>
                <w:rFonts w:ascii="宋体" w:hAnsi="宋体" w:cs="宋体"/>
                <w:color w:val="000000"/>
                <w:lang w:bidi="ar"/>
              </w:rPr>
            </w:pPr>
            <w:r>
              <w:rPr>
                <w:rFonts w:hint="eastAsia" w:ascii="宋体" w:hAnsi="宋体" w:cs="宋体"/>
                <w:color w:val="000000"/>
                <w:lang w:bidi="ar"/>
              </w:rPr>
              <w:t>2.像素间距：≤1.9mm；</w:t>
            </w:r>
          </w:p>
          <w:p w14:paraId="522B2C37">
            <w:pPr>
              <w:widowControl/>
              <w:textAlignment w:val="center"/>
              <w:rPr>
                <w:rFonts w:ascii="宋体" w:hAnsi="宋体" w:cs="宋体"/>
                <w:color w:val="000000"/>
                <w:lang w:bidi="ar"/>
              </w:rPr>
            </w:pPr>
            <w:r>
              <w:rPr>
                <w:rFonts w:hint="eastAsia" w:ascii="宋体" w:hAnsi="宋体" w:cs="宋体"/>
                <w:color w:val="000000"/>
                <w:lang w:bidi="ar"/>
              </w:rPr>
              <w:t>3.封装方式：SMD表贴三合一；</w:t>
            </w:r>
          </w:p>
          <w:p w14:paraId="43C99517">
            <w:pPr>
              <w:widowControl/>
              <w:textAlignment w:val="center"/>
              <w:rPr>
                <w:rFonts w:ascii="宋体" w:hAnsi="宋体" w:cs="宋体"/>
                <w:color w:val="000000"/>
                <w:lang w:bidi="ar"/>
              </w:rPr>
            </w:pPr>
            <w:r>
              <w:rPr>
                <w:rFonts w:hint="eastAsia" w:ascii="宋体" w:hAnsi="宋体" w:cs="宋体"/>
                <w:color w:val="000000"/>
                <w:lang w:bidi="ar"/>
              </w:rPr>
              <w:t>4.像素密度：≥288906 Dots/㎡；</w:t>
            </w:r>
          </w:p>
          <w:p w14:paraId="27034BE3">
            <w:pPr>
              <w:widowControl/>
              <w:textAlignment w:val="center"/>
              <w:rPr>
                <w:rFonts w:ascii="宋体" w:hAnsi="宋体" w:cs="宋体"/>
                <w:color w:val="000000"/>
                <w:lang w:bidi="ar"/>
              </w:rPr>
            </w:pPr>
            <w:r>
              <w:rPr>
                <w:rFonts w:hint="eastAsia" w:ascii="宋体" w:hAnsi="宋体" w:cs="宋体"/>
                <w:color w:val="000000"/>
                <w:lang w:bidi="ar"/>
              </w:rPr>
              <w:t>5.驱动方式：恒流驱动；</w:t>
            </w:r>
          </w:p>
          <w:p w14:paraId="36BC3EB1">
            <w:pPr>
              <w:widowControl/>
              <w:textAlignment w:val="center"/>
              <w:rPr>
                <w:rFonts w:ascii="宋体" w:hAnsi="宋体" w:cs="宋体"/>
                <w:color w:val="000000"/>
                <w:lang w:bidi="ar"/>
              </w:rPr>
            </w:pPr>
            <w:r>
              <w:rPr>
                <w:rFonts w:hint="eastAsia" w:ascii="宋体" w:hAnsi="宋体" w:cs="宋体"/>
                <w:color w:val="000000"/>
                <w:lang w:bidi="ar"/>
              </w:rPr>
              <w:t>6.白平衡亮度：≥600cd/㎡；</w:t>
            </w:r>
          </w:p>
          <w:p w14:paraId="2EA1B93C">
            <w:pPr>
              <w:widowControl/>
              <w:textAlignment w:val="center"/>
              <w:rPr>
                <w:rFonts w:ascii="宋体" w:hAnsi="宋体" w:cs="宋体"/>
                <w:color w:val="000000"/>
                <w:lang w:bidi="ar"/>
              </w:rPr>
            </w:pPr>
            <w:r>
              <w:rPr>
                <w:rFonts w:hint="eastAsia" w:ascii="宋体" w:hAnsi="宋体" w:cs="宋体"/>
                <w:color w:val="000000"/>
                <w:lang w:bidi="ar"/>
              </w:rPr>
              <w:t>7.亮度均匀性：≥95%；</w:t>
            </w:r>
          </w:p>
          <w:p w14:paraId="24B21D42">
            <w:pPr>
              <w:widowControl/>
              <w:textAlignment w:val="center"/>
              <w:rPr>
                <w:rFonts w:ascii="宋体" w:hAnsi="宋体" w:cs="宋体"/>
                <w:color w:val="000000"/>
                <w:lang w:bidi="ar"/>
              </w:rPr>
            </w:pPr>
            <w:r>
              <w:rPr>
                <w:rFonts w:hint="eastAsia" w:ascii="宋体" w:hAnsi="宋体" w:cs="宋体"/>
                <w:color w:val="000000"/>
                <w:lang w:bidi="ar"/>
              </w:rPr>
              <w:t>8.色度均匀性：±0.002Cx、Cy；</w:t>
            </w:r>
          </w:p>
          <w:p w14:paraId="18D6F3C5">
            <w:pPr>
              <w:widowControl/>
              <w:textAlignment w:val="center"/>
              <w:rPr>
                <w:rFonts w:ascii="宋体" w:hAnsi="宋体" w:cs="宋体"/>
                <w:color w:val="000000"/>
                <w:lang w:bidi="ar"/>
              </w:rPr>
            </w:pPr>
            <w:r>
              <w:rPr>
                <w:rFonts w:hint="eastAsia" w:ascii="宋体" w:hAnsi="宋体" w:cs="宋体"/>
                <w:color w:val="000000"/>
                <w:lang w:bidi="ar"/>
              </w:rPr>
              <w:t>9.视角：水平/垂直≥160°/160°；</w:t>
            </w:r>
          </w:p>
          <w:p w14:paraId="35EC05D7">
            <w:pPr>
              <w:widowControl/>
              <w:textAlignment w:val="center"/>
              <w:rPr>
                <w:rFonts w:ascii="宋体" w:hAnsi="宋体" w:cs="宋体"/>
                <w:color w:val="000000"/>
                <w:lang w:bidi="ar"/>
              </w:rPr>
            </w:pPr>
            <w:r>
              <w:rPr>
                <w:rFonts w:hint="eastAsia" w:ascii="宋体" w:hAnsi="宋体" w:cs="宋体"/>
                <w:color w:val="000000"/>
                <w:lang w:bidi="ar"/>
              </w:rPr>
              <w:t>10.对比度：≥5000</w:t>
            </w:r>
            <w:r>
              <w:rPr>
                <w:rFonts w:hint="eastAsia" w:ascii="宋体" w:hAnsi="宋体" w:cs="宋体"/>
                <w:color w:val="000000"/>
                <w:lang w:eastAsia="zh-CN" w:bidi="ar"/>
              </w:rPr>
              <w:t>:</w:t>
            </w:r>
            <w:r>
              <w:rPr>
                <w:rFonts w:hint="eastAsia" w:ascii="宋体" w:hAnsi="宋体" w:cs="宋体"/>
                <w:color w:val="000000"/>
                <w:lang w:bidi="ar"/>
              </w:rPr>
              <w:t>1；</w:t>
            </w:r>
          </w:p>
          <w:p w14:paraId="1536CBF6">
            <w:pPr>
              <w:widowControl/>
              <w:textAlignment w:val="center"/>
              <w:rPr>
                <w:rFonts w:ascii="宋体" w:hAnsi="宋体" w:cs="宋体"/>
                <w:color w:val="000000"/>
                <w:lang w:bidi="ar"/>
              </w:rPr>
            </w:pPr>
            <w:r>
              <w:rPr>
                <w:rFonts w:hint="eastAsia" w:ascii="宋体" w:hAnsi="宋体" w:cs="宋体"/>
                <w:color w:val="000000"/>
                <w:lang w:bidi="ar"/>
              </w:rPr>
              <w:t>11.刷新率：≥3840Hz；</w:t>
            </w:r>
          </w:p>
          <w:p w14:paraId="1A116DA4">
            <w:pPr>
              <w:widowControl/>
              <w:textAlignment w:val="center"/>
              <w:rPr>
                <w:rFonts w:ascii="宋体" w:hAnsi="宋体" w:cs="宋体"/>
                <w:color w:val="000000"/>
                <w:lang w:bidi="ar"/>
              </w:rPr>
            </w:pPr>
            <w:r>
              <w:rPr>
                <w:rFonts w:hint="eastAsia" w:ascii="宋体" w:hAnsi="宋体" w:cs="宋体"/>
                <w:color w:val="000000"/>
                <w:lang w:bidi="ar"/>
              </w:rPr>
              <w:t>12.换帧率：60Hz/120Hz;</w:t>
            </w:r>
          </w:p>
          <w:p w14:paraId="60CDA8C7">
            <w:pPr>
              <w:widowControl/>
              <w:textAlignment w:val="center"/>
              <w:rPr>
                <w:rFonts w:ascii="宋体" w:hAnsi="宋体" w:cs="宋体"/>
                <w:color w:val="000000"/>
                <w:lang w:bidi="ar"/>
              </w:rPr>
            </w:pPr>
            <w:r>
              <w:rPr>
                <w:rFonts w:hint="eastAsia" w:ascii="宋体" w:hAnsi="宋体" w:cs="宋体"/>
                <w:color w:val="000000"/>
                <w:lang w:bidi="ar"/>
              </w:rPr>
              <w:t>13.支持自动gamma校正技术；</w:t>
            </w:r>
          </w:p>
          <w:p w14:paraId="2B7D9464">
            <w:pPr>
              <w:widowControl/>
              <w:textAlignment w:val="center"/>
              <w:rPr>
                <w:rFonts w:ascii="宋体" w:hAnsi="宋体" w:cs="宋体"/>
                <w:color w:val="000000"/>
                <w:lang w:bidi="ar"/>
              </w:rPr>
            </w:pPr>
            <w:r>
              <w:rPr>
                <w:rFonts w:hint="eastAsia" w:ascii="宋体" w:hAnsi="宋体" w:cs="宋体"/>
                <w:color w:val="000000"/>
                <w:lang w:bidi="ar"/>
              </w:rPr>
              <w:t>14.箱体采用压铸铝合金材质；</w:t>
            </w:r>
          </w:p>
          <w:p w14:paraId="4C8661FD">
            <w:pPr>
              <w:widowControl/>
              <w:textAlignment w:val="center"/>
              <w:rPr>
                <w:rFonts w:ascii="宋体" w:hAnsi="宋体" w:cs="宋体"/>
                <w:color w:val="000000"/>
                <w:lang w:bidi="ar"/>
              </w:rPr>
            </w:pPr>
            <w:r>
              <w:rPr>
                <w:rFonts w:hint="eastAsia" w:ascii="宋体" w:hAnsi="宋体" w:cs="宋体"/>
                <w:color w:val="000000"/>
                <w:lang w:bidi="ar"/>
              </w:rPr>
              <w:t>15.要求像素点对点显示。</w:t>
            </w:r>
          </w:p>
        </w:tc>
        <w:tc>
          <w:tcPr>
            <w:tcW w:w="620" w:type="dxa"/>
            <w:tcBorders>
              <w:top w:val="single" w:color="000000" w:sz="4" w:space="0"/>
              <w:left w:val="single" w:color="000000" w:sz="4" w:space="0"/>
              <w:bottom w:val="single" w:color="000000" w:sz="4" w:space="0"/>
              <w:right w:val="single" w:color="000000" w:sz="4" w:space="0"/>
            </w:tcBorders>
            <w:vAlign w:val="center"/>
          </w:tcPr>
          <w:p w14:paraId="5769BE60">
            <w:pPr>
              <w:widowControl/>
              <w:jc w:val="center"/>
              <w:textAlignment w:val="center"/>
              <w:rPr>
                <w:rFonts w:ascii="宋体" w:hAnsi="宋体" w:cs="宋体"/>
                <w:color w:val="000000"/>
              </w:rPr>
            </w:pPr>
            <w:r>
              <w:rPr>
                <w:rFonts w:hint="eastAsia" w:ascii="宋体" w:hAnsi="宋体" w:cs="宋体"/>
                <w:color w:val="000000"/>
                <w:lang w:bidi="ar"/>
              </w:rPr>
              <w:t>9.216</w:t>
            </w:r>
          </w:p>
        </w:tc>
        <w:tc>
          <w:tcPr>
            <w:tcW w:w="550" w:type="dxa"/>
            <w:tcBorders>
              <w:top w:val="single" w:color="000000" w:sz="4" w:space="0"/>
              <w:left w:val="single" w:color="000000" w:sz="4" w:space="0"/>
              <w:bottom w:val="single" w:color="000000" w:sz="4" w:space="0"/>
              <w:right w:val="single" w:color="000000" w:sz="4" w:space="0"/>
            </w:tcBorders>
            <w:vAlign w:val="center"/>
          </w:tcPr>
          <w:p w14:paraId="2C959E71">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3359E3B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FD9DAD0">
            <w:pPr>
              <w:widowControl/>
              <w:jc w:val="center"/>
              <w:textAlignment w:val="center"/>
              <w:rPr>
                <w:rFonts w:ascii="宋体" w:hAnsi="宋体" w:cs="宋体"/>
                <w:color w:val="000000"/>
              </w:rPr>
            </w:pPr>
            <w:r>
              <w:rPr>
                <w:rFonts w:hint="eastAsia" w:ascii="宋体" w:hAnsi="宋体" w:cs="宋体"/>
                <w:color w:val="000000"/>
                <w:lang w:bidi="ar"/>
              </w:rPr>
              <w:t>4</w:t>
            </w:r>
          </w:p>
        </w:tc>
        <w:tc>
          <w:tcPr>
            <w:tcW w:w="582" w:type="dxa"/>
            <w:gridSpan w:val="2"/>
            <w:vMerge w:val="continue"/>
            <w:tcBorders>
              <w:left w:val="single" w:color="000000" w:sz="4" w:space="0"/>
              <w:right w:val="single" w:color="000000" w:sz="4" w:space="0"/>
            </w:tcBorders>
            <w:vAlign w:val="center"/>
          </w:tcPr>
          <w:p w14:paraId="27062E17">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20A54478">
            <w:pPr>
              <w:widowControl/>
              <w:jc w:val="center"/>
              <w:textAlignment w:val="center"/>
              <w:rPr>
                <w:rFonts w:ascii="宋体" w:hAnsi="宋体" w:cs="宋体"/>
                <w:color w:val="000000"/>
                <w:lang w:bidi="ar"/>
              </w:rPr>
            </w:pPr>
            <w:r>
              <w:rPr>
                <w:rFonts w:hint="eastAsia" w:ascii="宋体" w:hAnsi="宋体" w:cs="宋体"/>
                <w:color w:val="000000"/>
                <w:lang w:bidi="ar"/>
              </w:rPr>
              <w:t>图形处理系统</w:t>
            </w:r>
          </w:p>
        </w:tc>
        <w:tc>
          <w:tcPr>
            <w:tcW w:w="5430" w:type="dxa"/>
            <w:tcBorders>
              <w:top w:val="single" w:color="000000" w:sz="4" w:space="0"/>
              <w:left w:val="single" w:color="000000" w:sz="4" w:space="0"/>
              <w:bottom w:val="single" w:color="000000" w:sz="4" w:space="0"/>
              <w:right w:val="single" w:color="000000" w:sz="4" w:space="0"/>
            </w:tcBorders>
            <w:vAlign w:val="center"/>
          </w:tcPr>
          <w:p w14:paraId="08A9A095">
            <w:pPr>
              <w:widowControl/>
              <w:textAlignment w:val="center"/>
              <w:rPr>
                <w:rFonts w:ascii="宋体" w:hAnsi="宋体" w:cs="宋体"/>
                <w:color w:val="000000"/>
                <w:lang w:bidi="ar"/>
              </w:rPr>
            </w:pPr>
            <w:r>
              <w:rPr>
                <w:rFonts w:hint="eastAsia" w:ascii="宋体" w:hAnsi="宋体" w:cs="宋体"/>
                <w:color w:val="000000"/>
                <w:lang w:bidi="ar"/>
              </w:rPr>
              <w:t>一、硬件设备</w:t>
            </w:r>
          </w:p>
          <w:p w14:paraId="6AA160A2">
            <w:pPr>
              <w:widowControl/>
              <w:textAlignment w:val="center"/>
              <w:rPr>
                <w:rFonts w:ascii="宋体" w:hAnsi="宋体" w:cs="宋体"/>
                <w:color w:val="000000"/>
                <w:lang w:bidi="ar"/>
              </w:rPr>
            </w:pPr>
            <w:r>
              <w:rPr>
                <w:rFonts w:hint="eastAsia" w:ascii="宋体" w:hAnsi="宋体" w:cs="宋体"/>
                <w:color w:val="000000"/>
                <w:lang w:bidi="ar"/>
              </w:rPr>
              <w:t>1.具备液晶面板和功能提供信息查看功能，可以显示设备型号和设备IP查看功能；</w:t>
            </w:r>
          </w:p>
          <w:p w14:paraId="2BBAA3E0">
            <w:pPr>
              <w:widowControl/>
              <w:textAlignment w:val="center"/>
              <w:rPr>
                <w:rFonts w:ascii="宋体" w:hAnsi="宋体" w:cs="宋体"/>
                <w:color w:val="000000"/>
                <w:lang w:bidi="ar"/>
              </w:rPr>
            </w:pPr>
            <w:r>
              <w:rPr>
                <w:rFonts w:hint="eastAsia" w:ascii="宋体" w:hAnsi="宋体" w:cs="宋体"/>
                <w:color w:val="000000"/>
                <w:lang w:bidi="ar"/>
              </w:rPr>
              <w:t>2.支持6路视频输入：2路4K接口二选一输入、4路2K接口输入；</w:t>
            </w:r>
          </w:p>
          <w:p w14:paraId="7F82EEFB">
            <w:pPr>
              <w:widowControl/>
              <w:textAlignment w:val="center"/>
              <w:rPr>
                <w:rFonts w:ascii="宋体" w:hAnsi="宋体" w:cs="宋体"/>
                <w:color w:val="000000"/>
                <w:lang w:bidi="ar"/>
              </w:rPr>
            </w:pPr>
            <w:r>
              <w:rPr>
                <w:rFonts w:hint="eastAsia" w:ascii="宋体" w:hAnsi="宋体" w:cs="宋体"/>
                <w:color w:val="000000"/>
                <w:lang w:bidi="ar"/>
              </w:rPr>
              <w:t>3.支持最大视频信号输入：4096×2160@60Hz输入，支持1920*1200@120Hz分辨率主动立体输入；</w:t>
            </w:r>
          </w:p>
          <w:p w14:paraId="714A34B7">
            <w:pPr>
              <w:widowControl/>
              <w:textAlignment w:val="center"/>
              <w:rPr>
                <w:rFonts w:ascii="宋体" w:hAnsi="宋体" w:cs="宋体"/>
                <w:color w:val="000000"/>
                <w:lang w:bidi="ar"/>
              </w:rPr>
            </w:pPr>
            <w:r>
              <w:rPr>
                <w:rFonts w:hint="eastAsia" w:ascii="宋体" w:hAnsi="宋体" w:cs="宋体"/>
                <w:color w:val="000000"/>
                <w:lang w:bidi="ar"/>
              </w:rPr>
              <w:t>4.支持最少16路千兆网口输出；</w:t>
            </w:r>
          </w:p>
          <w:p w14:paraId="661D0A7B">
            <w:pPr>
              <w:widowControl/>
              <w:textAlignment w:val="center"/>
              <w:rPr>
                <w:rFonts w:ascii="宋体" w:hAnsi="宋体" w:cs="宋体"/>
                <w:color w:val="000000"/>
                <w:lang w:bidi="ar"/>
              </w:rPr>
            </w:pPr>
            <w:r>
              <w:rPr>
                <w:rFonts w:hint="eastAsia" w:ascii="宋体" w:hAnsi="宋体" w:cs="宋体"/>
                <w:color w:val="000000"/>
                <w:lang w:bidi="ar"/>
              </w:rPr>
              <w:t>5.单台最大带载：1048万像素，最宽16384像素或最高8192像素；</w:t>
            </w:r>
          </w:p>
          <w:p w14:paraId="03DA85EB">
            <w:pPr>
              <w:widowControl/>
              <w:textAlignment w:val="center"/>
              <w:rPr>
                <w:rFonts w:ascii="宋体" w:hAnsi="宋体" w:cs="宋体"/>
                <w:color w:val="000000"/>
                <w:lang w:bidi="ar"/>
              </w:rPr>
            </w:pPr>
            <w:r>
              <w:rPr>
                <w:rFonts w:hint="eastAsia" w:ascii="宋体" w:hAnsi="宋体" w:cs="宋体"/>
                <w:color w:val="000000"/>
                <w:lang w:bidi="ar"/>
              </w:rPr>
              <w:t>6.需支持系统主动立体120Hz全同步输入输出显示和非同步显示；</w:t>
            </w:r>
          </w:p>
          <w:p w14:paraId="0A65A35E">
            <w:pPr>
              <w:widowControl/>
              <w:textAlignment w:val="center"/>
              <w:rPr>
                <w:rFonts w:ascii="宋体" w:hAnsi="宋体" w:cs="宋体"/>
                <w:color w:val="000000"/>
                <w:lang w:bidi="ar"/>
              </w:rPr>
            </w:pPr>
            <w:r>
              <w:rPr>
                <w:rFonts w:hint="eastAsia" w:ascii="宋体" w:hAnsi="宋体" w:cs="宋体"/>
                <w:color w:val="000000"/>
                <w:lang w:bidi="ar"/>
              </w:rPr>
              <w:t>7.输入输出接口分辨率可自定义为非标准分辨率；支持在线修改EDID，无需第三方工具；自定义输出有效范围4096x4096，支持奇数垂直像素输出（比如1920x1081），有效输出区域完全可自定义。支持输入输出图像裁剪，实现图像切边、局部放大等功能；</w:t>
            </w:r>
          </w:p>
          <w:p w14:paraId="1B323B98">
            <w:pPr>
              <w:widowControl/>
              <w:textAlignment w:val="center"/>
              <w:rPr>
                <w:rFonts w:ascii="宋体" w:hAnsi="宋体" w:cs="宋体"/>
                <w:color w:val="000000"/>
                <w:lang w:bidi="ar"/>
              </w:rPr>
            </w:pPr>
            <w:r>
              <w:rPr>
                <w:rFonts w:hint="eastAsia" w:ascii="宋体" w:hAnsi="宋体" w:cs="宋体"/>
                <w:color w:val="000000"/>
                <w:lang w:bidi="ar"/>
              </w:rPr>
              <w:t>8.支持6画面显示，位置、大小可自由调节；</w:t>
            </w:r>
          </w:p>
          <w:p w14:paraId="2E4E4E6B">
            <w:pPr>
              <w:widowControl/>
              <w:textAlignment w:val="center"/>
              <w:rPr>
                <w:rFonts w:ascii="宋体" w:hAnsi="宋体" w:cs="宋体"/>
                <w:color w:val="000000"/>
                <w:lang w:bidi="ar"/>
              </w:rPr>
            </w:pPr>
            <w:r>
              <w:rPr>
                <w:rFonts w:hint="eastAsia" w:ascii="宋体" w:hAnsi="宋体" w:cs="宋体"/>
                <w:color w:val="000000"/>
                <w:lang w:bidi="ar"/>
              </w:rPr>
              <w:t>9.支持16个场景的预置保存和调用；</w:t>
            </w:r>
          </w:p>
          <w:p w14:paraId="6A7BCF55">
            <w:pPr>
              <w:widowControl/>
              <w:textAlignment w:val="center"/>
              <w:rPr>
                <w:rFonts w:ascii="宋体" w:hAnsi="宋体" w:cs="宋体"/>
                <w:color w:val="000000"/>
                <w:lang w:bidi="ar"/>
              </w:rPr>
            </w:pPr>
            <w:r>
              <w:rPr>
                <w:rFonts w:hint="eastAsia" w:ascii="宋体" w:hAnsi="宋体" w:cs="宋体"/>
                <w:color w:val="000000"/>
                <w:lang w:bidi="ar"/>
              </w:rPr>
              <w:t>10.无需前端输入立体信号，自适应支持内部120Hz主动立体视差调整，以us为单位调整立体画面左右眼间距以优化主动立体景深感。</w:t>
            </w:r>
          </w:p>
          <w:p w14:paraId="5463235C">
            <w:pPr>
              <w:widowControl/>
              <w:textAlignment w:val="center"/>
              <w:rPr>
                <w:rFonts w:ascii="宋体" w:hAnsi="宋体" w:cs="宋体"/>
                <w:color w:val="000000"/>
                <w:lang w:bidi="ar"/>
              </w:rPr>
            </w:pPr>
            <w:r>
              <w:rPr>
                <w:rFonts w:hint="eastAsia" w:ascii="宋体" w:hAnsi="宋体" w:cs="宋体"/>
                <w:color w:val="000000"/>
                <w:lang w:bidi="ar"/>
              </w:rPr>
              <w:t>11.无需场景切换和功能切换实现3D和2D画面共同显示，可实现局部3D播放或者局部2D画面。</w:t>
            </w:r>
          </w:p>
          <w:p w14:paraId="73A6C2FA">
            <w:pPr>
              <w:widowControl/>
              <w:textAlignment w:val="center"/>
              <w:rPr>
                <w:rFonts w:ascii="宋体" w:hAnsi="宋体" w:cs="宋体"/>
                <w:color w:val="000000"/>
                <w:lang w:bidi="ar"/>
              </w:rPr>
            </w:pPr>
            <w:r>
              <w:rPr>
                <w:rFonts w:hint="eastAsia" w:ascii="宋体" w:hAnsi="宋体" w:cs="宋体"/>
                <w:color w:val="000000"/>
                <w:lang w:bidi="ar"/>
              </w:rPr>
              <w:t>12.通过该发送可调试显示屏的色域坐标，显示不同坐标值色温，进行精确颜色管理；可任意改变 0-255 灰阶不同灰度值的亮度显示 并进行任意调节；色温调节精度在100K以内；（卡莱特提供的控标点）（支持）</w:t>
            </w:r>
          </w:p>
          <w:p w14:paraId="55D98373">
            <w:pPr>
              <w:widowControl/>
              <w:textAlignment w:val="center"/>
              <w:rPr>
                <w:rFonts w:ascii="宋体" w:hAnsi="宋体" w:cs="宋体"/>
                <w:color w:val="000000"/>
                <w:lang w:bidi="ar"/>
              </w:rPr>
            </w:pPr>
            <w:r>
              <w:rPr>
                <w:rFonts w:hint="eastAsia" w:ascii="宋体" w:hAnsi="宋体" w:cs="宋体"/>
                <w:color w:val="000000"/>
                <w:lang w:bidi="ar"/>
              </w:rPr>
              <w:t>13.支持Web端控制，兼容windows、iOS、Android、Linux平台；</w:t>
            </w:r>
          </w:p>
          <w:p w14:paraId="2198F2DA">
            <w:pPr>
              <w:widowControl/>
              <w:textAlignment w:val="center"/>
              <w:rPr>
                <w:rFonts w:ascii="宋体" w:hAnsi="宋体" w:cs="宋体"/>
                <w:color w:val="000000"/>
                <w:lang w:bidi="ar"/>
              </w:rPr>
            </w:pPr>
            <w:r>
              <w:rPr>
                <w:rFonts w:hint="eastAsia" w:ascii="宋体" w:hAnsi="宋体" w:cs="宋体"/>
                <w:color w:val="000000"/>
                <w:lang w:bidi="ar"/>
              </w:rPr>
              <w:t>14.支持RS232串口协议控制；</w:t>
            </w:r>
          </w:p>
          <w:p w14:paraId="37D510E0">
            <w:pPr>
              <w:widowControl/>
              <w:textAlignment w:val="center"/>
              <w:rPr>
                <w:rFonts w:ascii="宋体" w:hAnsi="宋体" w:cs="宋体"/>
                <w:color w:val="000000"/>
                <w:lang w:bidi="ar"/>
              </w:rPr>
            </w:pPr>
            <w:r>
              <w:rPr>
                <w:rFonts w:hint="eastAsia" w:ascii="宋体" w:hAnsi="宋体" w:cs="宋体"/>
                <w:color w:val="000000"/>
                <w:lang w:bidi="ar"/>
              </w:rPr>
              <w:t>二、配套软件</w:t>
            </w:r>
          </w:p>
          <w:p w14:paraId="6BA7C72E">
            <w:pPr>
              <w:widowControl/>
              <w:textAlignment w:val="center"/>
              <w:rPr>
                <w:rFonts w:ascii="宋体" w:hAnsi="宋体" w:cs="宋体"/>
                <w:color w:val="000000"/>
                <w:lang w:bidi="ar"/>
              </w:rPr>
            </w:pPr>
            <w:r>
              <w:rPr>
                <w:rFonts w:hint="eastAsia" w:ascii="宋体" w:hAnsi="宋体" w:cs="宋体"/>
                <w:color w:val="000000"/>
                <w:lang w:bidi="ar"/>
              </w:rPr>
              <w:t xml:space="preserve">1.可完全自定义各输出接口像素的起始位置和高度，即允许设置每个输出口切割总体画面的任意一块，设置精度达到逐像素； </w:t>
            </w:r>
          </w:p>
          <w:p w14:paraId="124EBAC7">
            <w:pPr>
              <w:widowControl/>
              <w:textAlignment w:val="center"/>
              <w:rPr>
                <w:rFonts w:ascii="宋体" w:hAnsi="宋体" w:cs="宋体"/>
                <w:color w:val="000000"/>
                <w:lang w:bidi="ar"/>
              </w:rPr>
            </w:pPr>
            <w:r>
              <w:rPr>
                <w:rFonts w:hint="eastAsia" w:ascii="宋体" w:hAnsi="宋体" w:cs="宋体"/>
                <w:color w:val="000000"/>
                <w:lang w:bidi="ar"/>
              </w:rPr>
              <w:t>2.支持输入信号裁切及局部显示，可以通过软件以像素为单位精确设置对图像切边、局部放大等操作；</w:t>
            </w:r>
          </w:p>
          <w:p w14:paraId="7BF5D562">
            <w:pPr>
              <w:widowControl/>
              <w:textAlignment w:val="center"/>
              <w:rPr>
                <w:rFonts w:ascii="宋体" w:hAnsi="宋体" w:cs="宋体"/>
                <w:color w:val="000000"/>
                <w:lang w:bidi="ar"/>
              </w:rPr>
            </w:pPr>
            <w:r>
              <w:rPr>
                <w:rFonts w:hint="eastAsia" w:ascii="宋体" w:hAnsi="宋体" w:cs="宋体"/>
                <w:color w:val="000000"/>
                <w:lang w:bidi="ar"/>
              </w:rPr>
              <w:t xml:space="preserve">3.可设置输出信号的有效区域，设置后所有窗口仅能在有效区域内漫游，支持非标准分辨率输出； </w:t>
            </w:r>
          </w:p>
          <w:p w14:paraId="22468310">
            <w:pPr>
              <w:widowControl/>
              <w:textAlignment w:val="center"/>
              <w:rPr>
                <w:rFonts w:ascii="宋体" w:hAnsi="宋体" w:cs="宋体"/>
                <w:color w:val="000000"/>
                <w:lang w:bidi="ar"/>
              </w:rPr>
            </w:pPr>
            <w:r>
              <w:rPr>
                <w:rFonts w:hint="eastAsia" w:ascii="宋体" w:hAnsi="宋体" w:cs="宋体"/>
                <w:color w:val="000000"/>
                <w:lang w:bidi="ar"/>
              </w:rPr>
              <w:t xml:space="preserve">4.可设置输入和输出添加标识，可设置输出任意颜色的测试图像，测试色彩可完全自定义； </w:t>
            </w:r>
          </w:p>
          <w:p w14:paraId="201BA975">
            <w:pPr>
              <w:widowControl/>
              <w:textAlignment w:val="center"/>
              <w:rPr>
                <w:rFonts w:ascii="宋体" w:hAnsi="宋体" w:cs="宋体"/>
                <w:color w:val="000000"/>
                <w:lang w:bidi="ar"/>
              </w:rPr>
            </w:pPr>
            <w:r>
              <w:rPr>
                <w:rFonts w:hint="eastAsia" w:ascii="宋体" w:hAnsi="宋体" w:cs="宋体"/>
                <w:color w:val="000000"/>
                <w:lang w:bidi="ar"/>
              </w:rPr>
              <w:t xml:space="preserve">5.可设置输入接口任意自定义分辨率，可对时钟频率、输入图像同步的所有参数进行精确设置，设置自定义分辨率及详细参数和在线修改设备EDID无需通过第三方软件调用直接设置，可直接设置与大屏相适应的点对点分辨率； </w:t>
            </w:r>
          </w:p>
          <w:p w14:paraId="149DEBB0">
            <w:pPr>
              <w:widowControl/>
              <w:textAlignment w:val="center"/>
              <w:rPr>
                <w:rFonts w:ascii="宋体" w:hAnsi="宋体" w:cs="宋体"/>
                <w:color w:val="000000"/>
                <w:lang w:bidi="ar"/>
              </w:rPr>
            </w:pPr>
            <w:r>
              <w:rPr>
                <w:rFonts w:hint="eastAsia" w:ascii="宋体" w:hAnsi="宋体" w:cs="宋体"/>
                <w:color w:val="000000"/>
                <w:lang w:bidi="ar"/>
              </w:rPr>
              <w:t xml:space="preserve">6.为方便采购人教学的便捷性，需具备2D和3D同时显示的效果功能。可在一块屏幕上提供两个视角进行观看，实现一边播放2D的PPT、文档等材料，另一边播放3D的VR效果内容； </w:t>
            </w:r>
          </w:p>
          <w:p w14:paraId="39C6B75C">
            <w:pPr>
              <w:widowControl/>
              <w:textAlignment w:val="center"/>
              <w:rPr>
                <w:rFonts w:ascii="宋体" w:hAnsi="宋体" w:cs="宋体"/>
                <w:color w:val="000000"/>
                <w:lang w:bidi="ar"/>
              </w:rPr>
            </w:pPr>
            <w:r>
              <w:rPr>
                <w:rFonts w:hint="eastAsia" w:ascii="宋体" w:hAnsi="宋体" w:cs="宋体"/>
                <w:color w:val="000000"/>
                <w:lang w:bidi="ar"/>
              </w:rPr>
              <w:t>▲7.需提供场景管理软件著作权证书和测试报告；</w:t>
            </w:r>
          </w:p>
          <w:p w14:paraId="2DBEB90E">
            <w:pPr>
              <w:widowControl/>
              <w:textAlignment w:val="center"/>
              <w:rPr>
                <w:rFonts w:ascii="宋体" w:hAnsi="宋体" w:cs="宋体"/>
                <w:color w:val="000000"/>
                <w:lang w:bidi="ar"/>
              </w:rPr>
            </w:pPr>
            <w:r>
              <w:rPr>
                <w:rFonts w:hint="eastAsia" w:ascii="宋体" w:hAnsi="宋体" w:cs="宋体"/>
                <w:color w:val="000000"/>
                <w:lang w:bidi="ar"/>
              </w:rPr>
              <w:t>8. 用于 LED 显示屏控制和播放的专业软件。该软件功能丰富、性能优越，兼具良好的操作界面，易学易用。支持视频、音频、图像、文字、Flash、Gif 等形式的媒体文件播放；支持 Microsoft office 的 Word、Excel、PPT 显示；支持时钟、计时、天气预报显示；支持外部视频信号（TV、AV、S-Video、 复合视频）播放；支持多页面多分区节目编辑；软件提供了丰富灵活的视频切换功能、分区特效，以及三维特效动画，让显示屏的显示效果得到完美展现。</w:t>
            </w:r>
          </w:p>
        </w:tc>
        <w:tc>
          <w:tcPr>
            <w:tcW w:w="620" w:type="dxa"/>
            <w:tcBorders>
              <w:top w:val="single" w:color="000000" w:sz="4" w:space="0"/>
              <w:left w:val="single" w:color="000000" w:sz="4" w:space="0"/>
              <w:bottom w:val="single" w:color="000000" w:sz="4" w:space="0"/>
              <w:right w:val="single" w:color="000000" w:sz="4" w:space="0"/>
            </w:tcBorders>
            <w:vAlign w:val="center"/>
          </w:tcPr>
          <w:p w14:paraId="7626426E">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49492E36">
            <w:pPr>
              <w:widowControl/>
              <w:jc w:val="center"/>
              <w:textAlignment w:val="center"/>
              <w:rPr>
                <w:rFonts w:ascii="宋体" w:hAnsi="宋体" w:cs="宋体"/>
                <w:color w:val="000000"/>
              </w:rPr>
            </w:pPr>
            <w:r>
              <w:rPr>
                <w:rFonts w:hint="eastAsia" w:ascii="宋体" w:hAnsi="宋体" w:cs="宋体"/>
                <w:color w:val="000000"/>
                <w:lang w:bidi="ar"/>
              </w:rPr>
              <w:t>个</w:t>
            </w:r>
          </w:p>
        </w:tc>
      </w:tr>
      <w:tr w14:paraId="2254F38C">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4F3CB38">
            <w:pPr>
              <w:widowControl/>
              <w:jc w:val="center"/>
              <w:textAlignment w:val="center"/>
              <w:rPr>
                <w:rFonts w:ascii="宋体" w:hAnsi="宋体" w:cs="宋体"/>
                <w:color w:val="000000"/>
              </w:rPr>
            </w:pPr>
            <w:r>
              <w:rPr>
                <w:rFonts w:hint="eastAsia" w:ascii="宋体" w:hAnsi="宋体" w:cs="宋体"/>
                <w:color w:val="000000"/>
                <w:lang w:bidi="ar"/>
              </w:rPr>
              <w:t>5</w:t>
            </w:r>
          </w:p>
        </w:tc>
        <w:tc>
          <w:tcPr>
            <w:tcW w:w="582" w:type="dxa"/>
            <w:gridSpan w:val="2"/>
            <w:vMerge w:val="continue"/>
            <w:tcBorders>
              <w:left w:val="single" w:color="000000" w:sz="4" w:space="0"/>
              <w:right w:val="single" w:color="000000" w:sz="4" w:space="0"/>
            </w:tcBorders>
            <w:vAlign w:val="center"/>
          </w:tcPr>
          <w:p w14:paraId="35B33A42">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0994829F">
            <w:pPr>
              <w:widowControl/>
              <w:jc w:val="center"/>
              <w:textAlignment w:val="center"/>
              <w:rPr>
                <w:rFonts w:ascii="宋体" w:hAnsi="宋体" w:cs="宋体"/>
                <w:color w:val="000000"/>
                <w:lang w:bidi="ar"/>
              </w:rPr>
            </w:pPr>
            <w:r>
              <w:rPr>
                <w:rFonts w:hint="eastAsia" w:ascii="宋体" w:hAnsi="宋体" w:cs="宋体"/>
                <w:color w:val="000000"/>
                <w:lang w:bidi="ar"/>
              </w:rPr>
              <w:t>3D信号发射器</w:t>
            </w:r>
          </w:p>
        </w:tc>
        <w:tc>
          <w:tcPr>
            <w:tcW w:w="5430" w:type="dxa"/>
            <w:tcBorders>
              <w:top w:val="single" w:color="000000" w:sz="4" w:space="0"/>
              <w:left w:val="single" w:color="000000" w:sz="4" w:space="0"/>
              <w:bottom w:val="single" w:color="000000" w:sz="4" w:space="0"/>
              <w:right w:val="single" w:color="000000" w:sz="4" w:space="0"/>
            </w:tcBorders>
            <w:vAlign w:val="center"/>
          </w:tcPr>
          <w:p w14:paraId="225B9FF9">
            <w:pPr>
              <w:widowControl/>
              <w:textAlignment w:val="center"/>
              <w:rPr>
                <w:rFonts w:ascii="宋体" w:hAnsi="宋体" w:cs="宋体"/>
                <w:color w:val="000000"/>
                <w:lang w:bidi="ar"/>
              </w:rPr>
            </w:pPr>
            <w:r>
              <w:rPr>
                <w:rFonts w:hint="eastAsia" w:ascii="宋体" w:hAnsi="宋体" w:cs="宋体"/>
                <w:color w:val="000000"/>
                <w:lang w:bidi="ar"/>
              </w:rPr>
              <w:t>1.频率：2.45G±500MHz；</w:t>
            </w:r>
          </w:p>
          <w:p w14:paraId="6D72F665">
            <w:pPr>
              <w:widowControl/>
              <w:textAlignment w:val="center"/>
              <w:rPr>
                <w:rFonts w:ascii="宋体" w:hAnsi="宋体" w:cs="宋体"/>
                <w:color w:val="000000"/>
                <w:lang w:bidi="ar"/>
              </w:rPr>
            </w:pPr>
            <w:r>
              <w:rPr>
                <w:rFonts w:hint="eastAsia" w:ascii="宋体" w:hAnsi="宋体" w:cs="宋体"/>
                <w:color w:val="000000"/>
                <w:lang w:bidi="ar"/>
              </w:rPr>
              <w:t>2.发射功率：0.1W MAX；</w:t>
            </w:r>
          </w:p>
          <w:p w14:paraId="1B345716">
            <w:pPr>
              <w:widowControl/>
              <w:textAlignment w:val="center"/>
              <w:rPr>
                <w:rFonts w:ascii="宋体" w:hAnsi="宋体" w:cs="宋体"/>
                <w:color w:val="000000"/>
                <w:lang w:bidi="ar"/>
              </w:rPr>
            </w:pPr>
            <w:r>
              <w:rPr>
                <w:rFonts w:hint="eastAsia" w:ascii="宋体" w:hAnsi="宋体" w:cs="宋体"/>
                <w:color w:val="000000"/>
                <w:lang w:bidi="ar"/>
              </w:rPr>
              <w:t>3.反射范围：正向不小于110m，反向不小于90m；</w:t>
            </w:r>
          </w:p>
          <w:p w14:paraId="1F094727">
            <w:pPr>
              <w:widowControl/>
              <w:textAlignment w:val="center"/>
              <w:rPr>
                <w:rFonts w:ascii="宋体" w:hAnsi="宋体" w:cs="宋体"/>
                <w:color w:val="000000"/>
                <w:lang w:bidi="ar"/>
              </w:rPr>
            </w:pPr>
            <w:r>
              <w:rPr>
                <w:rFonts w:hint="eastAsia" w:ascii="宋体" w:hAnsi="宋体" w:cs="宋体"/>
                <w:color w:val="000000"/>
                <w:lang w:bidi="ar"/>
              </w:rPr>
              <w:t>4.兼容眼镜：射频3D 眼镜。</w:t>
            </w:r>
          </w:p>
        </w:tc>
        <w:tc>
          <w:tcPr>
            <w:tcW w:w="620" w:type="dxa"/>
            <w:tcBorders>
              <w:top w:val="single" w:color="000000" w:sz="4" w:space="0"/>
              <w:left w:val="single" w:color="000000" w:sz="4" w:space="0"/>
              <w:bottom w:val="single" w:color="000000" w:sz="4" w:space="0"/>
              <w:right w:val="single" w:color="000000" w:sz="4" w:space="0"/>
            </w:tcBorders>
            <w:vAlign w:val="center"/>
          </w:tcPr>
          <w:p w14:paraId="79B1781B">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2ABB806D">
            <w:pPr>
              <w:widowControl/>
              <w:jc w:val="center"/>
              <w:textAlignment w:val="center"/>
              <w:rPr>
                <w:rFonts w:ascii="宋体" w:hAnsi="宋体" w:cs="宋体"/>
                <w:color w:val="000000"/>
              </w:rPr>
            </w:pPr>
            <w:r>
              <w:rPr>
                <w:rFonts w:hint="eastAsia" w:ascii="宋体" w:hAnsi="宋体" w:cs="宋体"/>
                <w:color w:val="000000"/>
                <w:lang w:bidi="ar"/>
              </w:rPr>
              <w:t>套</w:t>
            </w:r>
          </w:p>
        </w:tc>
      </w:tr>
      <w:tr w14:paraId="19466D4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F9025EF">
            <w:pPr>
              <w:widowControl/>
              <w:jc w:val="center"/>
              <w:textAlignment w:val="center"/>
              <w:rPr>
                <w:rFonts w:ascii="宋体" w:hAnsi="宋体" w:cs="宋体"/>
                <w:color w:val="000000"/>
                <w:lang w:bidi="ar"/>
              </w:rPr>
            </w:pPr>
            <w:r>
              <w:rPr>
                <w:rFonts w:hint="eastAsia" w:ascii="宋体" w:hAnsi="宋体" w:cs="宋体"/>
                <w:color w:val="000000"/>
                <w:lang w:bidi="ar"/>
              </w:rPr>
              <w:t>6</w:t>
            </w:r>
          </w:p>
        </w:tc>
        <w:tc>
          <w:tcPr>
            <w:tcW w:w="582" w:type="dxa"/>
            <w:gridSpan w:val="2"/>
            <w:vMerge w:val="continue"/>
            <w:tcBorders>
              <w:left w:val="single" w:color="000000" w:sz="4" w:space="0"/>
              <w:right w:val="single" w:color="000000" w:sz="4" w:space="0"/>
            </w:tcBorders>
            <w:vAlign w:val="center"/>
          </w:tcPr>
          <w:p w14:paraId="25435E17">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27E40674">
            <w:pPr>
              <w:widowControl/>
              <w:jc w:val="center"/>
              <w:textAlignment w:val="center"/>
              <w:rPr>
                <w:rFonts w:ascii="宋体" w:hAnsi="宋体" w:cs="宋体"/>
                <w:color w:val="000000"/>
              </w:rPr>
            </w:pPr>
            <w:r>
              <w:rPr>
                <w:rFonts w:hint="eastAsia" w:ascii="宋体" w:hAnsi="宋体" w:cs="宋体"/>
                <w:color w:val="000000"/>
                <w:lang w:bidi="ar"/>
              </w:rPr>
              <w:t>一体化结构</w:t>
            </w:r>
          </w:p>
        </w:tc>
        <w:tc>
          <w:tcPr>
            <w:tcW w:w="5430" w:type="dxa"/>
            <w:tcBorders>
              <w:top w:val="single" w:color="000000" w:sz="4" w:space="0"/>
              <w:left w:val="single" w:color="000000" w:sz="4" w:space="0"/>
              <w:bottom w:val="single" w:color="000000" w:sz="4" w:space="0"/>
              <w:right w:val="single" w:color="000000" w:sz="4" w:space="0"/>
            </w:tcBorders>
            <w:vAlign w:val="center"/>
          </w:tcPr>
          <w:p w14:paraId="4EC773BF">
            <w:pPr>
              <w:widowControl/>
              <w:textAlignment w:val="center"/>
              <w:rPr>
                <w:rFonts w:ascii="宋体" w:hAnsi="宋体" w:cs="宋体"/>
                <w:color w:val="000000"/>
                <w:lang w:bidi="ar"/>
              </w:rPr>
            </w:pPr>
            <w:r>
              <w:rPr>
                <w:rFonts w:hint="eastAsia" w:ascii="宋体" w:hAnsi="宋体" w:cs="宋体"/>
                <w:color w:val="000000"/>
                <w:lang w:bidi="ar"/>
              </w:rPr>
              <w:t>1.采用冷轧碳钢（SPCC）材料加工，黑砂纹喷粉烤漆工艺，抗裂，耐磨防刮，耐腐蚀， 防水易清洁，边框保护效果更好；</w:t>
            </w:r>
          </w:p>
          <w:p w14:paraId="687C0E07">
            <w:pPr>
              <w:widowControl/>
              <w:textAlignment w:val="center"/>
              <w:rPr>
                <w:rFonts w:ascii="宋体" w:hAnsi="宋体" w:cs="宋体"/>
                <w:color w:val="000000"/>
                <w:lang w:bidi="ar"/>
              </w:rPr>
            </w:pPr>
            <w:r>
              <w:rPr>
                <w:rFonts w:hint="eastAsia" w:ascii="宋体" w:hAnsi="宋体" w:cs="宋体"/>
                <w:color w:val="000000"/>
                <w:lang w:bidi="ar"/>
              </w:rPr>
              <w:t>2.专业机械设计结构经久耐用，可现场快速安装需；采用专业一体化结构，设计独立设备安装仓位收纳，同时满足工作站处理器电源安装。</w:t>
            </w:r>
          </w:p>
          <w:p w14:paraId="2328267D">
            <w:pPr>
              <w:widowControl/>
              <w:textAlignment w:val="center"/>
              <w:rPr>
                <w:rFonts w:ascii="宋体" w:hAnsi="宋体" w:cs="宋体"/>
                <w:color w:val="000000"/>
                <w:lang w:bidi="ar"/>
              </w:rPr>
            </w:pPr>
            <w:r>
              <w:rPr>
                <w:rFonts w:hint="eastAsia" w:ascii="宋体" w:hAnsi="宋体" w:cs="宋体"/>
                <w:color w:val="000000"/>
                <w:lang w:bidi="ar"/>
              </w:rPr>
              <w:t>3.结构底部需采用四滚轮设计，支持移动式拖拉，方便使用；</w:t>
            </w:r>
          </w:p>
          <w:p w14:paraId="610819EC">
            <w:pPr>
              <w:widowControl/>
              <w:textAlignment w:val="center"/>
              <w:rPr>
                <w:rFonts w:ascii="宋体" w:hAnsi="宋体" w:cs="宋体"/>
                <w:color w:val="000000"/>
                <w:lang w:bidi="ar"/>
              </w:rPr>
            </w:pPr>
            <w:r>
              <w:rPr>
                <w:rFonts w:hint="eastAsia" w:ascii="宋体" w:hAnsi="宋体" w:cs="宋体"/>
                <w:color w:val="000000"/>
                <w:lang w:bidi="ar"/>
              </w:rPr>
              <w:t>4.内置不低于30W 4.5英寸重低音喇叭单元；</w:t>
            </w:r>
          </w:p>
          <w:p w14:paraId="05205BBA">
            <w:pPr>
              <w:widowControl/>
              <w:textAlignment w:val="center"/>
              <w:rPr>
                <w:rFonts w:ascii="宋体" w:hAnsi="宋体" w:cs="宋体"/>
                <w:color w:val="000000"/>
                <w:lang w:bidi="ar"/>
              </w:rPr>
            </w:pPr>
            <w:r>
              <w:rPr>
                <w:rFonts w:hint="eastAsia" w:ascii="宋体" w:hAnsi="宋体" w:cs="宋体"/>
                <w:color w:val="000000"/>
                <w:lang w:bidi="ar"/>
              </w:rPr>
              <w:t>5.机柜底部设计有抽屉结构，用于存储3D眼镜、配件；</w:t>
            </w:r>
          </w:p>
        </w:tc>
        <w:tc>
          <w:tcPr>
            <w:tcW w:w="620" w:type="dxa"/>
            <w:tcBorders>
              <w:top w:val="single" w:color="000000" w:sz="4" w:space="0"/>
              <w:left w:val="single" w:color="000000" w:sz="4" w:space="0"/>
              <w:bottom w:val="single" w:color="000000" w:sz="4" w:space="0"/>
              <w:right w:val="single" w:color="000000" w:sz="4" w:space="0"/>
            </w:tcBorders>
            <w:vAlign w:val="center"/>
          </w:tcPr>
          <w:p w14:paraId="3689FF0D">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565ED809">
            <w:pPr>
              <w:widowControl/>
              <w:jc w:val="center"/>
              <w:textAlignment w:val="center"/>
              <w:rPr>
                <w:rFonts w:ascii="宋体" w:hAnsi="宋体" w:cs="宋体"/>
                <w:color w:val="000000"/>
              </w:rPr>
            </w:pPr>
            <w:r>
              <w:rPr>
                <w:rFonts w:hint="eastAsia" w:ascii="宋体" w:hAnsi="宋体" w:cs="宋体"/>
                <w:color w:val="000000"/>
                <w:lang w:bidi="ar"/>
              </w:rPr>
              <w:t>套</w:t>
            </w:r>
          </w:p>
        </w:tc>
      </w:tr>
      <w:tr w14:paraId="6E34BFF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E0E5F86">
            <w:pPr>
              <w:widowControl/>
              <w:jc w:val="center"/>
              <w:textAlignment w:val="center"/>
              <w:rPr>
                <w:rFonts w:ascii="宋体" w:hAnsi="宋体" w:cs="宋体"/>
                <w:color w:val="000000"/>
                <w:lang w:bidi="ar"/>
              </w:rPr>
            </w:pPr>
            <w:r>
              <w:rPr>
                <w:rFonts w:hint="eastAsia" w:ascii="宋体" w:hAnsi="宋体" w:cs="宋体"/>
                <w:color w:val="000000"/>
                <w:lang w:bidi="ar"/>
              </w:rPr>
              <w:t>7</w:t>
            </w:r>
          </w:p>
        </w:tc>
        <w:tc>
          <w:tcPr>
            <w:tcW w:w="582" w:type="dxa"/>
            <w:gridSpan w:val="2"/>
            <w:vMerge w:val="continue"/>
            <w:tcBorders>
              <w:left w:val="single" w:color="000000" w:sz="4" w:space="0"/>
              <w:right w:val="single" w:color="000000" w:sz="4" w:space="0"/>
            </w:tcBorders>
            <w:vAlign w:val="center"/>
          </w:tcPr>
          <w:p w14:paraId="2FB113C2">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20AD2447">
            <w:pPr>
              <w:widowControl/>
              <w:jc w:val="center"/>
              <w:textAlignment w:val="center"/>
              <w:rPr>
                <w:rFonts w:ascii="宋体" w:hAnsi="宋体" w:cs="宋体"/>
                <w:color w:val="000000"/>
                <w:lang w:bidi="ar"/>
              </w:rPr>
            </w:pPr>
            <w:r>
              <w:rPr>
                <w:rFonts w:hint="eastAsia" w:ascii="宋体" w:hAnsi="宋体" w:cs="宋体"/>
                <w:color w:val="000000"/>
                <w:lang w:bidi="ar"/>
              </w:rPr>
              <w:t>XR内容桥接软件</w:t>
            </w:r>
          </w:p>
        </w:tc>
        <w:tc>
          <w:tcPr>
            <w:tcW w:w="5430" w:type="dxa"/>
            <w:tcBorders>
              <w:top w:val="single" w:color="000000" w:sz="4" w:space="0"/>
              <w:left w:val="single" w:color="000000" w:sz="4" w:space="0"/>
              <w:bottom w:val="single" w:color="000000" w:sz="4" w:space="0"/>
              <w:right w:val="single" w:color="000000" w:sz="4" w:space="0"/>
            </w:tcBorders>
            <w:vAlign w:val="center"/>
          </w:tcPr>
          <w:p w14:paraId="25A183B7">
            <w:pPr>
              <w:widowControl/>
              <w:textAlignment w:val="center"/>
              <w:rPr>
                <w:rFonts w:ascii="宋体" w:hAnsi="宋体" w:cs="宋体"/>
                <w:color w:val="000000"/>
                <w:lang w:bidi="ar"/>
              </w:rPr>
            </w:pPr>
            <w:r>
              <w:rPr>
                <w:rFonts w:hint="eastAsia" w:ascii="宋体" w:hAnsi="宋体" w:cs="宋体"/>
                <w:color w:val="000000"/>
                <w:lang w:bidi="ar"/>
              </w:rPr>
              <w:t>1.软件需支持光学追踪系统和基于VRPN协议的交互设备，如3D眼镜、手柄控制器、追踪标记体等，可进行头部追踪、手部追踪、绑定手柄按键和事件。</w:t>
            </w:r>
          </w:p>
          <w:p w14:paraId="60465A17">
            <w:pPr>
              <w:widowControl/>
              <w:textAlignment w:val="center"/>
              <w:rPr>
                <w:rFonts w:ascii="宋体" w:hAnsi="宋体" w:cs="宋体"/>
                <w:color w:val="000000"/>
                <w:lang w:bidi="ar"/>
              </w:rPr>
            </w:pPr>
            <w:r>
              <w:rPr>
                <w:rFonts w:hint="eastAsia" w:ascii="宋体" w:hAnsi="宋体" w:cs="宋体"/>
                <w:color w:val="000000"/>
                <w:lang w:bidi="ar"/>
              </w:rPr>
              <w:t>2.软件需支持配置文件和案例内容的历史记录功能。</w:t>
            </w:r>
          </w:p>
          <w:p w14:paraId="45C22FA0">
            <w:pPr>
              <w:widowControl/>
              <w:textAlignment w:val="center"/>
              <w:rPr>
                <w:rFonts w:ascii="宋体" w:hAnsi="宋体" w:cs="宋体"/>
                <w:color w:val="000000"/>
                <w:lang w:bidi="ar"/>
              </w:rPr>
            </w:pPr>
            <w:r>
              <w:rPr>
                <w:rFonts w:hint="eastAsia" w:ascii="宋体" w:hAnsi="宋体" w:cs="宋体"/>
                <w:color w:val="000000"/>
                <w:lang w:bidi="ar"/>
              </w:rPr>
              <w:t>3.软件需支持主控端一键分发配置文件和案例内容，并体现分发进度。</w:t>
            </w:r>
          </w:p>
          <w:p w14:paraId="7FAFF0B2">
            <w:pPr>
              <w:widowControl/>
              <w:textAlignment w:val="center"/>
              <w:rPr>
                <w:rFonts w:ascii="宋体" w:hAnsi="宋体" w:cs="宋体"/>
                <w:color w:val="000000"/>
                <w:lang w:bidi="ar"/>
              </w:rPr>
            </w:pPr>
            <w:r>
              <w:rPr>
                <w:rFonts w:hint="eastAsia" w:ascii="宋体" w:hAnsi="宋体" w:cs="宋体"/>
                <w:color w:val="000000"/>
                <w:lang w:bidi="ar"/>
              </w:rPr>
              <w:t>4.软件需提供开发示例Demo，Demo需包含场景跳转、VR手柄摇杆进行场景漫游、UI交互、物体抓取、双手旋转物体、双手缩放物体、VR手柄按键进行人物瞬移等功能。</w:t>
            </w:r>
          </w:p>
          <w:p w14:paraId="7E336D98">
            <w:pPr>
              <w:widowControl/>
              <w:textAlignment w:val="center"/>
              <w:rPr>
                <w:rFonts w:ascii="宋体" w:hAnsi="宋体" w:cs="宋体"/>
                <w:color w:val="000000"/>
                <w:lang w:bidi="ar"/>
              </w:rPr>
            </w:pPr>
            <w:r>
              <w:rPr>
                <w:rFonts w:hint="eastAsia" w:ascii="宋体" w:hAnsi="宋体" w:cs="宋体"/>
                <w:color w:val="000000"/>
                <w:lang w:bidi="ar"/>
              </w:rPr>
              <w:t>5.软件需提供在线用户使用手册和开发者使用手册。</w:t>
            </w:r>
          </w:p>
          <w:p w14:paraId="7F3F1D49">
            <w:pPr>
              <w:widowControl/>
              <w:textAlignment w:val="center"/>
              <w:rPr>
                <w:rFonts w:ascii="宋体" w:hAnsi="宋体" w:cs="宋体"/>
                <w:color w:val="000000"/>
                <w:lang w:bidi="ar"/>
              </w:rPr>
            </w:pPr>
            <w:r>
              <w:rPr>
                <w:rFonts w:hint="eastAsia" w:ascii="宋体" w:hAnsi="宋体" w:cs="宋体"/>
                <w:color w:val="000000"/>
                <w:lang w:bidi="ar"/>
              </w:rPr>
              <w:t>6.软件需支持部署在非大屏端的头盔版本VR内容在无头盔的情况下，可以传输到大屏上进行立体显示且可追踪交互。</w:t>
            </w:r>
          </w:p>
          <w:p w14:paraId="4AA09C18">
            <w:pPr>
              <w:widowControl/>
              <w:textAlignment w:val="center"/>
              <w:rPr>
                <w:rFonts w:ascii="宋体" w:hAnsi="宋体" w:cs="宋体"/>
                <w:color w:val="000000"/>
                <w:lang w:bidi="ar"/>
              </w:rPr>
            </w:pPr>
            <w:r>
              <w:rPr>
                <w:rFonts w:hint="eastAsia" w:ascii="宋体" w:hAnsi="宋体" w:cs="宋体"/>
                <w:color w:val="000000"/>
                <w:lang w:bidi="ar"/>
              </w:rPr>
              <w:t>7.为了让用户在大屏上拥有沉浸式的体验，保留原有交互方式，可以利用手柄和眼镜在大屏上进行交互体验。</w:t>
            </w:r>
          </w:p>
          <w:p w14:paraId="7EEC2F2A">
            <w:pPr>
              <w:widowControl/>
              <w:textAlignment w:val="center"/>
              <w:rPr>
                <w:rFonts w:ascii="宋体" w:hAnsi="宋体" w:cs="宋体"/>
                <w:color w:val="000000"/>
                <w:lang w:bidi="ar"/>
              </w:rPr>
            </w:pPr>
            <w:r>
              <w:rPr>
                <w:rFonts w:hint="eastAsia" w:ascii="宋体" w:hAnsi="宋体" w:cs="宋体"/>
                <w:color w:val="000000"/>
                <w:lang w:bidi="ar"/>
              </w:rPr>
              <w:t>8.为了方便用户在大屏上快速体验头显内容，软件需支持自动获取显示当前网段中所有在线主机的IP，也可以自定义输入IP。</w:t>
            </w:r>
          </w:p>
          <w:p w14:paraId="2226EA67">
            <w:pPr>
              <w:widowControl/>
              <w:textAlignment w:val="center"/>
              <w:rPr>
                <w:rFonts w:ascii="宋体" w:hAnsi="宋体" w:cs="宋体"/>
                <w:color w:val="000000"/>
                <w:lang w:bidi="ar"/>
              </w:rPr>
            </w:pPr>
            <w:r>
              <w:rPr>
                <w:rFonts w:hint="eastAsia" w:ascii="宋体" w:hAnsi="宋体" w:cs="宋体"/>
                <w:color w:val="000000"/>
                <w:lang w:bidi="ar"/>
              </w:rPr>
              <w:t>核心参数：</w:t>
            </w:r>
          </w:p>
          <w:p w14:paraId="0677F4B8">
            <w:pPr>
              <w:widowControl/>
              <w:textAlignment w:val="center"/>
              <w:rPr>
                <w:rFonts w:ascii="宋体" w:hAnsi="宋体" w:cs="宋体"/>
                <w:color w:val="000000"/>
                <w:lang w:bidi="ar"/>
              </w:rPr>
            </w:pPr>
            <w:r>
              <w:rPr>
                <w:rFonts w:hint="eastAsia" w:ascii="宋体" w:hAnsi="宋体" w:cs="宋体"/>
                <w:color w:val="000000"/>
                <w:lang w:bidi="ar"/>
              </w:rPr>
              <w:t>▲1.软件需提供中国计算机软件著作权登记证书作为自主产权证明；</w:t>
            </w:r>
          </w:p>
          <w:p w14:paraId="37A4DC69">
            <w:pPr>
              <w:widowControl/>
              <w:textAlignment w:val="center"/>
              <w:rPr>
                <w:rFonts w:ascii="宋体" w:hAnsi="宋体" w:cs="宋体"/>
                <w:color w:val="000000"/>
                <w:lang w:bidi="ar"/>
              </w:rPr>
            </w:pPr>
            <w:r>
              <w:rPr>
                <w:rFonts w:hint="eastAsia" w:ascii="宋体" w:hAnsi="宋体" w:cs="宋体"/>
                <w:color w:val="000000"/>
                <w:lang w:bidi="ar"/>
              </w:rPr>
              <w:t>2.软件需支持双手柄控制和交互；</w:t>
            </w:r>
          </w:p>
          <w:p w14:paraId="0B8211BF">
            <w:pPr>
              <w:widowControl/>
              <w:textAlignment w:val="center"/>
              <w:rPr>
                <w:rFonts w:ascii="宋体" w:hAnsi="宋体" w:cs="宋体"/>
                <w:color w:val="000000"/>
                <w:lang w:bidi="ar"/>
              </w:rPr>
            </w:pPr>
            <w:r>
              <w:rPr>
                <w:rFonts w:hint="eastAsia" w:ascii="宋体" w:hAnsi="宋体" w:cs="宋体"/>
                <w:color w:val="000000"/>
                <w:lang w:bidi="ar"/>
              </w:rPr>
              <w:t>▲3.软件需采用“1拖N”多通道集群渲染技术，支持单通道、多通道2种方式。</w:t>
            </w:r>
          </w:p>
          <w:p w14:paraId="60A4D0AA">
            <w:pPr>
              <w:widowControl/>
              <w:textAlignment w:val="center"/>
              <w:rPr>
                <w:rFonts w:ascii="宋体" w:hAnsi="宋体" w:cs="宋体"/>
                <w:color w:val="000000"/>
                <w:lang w:bidi="ar"/>
              </w:rPr>
            </w:pPr>
            <w:r>
              <w:rPr>
                <w:rFonts w:hint="eastAsia" w:ascii="宋体" w:hAnsi="宋体" w:cs="宋体"/>
                <w:color w:val="000000"/>
                <w:lang w:bidi="ar"/>
              </w:rPr>
              <w:t>4.软件需支持Unity、Unreal开发的内容适配到VR沉浸式环境；</w:t>
            </w:r>
          </w:p>
          <w:p w14:paraId="720C1F7B">
            <w:pPr>
              <w:widowControl/>
              <w:textAlignment w:val="center"/>
              <w:rPr>
                <w:rFonts w:ascii="宋体" w:hAnsi="宋体" w:cs="宋体"/>
                <w:color w:val="000000"/>
                <w:lang w:bidi="ar"/>
              </w:rPr>
            </w:pPr>
            <w:r>
              <w:rPr>
                <w:rFonts w:hint="eastAsia" w:ascii="宋体" w:hAnsi="宋体" w:cs="宋体"/>
                <w:color w:val="000000"/>
                <w:lang w:bidi="ar"/>
              </w:rPr>
              <w:t>5.软件需适配LED大屏、多通道交互显示系统、洞穴式Cave交互显示系统、立体显示器等；</w:t>
            </w:r>
          </w:p>
          <w:p w14:paraId="4DC01A99">
            <w:pPr>
              <w:widowControl/>
              <w:textAlignment w:val="center"/>
              <w:rPr>
                <w:rFonts w:ascii="宋体" w:hAnsi="宋体" w:cs="宋体"/>
                <w:color w:val="000000"/>
                <w:lang w:bidi="ar"/>
              </w:rPr>
            </w:pPr>
            <w:r>
              <w:rPr>
                <w:rFonts w:hint="eastAsia" w:ascii="宋体" w:hAnsi="宋体" w:cs="宋体"/>
                <w:color w:val="000000"/>
                <w:lang w:bidi="ar"/>
              </w:rPr>
              <w:t>6.软件需支持对VR沉浸式硬件环境参数的配置，提供追踪数据监控和验证功能。提供网络状态监控和验证功能，可实时显示多台渲染机之间以及追踪系统的网络连接状态；</w:t>
            </w:r>
          </w:p>
          <w:p w14:paraId="663CC99E">
            <w:pPr>
              <w:widowControl/>
              <w:textAlignment w:val="center"/>
              <w:rPr>
                <w:rFonts w:ascii="宋体" w:hAnsi="宋体" w:cs="宋体"/>
                <w:color w:val="000000"/>
                <w:lang w:bidi="ar"/>
              </w:rPr>
            </w:pPr>
            <w:r>
              <w:rPr>
                <w:rFonts w:hint="eastAsia" w:ascii="宋体" w:hAnsi="宋体" w:cs="宋体"/>
                <w:color w:val="000000"/>
                <w:lang w:bidi="ar"/>
              </w:rPr>
              <w:t>7.软件需提供用于Unity开发的SDK，内置基于VR沉浸式环境交互方式的场景跳转、场景漫游、UI交互、物体抓取、双手旋转物体、双手缩放物体、人物瞬移等基本功能。提供开发者使用手册，包含快速入门和开发进阶等用于对开发者进行教学指导的说明。提供API接口说明文档，包含手柄按键调用、获取人物头部手部等六自由度姿态数据，获取沉浸式环境参数等基本API接口；</w:t>
            </w:r>
          </w:p>
          <w:p w14:paraId="3FD59429">
            <w:pPr>
              <w:widowControl/>
              <w:textAlignment w:val="center"/>
              <w:rPr>
                <w:rFonts w:ascii="宋体" w:hAnsi="宋体" w:cs="宋体"/>
                <w:color w:val="000000"/>
                <w:lang w:bidi="ar"/>
              </w:rPr>
            </w:pPr>
            <w:r>
              <w:rPr>
                <w:rFonts w:hint="eastAsia" w:ascii="宋体" w:hAnsi="宋体" w:cs="宋体"/>
                <w:color w:val="000000"/>
                <w:lang w:bidi="ar"/>
              </w:rPr>
              <w:t>8.需提供UnitySDK视频培训教程；－－物料是旧</w:t>
            </w:r>
          </w:p>
          <w:p w14:paraId="7A60FF2C">
            <w:pPr>
              <w:widowControl/>
              <w:textAlignment w:val="center"/>
              <w:rPr>
                <w:rFonts w:ascii="宋体" w:hAnsi="宋体" w:cs="宋体"/>
                <w:color w:val="000000"/>
                <w:lang w:bidi="ar"/>
              </w:rPr>
            </w:pPr>
            <w:r>
              <w:rPr>
                <w:rFonts w:hint="eastAsia" w:ascii="宋体" w:hAnsi="宋体" w:cs="宋体"/>
                <w:color w:val="000000"/>
                <w:lang w:bidi="ar"/>
              </w:rPr>
              <w:t>9.软件需支持将现有的Unity、UE4制作的VR头盔内容，在大屏端进行正常的立体显示，支持原有的双手柄追踪交互，无需二次开发。</w:t>
            </w:r>
          </w:p>
          <w:p w14:paraId="0BE9F8C1">
            <w:pPr>
              <w:widowControl/>
              <w:textAlignment w:val="center"/>
              <w:rPr>
                <w:rFonts w:ascii="宋体" w:hAnsi="宋体" w:cs="宋体"/>
                <w:color w:val="000000"/>
                <w:lang w:bidi="ar"/>
              </w:rPr>
            </w:pPr>
            <w:r>
              <w:rPr>
                <w:rFonts w:hint="eastAsia" w:ascii="宋体" w:hAnsi="宋体" w:cs="宋体"/>
                <w:color w:val="000000"/>
                <w:lang w:bidi="ar"/>
              </w:rPr>
              <w:t>10.软件需支持自动获取已选择的主机上被添加到内容管理中的所有头显内容，可以任意选择一项内容进行一键启动和关闭，同时可以一键重启SteamVR。</w:t>
            </w:r>
          </w:p>
          <w:p w14:paraId="05084EA7">
            <w:pPr>
              <w:widowControl/>
              <w:textAlignment w:val="center"/>
              <w:rPr>
                <w:rFonts w:ascii="宋体" w:hAnsi="宋体" w:cs="宋体"/>
                <w:color w:val="000000"/>
                <w:lang w:bidi="ar"/>
              </w:rPr>
            </w:pPr>
            <w:r>
              <w:rPr>
                <w:rFonts w:hint="eastAsia" w:ascii="宋体" w:hAnsi="宋体" w:cs="宋体"/>
                <w:color w:val="000000"/>
                <w:lang w:bidi="ar"/>
              </w:rPr>
              <w:t>11.软件需提供可调节设置相机速度、拉伸比例、推流帧数、允许摇杆强制位移、允许摇杆强制旋转等参数设置。</w:t>
            </w:r>
          </w:p>
        </w:tc>
        <w:tc>
          <w:tcPr>
            <w:tcW w:w="620" w:type="dxa"/>
            <w:tcBorders>
              <w:top w:val="single" w:color="000000" w:sz="4" w:space="0"/>
              <w:left w:val="single" w:color="000000" w:sz="4" w:space="0"/>
              <w:bottom w:val="single" w:color="000000" w:sz="4" w:space="0"/>
              <w:right w:val="single" w:color="000000" w:sz="4" w:space="0"/>
            </w:tcBorders>
            <w:vAlign w:val="center"/>
          </w:tcPr>
          <w:p w14:paraId="01E5B986">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75817446">
            <w:pPr>
              <w:widowControl/>
              <w:jc w:val="center"/>
              <w:textAlignment w:val="center"/>
              <w:rPr>
                <w:rFonts w:ascii="宋体" w:hAnsi="宋体" w:cs="宋体"/>
                <w:color w:val="000000"/>
              </w:rPr>
            </w:pPr>
            <w:r>
              <w:rPr>
                <w:rFonts w:hint="eastAsia" w:ascii="宋体" w:hAnsi="宋体" w:cs="宋体"/>
                <w:color w:val="000000"/>
                <w:lang w:bidi="ar"/>
              </w:rPr>
              <w:t>套</w:t>
            </w:r>
          </w:p>
        </w:tc>
      </w:tr>
      <w:tr w14:paraId="4828F1DA">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BC71C51">
            <w:pPr>
              <w:widowControl/>
              <w:jc w:val="center"/>
              <w:textAlignment w:val="center"/>
              <w:rPr>
                <w:rFonts w:ascii="宋体" w:hAnsi="宋体" w:cs="宋体"/>
                <w:color w:val="000000"/>
                <w:lang w:bidi="ar"/>
              </w:rPr>
            </w:pPr>
            <w:r>
              <w:rPr>
                <w:rFonts w:hint="eastAsia" w:ascii="宋体" w:hAnsi="宋体" w:cs="宋体"/>
                <w:color w:val="000000"/>
                <w:lang w:bidi="ar"/>
              </w:rPr>
              <w:t>8</w:t>
            </w:r>
          </w:p>
        </w:tc>
        <w:tc>
          <w:tcPr>
            <w:tcW w:w="582" w:type="dxa"/>
            <w:gridSpan w:val="2"/>
            <w:vMerge w:val="continue"/>
            <w:tcBorders>
              <w:left w:val="single" w:color="000000" w:sz="4" w:space="0"/>
              <w:right w:val="single" w:color="000000" w:sz="4" w:space="0"/>
            </w:tcBorders>
            <w:vAlign w:val="center"/>
          </w:tcPr>
          <w:p w14:paraId="1E92A060">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46DDCE46">
            <w:pPr>
              <w:widowControl/>
              <w:jc w:val="center"/>
              <w:textAlignment w:val="center"/>
              <w:rPr>
                <w:rFonts w:ascii="宋体" w:hAnsi="宋体" w:cs="宋体"/>
                <w:color w:val="000000"/>
                <w:lang w:bidi="ar"/>
              </w:rPr>
            </w:pPr>
            <w:r>
              <w:rPr>
                <w:rFonts w:hint="eastAsia" w:ascii="宋体" w:hAnsi="宋体" w:cs="宋体"/>
                <w:color w:val="000000"/>
                <w:lang w:bidi="ar"/>
              </w:rPr>
              <w:t>混合现实交互套件</w:t>
            </w:r>
          </w:p>
        </w:tc>
        <w:tc>
          <w:tcPr>
            <w:tcW w:w="5430" w:type="dxa"/>
            <w:tcBorders>
              <w:top w:val="single" w:color="000000" w:sz="4" w:space="0"/>
              <w:left w:val="single" w:color="000000" w:sz="4" w:space="0"/>
              <w:bottom w:val="single" w:color="000000" w:sz="4" w:space="0"/>
              <w:right w:val="single" w:color="000000" w:sz="4" w:space="0"/>
            </w:tcBorders>
            <w:vAlign w:val="center"/>
          </w:tcPr>
          <w:p w14:paraId="08008159">
            <w:pPr>
              <w:widowControl/>
              <w:textAlignment w:val="center"/>
              <w:rPr>
                <w:rFonts w:ascii="宋体" w:hAnsi="宋体" w:cs="宋体"/>
                <w:color w:val="000000"/>
                <w:lang w:bidi="ar"/>
              </w:rPr>
            </w:pPr>
            <w:r>
              <w:rPr>
                <w:rFonts w:hint="eastAsia" w:ascii="宋体" w:hAnsi="宋体" w:cs="宋体"/>
                <w:color w:val="000000"/>
                <w:lang w:bidi="ar"/>
              </w:rPr>
              <w:t>1.将沉浸式立体大屏上的操作过程投射到另外一个屏幕或者第二台监视器上面，将真实环境与虚拟图层叠加后展现给用户；</w:t>
            </w:r>
          </w:p>
          <w:p w14:paraId="7E9C856A">
            <w:pPr>
              <w:widowControl/>
              <w:textAlignment w:val="center"/>
              <w:rPr>
                <w:rFonts w:ascii="宋体" w:hAnsi="宋体" w:cs="宋体"/>
                <w:color w:val="000000"/>
                <w:lang w:bidi="ar"/>
              </w:rPr>
            </w:pPr>
            <w:r>
              <w:rPr>
                <w:rFonts w:hint="eastAsia" w:ascii="宋体" w:hAnsi="宋体" w:cs="宋体"/>
                <w:color w:val="000000"/>
                <w:lang w:bidi="ar"/>
              </w:rPr>
              <w:t>2.可以录制课程教学操作过程；</w:t>
            </w:r>
          </w:p>
          <w:p w14:paraId="05978791">
            <w:pPr>
              <w:widowControl/>
              <w:textAlignment w:val="center"/>
              <w:rPr>
                <w:rFonts w:ascii="宋体" w:hAnsi="宋体" w:cs="宋体"/>
                <w:color w:val="000000"/>
                <w:lang w:bidi="ar"/>
              </w:rPr>
            </w:pPr>
            <w:r>
              <w:rPr>
                <w:rFonts w:hint="eastAsia" w:ascii="宋体" w:hAnsi="宋体" w:cs="宋体"/>
                <w:color w:val="000000"/>
                <w:lang w:bidi="ar"/>
              </w:rPr>
              <w:t>3.支持修改截图、录屏的画面质量，可选择1080P、720P、480P等不同等级的清晰度；</w:t>
            </w:r>
          </w:p>
          <w:p w14:paraId="1BDC72E1">
            <w:pPr>
              <w:widowControl/>
              <w:textAlignment w:val="center"/>
              <w:rPr>
                <w:rFonts w:ascii="宋体" w:hAnsi="宋体" w:cs="宋体"/>
                <w:color w:val="000000"/>
                <w:lang w:bidi="ar"/>
              </w:rPr>
            </w:pPr>
            <w:r>
              <w:rPr>
                <w:rFonts w:hint="eastAsia" w:ascii="宋体" w:hAnsi="宋体" w:cs="宋体"/>
                <w:color w:val="000000"/>
                <w:lang w:bidi="ar"/>
              </w:rPr>
              <w:t>4.提供图库功能，可在软件内直接检索、查看截图画面和录制的视频；</w:t>
            </w:r>
          </w:p>
          <w:p w14:paraId="1A44CD9F">
            <w:pPr>
              <w:widowControl/>
              <w:textAlignment w:val="center"/>
              <w:rPr>
                <w:rFonts w:ascii="宋体" w:hAnsi="宋体" w:cs="宋体"/>
                <w:color w:val="000000"/>
                <w:lang w:bidi="ar"/>
              </w:rPr>
            </w:pPr>
            <w:r>
              <w:rPr>
                <w:rFonts w:hint="eastAsia" w:ascii="宋体" w:hAnsi="宋体" w:cs="宋体"/>
                <w:color w:val="000000"/>
                <w:lang w:bidi="ar"/>
              </w:rPr>
              <w:t>5.可将混合现实画面进行直播分享，局域网内的其他用户无需安装客户端，可用手机扫码直接观看；</w:t>
            </w:r>
          </w:p>
          <w:p w14:paraId="77C2B61F">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▲6.支持rtmp网络直播，可将混合现实画面推流到rtmp服务器，通过微信视频号等平台客户端进行网络直播；</w:t>
            </w:r>
          </w:p>
          <w:p w14:paraId="10FB476A">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▲7.提供屏幕参数设置和相机标定的二次校准算法，支持直幕、弧幕等不同尺寸，不同宽高比的屏幕类型；</w:t>
            </w:r>
          </w:p>
          <w:p w14:paraId="44D04FE3">
            <w:pPr>
              <w:widowControl/>
              <w:textAlignment w:val="center"/>
              <w:rPr>
                <w:rFonts w:ascii="宋体" w:hAnsi="宋体" w:cs="宋体"/>
                <w:color w:val="000000"/>
                <w:lang w:bidi="ar"/>
              </w:rPr>
            </w:pPr>
            <w:r>
              <w:rPr>
                <w:rFonts w:hint="eastAsia" w:ascii="宋体" w:hAnsi="宋体" w:cs="宋体"/>
                <w:color w:val="000000"/>
                <w:lang w:bidi="ar"/>
              </w:rPr>
              <w:t>8.软件自带立体显示的模型查看器，支持GLTF/GLB模型的动态载入，支持在沉浸式大屏上以任意角度观察，移动、旋转、缩放模型；</w:t>
            </w:r>
          </w:p>
          <w:p w14:paraId="0AECD139">
            <w:pPr>
              <w:widowControl/>
              <w:textAlignment w:val="center"/>
              <w:rPr>
                <w:rFonts w:ascii="宋体" w:hAnsi="宋体" w:cs="宋体"/>
                <w:color w:val="000000"/>
                <w:lang w:bidi="ar"/>
              </w:rPr>
            </w:pPr>
            <w:r>
              <w:rPr>
                <w:rFonts w:hint="eastAsia" w:ascii="宋体" w:hAnsi="宋体" w:cs="宋体"/>
                <w:color w:val="000000"/>
                <w:lang w:bidi="ar"/>
              </w:rPr>
              <w:t>9.软件自带立体显示的模型查看器，支持对模型的子节点结构进行部件显隐和自由拆装操作，方便老师在上课教学的过程中自由展示模型内部结构。</w:t>
            </w:r>
          </w:p>
          <w:p w14:paraId="1218E58A">
            <w:pPr>
              <w:widowControl/>
              <w:textAlignment w:val="center"/>
              <w:rPr>
                <w:rFonts w:ascii="宋体" w:hAnsi="宋体" w:cs="宋体"/>
                <w:color w:val="000000"/>
                <w:lang w:bidi="ar"/>
              </w:rPr>
            </w:pPr>
            <w:r>
              <w:rPr>
                <w:rFonts w:hint="eastAsia" w:ascii="宋体" w:hAnsi="宋体" w:cs="宋体"/>
                <w:color w:val="000000"/>
                <w:lang w:bidi="ar"/>
              </w:rPr>
              <w:t>10.包含系统所需配套硬件设备。</w:t>
            </w:r>
          </w:p>
        </w:tc>
        <w:tc>
          <w:tcPr>
            <w:tcW w:w="620" w:type="dxa"/>
            <w:tcBorders>
              <w:top w:val="single" w:color="000000" w:sz="4" w:space="0"/>
              <w:left w:val="single" w:color="000000" w:sz="4" w:space="0"/>
              <w:bottom w:val="single" w:color="000000" w:sz="4" w:space="0"/>
              <w:right w:val="single" w:color="000000" w:sz="4" w:space="0"/>
            </w:tcBorders>
            <w:vAlign w:val="center"/>
          </w:tcPr>
          <w:p w14:paraId="50F816B2">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6FD16E1D">
            <w:pPr>
              <w:widowControl/>
              <w:jc w:val="center"/>
              <w:textAlignment w:val="center"/>
              <w:rPr>
                <w:rFonts w:ascii="宋体" w:hAnsi="宋体" w:cs="宋体"/>
                <w:color w:val="000000"/>
              </w:rPr>
            </w:pPr>
            <w:r>
              <w:rPr>
                <w:rFonts w:hint="eastAsia" w:ascii="宋体" w:hAnsi="宋体" w:cs="宋体"/>
                <w:color w:val="000000"/>
                <w:lang w:bidi="ar"/>
              </w:rPr>
              <w:t>套</w:t>
            </w:r>
          </w:p>
        </w:tc>
      </w:tr>
      <w:tr w14:paraId="3E9B4FC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0F0AB2D">
            <w:pPr>
              <w:widowControl/>
              <w:jc w:val="center"/>
              <w:textAlignment w:val="center"/>
              <w:rPr>
                <w:rFonts w:ascii="宋体" w:hAnsi="宋体" w:cs="宋体"/>
                <w:color w:val="000000"/>
                <w:lang w:bidi="ar"/>
              </w:rPr>
            </w:pPr>
            <w:r>
              <w:rPr>
                <w:rFonts w:hint="eastAsia" w:ascii="宋体" w:hAnsi="宋体" w:cs="宋体"/>
                <w:color w:val="000000"/>
                <w:lang w:bidi="ar"/>
              </w:rPr>
              <w:t>9</w:t>
            </w:r>
          </w:p>
        </w:tc>
        <w:tc>
          <w:tcPr>
            <w:tcW w:w="582" w:type="dxa"/>
            <w:gridSpan w:val="2"/>
            <w:vMerge w:val="continue"/>
            <w:tcBorders>
              <w:left w:val="single" w:color="000000" w:sz="4" w:space="0"/>
              <w:bottom w:val="single" w:color="auto" w:sz="4" w:space="0"/>
              <w:right w:val="single" w:color="000000" w:sz="4" w:space="0"/>
            </w:tcBorders>
            <w:vAlign w:val="center"/>
          </w:tcPr>
          <w:p w14:paraId="52877E01">
            <w:pPr>
              <w:widowControl/>
              <w:jc w:val="center"/>
              <w:textAlignment w:val="center"/>
              <w:rPr>
                <w:rFonts w:ascii="宋体" w:hAnsi="宋体" w:cs="宋体"/>
                <w:color w:val="000000"/>
              </w:rPr>
            </w:pPr>
          </w:p>
        </w:tc>
        <w:tc>
          <w:tcPr>
            <w:tcW w:w="1343" w:type="dxa"/>
            <w:tcBorders>
              <w:top w:val="single" w:color="000000" w:sz="4" w:space="0"/>
              <w:left w:val="single" w:color="000000" w:sz="4" w:space="0"/>
              <w:bottom w:val="single" w:color="000000" w:sz="4" w:space="0"/>
              <w:right w:val="single" w:color="000000" w:sz="4" w:space="0"/>
            </w:tcBorders>
            <w:vAlign w:val="center"/>
          </w:tcPr>
          <w:p w14:paraId="240804BE">
            <w:pPr>
              <w:widowControl/>
              <w:jc w:val="center"/>
              <w:textAlignment w:val="center"/>
              <w:rPr>
                <w:rFonts w:ascii="宋体" w:hAnsi="宋体" w:cs="宋体"/>
                <w:color w:val="000000"/>
                <w:lang w:bidi="ar"/>
              </w:rPr>
            </w:pPr>
            <w:r>
              <w:rPr>
                <w:rFonts w:hint="eastAsia" w:ascii="宋体" w:hAnsi="宋体" w:cs="宋体"/>
                <w:color w:val="000000"/>
                <w:lang w:bidi="ar"/>
              </w:rPr>
              <w:t>XR内容创作引擎</w:t>
            </w:r>
          </w:p>
        </w:tc>
        <w:tc>
          <w:tcPr>
            <w:tcW w:w="5430" w:type="dxa"/>
            <w:tcBorders>
              <w:top w:val="single" w:color="000000" w:sz="4" w:space="0"/>
              <w:left w:val="single" w:color="000000" w:sz="4" w:space="0"/>
              <w:bottom w:val="single" w:color="000000" w:sz="4" w:space="0"/>
              <w:right w:val="single" w:color="000000" w:sz="4" w:space="0"/>
            </w:tcBorders>
            <w:vAlign w:val="center"/>
          </w:tcPr>
          <w:p w14:paraId="032A5A73">
            <w:pPr>
              <w:widowControl/>
              <w:textAlignment w:val="center"/>
              <w:rPr>
                <w:rFonts w:ascii="宋体" w:hAnsi="宋体" w:cs="宋体"/>
                <w:color w:val="000000"/>
                <w:lang w:bidi="ar"/>
              </w:rPr>
            </w:pPr>
            <w:r>
              <w:rPr>
                <w:rFonts w:hint="eastAsia" w:ascii="宋体" w:hAnsi="宋体" w:cs="宋体"/>
                <w:color w:val="000000"/>
                <w:lang w:bidi="ar"/>
              </w:rPr>
              <w:t>1.需支持一键添加爆炸展示功能，支持对机械结构的一键展开，一键还原，用户可通过属性直接设置爆炸范围、爆炸模式、爆炸方向；</w:t>
            </w:r>
          </w:p>
          <w:p w14:paraId="3B79C7F4">
            <w:pPr>
              <w:widowControl/>
              <w:textAlignment w:val="center"/>
              <w:rPr>
                <w:rFonts w:ascii="宋体" w:hAnsi="宋体" w:cs="宋体"/>
                <w:color w:val="000000"/>
                <w:lang w:bidi="ar"/>
              </w:rPr>
            </w:pPr>
            <w:r>
              <w:rPr>
                <w:rFonts w:hint="eastAsia" w:ascii="宋体" w:hAnsi="宋体" w:cs="宋体"/>
                <w:color w:val="000000"/>
                <w:lang w:bidi="ar"/>
              </w:rPr>
              <w:t>2.对外部导入的机械结构模型，用户可一键添加零件拆装功能。支持自由拆装和顺序拆装两种模式。顺序拆装时对关键步骤的操作对象进行高亮提示，零件可自动吸附归位。兼容VR手柄拆装和鼠标拆装两种交互模式；</w:t>
            </w:r>
          </w:p>
          <w:p w14:paraId="752C79BC">
            <w:pPr>
              <w:widowControl/>
              <w:textAlignment w:val="center"/>
              <w:rPr>
                <w:rFonts w:ascii="宋体" w:hAnsi="宋体" w:cs="宋体"/>
                <w:color w:val="000000"/>
                <w:lang w:bidi="ar"/>
              </w:rPr>
            </w:pPr>
            <w:r>
              <w:rPr>
                <w:rFonts w:hint="eastAsia" w:ascii="宋体" w:hAnsi="宋体" w:cs="宋体"/>
                <w:color w:val="000000"/>
                <w:lang w:bidi="ar"/>
              </w:rPr>
              <w:t>3.软件需提供可编辑的考题系统。支持在虚拟场景中完成答题和考核的自动评分；支持批量导入题库内容，题目类型需支持选择题和判断题；支持设置考题分值、权重、考试时长、考核总分等关键参数，考试结束根据参数自动计算得分；</w:t>
            </w:r>
          </w:p>
          <w:p w14:paraId="55BC737F">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4.为方便优化场景提升渲染效率，软件需具有界面优化功能。支持在Windows平台下对场景中的网格节点进行智能轻量化；用户可根据场景需要调节三角面数优化率，将模型优化为对应的中模、低模，并确保减面后的模型形状保持基本不变，材质纹理显示正常，网格不存在明显的破面、漏面现象；</w:t>
            </w:r>
          </w:p>
          <w:p w14:paraId="28D25FFC">
            <w:pPr>
              <w:widowControl/>
              <w:textAlignment w:val="center"/>
              <w:rPr>
                <w:rFonts w:ascii="宋体" w:hAnsi="宋体" w:cs="宋体"/>
                <w:color w:val="000000"/>
                <w:lang w:bidi="ar"/>
              </w:rPr>
            </w:pPr>
            <w:r>
              <w:rPr>
                <w:rFonts w:hint="eastAsia" w:ascii="宋体" w:hAnsi="宋体" w:cs="宋体"/>
                <w:color w:val="000000"/>
                <w:lang w:bidi="ar"/>
              </w:rPr>
              <w:t>5.为非编程人员能够进行教学资源内容制作软件需提供零编程的逻辑编辑工具；需支持从主界面将属性和节点直接拖入交互编辑器进行设置或方法调用，用户只需要通过拖拽连线式的操作即可快速、自由地制作复杂的场景行为逻辑；</w:t>
            </w:r>
          </w:p>
          <w:p w14:paraId="435EF4C3">
            <w:pPr>
              <w:widowControl/>
              <w:textAlignment w:val="center"/>
              <w:rPr>
                <w:rFonts w:ascii="宋体" w:hAnsi="宋体" w:cs="宋体"/>
                <w:color w:val="000000"/>
                <w:lang w:bidi="ar"/>
              </w:rPr>
            </w:pPr>
            <w:r>
              <w:rPr>
                <w:rFonts w:hint="eastAsia" w:ascii="宋体" w:hAnsi="宋体" w:cs="宋体"/>
                <w:color w:val="000000"/>
                <w:lang w:bidi="ar"/>
              </w:rPr>
              <w:t>6.软件需提供多人协同项目模板及线上开发教程，用户可基于此项目模板制作属于自己的多人协同应用；项目模板内置角色预设；支持语音交流；支持PC、VR两种操作模式；支持虚拟自拍；支持模型材质编辑、部件移动及显隐、动画同步、爆炸展示、多媒体操作等协同展示；</w:t>
            </w:r>
          </w:p>
          <w:p w14:paraId="34645E85">
            <w:pPr>
              <w:widowControl/>
              <w:textAlignment w:val="center"/>
              <w:rPr>
                <w:rFonts w:ascii="宋体" w:hAnsi="宋体" w:cs="宋体"/>
                <w:color w:val="000000"/>
                <w:lang w:bidi="ar"/>
              </w:rPr>
            </w:pPr>
            <w:r>
              <w:rPr>
                <w:rFonts w:hint="eastAsia" w:ascii="宋体" w:hAnsi="宋体" w:cs="宋体"/>
                <w:color w:val="000000"/>
                <w:lang w:bidi="ar"/>
              </w:rPr>
              <w:t>7.多人协同插件可以帮助用户快速搭建一个自定义的可多人联机的项目，导入多人协同插件后，在快速创建中可创建多人协同节点、角色出生点和座位标识。多人协同插件提供了基础的连接服务器、创建房间、加入房间、语音、互动动作、部件操作、更改材质、相机快照、教学工具等基本协同操作；</w:t>
            </w:r>
          </w:p>
          <w:p w14:paraId="0410DB83">
            <w:pPr>
              <w:widowControl/>
              <w:textAlignment w:val="center"/>
              <w:rPr>
                <w:rFonts w:ascii="宋体" w:hAnsi="宋体" w:cs="宋体"/>
                <w:color w:val="000000"/>
                <w:lang w:bidi="ar"/>
              </w:rPr>
            </w:pPr>
            <w:r>
              <w:rPr>
                <w:rFonts w:hint="eastAsia" w:ascii="宋体" w:hAnsi="宋体" w:cs="宋体"/>
                <w:color w:val="000000"/>
                <w:lang w:bidi="ar"/>
              </w:rPr>
              <w:t>▲8.软件需支持Windows，MacOS、Linux，麒麟OS等多种运行平台，需通过银河麒麟操作系统产品兼容性认证；</w:t>
            </w:r>
          </w:p>
          <w:p w14:paraId="1BAFAC45">
            <w:pPr>
              <w:widowControl/>
              <w:textAlignment w:val="center"/>
              <w:rPr>
                <w:rFonts w:ascii="宋体" w:hAnsi="宋体" w:cs="宋体"/>
                <w:color w:val="000000"/>
                <w:lang w:bidi="ar"/>
              </w:rPr>
            </w:pPr>
            <w:r>
              <w:rPr>
                <w:rFonts w:hint="eastAsia" w:ascii="宋体" w:hAnsi="宋体" w:cs="宋体"/>
                <w:color w:val="000000"/>
                <w:lang w:bidi="ar"/>
              </w:rPr>
              <w:t>9.需为国产自主研发软件，且拥有开发过程中的全部源代码，需提供国家版权局出具的相关计算机软件著作权登记证书和测试报告；</w:t>
            </w:r>
          </w:p>
          <w:p w14:paraId="011DFDE0">
            <w:pPr>
              <w:widowControl/>
              <w:textAlignment w:val="center"/>
              <w:rPr>
                <w:rFonts w:ascii="宋体" w:hAnsi="宋体" w:cs="宋体"/>
                <w:color w:val="000000"/>
                <w:lang w:bidi="ar"/>
              </w:rPr>
            </w:pPr>
            <w:r>
              <w:rPr>
                <w:rFonts w:hint="eastAsia" w:ascii="宋体" w:hAnsi="宋体" w:cs="宋体"/>
                <w:color w:val="000000"/>
                <w:lang w:bidi="ar"/>
              </w:rPr>
              <w:t>10.需支持LED大屏VR沉浸式硬件系统的内容开发和导出发布，需支持在LED大屏上使用带追踪的主视角眼镜立体显示和VR手柄交互。交互案例自带手柄菜单功能可对场景中的模型进行部件移动和显隐控制，支持使用交互编辑器开发VR手柄的交互逻辑。</w:t>
            </w:r>
          </w:p>
        </w:tc>
        <w:tc>
          <w:tcPr>
            <w:tcW w:w="620" w:type="dxa"/>
            <w:tcBorders>
              <w:top w:val="single" w:color="000000" w:sz="4" w:space="0"/>
              <w:left w:val="single" w:color="000000" w:sz="4" w:space="0"/>
              <w:bottom w:val="single" w:color="000000" w:sz="4" w:space="0"/>
              <w:right w:val="single" w:color="000000" w:sz="4" w:space="0"/>
            </w:tcBorders>
            <w:vAlign w:val="center"/>
          </w:tcPr>
          <w:p w14:paraId="53D78334">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198EE296">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3B124CE1">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auto" w:sz="4" w:space="0"/>
            </w:tcBorders>
            <w:noWrap/>
            <w:vAlign w:val="center"/>
          </w:tcPr>
          <w:p w14:paraId="10596041">
            <w:pPr>
              <w:widowControl/>
              <w:jc w:val="center"/>
              <w:textAlignment w:val="center"/>
              <w:rPr>
                <w:rFonts w:ascii="宋体" w:hAnsi="宋体" w:cs="宋体"/>
                <w:color w:val="000000"/>
              </w:rPr>
            </w:pPr>
            <w:r>
              <w:rPr>
                <w:rFonts w:hint="eastAsia" w:ascii="宋体" w:hAnsi="宋体" w:cs="宋体"/>
                <w:color w:val="000000"/>
                <w:lang w:bidi="ar"/>
              </w:rPr>
              <w:t>10</w:t>
            </w:r>
          </w:p>
        </w:tc>
        <w:tc>
          <w:tcPr>
            <w:tcW w:w="1925" w:type="dxa"/>
            <w:gridSpan w:val="3"/>
            <w:tcBorders>
              <w:top w:val="single" w:color="auto" w:sz="4" w:space="0"/>
              <w:left w:val="single" w:color="auto" w:sz="4" w:space="0"/>
              <w:bottom w:val="single" w:color="auto" w:sz="4" w:space="0"/>
              <w:right w:val="single" w:color="000000" w:sz="4" w:space="0"/>
            </w:tcBorders>
            <w:vAlign w:val="center"/>
          </w:tcPr>
          <w:p w14:paraId="77FD7F4A">
            <w:pPr>
              <w:widowControl/>
              <w:jc w:val="center"/>
              <w:textAlignment w:val="center"/>
              <w:rPr>
                <w:rFonts w:ascii="宋体" w:hAnsi="宋体" w:cs="宋体"/>
                <w:color w:val="000000"/>
                <w:lang w:bidi="ar"/>
              </w:rPr>
            </w:pPr>
            <w:r>
              <w:rPr>
                <w:rFonts w:hint="eastAsia" w:ascii="宋体" w:hAnsi="宋体" w:cs="宋体"/>
                <w:color w:val="000000"/>
                <w:lang w:bidi="ar"/>
              </w:rPr>
              <w:t>3D主动立体眼镜</w:t>
            </w:r>
          </w:p>
        </w:tc>
        <w:tc>
          <w:tcPr>
            <w:tcW w:w="5430" w:type="dxa"/>
            <w:tcBorders>
              <w:top w:val="single" w:color="000000" w:sz="4" w:space="0"/>
              <w:left w:val="single" w:color="000000" w:sz="4" w:space="0"/>
              <w:bottom w:val="single" w:color="000000" w:sz="4" w:space="0"/>
              <w:right w:val="single" w:color="000000" w:sz="4" w:space="0"/>
            </w:tcBorders>
            <w:vAlign w:val="center"/>
          </w:tcPr>
          <w:p w14:paraId="40C7E903">
            <w:pPr>
              <w:widowControl/>
              <w:textAlignment w:val="center"/>
              <w:rPr>
                <w:rFonts w:ascii="宋体" w:hAnsi="宋体" w:cs="宋体"/>
                <w:color w:val="000000"/>
                <w:lang w:bidi="ar"/>
              </w:rPr>
            </w:pPr>
            <w:r>
              <w:rPr>
                <w:rFonts w:hint="eastAsia" w:ascii="宋体" w:hAnsi="宋体" w:cs="宋体"/>
                <w:color w:val="000000"/>
                <w:lang w:bidi="ar"/>
              </w:rPr>
              <w:t>1.光学特性：工作模式为液晶快门式，透过率：36%（TYP.），对比度1000</w:t>
            </w:r>
            <w:r>
              <w:rPr>
                <w:rFonts w:hint="eastAsia" w:ascii="宋体" w:hAnsi="宋体" w:cs="宋体"/>
                <w:color w:val="000000"/>
                <w:lang w:eastAsia="zh-CN" w:bidi="ar"/>
              </w:rPr>
              <w:t>:</w:t>
            </w:r>
            <w:r>
              <w:rPr>
                <w:rFonts w:hint="eastAsia" w:ascii="宋体" w:hAnsi="宋体" w:cs="宋体"/>
                <w:color w:val="000000"/>
                <w:lang w:bidi="ar"/>
              </w:rPr>
              <w:t>1 ；</w:t>
            </w:r>
          </w:p>
          <w:p w14:paraId="7EB1DADF">
            <w:pPr>
              <w:widowControl/>
              <w:textAlignment w:val="center"/>
              <w:rPr>
                <w:rFonts w:ascii="宋体" w:hAnsi="宋体" w:cs="宋体"/>
                <w:color w:val="000000"/>
                <w:lang w:bidi="ar"/>
              </w:rPr>
            </w:pPr>
            <w:r>
              <w:rPr>
                <w:rFonts w:hint="eastAsia" w:ascii="宋体" w:hAnsi="宋体" w:cs="宋体"/>
                <w:color w:val="000000"/>
                <w:lang w:bidi="ar"/>
              </w:rPr>
              <w:t>2.供电方式：充电型眼镜，电池类型为3.7V锂电池，容量≥80Mah；</w:t>
            </w:r>
          </w:p>
          <w:p w14:paraId="2BE96AF4">
            <w:pPr>
              <w:widowControl/>
              <w:textAlignment w:val="center"/>
              <w:rPr>
                <w:rFonts w:ascii="宋体" w:hAnsi="宋体" w:cs="宋体"/>
                <w:color w:val="000000"/>
                <w:lang w:bidi="ar"/>
              </w:rPr>
            </w:pPr>
            <w:r>
              <w:rPr>
                <w:rFonts w:hint="eastAsia" w:ascii="宋体" w:hAnsi="宋体" w:cs="宋体"/>
                <w:color w:val="000000"/>
                <w:lang w:bidi="ar"/>
              </w:rPr>
              <w:t>3.连续工作时间：不低于35小时；</w:t>
            </w:r>
          </w:p>
          <w:p w14:paraId="01991C8B">
            <w:pPr>
              <w:widowControl/>
              <w:textAlignment w:val="center"/>
              <w:rPr>
                <w:rFonts w:ascii="宋体" w:hAnsi="宋体" w:cs="宋体"/>
                <w:color w:val="000000"/>
                <w:lang w:bidi="ar"/>
              </w:rPr>
            </w:pPr>
            <w:r>
              <w:rPr>
                <w:rFonts w:hint="eastAsia" w:ascii="宋体" w:hAnsi="宋体" w:cs="宋体"/>
                <w:color w:val="000000"/>
                <w:lang w:bidi="ar"/>
              </w:rPr>
              <w:t>4.额定工作电流：≤1.2mA；</w:t>
            </w:r>
          </w:p>
          <w:p w14:paraId="67AD8751">
            <w:pPr>
              <w:widowControl/>
              <w:textAlignment w:val="center"/>
              <w:rPr>
                <w:rFonts w:ascii="宋体" w:hAnsi="宋体" w:cs="宋体"/>
                <w:color w:val="000000"/>
                <w:lang w:bidi="ar"/>
              </w:rPr>
            </w:pPr>
            <w:r>
              <w:rPr>
                <w:rFonts w:hint="eastAsia" w:ascii="宋体" w:hAnsi="宋体" w:cs="宋体"/>
                <w:color w:val="000000"/>
                <w:lang w:bidi="ar"/>
              </w:rPr>
              <w:t>5.充电时间：充满电2.5小时以内；</w:t>
            </w:r>
          </w:p>
          <w:p w14:paraId="124FE4E8">
            <w:pPr>
              <w:widowControl/>
              <w:textAlignment w:val="center"/>
              <w:rPr>
                <w:rFonts w:ascii="宋体" w:hAnsi="宋体" w:cs="宋体"/>
                <w:color w:val="000000"/>
                <w:lang w:bidi="ar"/>
              </w:rPr>
            </w:pPr>
            <w:r>
              <w:rPr>
                <w:rFonts w:hint="eastAsia" w:ascii="宋体" w:hAnsi="宋体" w:cs="宋体"/>
                <w:color w:val="000000"/>
                <w:lang w:bidi="ar"/>
              </w:rPr>
              <w:t>6.温度特性：工作温度为0℃~45℃，存储温度为-10℃~60℃；</w:t>
            </w:r>
          </w:p>
          <w:p w14:paraId="5A11E6E3">
            <w:pPr>
              <w:widowControl/>
              <w:textAlignment w:val="center"/>
              <w:rPr>
                <w:rFonts w:ascii="宋体" w:hAnsi="宋体" w:cs="宋体"/>
                <w:color w:val="000000"/>
                <w:lang w:bidi="ar"/>
              </w:rPr>
            </w:pPr>
            <w:r>
              <w:rPr>
                <w:rFonts w:hint="eastAsia" w:ascii="宋体" w:hAnsi="宋体" w:cs="宋体"/>
                <w:color w:val="000000"/>
                <w:lang w:bidi="ar"/>
              </w:rPr>
              <w:t>7.轻量级眼镜：重量≤40g；</w:t>
            </w:r>
          </w:p>
        </w:tc>
        <w:tc>
          <w:tcPr>
            <w:tcW w:w="620" w:type="dxa"/>
            <w:tcBorders>
              <w:top w:val="single" w:color="000000" w:sz="4" w:space="0"/>
              <w:left w:val="single" w:color="000000" w:sz="4" w:space="0"/>
              <w:bottom w:val="single" w:color="000000" w:sz="4" w:space="0"/>
              <w:right w:val="single" w:color="000000" w:sz="4" w:space="0"/>
            </w:tcBorders>
            <w:vAlign w:val="center"/>
          </w:tcPr>
          <w:p w14:paraId="7B6B276D">
            <w:pPr>
              <w:widowControl/>
              <w:jc w:val="center"/>
              <w:textAlignment w:val="center"/>
              <w:rPr>
                <w:rFonts w:ascii="宋体" w:hAnsi="宋体" w:cs="宋体"/>
                <w:color w:val="000000"/>
              </w:rPr>
            </w:pPr>
            <w:r>
              <w:rPr>
                <w:rFonts w:hint="eastAsia" w:ascii="宋体" w:hAnsi="宋体" w:cs="宋体"/>
                <w:color w:val="000000"/>
                <w:lang w:bidi="ar"/>
              </w:rPr>
              <w:t>48</w:t>
            </w:r>
          </w:p>
        </w:tc>
        <w:tc>
          <w:tcPr>
            <w:tcW w:w="550" w:type="dxa"/>
            <w:tcBorders>
              <w:top w:val="single" w:color="000000" w:sz="4" w:space="0"/>
              <w:left w:val="single" w:color="000000" w:sz="4" w:space="0"/>
              <w:bottom w:val="single" w:color="000000" w:sz="4" w:space="0"/>
              <w:right w:val="single" w:color="000000" w:sz="4" w:space="0"/>
            </w:tcBorders>
            <w:vAlign w:val="center"/>
          </w:tcPr>
          <w:p w14:paraId="5ADFF764">
            <w:pPr>
              <w:widowControl/>
              <w:jc w:val="center"/>
              <w:textAlignment w:val="center"/>
              <w:rPr>
                <w:rFonts w:ascii="宋体" w:hAnsi="宋体" w:cs="宋体"/>
                <w:color w:val="000000"/>
              </w:rPr>
            </w:pPr>
            <w:r>
              <w:rPr>
                <w:rFonts w:hint="eastAsia" w:ascii="宋体" w:hAnsi="宋体" w:cs="宋体"/>
                <w:color w:val="000000"/>
                <w:lang w:bidi="ar"/>
              </w:rPr>
              <w:t>副</w:t>
            </w:r>
          </w:p>
        </w:tc>
      </w:tr>
      <w:tr w14:paraId="256C2E5A">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1BB6BAD">
            <w:pPr>
              <w:widowControl/>
              <w:jc w:val="center"/>
              <w:textAlignment w:val="center"/>
              <w:rPr>
                <w:rFonts w:ascii="宋体" w:hAnsi="宋体" w:cs="宋体"/>
                <w:color w:val="000000"/>
              </w:rPr>
            </w:pPr>
            <w:r>
              <w:rPr>
                <w:rFonts w:hint="eastAsia" w:ascii="宋体" w:hAnsi="宋体" w:cs="宋体"/>
                <w:color w:val="000000"/>
                <w:lang w:bidi="ar"/>
              </w:rPr>
              <w:t>11</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45D48148">
            <w:pPr>
              <w:widowControl/>
              <w:jc w:val="center"/>
              <w:textAlignment w:val="center"/>
              <w:rPr>
                <w:rFonts w:ascii="宋体" w:hAnsi="宋体" w:cs="宋体"/>
                <w:color w:val="000000"/>
              </w:rPr>
            </w:pPr>
            <w:r>
              <w:rPr>
                <w:rFonts w:hint="eastAsia" w:ascii="宋体" w:hAnsi="宋体" w:cs="宋体"/>
                <w:color w:val="000000"/>
                <w:lang w:bidi="ar"/>
              </w:rPr>
              <w:t>充电柜</w:t>
            </w:r>
          </w:p>
        </w:tc>
        <w:tc>
          <w:tcPr>
            <w:tcW w:w="5430" w:type="dxa"/>
            <w:tcBorders>
              <w:top w:val="single" w:color="000000" w:sz="4" w:space="0"/>
              <w:left w:val="single" w:color="000000" w:sz="4" w:space="0"/>
              <w:bottom w:val="single" w:color="000000" w:sz="4" w:space="0"/>
              <w:right w:val="single" w:color="000000" w:sz="4" w:space="0"/>
            </w:tcBorders>
            <w:vAlign w:val="center"/>
          </w:tcPr>
          <w:p w14:paraId="4299349B">
            <w:pPr>
              <w:widowControl/>
              <w:textAlignment w:val="center"/>
              <w:rPr>
                <w:rFonts w:ascii="宋体" w:hAnsi="宋体" w:cs="宋体"/>
                <w:color w:val="000000"/>
                <w:lang w:bidi="ar"/>
              </w:rPr>
            </w:pPr>
            <w:r>
              <w:rPr>
                <w:rFonts w:hint="eastAsia" w:ascii="宋体" w:hAnsi="宋体" w:cs="宋体"/>
                <w:color w:val="000000"/>
                <w:lang w:bidi="ar"/>
              </w:rPr>
              <w:t>1、材质：冷轧钢主体，柜门可以270度打开，便于用户取用设备及散热。</w:t>
            </w:r>
          </w:p>
          <w:p w14:paraId="75F043B7">
            <w:pPr>
              <w:widowControl/>
              <w:textAlignment w:val="center"/>
              <w:rPr>
                <w:rFonts w:ascii="宋体" w:hAnsi="宋体" w:cs="宋体"/>
                <w:color w:val="000000"/>
                <w:lang w:bidi="ar"/>
              </w:rPr>
            </w:pPr>
            <w:r>
              <w:rPr>
                <w:rFonts w:hint="eastAsia" w:ascii="宋体" w:hAnsi="宋体" w:cs="宋体"/>
                <w:color w:val="000000"/>
                <w:lang w:bidi="ar"/>
              </w:rPr>
              <w:t>2、外观：柜体采用圆弧设计，两侧内嵌式一体防静电ABS推拉把手；采用万向静音脚轮，便于移动。</w:t>
            </w:r>
          </w:p>
          <w:p w14:paraId="40B59213">
            <w:pPr>
              <w:widowControl/>
              <w:textAlignment w:val="center"/>
              <w:rPr>
                <w:rFonts w:ascii="宋体" w:hAnsi="宋体" w:cs="宋体"/>
                <w:color w:val="000000"/>
                <w:lang w:bidi="ar"/>
              </w:rPr>
            </w:pPr>
            <w:r>
              <w:rPr>
                <w:rFonts w:hint="eastAsia" w:ascii="宋体" w:hAnsi="宋体" w:cs="宋体"/>
                <w:color w:val="000000"/>
                <w:lang w:bidi="ar"/>
              </w:rPr>
              <w:t>3、外形尺寸：不低于765*520*1000mm</w:t>
            </w:r>
          </w:p>
          <w:p w14:paraId="6F12FBA2">
            <w:pPr>
              <w:widowControl/>
              <w:textAlignment w:val="center"/>
              <w:rPr>
                <w:rFonts w:ascii="宋体" w:hAnsi="宋体" w:cs="宋体"/>
                <w:color w:val="000000"/>
                <w:lang w:bidi="ar"/>
              </w:rPr>
            </w:pPr>
            <w:r>
              <w:rPr>
                <w:rFonts w:hint="eastAsia" w:ascii="宋体" w:hAnsi="宋体" w:cs="宋体"/>
                <w:color w:val="000000"/>
                <w:lang w:bidi="ar"/>
              </w:rPr>
              <w:t>4、独立开关，散热通风。</w:t>
            </w:r>
          </w:p>
        </w:tc>
        <w:tc>
          <w:tcPr>
            <w:tcW w:w="620" w:type="dxa"/>
            <w:tcBorders>
              <w:top w:val="single" w:color="000000" w:sz="4" w:space="0"/>
              <w:left w:val="single" w:color="000000" w:sz="4" w:space="0"/>
              <w:bottom w:val="single" w:color="000000" w:sz="4" w:space="0"/>
              <w:right w:val="single" w:color="000000" w:sz="4" w:space="0"/>
            </w:tcBorders>
            <w:vAlign w:val="center"/>
          </w:tcPr>
          <w:p w14:paraId="7BD1F7AB">
            <w:pPr>
              <w:widowControl/>
              <w:jc w:val="center"/>
              <w:textAlignment w:val="center"/>
              <w:rPr>
                <w:rFonts w:ascii="宋体" w:hAnsi="宋体" w:cs="宋体"/>
                <w:color w:val="000000"/>
              </w:rPr>
            </w:pPr>
            <w:r>
              <w:rPr>
                <w:rFonts w:hint="eastAsia" w:ascii="宋体" w:hAnsi="宋体" w:cs="宋体"/>
                <w:color w:val="000000"/>
                <w:lang w:bidi="ar"/>
              </w:rPr>
              <w:t>2</w:t>
            </w:r>
          </w:p>
        </w:tc>
        <w:tc>
          <w:tcPr>
            <w:tcW w:w="550" w:type="dxa"/>
            <w:tcBorders>
              <w:top w:val="single" w:color="000000" w:sz="4" w:space="0"/>
              <w:left w:val="single" w:color="000000" w:sz="4" w:space="0"/>
              <w:bottom w:val="single" w:color="000000" w:sz="4" w:space="0"/>
              <w:right w:val="single" w:color="000000" w:sz="4" w:space="0"/>
            </w:tcBorders>
            <w:vAlign w:val="center"/>
          </w:tcPr>
          <w:p w14:paraId="27760DF6">
            <w:pPr>
              <w:widowControl/>
              <w:jc w:val="center"/>
              <w:textAlignment w:val="center"/>
              <w:rPr>
                <w:rFonts w:ascii="宋体" w:hAnsi="宋体" w:cs="宋体"/>
                <w:color w:val="000000"/>
              </w:rPr>
            </w:pPr>
            <w:r>
              <w:rPr>
                <w:rFonts w:hint="eastAsia" w:ascii="宋体" w:hAnsi="宋体" w:cs="宋体"/>
                <w:color w:val="000000"/>
                <w:lang w:bidi="ar"/>
              </w:rPr>
              <w:t>个</w:t>
            </w:r>
          </w:p>
        </w:tc>
      </w:tr>
      <w:tr w14:paraId="3ADE2387">
        <w:tblPrEx>
          <w:tblCellMar>
            <w:top w:w="0" w:type="dxa"/>
            <w:left w:w="108" w:type="dxa"/>
            <w:bottom w:w="0" w:type="dxa"/>
            <w:right w:w="108" w:type="dxa"/>
          </w:tblCellMar>
        </w:tblPrEx>
        <w:trPr>
          <w:trHeight w:val="60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BF4A618">
            <w:pPr>
              <w:widowControl/>
              <w:jc w:val="center"/>
              <w:textAlignment w:val="center"/>
              <w:rPr>
                <w:rFonts w:ascii="宋体" w:hAnsi="宋体" w:cs="宋体"/>
                <w:color w:val="000000"/>
              </w:rPr>
            </w:pPr>
            <w:r>
              <w:rPr>
                <w:rFonts w:hint="eastAsia" w:ascii="宋体" w:hAnsi="宋体" w:cs="宋体"/>
                <w:color w:val="000000"/>
                <w:lang w:bidi="ar"/>
              </w:rPr>
              <w:t>12</w:t>
            </w:r>
          </w:p>
        </w:tc>
        <w:tc>
          <w:tcPr>
            <w:tcW w:w="1925" w:type="dxa"/>
            <w:gridSpan w:val="3"/>
            <w:tcBorders>
              <w:left w:val="single" w:color="000000" w:sz="4" w:space="0"/>
              <w:bottom w:val="single" w:color="000000" w:sz="4" w:space="0"/>
              <w:right w:val="single" w:color="000000" w:sz="4" w:space="0"/>
            </w:tcBorders>
            <w:vAlign w:val="center"/>
          </w:tcPr>
          <w:p w14:paraId="0158972C">
            <w:pPr>
              <w:widowControl/>
              <w:jc w:val="center"/>
              <w:textAlignment w:val="center"/>
              <w:rPr>
                <w:rFonts w:ascii="宋体" w:hAnsi="宋体" w:cs="宋体"/>
                <w:color w:val="000000"/>
                <w:lang w:bidi="ar"/>
              </w:rPr>
            </w:pPr>
            <w:r>
              <w:rPr>
                <w:rFonts w:hint="eastAsia" w:ascii="宋体" w:hAnsi="宋体" w:cs="宋体"/>
              </w:rPr>
              <w:t>VR教学资源存储与管理平台</w:t>
            </w:r>
          </w:p>
        </w:tc>
        <w:tc>
          <w:tcPr>
            <w:tcW w:w="5430" w:type="dxa"/>
            <w:tcBorders>
              <w:top w:val="single" w:color="000000" w:sz="4" w:space="0"/>
              <w:left w:val="single" w:color="000000" w:sz="4" w:space="0"/>
              <w:bottom w:val="single" w:color="000000" w:sz="4" w:space="0"/>
              <w:right w:val="single" w:color="000000" w:sz="4" w:space="0"/>
            </w:tcBorders>
            <w:vAlign w:val="center"/>
          </w:tcPr>
          <w:p w14:paraId="65C7419B">
            <w:pPr>
              <w:widowControl/>
              <w:textAlignment w:val="center"/>
              <w:rPr>
                <w:rFonts w:ascii="宋体" w:hAnsi="宋体" w:cs="宋体"/>
                <w:color w:val="000000"/>
                <w:lang w:bidi="ar"/>
              </w:rPr>
            </w:pPr>
            <w:r>
              <w:rPr>
                <w:rFonts w:hint="eastAsia" w:ascii="宋体" w:hAnsi="宋体" w:cs="宋体"/>
                <w:color w:val="000000"/>
                <w:lang w:bidi="ar"/>
              </w:rPr>
              <w:t>1.平台功能有：账号登录、数据看板、本地资源上传、VR视频设置与添加、3D模型预览等。</w:t>
            </w:r>
          </w:p>
          <w:p w14:paraId="45F80275">
            <w:pPr>
              <w:widowControl/>
              <w:textAlignment w:val="center"/>
              <w:rPr>
                <w:rFonts w:ascii="宋体" w:hAnsi="宋体" w:cs="宋体"/>
                <w:color w:val="000000"/>
                <w:lang w:bidi="ar"/>
              </w:rPr>
            </w:pPr>
            <w:r>
              <w:rPr>
                <w:rFonts w:hint="eastAsia" w:ascii="宋体" w:hAnsi="宋体" w:cs="宋体"/>
                <w:color w:val="000000"/>
                <w:lang w:bidi="ar"/>
              </w:rPr>
              <w:t>2.需支持以图表的形式实时统计LED大屏的运行情况、使用情况；</w:t>
            </w:r>
          </w:p>
          <w:p w14:paraId="5C9BCB36">
            <w:pPr>
              <w:widowControl/>
              <w:textAlignment w:val="center"/>
              <w:rPr>
                <w:rFonts w:ascii="宋体" w:hAnsi="宋体" w:cs="宋体"/>
                <w:color w:val="000000"/>
                <w:lang w:bidi="ar"/>
              </w:rPr>
            </w:pPr>
            <w:r>
              <w:rPr>
                <w:rFonts w:hint="eastAsia" w:ascii="宋体" w:hAnsi="宋体" w:cs="宋体"/>
                <w:color w:val="000000"/>
                <w:lang w:bidi="ar"/>
              </w:rPr>
              <w:t>3.需支持课程资源的图文介绍，支持以图表的形式实时统计资源的使用情况；</w:t>
            </w:r>
          </w:p>
          <w:p w14:paraId="369FFCEF">
            <w:pPr>
              <w:widowControl/>
              <w:textAlignment w:val="center"/>
              <w:rPr>
                <w:rFonts w:ascii="宋体" w:hAnsi="宋体" w:cs="宋体"/>
                <w:color w:val="000000"/>
                <w:lang w:bidi="ar"/>
              </w:rPr>
            </w:pPr>
            <w:r>
              <w:rPr>
                <w:rFonts w:hint="eastAsia" w:ascii="宋体" w:hAnsi="宋体" w:cs="宋体"/>
                <w:color w:val="000000"/>
                <w:lang w:bidi="ar"/>
              </w:rPr>
              <w:t>4.需支持管理和播放 .MP4格式的360度、180度VR视频</w:t>
            </w:r>
            <w:r>
              <w:rPr>
                <w:rFonts w:hint="eastAsia" w:ascii="宋体" w:hAnsi="宋体" w:cs="宋体"/>
                <w:color w:val="000000"/>
                <w:lang w:eastAsia="zh-CN" w:bidi="ar"/>
              </w:rPr>
              <w:t>。</w:t>
            </w:r>
          </w:p>
          <w:p w14:paraId="559A1641">
            <w:pPr>
              <w:widowControl/>
              <w:textAlignment w:val="center"/>
              <w:rPr>
                <w:rFonts w:ascii="宋体" w:hAnsi="宋体" w:cs="宋体"/>
                <w:color w:val="000000"/>
                <w:lang w:bidi="ar"/>
              </w:rPr>
            </w:pPr>
            <w:r>
              <w:rPr>
                <w:rFonts w:hint="eastAsia" w:ascii="宋体" w:hAnsi="宋体" w:cs="宋体"/>
                <w:color w:val="000000"/>
                <w:lang w:bidi="ar"/>
              </w:rPr>
              <w:t>5.需支持管理、播放 .jpg格式的全景图片，软件自身提供至少10张全景图片；</w:t>
            </w:r>
          </w:p>
          <w:p w14:paraId="11773A01">
            <w:pPr>
              <w:widowControl/>
              <w:textAlignment w:val="center"/>
              <w:rPr>
                <w:rFonts w:ascii="宋体" w:hAnsi="宋体" w:cs="宋体"/>
                <w:color w:val="000000"/>
                <w:lang w:bidi="ar"/>
              </w:rPr>
            </w:pPr>
            <w:r>
              <w:rPr>
                <w:rFonts w:hint="eastAsia" w:ascii="宋体" w:hAnsi="宋体" w:cs="宋体"/>
                <w:color w:val="000000"/>
                <w:lang w:bidi="ar"/>
              </w:rPr>
              <w:t>6.需提供不同专业类别的模型文件，支持在线预览和管理</w:t>
            </w:r>
            <w:r>
              <w:rPr>
                <w:rFonts w:hint="eastAsia" w:ascii="宋体" w:hAnsi="宋体" w:cs="宋体"/>
                <w:color w:val="000000"/>
                <w:lang w:eastAsia="zh-CN" w:bidi="ar"/>
              </w:rPr>
              <w:t>。</w:t>
            </w:r>
            <w:r>
              <w:rPr>
                <w:rFonts w:hint="eastAsia" w:ascii="宋体" w:hAnsi="宋体" w:cs="宋体"/>
                <w:color w:val="000000"/>
                <w:lang w:bidi="ar"/>
              </w:rPr>
              <w:t>obj、fbx、gltf格式的模型文件；需提供至少100个优质模型文件；</w:t>
            </w:r>
          </w:p>
          <w:p w14:paraId="33DBECD6">
            <w:pPr>
              <w:widowControl/>
              <w:textAlignment w:val="center"/>
              <w:rPr>
                <w:rFonts w:ascii="宋体" w:hAnsi="宋体" w:cs="宋体"/>
                <w:color w:val="000000"/>
                <w:lang w:bidi="ar"/>
              </w:rPr>
            </w:pPr>
            <w:r>
              <w:rPr>
                <w:rFonts w:hint="eastAsia" w:ascii="宋体" w:hAnsi="宋体" w:cs="宋体"/>
                <w:color w:val="000000"/>
                <w:lang w:bidi="ar"/>
              </w:rPr>
              <w:t>7.支持运行.EXE格式的内容；</w:t>
            </w:r>
          </w:p>
          <w:p w14:paraId="4B97E45F">
            <w:pPr>
              <w:widowControl/>
              <w:textAlignment w:val="center"/>
              <w:rPr>
                <w:rFonts w:ascii="宋体" w:hAnsi="宋体" w:cs="宋体"/>
                <w:color w:val="000000"/>
                <w:lang w:bidi="ar"/>
              </w:rPr>
            </w:pPr>
            <w:r>
              <w:rPr>
                <w:rFonts w:hint="eastAsia" w:ascii="宋体" w:hAnsi="宋体" w:cs="宋体"/>
                <w:color w:val="000000"/>
                <w:lang w:bidi="ar"/>
              </w:rPr>
              <w:t>8.支持多平台、多应用开发格式： 支持国产引擎、Unity3D、Unreal等多种引擎开发的内容；</w:t>
            </w:r>
          </w:p>
          <w:p w14:paraId="2A8274A5">
            <w:pPr>
              <w:widowControl/>
              <w:textAlignment w:val="center"/>
              <w:rPr>
                <w:rFonts w:ascii="宋体" w:hAnsi="宋体" w:cs="宋体"/>
                <w:color w:val="000000"/>
                <w:lang w:bidi="ar"/>
              </w:rPr>
            </w:pPr>
            <w:r>
              <w:rPr>
                <w:rFonts w:hint="eastAsia" w:ascii="宋体" w:hAnsi="宋体" w:cs="宋体"/>
                <w:color w:val="000000"/>
                <w:lang w:bidi="ar"/>
              </w:rPr>
              <w:t>9.需支持对本地的VR内容及虚拟仿真内容进行添加和删除，支持按专业或行业标签对3D资源进行分类，方便对内容进行统一管理；</w:t>
            </w:r>
          </w:p>
          <w:p w14:paraId="13D2437E">
            <w:pPr>
              <w:widowControl/>
              <w:textAlignment w:val="center"/>
              <w:rPr>
                <w:rFonts w:ascii="宋体" w:hAnsi="宋体" w:cs="宋体"/>
                <w:color w:val="000000"/>
                <w:lang w:bidi="ar"/>
              </w:rPr>
            </w:pPr>
            <w:r>
              <w:rPr>
                <w:rFonts w:hint="eastAsia" w:ascii="宋体" w:hAnsi="宋体" w:cs="宋体"/>
                <w:color w:val="000000"/>
                <w:lang w:bidi="ar"/>
              </w:rPr>
              <w:t xml:space="preserve">▲10.需提供至少教学资源内容10个，支持从云平台下载VR内容到本地，并进行体验、浏览、管理； </w:t>
            </w:r>
          </w:p>
          <w:p w14:paraId="4B96BE59">
            <w:pPr>
              <w:widowControl/>
              <w:textAlignment w:val="center"/>
              <w:rPr>
                <w:rFonts w:ascii="宋体" w:hAnsi="宋体" w:cs="宋体"/>
                <w:color w:val="000000"/>
                <w:lang w:bidi="ar"/>
              </w:rPr>
            </w:pPr>
            <w:r>
              <w:rPr>
                <w:rFonts w:hint="eastAsia" w:ascii="宋体" w:hAnsi="宋体" w:cs="宋体"/>
                <w:color w:val="000000"/>
                <w:lang w:bidi="ar"/>
              </w:rPr>
              <w:t>11. 需有单独软件入口，使用方可以登录账户体验VR内容，利用本地VR环境运行相应的VR资源；</w:t>
            </w:r>
          </w:p>
          <w:p w14:paraId="0B65F6F4">
            <w:pPr>
              <w:widowControl/>
              <w:textAlignment w:val="center"/>
              <w:rPr>
                <w:rFonts w:ascii="宋体" w:hAnsi="宋体" w:cs="宋体"/>
                <w:color w:val="000000"/>
                <w:lang w:bidi="ar"/>
              </w:rPr>
            </w:pPr>
            <w:r>
              <w:rPr>
                <w:rFonts w:hint="eastAsia" w:ascii="宋体" w:hAnsi="宋体" w:cs="宋体"/>
                <w:color w:val="000000"/>
                <w:lang w:bidi="ar"/>
              </w:rPr>
              <w:t>12. 需具备网络应急处理功能：在网络中断的情况下，恢复网络后支持断点续传，提高资源下载的稳定性；</w:t>
            </w:r>
          </w:p>
        </w:tc>
        <w:tc>
          <w:tcPr>
            <w:tcW w:w="620" w:type="dxa"/>
            <w:tcBorders>
              <w:top w:val="single" w:color="000000" w:sz="4" w:space="0"/>
              <w:left w:val="single" w:color="000000" w:sz="4" w:space="0"/>
              <w:bottom w:val="single" w:color="000000" w:sz="4" w:space="0"/>
              <w:right w:val="single" w:color="000000" w:sz="4" w:space="0"/>
            </w:tcBorders>
            <w:vAlign w:val="center"/>
          </w:tcPr>
          <w:p w14:paraId="35AC7849">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5020AB92">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438A7B5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00DF498">
            <w:pPr>
              <w:widowControl/>
              <w:jc w:val="center"/>
              <w:textAlignment w:val="center"/>
              <w:rPr>
                <w:rFonts w:ascii="宋体" w:hAnsi="宋体" w:cs="宋体"/>
                <w:color w:val="000000"/>
              </w:rPr>
            </w:pPr>
            <w:r>
              <w:rPr>
                <w:rFonts w:hint="eastAsia" w:ascii="宋体" w:hAnsi="宋体" w:cs="宋体"/>
                <w:color w:val="000000"/>
                <w:lang w:bidi="ar"/>
              </w:rPr>
              <w:t>13</w:t>
            </w:r>
          </w:p>
        </w:tc>
        <w:tc>
          <w:tcPr>
            <w:tcW w:w="582" w:type="dxa"/>
            <w:gridSpan w:val="2"/>
            <w:vMerge w:val="restart"/>
            <w:tcBorders>
              <w:top w:val="single" w:color="000000" w:sz="4" w:space="0"/>
              <w:left w:val="single" w:color="000000" w:sz="4" w:space="0"/>
              <w:right w:val="single" w:color="000000" w:sz="4" w:space="0"/>
            </w:tcBorders>
            <w:noWrap/>
            <w:vAlign w:val="center"/>
          </w:tcPr>
          <w:p w14:paraId="038B9EC0">
            <w:pPr>
              <w:widowControl/>
              <w:jc w:val="center"/>
              <w:textAlignment w:val="center"/>
              <w:rPr>
                <w:rFonts w:ascii="宋体" w:hAnsi="宋体" w:cs="宋体"/>
                <w:color w:val="000000"/>
                <w:lang w:bidi="ar"/>
              </w:rPr>
            </w:pPr>
            <w:r>
              <w:rPr>
                <w:rFonts w:hint="eastAsia" w:ascii="宋体" w:hAnsi="宋体" w:cs="宋体"/>
                <w:color w:val="000000"/>
                <w:lang w:bidi="ar"/>
              </w:rPr>
              <w:t>共享资源</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53D4B446">
            <w:pPr>
              <w:widowControl/>
              <w:jc w:val="center"/>
              <w:textAlignment w:val="center"/>
              <w:rPr>
                <w:rFonts w:ascii="宋体" w:hAnsi="宋体" w:cs="宋体"/>
                <w:color w:val="000000"/>
                <w:lang w:bidi="ar"/>
              </w:rPr>
            </w:pPr>
            <w:r>
              <w:rPr>
                <w:rFonts w:hint="eastAsia" w:ascii="宋体" w:hAnsi="宋体" w:cs="宋体"/>
                <w:color w:val="000000"/>
                <w:lang w:bidi="ar"/>
              </w:rPr>
              <w:t>学校教室资源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0CE2AA25">
            <w:pPr>
              <w:widowControl/>
              <w:textAlignment w:val="center"/>
              <w:rPr>
                <w:rFonts w:ascii="宋体" w:hAnsi="宋体" w:cs="宋体"/>
                <w:color w:val="000000"/>
                <w:lang w:bidi="ar"/>
              </w:rPr>
            </w:pPr>
            <w:r>
              <w:rPr>
                <w:rFonts w:hint="eastAsia" w:ascii="宋体" w:hAnsi="宋体" w:cs="宋体"/>
                <w:color w:val="000000"/>
                <w:lang w:bidi="ar"/>
              </w:rPr>
              <w:t>1.对教室进行1</w:t>
            </w:r>
            <w:r>
              <w:rPr>
                <w:rFonts w:hint="eastAsia" w:ascii="宋体" w:hAnsi="宋体" w:cs="宋体"/>
                <w:color w:val="000000"/>
                <w:lang w:eastAsia="zh-CN" w:bidi="ar"/>
              </w:rPr>
              <w:t>:</w:t>
            </w:r>
            <w:r>
              <w:rPr>
                <w:rFonts w:hint="eastAsia" w:ascii="宋体" w:hAnsi="宋体" w:cs="宋体"/>
                <w:color w:val="000000"/>
                <w:lang w:bidi="ar"/>
              </w:rPr>
              <w:t>1建模还原，让场景真实美观，包括教学楼、教室内的物品（桌椅套装、黑板、风扇、教室讲台及其上物品、讲台旁储物柜、教室后方储物柜等等）</w:t>
            </w:r>
          </w:p>
          <w:p w14:paraId="77B01FFE">
            <w:pPr>
              <w:widowControl/>
              <w:textAlignment w:val="center"/>
              <w:rPr>
                <w:rFonts w:ascii="宋体" w:hAnsi="宋体" w:cs="宋体"/>
                <w:color w:val="000000"/>
                <w:lang w:bidi="ar"/>
              </w:rPr>
            </w:pPr>
            <w:r>
              <w:rPr>
                <w:rFonts w:hint="eastAsia" w:ascii="宋体" w:hAnsi="宋体" w:cs="宋体"/>
                <w:color w:val="000000"/>
                <w:lang w:bidi="ar"/>
              </w:rPr>
              <w:t>2.在场景中是第一人称视角，可在场景中自由移动，能更近距离观察场景的环境并可以与场景或界面中出现的按钮进行交互。</w:t>
            </w:r>
          </w:p>
          <w:p w14:paraId="5F351B73">
            <w:pPr>
              <w:widowControl/>
              <w:textAlignment w:val="center"/>
              <w:rPr>
                <w:rFonts w:ascii="宋体" w:hAnsi="宋体" w:cs="宋体"/>
                <w:color w:val="000000"/>
                <w:lang w:bidi="ar"/>
              </w:rPr>
            </w:pPr>
            <w:r>
              <w:rPr>
                <w:rFonts w:hint="eastAsia" w:ascii="宋体" w:hAnsi="宋体" w:cs="宋体"/>
                <w:color w:val="000000"/>
                <w:lang w:bidi="ar"/>
              </w:rPr>
              <w:t>3.教室外漫游，会穿过两行树之间的走廊直达教学楼门口，靠近门口，教学楼大门为自动打开效果。</w:t>
            </w:r>
          </w:p>
          <w:p w14:paraId="16D27053">
            <w:pPr>
              <w:widowControl/>
              <w:textAlignment w:val="center"/>
              <w:rPr>
                <w:rFonts w:ascii="宋体" w:hAnsi="宋体" w:cs="宋体"/>
                <w:color w:val="000000"/>
                <w:lang w:bidi="ar"/>
              </w:rPr>
            </w:pPr>
            <w:r>
              <w:rPr>
                <w:rFonts w:hint="eastAsia" w:ascii="宋体" w:hAnsi="宋体" w:cs="宋体"/>
                <w:color w:val="000000"/>
                <w:lang w:bidi="ar"/>
              </w:rPr>
              <w:t>4.进入自动门后，进入教室前，通过点击打开教室门。进入教室点击相应开灯按钮开灯，根据提示进行打开视频等操作。</w:t>
            </w:r>
          </w:p>
          <w:p w14:paraId="75AF33CD">
            <w:pPr>
              <w:widowControl/>
              <w:textAlignment w:val="center"/>
              <w:rPr>
                <w:rFonts w:ascii="宋体" w:hAnsi="宋体" w:cs="宋体"/>
                <w:color w:val="000000"/>
                <w:lang w:bidi="ar"/>
              </w:rPr>
            </w:pPr>
            <w:r>
              <w:rPr>
                <w:rFonts w:hint="eastAsia" w:ascii="宋体" w:hAnsi="宋体" w:cs="宋体"/>
                <w:color w:val="000000"/>
                <w:lang w:bidi="ar"/>
              </w:rPr>
              <w:t>5.点击视频播放按键后，教室后方会出现光圈，用户可进入光圈中，结束任务。</w:t>
            </w:r>
          </w:p>
        </w:tc>
        <w:tc>
          <w:tcPr>
            <w:tcW w:w="620" w:type="dxa"/>
            <w:tcBorders>
              <w:top w:val="single" w:color="000000" w:sz="4" w:space="0"/>
              <w:left w:val="single" w:color="000000" w:sz="4" w:space="0"/>
              <w:bottom w:val="single" w:color="000000" w:sz="4" w:space="0"/>
              <w:right w:val="single" w:color="000000" w:sz="4" w:space="0"/>
            </w:tcBorders>
            <w:vAlign w:val="center"/>
          </w:tcPr>
          <w:p w14:paraId="4D0B93ED">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5980891C">
            <w:pPr>
              <w:widowControl/>
              <w:jc w:val="center"/>
              <w:textAlignment w:val="center"/>
              <w:rPr>
                <w:rFonts w:ascii="宋体" w:hAnsi="宋体" w:cs="宋体"/>
                <w:color w:val="000000"/>
              </w:rPr>
            </w:pPr>
            <w:r>
              <w:rPr>
                <w:rFonts w:hint="eastAsia" w:ascii="宋体" w:hAnsi="宋体" w:cs="宋体"/>
                <w:color w:val="000000"/>
                <w:lang w:bidi="ar"/>
              </w:rPr>
              <w:t>套</w:t>
            </w:r>
          </w:p>
        </w:tc>
      </w:tr>
      <w:tr w14:paraId="26072D4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870A60A">
            <w:pPr>
              <w:widowControl/>
              <w:jc w:val="center"/>
              <w:textAlignment w:val="center"/>
              <w:rPr>
                <w:rFonts w:ascii="宋体" w:hAnsi="宋体" w:cs="宋体"/>
                <w:color w:val="000000"/>
              </w:rPr>
            </w:pPr>
            <w:r>
              <w:rPr>
                <w:rFonts w:hint="eastAsia" w:ascii="宋体" w:hAnsi="宋体" w:cs="宋体"/>
                <w:color w:val="000000"/>
                <w:lang w:bidi="ar"/>
              </w:rPr>
              <w:t>14</w:t>
            </w:r>
          </w:p>
        </w:tc>
        <w:tc>
          <w:tcPr>
            <w:tcW w:w="582" w:type="dxa"/>
            <w:gridSpan w:val="2"/>
            <w:vMerge w:val="continue"/>
            <w:tcBorders>
              <w:left w:val="single" w:color="000000" w:sz="4" w:space="0"/>
              <w:right w:val="single" w:color="000000" w:sz="4" w:space="0"/>
            </w:tcBorders>
            <w:noWrap/>
            <w:vAlign w:val="center"/>
          </w:tcPr>
          <w:p w14:paraId="7B0B8741">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0DD26CF4">
            <w:pPr>
              <w:widowControl/>
              <w:jc w:val="center"/>
              <w:textAlignment w:val="center"/>
              <w:rPr>
                <w:rFonts w:ascii="宋体" w:hAnsi="宋体" w:cs="宋体"/>
                <w:color w:val="000000"/>
                <w:lang w:bidi="ar"/>
              </w:rPr>
            </w:pPr>
            <w:r>
              <w:rPr>
                <w:rFonts w:hint="eastAsia" w:ascii="宋体" w:hAnsi="宋体" w:cs="宋体"/>
                <w:color w:val="000000"/>
                <w:lang w:bidi="ar"/>
              </w:rPr>
              <w:t>工业厂房资源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22340D5E">
            <w:pPr>
              <w:widowControl/>
              <w:textAlignment w:val="center"/>
              <w:rPr>
                <w:rFonts w:ascii="宋体" w:hAnsi="宋体" w:cs="宋体"/>
                <w:color w:val="000000"/>
                <w:lang w:bidi="ar"/>
              </w:rPr>
            </w:pPr>
            <w:r>
              <w:rPr>
                <w:rFonts w:hint="eastAsia" w:ascii="宋体" w:hAnsi="宋体" w:cs="宋体"/>
                <w:color w:val="000000"/>
                <w:lang w:bidi="ar"/>
              </w:rPr>
              <w:t>1.对工业厂房的模型进行1</w:t>
            </w:r>
            <w:r>
              <w:rPr>
                <w:rFonts w:hint="eastAsia" w:ascii="宋体" w:hAnsi="宋体" w:cs="宋体"/>
                <w:color w:val="000000"/>
                <w:lang w:eastAsia="zh-CN" w:bidi="ar"/>
              </w:rPr>
              <w:t>:</w:t>
            </w:r>
            <w:r>
              <w:rPr>
                <w:rFonts w:hint="eastAsia" w:ascii="宋体" w:hAnsi="宋体" w:cs="宋体"/>
                <w:color w:val="000000"/>
                <w:lang w:bidi="ar"/>
              </w:rPr>
              <w:t>1的建模还原，重现工厂生产线内部场景，场景真实美观，包括仓储工作站、加工中心工作站、机械手、传输线工作站、装配工作站、指示灯等。</w:t>
            </w:r>
          </w:p>
          <w:p w14:paraId="70E5D909">
            <w:pPr>
              <w:widowControl/>
              <w:textAlignment w:val="center"/>
              <w:rPr>
                <w:rFonts w:ascii="宋体" w:hAnsi="宋体" w:cs="宋体"/>
                <w:color w:val="000000"/>
                <w:lang w:bidi="ar"/>
              </w:rPr>
            </w:pPr>
            <w:r>
              <w:rPr>
                <w:rFonts w:hint="eastAsia" w:ascii="宋体" w:hAnsi="宋体" w:cs="宋体"/>
                <w:color w:val="000000"/>
                <w:lang w:bidi="ar"/>
              </w:rPr>
              <w:t>2.场景中，使用者以第一人称视角在场景可漫游地区中进行操作。</w:t>
            </w:r>
          </w:p>
          <w:p w14:paraId="4AD1F733">
            <w:pPr>
              <w:widowControl/>
              <w:textAlignment w:val="center"/>
              <w:rPr>
                <w:rFonts w:ascii="宋体" w:hAnsi="宋体" w:cs="宋体"/>
                <w:color w:val="000000"/>
                <w:lang w:bidi="ar"/>
              </w:rPr>
            </w:pPr>
            <w:r>
              <w:rPr>
                <w:rFonts w:hint="eastAsia" w:ascii="宋体" w:hAnsi="宋体" w:cs="宋体"/>
                <w:color w:val="000000"/>
                <w:lang w:bidi="ar"/>
              </w:rPr>
              <w:t>3.点击实验认知，出现相关知识的人物对话，对话完成后展现工厂各个设备功能或者相关的介绍，点击上一个和下一个可以浏览观看不同的设备的信息。</w:t>
            </w:r>
          </w:p>
          <w:p w14:paraId="15A112E3">
            <w:pPr>
              <w:widowControl/>
              <w:textAlignment w:val="center"/>
              <w:rPr>
                <w:rFonts w:ascii="宋体" w:hAnsi="宋体" w:cs="宋体"/>
                <w:color w:val="000000"/>
                <w:lang w:bidi="ar"/>
              </w:rPr>
            </w:pPr>
            <w:r>
              <w:rPr>
                <w:rFonts w:hint="eastAsia" w:ascii="宋体" w:hAnsi="宋体" w:cs="宋体"/>
                <w:color w:val="000000"/>
                <w:lang w:bidi="ar"/>
              </w:rPr>
              <w:t>4.点击实验仿真，使用者会来到实验仿真场景，根据地面上的提示移动到工厂内部，到达地点后将进行工业厂房内机械臂工作流程演示。</w:t>
            </w:r>
          </w:p>
          <w:p w14:paraId="4972F6EA">
            <w:pPr>
              <w:widowControl/>
              <w:textAlignment w:val="center"/>
              <w:rPr>
                <w:rFonts w:ascii="宋体" w:hAnsi="宋体" w:cs="宋体"/>
                <w:color w:val="000000"/>
                <w:lang w:bidi="ar"/>
              </w:rPr>
            </w:pPr>
            <w:r>
              <w:rPr>
                <w:rFonts w:hint="eastAsia" w:ascii="宋体" w:hAnsi="宋体" w:cs="宋体"/>
                <w:color w:val="000000"/>
                <w:lang w:bidi="ar"/>
              </w:rPr>
              <w:t>5.点击“动作展示”触发机械臂工作动画播放，点击“抓取动作与事件”将会再次触发动画播放，还原工厂中机械臂的工作原理。</w:t>
            </w:r>
          </w:p>
        </w:tc>
        <w:tc>
          <w:tcPr>
            <w:tcW w:w="620" w:type="dxa"/>
            <w:tcBorders>
              <w:top w:val="single" w:color="000000" w:sz="4" w:space="0"/>
              <w:left w:val="single" w:color="000000" w:sz="4" w:space="0"/>
              <w:bottom w:val="single" w:color="000000" w:sz="4" w:space="0"/>
              <w:right w:val="single" w:color="000000" w:sz="4" w:space="0"/>
            </w:tcBorders>
            <w:vAlign w:val="center"/>
          </w:tcPr>
          <w:p w14:paraId="56EF60EC">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6A8E1A2E">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1601BE6A">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2DAA80C">
            <w:pPr>
              <w:widowControl/>
              <w:jc w:val="center"/>
              <w:textAlignment w:val="center"/>
              <w:rPr>
                <w:rFonts w:ascii="宋体" w:hAnsi="宋体" w:cs="宋体"/>
                <w:color w:val="000000"/>
              </w:rPr>
            </w:pPr>
            <w:r>
              <w:rPr>
                <w:rFonts w:hint="eastAsia" w:ascii="宋体" w:hAnsi="宋体" w:cs="宋体"/>
                <w:color w:val="000000"/>
                <w:lang w:bidi="ar"/>
              </w:rPr>
              <w:t>15</w:t>
            </w:r>
          </w:p>
        </w:tc>
        <w:tc>
          <w:tcPr>
            <w:tcW w:w="582" w:type="dxa"/>
            <w:gridSpan w:val="2"/>
            <w:vMerge w:val="continue"/>
            <w:tcBorders>
              <w:left w:val="single" w:color="000000" w:sz="4" w:space="0"/>
              <w:right w:val="single" w:color="000000" w:sz="4" w:space="0"/>
            </w:tcBorders>
            <w:noWrap/>
            <w:vAlign w:val="center"/>
          </w:tcPr>
          <w:p w14:paraId="2B7D96E3">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01703D1">
            <w:pPr>
              <w:widowControl/>
              <w:jc w:val="center"/>
              <w:textAlignment w:val="center"/>
              <w:rPr>
                <w:rFonts w:ascii="宋体" w:hAnsi="宋体" w:cs="宋体"/>
                <w:color w:val="000000"/>
                <w:lang w:bidi="ar"/>
              </w:rPr>
            </w:pPr>
            <w:r>
              <w:rPr>
                <w:rFonts w:hint="eastAsia" w:ascii="宋体" w:hAnsi="宋体" w:cs="宋体"/>
                <w:color w:val="000000"/>
                <w:lang w:bidi="ar"/>
              </w:rPr>
              <w:t>实验室资源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3FF31762">
            <w:pPr>
              <w:widowControl/>
              <w:textAlignment w:val="center"/>
              <w:rPr>
                <w:rFonts w:ascii="宋体" w:hAnsi="宋体" w:cs="宋体"/>
                <w:color w:val="000000"/>
                <w:lang w:bidi="ar"/>
              </w:rPr>
            </w:pPr>
            <w:r>
              <w:rPr>
                <w:rFonts w:hint="eastAsia" w:ascii="宋体" w:hAnsi="宋体" w:cs="宋体"/>
                <w:color w:val="000000"/>
                <w:lang w:bidi="ar"/>
              </w:rPr>
              <w:t>1.实验室中的实验器具依照真实物体1</w:t>
            </w:r>
            <w:r>
              <w:rPr>
                <w:rFonts w:hint="eastAsia" w:ascii="宋体" w:hAnsi="宋体" w:cs="宋体"/>
                <w:color w:val="000000"/>
                <w:lang w:eastAsia="zh-CN" w:bidi="ar"/>
              </w:rPr>
              <w:t>:</w:t>
            </w:r>
            <w:r>
              <w:rPr>
                <w:rFonts w:hint="eastAsia" w:ascii="宋体" w:hAnsi="宋体" w:cs="宋体"/>
                <w:color w:val="000000"/>
                <w:lang w:bidi="ar"/>
              </w:rPr>
              <w:t>1制作，让体验者能体验到近似真实的</w:t>
            </w:r>
            <w:r>
              <w:rPr>
                <w:rFonts w:hint="eastAsia" w:ascii="宋体" w:hAnsi="宋体" w:cs="宋体"/>
                <w:color w:val="000000"/>
                <w:lang w:eastAsia="zh-CN" w:bidi="ar"/>
              </w:rPr>
              <w:t>。</w:t>
            </w:r>
            <w:r>
              <w:rPr>
                <w:rFonts w:hint="eastAsia" w:ascii="宋体" w:hAnsi="宋体" w:cs="宋体"/>
                <w:color w:val="000000"/>
                <w:lang w:bidi="ar"/>
              </w:rPr>
              <w:t>感受，对器具有很多的了解。包括光学垂高计、大流量计、小流量计、风系统、燃烧管、实验桌等等。</w:t>
            </w:r>
          </w:p>
          <w:p w14:paraId="3D6A515E">
            <w:pPr>
              <w:widowControl/>
              <w:textAlignment w:val="center"/>
              <w:rPr>
                <w:rFonts w:ascii="宋体" w:hAnsi="宋体" w:cs="宋体"/>
                <w:color w:val="000000"/>
                <w:lang w:bidi="ar"/>
              </w:rPr>
            </w:pPr>
            <w:r>
              <w:rPr>
                <w:rFonts w:hint="eastAsia" w:ascii="宋体" w:hAnsi="宋体" w:cs="宋体"/>
                <w:color w:val="000000"/>
                <w:lang w:bidi="ar"/>
              </w:rPr>
              <w:t>2.点击课前预习，展示理论知识的面板，点击上一步或下一步进行浏览阅读，了解燃气火焰传播速度测定实验目的、原理和相关的步骤以及实验的涉及的知识。</w:t>
            </w:r>
          </w:p>
          <w:p w14:paraId="77E306D7">
            <w:pPr>
              <w:widowControl/>
              <w:textAlignment w:val="center"/>
              <w:rPr>
                <w:rFonts w:ascii="宋体" w:hAnsi="宋体" w:cs="宋体"/>
                <w:color w:val="000000"/>
                <w:lang w:bidi="ar"/>
              </w:rPr>
            </w:pPr>
            <w:r>
              <w:rPr>
                <w:rFonts w:hint="eastAsia" w:ascii="宋体" w:hAnsi="宋体" w:cs="宋体"/>
                <w:color w:val="000000"/>
                <w:lang w:bidi="ar"/>
              </w:rPr>
              <w:t>3.点击实验报告进入实验报告填写面板，可通过点击和滚条浏览对应实验报告。</w:t>
            </w:r>
          </w:p>
          <w:p w14:paraId="2DBE7054">
            <w:pPr>
              <w:widowControl/>
              <w:textAlignment w:val="center"/>
              <w:rPr>
                <w:rFonts w:ascii="宋体" w:hAnsi="宋体" w:cs="宋体"/>
                <w:color w:val="000000"/>
                <w:lang w:bidi="ar"/>
              </w:rPr>
            </w:pPr>
            <w:r>
              <w:rPr>
                <w:rFonts w:hint="eastAsia" w:ascii="宋体" w:hAnsi="宋体" w:cs="宋体"/>
                <w:color w:val="000000"/>
                <w:lang w:bidi="ar"/>
              </w:rPr>
              <w:t>4.点击进入实验，进行虚拟仿真实操，在场景中根据不同的面板提示进行不同的实验操作。实验操作过程中，相关对应的设备会有提示效果（如改变颜色等）。</w:t>
            </w:r>
          </w:p>
          <w:p w14:paraId="29CCA789">
            <w:pPr>
              <w:widowControl/>
              <w:textAlignment w:val="center"/>
              <w:rPr>
                <w:rFonts w:ascii="宋体" w:hAnsi="宋体" w:cs="宋体"/>
                <w:color w:val="000000"/>
                <w:lang w:bidi="ar"/>
              </w:rPr>
            </w:pPr>
            <w:r>
              <w:rPr>
                <w:rFonts w:hint="eastAsia" w:ascii="宋体" w:hAnsi="宋体" w:cs="宋体"/>
                <w:color w:val="000000"/>
                <w:lang w:bidi="ar"/>
              </w:rPr>
              <w:t>5.点击系统内（包括课前预习与实验操作两部分）UI的组件（如按钮）时会产生音效。</w:t>
            </w:r>
          </w:p>
        </w:tc>
        <w:tc>
          <w:tcPr>
            <w:tcW w:w="620" w:type="dxa"/>
            <w:tcBorders>
              <w:top w:val="single" w:color="000000" w:sz="4" w:space="0"/>
              <w:left w:val="single" w:color="000000" w:sz="4" w:space="0"/>
              <w:bottom w:val="single" w:color="000000" w:sz="4" w:space="0"/>
              <w:right w:val="single" w:color="000000" w:sz="4" w:space="0"/>
            </w:tcBorders>
            <w:vAlign w:val="center"/>
          </w:tcPr>
          <w:p w14:paraId="53FCE8D7">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52A02511">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22D4ED7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4B8E97D">
            <w:pPr>
              <w:widowControl/>
              <w:jc w:val="center"/>
              <w:textAlignment w:val="center"/>
              <w:rPr>
                <w:rFonts w:ascii="宋体" w:hAnsi="宋体" w:cs="宋体"/>
                <w:color w:val="000000"/>
              </w:rPr>
            </w:pPr>
            <w:r>
              <w:rPr>
                <w:rFonts w:hint="eastAsia" w:ascii="宋体" w:hAnsi="宋体" w:cs="宋体"/>
                <w:color w:val="000000"/>
                <w:lang w:bidi="ar"/>
              </w:rPr>
              <w:t>16</w:t>
            </w:r>
          </w:p>
        </w:tc>
        <w:tc>
          <w:tcPr>
            <w:tcW w:w="582" w:type="dxa"/>
            <w:gridSpan w:val="2"/>
            <w:vMerge w:val="continue"/>
            <w:tcBorders>
              <w:left w:val="single" w:color="000000" w:sz="4" w:space="0"/>
              <w:right w:val="single" w:color="000000" w:sz="4" w:space="0"/>
            </w:tcBorders>
            <w:noWrap/>
            <w:vAlign w:val="center"/>
          </w:tcPr>
          <w:p w14:paraId="7AE872B4">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1C123E5">
            <w:pPr>
              <w:widowControl/>
              <w:jc w:val="center"/>
              <w:textAlignment w:val="center"/>
              <w:rPr>
                <w:rFonts w:ascii="宋体" w:hAnsi="宋体" w:cs="宋体"/>
                <w:color w:val="000000"/>
                <w:lang w:bidi="ar"/>
              </w:rPr>
            </w:pPr>
            <w:r>
              <w:rPr>
                <w:rFonts w:hint="eastAsia" w:ascii="宋体" w:hAnsi="宋体" w:cs="宋体"/>
                <w:color w:val="000000"/>
                <w:lang w:bidi="ar"/>
              </w:rPr>
              <w:t>陆上发电站资源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18863E42">
            <w:pPr>
              <w:widowControl/>
              <w:textAlignment w:val="center"/>
              <w:rPr>
                <w:rFonts w:ascii="宋体" w:hAnsi="宋体" w:cs="宋体"/>
                <w:color w:val="000000"/>
                <w:lang w:bidi="ar"/>
              </w:rPr>
            </w:pPr>
            <w:r>
              <w:rPr>
                <w:rFonts w:hint="eastAsia" w:ascii="宋体" w:hAnsi="宋体" w:cs="宋体"/>
                <w:color w:val="000000"/>
                <w:lang w:bidi="ar"/>
              </w:rPr>
              <w:t>1.陆上的发电站进行1</w:t>
            </w:r>
            <w:r>
              <w:rPr>
                <w:rFonts w:hint="eastAsia" w:ascii="宋体" w:hAnsi="宋体" w:cs="宋体"/>
                <w:color w:val="000000"/>
                <w:lang w:eastAsia="zh-CN" w:bidi="ar"/>
              </w:rPr>
              <w:t>:</w:t>
            </w:r>
            <w:r>
              <w:rPr>
                <w:rFonts w:hint="eastAsia" w:ascii="宋体" w:hAnsi="宋体" w:cs="宋体"/>
                <w:color w:val="000000"/>
                <w:lang w:bidi="ar"/>
              </w:rPr>
              <w:t>1的建模，要求重现陆上发电站，场景真实美观，包括楼层建筑、动补冷却水设备、备用箱变设备、GIS设备等等。</w:t>
            </w:r>
          </w:p>
          <w:p w14:paraId="3A3C43C5">
            <w:pPr>
              <w:widowControl/>
              <w:textAlignment w:val="center"/>
              <w:rPr>
                <w:rFonts w:ascii="宋体" w:hAnsi="宋体" w:cs="宋体"/>
                <w:color w:val="000000"/>
                <w:lang w:bidi="ar"/>
              </w:rPr>
            </w:pPr>
            <w:r>
              <w:rPr>
                <w:rFonts w:hint="eastAsia" w:ascii="宋体" w:hAnsi="宋体" w:cs="宋体"/>
                <w:color w:val="000000"/>
                <w:lang w:bidi="ar"/>
              </w:rPr>
              <w:t>2.进入系统时，会以第一人称视角漫游展示整个场景，用户可通过提示跳过该过程。</w:t>
            </w:r>
          </w:p>
          <w:p w14:paraId="0058ABBB">
            <w:pPr>
              <w:widowControl/>
              <w:textAlignment w:val="center"/>
              <w:rPr>
                <w:rFonts w:ascii="宋体" w:hAnsi="宋体" w:cs="宋体"/>
                <w:color w:val="000000"/>
                <w:lang w:bidi="ar"/>
              </w:rPr>
            </w:pPr>
            <w:r>
              <w:rPr>
                <w:rFonts w:hint="eastAsia" w:ascii="宋体" w:hAnsi="宋体" w:cs="宋体"/>
                <w:color w:val="000000"/>
                <w:lang w:bidi="ar"/>
              </w:rPr>
              <w:t>3.场景中包含设备介绍面板，背景音等丰富场景的内容。</w:t>
            </w:r>
          </w:p>
          <w:p w14:paraId="7B0523A9">
            <w:pPr>
              <w:widowControl/>
              <w:textAlignment w:val="center"/>
              <w:rPr>
                <w:rFonts w:ascii="宋体" w:hAnsi="宋体" w:cs="宋体"/>
                <w:color w:val="000000"/>
                <w:lang w:bidi="ar"/>
              </w:rPr>
            </w:pPr>
            <w:r>
              <w:rPr>
                <w:rFonts w:hint="eastAsia" w:ascii="宋体" w:hAnsi="宋体" w:cs="宋体"/>
                <w:color w:val="000000"/>
                <w:lang w:bidi="ar"/>
              </w:rPr>
              <w:t>4.点击设备介绍面板上的“播放语音”按钮播放对应介绍面板的文字语音。</w:t>
            </w:r>
          </w:p>
          <w:p w14:paraId="01CE6630">
            <w:pPr>
              <w:widowControl/>
              <w:textAlignment w:val="center"/>
              <w:rPr>
                <w:rFonts w:ascii="宋体" w:hAnsi="宋体" w:cs="宋体"/>
                <w:color w:val="000000"/>
                <w:lang w:bidi="ar"/>
              </w:rPr>
            </w:pPr>
            <w:r>
              <w:rPr>
                <w:rFonts w:hint="eastAsia" w:ascii="宋体" w:hAnsi="宋体" w:cs="宋体"/>
                <w:color w:val="000000"/>
                <w:lang w:bidi="ar"/>
              </w:rPr>
              <w:t>5.铁门可通过点击的方式进行开关，用户开门后才能进入区域中</w:t>
            </w:r>
          </w:p>
          <w:p w14:paraId="4184A043">
            <w:pPr>
              <w:widowControl/>
              <w:textAlignment w:val="center"/>
              <w:rPr>
                <w:rFonts w:ascii="宋体" w:hAnsi="宋体" w:cs="宋体"/>
                <w:color w:val="000000"/>
                <w:lang w:bidi="ar"/>
              </w:rPr>
            </w:pPr>
            <w:r>
              <w:rPr>
                <w:rFonts w:hint="eastAsia" w:ascii="宋体" w:hAnsi="宋体" w:cs="宋体"/>
                <w:color w:val="000000"/>
                <w:lang w:bidi="ar"/>
              </w:rPr>
              <w:t>6.点击相应发电站设备的名称面板，弹出对应面板介绍。内容为设备的相关介绍</w:t>
            </w:r>
          </w:p>
        </w:tc>
        <w:tc>
          <w:tcPr>
            <w:tcW w:w="620" w:type="dxa"/>
            <w:tcBorders>
              <w:top w:val="single" w:color="000000" w:sz="4" w:space="0"/>
              <w:left w:val="single" w:color="000000" w:sz="4" w:space="0"/>
              <w:bottom w:val="single" w:color="000000" w:sz="4" w:space="0"/>
              <w:right w:val="single" w:color="000000" w:sz="4" w:space="0"/>
            </w:tcBorders>
            <w:vAlign w:val="center"/>
          </w:tcPr>
          <w:p w14:paraId="6016441B">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70A3601E">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1C82FB7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4A07EED">
            <w:pPr>
              <w:widowControl/>
              <w:jc w:val="center"/>
              <w:textAlignment w:val="center"/>
              <w:rPr>
                <w:rFonts w:ascii="宋体" w:hAnsi="宋体" w:cs="宋体"/>
                <w:color w:val="000000"/>
              </w:rPr>
            </w:pPr>
            <w:r>
              <w:rPr>
                <w:rFonts w:hint="eastAsia" w:ascii="宋体" w:hAnsi="宋体" w:cs="宋体"/>
                <w:color w:val="000000"/>
                <w:lang w:bidi="ar"/>
              </w:rPr>
              <w:t>17</w:t>
            </w:r>
          </w:p>
        </w:tc>
        <w:tc>
          <w:tcPr>
            <w:tcW w:w="582" w:type="dxa"/>
            <w:gridSpan w:val="2"/>
            <w:vMerge w:val="continue"/>
            <w:tcBorders>
              <w:left w:val="single" w:color="000000" w:sz="4" w:space="0"/>
              <w:right w:val="single" w:color="000000" w:sz="4" w:space="0"/>
            </w:tcBorders>
            <w:noWrap/>
            <w:vAlign w:val="center"/>
          </w:tcPr>
          <w:p w14:paraId="75944BD8">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0729A0D">
            <w:pPr>
              <w:widowControl/>
              <w:jc w:val="center"/>
              <w:textAlignment w:val="center"/>
              <w:rPr>
                <w:rFonts w:ascii="宋体" w:hAnsi="宋体" w:cs="宋体"/>
                <w:color w:val="000000"/>
                <w:lang w:bidi="ar"/>
              </w:rPr>
            </w:pPr>
            <w:r>
              <w:rPr>
                <w:rFonts w:hint="eastAsia" w:ascii="宋体" w:hAnsi="宋体" w:cs="宋体"/>
                <w:color w:val="000000"/>
                <w:lang w:bidi="ar"/>
              </w:rPr>
              <w:t>海上发电站资源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2F65508D">
            <w:pPr>
              <w:widowControl/>
              <w:textAlignment w:val="center"/>
              <w:rPr>
                <w:rFonts w:ascii="宋体" w:hAnsi="宋体" w:cs="宋体"/>
                <w:color w:val="000000"/>
                <w:lang w:bidi="ar"/>
              </w:rPr>
            </w:pPr>
            <w:r>
              <w:rPr>
                <w:rFonts w:hint="eastAsia" w:ascii="宋体" w:hAnsi="宋体" w:cs="宋体"/>
                <w:color w:val="000000"/>
                <w:lang w:bidi="ar"/>
              </w:rPr>
              <w:t>1.对海上发电站进行1</w:t>
            </w:r>
            <w:r>
              <w:rPr>
                <w:rFonts w:hint="eastAsia" w:ascii="宋体" w:hAnsi="宋体" w:cs="宋体"/>
                <w:color w:val="000000"/>
                <w:lang w:eastAsia="zh-CN" w:bidi="ar"/>
              </w:rPr>
              <w:t>:</w:t>
            </w:r>
            <w:r>
              <w:rPr>
                <w:rFonts w:hint="eastAsia" w:ascii="宋体" w:hAnsi="宋体" w:cs="宋体"/>
                <w:color w:val="000000"/>
                <w:lang w:bidi="ar"/>
              </w:rPr>
              <w:t>1的建模，要求重现海上发电站，场景真实美观，包括继电保护室、35kVⅠ/Ⅱ段开关柜、蓄电池组等等。</w:t>
            </w:r>
          </w:p>
          <w:p w14:paraId="61DF4BBA">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2.使用者以第一人称视角漫游场景，观察场景的设备并与设备相关面板进行交互。</w:t>
            </w:r>
          </w:p>
          <w:p w14:paraId="659412A0">
            <w:pPr>
              <w:widowControl/>
              <w:textAlignment w:val="center"/>
              <w:rPr>
                <w:rFonts w:ascii="宋体" w:hAnsi="宋体" w:cs="宋体"/>
                <w:color w:val="000000"/>
                <w:lang w:bidi="ar"/>
              </w:rPr>
            </w:pPr>
            <w:r>
              <w:rPr>
                <w:rFonts w:hint="eastAsia" w:ascii="宋体" w:hAnsi="宋体" w:cs="宋体"/>
                <w:color w:val="000000"/>
                <w:lang w:bidi="ar"/>
              </w:rPr>
              <w:t>3.场景中会显示使用者所在楼层UI以及交互点列表。每一个已完成的交互点，都会在交互点列表中标记。楼层的UI显示用户所在楼层</w:t>
            </w:r>
          </w:p>
          <w:p w14:paraId="040A5D94">
            <w:pPr>
              <w:widowControl/>
              <w:textAlignment w:val="center"/>
              <w:rPr>
                <w:rFonts w:ascii="宋体" w:hAnsi="宋体" w:cs="宋体"/>
                <w:color w:val="000000"/>
                <w:lang w:bidi="ar"/>
              </w:rPr>
            </w:pPr>
            <w:r>
              <w:rPr>
                <w:rFonts w:hint="eastAsia" w:ascii="宋体" w:hAnsi="宋体" w:cs="宋体"/>
                <w:color w:val="000000"/>
                <w:lang w:bidi="ar"/>
              </w:rPr>
              <w:t>4.在每层楼中的指定位置处点击上下楼的按钮可进行楼层场景跳转操作。</w:t>
            </w:r>
          </w:p>
          <w:p w14:paraId="2CB715DC">
            <w:pPr>
              <w:widowControl/>
              <w:textAlignment w:val="center"/>
              <w:rPr>
                <w:rFonts w:ascii="宋体" w:hAnsi="宋体" w:cs="宋体"/>
                <w:color w:val="000000"/>
                <w:lang w:bidi="ar"/>
              </w:rPr>
            </w:pPr>
            <w:r>
              <w:rPr>
                <w:rFonts w:hint="eastAsia" w:ascii="宋体" w:hAnsi="宋体" w:cs="宋体"/>
                <w:color w:val="000000"/>
                <w:lang w:bidi="ar"/>
              </w:rPr>
              <w:t>5.点击相应发电站设备弹出对应介绍面板。内容为设备的相关的功能信息</w:t>
            </w:r>
          </w:p>
          <w:p w14:paraId="19EEBB80">
            <w:pPr>
              <w:widowControl/>
              <w:textAlignment w:val="center"/>
              <w:rPr>
                <w:rFonts w:ascii="宋体" w:hAnsi="宋体" w:cs="宋体"/>
                <w:color w:val="000000"/>
                <w:lang w:bidi="ar"/>
              </w:rPr>
            </w:pPr>
            <w:r>
              <w:rPr>
                <w:rFonts w:hint="eastAsia" w:ascii="宋体" w:hAnsi="宋体" w:cs="宋体"/>
                <w:color w:val="000000"/>
                <w:lang w:bidi="ar"/>
              </w:rPr>
              <w:t>6.点击设备介绍面板上的“播放语音”按钮播放面板中的介绍文字。</w:t>
            </w:r>
          </w:p>
        </w:tc>
        <w:tc>
          <w:tcPr>
            <w:tcW w:w="620" w:type="dxa"/>
            <w:tcBorders>
              <w:top w:val="single" w:color="000000" w:sz="4" w:space="0"/>
              <w:left w:val="single" w:color="000000" w:sz="4" w:space="0"/>
              <w:bottom w:val="single" w:color="000000" w:sz="4" w:space="0"/>
              <w:right w:val="single" w:color="000000" w:sz="4" w:space="0"/>
            </w:tcBorders>
            <w:vAlign w:val="center"/>
          </w:tcPr>
          <w:p w14:paraId="4C6A6F36">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1CFB51EB">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78A5A3B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E72E26C">
            <w:pPr>
              <w:widowControl/>
              <w:jc w:val="center"/>
              <w:textAlignment w:val="center"/>
              <w:rPr>
                <w:rFonts w:ascii="宋体" w:hAnsi="宋体" w:cs="宋体"/>
                <w:color w:val="000000"/>
              </w:rPr>
            </w:pPr>
            <w:r>
              <w:rPr>
                <w:rFonts w:hint="eastAsia" w:ascii="宋体" w:hAnsi="宋体" w:cs="宋体"/>
                <w:color w:val="000000"/>
                <w:lang w:bidi="ar"/>
              </w:rPr>
              <w:t>18</w:t>
            </w:r>
          </w:p>
        </w:tc>
        <w:tc>
          <w:tcPr>
            <w:tcW w:w="582" w:type="dxa"/>
            <w:gridSpan w:val="2"/>
            <w:vMerge w:val="continue"/>
            <w:tcBorders>
              <w:left w:val="single" w:color="000000" w:sz="4" w:space="0"/>
              <w:right w:val="single" w:color="000000" w:sz="4" w:space="0"/>
            </w:tcBorders>
            <w:noWrap/>
            <w:vAlign w:val="center"/>
          </w:tcPr>
          <w:p w14:paraId="0194E202">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14BDAB00">
            <w:pPr>
              <w:widowControl/>
              <w:jc w:val="center"/>
              <w:textAlignment w:val="center"/>
              <w:rPr>
                <w:rFonts w:ascii="宋体" w:hAnsi="宋体" w:cs="宋体"/>
                <w:color w:val="000000"/>
                <w:lang w:bidi="ar"/>
              </w:rPr>
            </w:pPr>
            <w:r>
              <w:rPr>
                <w:rFonts w:hint="eastAsia" w:ascii="宋体" w:hAnsi="宋体" w:cs="宋体"/>
                <w:color w:val="000000"/>
                <w:lang w:bidi="ar"/>
              </w:rPr>
              <w:t>办公室资源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36EF74C4">
            <w:pPr>
              <w:widowControl/>
              <w:textAlignment w:val="center"/>
              <w:rPr>
                <w:rFonts w:ascii="宋体" w:hAnsi="宋体" w:cs="宋体"/>
                <w:color w:val="000000"/>
                <w:lang w:bidi="ar"/>
              </w:rPr>
            </w:pPr>
            <w:r>
              <w:rPr>
                <w:rFonts w:hint="eastAsia" w:ascii="宋体" w:hAnsi="宋体" w:cs="宋体"/>
                <w:color w:val="000000"/>
                <w:lang w:bidi="ar"/>
              </w:rPr>
              <w:t>1.对办公室进行1</w:t>
            </w:r>
            <w:r>
              <w:rPr>
                <w:rFonts w:hint="eastAsia" w:ascii="宋体" w:hAnsi="宋体" w:cs="宋体"/>
                <w:color w:val="000000"/>
                <w:lang w:eastAsia="zh-CN" w:bidi="ar"/>
              </w:rPr>
              <w:t>:</w:t>
            </w:r>
            <w:r>
              <w:rPr>
                <w:rFonts w:hint="eastAsia" w:ascii="宋体" w:hAnsi="宋体" w:cs="宋体"/>
                <w:color w:val="000000"/>
                <w:lang w:bidi="ar"/>
              </w:rPr>
              <w:t>1建模复原，场景真实美观，包括房屋建筑、办公桌椅沙发，书架，储物架，吊灯装饰品等等。</w:t>
            </w:r>
          </w:p>
          <w:p w14:paraId="3638D90C">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2.使用者以第一人称视角漫游场景，观察场景的物品并与相关内容进行交互。</w:t>
            </w:r>
          </w:p>
          <w:p w14:paraId="6E26C768">
            <w:pPr>
              <w:widowControl/>
              <w:textAlignment w:val="center"/>
              <w:rPr>
                <w:rFonts w:ascii="宋体" w:hAnsi="宋体" w:cs="宋体"/>
                <w:color w:val="000000"/>
                <w:lang w:bidi="ar"/>
              </w:rPr>
            </w:pPr>
            <w:r>
              <w:rPr>
                <w:rFonts w:hint="eastAsia" w:ascii="宋体" w:hAnsi="宋体" w:cs="宋体"/>
                <w:color w:val="000000"/>
                <w:lang w:bidi="ar"/>
              </w:rPr>
              <w:t xml:space="preserve">3.使用者可根据面板提示进行任务交互。每完成一个任务后，会显示下一个任务的内容，部分任务中的需操作的物体将会有提示效果。 </w:t>
            </w:r>
          </w:p>
          <w:p w14:paraId="223BCFC1">
            <w:pPr>
              <w:widowControl/>
              <w:textAlignment w:val="center"/>
              <w:rPr>
                <w:rFonts w:ascii="宋体" w:hAnsi="宋体" w:cs="宋体"/>
                <w:color w:val="000000"/>
                <w:lang w:bidi="ar"/>
              </w:rPr>
            </w:pPr>
            <w:r>
              <w:rPr>
                <w:rFonts w:hint="eastAsia" w:ascii="宋体" w:hAnsi="宋体" w:cs="宋体"/>
                <w:color w:val="000000"/>
                <w:lang w:bidi="ar"/>
              </w:rPr>
              <w:t>4.使用者可以重置场景。重置后将从头开始体验场景内容</w:t>
            </w:r>
          </w:p>
        </w:tc>
        <w:tc>
          <w:tcPr>
            <w:tcW w:w="620" w:type="dxa"/>
            <w:tcBorders>
              <w:top w:val="single" w:color="000000" w:sz="4" w:space="0"/>
              <w:left w:val="single" w:color="000000" w:sz="4" w:space="0"/>
              <w:bottom w:val="single" w:color="000000" w:sz="4" w:space="0"/>
              <w:right w:val="single" w:color="000000" w:sz="4" w:space="0"/>
            </w:tcBorders>
            <w:vAlign w:val="center"/>
          </w:tcPr>
          <w:p w14:paraId="6C966C05">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692C01C8">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6C60B71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4CA466F">
            <w:pPr>
              <w:widowControl/>
              <w:jc w:val="center"/>
              <w:textAlignment w:val="center"/>
              <w:rPr>
                <w:rFonts w:ascii="宋体" w:hAnsi="宋体" w:cs="宋体"/>
                <w:color w:val="000000"/>
              </w:rPr>
            </w:pPr>
            <w:r>
              <w:rPr>
                <w:rFonts w:hint="eastAsia" w:ascii="宋体" w:hAnsi="宋体" w:cs="宋体"/>
                <w:color w:val="000000"/>
                <w:lang w:bidi="ar"/>
              </w:rPr>
              <w:t>19</w:t>
            </w:r>
          </w:p>
        </w:tc>
        <w:tc>
          <w:tcPr>
            <w:tcW w:w="582" w:type="dxa"/>
            <w:gridSpan w:val="2"/>
            <w:vMerge w:val="continue"/>
            <w:tcBorders>
              <w:left w:val="single" w:color="000000" w:sz="4" w:space="0"/>
              <w:right w:val="single" w:color="000000" w:sz="4" w:space="0"/>
            </w:tcBorders>
            <w:noWrap/>
            <w:vAlign w:val="center"/>
          </w:tcPr>
          <w:p w14:paraId="2657C6EF">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06895585">
            <w:pPr>
              <w:widowControl/>
              <w:jc w:val="center"/>
              <w:textAlignment w:val="center"/>
              <w:rPr>
                <w:rFonts w:ascii="宋体" w:hAnsi="宋体" w:cs="宋体"/>
                <w:color w:val="000000"/>
                <w:lang w:bidi="ar"/>
              </w:rPr>
            </w:pPr>
            <w:r>
              <w:rPr>
                <w:rFonts w:hint="eastAsia" w:ascii="宋体" w:hAnsi="宋体" w:cs="宋体"/>
                <w:color w:val="000000"/>
                <w:lang w:bidi="ar"/>
              </w:rPr>
              <w:t>加油站资源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5591CD9A">
            <w:pPr>
              <w:widowControl/>
              <w:textAlignment w:val="center"/>
              <w:rPr>
                <w:rFonts w:ascii="宋体" w:hAnsi="宋体" w:cs="宋体"/>
                <w:color w:val="000000"/>
                <w:lang w:bidi="ar"/>
              </w:rPr>
            </w:pPr>
            <w:r>
              <w:rPr>
                <w:rFonts w:hint="eastAsia" w:ascii="宋体" w:hAnsi="宋体" w:cs="宋体"/>
                <w:color w:val="000000"/>
                <w:lang w:bidi="ar"/>
              </w:rPr>
              <w:t>1.根据现实加油站进行三维建模搭建场景，使场景真实美观，包括汽车、加油站台、加油器、地形、沙漠植被、地形装饰等等。   2.使用者会有一段漫游场景的动画。该动画能使用户了解整体场景，并将其带到车门前。</w:t>
            </w:r>
          </w:p>
          <w:p w14:paraId="4B129A59">
            <w:pPr>
              <w:widowControl/>
              <w:textAlignment w:val="center"/>
              <w:rPr>
                <w:rFonts w:ascii="宋体" w:hAnsi="宋体" w:cs="宋体"/>
                <w:color w:val="000000"/>
                <w:lang w:bidi="ar"/>
              </w:rPr>
            </w:pPr>
            <w:r>
              <w:rPr>
                <w:rFonts w:hint="eastAsia" w:ascii="宋体" w:hAnsi="宋体" w:cs="宋体"/>
                <w:color w:val="000000"/>
                <w:lang w:bidi="ar"/>
              </w:rPr>
              <w:t>3.使用者点击门上的提示按钮，可控制车辆开门的开关并将视角移动到车上方，</w:t>
            </w:r>
          </w:p>
          <w:p w14:paraId="14FBB442">
            <w:pPr>
              <w:widowControl/>
              <w:textAlignment w:val="center"/>
              <w:rPr>
                <w:rFonts w:ascii="宋体" w:hAnsi="宋体" w:cs="宋体"/>
                <w:color w:val="000000"/>
                <w:lang w:bidi="ar"/>
              </w:rPr>
            </w:pPr>
            <w:r>
              <w:rPr>
                <w:rFonts w:hint="eastAsia" w:ascii="宋体" w:hAnsi="宋体" w:cs="宋体"/>
                <w:color w:val="000000"/>
                <w:lang w:bidi="ar"/>
              </w:rPr>
              <w:t>4.根据系统提示，点击启动按钮可以启动车辆。</w:t>
            </w:r>
          </w:p>
          <w:p w14:paraId="3B509AF7">
            <w:pPr>
              <w:widowControl/>
              <w:textAlignment w:val="center"/>
              <w:rPr>
                <w:rFonts w:ascii="宋体" w:hAnsi="宋体" w:cs="宋体"/>
                <w:color w:val="000000"/>
                <w:lang w:bidi="ar"/>
              </w:rPr>
            </w:pPr>
            <w:r>
              <w:rPr>
                <w:rFonts w:hint="eastAsia" w:ascii="宋体" w:hAnsi="宋体" w:cs="宋体"/>
                <w:color w:val="000000"/>
                <w:lang w:bidi="ar"/>
              </w:rPr>
              <w:t>5.点击加油按钮弹出对应加油面板，等待加油进度完成后，车辆自动开启，随后进入指定区域结束任务。</w:t>
            </w:r>
          </w:p>
        </w:tc>
        <w:tc>
          <w:tcPr>
            <w:tcW w:w="620" w:type="dxa"/>
            <w:tcBorders>
              <w:top w:val="single" w:color="000000" w:sz="4" w:space="0"/>
              <w:left w:val="single" w:color="000000" w:sz="4" w:space="0"/>
              <w:bottom w:val="single" w:color="000000" w:sz="4" w:space="0"/>
              <w:right w:val="single" w:color="000000" w:sz="4" w:space="0"/>
            </w:tcBorders>
            <w:vAlign w:val="center"/>
          </w:tcPr>
          <w:p w14:paraId="357E1932">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05A7C27D">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798C4A29">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4018092">
            <w:pPr>
              <w:widowControl/>
              <w:jc w:val="center"/>
              <w:textAlignment w:val="center"/>
              <w:rPr>
                <w:rFonts w:ascii="宋体" w:hAnsi="宋体" w:cs="宋体"/>
                <w:color w:val="000000"/>
              </w:rPr>
            </w:pPr>
            <w:r>
              <w:rPr>
                <w:rFonts w:hint="eastAsia" w:ascii="宋体" w:hAnsi="宋体" w:cs="宋体"/>
                <w:color w:val="000000"/>
                <w:lang w:bidi="ar"/>
              </w:rPr>
              <w:t>20</w:t>
            </w:r>
          </w:p>
        </w:tc>
        <w:tc>
          <w:tcPr>
            <w:tcW w:w="582" w:type="dxa"/>
            <w:gridSpan w:val="2"/>
            <w:vMerge w:val="continue"/>
            <w:tcBorders>
              <w:left w:val="single" w:color="000000" w:sz="4" w:space="0"/>
              <w:right w:val="single" w:color="000000" w:sz="4" w:space="0"/>
            </w:tcBorders>
            <w:noWrap/>
            <w:vAlign w:val="center"/>
          </w:tcPr>
          <w:p w14:paraId="1A2A2F19">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4D2CE4B">
            <w:pPr>
              <w:widowControl/>
              <w:jc w:val="center"/>
              <w:textAlignment w:val="center"/>
              <w:rPr>
                <w:rFonts w:ascii="宋体" w:hAnsi="宋体" w:cs="宋体"/>
                <w:color w:val="000000"/>
                <w:lang w:bidi="ar"/>
              </w:rPr>
            </w:pPr>
            <w:r>
              <w:rPr>
                <w:rFonts w:hint="eastAsia" w:ascii="宋体" w:hAnsi="宋体" w:cs="宋体"/>
                <w:color w:val="000000"/>
                <w:lang w:bidi="ar"/>
              </w:rPr>
              <w:t>仓库物流资源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60DEC515">
            <w:pPr>
              <w:widowControl/>
              <w:textAlignment w:val="center"/>
              <w:rPr>
                <w:rFonts w:ascii="宋体" w:hAnsi="宋体" w:cs="宋体"/>
                <w:color w:val="000000"/>
                <w:lang w:bidi="ar"/>
              </w:rPr>
            </w:pPr>
            <w:r>
              <w:rPr>
                <w:rFonts w:hint="eastAsia" w:ascii="宋体" w:hAnsi="宋体" w:cs="宋体"/>
                <w:color w:val="000000"/>
                <w:lang w:bidi="ar"/>
              </w:rPr>
              <w:t>1.对物流仓库进行建模复原，场景真实美观，包括厂房、推车、货架、不同纸箱等等。</w:t>
            </w:r>
          </w:p>
          <w:p w14:paraId="0A15F3E0">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2.使用者以第一人称视角漫游场景，观察场景的设备并与相关内容进行交互。</w:t>
            </w:r>
          </w:p>
          <w:p w14:paraId="12E5FCBF">
            <w:pPr>
              <w:widowControl/>
              <w:textAlignment w:val="center"/>
              <w:rPr>
                <w:rFonts w:ascii="宋体" w:hAnsi="宋体" w:cs="宋体"/>
                <w:color w:val="000000"/>
                <w:lang w:bidi="ar"/>
              </w:rPr>
            </w:pPr>
            <w:r>
              <w:rPr>
                <w:rFonts w:hint="eastAsia" w:ascii="宋体" w:hAnsi="宋体" w:cs="宋体"/>
                <w:color w:val="000000"/>
                <w:lang w:bidi="ar"/>
              </w:rPr>
              <w:t>3.使用者可根据寻路指引以及面板提示前往码放区。</w:t>
            </w:r>
          </w:p>
          <w:p w14:paraId="63B930BC">
            <w:pPr>
              <w:widowControl/>
              <w:textAlignment w:val="center"/>
              <w:rPr>
                <w:rFonts w:ascii="宋体" w:hAnsi="宋体" w:cs="宋体"/>
                <w:color w:val="000000"/>
                <w:lang w:bidi="ar"/>
              </w:rPr>
            </w:pPr>
            <w:r>
              <w:rPr>
                <w:rFonts w:hint="eastAsia" w:ascii="宋体" w:hAnsi="宋体" w:cs="宋体"/>
                <w:color w:val="000000"/>
                <w:lang w:bidi="ar"/>
              </w:rPr>
              <w:t>4.使用者通过码放区道路上的特定区域可触发开灯效果，使场景更明亮。</w:t>
            </w:r>
          </w:p>
          <w:p w14:paraId="70460E28">
            <w:pPr>
              <w:widowControl/>
              <w:textAlignment w:val="center"/>
              <w:rPr>
                <w:rFonts w:ascii="宋体" w:hAnsi="宋体" w:cs="宋体"/>
                <w:color w:val="000000"/>
                <w:lang w:bidi="ar"/>
              </w:rPr>
            </w:pPr>
            <w:r>
              <w:rPr>
                <w:rFonts w:hint="eastAsia" w:ascii="宋体" w:hAnsi="宋体" w:cs="宋体"/>
                <w:color w:val="000000"/>
                <w:lang w:bidi="ar"/>
              </w:rPr>
              <w:t>5.点击码放训练能跳出多层不交错堆码、层间纵横交错堆码、层间旋转交错堆码、层间正反交错堆码。</w:t>
            </w:r>
          </w:p>
          <w:p w14:paraId="1BF4E9DE">
            <w:pPr>
              <w:widowControl/>
              <w:textAlignment w:val="center"/>
              <w:rPr>
                <w:rFonts w:ascii="宋体" w:hAnsi="宋体" w:cs="宋体"/>
                <w:color w:val="000000"/>
                <w:lang w:bidi="ar"/>
              </w:rPr>
            </w:pPr>
            <w:r>
              <w:rPr>
                <w:rFonts w:hint="eastAsia" w:ascii="宋体" w:hAnsi="宋体" w:cs="宋体"/>
                <w:color w:val="000000"/>
                <w:lang w:bidi="ar"/>
              </w:rPr>
              <w:t>6.使用者进入码放区后点击多层不交错堆码触发码放区灯光。</w:t>
            </w:r>
          </w:p>
          <w:p w14:paraId="39D0341C">
            <w:pPr>
              <w:widowControl/>
              <w:textAlignment w:val="center"/>
              <w:rPr>
                <w:rFonts w:ascii="宋体" w:hAnsi="宋体" w:cs="宋体"/>
                <w:color w:val="000000"/>
                <w:lang w:bidi="ar"/>
              </w:rPr>
            </w:pPr>
            <w:r>
              <w:rPr>
                <w:rFonts w:hint="eastAsia" w:ascii="宋体" w:hAnsi="宋体" w:cs="宋体"/>
                <w:color w:val="000000"/>
                <w:lang w:bidi="ar"/>
              </w:rPr>
              <w:t>7.点击两种不同的纸箱规格出现不同的码放动画。</w:t>
            </w:r>
          </w:p>
        </w:tc>
        <w:tc>
          <w:tcPr>
            <w:tcW w:w="620" w:type="dxa"/>
            <w:tcBorders>
              <w:top w:val="single" w:color="000000" w:sz="4" w:space="0"/>
              <w:left w:val="single" w:color="000000" w:sz="4" w:space="0"/>
              <w:bottom w:val="single" w:color="000000" w:sz="4" w:space="0"/>
              <w:right w:val="single" w:color="000000" w:sz="4" w:space="0"/>
            </w:tcBorders>
            <w:vAlign w:val="center"/>
          </w:tcPr>
          <w:p w14:paraId="738D949D">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3AE9CCB2">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7E883A64">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DDADB13">
            <w:pPr>
              <w:widowControl/>
              <w:jc w:val="center"/>
              <w:textAlignment w:val="center"/>
              <w:rPr>
                <w:rFonts w:ascii="宋体" w:hAnsi="宋体" w:cs="宋体"/>
                <w:color w:val="000000"/>
              </w:rPr>
            </w:pPr>
            <w:r>
              <w:rPr>
                <w:rFonts w:hint="eastAsia" w:ascii="宋体" w:hAnsi="宋体" w:cs="宋体"/>
                <w:color w:val="000000"/>
                <w:lang w:bidi="ar"/>
              </w:rPr>
              <w:t>21</w:t>
            </w:r>
          </w:p>
        </w:tc>
        <w:tc>
          <w:tcPr>
            <w:tcW w:w="582" w:type="dxa"/>
            <w:gridSpan w:val="2"/>
            <w:vMerge w:val="continue"/>
            <w:tcBorders>
              <w:left w:val="single" w:color="000000" w:sz="4" w:space="0"/>
              <w:right w:val="single" w:color="000000" w:sz="4" w:space="0"/>
            </w:tcBorders>
            <w:noWrap/>
            <w:vAlign w:val="center"/>
          </w:tcPr>
          <w:p w14:paraId="45B8F613">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5CDCD057">
            <w:pPr>
              <w:widowControl/>
              <w:jc w:val="center"/>
              <w:textAlignment w:val="center"/>
              <w:rPr>
                <w:rFonts w:ascii="宋体" w:hAnsi="宋体" w:cs="宋体"/>
                <w:color w:val="000000"/>
                <w:lang w:bidi="ar"/>
              </w:rPr>
            </w:pPr>
            <w:r>
              <w:rPr>
                <w:rFonts w:hint="eastAsia" w:ascii="宋体" w:hAnsi="宋体" w:cs="宋体"/>
                <w:color w:val="000000"/>
                <w:lang w:bidi="ar"/>
              </w:rPr>
              <w:t>汽车结构演示资源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72A08533">
            <w:pPr>
              <w:widowControl/>
              <w:textAlignment w:val="center"/>
              <w:rPr>
                <w:rFonts w:ascii="宋体" w:hAnsi="宋体" w:cs="宋体"/>
                <w:color w:val="000000"/>
                <w:lang w:bidi="ar"/>
              </w:rPr>
            </w:pPr>
            <w:r>
              <w:rPr>
                <w:rFonts w:hint="eastAsia" w:ascii="宋体" w:hAnsi="宋体" w:cs="宋体"/>
                <w:color w:val="000000"/>
                <w:lang w:bidi="ar"/>
              </w:rPr>
              <w:t>1.对汽车及其零件进行建模1:1复原，场景真实还原，包括演示房间、汽车发动机等零件、显示台、汽车整体等等。</w:t>
            </w:r>
          </w:p>
          <w:p w14:paraId="02C702A7">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2.使用者以第一人称视角漫游场景，观察场景中的设备并可与场景内的部分内容进行交互。</w:t>
            </w:r>
          </w:p>
          <w:p w14:paraId="06FE8135">
            <w:pPr>
              <w:widowControl/>
              <w:textAlignment w:val="center"/>
              <w:rPr>
                <w:rFonts w:ascii="宋体" w:hAnsi="宋体" w:cs="宋体"/>
                <w:color w:val="000000"/>
                <w:lang w:bidi="ar"/>
              </w:rPr>
            </w:pPr>
            <w:r>
              <w:rPr>
                <w:rFonts w:hint="eastAsia" w:ascii="宋体" w:hAnsi="宋体" w:cs="宋体"/>
                <w:color w:val="000000"/>
                <w:lang w:bidi="ar"/>
              </w:rPr>
              <w:t>3.点击黑板能选择课程出现铅酸蓄电池、电动倒车镜两种设备的选择按钮。</w:t>
            </w:r>
          </w:p>
          <w:p w14:paraId="233B4333">
            <w:pPr>
              <w:widowControl/>
              <w:textAlignment w:val="center"/>
              <w:rPr>
                <w:rFonts w:ascii="宋体" w:hAnsi="宋体" w:cs="宋体"/>
                <w:color w:val="000000"/>
                <w:lang w:bidi="ar"/>
              </w:rPr>
            </w:pPr>
            <w:r>
              <w:rPr>
                <w:rFonts w:hint="eastAsia" w:ascii="宋体" w:hAnsi="宋体" w:cs="宋体"/>
                <w:color w:val="000000"/>
                <w:lang w:bidi="ar"/>
              </w:rPr>
              <w:t>4.点击铅酸蓄电池或电动倒车镜出现对应介绍文字及其模型。</w:t>
            </w:r>
          </w:p>
          <w:p w14:paraId="7DDC4E81">
            <w:pPr>
              <w:widowControl/>
              <w:textAlignment w:val="center"/>
              <w:rPr>
                <w:rFonts w:ascii="宋体" w:hAnsi="宋体" w:cs="宋体"/>
                <w:color w:val="000000"/>
                <w:lang w:bidi="ar"/>
              </w:rPr>
            </w:pPr>
            <w:r>
              <w:rPr>
                <w:rFonts w:hint="eastAsia" w:ascii="宋体" w:hAnsi="宋体" w:cs="宋体"/>
                <w:color w:val="000000"/>
                <w:lang w:bidi="ar"/>
              </w:rPr>
              <w:t>5.点击爆炸出现爆炸效果，该设备会将其内的零件以爆炸效果展示出来，点击旋转出现旋转效果，用户可通过该功能360度观看设备，点击还原会将爆炸效果还原。</w:t>
            </w:r>
          </w:p>
        </w:tc>
        <w:tc>
          <w:tcPr>
            <w:tcW w:w="620" w:type="dxa"/>
            <w:tcBorders>
              <w:top w:val="single" w:color="000000" w:sz="4" w:space="0"/>
              <w:left w:val="single" w:color="000000" w:sz="4" w:space="0"/>
              <w:bottom w:val="single" w:color="000000" w:sz="4" w:space="0"/>
              <w:right w:val="single" w:color="000000" w:sz="4" w:space="0"/>
            </w:tcBorders>
            <w:vAlign w:val="center"/>
          </w:tcPr>
          <w:p w14:paraId="3D12E6A9">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1189C159">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6CA2D204">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AFCDB78">
            <w:pPr>
              <w:widowControl/>
              <w:jc w:val="center"/>
              <w:textAlignment w:val="center"/>
              <w:rPr>
                <w:rFonts w:ascii="宋体" w:hAnsi="宋体" w:cs="宋体"/>
                <w:color w:val="000000"/>
              </w:rPr>
            </w:pPr>
            <w:r>
              <w:rPr>
                <w:rFonts w:hint="eastAsia" w:ascii="宋体" w:hAnsi="宋体" w:cs="宋体"/>
                <w:color w:val="000000"/>
                <w:lang w:bidi="ar"/>
              </w:rPr>
              <w:t>22</w:t>
            </w:r>
          </w:p>
        </w:tc>
        <w:tc>
          <w:tcPr>
            <w:tcW w:w="582" w:type="dxa"/>
            <w:gridSpan w:val="2"/>
            <w:vMerge w:val="continue"/>
            <w:tcBorders>
              <w:left w:val="single" w:color="000000" w:sz="4" w:space="0"/>
              <w:bottom w:val="single" w:color="000000" w:sz="4" w:space="0"/>
              <w:right w:val="single" w:color="000000" w:sz="4" w:space="0"/>
            </w:tcBorders>
            <w:noWrap/>
            <w:vAlign w:val="center"/>
          </w:tcPr>
          <w:p w14:paraId="509B12DA">
            <w:pPr>
              <w:widowControl/>
              <w:jc w:val="center"/>
              <w:textAlignment w:val="center"/>
              <w:rPr>
                <w:rFonts w:ascii="宋体" w:hAnsi="宋体" w:cs="宋体"/>
                <w:color w:val="000000"/>
                <w:lang w:bidi="ar"/>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0B6ED021">
            <w:pPr>
              <w:widowControl/>
              <w:jc w:val="center"/>
              <w:textAlignment w:val="center"/>
              <w:rPr>
                <w:rFonts w:ascii="宋体" w:hAnsi="宋体" w:cs="宋体"/>
                <w:color w:val="000000"/>
                <w:lang w:bidi="ar"/>
              </w:rPr>
            </w:pPr>
            <w:r>
              <w:rPr>
                <w:rFonts w:hint="eastAsia" w:ascii="宋体" w:hAnsi="宋体" w:cs="宋体"/>
                <w:color w:val="000000"/>
                <w:lang w:bidi="ar"/>
              </w:rPr>
              <w:t>太空资源</w:t>
            </w:r>
          </w:p>
        </w:tc>
        <w:tc>
          <w:tcPr>
            <w:tcW w:w="5430" w:type="dxa"/>
            <w:tcBorders>
              <w:top w:val="single" w:color="000000" w:sz="4" w:space="0"/>
              <w:left w:val="single" w:color="000000" w:sz="4" w:space="0"/>
              <w:bottom w:val="single" w:color="000000" w:sz="4" w:space="0"/>
              <w:right w:val="single" w:color="000000" w:sz="4" w:space="0"/>
            </w:tcBorders>
            <w:vAlign w:val="center"/>
          </w:tcPr>
          <w:p w14:paraId="0D0399DE">
            <w:pPr>
              <w:pStyle w:val="68"/>
              <w:ind w:left="0" w:leftChars="0" w:firstLine="0" w:firstLineChars="0"/>
              <w:rPr>
                <w:rFonts w:ascii="宋体" w:hAnsi="宋体" w:cs="宋体"/>
                <w:color w:val="000000"/>
                <w:lang w:bidi="ar"/>
              </w:rPr>
            </w:pPr>
            <w:r>
              <w:rPr>
                <w:rFonts w:hint="eastAsia" w:ascii="宋体" w:hAnsi="宋体" w:cs="宋体"/>
                <w:color w:val="000000"/>
                <w:lang w:bidi="ar"/>
              </w:rPr>
              <w:t>1.对太阳系及其太阳系星球进行建模1:1复原，场景真实还原，包括星球轨迹、星球自转、星球公转等等。</w:t>
            </w:r>
          </w:p>
          <w:p w14:paraId="17A1C19B">
            <w:pPr>
              <w:pStyle w:val="68"/>
              <w:ind w:left="0" w:leftChars="0" w:firstLine="0" w:firstLineChars="0"/>
              <w:rPr>
                <w:rFonts w:ascii="宋体" w:hAnsi="宋体" w:cs="宋体"/>
                <w:color w:val="000000"/>
                <w:lang w:bidi="ar"/>
              </w:rPr>
            </w:pPr>
            <w:r>
              <w:rPr>
                <w:rFonts w:hint="eastAsia" w:ascii="宋体" w:hAnsi="宋体" w:cs="宋体"/>
                <w:color w:val="000000"/>
                <w:lang w:bidi="ar"/>
              </w:rPr>
              <w:t>2.使用者以第一人称视角漫游场景，观察场景中的行星及相关内容并与之进行交互。</w:t>
            </w:r>
          </w:p>
          <w:p w14:paraId="5DC7A026">
            <w:pPr>
              <w:pStyle w:val="68"/>
              <w:ind w:left="0" w:leftChars="0" w:firstLine="0" w:firstLineChars="0"/>
              <w:rPr>
                <w:rFonts w:ascii="宋体" w:hAnsi="宋体" w:cs="宋体"/>
                <w:color w:val="000000"/>
                <w:lang w:bidi="ar"/>
              </w:rPr>
            </w:pPr>
            <w:r>
              <w:rPr>
                <w:rFonts w:hint="eastAsia" w:ascii="宋体" w:hAnsi="宋体" w:cs="宋体"/>
                <w:color w:val="000000"/>
                <w:lang w:bidi="ar"/>
              </w:rPr>
              <w:t>3.场景中各大星球会围绕太阳进行模拟公转。</w:t>
            </w:r>
          </w:p>
          <w:p w14:paraId="0CE3E8BA">
            <w:pPr>
              <w:pStyle w:val="68"/>
              <w:ind w:left="0" w:leftChars="0" w:firstLine="0" w:firstLineChars="0"/>
              <w:rPr>
                <w:rFonts w:ascii="宋体" w:hAnsi="宋体" w:cs="宋体"/>
                <w:color w:val="000000"/>
                <w:lang w:bidi="ar"/>
              </w:rPr>
            </w:pPr>
            <w:r>
              <w:rPr>
                <w:rFonts w:hint="eastAsia" w:ascii="宋体" w:hAnsi="宋体" w:cs="宋体"/>
                <w:color w:val="000000"/>
                <w:lang w:bidi="ar"/>
              </w:rPr>
              <w:t>4.场景中各大星球会进行模拟自转。</w:t>
            </w:r>
          </w:p>
          <w:p w14:paraId="04DE718E">
            <w:pPr>
              <w:pStyle w:val="68"/>
              <w:ind w:left="0" w:leftChars="0" w:firstLine="0" w:firstLineChars="0"/>
              <w:rPr>
                <w:rFonts w:ascii="宋体" w:hAnsi="宋体" w:cs="宋体"/>
                <w:color w:val="000000"/>
                <w:lang w:bidi="ar"/>
              </w:rPr>
            </w:pPr>
            <w:r>
              <w:rPr>
                <w:rFonts w:hint="eastAsia" w:ascii="宋体" w:hAnsi="宋体" w:cs="宋体"/>
                <w:color w:val="000000"/>
                <w:lang w:bidi="ar"/>
              </w:rPr>
              <w:t>5.点击各个星球按钮能进入所选星球视角进行细节观看并查看该星球介绍，介绍内容包括：自转方向、卫星数、质量、自转周期和公转周期</w:t>
            </w:r>
          </w:p>
        </w:tc>
        <w:tc>
          <w:tcPr>
            <w:tcW w:w="620" w:type="dxa"/>
            <w:tcBorders>
              <w:top w:val="single" w:color="000000" w:sz="4" w:space="0"/>
              <w:left w:val="single" w:color="000000" w:sz="4" w:space="0"/>
              <w:bottom w:val="single" w:color="000000" w:sz="4" w:space="0"/>
              <w:right w:val="single" w:color="000000" w:sz="4" w:space="0"/>
            </w:tcBorders>
            <w:vAlign w:val="center"/>
          </w:tcPr>
          <w:p w14:paraId="150C434E">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2E001098">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4342881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22B4798">
            <w:pPr>
              <w:widowControl/>
              <w:jc w:val="center"/>
              <w:textAlignment w:val="center"/>
              <w:rPr>
                <w:rFonts w:ascii="宋体" w:hAnsi="宋体" w:cs="宋体"/>
                <w:color w:val="000000"/>
              </w:rPr>
            </w:pPr>
            <w:r>
              <w:rPr>
                <w:rFonts w:hint="eastAsia" w:ascii="宋体" w:hAnsi="宋体" w:cs="宋体"/>
                <w:color w:val="000000"/>
                <w:lang w:bidi="ar"/>
              </w:rPr>
              <w:t>23</w:t>
            </w:r>
          </w:p>
        </w:tc>
        <w:tc>
          <w:tcPr>
            <w:tcW w:w="1925" w:type="dxa"/>
            <w:gridSpan w:val="3"/>
            <w:tcBorders>
              <w:left w:val="single" w:color="000000" w:sz="4" w:space="0"/>
              <w:bottom w:val="single" w:color="000000" w:sz="4" w:space="0"/>
              <w:right w:val="single" w:color="000000" w:sz="4" w:space="0"/>
            </w:tcBorders>
            <w:noWrap/>
            <w:vAlign w:val="center"/>
          </w:tcPr>
          <w:p w14:paraId="1016E563">
            <w:pPr>
              <w:widowControl/>
              <w:jc w:val="center"/>
              <w:textAlignment w:val="center"/>
              <w:rPr>
                <w:rFonts w:ascii="宋体" w:hAnsi="宋体" w:cs="宋体"/>
                <w:color w:val="000000"/>
                <w:lang w:bidi="ar"/>
              </w:rPr>
            </w:pPr>
            <w:r>
              <w:rPr>
                <w:rFonts w:hint="eastAsia" w:ascii="宋体" w:hAnsi="宋体" w:cs="宋体"/>
                <w:color w:val="000000"/>
                <w:lang w:bidi="ar"/>
              </w:rPr>
              <w:t>120寸激光黑板</w:t>
            </w:r>
          </w:p>
        </w:tc>
        <w:tc>
          <w:tcPr>
            <w:tcW w:w="5430" w:type="dxa"/>
            <w:tcBorders>
              <w:top w:val="single" w:color="000000" w:sz="4" w:space="0"/>
              <w:left w:val="single" w:color="000000" w:sz="4" w:space="0"/>
              <w:bottom w:val="single" w:color="000000" w:sz="4" w:space="0"/>
              <w:right w:val="single" w:color="000000" w:sz="4" w:space="0"/>
            </w:tcBorders>
            <w:vAlign w:val="center"/>
          </w:tcPr>
          <w:p w14:paraId="46BF5480">
            <w:pPr>
              <w:widowControl/>
              <w:textAlignment w:val="center"/>
              <w:rPr>
                <w:rFonts w:ascii="宋体" w:hAnsi="宋体" w:cs="宋体"/>
                <w:color w:val="000000"/>
                <w:lang w:bidi="ar"/>
              </w:rPr>
            </w:pPr>
            <w:r>
              <w:rPr>
                <w:rFonts w:hint="eastAsia" w:ascii="宋体" w:hAnsi="宋体" w:cs="宋体"/>
                <w:color w:val="000000"/>
                <w:lang w:bidi="ar"/>
              </w:rPr>
              <w:t>一、硬件参数</w:t>
            </w:r>
          </w:p>
          <w:p w14:paraId="03071DF8">
            <w:pPr>
              <w:widowControl/>
              <w:textAlignment w:val="center"/>
              <w:rPr>
                <w:rFonts w:ascii="宋体" w:hAnsi="宋体" w:cs="宋体"/>
                <w:color w:val="000000"/>
                <w:lang w:bidi="ar"/>
              </w:rPr>
            </w:pPr>
            <w:r>
              <w:rPr>
                <w:rFonts w:hint="eastAsia" w:ascii="宋体" w:hAnsi="宋体" w:cs="宋体"/>
                <w:color w:val="000000"/>
                <w:lang w:bidi="ar"/>
              </w:rPr>
              <w:t>1、整机采用一体化设计，外观尺寸长度≥4900mm，高≥1600mm。整机包含红外触控显示面板、激光显示单元、智能中控、电脑主机、功放、音箱等功能，集成在整个框架内；无外露连接线，整机安装无需触控板触摸线、中控等布线施工。</w:t>
            </w:r>
          </w:p>
          <w:p w14:paraId="3FA457E7">
            <w:pPr>
              <w:widowControl/>
              <w:textAlignment w:val="center"/>
              <w:rPr>
                <w:rFonts w:ascii="宋体" w:hAnsi="宋体" w:cs="宋体"/>
                <w:color w:val="000000"/>
                <w:lang w:bidi="ar"/>
              </w:rPr>
            </w:pPr>
            <w:r>
              <w:rPr>
                <w:rFonts w:hint="eastAsia" w:ascii="宋体" w:hAnsi="宋体" w:cs="宋体"/>
                <w:color w:val="000000"/>
                <w:lang w:bidi="ar"/>
              </w:rPr>
              <w:t>2、安装便捷精准。整机顶部中央位置竖直向下设置有安装插槽，搭配专用激光显示单元使用，激光显示单元底部设置有插入安装在插槽内的安装支架，方便使用者在安装过程中将激光显示单元直接插入安装插槽，不需要任何调节，即可完成安装，整机无需进行画面校准。</w:t>
            </w:r>
          </w:p>
          <w:p w14:paraId="26AD72B0">
            <w:pPr>
              <w:widowControl/>
              <w:textAlignment w:val="center"/>
              <w:rPr>
                <w:rFonts w:ascii="宋体" w:hAnsi="宋体" w:cs="宋体"/>
                <w:color w:val="000000"/>
                <w:lang w:bidi="ar"/>
              </w:rPr>
            </w:pPr>
            <w:r>
              <w:rPr>
                <w:rFonts w:hint="eastAsia" w:ascii="宋体" w:hAnsi="宋体" w:cs="宋体"/>
                <w:color w:val="000000"/>
                <w:lang w:bidi="ar"/>
              </w:rPr>
              <w:t>3、主屏采用红外触摸技术，显示屏可视尺寸及可触控尺寸≥120 英寸，显示比例 16</w:t>
            </w:r>
            <w:r>
              <w:rPr>
                <w:rFonts w:hint="eastAsia" w:ascii="宋体" w:hAnsi="宋体" w:cs="宋体"/>
                <w:color w:val="000000"/>
                <w:lang w:eastAsia="zh-CN" w:bidi="ar"/>
              </w:rPr>
              <w:t>:</w:t>
            </w:r>
            <w:r>
              <w:rPr>
                <w:rFonts w:hint="eastAsia" w:ascii="宋体" w:hAnsi="宋体" w:cs="宋体"/>
                <w:color w:val="000000"/>
                <w:lang w:bidi="ar"/>
              </w:rPr>
              <w:t>9，最高可支持 20 点触控。</w:t>
            </w:r>
          </w:p>
          <w:p w14:paraId="191570FF">
            <w:pPr>
              <w:widowControl/>
              <w:textAlignment w:val="center"/>
              <w:rPr>
                <w:rFonts w:ascii="宋体" w:hAnsi="宋体" w:cs="宋体"/>
                <w:color w:val="000000"/>
                <w:lang w:bidi="ar"/>
              </w:rPr>
            </w:pPr>
            <w:r>
              <w:rPr>
                <w:rFonts w:hint="eastAsia" w:ascii="宋体" w:hAnsi="宋体" w:cs="宋体"/>
                <w:color w:val="000000"/>
                <w:lang w:bidi="ar"/>
              </w:rPr>
              <w:t>▲4、音响置于屏幕上方，出音口正前方设计发声技术，配备4*15W高保真扬声器。</w:t>
            </w:r>
          </w:p>
          <w:p w14:paraId="21BCA5F2">
            <w:pPr>
              <w:widowControl/>
              <w:textAlignment w:val="center"/>
              <w:rPr>
                <w:rFonts w:ascii="宋体" w:hAnsi="宋体" w:cs="宋体"/>
                <w:color w:val="000000"/>
                <w:lang w:bidi="ar"/>
              </w:rPr>
            </w:pPr>
            <w:r>
              <w:rPr>
                <w:rFonts w:hint="eastAsia" w:ascii="宋体" w:hAnsi="宋体" w:cs="宋体"/>
                <w:color w:val="000000"/>
                <w:lang w:bidi="ar"/>
              </w:rPr>
              <w:t>▲5、采用电容触摸物理按键，激光显示单元操作按键和系统操作按键完全独立，一键一功能，无复合功能，操作简单快捷；激光显示单元包括开关机，菜单，上下左右方向键，确认键不少于7个：系统按键包括开关机，静音，音量加减，windows /安卓系统切换不少于5个。</w:t>
            </w:r>
          </w:p>
          <w:p w14:paraId="1695ABBE">
            <w:pPr>
              <w:widowControl/>
              <w:textAlignment w:val="center"/>
              <w:rPr>
                <w:rFonts w:ascii="宋体" w:hAnsi="宋体" w:cs="宋体"/>
                <w:color w:val="000000"/>
                <w:lang w:bidi="ar"/>
              </w:rPr>
            </w:pPr>
            <w:r>
              <w:rPr>
                <w:rFonts w:hint="eastAsia" w:ascii="宋体" w:hAnsi="宋体" w:cs="宋体"/>
                <w:color w:val="000000"/>
                <w:lang w:bidi="ar"/>
              </w:rPr>
              <w:t>▲6、整机前置接口至少包含 Type c、TOUCH USB，HDMI，≥3 路 USB3.0。前置接口采用铝合金翻转盖板，达到防尘防溅水功能，圆角设计，避免对使用者造成人身伤害。接口旁设计移动硬盘放置盒，支持老师在教学过程中，放置移动硬盘使用。</w:t>
            </w:r>
          </w:p>
          <w:p w14:paraId="1723226A">
            <w:pPr>
              <w:widowControl/>
              <w:textAlignment w:val="center"/>
              <w:rPr>
                <w:rFonts w:ascii="宋体" w:hAnsi="宋体" w:cs="宋体"/>
                <w:color w:val="000000"/>
                <w:lang w:bidi="ar"/>
              </w:rPr>
            </w:pPr>
            <w:r>
              <w:rPr>
                <w:rFonts w:hint="eastAsia" w:ascii="宋体" w:hAnsi="宋体" w:cs="宋体"/>
                <w:color w:val="000000"/>
                <w:lang w:bidi="ar"/>
              </w:rPr>
              <w:t>7、后置接口至少包含 RS232 串口通</w:t>
            </w:r>
            <w:r>
              <w:rPr>
                <w:rFonts w:hint="eastAsia" w:ascii="宋体" w:hAnsi="宋体" w:cs="宋体"/>
                <w:color w:val="000000"/>
                <w:lang w:val="en-US" w:eastAsia="zh-CN" w:bidi="ar"/>
              </w:rPr>
              <w:t>信</w:t>
            </w:r>
            <w:r>
              <w:rPr>
                <w:rFonts w:hint="eastAsia" w:ascii="宋体" w:hAnsi="宋体" w:cs="宋体"/>
                <w:color w:val="000000"/>
                <w:lang w:bidi="ar"/>
              </w:rPr>
              <w:t>*1，AUDIO OUT（接功放输出）*1，HDMI OUT*1，AC IN(110V～220V)*1，AC OUT(110V～220V)*1。</w:t>
            </w:r>
          </w:p>
          <w:p w14:paraId="26892D59">
            <w:pPr>
              <w:widowControl/>
              <w:textAlignment w:val="center"/>
              <w:rPr>
                <w:rFonts w:ascii="宋体" w:hAnsi="宋体" w:cs="宋体"/>
                <w:color w:val="000000"/>
                <w:lang w:bidi="ar"/>
              </w:rPr>
            </w:pPr>
            <w:r>
              <w:rPr>
                <w:rFonts w:hint="eastAsia" w:ascii="宋体" w:hAnsi="宋体" w:cs="宋体"/>
                <w:color w:val="000000"/>
                <w:lang w:bidi="ar"/>
              </w:rPr>
              <w:t>▲8、板面快捷键：双边、每边都有物理快捷功能键，快捷键不少于 18 个，包括但不限于以下：触摸校准、自定义、打开、桌面、最小化、窗口关闭、新建页面、上一页、下一页、红笔、蓝笔、黑笔、智能笔、橡皮擦、撤销、清屏、保存、选择、展台。</w:t>
            </w:r>
          </w:p>
          <w:p w14:paraId="4AA7DDC6">
            <w:pPr>
              <w:widowControl/>
              <w:textAlignment w:val="center"/>
              <w:rPr>
                <w:rFonts w:ascii="宋体" w:hAnsi="宋体" w:cs="宋体"/>
                <w:color w:val="000000"/>
                <w:lang w:bidi="ar"/>
              </w:rPr>
            </w:pPr>
            <w:r>
              <w:rPr>
                <w:rFonts w:hint="eastAsia" w:ascii="宋体" w:hAnsi="宋体" w:cs="宋体"/>
                <w:color w:val="000000"/>
                <w:lang w:bidi="ar"/>
              </w:rPr>
              <w:t>9、支持多种开机方式，包括 NFC 开机、按键开机、遥控开机，NFC 专用卡片支持手机读卡复制功能，实现手机开机。</w:t>
            </w:r>
          </w:p>
          <w:p w14:paraId="2E1DCA96">
            <w:pPr>
              <w:widowControl/>
              <w:textAlignment w:val="center"/>
              <w:rPr>
                <w:rFonts w:ascii="宋体" w:hAnsi="宋体" w:cs="宋体"/>
                <w:color w:val="000000"/>
                <w:lang w:bidi="ar"/>
              </w:rPr>
            </w:pPr>
            <w:r>
              <w:rPr>
                <w:rFonts w:hint="eastAsia" w:ascii="宋体" w:hAnsi="宋体" w:cs="宋体"/>
                <w:color w:val="000000"/>
                <w:lang w:bidi="ar"/>
              </w:rPr>
              <w:t>10、副板支持多种书写笔书写，如粉笔、水溶性粉笔、水笔等。</w:t>
            </w:r>
          </w:p>
          <w:p w14:paraId="3E062839">
            <w:pPr>
              <w:widowControl/>
              <w:textAlignment w:val="center"/>
              <w:rPr>
                <w:rFonts w:ascii="宋体" w:hAnsi="宋体" w:cs="宋体"/>
                <w:color w:val="000000"/>
                <w:lang w:bidi="ar"/>
              </w:rPr>
            </w:pPr>
            <w:r>
              <w:rPr>
                <w:rFonts w:hint="eastAsia" w:ascii="宋体" w:hAnsi="宋体" w:cs="宋体"/>
                <w:color w:val="000000"/>
                <w:lang w:bidi="ar"/>
              </w:rPr>
              <w:t>11、底部设置放置书写笔的放置槽。</w:t>
            </w:r>
          </w:p>
          <w:p w14:paraId="1275A434">
            <w:pPr>
              <w:widowControl/>
              <w:textAlignment w:val="center"/>
              <w:rPr>
                <w:rFonts w:ascii="宋体" w:hAnsi="宋体" w:cs="宋体"/>
                <w:color w:val="000000"/>
                <w:lang w:bidi="ar"/>
              </w:rPr>
            </w:pPr>
            <w:r>
              <w:rPr>
                <w:rFonts w:hint="eastAsia" w:ascii="宋体" w:hAnsi="宋体" w:cs="宋体"/>
                <w:color w:val="000000"/>
                <w:lang w:bidi="ar"/>
              </w:rPr>
              <w:t>12、激光显示单元分辨率：1920*1080  16</w:t>
            </w:r>
            <w:r>
              <w:rPr>
                <w:rFonts w:hint="eastAsia" w:ascii="宋体" w:hAnsi="宋体" w:cs="宋体"/>
                <w:color w:val="000000"/>
                <w:lang w:eastAsia="zh-CN" w:bidi="ar"/>
              </w:rPr>
              <w:t>:</w:t>
            </w:r>
            <w:r>
              <w:rPr>
                <w:rFonts w:hint="eastAsia" w:ascii="宋体" w:hAnsi="宋体" w:cs="宋体"/>
                <w:color w:val="000000"/>
                <w:lang w:bidi="ar"/>
              </w:rPr>
              <w:t>9。</w:t>
            </w:r>
          </w:p>
          <w:p w14:paraId="493ABF4F">
            <w:pPr>
              <w:widowControl/>
              <w:textAlignment w:val="center"/>
              <w:rPr>
                <w:rFonts w:ascii="宋体" w:hAnsi="宋体" w:cs="宋体"/>
                <w:color w:val="000000"/>
                <w:lang w:bidi="ar"/>
              </w:rPr>
            </w:pPr>
            <w:r>
              <w:rPr>
                <w:rFonts w:hint="eastAsia" w:ascii="宋体" w:hAnsi="宋体" w:cs="宋体"/>
                <w:color w:val="000000"/>
                <w:lang w:bidi="ar"/>
              </w:rPr>
              <w:t>13、激光显示单元对比度：≥100000</w:t>
            </w:r>
            <w:r>
              <w:rPr>
                <w:rFonts w:hint="eastAsia" w:ascii="宋体" w:hAnsi="宋体" w:cs="宋体"/>
                <w:color w:val="000000"/>
                <w:lang w:eastAsia="zh-CN" w:bidi="ar"/>
              </w:rPr>
              <w:t>:</w:t>
            </w:r>
            <w:r>
              <w:rPr>
                <w:rFonts w:hint="eastAsia" w:ascii="宋体" w:hAnsi="宋体" w:cs="宋体"/>
                <w:color w:val="000000"/>
                <w:lang w:bidi="ar"/>
              </w:rPr>
              <w:t>1。</w:t>
            </w:r>
          </w:p>
          <w:p w14:paraId="0251EF18">
            <w:pPr>
              <w:widowControl/>
              <w:textAlignment w:val="center"/>
              <w:rPr>
                <w:rFonts w:ascii="宋体" w:hAnsi="宋体" w:cs="宋体"/>
                <w:color w:val="000000"/>
                <w:lang w:bidi="ar"/>
              </w:rPr>
            </w:pPr>
            <w:r>
              <w:rPr>
                <w:rFonts w:hint="eastAsia" w:ascii="宋体" w:hAnsi="宋体" w:cs="宋体"/>
                <w:color w:val="000000"/>
                <w:lang w:bidi="ar"/>
              </w:rPr>
              <w:t>14、激光固态光源，≥25000小时超长使用寿命。</w:t>
            </w:r>
          </w:p>
          <w:p w14:paraId="27430567">
            <w:pPr>
              <w:widowControl/>
              <w:textAlignment w:val="center"/>
              <w:rPr>
                <w:rFonts w:ascii="宋体" w:hAnsi="宋体" w:cs="宋体"/>
                <w:color w:val="000000"/>
                <w:lang w:bidi="ar"/>
              </w:rPr>
            </w:pPr>
            <w:r>
              <w:rPr>
                <w:rFonts w:hint="eastAsia" w:ascii="宋体" w:hAnsi="宋体" w:cs="宋体"/>
                <w:color w:val="000000"/>
                <w:lang w:bidi="ar"/>
              </w:rPr>
              <w:t>15、激光显示特性：3D，超短焦（0.233）。</w:t>
            </w:r>
          </w:p>
          <w:p w14:paraId="0794D9B0">
            <w:pPr>
              <w:widowControl/>
              <w:textAlignment w:val="center"/>
              <w:rPr>
                <w:rFonts w:ascii="宋体" w:hAnsi="宋体" w:cs="宋体"/>
                <w:color w:val="000000"/>
                <w:lang w:bidi="ar"/>
              </w:rPr>
            </w:pPr>
            <w:r>
              <w:rPr>
                <w:rFonts w:hint="eastAsia" w:ascii="宋体" w:hAnsi="宋体" w:cs="宋体"/>
                <w:color w:val="000000"/>
                <w:lang w:bidi="ar"/>
              </w:rPr>
              <w:t>16、散热方式：水冷+风冷。</w:t>
            </w:r>
          </w:p>
          <w:p w14:paraId="22B79BE3">
            <w:pPr>
              <w:widowControl/>
              <w:textAlignment w:val="center"/>
              <w:rPr>
                <w:rFonts w:ascii="宋体" w:hAnsi="宋体" w:cs="宋体"/>
                <w:color w:val="000000"/>
                <w:lang w:bidi="ar"/>
              </w:rPr>
            </w:pPr>
            <w:r>
              <w:rPr>
                <w:rFonts w:hint="eastAsia" w:ascii="宋体" w:hAnsi="宋体" w:cs="宋体"/>
                <w:color w:val="000000"/>
                <w:lang w:bidi="ar"/>
              </w:rPr>
              <w:t>17、全封闭光路设计；</w:t>
            </w:r>
          </w:p>
          <w:p w14:paraId="36A17F90">
            <w:pPr>
              <w:widowControl/>
              <w:textAlignment w:val="center"/>
              <w:rPr>
                <w:rFonts w:ascii="宋体" w:hAnsi="宋体" w:cs="宋体"/>
                <w:color w:val="000000"/>
                <w:lang w:bidi="ar"/>
              </w:rPr>
            </w:pPr>
            <w:r>
              <w:rPr>
                <w:rFonts w:hint="eastAsia" w:ascii="宋体" w:hAnsi="宋体" w:cs="宋体"/>
                <w:color w:val="000000"/>
                <w:lang w:bidi="ar"/>
              </w:rPr>
              <w:t>18、高色域颜色还原技术，符合视觉功效和场景需求的亮度、色度人眼健康舒适视觉；</w:t>
            </w:r>
          </w:p>
          <w:p w14:paraId="4C45277B">
            <w:pPr>
              <w:widowControl/>
              <w:textAlignment w:val="center"/>
              <w:rPr>
                <w:rFonts w:ascii="宋体" w:hAnsi="宋体" w:cs="宋体"/>
                <w:color w:val="000000"/>
                <w:lang w:bidi="ar"/>
              </w:rPr>
            </w:pPr>
            <w:r>
              <w:rPr>
                <w:rFonts w:hint="eastAsia" w:ascii="宋体" w:hAnsi="宋体" w:cs="宋体"/>
                <w:color w:val="000000"/>
                <w:lang w:bidi="ar"/>
              </w:rPr>
              <w:t>19、具有环境温度、激光器高温检测报警提示功能；</w:t>
            </w:r>
          </w:p>
          <w:p w14:paraId="4140D251">
            <w:pPr>
              <w:widowControl/>
              <w:textAlignment w:val="center"/>
              <w:rPr>
                <w:rFonts w:ascii="宋体" w:hAnsi="宋体" w:cs="宋体"/>
                <w:color w:val="000000"/>
                <w:lang w:bidi="ar"/>
              </w:rPr>
            </w:pPr>
            <w:r>
              <w:rPr>
                <w:rFonts w:hint="eastAsia" w:ascii="宋体" w:hAnsi="宋体" w:cs="宋体"/>
                <w:color w:val="000000"/>
                <w:lang w:bidi="ar"/>
              </w:rPr>
              <w:t>▲20、为了保证激光显示单元的供电稳定以及良好散热，激光显示单元的电源部分安装在激光黑板主机上，激光黑板可对激光显示单元单独控制和整机控制。</w:t>
            </w:r>
          </w:p>
          <w:p w14:paraId="5791D8AA">
            <w:pPr>
              <w:widowControl/>
              <w:textAlignment w:val="center"/>
              <w:rPr>
                <w:rFonts w:ascii="宋体" w:hAnsi="宋体" w:cs="宋体"/>
                <w:color w:val="000000"/>
                <w:lang w:bidi="ar"/>
              </w:rPr>
            </w:pPr>
            <w:r>
              <w:rPr>
                <w:rFonts w:hint="eastAsia" w:ascii="宋体" w:hAnsi="宋体" w:cs="宋体"/>
                <w:color w:val="000000"/>
                <w:lang w:bidi="ar"/>
              </w:rPr>
              <w:t>二、工控整机</w:t>
            </w:r>
          </w:p>
          <w:p w14:paraId="609F9732">
            <w:pPr>
              <w:widowControl/>
              <w:textAlignment w:val="center"/>
              <w:rPr>
                <w:rFonts w:ascii="宋体" w:hAnsi="宋体" w:cs="宋体"/>
                <w:color w:val="000000"/>
                <w:lang w:bidi="ar"/>
              </w:rPr>
            </w:pPr>
            <w:r>
              <w:rPr>
                <w:rFonts w:hint="eastAsia" w:ascii="宋体" w:hAnsi="宋体" w:cs="宋体"/>
                <w:color w:val="000000"/>
                <w:lang w:bidi="ar"/>
              </w:rPr>
              <w:t>1.插拔式OPS微型PC设计，采用Intel I5 10代、8GB内存、256G固态硬盘；开放式可插接INTEL规范接口（OPS接口），双面合计80针。</w:t>
            </w:r>
          </w:p>
          <w:p w14:paraId="1ACDEA6F">
            <w:pPr>
              <w:widowControl/>
              <w:textAlignment w:val="center"/>
              <w:rPr>
                <w:rFonts w:ascii="宋体" w:hAnsi="宋体" w:cs="宋体"/>
                <w:color w:val="000000"/>
                <w:lang w:bidi="ar"/>
              </w:rPr>
            </w:pPr>
            <w:r>
              <w:rPr>
                <w:rFonts w:hint="eastAsia" w:ascii="宋体" w:hAnsi="宋体" w:cs="宋体"/>
                <w:color w:val="000000"/>
                <w:lang w:bidi="ar"/>
              </w:rPr>
              <w:t>2.支持WIFI无线网络，带双天线，带RJ45接口100M/1000Mbs。</w:t>
            </w:r>
          </w:p>
          <w:p w14:paraId="74CC2E8A">
            <w:pPr>
              <w:widowControl/>
              <w:textAlignment w:val="center"/>
              <w:rPr>
                <w:rFonts w:ascii="宋体" w:hAnsi="宋体" w:cs="宋体"/>
                <w:color w:val="000000"/>
                <w:lang w:bidi="ar"/>
              </w:rPr>
            </w:pPr>
            <w:r>
              <w:rPr>
                <w:rFonts w:hint="eastAsia" w:ascii="宋体" w:hAnsi="宋体" w:cs="宋体"/>
                <w:color w:val="000000"/>
                <w:lang w:bidi="ar"/>
              </w:rPr>
              <w:t>3.具备电源（POWER）开关按键、RESET（重置）孔（选配）。</w:t>
            </w:r>
          </w:p>
          <w:p w14:paraId="0BD44306">
            <w:pPr>
              <w:widowControl/>
              <w:textAlignment w:val="center"/>
              <w:rPr>
                <w:rFonts w:ascii="宋体" w:hAnsi="宋体" w:cs="宋体"/>
                <w:color w:val="000000"/>
                <w:lang w:bidi="ar"/>
              </w:rPr>
            </w:pPr>
            <w:r>
              <w:rPr>
                <w:rFonts w:hint="eastAsia" w:ascii="宋体" w:hAnsi="宋体" w:cs="宋体"/>
                <w:color w:val="000000"/>
                <w:lang w:bidi="ar"/>
              </w:rPr>
              <w:t>4.支持电源：AC input:100-240V/50-60HZ ；DC output:19V/5A。</w:t>
            </w:r>
          </w:p>
        </w:tc>
        <w:tc>
          <w:tcPr>
            <w:tcW w:w="620" w:type="dxa"/>
            <w:tcBorders>
              <w:top w:val="single" w:color="000000" w:sz="4" w:space="0"/>
              <w:left w:val="single" w:color="000000" w:sz="4" w:space="0"/>
              <w:bottom w:val="single" w:color="000000" w:sz="4" w:space="0"/>
              <w:right w:val="single" w:color="000000" w:sz="4" w:space="0"/>
            </w:tcBorders>
            <w:vAlign w:val="center"/>
          </w:tcPr>
          <w:p w14:paraId="1E012464">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63A69F20">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29D9297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35FC650">
            <w:pPr>
              <w:widowControl/>
              <w:jc w:val="center"/>
              <w:textAlignment w:val="center"/>
              <w:rPr>
                <w:rFonts w:ascii="宋体" w:hAnsi="宋体" w:cs="宋体"/>
                <w:color w:val="000000"/>
              </w:rPr>
            </w:pPr>
            <w:r>
              <w:rPr>
                <w:rFonts w:hint="eastAsia" w:ascii="宋体" w:hAnsi="宋体" w:cs="宋体"/>
                <w:color w:val="000000"/>
                <w:lang w:bidi="ar"/>
              </w:rPr>
              <w:t>24</w:t>
            </w:r>
          </w:p>
        </w:tc>
        <w:tc>
          <w:tcPr>
            <w:tcW w:w="1925" w:type="dxa"/>
            <w:gridSpan w:val="3"/>
            <w:tcBorders>
              <w:left w:val="single" w:color="000000" w:sz="4" w:space="0"/>
              <w:bottom w:val="single" w:color="000000" w:sz="4" w:space="0"/>
              <w:right w:val="single" w:color="000000" w:sz="4" w:space="0"/>
            </w:tcBorders>
            <w:noWrap/>
            <w:vAlign w:val="center"/>
          </w:tcPr>
          <w:p w14:paraId="42C2B128">
            <w:pPr>
              <w:widowControl/>
              <w:jc w:val="center"/>
              <w:textAlignment w:val="center"/>
              <w:rPr>
                <w:rFonts w:ascii="宋体" w:hAnsi="宋体" w:cs="宋体"/>
                <w:color w:val="000000"/>
                <w:lang w:bidi="ar"/>
              </w:rPr>
            </w:pPr>
            <w:r>
              <w:rPr>
                <w:rFonts w:hint="eastAsia" w:ascii="宋体" w:hAnsi="宋体" w:cs="宋体"/>
                <w:color w:val="000000"/>
                <w:lang w:bidi="ar"/>
              </w:rPr>
              <w:t>AI微课</w:t>
            </w:r>
          </w:p>
        </w:tc>
        <w:tc>
          <w:tcPr>
            <w:tcW w:w="5430" w:type="dxa"/>
            <w:tcBorders>
              <w:top w:val="single" w:color="000000" w:sz="4" w:space="0"/>
              <w:left w:val="single" w:color="000000" w:sz="4" w:space="0"/>
              <w:bottom w:val="single" w:color="000000" w:sz="4" w:space="0"/>
              <w:right w:val="single" w:color="000000" w:sz="4" w:space="0"/>
            </w:tcBorders>
            <w:vAlign w:val="center"/>
          </w:tcPr>
          <w:p w14:paraId="0ACB6DD8">
            <w:pPr>
              <w:widowControl/>
              <w:textAlignment w:val="center"/>
              <w:rPr>
                <w:rFonts w:ascii="宋体" w:hAnsi="宋体" w:cs="宋体"/>
                <w:color w:val="000000"/>
                <w:lang w:bidi="ar"/>
              </w:rPr>
            </w:pPr>
            <w:r>
              <w:rPr>
                <w:rFonts w:hint="eastAsia" w:ascii="宋体" w:hAnsi="宋体" w:cs="宋体"/>
                <w:color w:val="000000"/>
                <w:lang w:bidi="ar"/>
              </w:rPr>
              <w:t>1.核心转写引擎服务</w:t>
            </w:r>
          </w:p>
          <w:p w14:paraId="10940E42">
            <w:pPr>
              <w:widowControl/>
              <w:textAlignment w:val="center"/>
              <w:rPr>
                <w:rFonts w:hint="eastAsia" w:ascii="宋体" w:hAnsi="宋体" w:eastAsia="宋体" w:cs="宋体"/>
                <w:color w:val="auto"/>
                <w:lang w:eastAsia="zh-CN" w:bidi="ar"/>
              </w:rPr>
            </w:pPr>
            <w:r>
              <w:rPr>
                <w:rFonts w:hint="eastAsia" w:ascii="宋体" w:hAnsi="宋体" w:cs="宋体"/>
                <w:color w:val="000000"/>
                <w:lang w:bidi="ar"/>
              </w:rPr>
              <w:t>▲</w:t>
            </w:r>
            <w:r>
              <w:rPr>
                <w:rFonts w:hint="eastAsia" w:ascii="宋体" w:hAnsi="宋体" w:cs="宋体"/>
                <w:color w:val="auto"/>
                <w:lang w:bidi="ar"/>
              </w:rPr>
              <w:t>1.1为满足高校一带一路对外交流和教学需求，需支持中文、英文、俄文连续语音识别与实时转写，支持实时中译英、英译中、中译俄、俄译中。</w:t>
            </w:r>
          </w:p>
          <w:p w14:paraId="54617204">
            <w:pPr>
              <w:widowControl/>
              <w:textAlignment w:val="center"/>
              <w:rPr>
                <w:rFonts w:ascii="宋体" w:hAnsi="宋体" w:cs="宋体"/>
                <w:color w:val="auto"/>
                <w:lang w:bidi="ar"/>
              </w:rPr>
            </w:pPr>
            <w:r>
              <w:rPr>
                <w:rFonts w:hint="eastAsia" w:ascii="宋体" w:hAnsi="宋体" w:cs="宋体"/>
                <w:color w:val="auto"/>
                <w:lang w:bidi="ar"/>
              </w:rPr>
              <w:t>1.2中文转写准确率不低于90%，英文转写准确率不低于80%</w:t>
            </w:r>
          </w:p>
          <w:p w14:paraId="2BDA431E">
            <w:pPr>
              <w:widowControl/>
              <w:textAlignment w:val="center"/>
              <w:rPr>
                <w:rFonts w:hint="eastAsia" w:ascii="宋体" w:hAnsi="宋体" w:eastAsia="宋体" w:cs="宋体"/>
                <w:color w:val="auto"/>
                <w:lang w:eastAsia="zh-CN" w:bidi="ar"/>
              </w:rPr>
            </w:pPr>
            <w:r>
              <w:rPr>
                <w:rFonts w:hint="eastAsia" w:ascii="宋体" w:hAnsi="宋体" w:cs="宋体"/>
                <w:color w:val="auto"/>
                <w:lang w:bidi="ar"/>
              </w:rPr>
              <w:t>1.3支持自动提取出转写文字中的重点和关键点并形成微课关键词；</w:t>
            </w:r>
          </w:p>
          <w:p w14:paraId="0326150B">
            <w:pPr>
              <w:widowControl/>
              <w:textAlignment w:val="center"/>
              <w:rPr>
                <w:rFonts w:ascii="宋体" w:hAnsi="宋体" w:cs="宋体"/>
                <w:color w:val="auto"/>
                <w:highlight w:val="cyan"/>
                <w:lang w:bidi="ar"/>
              </w:rPr>
            </w:pPr>
            <w:r>
              <w:rPr>
                <w:rFonts w:hint="eastAsia" w:ascii="宋体" w:hAnsi="宋体" w:cs="宋体"/>
                <w:color w:val="auto"/>
                <w:lang w:bidi="ar"/>
              </w:rPr>
              <w:t>1.4系统转写翻译交互响应时间需≤200ms</w:t>
            </w:r>
          </w:p>
          <w:p w14:paraId="0FA1844F">
            <w:pPr>
              <w:widowControl/>
              <w:textAlignment w:val="center"/>
              <w:rPr>
                <w:rFonts w:ascii="宋体" w:hAnsi="宋体" w:cs="宋体"/>
                <w:color w:val="000000"/>
                <w:lang w:bidi="ar"/>
              </w:rPr>
            </w:pPr>
            <w:r>
              <w:rPr>
                <w:rFonts w:hint="eastAsia" w:ascii="宋体" w:hAnsi="宋体" w:cs="宋体"/>
                <w:color w:val="000000"/>
                <w:lang w:bidi="ar"/>
              </w:rPr>
              <w:t>1.5系统具有文本顺滑、标点识别、自然语言处理能力，支持优化识别结果。</w:t>
            </w:r>
          </w:p>
          <w:p w14:paraId="4E0660E0">
            <w:pPr>
              <w:widowControl/>
              <w:textAlignment w:val="center"/>
              <w:rPr>
                <w:rFonts w:ascii="宋体" w:hAnsi="宋体" w:cs="宋体"/>
                <w:color w:val="000000"/>
                <w:lang w:bidi="ar"/>
              </w:rPr>
            </w:pPr>
            <w:r>
              <w:rPr>
                <w:rFonts w:hint="eastAsia" w:ascii="宋体" w:hAnsi="宋体" w:cs="宋体"/>
                <w:color w:val="000000"/>
                <w:lang w:bidi="ar"/>
              </w:rPr>
              <w:t>1.6系统具有语气词过滤功能，支持语气词和重复多余的词汇自动过滤功能，以保证文稿的规整性。</w:t>
            </w:r>
          </w:p>
          <w:p w14:paraId="06605C25">
            <w:pPr>
              <w:widowControl/>
              <w:textAlignment w:val="center"/>
              <w:rPr>
                <w:rFonts w:ascii="宋体" w:hAnsi="宋体" w:cs="宋体"/>
                <w:color w:val="000000"/>
                <w:lang w:bidi="ar"/>
              </w:rPr>
            </w:pPr>
            <w:r>
              <w:rPr>
                <w:rFonts w:hint="eastAsia" w:ascii="宋体" w:hAnsi="宋体" w:cs="宋体"/>
                <w:color w:val="000000"/>
                <w:lang w:bidi="ar"/>
              </w:rPr>
              <w:t>2.字幕功能</w:t>
            </w:r>
          </w:p>
          <w:p w14:paraId="543FA42D">
            <w:pPr>
              <w:widowControl/>
              <w:textAlignment w:val="center"/>
              <w:rPr>
                <w:rFonts w:ascii="宋体" w:hAnsi="宋体" w:cs="宋体"/>
                <w:color w:val="000000"/>
                <w:lang w:bidi="ar"/>
              </w:rPr>
            </w:pPr>
            <w:r>
              <w:rPr>
                <w:rFonts w:hint="eastAsia" w:ascii="宋体" w:hAnsi="宋体" w:cs="宋体"/>
                <w:color w:val="000000"/>
                <w:lang w:bidi="ar"/>
              </w:rPr>
              <w:t>2.1支持开始录制前切换转写的字幕语种，转写字幕支持选择切换成中文、英文、俄文、中英混合的语种识别模式。</w:t>
            </w:r>
          </w:p>
          <w:p w14:paraId="7592E080">
            <w:pPr>
              <w:widowControl/>
              <w:textAlignment w:val="center"/>
              <w:rPr>
                <w:rFonts w:ascii="宋体" w:hAnsi="宋体" w:cs="宋体"/>
                <w:color w:val="000000"/>
                <w:lang w:bidi="ar"/>
              </w:rPr>
            </w:pPr>
            <w:r>
              <w:rPr>
                <w:rFonts w:hint="eastAsia" w:ascii="宋体" w:hAnsi="宋体" w:cs="宋体"/>
                <w:color w:val="000000"/>
                <w:lang w:bidi="ar"/>
              </w:rPr>
              <w:t>2.2支持在开始录制前设置翻译字幕语种，当转写字幕为中文、中英混合时翻译字幕可以选择英文、俄文语种。转写字幕为英文、俄文的时候翻译字幕可以选择中文的语种。</w:t>
            </w:r>
          </w:p>
          <w:p w14:paraId="1BC2854E">
            <w:pPr>
              <w:widowControl/>
              <w:textAlignment w:val="center"/>
              <w:rPr>
                <w:rFonts w:ascii="宋体" w:hAnsi="宋体" w:cs="宋体"/>
                <w:color w:val="000000"/>
                <w:lang w:bidi="ar"/>
              </w:rPr>
            </w:pPr>
            <w:r>
              <w:rPr>
                <w:rFonts w:hint="eastAsia" w:ascii="宋体" w:hAnsi="宋体" w:cs="宋体"/>
                <w:color w:val="000000"/>
                <w:lang w:bidi="ar"/>
              </w:rPr>
              <w:t>2.3支持转写及翻译字幕的上屏展示，支持转写、翻译字幕单独或同时上屏展示。</w:t>
            </w:r>
          </w:p>
          <w:p w14:paraId="5113CF12">
            <w:pPr>
              <w:widowControl/>
              <w:textAlignment w:val="center"/>
              <w:rPr>
                <w:rFonts w:ascii="宋体" w:hAnsi="宋体" w:cs="宋体"/>
                <w:color w:val="000000"/>
                <w:lang w:bidi="ar"/>
              </w:rPr>
            </w:pPr>
            <w:r>
              <w:rPr>
                <w:rFonts w:hint="eastAsia" w:ascii="宋体" w:hAnsi="宋体" w:cs="宋体"/>
                <w:color w:val="000000"/>
                <w:lang w:bidi="ar"/>
              </w:rPr>
              <w:t>3.系统录制功能</w:t>
            </w:r>
          </w:p>
          <w:p w14:paraId="6CF6F8EC">
            <w:pPr>
              <w:widowControl/>
              <w:textAlignment w:val="center"/>
              <w:rPr>
                <w:rFonts w:ascii="宋体" w:hAnsi="宋体" w:cs="宋体"/>
                <w:color w:val="000000"/>
                <w:lang w:bidi="ar"/>
              </w:rPr>
            </w:pPr>
            <w:r>
              <w:rPr>
                <w:rFonts w:hint="eastAsia" w:ascii="宋体" w:hAnsi="宋体" w:cs="宋体"/>
                <w:color w:val="000000"/>
                <w:lang w:bidi="ar"/>
              </w:rPr>
              <w:t>3.1支持教师录制的课程独立存储于教师个人账号下。不同账号间的数据进行隔离，保证数据安全性和私密性；</w:t>
            </w:r>
          </w:p>
          <w:p w14:paraId="377E57B5">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3.2系统应支持录制开始后，显示3秒倒计时，避免无效画面被录制</w:t>
            </w:r>
          </w:p>
          <w:p w14:paraId="28617E19">
            <w:pPr>
              <w:widowControl/>
              <w:textAlignment w:val="center"/>
              <w:rPr>
                <w:rFonts w:ascii="宋体" w:hAnsi="宋体" w:cs="宋体"/>
                <w:color w:val="000000"/>
                <w:lang w:bidi="ar"/>
              </w:rPr>
            </w:pPr>
            <w:r>
              <w:rPr>
                <w:rFonts w:hint="eastAsia" w:ascii="宋体" w:hAnsi="宋体" w:cs="宋体"/>
                <w:color w:val="000000"/>
                <w:lang w:bidi="ar"/>
              </w:rPr>
              <w:t>3.3支持用户通过软件一键开启或结束微课录制；</w:t>
            </w:r>
          </w:p>
          <w:p w14:paraId="59A18198">
            <w:pPr>
              <w:widowControl/>
              <w:textAlignment w:val="center"/>
              <w:rPr>
                <w:rFonts w:ascii="宋体" w:hAnsi="宋体" w:cs="宋体"/>
                <w:color w:val="000000"/>
                <w:lang w:bidi="ar"/>
              </w:rPr>
            </w:pPr>
            <w:r>
              <w:rPr>
                <w:rFonts w:hint="eastAsia" w:ascii="宋体" w:hAnsi="宋体" w:cs="宋体"/>
                <w:color w:val="000000"/>
                <w:lang w:bidi="ar"/>
              </w:rPr>
              <w:t>3.4支持同时录制系统和麦克风声音，也可以选择单独录制麦克风或者系统声音；</w:t>
            </w:r>
          </w:p>
          <w:p w14:paraId="0CF016AF">
            <w:pPr>
              <w:widowControl/>
              <w:textAlignment w:val="center"/>
              <w:rPr>
                <w:rFonts w:ascii="宋体" w:hAnsi="宋体" w:cs="宋体"/>
                <w:color w:val="000000"/>
                <w:lang w:bidi="ar"/>
              </w:rPr>
            </w:pPr>
            <w:r>
              <w:rPr>
                <w:rFonts w:hint="eastAsia" w:ascii="宋体" w:hAnsi="宋体" w:cs="宋体"/>
                <w:color w:val="000000"/>
                <w:lang w:bidi="ar"/>
              </w:rPr>
              <w:t>3.5支持根据场景需要灵活设置字幕条的位置、宽高、字幕条透明度、文字的字体、字幕条的显示/隐藏状态，支持全屏显示字幕；</w:t>
            </w:r>
          </w:p>
          <w:p w14:paraId="15A9BB48">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3.6支持结束课程录制时屏幕页面出现二维码，学生可扫码查看课程视频、教师口述稿及对应翻译内容；</w:t>
            </w:r>
          </w:p>
          <w:p w14:paraId="65495F07">
            <w:pPr>
              <w:widowControl/>
              <w:textAlignment w:val="center"/>
              <w:rPr>
                <w:rFonts w:ascii="宋体" w:hAnsi="宋体" w:cs="宋体"/>
                <w:color w:val="000000"/>
                <w:lang w:bidi="ar"/>
              </w:rPr>
            </w:pPr>
            <w:r>
              <w:rPr>
                <w:rFonts w:hint="eastAsia" w:ascii="宋体" w:hAnsi="宋体" w:cs="宋体"/>
                <w:color w:val="000000"/>
                <w:lang w:bidi="ar"/>
              </w:rPr>
              <w:t>3.7支持结束录制的课程自动上传至云端形成教师个人微课库，支持断点续传；</w:t>
            </w:r>
          </w:p>
          <w:p w14:paraId="4FF10F8F">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3.8支持微课分享教师可自主选择是否分享到学校、其他教师或公开链接；</w:t>
            </w:r>
          </w:p>
          <w:p w14:paraId="265F123C">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3.9支持自动提取出转写文字关键内容并形成课程关键词展示在字幕区域；</w:t>
            </w:r>
          </w:p>
          <w:p w14:paraId="21AA1041">
            <w:pPr>
              <w:widowControl/>
              <w:textAlignment w:val="center"/>
              <w:rPr>
                <w:rFonts w:ascii="宋体" w:hAnsi="宋体" w:cs="宋体"/>
                <w:color w:val="000000"/>
                <w:lang w:bidi="ar"/>
              </w:rPr>
            </w:pPr>
            <w:r>
              <w:rPr>
                <w:rFonts w:hint="eastAsia" w:ascii="宋体" w:hAnsi="宋体" w:cs="宋体"/>
                <w:color w:val="000000"/>
                <w:lang w:bidi="ar"/>
              </w:rPr>
              <w:t>3.10支持实录课程中在同一页面展示教学录屏+文本（教师口述稿）+关键帧，支持通过搜索框输入文字的形式进行定位搜索，支持点击文本区域、关键帧、关键要点标识等方式快速精准定位对应视频内容；</w:t>
            </w:r>
          </w:p>
          <w:p w14:paraId="37450779">
            <w:pPr>
              <w:widowControl/>
              <w:textAlignment w:val="center"/>
              <w:rPr>
                <w:rFonts w:ascii="宋体" w:hAnsi="宋体" w:cs="宋体"/>
                <w:color w:val="000000"/>
                <w:lang w:bidi="ar"/>
              </w:rPr>
            </w:pPr>
            <w:r>
              <w:rPr>
                <w:rFonts w:hint="eastAsia" w:ascii="宋体" w:hAnsi="宋体" w:cs="宋体"/>
                <w:color w:val="000000"/>
                <w:lang w:bidi="ar"/>
              </w:rPr>
              <w:t>4系统设置功能</w:t>
            </w:r>
          </w:p>
          <w:p w14:paraId="46B14E5D">
            <w:pPr>
              <w:widowControl/>
              <w:textAlignment w:val="center"/>
              <w:rPr>
                <w:rFonts w:ascii="宋体" w:hAnsi="宋体" w:cs="宋体"/>
                <w:color w:val="000000"/>
                <w:lang w:bidi="ar"/>
              </w:rPr>
            </w:pPr>
            <w:r>
              <w:rPr>
                <w:rFonts w:hint="eastAsia" w:ascii="宋体" w:hAnsi="宋体" w:cs="宋体"/>
                <w:color w:val="000000"/>
                <w:lang w:bidi="ar"/>
              </w:rPr>
              <w:t>4.1字幕设置：支持选择字幕条展开或收起，选择字幕条是否置顶，字幕条展示语种（包括中文、英文、俄文、中英混合等），支持选择双语模式下字幕展示形式，选择字幕字体、字体大小、字体颜色，支持设置字幕条背景透明度；</w:t>
            </w:r>
          </w:p>
          <w:p w14:paraId="7FAAE119">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4.2支持根据场景需要，在录制过程中灵活设置字幕条的位置、宽高、字幕条透明度、字幕条的显示/隐藏状态；支持全屏显示字幕；</w:t>
            </w:r>
          </w:p>
          <w:p w14:paraId="55EBB862">
            <w:pPr>
              <w:widowControl/>
              <w:textAlignment w:val="center"/>
              <w:rPr>
                <w:rFonts w:ascii="宋体" w:hAnsi="宋体" w:cs="宋体"/>
                <w:color w:val="000000"/>
                <w:lang w:bidi="ar"/>
              </w:rPr>
            </w:pPr>
            <w:r>
              <w:rPr>
                <w:rFonts w:hint="eastAsia" w:ascii="宋体" w:hAnsi="宋体" w:cs="宋体"/>
                <w:color w:val="000000"/>
                <w:lang w:bidi="ar"/>
              </w:rPr>
              <w:t>4.3录制设置：支持录制麦克风切换，选择画面源，支持全屏录制，支持选择录制视频质量（应包括流畅、标清、高清、超清）及转写模式混音模式、麦克风模系统音模式；支持设置录制结束是否显示二维码，是否自动保存；</w:t>
            </w:r>
          </w:p>
          <w:p w14:paraId="5C8370D8">
            <w:pPr>
              <w:widowControl/>
              <w:textAlignment w:val="center"/>
              <w:rPr>
                <w:rFonts w:ascii="宋体" w:hAnsi="宋体" w:cs="宋体"/>
                <w:color w:val="000000"/>
                <w:lang w:bidi="ar"/>
              </w:rPr>
            </w:pPr>
            <w:r>
              <w:rPr>
                <w:rFonts w:hint="eastAsia" w:ascii="宋体" w:hAnsi="宋体" w:cs="宋体"/>
                <w:color w:val="000000"/>
                <w:lang w:bidi="ar"/>
              </w:rPr>
              <w:t>4.4专业词库：支持教师添加专业专有名词到词库内，以提升转写识别准确率，添加后应立即生效；</w:t>
            </w:r>
          </w:p>
          <w:p w14:paraId="11B2AD72">
            <w:pPr>
              <w:widowControl/>
              <w:textAlignment w:val="center"/>
              <w:rPr>
                <w:rFonts w:ascii="宋体" w:hAnsi="宋体" w:cs="宋体"/>
                <w:color w:val="000000"/>
                <w:lang w:bidi="ar"/>
              </w:rPr>
            </w:pPr>
            <w:r>
              <w:rPr>
                <w:rFonts w:hint="eastAsia" w:ascii="宋体" w:hAnsi="宋体" w:cs="宋体"/>
                <w:color w:val="000000"/>
                <w:lang w:bidi="ar"/>
              </w:rPr>
              <w:t>5.个人微课管理</w:t>
            </w:r>
          </w:p>
          <w:p w14:paraId="4A247BB0">
            <w:pPr>
              <w:widowControl/>
              <w:textAlignment w:val="center"/>
              <w:rPr>
                <w:rFonts w:ascii="宋体" w:hAnsi="宋体" w:cs="宋体"/>
                <w:color w:val="000000"/>
                <w:lang w:bidi="ar"/>
              </w:rPr>
            </w:pPr>
            <w:r>
              <w:rPr>
                <w:rFonts w:hint="eastAsia" w:ascii="宋体" w:hAnsi="宋体" w:cs="宋体"/>
                <w:color w:val="000000"/>
                <w:lang w:bidi="ar"/>
              </w:rPr>
              <w:t>5.1支持在录制结束后，教师对实录转写内容进行二次编辑，支持通过选择课程时间线进行视频截取和单独存储；</w:t>
            </w:r>
          </w:p>
          <w:p w14:paraId="0F056FF3">
            <w:pPr>
              <w:widowControl/>
              <w:textAlignment w:val="center"/>
              <w:rPr>
                <w:rFonts w:ascii="宋体" w:hAnsi="宋体" w:cs="宋体"/>
                <w:color w:val="000000"/>
                <w:lang w:bidi="ar"/>
              </w:rPr>
            </w:pPr>
            <w:r>
              <w:rPr>
                <w:rFonts w:hint="eastAsia" w:ascii="宋体" w:hAnsi="宋体" w:cs="宋体"/>
                <w:color w:val="000000"/>
                <w:lang w:bidi="ar"/>
              </w:rPr>
              <w:t>5.2支持教师对录制好的课程进行标签打点、视频重命名、移动到其他文件夹、删除微课等操作；</w:t>
            </w:r>
          </w:p>
          <w:p w14:paraId="714E71C6">
            <w:pPr>
              <w:widowControl/>
              <w:textAlignment w:val="center"/>
              <w:rPr>
                <w:rFonts w:ascii="宋体" w:hAnsi="宋体" w:cs="宋体"/>
                <w:color w:val="000000"/>
                <w:lang w:bidi="ar"/>
              </w:rPr>
            </w:pPr>
            <w:r>
              <w:rPr>
                <w:rFonts w:hint="eastAsia" w:ascii="宋体" w:hAnsi="宋体" w:cs="宋体"/>
                <w:color w:val="000000"/>
                <w:lang w:bidi="ar"/>
              </w:rPr>
              <w:t>5.3支持在录制结束后，教师可对转写文本进行修改，支持关键词展示；</w:t>
            </w:r>
          </w:p>
          <w:p w14:paraId="0502EA05">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5.4支持手动视频打点，可以选择视频某一个关键帧设置知识点标签、重难点标签和笔记内容；</w:t>
            </w:r>
          </w:p>
          <w:p w14:paraId="070BD22F">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5.5支持录制好课程内容视频视图播放、图文视图播放，视频视图播放时应支持倍速播放（倍速可选择0.5\0.75\1\1.25\1.5\2倍速）、选择播放视频的声音大小、全屏展示播放；</w:t>
            </w:r>
          </w:p>
          <w:p w14:paraId="54725606">
            <w:pPr>
              <w:widowControl/>
              <w:textAlignment w:val="center"/>
              <w:rPr>
                <w:rFonts w:ascii="宋体" w:hAnsi="宋体" w:cs="宋体"/>
                <w:color w:val="000000"/>
                <w:lang w:bidi="ar"/>
              </w:rPr>
            </w:pPr>
            <w:r>
              <w:rPr>
                <w:rFonts w:hint="eastAsia" w:ascii="宋体" w:hAnsi="宋体" w:cs="宋体"/>
                <w:color w:val="000000"/>
                <w:lang w:bidi="ar"/>
              </w:rPr>
              <w:t>5.6支持课程内容下载功能，支持下载视频文件、下载字幕、下载音频，下载视频时可以选择下载的视频范围。</w:t>
            </w:r>
          </w:p>
          <w:p w14:paraId="388CF43E">
            <w:pPr>
              <w:widowControl/>
              <w:textAlignment w:val="center"/>
              <w:rPr>
                <w:rFonts w:ascii="宋体" w:hAnsi="宋体" w:cs="宋体"/>
                <w:color w:val="000000"/>
                <w:lang w:bidi="ar"/>
              </w:rPr>
            </w:pPr>
            <w:r>
              <w:rPr>
                <w:rFonts w:hint="eastAsia" w:ascii="宋体" w:hAnsi="宋体" w:cs="宋体"/>
                <w:color w:val="000000"/>
                <w:lang w:bidi="ar"/>
              </w:rPr>
              <w:t>6微课资源管理</w:t>
            </w:r>
          </w:p>
          <w:p w14:paraId="175443CA">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6.1微课管理：支持录制结束后，院校的管理员在后台查看对应院系和学校全部的微课资源。同时支持教师自己的微课分享到学校课程中心、分享给其他教师或公开链接分享。</w:t>
            </w:r>
          </w:p>
          <w:p w14:paraId="775A03D1">
            <w:pPr>
              <w:widowControl/>
              <w:textAlignment w:val="center"/>
              <w:rPr>
                <w:rFonts w:ascii="宋体" w:hAnsi="宋体" w:cs="宋体"/>
                <w:color w:val="000000"/>
                <w:lang w:bidi="ar"/>
              </w:rPr>
            </w:pPr>
            <w:r>
              <w:rPr>
                <w:rFonts w:hint="eastAsia" w:ascii="宋体" w:hAnsi="宋体" w:cs="宋体"/>
                <w:color w:val="000000"/>
                <w:lang w:bidi="ar"/>
              </w:rPr>
              <w:t>6.2支持学校管理员和学院管理员对全校/全院系微课资源的管理，支持对封面、教师名称、资源名称、上传时间的列表查看，支持修改微课名称。</w:t>
            </w:r>
          </w:p>
          <w:p w14:paraId="1FA5FEBD">
            <w:pPr>
              <w:widowControl/>
              <w:textAlignment w:val="center"/>
              <w:rPr>
                <w:rFonts w:ascii="宋体" w:hAnsi="宋体" w:cs="宋体"/>
                <w:color w:val="000000"/>
                <w:lang w:bidi="ar"/>
              </w:rPr>
            </w:pPr>
            <w:r>
              <w:rPr>
                <w:rFonts w:hint="eastAsia" w:ascii="宋体" w:hAnsi="宋体" w:cs="宋体"/>
                <w:color w:val="000000"/>
                <w:lang w:bidi="ar"/>
              </w:rPr>
              <w:t>6.3微课数据看板：支持按微课总量、按学院专业进行微课数据统计，支持教师上传微课数量统计、支持微课的观看、点赞、评论量统计；</w:t>
            </w:r>
          </w:p>
        </w:tc>
        <w:tc>
          <w:tcPr>
            <w:tcW w:w="620" w:type="dxa"/>
            <w:tcBorders>
              <w:top w:val="single" w:color="000000" w:sz="4" w:space="0"/>
              <w:left w:val="single" w:color="000000" w:sz="4" w:space="0"/>
              <w:bottom w:val="single" w:color="000000" w:sz="4" w:space="0"/>
              <w:right w:val="single" w:color="000000" w:sz="4" w:space="0"/>
            </w:tcBorders>
            <w:vAlign w:val="center"/>
          </w:tcPr>
          <w:p w14:paraId="177F03D0">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130769E2">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62B3A28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E6F53DA">
            <w:pPr>
              <w:widowControl/>
              <w:jc w:val="center"/>
              <w:textAlignment w:val="center"/>
              <w:rPr>
                <w:rFonts w:ascii="宋体" w:hAnsi="宋体" w:cs="宋体"/>
                <w:color w:val="000000"/>
              </w:rPr>
            </w:pPr>
            <w:r>
              <w:rPr>
                <w:rFonts w:hint="eastAsia" w:ascii="宋体" w:hAnsi="宋体" w:cs="宋体"/>
                <w:color w:val="000000"/>
                <w:lang w:bidi="ar"/>
              </w:rPr>
              <w:t>25</w:t>
            </w:r>
          </w:p>
        </w:tc>
        <w:tc>
          <w:tcPr>
            <w:tcW w:w="1925" w:type="dxa"/>
            <w:gridSpan w:val="3"/>
            <w:tcBorders>
              <w:top w:val="single" w:color="000000" w:sz="4" w:space="0"/>
              <w:left w:val="single" w:color="000000" w:sz="4" w:space="0"/>
              <w:bottom w:val="single" w:color="000000" w:sz="4" w:space="0"/>
              <w:right w:val="single" w:color="000000" w:sz="4" w:space="0"/>
            </w:tcBorders>
            <w:noWrap/>
            <w:vAlign w:val="center"/>
          </w:tcPr>
          <w:p w14:paraId="01B4B858">
            <w:pPr>
              <w:widowControl/>
              <w:jc w:val="center"/>
              <w:textAlignment w:val="center"/>
              <w:rPr>
                <w:rFonts w:ascii="宋体" w:hAnsi="宋体" w:cs="宋体"/>
                <w:color w:val="000000"/>
              </w:rPr>
            </w:pPr>
            <w:r>
              <w:rPr>
                <w:rFonts w:hint="eastAsia" w:ascii="宋体" w:hAnsi="宋体" w:cs="宋体"/>
                <w:color w:val="000000"/>
                <w:lang w:bidi="ar"/>
              </w:rPr>
              <w:t>应急终端</w:t>
            </w:r>
            <w:r>
              <w:rPr>
                <w:rFonts w:hint="eastAsia" w:ascii="宋体" w:hAnsi="宋体" w:cs="宋体"/>
                <w:color w:val="000000"/>
                <w:lang w:val="en-US" w:eastAsia="zh-CN" w:bidi="ar"/>
              </w:rPr>
              <w:t>设备</w:t>
            </w:r>
            <w:r>
              <w:rPr>
                <w:rFonts w:hint="eastAsia" w:ascii="宋体" w:hAnsi="宋体" w:cs="宋体"/>
                <w:color w:val="000000"/>
                <w:lang w:bidi="ar"/>
              </w:rPr>
              <w:t>（含支架）</w:t>
            </w:r>
          </w:p>
        </w:tc>
        <w:tc>
          <w:tcPr>
            <w:tcW w:w="5430" w:type="dxa"/>
            <w:tcBorders>
              <w:top w:val="single" w:color="000000" w:sz="4" w:space="0"/>
              <w:left w:val="single" w:color="000000" w:sz="4" w:space="0"/>
              <w:bottom w:val="single" w:color="000000" w:sz="4" w:space="0"/>
              <w:right w:val="single" w:color="000000" w:sz="4" w:space="0"/>
            </w:tcBorders>
            <w:noWrap/>
            <w:vAlign w:val="center"/>
          </w:tcPr>
          <w:p w14:paraId="2FF3F1F1">
            <w:pPr>
              <w:widowControl/>
              <w:textAlignment w:val="center"/>
              <w:rPr>
                <w:rFonts w:ascii="宋体" w:hAnsi="宋体" w:cs="宋体"/>
                <w:color w:val="000000"/>
                <w:lang w:bidi="ar"/>
              </w:rPr>
            </w:pPr>
            <w:r>
              <w:rPr>
                <w:rFonts w:hint="eastAsia" w:ascii="宋体" w:hAnsi="宋体" w:cs="宋体"/>
                <w:color w:val="000000"/>
                <w:lang w:bidi="ar"/>
              </w:rPr>
              <w:t>一、硬件部分</w:t>
            </w:r>
          </w:p>
          <w:p w14:paraId="425521FA">
            <w:pPr>
              <w:widowControl/>
              <w:textAlignment w:val="center"/>
              <w:rPr>
                <w:rFonts w:ascii="宋体" w:hAnsi="宋体" w:cs="宋体"/>
                <w:color w:val="000000"/>
                <w:lang w:bidi="ar"/>
              </w:rPr>
            </w:pPr>
            <w:r>
              <w:rPr>
                <w:rFonts w:hint="eastAsia" w:ascii="宋体" w:hAnsi="宋体" w:cs="宋体"/>
                <w:color w:val="000000"/>
                <w:lang w:bidi="ar"/>
              </w:rPr>
              <w:t>1、液晶屏：尺寸≥55英寸，显示比例（16</w:t>
            </w:r>
            <w:r>
              <w:rPr>
                <w:rFonts w:hint="eastAsia" w:ascii="宋体" w:hAnsi="宋体" w:cs="宋体"/>
                <w:color w:val="000000"/>
                <w:lang w:eastAsia="zh-CN" w:bidi="ar"/>
              </w:rPr>
              <w:t>:</w:t>
            </w:r>
            <w:r>
              <w:rPr>
                <w:rFonts w:hint="eastAsia" w:ascii="宋体" w:hAnsi="宋体" w:cs="宋体"/>
                <w:color w:val="000000"/>
                <w:lang w:bidi="ar"/>
              </w:rPr>
              <w:t>9） ，A级液晶LED显示屏；</w:t>
            </w:r>
          </w:p>
          <w:p w14:paraId="7DC8E981">
            <w:pPr>
              <w:widowControl/>
              <w:textAlignment w:val="center"/>
              <w:rPr>
                <w:rFonts w:ascii="宋体" w:hAnsi="宋体" w:cs="宋体"/>
                <w:color w:val="000000"/>
                <w:highlight w:val="cyan"/>
                <w:lang w:bidi="ar"/>
              </w:rPr>
            </w:pPr>
            <w:r>
              <w:rPr>
                <w:rFonts w:hint="eastAsia" w:ascii="宋体" w:hAnsi="宋体" w:cs="宋体"/>
                <w:color w:val="000000"/>
                <w:lang w:bidi="ar"/>
              </w:rPr>
              <w:t>2、分辨率：≥3840*2160；亮度≥350cd/m，对比度≥8000:1，色彩覆盖率≥NTSC 95%；</w:t>
            </w:r>
          </w:p>
          <w:p w14:paraId="7E8B2260">
            <w:pPr>
              <w:widowControl/>
              <w:textAlignment w:val="center"/>
              <w:rPr>
                <w:rFonts w:ascii="宋体" w:hAnsi="宋体" w:cs="宋体"/>
                <w:color w:val="000000"/>
                <w:lang w:bidi="ar"/>
              </w:rPr>
            </w:pPr>
            <w:r>
              <w:rPr>
                <w:rFonts w:hint="eastAsia" w:ascii="宋体" w:hAnsi="宋体" w:cs="宋体"/>
                <w:color w:val="000000"/>
                <w:lang w:bidi="ar"/>
              </w:rPr>
              <w:t>3、红外感应支持20点触控及书写；</w:t>
            </w:r>
          </w:p>
          <w:p w14:paraId="0B0A3EE9">
            <w:pPr>
              <w:widowControl/>
              <w:textAlignment w:val="center"/>
              <w:rPr>
                <w:rFonts w:ascii="宋体" w:hAnsi="宋体" w:cs="宋体"/>
                <w:color w:val="000000"/>
                <w:lang w:eastAsia="zh-Hans" w:bidi="ar"/>
              </w:rPr>
            </w:pPr>
            <w:r>
              <w:rPr>
                <w:rFonts w:hint="eastAsia" w:ascii="宋体" w:hAnsi="宋体" w:cs="宋体"/>
                <w:color w:val="000000"/>
                <w:lang w:bidi="ar"/>
              </w:rPr>
              <w:t>▲4、前置接口按键：HDMI*1（非转接）、USB 3.0*3、Type-C*1；USB支持同时在Windows及Android系统下被读取</w:t>
            </w:r>
            <w:r>
              <w:rPr>
                <w:rFonts w:hint="eastAsia" w:ascii="宋体" w:hAnsi="宋体" w:cs="宋体"/>
                <w:color w:val="000000"/>
                <w:lang w:eastAsia="zh-Hans" w:bidi="ar"/>
              </w:rPr>
              <w:t>：具有不少于7个带中文标识按键，至少包含录屏、图像比例、音量</w:t>
            </w:r>
            <w:r>
              <w:rPr>
                <w:rFonts w:hint="eastAsia" w:ascii="宋体" w:hAnsi="宋体" w:cs="宋体"/>
                <w:color w:val="000000"/>
                <w:lang w:bidi="ar"/>
              </w:rPr>
              <w:t>－</w:t>
            </w:r>
            <w:r>
              <w:rPr>
                <w:rFonts w:hint="eastAsia" w:ascii="宋体" w:hAnsi="宋体" w:cs="宋体"/>
                <w:color w:val="000000"/>
                <w:lang w:eastAsia="zh-Hans" w:bidi="ar"/>
              </w:rPr>
              <w:t>、音量+、护眼、电源等；</w:t>
            </w:r>
          </w:p>
          <w:p w14:paraId="20018B4D">
            <w:pPr>
              <w:widowControl/>
              <w:textAlignment w:val="center"/>
              <w:rPr>
                <w:rFonts w:ascii="宋体" w:hAnsi="宋体" w:cs="宋体"/>
                <w:color w:val="000000"/>
                <w:lang w:bidi="ar"/>
              </w:rPr>
            </w:pPr>
            <w:r>
              <w:rPr>
                <w:rFonts w:hint="eastAsia" w:ascii="宋体" w:hAnsi="宋体" w:cs="宋体"/>
                <w:color w:val="000000"/>
                <w:lang w:bidi="ar"/>
              </w:rPr>
              <w:t>▲5、为保证产品稳定性和安全性，采用3mm或4mm厚AG钢化玻璃，防眩光，减少玻璃反射光的影响，反射率小于1，透光率≥95%，表面硬度≥莫氏9级，大于石墨1—9H等级，表面书写膜硬度≥2H，雾度≤5%；</w:t>
            </w:r>
          </w:p>
          <w:p w14:paraId="152CFDBC">
            <w:pPr>
              <w:widowControl/>
              <w:textAlignment w:val="center"/>
              <w:rPr>
                <w:rFonts w:ascii="宋体" w:hAnsi="宋体" w:cs="宋体"/>
                <w:color w:val="000000"/>
                <w:lang w:bidi="ar"/>
              </w:rPr>
            </w:pPr>
            <w:r>
              <w:rPr>
                <w:rFonts w:hint="eastAsia" w:ascii="宋体" w:hAnsi="宋体" w:cs="宋体"/>
                <w:color w:val="000000"/>
                <w:lang w:bidi="ar"/>
              </w:rPr>
              <w:t>6、采用高强度铝合金结构，表面为汽车烤漆、抗冲击、抗腐蚀、便于散热，边角位无锐角设计确保教学安全；</w:t>
            </w:r>
          </w:p>
          <w:p w14:paraId="70B0DC79">
            <w:pPr>
              <w:widowControl/>
              <w:textAlignment w:val="center"/>
              <w:rPr>
                <w:rFonts w:ascii="宋体" w:hAnsi="宋体" w:cs="宋体"/>
                <w:color w:val="000000"/>
                <w:lang w:bidi="ar"/>
              </w:rPr>
            </w:pPr>
            <w:r>
              <w:rPr>
                <w:rFonts w:hint="eastAsia" w:ascii="宋体" w:hAnsi="宋体" w:cs="宋体"/>
                <w:color w:val="000000"/>
                <w:lang w:bidi="ar"/>
              </w:rPr>
              <w:t>7、红外框防光干扰：在触摸屏的各个角度用白炽灯发射400K LX光强度的光进行干扰仍能正常书写；</w:t>
            </w:r>
          </w:p>
          <w:p w14:paraId="4530D274">
            <w:pPr>
              <w:widowControl/>
              <w:textAlignment w:val="center"/>
              <w:rPr>
                <w:rFonts w:ascii="宋体" w:hAnsi="宋体" w:cs="宋体"/>
                <w:color w:val="000000"/>
                <w:lang w:bidi="ar"/>
              </w:rPr>
            </w:pPr>
            <w:r>
              <w:rPr>
                <w:rFonts w:hint="eastAsia" w:ascii="宋体" w:hAnsi="宋体" w:cs="宋体"/>
                <w:color w:val="000000"/>
                <w:lang w:bidi="ar"/>
              </w:rPr>
              <w:t>8、自动节能：通过设置相关操作，可以设置整机在一段时间内无人操作或无信号源接入，可自动关机；</w:t>
            </w:r>
          </w:p>
          <w:p w14:paraId="5B6524E0">
            <w:pPr>
              <w:widowControl/>
              <w:textAlignment w:val="center"/>
              <w:rPr>
                <w:rFonts w:ascii="宋体" w:hAnsi="宋体" w:cs="宋体"/>
                <w:color w:val="000000"/>
                <w:lang w:bidi="ar"/>
              </w:rPr>
            </w:pPr>
            <w:r>
              <w:rPr>
                <w:rFonts w:hint="eastAsia" w:ascii="宋体" w:hAnsi="宋体" w:cs="宋体"/>
                <w:color w:val="000000"/>
                <w:lang w:bidi="ar"/>
              </w:rPr>
              <w:t>9、Android 主板不低于四核CPU，ROM 不低于16GB，RAM 不低于2G，不低于 Android 11.0操作系统；</w:t>
            </w:r>
          </w:p>
          <w:p w14:paraId="7732CE12">
            <w:pPr>
              <w:widowControl/>
              <w:textAlignment w:val="center"/>
              <w:rPr>
                <w:rFonts w:ascii="宋体" w:hAnsi="宋体" w:cs="宋体"/>
                <w:color w:val="000000"/>
                <w:lang w:bidi="ar"/>
              </w:rPr>
            </w:pPr>
            <w:r>
              <w:rPr>
                <w:rFonts w:hint="eastAsia" w:ascii="宋体" w:hAnsi="宋体" w:cs="宋体"/>
                <w:color w:val="000000"/>
                <w:lang w:bidi="ar"/>
              </w:rPr>
              <w:t>10、整机采用防火防护外壳设计，满足 GB4943.1-2011 标准的防火要求；</w:t>
            </w:r>
          </w:p>
          <w:p w14:paraId="7AC43692">
            <w:pPr>
              <w:widowControl/>
              <w:textAlignment w:val="center"/>
              <w:rPr>
                <w:rFonts w:ascii="宋体" w:hAnsi="宋体" w:cs="宋体"/>
                <w:color w:val="000000"/>
                <w:lang w:bidi="ar"/>
              </w:rPr>
            </w:pPr>
            <w:r>
              <w:rPr>
                <w:rFonts w:hint="eastAsia" w:ascii="宋体" w:hAnsi="宋体" w:cs="宋体"/>
                <w:color w:val="000000"/>
                <w:lang w:bidi="ar"/>
              </w:rPr>
              <w:t>11、触摸防遮挡功能：在屏幕上任意取四个测试点，每个测试点连续遮挡1-10个红外发射灯光，然后从未遮挡的区域向遮挡区域连续划线跨过遮挡区域，进行书写，触摸接收器在单点或多点遮挡后仍能正常书写，笔记连贯、无断线；</w:t>
            </w:r>
          </w:p>
          <w:p w14:paraId="6943A182">
            <w:pPr>
              <w:widowControl/>
              <w:textAlignment w:val="center"/>
              <w:rPr>
                <w:rFonts w:ascii="宋体" w:hAnsi="宋体" w:cs="宋体"/>
                <w:color w:val="000000"/>
                <w:lang w:bidi="ar"/>
              </w:rPr>
            </w:pPr>
            <w:r>
              <w:rPr>
                <w:rFonts w:hint="eastAsia" w:ascii="宋体" w:hAnsi="宋体" w:cs="宋体"/>
                <w:color w:val="000000"/>
                <w:lang w:eastAsia="zh-Hans" w:bidi="ar"/>
              </w:rPr>
              <w:t>▲</w:t>
            </w:r>
            <w:r>
              <w:rPr>
                <w:rFonts w:hint="eastAsia" w:ascii="宋体" w:hAnsi="宋体" w:cs="宋体"/>
                <w:color w:val="000000"/>
                <w:lang w:bidi="ar"/>
              </w:rPr>
              <w:t>12、</w:t>
            </w:r>
            <w:r>
              <w:rPr>
                <w:rFonts w:hint="eastAsia" w:ascii="宋体" w:hAnsi="宋体" w:cs="宋体"/>
                <w:color w:val="000000"/>
                <w:lang w:eastAsia="zh-Hans" w:bidi="ar"/>
              </w:rPr>
              <w:t>整机采用硬件低蓝光背光技术，在源头减少有害蓝光波段能量，蓝光占比</w:t>
            </w:r>
            <w:r>
              <w:rPr>
                <w:rFonts w:hint="eastAsia" w:ascii="宋体" w:hAnsi="宋体" w:cs="宋体"/>
                <w:color w:val="000000"/>
                <w:lang w:bidi="ar"/>
              </w:rPr>
              <w:t>（</w:t>
            </w:r>
            <w:r>
              <w:rPr>
                <w:rFonts w:hint="eastAsia" w:ascii="宋体" w:hAnsi="宋体" w:cs="宋体"/>
                <w:color w:val="000000"/>
                <w:lang w:eastAsia="zh-Hans" w:bidi="ar"/>
              </w:rPr>
              <w:t>有害蓝光415~455nm能量综合</w:t>
            </w:r>
            <w:r>
              <w:rPr>
                <w:rFonts w:hint="eastAsia" w:ascii="宋体" w:hAnsi="宋体" w:cs="宋体"/>
                <w:color w:val="000000"/>
                <w:lang w:bidi="ar"/>
              </w:rPr>
              <w:t>）</w:t>
            </w:r>
            <w:r>
              <w:rPr>
                <w:rFonts w:hint="eastAsia" w:ascii="宋体" w:hAnsi="宋体" w:cs="宋体"/>
                <w:color w:val="000000"/>
                <w:lang w:eastAsia="zh-Hans" w:bidi="ar"/>
              </w:rPr>
              <w:t>/</w:t>
            </w:r>
            <w:r>
              <w:rPr>
                <w:rFonts w:hint="eastAsia" w:ascii="宋体" w:hAnsi="宋体" w:cs="宋体"/>
                <w:color w:val="000000"/>
                <w:lang w:bidi="ar"/>
              </w:rPr>
              <w:t>（</w:t>
            </w:r>
            <w:r>
              <w:rPr>
                <w:rFonts w:hint="eastAsia" w:ascii="宋体" w:hAnsi="宋体" w:cs="宋体"/>
                <w:color w:val="000000"/>
                <w:lang w:eastAsia="zh-Hans" w:bidi="ar"/>
              </w:rPr>
              <w:t>整体蓝光 400~500能量综合</w:t>
            </w:r>
            <w:r>
              <w:rPr>
                <w:rFonts w:hint="eastAsia" w:ascii="宋体" w:hAnsi="宋体" w:cs="宋体"/>
                <w:color w:val="000000"/>
                <w:lang w:bidi="ar"/>
              </w:rPr>
              <w:t>）</w:t>
            </w:r>
            <w:r>
              <w:rPr>
                <w:rFonts w:hint="eastAsia" w:ascii="宋体" w:hAnsi="宋体" w:cs="宋体"/>
                <w:color w:val="000000"/>
                <w:lang w:eastAsia="zh-Hans" w:bidi="ar"/>
              </w:rPr>
              <w:t>&lt;30%，低蓝光保护显示不偏色、不泛黄；一体机通过人眼视觉舒适度（VICO）测试后，其视觉舒适度指数达到A+级以上标准；</w:t>
            </w:r>
          </w:p>
          <w:p w14:paraId="67E7D788">
            <w:pPr>
              <w:widowControl/>
              <w:textAlignment w:val="center"/>
              <w:rPr>
                <w:rFonts w:ascii="宋体" w:hAnsi="宋体" w:cs="宋体"/>
                <w:color w:val="000000"/>
                <w:lang w:eastAsia="zh-Hans" w:bidi="ar"/>
              </w:rPr>
            </w:pPr>
            <w:r>
              <w:rPr>
                <w:rFonts w:hint="eastAsia" w:ascii="宋体" w:hAnsi="宋体" w:cs="宋体"/>
                <w:color w:val="000000"/>
                <w:lang w:eastAsia="zh-Hans" w:bidi="ar"/>
              </w:rPr>
              <w:t>1</w:t>
            </w:r>
            <w:r>
              <w:rPr>
                <w:rFonts w:hint="eastAsia" w:ascii="宋体" w:hAnsi="宋体" w:cs="宋体"/>
                <w:color w:val="000000"/>
                <w:lang w:bidi="ar"/>
              </w:rPr>
              <w:t>3</w:t>
            </w:r>
            <w:r>
              <w:rPr>
                <w:rFonts w:hint="eastAsia" w:ascii="宋体" w:hAnsi="宋体" w:cs="宋体"/>
                <w:color w:val="000000"/>
                <w:lang w:eastAsia="zh-Hans" w:bidi="ar"/>
              </w:rPr>
              <w:t>、为方便排查问题，需提供硬件系统检测，对系统内存、存储、内嵌电脑、屏温监控等提供信息；</w:t>
            </w:r>
          </w:p>
          <w:p w14:paraId="71D0EB67">
            <w:pPr>
              <w:widowControl/>
              <w:textAlignment w:val="center"/>
              <w:rPr>
                <w:rFonts w:ascii="宋体" w:hAnsi="宋体" w:cs="宋体"/>
                <w:color w:val="000000"/>
                <w:lang w:eastAsia="zh-Hans" w:bidi="ar"/>
              </w:rPr>
            </w:pPr>
            <w:r>
              <w:rPr>
                <w:rFonts w:hint="eastAsia" w:ascii="宋体" w:hAnsi="宋体" w:cs="宋体"/>
                <w:color w:val="000000"/>
                <w:lang w:eastAsia="zh-Hans" w:bidi="ar"/>
              </w:rPr>
              <w:t>1</w:t>
            </w:r>
            <w:r>
              <w:rPr>
                <w:rFonts w:hint="eastAsia" w:ascii="宋体" w:hAnsi="宋体" w:cs="宋体"/>
                <w:color w:val="000000"/>
                <w:lang w:bidi="ar"/>
              </w:rPr>
              <w:t>4</w:t>
            </w:r>
            <w:r>
              <w:rPr>
                <w:rFonts w:hint="eastAsia" w:ascii="宋体" w:hAnsi="宋体" w:cs="宋体"/>
                <w:color w:val="000000"/>
                <w:lang w:eastAsia="zh-Hans" w:bidi="ar"/>
              </w:rPr>
              <w:t>、具备任意通道下无需点击物理按键，可随时调用计算器、日历等小工具，并支持拖拽及关闭；</w:t>
            </w:r>
          </w:p>
          <w:p w14:paraId="194E28EE">
            <w:pPr>
              <w:widowControl/>
              <w:textAlignment w:val="center"/>
              <w:rPr>
                <w:rFonts w:ascii="宋体" w:hAnsi="宋体" w:cs="宋体"/>
                <w:color w:val="000000"/>
                <w:lang w:bidi="ar"/>
              </w:rPr>
            </w:pPr>
            <w:r>
              <w:rPr>
                <w:rFonts w:hint="eastAsia" w:ascii="宋体" w:hAnsi="宋体" w:cs="宋体"/>
                <w:color w:val="000000"/>
                <w:lang w:bidi="ar"/>
              </w:rPr>
              <w:t>15、采用Intel酷睿I5 第十代或以上处理器、8GB或以上内存、256G或以上固态硬盘；开放式可插接INTEL规范接口（OPS接口），双面合计80针。</w:t>
            </w:r>
          </w:p>
          <w:p w14:paraId="700BF7D0">
            <w:pPr>
              <w:widowControl/>
              <w:textAlignment w:val="center"/>
              <w:rPr>
                <w:rFonts w:ascii="宋体" w:hAnsi="宋体" w:cs="宋体"/>
                <w:color w:val="000000"/>
                <w:lang w:bidi="ar"/>
              </w:rPr>
            </w:pPr>
            <w:r>
              <w:rPr>
                <w:rFonts w:hint="eastAsia" w:ascii="宋体" w:hAnsi="宋体" w:cs="宋体"/>
                <w:color w:val="000000"/>
                <w:lang w:bidi="ar"/>
              </w:rPr>
              <w:t>（二）软件部分：</w:t>
            </w:r>
          </w:p>
          <w:p w14:paraId="6301A4DC">
            <w:pPr>
              <w:widowControl/>
              <w:textAlignment w:val="center"/>
              <w:rPr>
                <w:rFonts w:ascii="宋体" w:hAnsi="宋体" w:cs="宋体"/>
                <w:color w:val="000000"/>
                <w:highlight w:val="cyan"/>
                <w:lang w:bidi="ar"/>
              </w:rPr>
            </w:pPr>
            <w:r>
              <w:rPr>
                <w:rFonts w:hint="eastAsia" w:ascii="宋体" w:hAnsi="宋体" w:cs="宋体"/>
                <w:color w:val="000000"/>
                <w:lang w:bidi="ar"/>
              </w:rPr>
              <w:t>1、软件图标配中文标识：软件上的大多数按钮和图标都配有标识（不是鼠标移上去才显示的方式），以方便用户迅速、直观地理解按钮或图标的含义，增强软件易用性。</w:t>
            </w:r>
          </w:p>
          <w:p w14:paraId="7C396F5D">
            <w:pPr>
              <w:widowControl/>
              <w:textAlignment w:val="center"/>
              <w:rPr>
                <w:rFonts w:ascii="宋体" w:hAnsi="宋体" w:cs="宋体"/>
                <w:color w:val="000000"/>
                <w:lang w:bidi="ar"/>
              </w:rPr>
            </w:pPr>
            <w:r>
              <w:rPr>
                <w:rFonts w:hint="eastAsia" w:ascii="宋体" w:hAnsi="宋体" w:cs="宋体"/>
                <w:color w:val="000000"/>
                <w:lang w:bidi="ar"/>
              </w:rPr>
              <w:t>2、批注状态切换明确：软件提供明确的、突出的，并且唯一的图标或按钮来指示用户书写和鼠标两种状态的一键切换，方便教师快速上手。切换为书写状态时，保留用户原来操作的背景，不能新建一个页面，方便用户进行对各种运行的软件和文档进行标注。</w:t>
            </w:r>
          </w:p>
          <w:p w14:paraId="16BF1D30">
            <w:pPr>
              <w:widowControl/>
              <w:textAlignment w:val="center"/>
              <w:rPr>
                <w:rFonts w:ascii="宋体" w:hAnsi="宋体" w:cs="宋体"/>
                <w:color w:val="000000"/>
                <w:lang w:bidi="ar"/>
              </w:rPr>
            </w:pPr>
            <w:r>
              <w:rPr>
                <w:rFonts w:hint="eastAsia" w:ascii="宋体" w:hAnsi="宋体" w:cs="宋体"/>
                <w:color w:val="000000"/>
                <w:lang w:bidi="ar"/>
              </w:rPr>
              <w:t>3、写画擦智能识别和无缝切换：能智能识别出用户书写、绘制几何图形、手掌擦除三种最常用的操作。</w:t>
            </w:r>
          </w:p>
          <w:p w14:paraId="6DD564B1">
            <w:pPr>
              <w:widowControl/>
              <w:textAlignment w:val="center"/>
              <w:rPr>
                <w:rFonts w:ascii="宋体" w:hAnsi="宋体" w:cs="宋体"/>
                <w:color w:val="000000"/>
                <w:lang w:bidi="ar"/>
              </w:rPr>
            </w:pPr>
            <w:r>
              <w:rPr>
                <w:rFonts w:hint="eastAsia" w:ascii="宋体" w:hAnsi="宋体" w:cs="宋体"/>
                <w:color w:val="000000"/>
                <w:lang w:bidi="ar"/>
              </w:rPr>
              <w:t>行为并正确响应，实现这三种功能用户不需要切换或选择不同的工具或笔，大大方便教师最常用的三种操作。软件智能识别到所绘制的几何图形软件后，可进行智能修正，例如让几何图形的线更直、弧更圆滑，而且所绘制的多边形支持进一步编辑顶点、支持顶点拉伸以及显示图形内各角度数和各边长度。</w:t>
            </w:r>
          </w:p>
          <w:p w14:paraId="7CB8D103">
            <w:pPr>
              <w:widowControl/>
              <w:textAlignment w:val="center"/>
              <w:rPr>
                <w:rFonts w:ascii="宋体" w:hAnsi="宋体" w:cs="宋体"/>
                <w:color w:val="000000"/>
                <w:lang w:bidi="ar"/>
              </w:rPr>
            </w:pPr>
            <w:r>
              <w:rPr>
                <w:rFonts w:hint="eastAsia" w:ascii="宋体" w:hAnsi="宋体" w:cs="宋体"/>
                <w:color w:val="000000"/>
                <w:lang w:bidi="ar"/>
              </w:rPr>
              <w:t>4、书写标注功能：提供至少包括普通笔、工具笔、荧光笔、强调笔、毛笔、排笔、钢笔、纹理笔、竹笔在内至少10种笔，毛笔字的书写要求具有笔锋，工具笔除了可书写外，还可以实现探照灯、放大镜功能；强调笔闪烁后消失。</w:t>
            </w:r>
          </w:p>
          <w:p w14:paraId="4BE1B239">
            <w:pPr>
              <w:widowControl/>
              <w:textAlignment w:val="center"/>
              <w:rPr>
                <w:rFonts w:ascii="宋体" w:hAnsi="宋体" w:cs="宋体"/>
                <w:color w:val="000000"/>
                <w:lang w:bidi="ar"/>
              </w:rPr>
            </w:pPr>
            <w:r>
              <w:rPr>
                <w:rFonts w:hint="eastAsia" w:ascii="宋体" w:hAnsi="宋体" w:cs="宋体"/>
                <w:color w:val="000000"/>
                <w:lang w:bidi="ar"/>
              </w:rPr>
              <w:t>5、菜单隐藏、锁定和跟随功能：支持一键收起和展开菜单面板，收起后在增加书写面积的同时保留了批注、擦除、撤销重做等常用功能按钮。支持通过把软件拖动到屏幕左/右边界，软件全部菜单自动隐藏，可最大化利用屏幕空间，并支持一键还原软件的全部功能菜单。支持软件菜单锁定在页面上，方便用户对该菜单子功能的频繁来回操作。同时支持点击屏幕左右任一端的软件快捷键，实现白板软件即刻跟随到同一端，方便老师左右快捷调取软件功能，不用来回走动。</w:t>
            </w:r>
          </w:p>
          <w:p w14:paraId="26F004B1">
            <w:pPr>
              <w:widowControl/>
              <w:textAlignment w:val="center"/>
              <w:rPr>
                <w:rFonts w:ascii="宋体" w:hAnsi="宋体" w:cs="宋体"/>
                <w:color w:val="000000"/>
                <w:lang w:bidi="ar"/>
              </w:rPr>
            </w:pPr>
            <w:r>
              <w:rPr>
                <w:rFonts w:hint="eastAsia" w:ascii="宋体" w:hAnsi="宋体" w:cs="宋体"/>
                <w:color w:val="000000"/>
                <w:lang w:bidi="ar"/>
              </w:rPr>
              <w:t>6、图形绘制和填充：支持绘制包含矩形、椭圆形、圆形、平行四边形、梯形、三角形、角和弧线等。</w:t>
            </w:r>
          </w:p>
          <w:p w14:paraId="539F8355">
            <w:pPr>
              <w:widowControl/>
              <w:textAlignment w:val="center"/>
              <w:rPr>
                <w:rFonts w:ascii="宋体" w:hAnsi="宋体" w:cs="宋体"/>
                <w:color w:val="000000"/>
                <w:lang w:bidi="ar"/>
              </w:rPr>
            </w:pPr>
            <w:r>
              <w:rPr>
                <w:rFonts w:hint="eastAsia" w:ascii="宋体" w:hAnsi="宋体" w:cs="宋体"/>
                <w:color w:val="000000"/>
                <w:lang w:bidi="ar"/>
              </w:rPr>
              <w:t>7、多种常用图形，有角度值和各边长度值实时显示，点击图形可进行编辑顶点、缩放、旋转、删除、锁定、复制、切片、图层调整、镜像、克隆、隐藏/显示、关联、回放、导出等功能。支持对绘制的几何图形的内封闭区域进行颜色填充，透明度调整。</w:t>
            </w:r>
          </w:p>
          <w:p w14:paraId="1235FA0E">
            <w:pPr>
              <w:widowControl/>
              <w:textAlignment w:val="center"/>
              <w:rPr>
                <w:rFonts w:ascii="宋体" w:hAnsi="宋体" w:cs="宋体"/>
                <w:color w:val="000000"/>
                <w:lang w:bidi="ar"/>
              </w:rPr>
            </w:pPr>
            <w:r>
              <w:rPr>
                <w:rFonts w:hint="eastAsia" w:ascii="宋体" w:hAnsi="宋体" w:cs="宋体"/>
                <w:color w:val="000000"/>
                <w:lang w:bidi="ar"/>
              </w:rPr>
              <w:t>▲8、教学工具：软件应提供常用教学工具，应提供包括浏览器、软键盘、计时器、探照灯、屏幕截图、屏幕录制、放大镜、计算器、图片工具、魔术贴纸、VR全景图、屏幕锁定、量角器（双游标）等在内的</w:t>
            </w:r>
            <w:r>
              <w:rPr>
                <w:rFonts w:hint="eastAsia" w:ascii="宋体" w:hAnsi="宋体" w:cs="宋体"/>
                <w:color w:val="000000"/>
                <w:lang w:eastAsia="zh-Hans" w:bidi="ar"/>
              </w:rPr>
              <w:t>；</w:t>
            </w: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599E905F">
            <w:pPr>
              <w:widowControl/>
              <w:jc w:val="center"/>
              <w:textAlignment w:val="center"/>
              <w:rPr>
                <w:rFonts w:ascii="宋体" w:hAnsi="宋体" w:cs="宋体"/>
                <w:color w:val="000000"/>
              </w:rPr>
            </w:pPr>
            <w:r>
              <w:rPr>
                <w:rFonts w:hint="eastAsia" w:ascii="宋体" w:hAnsi="宋体" w:cs="宋体"/>
                <w:color w:val="000000"/>
                <w:lang w:bidi="ar"/>
              </w:rPr>
              <w:t>8</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21035EBA">
            <w:pPr>
              <w:widowControl/>
              <w:jc w:val="center"/>
              <w:textAlignment w:val="center"/>
              <w:rPr>
                <w:rFonts w:ascii="宋体" w:hAnsi="宋体" w:cs="宋体"/>
                <w:color w:val="000000"/>
              </w:rPr>
            </w:pPr>
            <w:r>
              <w:rPr>
                <w:rFonts w:hint="eastAsia" w:ascii="宋体" w:hAnsi="宋体" w:cs="宋体"/>
                <w:color w:val="000000"/>
                <w:lang w:bidi="ar"/>
              </w:rPr>
              <w:t>套</w:t>
            </w:r>
          </w:p>
        </w:tc>
      </w:tr>
      <w:tr w14:paraId="4866FAE6">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A84EA78">
            <w:pPr>
              <w:widowControl/>
              <w:jc w:val="center"/>
              <w:textAlignment w:val="center"/>
              <w:rPr>
                <w:rFonts w:ascii="宋体" w:hAnsi="宋体" w:cs="宋体"/>
                <w:color w:val="000000"/>
              </w:rPr>
            </w:pPr>
            <w:r>
              <w:rPr>
                <w:rFonts w:hint="eastAsia" w:ascii="宋体" w:hAnsi="宋体" w:cs="宋体"/>
                <w:color w:val="000000"/>
                <w:lang w:bidi="ar"/>
              </w:rPr>
              <w:t>26</w:t>
            </w:r>
          </w:p>
        </w:tc>
        <w:tc>
          <w:tcPr>
            <w:tcW w:w="1925" w:type="dxa"/>
            <w:gridSpan w:val="3"/>
            <w:tcBorders>
              <w:top w:val="single" w:color="000000" w:sz="4" w:space="0"/>
              <w:left w:val="single" w:color="000000" w:sz="4" w:space="0"/>
              <w:bottom w:val="single" w:color="000000" w:sz="4" w:space="0"/>
              <w:right w:val="single" w:color="000000" w:sz="4" w:space="0"/>
            </w:tcBorders>
            <w:noWrap/>
            <w:vAlign w:val="center"/>
          </w:tcPr>
          <w:p w14:paraId="577F42B1">
            <w:pPr>
              <w:widowControl/>
              <w:jc w:val="center"/>
              <w:textAlignment w:val="center"/>
              <w:rPr>
                <w:rFonts w:ascii="宋体" w:hAnsi="宋体" w:cs="宋体"/>
                <w:color w:val="000000"/>
                <w:lang w:bidi="ar"/>
              </w:rPr>
            </w:pPr>
            <w:r>
              <w:rPr>
                <w:rFonts w:hint="eastAsia" w:ascii="宋体" w:hAnsi="宋体" w:cs="宋体"/>
                <w:color w:val="000000"/>
                <w:lang w:bidi="ar"/>
              </w:rPr>
              <w:t>应急实训终端</w:t>
            </w:r>
          </w:p>
        </w:tc>
        <w:tc>
          <w:tcPr>
            <w:tcW w:w="5430" w:type="dxa"/>
            <w:tcBorders>
              <w:top w:val="single" w:color="000000" w:sz="4" w:space="0"/>
              <w:left w:val="single" w:color="000000" w:sz="4" w:space="0"/>
              <w:bottom w:val="single" w:color="000000" w:sz="4" w:space="0"/>
              <w:right w:val="single" w:color="000000" w:sz="4" w:space="0"/>
            </w:tcBorders>
            <w:noWrap/>
            <w:vAlign w:val="center"/>
          </w:tcPr>
          <w:p w14:paraId="4830861B">
            <w:pPr>
              <w:widowControl/>
              <w:textAlignment w:val="center"/>
              <w:rPr>
                <w:rFonts w:ascii="宋体" w:hAnsi="宋体" w:cs="宋体"/>
              </w:rPr>
            </w:pPr>
            <w:r>
              <w:rPr>
                <w:rFonts w:hint="eastAsia" w:ascii="宋体" w:hAnsi="宋体" w:cs="宋体"/>
              </w:rPr>
              <w:t>需满足配套应急实训平台整体</w:t>
            </w:r>
            <w:r>
              <w:rPr>
                <w:rFonts w:hint="eastAsia" w:ascii="宋体" w:hAnsi="宋体" w:cs="宋体"/>
                <w:lang w:eastAsia="zh-CN"/>
              </w:rPr>
              <w:t>兼容稳定</w:t>
            </w:r>
            <w:r>
              <w:rPr>
                <w:rFonts w:hint="eastAsia" w:ascii="宋体" w:hAnsi="宋体" w:cs="宋体"/>
              </w:rPr>
              <w:t>使用。</w:t>
            </w:r>
          </w:p>
          <w:p w14:paraId="2ACD4EF8">
            <w:pPr>
              <w:widowControl/>
              <w:textAlignment w:val="center"/>
              <w:rPr>
                <w:rFonts w:ascii="宋体" w:hAnsi="宋体" w:cs="宋体"/>
              </w:rPr>
            </w:pPr>
            <w:r>
              <w:rPr>
                <w:rFonts w:hint="eastAsia" w:ascii="宋体" w:hAnsi="宋体" w:cs="宋体"/>
              </w:rPr>
              <w:t>1.处理器：≥I7-13620h；</w:t>
            </w:r>
          </w:p>
          <w:p w14:paraId="712631E2">
            <w:pPr>
              <w:widowControl/>
              <w:textAlignment w:val="center"/>
              <w:rPr>
                <w:rFonts w:ascii="宋体" w:hAnsi="宋体" w:cs="宋体"/>
              </w:rPr>
            </w:pPr>
            <w:r>
              <w:rPr>
                <w:rFonts w:hint="eastAsia" w:ascii="宋体" w:hAnsi="宋体" w:cs="宋体"/>
              </w:rPr>
              <w:t>2.内存：≥16GB DDR5；</w:t>
            </w:r>
          </w:p>
          <w:p w14:paraId="12D4EA99">
            <w:pPr>
              <w:widowControl/>
              <w:textAlignment w:val="center"/>
              <w:rPr>
                <w:rFonts w:ascii="宋体" w:hAnsi="宋体" w:cs="宋体"/>
              </w:rPr>
            </w:pPr>
            <w:r>
              <w:rPr>
                <w:rFonts w:hint="eastAsia" w:ascii="宋体" w:hAnsi="宋体" w:cs="宋体"/>
              </w:rPr>
              <w:t>3.屏幕尺寸：≥15.6英寸；支持分辨率：≥1920*1080；刷新率：≥165Hz；</w:t>
            </w:r>
          </w:p>
          <w:p w14:paraId="03FAE66C">
            <w:pPr>
              <w:widowControl/>
              <w:textAlignment w:val="center"/>
              <w:rPr>
                <w:rFonts w:ascii="宋体" w:hAnsi="宋体" w:cs="宋体"/>
              </w:rPr>
            </w:pPr>
            <w:r>
              <w:rPr>
                <w:rFonts w:hint="eastAsia" w:ascii="宋体" w:hAnsi="宋体" w:cs="宋体"/>
              </w:rPr>
              <w:t>5.显卡：≥NVIDIA GeForce RTX 4060 8GB；</w:t>
            </w:r>
          </w:p>
          <w:p w14:paraId="3BE06075">
            <w:pPr>
              <w:widowControl/>
              <w:textAlignment w:val="center"/>
              <w:rPr>
                <w:rFonts w:ascii="宋体" w:hAnsi="宋体" w:cs="宋体"/>
                <w:color w:val="000000"/>
                <w:lang w:bidi="ar"/>
              </w:rPr>
            </w:pPr>
            <w:r>
              <w:rPr>
                <w:rFonts w:hint="eastAsia" w:ascii="宋体" w:hAnsi="宋体" w:cs="宋体"/>
              </w:rPr>
              <w:t>6.硬盘：≥1000G SSD；</w:t>
            </w:r>
          </w:p>
        </w:tc>
        <w:tc>
          <w:tcPr>
            <w:tcW w:w="620" w:type="dxa"/>
            <w:tcBorders>
              <w:top w:val="single" w:color="000000" w:sz="4" w:space="0"/>
              <w:left w:val="single" w:color="000000" w:sz="4" w:space="0"/>
              <w:bottom w:val="single" w:color="000000" w:sz="4" w:space="0"/>
              <w:right w:val="single" w:color="000000" w:sz="4" w:space="0"/>
            </w:tcBorders>
            <w:noWrap/>
            <w:vAlign w:val="center"/>
          </w:tcPr>
          <w:p w14:paraId="5C3407E4">
            <w:pPr>
              <w:widowControl/>
              <w:jc w:val="center"/>
              <w:textAlignment w:val="center"/>
              <w:rPr>
                <w:rFonts w:ascii="宋体" w:hAnsi="宋体" w:cs="宋体"/>
                <w:color w:val="000000"/>
                <w:lang w:bidi="ar"/>
              </w:rPr>
            </w:pPr>
            <w:r>
              <w:rPr>
                <w:rFonts w:hint="eastAsia" w:ascii="宋体" w:hAnsi="宋体" w:cs="宋体"/>
                <w:color w:val="000000"/>
                <w:lang w:bidi="ar"/>
              </w:rPr>
              <w:t>8</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61359100">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37CD7D5F">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8E2F5A4">
            <w:pPr>
              <w:widowControl/>
              <w:jc w:val="center"/>
              <w:textAlignment w:val="center"/>
              <w:rPr>
                <w:rFonts w:ascii="宋体" w:hAnsi="宋体" w:cs="宋体"/>
                <w:color w:val="000000"/>
              </w:rPr>
            </w:pPr>
            <w:r>
              <w:rPr>
                <w:rFonts w:hint="eastAsia" w:ascii="宋体" w:hAnsi="宋体" w:cs="宋体"/>
                <w:color w:val="000000"/>
                <w:lang w:bidi="ar"/>
              </w:rPr>
              <w:t>27</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4B8AE7AC">
            <w:pPr>
              <w:widowControl/>
              <w:jc w:val="center"/>
              <w:textAlignment w:val="center"/>
              <w:rPr>
                <w:rFonts w:ascii="宋体" w:hAnsi="宋体" w:cs="宋体"/>
                <w:color w:val="000000"/>
                <w:lang w:bidi="ar"/>
              </w:rPr>
            </w:pPr>
            <w:r>
              <w:rPr>
                <w:rFonts w:hint="eastAsia" w:ascii="宋体" w:hAnsi="宋体" w:cs="宋体"/>
                <w:color w:val="000000"/>
                <w:lang w:bidi="ar"/>
              </w:rPr>
              <w:t>功率放大器</w:t>
            </w:r>
          </w:p>
        </w:tc>
        <w:tc>
          <w:tcPr>
            <w:tcW w:w="5430" w:type="dxa"/>
            <w:tcBorders>
              <w:top w:val="single" w:color="000000" w:sz="4" w:space="0"/>
              <w:left w:val="single" w:color="000000" w:sz="4" w:space="0"/>
              <w:bottom w:val="single" w:color="000000" w:sz="4" w:space="0"/>
              <w:right w:val="single" w:color="000000" w:sz="4" w:space="0"/>
            </w:tcBorders>
            <w:vAlign w:val="center"/>
          </w:tcPr>
          <w:p w14:paraId="086FF9CF">
            <w:pPr>
              <w:rPr>
                <w:rFonts w:ascii="宋体" w:hAnsi="宋体" w:cs="宋体"/>
              </w:rPr>
            </w:pPr>
            <w:r>
              <w:rPr>
                <w:rFonts w:hint="eastAsia" w:ascii="宋体" w:hAnsi="宋体" w:cs="宋体"/>
              </w:rPr>
              <w:t>1.机器背板具备卡侬（XLR）全平衡输入，6.35双接口输入，莲花座立体声输入，降低噪声，带卡侬 （XLR）平衡输出插座；</w:t>
            </w:r>
          </w:p>
          <w:p w14:paraId="2C5F2ED9">
            <w:pPr>
              <w:rPr>
                <w:rFonts w:ascii="宋体" w:hAnsi="宋体" w:cs="宋体"/>
              </w:rPr>
            </w:pPr>
            <w:r>
              <w:rPr>
                <w:rFonts w:hint="eastAsia" w:ascii="宋体" w:hAnsi="宋体" w:cs="宋体"/>
              </w:rPr>
              <w:t>2.预留485控制接口，后续按需配置后可控制和升级设备；</w:t>
            </w:r>
          </w:p>
          <w:p w14:paraId="53E35ED2">
            <w:pPr>
              <w:rPr>
                <w:rFonts w:ascii="宋体" w:hAnsi="宋体" w:cs="宋体"/>
              </w:rPr>
            </w:pPr>
            <w:r>
              <w:rPr>
                <w:rFonts w:hint="eastAsia" w:ascii="宋体" w:hAnsi="宋体" w:cs="宋体"/>
              </w:rPr>
              <w:t>3.立体声功率（THD=1%）：8Ω≥250W*2, 4Ω≥400W*2；</w:t>
            </w:r>
          </w:p>
          <w:p w14:paraId="4A4E4F7C">
            <w:pPr>
              <w:rPr>
                <w:rFonts w:ascii="宋体" w:hAnsi="宋体" w:cs="宋体"/>
              </w:rPr>
            </w:pPr>
            <w:r>
              <w:rPr>
                <w:rFonts w:hint="eastAsia" w:ascii="宋体" w:hAnsi="宋体" w:cs="宋体"/>
              </w:rPr>
              <w:t>4.桥接功率：8Ω≥800；</w:t>
            </w:r>
          </w:p>
          <w:p w14:paraId="47B20EB6">
            <w:pPr>
              <w:rPr>
                <w:rFonts w:ascii="宋体" w:hAnsi="宋体" w:cs="宋体"/>
              </w:rPr>
            </w:pPr>
            <w:r>
              <w:rPr>
                <w:rFonts w:hint="eastAsia" w:ascii="宋体" w:hAnsi="宋体" w:cs="宋体"/>
              </w:rPr>
              <w:t>5.频率响应：20Hz-20KHz(-0.25dB)；</w:t>
            </w:r>
          </w:p>
          <w:p w14:paraId="786EB174">
            <w:pPr>
              <w:rPr>
                <w:rFonts w:ascii="宋体" w:hAnsi="宋体" w:cs="宋体"/>
              </w:rPr>
            </w:pPr>
            <w:r>
              <w:rPr>
                <w:rFonts w:hint="eastAsia" w:ascii="宋体" w:hAnsi="宋体" w:cs="宋体"/>
              </w:rPr>
              <w:t>6.输入灵敏度：0.775V/1.2V；</w:t>
            </w:r>
          </w:p>
          <w:p w14:paraId="0F9B3793">
            <w:pPr>
              <w:rPr>
                <w:rFonts w:ascii="宋体" w:hAnsi="宋体" w:cs="宋体"/>
              </w:rPr>
            </w:pPr>
            <w:r>
              <w:rPr>
                <w:rFonts w:hint="eastAsia" w:ascii="宋体" w:hAnsi="宋体" w:cs="宋体"/>
              </w:rPr>
              <w:t>7.总谐波失真（1KHZ，正常工作条件）：0.02%；</w:t>
            </w:r>
          </w:p>
          <w:p w14:paraId="122383CE">
            <w:pPr>
              <w:rPr>
                <w:rFonts w:ascii="宋体" w:hAnsi="宋体" w:cs="宋体"/>
              </w:rPr>
            </w:pPr>
            <w:r>
              <w:rPr>
                <w:rFonts w:hint="eastAsia" w:ascii="宋体" w:hAnsi="宋体" w:cs="宋体"/>
              </w:rPr>
              <w:t>8.输入阻抗：20KΩ；</w:t>
            </w:r>
          </w:p>
          <w:p w14:paraId="3F1E2AAF">
            <w:pPr>
              <w:rPr>
                <w:rFonts w:ascii="宋体" w:hAnsi="宋体" w:cs="宋体"/>
              </w:rPr>
            </w:pPr>
            <w:r>
              <w:rPr>
                <w:rFonts w:hint="eastAsia" w:ascii="宋体" w:hAnsi="宋体" w:cs="宋体"/>
              </w:rPr>
              <w:t>9.信号信噪比（A计权）：≥100dB；</w:t>
            </w:r>
          </w:p>
          <w:p w14:paraId="351AFDC1">
            <w:pPr>
              <w:rPr>
                <w:rFonts w:ascii="宋体" w:hAnsi="宋体" w:cs="宋体"/>
              </w:rPr>
            </w:pPr>
            <w:r>
              <w:rPr>
                <w:rFonts w:hint="eastAsia" w:ascii="宋体" w:hAnsi="宋体" w:cs="宋体"/>
              </w:rPr>
              <w:t>10.信道分离度：70dB；</w:t>
            </w:r>
          </w:p>
          <w:p w14:paraId="065145EE">
            <w:pPr>
              <w:rPr>
                <w:rFonts w:ascii="宋体" w:hAnsi="宋体" w:cs="宋体"/>
              </w:rPr>
            </w:pPr>
            <w:r>
              <w:rPr>
                <w:rFonts w:hint="eastAsia" w:ascii="宋体" w:hAnsi="宋体" w:cs="宋体"/>
              </w:rPr>
              <w:t>11.阻尼系数：350；</w:t>
            </w:r>
          </w:p>
          <w:p w14:paraId="1C44D7F1">
            <w:pPr>
              <w:rPr>
                <w:rFonts w:ascii="宋体" w:hAnsi="宋体" w:cs="宋体"/>
              </w:rPr>
            </w:pPr>
            <w:r>
              <w:rPr>
                <w:rFonts w:hint="eastAsia" w:ascii="宋体" w:hAnsi="宋体" w:cs="宋体"/>
              </w:rPr>
              <w:t>12.转换速率：40V/μS；</w:t>
            </w:r>
          </w:p>
          <w:p w14:paraId="10903F50">
            <w:pPr>
              <w:rPr>
                <w:rFonts w:ascii="宋体" w:hAnsi="宋体" w:cs="宋体"/>
              </w:rPr>
            </w:pPr>
            <w:r>
              <w:rPr>
                <w:rFonts w:hint="eastAsia" w:ascii="宋体" w:hAnsi="宋体" w:cs="宋体"/>
              </w:rPr>
              <w:t>13.保护：短路.过载.过流.低阻.直流失调.过热.开机防浪涌冲击；</w:t>
            </w:r>
          </w:p>
        </w:tc>
        <w:tc>
          <w:tcPr>
            <w:tcW w:w="620" w:type="dxa"/>
            <w:tcBorders>
              <w:top w:val="single" w:color="000000" w:sz="4" w:space="0"/>
              <w:left w:val="single" w:color="000000" w:sz="4" w:space="0"/>
              <w:bottom w:val="single" w:color="000000" w:sz="4" w:space="0"/>
              <w:right w:val="single" w:color="000000" w:sz="4" w:space="0"/>
            </w:tcBorders>
            <w:vAlign w:val="center"/>
          </w:tcPr>
          <w:p w14:paraId="41610DF6">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06623961">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1574E7F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C43D18B">
            <w:pPr>
              <w:widowControl/>
              <w:jc w:val="center"/>
              <w:textAlignment w:val="center"/>
              <w:rPr>
                <w:rFonts w:ascii="宋体" w:hAnsi="宋体" w:cs="宋体"/>
                <w:color w:val="000000"/>
              </w:rPr>
            </w:pPr>
            <w:r>
              <w:rPr>
                <w:rFonts w:hint="eastAsia" w:ascii="宋体" w:hAnsi="宋体" w:cs="宋体"/>
                <w:color w:val="000000"/>
                <w:lang w:bidi="ar"/>
              </w:rPr>
              <w:t>28</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537F7098">
            <w:pPr>
              <w:widowControl/>
              <w:jc w:val="center"/>
              <w:textAlignment w:val="center"/>
              <w:rPr>
                <w:rFonts w:ascii="宋体" w:hAnsi="宋体" w:cs="宋体"/>
                <w:color w:val="000000"/>
                <w:lang w:bidi="ar"/>
              </w:rPr>
            </w:pPr>
            <w:r>
              <w:rPr>
                <w:rFonts w:hint="eastAsia" w:ascii="宋体" w:hAnsi="宋体" w:cs="宋体"/>
                <w:color w:val="000000"/>
                <w:lang w:bidi="ar"/>
              </w:rPr>
              <w:t>音箱</w:t>
            </w:r>
          </w:p>
        </w:tc>
        <w:tc>
          <w:tcPr>
            <w:tcW w:w="5430" w:type="dxa"/>
            <w:tcBorders>
              <w:top w:val="single" w:color="000000" w:sz="4" w:space="0"/>
              <w:left w:val="single" w:color="000000" w:sz="4" w:space="0"/>
              <w:bottom w:val="single" w:color="000000" w:sz="4" w:space="0"/>
              <w:right w:val="single" w:color="000000" w:sz="4" w:space="0"/>
            </w:tcBorders>
            <w:vAlign w:val="center"/>
          </w:tcPr>
          <w:p w14:paraId="23E20EDE">
            <w:pPr>
              <w:rPr>
                <w:rFonts w:ascii="宋体" w:hAnsi="宋体" w:cs="宋体"/>
              </w:rPr>
            </w:pPr>
            <w:r>
              <w:rPr>
                <w:rFonts w:hint="eastAsia" w:ascii="宋体" w:hAnsi="宋体" w:cs="宋体"/>
              </w:rPr>
              <w:t>1.单元配置：≥1*6.5寸低音（35mm），1*1寸（34mm）高音；</w:t>
            </w:r>
          </w:p>
          <w:p w14:paraId="4419D478">
            <w:pPr>
              <w:rPr>
                <w:rFonts w:ascii="宋体" w:hAnsi="宋体" w:cs="宋体"/>
              </w:rPr>
            </w:pPr>
            <w:r>
              <w:rPr>
                <w:rFonts w:hint="eastAsia" w:ascii="宋体" w:hAnsi="宋体" w:cs="宋体"/>
              </w:rPr>
              <w:t>2.额定功率：≥80W；</w:t>
            </w:r>
          </w:p>
          <w:p w14:paraId="618F7C61">
            <w:pPr>
              <w:rPr>
                <w:rFonts w:ascii="宋体" w:hAnsi="宋体" w:cs="宋体"/>
              </w:rPr>
            </w:pPr>
            <w:r>
              <w:rPr>
                <w:rFonts w:hint="eastAsia" w:ascii="宋体" w:hAnsi="宋体" w:cs="宋体"/>
              </w:rPr>
              <w:t>3.额定阻抗：8欧姆；</w:t>
            </w:r>
          </w:p>
          <w:p w14:paraId="4BEDBE90">
            <w:pPr>
              <w:rPr>
                <w:rFonts w:ascii="宋体" w:hAnsi="宋体" w:cs="宋体"/>
              </w:rPr>
            </w:pPr>
            <w:r>
              <w:rPr>
                <w:rFonts w:hint="eastAsia" w:ascii="宋体" w:hAnsi="宋体" w:cs="宋体"/>
              </w:rPr>
              <w:t>4.最大声压级：≥110dB；</w:t>
            </w:r>
          </w:p>
          <w:p w14:paraId="0687CC02">
            <w:pPr>
              <w:rPr>
                <w:rFonts w:ascii="宋体" w:hAnsi="宋体" w:cs="宋体"/>
              </w:rPr>
            </w:pPr>
            <w:r>
              <w:rPr>
                <w:rFonts w:hint="eastAsia" w:ascii="宋体" w:hAnsi="宋体" w:cs="宋体"/>
              </w:rPr>
              <w:t>5.灵敏度：≥91dB(1W/1M)；</w:t>
            </w:r>
          </w:p>
          <w:p w14:paraId="5FDC9EF6">
            <w:pPr>
              <w:rPr>
                <w:rFonts w:ascii="宋体" w:hAnsi="宋体" w:cs="宋体"/>
              </w:rPr>
            </w:pPr>
            <w:r>
              <w:rPr>
                <w:rFonts w:hint="eastAsia" w:ascii="宋体" w:hAnsi="宋体" w:cs="宋体"/>
              </w:rPr>
              <w:t>6.频率范围：100Hz-20KHz；</w:t>
            </w:r>
          </w:p>
          <w:p w14:paraId="4F81669D">
            <w:pPr>
              <w:rPr>
                <w:rFonts w:ascii="宋体" w:hAnsi="宋体" w:cs="宋体"/>
              </w:rPr>
            </w:pPr>
            <w:r>
              <w:rPr>
                <w:rFonts w:hint="eastAsia" w:ascii="宋体" w:hAnsi="宋体" w:cs="宋体"/>
              </w:rPr>
              <w:t>7.覆盖角度：</w:t>
            </w:r>
            <w:r>
              <w:rPr>
                <w:rFonts w:hint="eastAsia" w:ascii="宋体" w:hAnsi="宋体" w:cs="宋体"/>
                <w:lang w:eastAsia="zh-CN"/>
              </w:rPr>
              <w:t>(</w:t>
            </w:r>
            <w:r>
              <w:rPr>
                <w:rFonts w:hint="eastAsia" w:ascii="宋体" w:hAnsi="宋体" w:cs="宋体"/>
              </w:rPr>
              <w:t>HxV)90°×70°；</w:t>
            </w:r>
          </w:p>
          <w:p w14:paraId="574FB3EB">
            <w:pPr>
              <w:rPr>
                <w:rFonts w:ascii="宋体" w:hAnsi="宋体" w:cs="宋体"/>
              </w:rPr>
            </w:pPr>
            <w:r>
              <w:rPr>
                <w:rFonts w:hint="eastAsia" w:ascii="宋体" w:hAnsi="宋体" w:cs="宋体"/>
              </w:rPr>
              <w:t>8.顶部有一个可安装口径为100mm两个M8和背面4个M8安装孔；</w:t>
            </w:r>
          </w:p>
        </w:tc>
        <w:tc>
          <w:tcPr>
            <w:tcW w:w="620" w:type="dxa"/>
            <w:tcBorders>
              <w:top w:val="single" w:color="000000" w:sz="4" w:space="0"/>
              <w:left w:val="single" w:color="000000" w:sz="4" w:space="0"/>
              <w:bottom w:val="single" w:color="000000" w:sz="4" w:space="0"/>
              <w:right w:val="single" w:color="000000" w:sz="4" w:space="0"/>
            </w:tcBorders>
            <w:vAlign w:val="center"/>
          </w:tcPr>
          <w:p w14:paraId="3922C73F">
            <w:pPr>
              <w:widowControl/>
              <w:jc w:val="center"/>
              <w:textAlignment w:val="center"/>
              <w:rPr>
                <w:rFonts w:ascii="宋体" w:hAnsi="宋体" w:cs="宋体"/>
                <w:color w:val="000000"/>
                <w:lang w:bidi="ar"/>
              </w:rPr>
            </w:pPr>
            <w:r>
              <w:rPr>
                <w:rFonts w:hint="eastAsia" w:ascii="宋体" w:hAnsi="宋体" w:cs="宋体"/>
                <w:color w:val="000000"/>
                <w:lang w:bidi="ar"/>
              </w:rPr>
              <w:t>4</w:t>
            </w:r>
          </w:p>
        </w:tc>
        <w:tc>
          <w:tcPr>
            <w:tcW w:w="550" w:type="dxa"/>
            <w:tcBorders>
              <w:top w:val="single" w:color="000000" w:sz="4" w:space="0"/>
              <w:left w:val="single" w:color="000000" w:sz="4" w:space="0"/>
              <w:bottom w:val="single" w:color="000000" w:sz="4" w:space="0"/>
              <w:right w:val="single" w:color="000000" w:sz="4" w:space="0"/>
            </w:tcBorders>
            <w:vAlign w:val="center"/>
          </w:tcPr>
          <w:p w14:paraId="3D474979">
            <w:pPr>
              <w:widowControl/>
              <w:jc w:val="center"/>
              <w:textAlignment w:val="center"/>
              <w:rPr>
                <w:rFonts w:ascii="宋体" w:hAnsi="宋体" w:cs="宋体"/>
                <w:color w:val="000000"/>
                <w:lang w:bidi="ar"/>
              </w:rPr>
            </w:pPr>
            <w:r>
              <w:rPr>
                <w:rFonts w:hint="eastAsia" w:ascii="宋体" w:hAnsi="宋体" w:cs="宋体"/>
                <w:color w:val="000000"/>
                <w:lang w:bidi="ar"/>
              </w:rPr>
              <w:t>只</w:t>
            </w:r>
          </w:p>
        </w:tc>
      </w:tr>
      <w:tr w14:paraId="19D1215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D662872">
            <w:pPr>
              <w:widowControl/>
              <w:jc w:val="center"/>
              <w:textAlignment w:val="center"/>
              <w:rPr>
                <w:rFonts w:ascii="宋体" w:hAnsi="宋体" w:cs="宋体"/>
                <w:color w:val="000000"/>
              </w:rPr>
            </w:pPr>
            <w:r>
              <w:rPr>
                <w:rFonts w:hint="eastAsia" w:ascii="宋体" w:hAnsi="宋体" w:cs="宋体"/>
                <w:color w:val="000000"/>
                <w:lang w:bidi="ar"/>
              </w:rPr>
              <w:t>29</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0939E9FA">
            <w:pPr>
              <w:widowControl/>
              <w:jc w:val="center"/>
              <w:textAlignment w:val="center"/>
              <w:rPr>
                <w:rFonts w:ascii="宋体" w:hAnsi="宋体" w:cs="宋体"/>
                <w:color w:val="000000"/>
                <w:lang w:bidi="ar"/>
              </w:rPr>
            </w:pPr>
            <w:r>
              <w:rPr>
                <w:rFonts w:hint="eastAsia" w:ascii="宋体" w:hAnsi="宋体" w:cs="宋体"/>
                <w:color w:val="000000"/>
                <w:lang w:bidi="ar"/>
              </w:rPr>
              <w:t>会议主机</w:t>
            </w:r>
          </w:p>
        </w:tc>
        <w:tc>
          <w:tcPr>
            <w:tcW w:w="5430" w:type="dxa"/>
            <w:tcBorders>
              <w:top w:val="single" w:color="000000" w:sz="4" w:space="0"/>
              <w:left w:val="single" w:color="000000" w:sz="4" w:space="0"/>
              <w:bottom w:val="single" w:color="000000" w:sz="4" w:space="0"/>
              <w:right w:val="single" w:color="000000" w:sz="4" w:space="0"/>
            </w:tcBorders>
            <w:vAlign w:val="center"/>
          </w:tcPr>
          <w:p w14:paraId="5C82C7AD">
            <w:pPr>
              <w:rPr>
                <w:rFonts w:ascii="宋体" w:hAnsi="宋体" w:cs="宋体"/>
              </w:rPr>
            </w:pPr>
            <w:r>
              <w:rPr>
                <w:rFonts w:hint="eastAsia" w:ascii="宋体" w:hAnsi="宋体" w:cs="宋体"/>
              </w:rPr>
              <w:t>1、采用FM调频传输音频；</w:t>
            </w:r>
          </w:p>
          <w:p w14:paraId="4B3FC5B6">
            <w:pPr>
              <w:rPr>
                <w:rFonts w:ascii="宋体" w:hAnsi="宋体" w:cs="宋体"/>
              </w:rPr>
            </w:pPr>
            <w:r>
              <w:rPr>
                <w:rFonts w:hint="eastAsia" w:ascii="宋体" w:hAnsi="宋体" w:cs="宋体"/>
              </w:rPr>
              <w:t>2、控制及音频信号皆采用无线高频信号通信；</w:t>
            </w:r>
          </w:p>
          <w:p w14:paraId="3B5CF559">
            <w:pPr>
              <w:rPr>
                <w:rFonts w:ascii="宋体" w:hAnsi="宋体" w:cs="宋体"/>
              </w:rPr>
            </w:pPr>
            <w:r>
              <w:rPr>
                <w:rFonts w:hint="eastAsia" w:ascii="宋体" w:hAnsi="宋体" w:cs="宋体"/>
              </w:rPr>
              <w:t>3、高清COG显示，中文菜单，高保真WAV格式输出；</w:t>
            </w:r>
          </w:p>
          <w:p w14:paraId="7BBE4045">
            <w:pPr>
              <w:rPr>
                <w:rFonts w:ascii="宋体" w:hAnsi="宋体" w:cs="宋体"/>
              </w:rPr>
            </w:pPr>
            <w:r>
              <w:rPr>
                <w:rFonts w:hint="eastAsia" w:ascii="宋体" w:hAnsi="宋体" w:cs="宋体"/>
              </w:rPr>
              <w:t>4、主机具有≥20组固定的频率通道；</w:t>
            </w:r>
          </w:p>
          <w:p w14:paraId="7421457C">
            <w:pPr>
              <w:rPr>
                <w:rFonts w:ascii="宋体" w:hAnsi="宋体" w:cs="宋体"/>
              </w:rPr>
            </w:pPr>
            <w:r>
              <w:rPr>
                <w:rFonts w:hint="eastAsia" w:ascii="宋体" w:hAnsi="宋体" w:cs="宋体"/>
              </w:rPr>
              <w:t>5、每套系统可支持≥200个话筒，同时发言人数可设定为1-4人，最多支持4位主席同时发言；</w:t>
            </w:r>
          </w:p>
          <w:p w14:paraId="4CEEB0F5">
            <w:pPr>
              <w:rPr>
                <w:rFonts w:ascii="宋体" w:hAnsi="宋体" w:cs="宋体"/>
              </w:rPr>
            </w:pPr>
            <w:r>
              <w:rPr>
                <w:rFonts w:hint="eastAsia" w:ascii="宋体" w:hAnsi="宋体" w:cs="宋体"/>
              </w:rPr>
              <w:t>6、系统主机基于稳定可靠的PLL锁相环电路、无线传输数字控制电路和模拟音频传输相结合，通过主机可设置先进先出、主席专用发言功能；</w:t>
            </w:r>
          </w:p>
          <w:p w14:paraId="41733950">
            <w:pPr>
              <w:rPr>
                <w:rFonts w:ascii="宋体" w:hAnsi="宋体" w:cs="宋体"/>
              </w:rPr>
            </w:pPr>
            <w:r>
              <w:rPr>
                <w:rFonts w:hint="eastAsia" w:ascii="宋体" w:hAnsi="宋体" w:cs="宋体"/>
              </w:rPr>
              <w:t>7、数字控制技术，话筒仅占用4个音频频点，避免串频现象；</w:t>
            </w:r>
          </w:p>
          <w:p w14:paraId="40F6C0C8">
            <w:pPr>
              <w:rPr>
                <w:rFonts w:ascii="宋体" w:hAnsi="宋体" w:cs="宋体"/>
              </w:rPr>
            </w:pPr>
            <w:r>
              <w:rPr>
                <w:rFonts w:hint="eastAsia" w:ascii="宋体" w:hAnsi="宋体" w:cs="宋体"/>
              </w:rPr>
              <w:t>8、RF有效通信距离为：室内≥60米，室外≥100米；</w:t>
            </w:r>
          </w:p>
        </w:tc>
        <w:tc>
          <w:tcPr>
            <w:tcW w:w="620" w:type="dxa"/>
            <w:tcBorders>
              <w:top w:val="single" w:color="000000" w:sz="4" w:space="0"/>
              <w:left w:val="single" w:color="000000" w:sz="4" w:space="0"/>
              <w:bottom w:val="single" w:color="000000" w:sz="4" w:space="0"/>
              <w:right w:val="single" w:color="000000" w:sz="4" w:space="0"/>
            </w:tcBorders>
            <w:vAlign w:val="center"/>
          </w:tcPr>
          <w:p w14:paraId="75576BA7">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4BC2F5DE">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17484F98">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EFD034D">
            <w:pPr>
              <w:widowControl/>
              <w:jc w:val="center"/>
              <w:textAlignment w:val="center"/>
              <w:rPr>
                <w:rFonts w:ascii="宋体" w:hAnsi="宋体" w:cs="宋体"/>
                <w:color w:val="000000"/>
              </w:rPr>
            </w:pPr>
            <w:r>
              <w:rPr>
                <w:rFonts w:hint="eastAsia" w:ascii="宋体" w:hAnsi="宋体" w:cs="宋体"/>
                <w:color w:val="000000"/>
                <w:lang w:bidi="ar"/>
              </w:rPr>
              <w:t>30</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0C088F1D">
            <w:pPr>
              <w:widowControl/>
              <w:jc w:val="center"/>
              <w:textAlignment w:val="center"/>
              <w:rPr>
                <w:rFonts w:ascii="宋体" w:hAnsi="宋体" w:cs="宋体"/>
                <w:color w:val="000000"/>
              </w:rPr>
            </w:pPr>
            <w:r>
              <w:rPr>
                <w:rFonts w:hint="eastAsia" w:ascii="宋体" w:hAnsi="宋体" w:cs="宋体"/>
                <w:color w:val="000000"/>
                <w:lang w:bidi="ar"/>
              </w:rPr>
              <w:t>无线主席单元</w:t>
            </w:r>
          </w:p>
        </w:tc>
        <w:tc>
          <w:tcPr>
            <w:tcW w:w="5430" w:type="dxa"/>
            <w:tcBorders>
              <w:top w:val="single" w:color="000000" w:sz="4" w:space="0"/>
              <w:left w:val="single" w:color="000000" w:sz="4" w:space="0"/>
              <w:bottom w:val="single" w:color="000000" w:sz="4" w:space="0"/>
              <w:right w:val="single" w:color="000000" w:sz="4" w:space="0"/>
            </w:tcBorders>
            <w:vAlign w:val="center"/>
          </w:tcPr>
          <w:p w14:paraId="173059AC">
            <w:pPr>
              <w:rPr>
                <w:rFonts w:ascii="宋体" w:hAnsi="宋体" w:cs="宋体"/>
              </w:rPr>
            </w:pPr>
            <w:r>
              <w:rPr>
                <w:rFonts w:hint="eastAsia" w:ascii="宋体" w:hAnsi="宋体" w:cs="宋体"/>
              </w:rPr>
              <w:t>1、采用FM调频传输音频，防啸叫单指向高灵敏度电容咪芯；</w:t>
            </w:r>
          </w:p>
          <w:p w14:paraId="2250FF23">
            <w:pPr>
              <w:rPr>
                <w:rFonts w:ascii="宋体" w:hAnsi="宋体" w:cs="宋体"/>
              </w:rPr>
            </w:pPr>
            <w:r>
              <w:rPr>
                <w:rFonts w:hint="eastAsia" w:ascii="宋体" w:hAnsi="宋体" w:cs="宋体"/>
              </w:rPr>
              <w:t>2、信道数：4；</w:t>
            </w:r>
          </w:p>
          <w:p w14:paraId="6C051610">
            <w:pPr>
              <w:rPr>
                <w:rFonts w:ascii="宋体" w:hAnsi="宋体" w:cs="宋体"/>
              </w:rPr>
            </w:pPr>
            <w:r>
              <w:rPr>
                <w:rFonts w:hint="eastAsia" w:ascii="宋体" w:hAnsi="宋体" w:cs="宋体"/>
              </w:rPr>
              <w:t>3、传输频段：UHF640-690MHz；</w:t>
            </w:r>
          </w:p>
          <w:p w14:paraId="6F042F53">
            <w:pPr>
              <w:rPr>
                <w:rFonts w:ascii="宋体" w:hAnsi="宋体" w:cs="宋体"/>
              </w:rPr>
            </w:pPr>
            <w:r>
              <w:rPr>
                <w:rFonts w:hint="eastAsia" w:ascii="宋体" w:hAnsi="宋体" w:cs="宋体"/>
              </w:rPr>
              <w:t>4、解调方式：FM；</w:t>
            </w:r>
          </w:p>
          <w:p w14:paraId="09CFF279">
            <w:pPr>
              <w:rPr>
                <w:rFonts w:ascii="宋体" w:hAnsi="宋体" w:cs="宋体"/>
              </w:rPr>
            </w:pPr>
            <w:r>
              <w:rPr>
                <w:rFonts w:hint="eastAsia" w:ascii="宋体" w:hAnsi="宋体" w:cs="宋体"/>
              </w:rPr>
              <w:t>5、灵敏度：-90dBm；</w:t>
            </w:r>
          </w:p>
          <w:p w14:paraId="137B9262">
            <w:pPr>
              <w:rPr>
                <w:rFonts w:ascii="宋体" w:hAnsi="宋体" w:cs="宋体"/>
              </w:rPr>
            </w:pPr>
            <w:r>
              <w:rPr>
                <w:rFonts w:hint="eastAsia" w:ascii="宋体" w:hAnsi="宋体" w:cs="宋体"/>
              </w:rPr>
              <w:t>控制信号：</w:t>
            </w:r>
          </w:p>
          <w:p w14:paraId="6020FCCA">
            <w:pPr>
              <w:rPr>
                <w:rFonts w:ascii="宋体" w:hAnsi="宋体" w:cs="宋体"/>
              </w:rPr>
            </w:pPr>
            <w:r>
              <w:rPr>
                <w:rFonts w:hint="eastAsia" w:ascii="宋体" w:hAnsi="宋体" w:cs="宋体"/>
              </w:rPr>
              <w:t>1、传输方式：UHF无线方式（双向）；</w:t>
            </w:r>
          </w:p>
          <w:p w14:paraId="3CED4AA8">
            <w:pPr>
              <w:rPr>
                <w:rFonts w:ascii="宋体" w:hAnsi="宋体" w:cs="宋体"/>
              </w:rPr>
            </w:pPr>
            <w:r>
              <w:rPr>
                <w:rFonts w:hint="eastAsia" w:ascii="宋体" w:hAnsi="宋体" w:cs="宋体"/>
              </w:rPr>
              <w:t>2、信道数：20；</w:t>
            </w:r>
          </w:p>
          <w:p w14:paraId="61F25E66">
            <w:pPr>
              <w:rPr>
                <w:rFonts w:ascii="宋体" w:hAnsi="宋体" w:cs="宋体"/>
              </w:rPr>
            </w:pPr>
            <w:r>
              <w:rPr>
                <w:rFonts w:hint="eastAsia" w:ascii="宋体" w:hAnsi="宋体" w:cs="宋体"/>
              </w:rPr>
              <w:t>3、传输频段：UHF380-420MHz；</w:t>
            </w:r>
          </w:p>
          <w:p w14:paraId="56FD4EB4">
            <w:pPr>
              <w:rPr>
                <w:rFonts w:ascii="宋体" w:hAnsi="宋体" w:cs="宋体"/>
              </w:rPr>
            </w:pPr>
            <w:r>
              <w:rPr>
                <w:rFonts w:hint="eastAsia" w:ascii="宋体" w:hAnsi="宋体" w:cs="宋体"/>
              </w:rPr>
              <w:t>4、调制方式：FSK；</w:t>
            </w:r>
          </w:p>
          <w:p w14:paraId="7E072C94">
            <w:pPr>
              <w:rPr>
                <w:rFonts w:ascii="宋体" w:hAnsi="宋体" w:cs="宋体"/>
              </w:rPr>
            </w:pPr>
            <w:r>
              <w:rPr>
                <w:rFonts w:hint="eastAsia" w:ascii="宋体" w:hAnsi="宋体" w:cs="宋体"/>
              </w:rPr>
              <w:t>5、灵敏度：-90dBm；</w:t>
            </w:r>
          </w:p>
          <w:p w14:paraId="1A8977AA">
            <w:pPr>
              <w:rPr>
                <w:rFonts w:ascii="宋体" w:hAnsi="宋体" w:cs="宋体"/>
              </w:rPr>
            </w:pPr>
            <w:r>
              <w:rPr>
                <w:rFonts w:hint="eastAsia" w:ascii="宋体" w:hAnsi="宋体" w:cs="宋体"/>
              </w:rPr>
              <w:t>6、辐射功率：≤+7dBm；</w:t>
            </w:r>
          </w:p>
          <w:p w14:paraId="0190C9A7">
            <w:pPr>
              <w:rPr>
                <w:rFonts w:ascii="宋体" w:hAnsi="宋体" w:cs="宋体"/>
              </w:rPr>
            </w:pPr>
            <w:r>
              <w:rPr>
                <w:rFonts w:hint="eastAsia" w:ascii="宋体" w:hAnsi="宋体" w:cs="宋体"/>
              </w:rPr>
              <w:t>7、频率偏差：&lt;0.003；</w:t>
            </w:r>
          </w:p>
          <w:p w14:paraId="27C5A656">
            <w:pPr>
              <w:rPr>
                <w:rFonts w:ascii="宋体" w:hAnsi="宋体" w:cs="宋体"/>
              </w:rPr>
            </w:pPr>
            <w:r>
              <w:rPr>
                <w:rFonts w:hint="eastAsia" w:ascii="宋体" w:hAnsi="宋体" w:cs="宋体"/>
              </w:rPr>
              <w:t>8、数据速率：110KBPS；</w:t>
            </w:r>
          </w:p>
        </w:tc>
        <w:tc>
          <w:tcPr>
            <w:tcW w:w="620" w:type="dxa"/>
            <w:tcBorders>
              <w:top w:val="single" w:color="000000" w:sz="4" w:space="0"/>
              <w:left w:val="single" w:color="000000" w:sz="4" w:space="0"/>
              <w:bottom w:val="single" w:color="000000" w:sz="4" w:space="0"/>
              <w:right w:val="single" w:color="000000" w:sz="4" w:space="0"/>
            </w:tcBorders>
            <w:vAlign w:val="center"/>
          </w:tcPr>
          <w:p w14:paraId="6AC5E51C">
            <w:pPr>
              <w:widowControl/>
              <w:jc w:val="center"/>
              <w:textAlignment w:val="center"/>
              <w:rPr>
                <w:rFonts w:ascii="宋体" w:hAnsi="宋体" w:cs="宋体"/>
                <w:color w:val="000000"/>
              </w:rPr>
            </w:pPr>
            <w:r>
              <w:rPr>
                <w:rFonts w:hint="eastAsia" w:ascii="宋体" w:hAnsi="宋体" w:cs="宋体"/>
                <w:color w:val="000000"/>
              </w:rPr>
              <w:t>2</w:t>
            </w:r>
          </w:p>
        </w:tc>
        <w:tc>
          <w:tcPr>
            <w:tcW w:w="550" w:type="dxa"/>
            <w:tcBorders>
              <w:top w:val="single" w:color="000000" w:sz="4" w:space="0"/>
              <w:left w:val="single" w:color="000000" w:sz="4" w:space="0"/>
              <w:bottom w:val="single" w:color="000000" w:sz="4" w:space="0"/>
              <w:right w:val="single" w:color="000000" w:sz="4" w:space="0"/>
            </w:tcBorders>
            <w:vAlign w:val="center"/>
          </w:tcPr>
          <w:p w14:paraId="2561C2F6">
            <w:pPr>
              <w:widowControl/>
              <w:jc w:val="center"/>
              <w:textAlignment w:val="center"/>
              <w:rPr>
                <w:rFonts w:ascii="宋体" w:hAnsi="宋体" w:cs="宋体"/>
                <w:color w:val="000000"/>
              </w:rPr>
            </w:pPr>
            <w:r>
              <w:rPr>
                <w:rFonts w:hint="eastAsia" w:ascii="宋体" w:hAnsi="宋体" w:cs="宋体"/>
                <w:color w:val="000000"/>
              </w:rPr>
              <w:t>支</w:t>
            </w:r>
          </w:p>
        </w:tc>
      </w:tr>
      <w:tr w14:paraId="4B611C44">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D83082E">
            <w:pPr>
              <w:widowControl/>
              <w:jc w:val="center"/>
              <w:textAlignment w:val="center"/>
              <w:rPr>
                <w:rFonts w:ascii="宋体" w:hAnsi="宋体" w:cs="宋体"/>
                <w:color w:val="000000"/>
              </w:rPr>
            </w:pPr>
            <w:r>
              <w:rPr>
                <w:rFonts w:hint="eastAsia" w:ascii="宋体" w:hAnsi="宋体" w:cs="宋体"/>
                <w:color w:val="000000"/>
                <w:lang w:bidi="ar"/>
              </w:rPr>
              <w:t>31</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2253FEF6">
            <w:pPr>
              <w:widowControl/>
              <w:jc w:val="center"/>
              <w:textAlignment w:val="center"/>
              <w:rPr>
                <w:rFonts w:ascii="宋体" w:hAnsi="宋体" w:cs="宋体"/>
                <w:color w:val="000000"/>
              </w:rPr>
            </w:pPr>
            <w:r>
              <w:rPr>
                <w:rFonts w:hint="eastAsia" w:ascii="宋体" w:hAnsi="宋体" w:cs="宋体"/>
                <w:color w:val="000000"/>
                <w:lang w:bidi="ar"/>
              </w:rPr>
              <w:t>无线代表单元</w:t>
            </w:r>
          </w:p>
        </w:tc>
        <w:tc>
          <w:tcPr>
            <w:tcW w:w="5430" w:type="dxa"/>
            <w:tcBorders>
              <w:top w:val="single" w:color="000000" w:sz="4" w:space="0"/>
              <w:left w:val="single" w:color="000000" w:sz="4" w:space="0"/>
              <w:bottom w:val="single" w:color="000000" w:sz="4" w:space="0"/>
              <w:right w:val="single" w:color="000000" w:sz="4" w:space="0"/>
            </w:tcBorders>
            <w:vAlign w:val="center"/>
          </w:tcPr>
          <w:p w14:paraId="4615540D">
            <w:pPr>
              <w:rPr>
                <w:rFonts w:ascii="宋体" w:hAnsi="宋体" w:cs="宋体"/>
              </w:rPr>
            </w:pPr>
            <w:r>
              <w:rPr>
                <w:rFonts w:hint="eastAsia" w:ascii="宋体" w:hAnsi="宋体" w:cs="宋体"/>
              </w:rPr>
              <w:t>1、无线代表单元，发言开关按键带透光发言图案，发言时常亮；</w:t>
            </w:r>
          </w:p>
          <w:p w14:paraId="15ED4C96">
            <w:pPr>
              <w:rPr>
                <w:rFonts w:ascii="宋体" w:hAnsi="宋体" w:cs="宋体"/>
              </w:rPr>
            </w:pPr>
            <w:r>
              <w:rPr>
                <w:rFonts w:hint="eastAsia" w:ascii="宋体" w:hAnsi="宋体" w:cs="宋体"/>
              </w:rPr>
              <w:t>2、带2.23寸高亮度全视角OLED显示屏，显示内容清晰；</w:t>
            </w:r>
          </w:p>
          <w:p w14:paraId="5FA99672">
            <w:pPr>
              <w:rPr>
                <w:rFonts w:ascii="宋体" w:hAnsi="宋体" w:cs="宋体"/>
              </w:rPr>
            </w:pPr>
            <w:r>
              <w:rPr>
                <w:rFonts w:hint="eastAsia" w:ascii="宋体" w:hAnsi="宋体" w:cs="宋体"/>
              </w:rPr>
              <w:t>3、带电子音量功能，可单独调节话筒发言音量；</w:t>
            </w:r>
          </w:p>
          <w:p w14:paraId="05F34E80">
            <w:pPr>
              <w:rPr>
                <w:rFonts w:ascii="宋体" w:hAnsi="宋体" w:cs="宋体"/>
              </w:rPr>
            </w:pPr>
            <w:r>
              <w:rPr>
                <w:rFonts w:hint="eastAsia" w:ascii="宋体" w:hAnsi="宋体" w:cs="宋体"/>
              </w:rPr>
              <w:t>4、话筒头部配合防啸叫单指向高灵敏度电容咪芯；</w:t>
            </w:r>
          </w:p>
          <w:p w14:paraId="0C5B64CD">
            <w:pPr>
              <w:rPr>
                <w:rFonts w:ascii="宋体" w:hAnsi="宋体" w:cs="宋体"/>
              </w:rPr>
            </w:pPr>
            <w:r>
              <w:rPr>
                <w:rFonts w:hint="eastAsia" w:ascii="宋体" w:hAnsi="宋体" w:cs="宋体"/>
              </w:rPr>
              <w:t>5、抗电磁干扰电路设计，杜绝手机等电子产品的电磁干扰；</w:t>
            </w:r>
          </w:p>
          <w:p w14:paraId="3B3C5993">
            <w:pPr>
              <w:rPr>
                <w:rFonts w:ascii="宋体" w:hAnsi="宋体" w:cs="宋体"/>
              </w:rPr>
            </w:pPr>
            <w:r>
              <w:rPr>
                <w:rFonts w:hint="eastAsia" w:ascii="宋体" w:hAnsi="宋体" w:cs="宋体"/>
              </w:rPr>
              <w:t>6、话筒带液晶显示屏可显示话筒状态、通道地址、电池电量。并带有多功能按键，进入菜单后可以调试查看话筒参数，编辑地址等；</w:t>
            </w:r>
          </w:p>
          <w:p w14:paraId="2A52FA81">
            <w:pPr>
              <w:rPr>
                <w:rFonts w:ascii="宋体" w:hAnsi="宋体" w:cs="宋体"/>
              </w:rPr>
            </w:pPr>
            <w:r>
              <w:rPr>
                <w:rFonts w:hint="eastAsia" w:ascii="宋体" w:hAnsi="宋体" w:cs="宋体"/>
              </w:rPr>
              <w:t>7、单元采用UHF无线技术传输音频及控制信号，F有效通信距离为：室内50米 室外90米；</w:t>
            </w:r>
          </w:p>
          <w:p w14:paraId="4DDB3682">
            <w:pPr>
              <w:rPr>
                <w:rFonts w:ascii="宋体" w:hAnsi="宋体" w:cs="宋体"/>
              </w:rPr>
            </w:pPr>
            <w:r>
              <w:rPr>
                <w:rFonts w:hint="eastAsia" w:ascii="宋体" w:hAnsi="宋体" w:cs="宋体"/>
              </w:rPr>
              <w:t>8、低功耗电路设计，连续发言时间不少于8小时，待机时间不少于12小时，可选择充电锂电池或普通5号电池；</w:t>
            </w:r>
          </w:p>
        </w:tc>
        <w:tc>
          <w:tcPr>
            <w:tcW w:w="620" w:type="dxa"/>
            <w:tcBorders>
              <w:top w:val="single" w:color="000000" w:sz="4" w:space="0"/>
              <w:left w:val="single" w:color="000000" w:sz="4" w:space="0"/>
              <w:bottom w:val="single" w:color="000000" w:sz="4" w:space="0"/>
              <w:right w:val="single" w:color="000000" w:sz="4" w:space="0"/>
            </w:tcBorders>
            <w:vAlign w:val="center"/>
          </w:tcPr>
          <w:p w14:paraId="0E35A53F">
            <w:pPr>
              <w:widowControl/>
              <w:jc w:val="center"/>
              <w:textAlignment w:val="center"/>
              <w:rPr>
                <w:rFonts w:ascii="宋体" w:hAnsi="宋体" w:cs="宋体"/>
                <w:color w:val="000000"/>
              </w:rPr>
            </w:pPr>
            <w:r>
              <w:rPr>
                <w:rFonts w:hint="eastAsia" w:ascii="宋体" w:hAnsi="宋体" w:cs="宋体"/>
                <w:color w:val="000000"/>
                <w:lang w:bidi="ar"/>
              </w:rPr>
              <w:t>8</w:t>
            </w:r>
          </w:p>
        </w:tc>
        <w:tc>
          <w:tcPr>
            <w:tcW w:w="550" w:type="dxa"/>
            <w:tcBorders>
              <w:top w:val="single" w:color="000000" w:sz="4" w:space="0"/>
              <w:left w:val="single" w:color="000000" w:sz="4" w:space="0"/>
              <w:bottom w:val="single" w:color="000000" w:sz="4" w:space="0"/>
              <w:right w:val="single" w:color="000000" w:sz="4" w:space="0"/>
            </w:tcBorders>
            <w:vAlign w:val="center"/>
          </w:tcPr>
          <w:p w14:paraId="40CBB3C4">
            <w:pPr>
              <w:widowControl/>
              <w:jc w:val="center"/>
              <w:textAlignment w:val="center"/>
              <w:rPr>
                <w:rFonts w:ascii="宋体" w:hAnsi="宋体" w:cs="宋体"/>
                <w:color w:val="000000"/>
              </w:rPr>
            </w:pPr>
            <w:r>
              <w:rPr>
                <w:rFonts w:hint="eastAsia" w:ascii="宋体" w:hAnsi="宋体" w:cs="宋体"/>
                <w:color w:val="000000"/>
                <w:lang w:bidi="ar"/>
              </w:rPr>
              <w:t>支</w:t>
            </w:r>
          </w:p>
        </w:tc>
      </w:tr>
      <w:tr w14:paraId="1FE3A9FA">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301ADE6">
            <w:pPr>
              <w:widowControl/>
              <w:jc w:val="center"/>
              <w:textAlignment w:val="center"/>
              <w:rPr>
                <w:rFonts w:ascii="宋体" w:hAnsi="宋体" w:cs="宋体"/>
                <w:color w:val="000000"/>
              </w:rPr>
            </w:pPr>
            <w:r>
              <w:rPr>
                <w:rFonts w:hint="eastAsia" w:ascii="宋体" w:hAnsi="宋体" w:cs="宋体"/>
                <w:color w:val="000000"/>
                <w:lang w:bidi="ar"/>
              </w:rPr>
              <w:t>32</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298987D2">
            <w:pPr>
              <w:widowControl/>
              <w:jc w:val="center"/>
              <w:textAlignment w:val="center"/>
              <w:rPr>
                <w:rFonts w:ascii="宋体" w:hAnsi="宋体" w:cs="宋体"/>
                <w:color w:val="000000"/>
                <w:lang w:bidi="ar"/>
              </w:rPr>
            </w:pPr>
            <w:r>
              <w:rPr>
                <w:rFonts w:hint="eastAsia" w:ascii="宋体" w:hAnsi="宋体" w:cs="宋体"/>
                <w:color w:val="000000"/>
                <w:lang w:bidi="ar"/>
              </w:rPr>
              <w:t>智能语音处理服务器</w:t>
            </w:r>
          </w:p>
        </w:tc>
        <w:tc>
          <w:tcPr>
            <w:tcW w:w="5430" w:type="dxa"/>
            <w:tcBorders>
              <w:top w:val="single" w:color="000000" w:sz="4" w:space="0"/>
              <w:left w:val="single" w:color="000000" w:sz="4" w:space="0"/>
              <w:bottom w:val="single" w:color="000000" w:sz="4" w:space="0"/>
              <w:right w:val="single" w:color="000000" w:sz="4" w:space="0"/>
            </w:tcBorders>
            <w:vAlign w:val="center"/>
          </w:tcPr>
          <w:p w14:paraId="0B741440">
            <w:pPr>
              <w:rPr>
                <w:rFonts w:ascii="宋体" w:hAnsi="宋体" w:cs="宋体"/>
              </w:rPr>
            </w:pPr>
            <w:r>
              <w:rPr>
                <w:rFonts w:hint="eastAsia" w:ascii="宋体" w:hAnsi="宋体" w:cs="宋体"/>
              </w:rPr>
              <w:t>1.双通道AI智能语音增强处理器，采用第四代SHARC ADSP-21489高性能浮点DSP芯片，强大的AI音频智能算法处理能力，实现3A（ANS+AFS+AGC）语音增强；</w:t>
            </w:r>
          </w:p>
          <w:p w14:paraId="5BC77314">
            <w:pPr>
              <w:rPr>
                <w:rFonts w:ascii="宋体" w:hAnsi="宋体" w:cs="宋体"/>
              </w:rPr>
            </w:pPr>
            <w:r>
              <w:rPr>
                <w:rFonts w:hint="eastAsia" w:ascii="宋体" w:hAnsi="宋体" w:cs="宋体"/>
              </w:rPr>
              <w:t>2.48Khz采样频率保障捕捉声音细节，AD/DA动态范围达118dB；</w:t>
            </w:r>
          </w:p>
          <w:p w14:paraId="46064744">
            <w:pPr>
              <w:rPr>
                <w:rFonts w:ascii="宋体" w:hAnsi="宋体" w:cs="宋体"/>
              </w:rPr>
            </w:pPr>
            <w:r>
              <w:rPr>
                <w:rFonts w:hint="eastAsia" w:ascii="宋体" w:hAnsi="宋体" w:cs="宋体"/>
              </w:rPr>
              <w:t>3.采用进口ELNA电容，精选音频专用器件，保障处理器对声染色的影响降低到最小；</w:t>
            </w:r>
          </w:p>
          <w:p w14:paraId="7396903B">
            <w:pPr>
              <w:rPr>
                <w:rFonts w:ascii="宋体" w:hAnsi="宋体" w:cs="宋体"/>
              </w:rPr>
            </w:pPr>
            <w:r>
              <w:rPr>
                <w:rFonts w:hint="eastAsia" w:ascii="宋体" w:hAnsi="宋体" w:cs="宋体"/>
              </w:rPr>
              <w:t>4.高性能指标：动态范围&gt;110dB，THD+N&lt;0.0025%，设备最小延时&lt;15ms；</w:t>
            </w:r>
          </w:p>
          <w:p w14:paraId="35F9F778">
            <w:pPr>
              <w:rPr>
                <w:rFonts w:ascii="宋体" w:hAnsi="宋体" w:cs="宋体"/>
              </w:rPr>
            </w:pPr>
            <w:r>
              <w:rPr>
                <w:rFonts w:hint="eastAsia" w:ascii="宋体" w:hAnsi="宋体" w:cs="宋体"/>
              </w:rPr>
              <w:t>5.ANS噪声抑制：采用人工智能</w:t>
            </w:r>
            <w:r>
              <w:rPr>
                <w:rFonts w:hint="eastAsia" w:ascii="宋体" w:hAnsi="宋体" w:cs="宋体"/>
                <w:lang w:val="en-US" w:eastAsia="zh-CN"/>
              </w:rPr>
              <w:t>宽</w:t>
            </w:r>
            <w:r>
              <w:rPr>
                <w:rFonts w:hint="eastAsia" w:ascii="宋体" w:hAnsi="宋体" w:cs="宋体"/>
              </w:rPr>
              <w:t>度学习算法，从信号中剔除非人声杂讯；</w:t>
            </w:r>
          </w:p>
          <w:p w14:paraId="595B3362">
            <w:pPr>
              <w:rPr>
                <w:rFonts w:ascii="宋体" w:hAnsi="宋体" w:cs="宋体"/>
              </w:rPr>
            </w:pPr>
            <w:r>
              <w:rPr>
                <w:rFonts w:hint="eastAsia" w:ascii="宋体" w:hAnsi="宋体" w:cs="宋体"/>
              </w:rPr>
              <w:t>6.AFS反馈抑制：移频开关控制；</w:t>
            </w:r>
          </w:p>
          <w:p w14:paraId="6B485A1E">
            <w:pPr>
              <w:rPr>
                <w:rFonts w:ascii="宋体" w:hAnsi="宋体" w:cs="宋体"/>
              </w:rPr>
            </w:pPr>
            <w:r>
              <w:rPr>
                <w:rFonts w:hint="eastAsia" w:ascii="宋体" w:hAnsi="宋体" w:cs="宋体"/>
              </w:rPr>
              <w:t>7.AGC自动增益控制，配合ANS达到更好效果（改善话筒拾音距离，获得稳定的扩声效果）；</w:t>
            </w:r>
          </w:p>
          <w:p w14:paraId="05B390A1">
            <w:pPr>
              <w:rPr>
                <w:rFonts w:ascii="宋体" w:hAnsi="宋体" w:cs="宋体"/>
              </w:rPr>
            </w:pPr>
            <w:r>
              <w:rPr>
                <w:rFonts w:hint="eastAsia" w:ascii="宋体" w:hAnsi="宋体" w:cs="宋体"/>
              </w:rPr>
              <w:t>8.支持输入6.35大三芯两路，平衡输入XLR两路，输出6.35大三芯两路，平衡输入XLR两路；</w:t>
            </w:r>
          </w:p>
          <w:p w14:paraId="1DBECD2B">
            <w:pPr>
              <w:rPr>
                <w:rFonts w:ascii="宋体" w:hAnsi="宋体" w:cs="宋体"/>
              </w:rPr>
            </w:pPr>
            <w:r>
              <w:rPr>
                <w:rFonts w:hint="eastAsia" w:ascii="宋体" w:hAnsi="宋体" w:cs="宋体"/>
              </w:rPr>
              <w:t>9.输入线路/麦克风切换，选择麦克风输入时可打开或关闭48V幻象电源；</w:t>
            </w:r>
          </w:p>
          <w:p w14:paraId="0D52516D">
            <w:pPr>
              <w:rPr>
                <w:rFonts w:ascii="宋体" w:hAnsi="宋体" w:cs="宋体"/>
              </w:rPr>
            </w:pPr>
            <w:r>
              <w:rPr>
                <w:rFonts w:hint="eastAsia" w:ascii="宋体" w:hAnsi="宋体" w:cs="宋体"/>
              </w:rPr>
              <w:t>10.前面USB免驱接入PC调试软件进行更专业更加精细的设置；</w:t>
            </w:r>
          </w:p>
          <w:p w14:paraId="294789EB">
            <w:pPr>
              <w:rPr>
                <w:rFonts w:ascii="宋体" w:hAnsi="宋体" w:cs="宋体"/>
              </w:rPr>
            </w:pPr>
            <w:r>
              <w:rPr>
                <w:rFonts w:hint="eastAsia" w:ascii="宋体" w:hAnsi="宋体" w:cs="宋体"/>
              </w:rPr>
              <w:t>11.输入最大电平：线路&gt;20dBu，麦克风≥12dBu；</w:t>
            </w:r>
          </w:p>
          <w:p w14:paraId="1E3A6E17">
            <w:pPr>
              <w:rPr>
                <w:rFonts w:ascii="宋体" w:hAnsi="宋体" w:cs="宋体"/>
              </w:rPr>
            </w:pPr>
            <w:r>
              <w:rPr>
                <w:rFonts w:hint="eastAsia" w:ascii="宋体" w:hAnsi="宋体" w:cs="宋体"/>
              </w:rPr>
              <w:t>12.输出通道最大电平：20dBu；</w:t>
            </w:r>
          </w:p>
          <w:p w14:paraId="7A7C45E2">
            <w:pPr>
              <w:rPr>
                <w:rFonts w:ascii="宋体" w:hAnsi="宋体" w:cs="宋体"/>
              </w:rPr>
            </w:pPr>
            <w:r>
              <w:rPr>
                <w:rFonts w:hint="eastAsia" w:ascii="宋体" w:hAnsi="宋体" w:cs="宋体"/>
              </w:rPr>
              <w:t>13.总谐波失真+噪声：&lt;0.003%；</w:t>
            </w:r>
          </w:p>
          <w:p w14:paraId="3F085165">
            <w:pPr>
              <w:rPr>
                <w:rFonts w:ascii="宋体" w:hAnsi="宋体" w:cs="宋体"/>
              </w:rPr>
            </w:pPr>
            <w:r>
              <w:rPr>
                <w:rFonts w:hint="eastAsia" w:ascii="宋体" w:hAnsi="宋体" w:cs="宋体"/>
              </w:rPr>
              <w:t>14.AI开启最大延迟：&lt;15ms；</w:t>
            </w:r>
          </w:p>
        </w:tc>
        <w:tc>
          <w:tcPr>
            <w:tcW w:w="620" w:type="dxa"/>
            <w:tcBorders>
              <w:top w:val="single" w:color="000000" w:sz="4" w:space="0"/>
              <w:left w:val="single" w:color="000000" w:sz="4" w:space="0"/>
              <w:bottom w:val="single" w:color="000000" w:sz="4" w:space="0"/>
              <w:right w:val="single" w:color="000000" w:sz="4" w:space="0"/>
            </w:tcBorders>
            <w:vAlign w:val="center"/>
          </w:tcPr>
          <w:p w14:paraId="74A22838">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7CC286E6">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4C873939">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106A031">
            <w:pPr>
              <w:widowControl/>
              <w:jc w:val="center"/>
              <w:textAlignment w:val="center"/>
              <w:rPr>
                <w:rFonts w:ascii="宋体" w:hAnsi="宋体" w:cs="宋体"/>
                <w:color w:val="000000"/>
              </w:rPr>
            </w:pPr>
            <w:r>
              <w:rPr>
                <w:rFonts w:hint="eastAsia" w:ascii="宋体" w:hAnsi="宋体" w:cs="宋体"/>
                <w:color w:val="000000"/>
                <w:lang w:bidi="ar"/>
              </w:rPr>
              <w:t>33</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13C42831">
            <w:pPr>
              <w:widowControl/>
              <w:jc w:val="center"/>
              <w:textAlignment w:val="center"/>
              <w:rPr>
                <w:rFonts w:ascii="宋体" w:hAnsi="宋体" w:cs="宋体"/>
                <w:color w:val="000000"/>
                <w:lang w:bidi="ar"/>
              </w:rPr>
            </w:pPr>
            <w:r>
              <w:rPr>
                <w:rFonts w:hint="eastAsia" w:ascii="宋体" w:hAnsi="宋体" w:cs="宋体"/>
                <w:color w:val="000000"/>
                <w:lang w:bidi="ar"/>
              </w:rPr>
              <w:t>调音台</w:t>
            </w:r>
          </w:p>
        </w:tc>
        <w:tc>
          <w:tcPr>
            <w:tcW w:w="5430" w:type="dxa"/>
            <w:tcBorders>
              <w:top w:val="single" w:color="000000" w:sz="4" w:space="0"/>
              <w:left w:val="single" w:color="000000" w:sz="4" w:space="0"/>
              <w:bottom w:val="single" w:color="000000" w:sz="4" w:space="0"/>
              <w:right w:val="single" w:color="000000" w:sz="4" w:space="0"/>
            </w:tcBorders>
            <w:vAlign w:val="center"/>
          </w:tcPr>
          <w:p w14:paraId="74905022">
            <w:pPr>
              <w:rPr>
                <w:rFonts w:ascii="宋体" w:hAnsi="宋体" w:cs="宋体"/>
              </w:rPr>
            </w:pPr>
            <w:r>
              <w:rPr>
                <w:rFonts w:hint="eastAsia" w:ascii="宋体" w:hAnsi="宋体" w:cs="宋体"/>
              </w:rPr>
              <w:t>1.四路话筒输入，4 路（两组）立体声输入；</w:t>
            </w:r>
          </w:p>
          <w:p w14:paraId="361D0178">
            <w:pPr>
              <w:rPr>
                <w:rFonts w:ascii="宋体" w:hAnsi="宋体" w:cs="宋体"/>
              </w:rPr>
            </w:pPr>
            <w:r>
              <w:rPr>
                <w:rFonts w:hint="eastAsia" w:ascii="宋体" w:hAnsi="宋体" w:cs="宋体"/>
              </w:rPr>
              <w:t>2.单声道输入通道每路带独立的 48V 环相供电开关，单声道输入每路带100Hz低切功能；</w:t>
            </w:r>
          </w:p>
          <w:p w14:paraId="7B8DC192">
            <w:pPr>
              <w:rPr>
                <w:rFonts w:ascii="宋体" w:hAnsi="宋体" w:cs="宋体"/>
              </w:rPr>
            </w:pPr>
            <w:r>
              <w:rPr>
                <w:rFonts w:hint="eastAsia" w:ascii="宋体" w:hAnsi="宋体" w:cs="宋体"/>
              </w:rPr>
              <w:t>3.话筒输入高中低三段均衡，5-8 路立体声高低两段均衡，输入推子60mm；</w:t>
            </w:r>
          </w:p>
          <w:p w14:paraId="68A8FF98">
            <w:pPr>
              <w:rPr>
                <w:rFonts w:ascii="宋体" w:hAnsi="宋体" w:cs="宋体"/>
              </w:rPr>
            </w:pPr>
            <w:r>
              <w:rPr>
                <w:rFonts w:hint="eastAsia" w:ascii="宋体" w:hAnsi="宋体" w:cs="宋体"/>
              </w:rPr>
              <w:t>4.两个辅助输出，一个 AUX 发送，一个 FX 发送，AUX 发送为推子 前信号，FX 发送为推子后信号，信号发送量都由旋钮控制；</w:t>
            </w:r>
          </w:p>
          <w:p w14:paraId="3322F6B4">
            <w:pPr>
              <w:rPr>
                <w:rFonts w:ascii="宋体" w:hAnsi="宋体" w:cs="宋体"/>
              </w:rPr>
            </w:pPr>
            <w:r>
              <w:rPr>
                <w:rFonts w:hint="eastAsia" w:ascii="宋体" w:hAnsi="宋体" w:cs="宋体"/>
              </w:rPr>
              <w:t>5.输入每路带 PFL 按键，方便监听推子前信号；</w:t>
            </w:r>
          </w:p>
          <w:p w14:paraId="6F64A76C">
            <w:pPr>
              <w:rPr>
                <w:rFonts w:ascii="宋体" w:hAnsi="宋体" w:cs="宋体"/>
              </w:rPr>
            </w:pPr>
            <w:r>
              <w:rPr>
                <w:rFonts w:hint="eastAsia" w:ascii="宋体" w:hAnsi="宋体" w:cs="宋体"/>
              </w:rPr>
              <w:t>6.每路输入带 L-R 开关（主输出开关）和 G1-G2 开关（两编组开关）；</w:t>
            </w:r>
          </w:p>
          <w:p w14:paraId="67772395">
            <w:pPr>
              <w:rPr>
                <w:rFonts w:ascii="宋体" w:hAnsi="宋体" w:cs="宋体"/>
              </w:rPr>
            </w:pPr>
            <w:r>
              <w:rPr>
                <w:rFonts w:hint="eastAsia" w:ascii="宋体" w:hAnsi="宋体" w:cs="宋体"/>
              </w:rPr>
              <w:t>7.USB 播放功能，带液晶显示屏，可以显示歌曲名字和歌词，支持 MP3,WAV 等多种格式，中英文界面可选，循环模式可选；</w:t>
            </w:r>
          </w:p>
          <w:p w14:paraId="631D3B5D">
            <w:pPr>
              <w:rPr>
                <w:rFonts w:ascii="宋体" w:hAnsi="宋体" w:cs="宋体"/>
              </w:rPr>
            </w:pPr>
            <w:r>
              <w:rPr>
                <w:rFonts w:hint="eastAsia" w:ascii="宋体" w:hAnsi="宋体" w:cs="宋体"/>
              </w:rPr>
              <w:t>8.带蓝牙功能，可以直接蓝牙输入音频；带 U 盘录音功能；</w:t>
            </w:r>
          </w:p>
          <w:p w14:paraId="37579D7F">
            <w:pPr>
              <w:rPr>
                <w:rFonts w:ascii="宋体" w:hAnsi="宋体" w:cs="宋体"/>
              </w:rPr>
            </w:pPr>
            <w:r>
              <w:rPr>
                <w:rFonts w:hint="eastAsia" w:ascii="宋体" w:hAnsi="宋体" w:cs="宋体"/>
              </w:rPr>
              <w:t>9.可以连接电脑，通过声卡输入输出音频到电脑；</w:t>
            </w:r>
          </w:p>
          <w:p w14:paraId="2727F9DD">
            <w:pPr>
              <w:rPr>
                <w:rFonts w:ascii="宋体" w:hAnsi="宋体" w:cs="宋体"/>
              </w:rPr>
            </w:pPr>
            <w:r>
              <w:rPr>
                <w:rFonts w:hint="eastAsia" w:ascii="宋体" w:hAnsi="宋体" w:cs="宋体"/>
              </w:rPr>
              <w:t>10.内置效果器，效果器延时时间和重复比例连续可调，效果可以 加入主输入，也可以加入辅助 AUX 输出；</w:t>
            </w:r>
          </w:p>
          <w:p w14:paraId="0387F501">
            <w:pPr>
              <w:rPr>
                <w:rFonts w:ascii="宋体" w:hAnsi="宋体" w:cs="宋体"/>
              </w:rPr>
            </w:pPr>
            <w:r>
              <w:rPr>
                <w:rFonts w:hint="eastAsia" w:ascii="宋体" w:hAnsi="宋体" w:cs="宋体"/>
              </w:rPr>
              <w:t>11.左右主输出，单独一个推子控制，60mm 推子；两编组输出，两 个推子独立控制60mm推子；</w:t>
            </w:r>
          </w:p>
          <w:p w14:paraId="7584A573">
            <w:pPr>
              <w:rPr>
                <w:rFonts w:ascii="宋体" w:hAnsi="宋体" w:cs="宋体"/>
              </w:rPr>
            </w:pPr>
            <w:r>
              <w:rPr>
                <w:rFonts w:hint="eastAsia" w:ascii="宋体" w:hAnsi="宋体" w:cs="宋体"/>
              </w:rPr>
              <w:t>12.立体声监听输出，可以耳机监听，也可以输出到监听音箱旋钮 控制音量大小；</w:t>
            </w:r>
          </w:p>
          <w:p w14:paraId="0FD75D81">
            <w:pPr>
              <w:rPr>
                <w:rFonts w:ascii="宋体" w:hAnsi="宋体" w:cs="宋体"/>
              </w:rPr>
            </w:pPr>
            <w:r>
              <w:rPr>
                <w:rFonts w:hint="eastAsia" w:ascii="宋体" w:hAnsi="宋体" w:cs="宋体"/>
              </w:rPr>
              <w:t>13.左右立体声辅助返回，旋钮控制返回音量大小，有选择开关选 择加入主输出还是编组输出；带莲花接口的录音输出和输入，录音 输入有独立开关控制，便于录音和回放操作；</w:t>
            </w:r>
          </w:p>
          <w:p w14:paraId="3F286F76">
            <w:pPr>
              <w:rPr>
                <w:rFonts w:ascii="宋体" w:hAnsi="宋体" w:cs="宋体"/>
              </w:rPr>
            </w:pPr>
            <w:r>
              <w:rPr>
                <w:rFonts w:hint="eastAsia" w:ascii="宋体" w:hAnsi="宋体" w:cs="宋体"/>
              </w:rPr>
              <w:t>14.标准双 12 段电平指示标，准确显示电平大小；</w:t>
            </w:r>
          </w:p>
          <w:p w14:paraId="6C47B626">
            <w:pPr>
              <w:rPr>
                <w:rFonts w:ascii="宋体" w:hAnsi="宋体" w:cs="宋体"/>
              </w:rPr>
            </w:pPr>
            <w:r>
              <w:rPr>
                <w:rFonts w:hint="eastAsia" w:ascii="宋体" w:hAnsi="宋体" w:cs="宋体"/>
              </w:rPr>
              <w:t>15.话筒输入可以选择卡龙或 6.35 接口，立体声输入可以选择 RCA 或 6.35 接口；</w:t>
            </w:r>
          </w:p>
          <w:p w14:paraId="48EBC848">
            <w:pPr>
              <w:rPr>
                <w:rFonts w:ascii="宋体" w:hAnsi="宋体" w:cs="宋体"/>
              </w:rPr>
            </w:pPr>
            <w:r>
              <w:rPr>
                <w:rFonts w:hint="eastAsia" w:ascii="宋体" w:hAnsi="宋体" w:cs="宋体"/>
              </w:rPr>
              <w:t>16.大功率外置电源，有效提升调音台性能；</w:t>
            </w:r>
          </w:p>
          <w:p w14:paraId="5D21EC79">
            <w:pPr>
              <w:rPr>
                <w:rFonts w:ascii="宋体" w:hAnsi="宋体" w:cs="宋体"/>
              </w:rPr>
            </w:pPr>
            <w:r>
              <w:rPr>
                <w:rFonts w:hint="eastAsia" w:ascii="宋体" w:hAnsi="宋体" w:cs="宋体"/>
              </w:rPr>
              <w:t>17.频率响应：20Hz~20KHz(+/-0.5dB)；</w:t>
            </w:r>
          </w:p>
          <w:p w14:paraId="407C51B8">
            <w:pPr>
              <w:rPr>
                <w:rFonts w:ascii="宋体" w:hAnsi="宋体" w:cs="宋体"/>
              </w:rPr>
            </w:pPr>
            <w:r>
              <w:rPr>
                <w:rFonts w:hint="eastAsia" w:ascii="宋体" w:hAnsi="宋体" w:cs="宋体"/>
              </w:rPr>
              <w:t>18.总谐波失真：〈</w:t>
            </w:r>
            <w:r>
              <w:rPr>
                <w:rFonts w:hint="eastAsia" w:ascii="宋体" w:hAnsi="宋体" w:cs="宋体"/>
                <w:lang w:eastAsia="zh-CN"/>
              </w:rPr>
              <w:t>1%</w:t>
            </w:r>
            <w:r>
              <w:rPr>
                <w:rFonts w:hint="eastAsia" w:ascii="宋体" w:hAnsi="宋体" w:cs="宋体"/>
              </w:rPr>
              <w:t>（额定条件：20HZ-20KHZ）；</w:t>
            </w:r>
          </w:p>
          <w:p w14:paraId="34BA792C">
            <w:pPr>
              <w:rPr>
                <w:rFonts w:ascii="宋体" w:hAnsi="宋体" w:cs="宋体"/>
              </w:rPr>
            </w:pPr>
            <w:r>
              <w:rPr>
                <w:rFonts w:hint="eastAsia" w:ascii="宋体" w:hAnsi="宋体" w:cs="宋体"/>
              </w:rPr>
              <w:t>19.等效输入噪音：≤-110dBm；</w:t>
            </w:r>
          </w:p>
        </w:tc>
        <w:tc>
          <w:tcPr>
            <w:tcW w:w="620" w:type="dxa"/>
            <w:tcBorders>
              <w:top w:val="single" w:color="000000" w:sz="4" w:space="0"/>
              <w:left w:val="single" w:color="000000" w:sz="4" w:space="0"/>
              <w:bottom w:val="single" w:color="000000" w:sz="4" w:space="0"/>
              <w:right w:val="single" w:color="000000" w:sz="4" w:space="0"/>
            </w:tcBorders>
            <w:vAlign w:val="center"/>
          </w:tcPr>
          <w:p w14:paraId="086EA614">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3053C3AF">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4E231D26">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27F2F19">
            <w:pPr>
              <w:widowControl/>
              <w:jc w:val="center"/>
              <w:textAlignment w:val="center"/>
              <w:rPr>
                <w:rFonts w:ascii="宋体" w:hAnsi="宋体" w:cs="宋体"/>
                <w:color w:val="000000"/>
              </w:rPr>
            </w:pPr>
            <w:r>
              <w:rPr>
                <w:rFonts w:hint="eastAsia" w:ascii="宋体" w:hAnsi="宋体" w:cs="宋体"/>
                <w:color w:val="000000"/>
                <w:lang w:bidi="ar"/>
              </w:rPr>
              <w:t>34</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79E2E3EA">
            <w:pPr>
              <w:widowControl/>
              <w:jc w:val="center"/>
              <w:textAlignment w:val="center"/>
              <w:rPr>
                <w:rFonts w:ascii="宋体" w:hAnsi="宋体" w:cs="宋体"/>
                <w:color w:val="000000"/>
                <w:lang w:bidi="ar"/>
              </w:rPr>
            </w:pPr>
            <w:r>
              <w:rPr>
                <w:rFonts w:hint="eastAsia" w:ascii="宋体" w:hAnsi="宋体" w:cs="宋体"/>
                <w:color w:val="000000"/>
                <w:lang w:bidi="ar"/>
              </w:rPr>
              <w:t>交换机</w:t>
            </w:r>
          </w:p>
        </w:tc>
        <w:tc>
          <w:tcPr>
            <w:tcW w:w="5430" w:type="dxa"/>
            <w:tcBorders>
              <w:top w:val="single" w:color="000000" w:sz="4" w:space="0"/>
              <w:left w:val="single" w:color="000000" w:sz="4" w:space="0"/>
              <w:bottom w:val="single" w:color="000000" w:sz="4" w:space="0"/>
              <w:right w:val="single" w:color="000000" w:sz="4" w:space="0"/>
            </w:tcBorders>
            <w:vAlign w:val="center"/>
          </w:tcPr>
          <w:p w14:paraId="17ACBCC0">
            <w:pPr>
              <w:widowControl/>
              <w:rPr>
                <w:rFonts w:ascii="宋体" w:hAnsi="宋体" w:cs="宋体"/>
                <w:color w:val="000000"/>
                <w:lang w:bidi="ar"/>
              </w:rPr>
            </w:pPr>
            <w:r>
              <w:rPr>
                <w:rFonts w:hint="eastAsia" w:ascii="宋体" w:hAnsi="宋体" w:cs="宋体"/>
                <w:color w:val="000000"/>
                <w:lang w:bidi="ar"/>
              </w:rPr>
              <w:t>24 全口千兆交换机</w:t>
            </w:r>
          </w:p>
        </w:tc>
        <w:tc>
          <w:tcPr>
            <w:tcW w:w="620" w:type="dxa"/>
            <w:tcBorders>
              <w:top w:val="single" w:color="000000" w:sz="4" w:space="0"/>
              <w:left w:val="single" w:color="000000" w:sz="4" w:space="0"/>
              <w:bottom w:val="single" w:color="000000" w:sz="4" w:space="0"/>
              <w:right w:val="single" w:color="000000" w:sz="4" w:space="0"/>
            </w:tcBorders>
            <w:vAlign w:val="center"/>
          </w:tcPr>
          <w:p w14:paraId="7E5B2DFB">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7CCB9029">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430B0F91">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3A126C27">
            <w:pPr>
              <w:widowControl/>
              <w:jc w:val="center"/>
              <w:textAlignment w:val="center"/>
              <w:rPr>
                <w:rFonts w:ascii="宋体" w:hAnsi="宋体" w:cs="宋体"/>
                <w:color w:val="000000"/>
              </w:rPr>
            </w:pPr>
            <w:r>
              <w:rPr>
                <w:rFonts w:hint="eastAsia" w:ascii="宋体" w:hAnsi="宋体" w:cs="宋体"/>
                <w:color w:val="000000"/>
                <w:lang w:bidi="ar"/>
              </w:rPr>
              <w:t>35</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05E33275">
            <w:pPr>
              <w:widowControl/>
              <w:jc w:val="center"/>
              <w:textAlignment w:val="center"/>
              <w:rPr>
                <w:rFonts w:ascii="宋体" w:hAnsi="宋体" w:cs="宋体"/>
                <w:color w:val="000000"/>
              </w:rPr>
            </w:pPr>
            <w:r>
              <w:rPr>
                <w:rFonts w:hint="eastAsia" w:ascii="宋体" w:hAnsi="宋体" w:cs="宋体"/>
                <w:color w:val="000000"/>
                <w:lang w:bidi="ar"/>
              </w:rPr>
              <w:t>机柜</w:t>
            </w:r>
          </w:p>
        </w:tc>
        <w:tc>
          <w:tcPr>
            <w:tcW w:w="5430" w:type="dxa"/>
            <w:tcBorders>
              <w:top w:val="single" w:color="000000" w:sz="4" w:space="0"/>
              <w:left w:val="single" w:color="000000" w:sz="4" w:space="0"/>
              <w:bottom w:val="single" w:color="000000" w:sz="4" w:space="0"/>
              <w:right w:val="single" w:color="000000" w:sz="4" w:space="0"/>
            </w:tcBorders>
            <w:vAlign w:val="center"/>
          </w:tcPr>
          <w:p w14:paraId="0739C59C">
            <w:pPr>
              <w:widowControl/>
              <w:textAlignment w:val="center"/>
              <w:rPr>
                <w:rFonts w:ascii="宋体" w:hAnsi="宋体" w:cs="宋体"/>
                <w:color w:val="000000"/>
                <w:lang w:bidi="ar"/>
              </w:rPr>
            </w:pPr>
            <w:r>
              <w:rPr>
                <w:rFonts w:hint="eastAsia" w:ascii="宋体" w:hAnsi="宋体" w:cs="宋体"/>
                <w:color w:val="000000"/>
                <w:lang w:bidi="ar"/>
              </w:rPr>
              <w:t>1. 机柜容量：≥20U</w:t>
            </w:r>
          </w:p>
          <w:p w14:paraId="4876AE38">
            <w:pPr>
              <w:widowControl/>
              <w:textAlignment w:val="center"/>
              <w:rPr>
                <w:rFonts w:ascii="宋体" w:hAnsi="宋体" w:cs="宋体"/>
                <w:color w:val="000000"/>
                <w:lang w:bidi="ar"/>
              </w:rPr>
            </w:pPr>
            <w:r>
              <w:rPr>
                <w:rFonts w:hint="eastAsia" w:ascii="宋体" w:hAnsi="宋体" w:cs="宋体"/>
                <w:color w:val="000000"/>
                <w:lang w:bidi="ar"/>
              </w:rPr>
              <w:t>2. 机柜尺寸：≥590×400×1025(mm)</w:t>
            </w:r>
          </w:p>
          <w:p w14:paraId="112C2E1E">
            <w:pPr>
              <w:widowControl/>
              <w:textAlignment w:val="center"/>
              <w:rPr>
                <w:rFonts w:ascii="宋体" w:hAnsi="宋体" w:cs="宋体"/>
                <w:color w:val="000000"/>
                <w:lang w:bidi="ar"/>
              </w:rPr>
            </w:pPr>
            <w:r>
              <w:rPr>
                <w:rFonts w:hint="eastAsia" w:ascii="宋体" w:hAnsi="宋体" w:cs="宋体"/>
                <w:color w:val="000000"/>
                <w:lang w:bidi="ar"/>
              </w:rPr>
              <w:t>3. 外壳材质：冷轧钢材，表面喷塑（乳白色）</w:t>
            </w:r>
          </w:p>
          <w:p w14:paraId="1A196036">
            <w:pPr>
              <w:widowControl/>
              <w:textAlignment w:val="center"/>
              <w:rPr>
                <w:rFonts w:ascii="宋体" w:hAnsi="宋体" w:cs="宋体"/>
                <w:color w:val="000000"/>
                <w:lang w:bidi="ar"/>
              </w:rPr>
            </w:pPr>
            <w:r>
              <w:rPr>
                <w:rFonts w:hint="eastAsia" w:ascii="宋体" w:hAnsi="宋体" w:cs="宋体"/>
                <w:color w:val="000000"/>
                <w:lang w:bidi="ar"/>
              </w:rPr>
              <w:t>4. 正面门板：主体为高清玻璃，带机械锁</w:t>
            </w:r>
          </w:p>
          <w:p w14:paraId="24D0B202">
            <w:pPr>
              <w:widowControl/>
              <w:textAlignment w:val="center"/>
              <w:rPr>
                <w:rFonts w:ascii="宋体" w:hAnsi="宋体" w:cs="宋体"/>
                <w:color w:val="000000"/>
                <w:lang w:bidi="ar"/>
              </w:rPr>
            </w:pPr>
            <w:r>
              <w:rPr>
                <w:rFonts w:hint="eastAsia" w:ascii="宋体" w:hAnsi="宋体" w:cs="宋体"/>
                <w:color w:val="000000"/>
                <w:lang w:bidi="ar"/>
              </w:rPr>
              <w:t>5. 背部门板：可快速拆卸的钢材挡板</w:t>
            </w:r>
          </w:p>
          <w:p w14:paraId="2F1F8A8B">
            <w:pPr>
              <w:widowControl/>
              <w:textAlignment w:val="center"/>
              <w:rPr>
                <w:rFonts w:ascii="宋体" w:hAnsi="宋体" w:cs="宋体"/>
                <w:color w:val="000000"/>
                <w:lang w:bidi="ar"/>
              </w:rPr>
            </w:pPr>
            <w:r>
              <w:rPr>
                <w:rFonts w:hint="eastAsia" w:ascii="宋体" w:hAnsi="宋体" w:cs="宋体"/>
                <w:color w:val="000000"/>
                <w:lang w:bidi="ar"/>
              </w:rPr>
              <w:t>6. 机架型材：冷轧钢材，表面喷塑（黑色）</w:t>
            </w:r>
          </w:p>
          <w:p w14:paraId="7A9844BD">
            <w:pPr>
              <w:widowControl/>
              <w:textAlignment w:val="center"/>
              <w:rPr>
                <w:rFonts w:ascii="宋体" w:hAnsi="宋体" w:cs="宋体"/>
                <w:color w:val="000000"/>
                <w:lang w:bidi="ar"/>
              </w:rPr>
            </w:pPr>
            <w:r>
              <w:rPr>
                <w:rFonts w:hint="eastAsia" w:ascii="宋体" w:hAnsi="宋体" w:cs="宋体"/>
                <w:color w:val="000000"/>
                <w:lang w:bidi="ar"/>
              </w:rPr>
              <w:t>7. 机柜支脚：重型脚轮</w:t>
            </w:r>
          </w:p>
          <w:p w14:paraId="09E48777">
            <w:pPr>
              <w:widowControl/>
              <w:textAlignment w:val="center"/>
              <w:rPr>
                <w:rFonts w:ascii="宋体" w:hAnsi="宋体" w:cs="宋体"/>
                <w:color w:val="000000"/>
                <w:lang w:bidi="ar"/>
              </w:rPr>
            </w:pPr>
            <w:r>
              <w:rPr>
                <w:rFonts w:hint="eastAsia" w:ascii="宋体" w:hAnsi="宋体" w:cs="宋体"/>
                <w:color w:val="000000"/>
                <w:lang w:bidi="ar"/>
              </w:rPr>
              <w:t>8. 散热孔位置：背部散热</w:t>
            </w:r>
          </w:p>
          <w:p w14:paraId="3A9983A0">
            <w:pPr>
              <w:widowControl/>
              <w:textAlignment w:val="center"/>
              <w:rPr>
                <w:rFonts w:ascii="宋体" w:hAnsi="宋体" w:cs="宋体"/>
                <w:color w:val="000000"/>
                <w:lang w:bidi="ar"/>
              </w:rPr>
            </w:pPr>
            <w:r>
              <w:rPr>
                <w:rFonts w:hint="eastAsia" w:ascii="宋体" w:hAnsi="宋体" w:cs="宋体"/>
                <w:color w:val="000000"/>
                <w:lang w:bidi="ar"/>
              </w:rPr>
              <w:t>9. 出线孔位置：底部出线</w:t>
            </w:r>
          </w:p>
          <w:p w14:paraId="29B957B2">
            <w:pPr>
              <w:widowControl/>
              <w:textAlignment w:val="center"/>
              <w:rPr>
                <w:rFonts w:ascii="宋体" w:hAnsi="宋体" w:cs="宋体"/>
                <w:color w:val="000000"/>
                <w:lang w:bidi="ar"/>
              </w:rPr>
            </w:pPr>
            <w:r>
              <w:rPr>
                <w:rFonts w:hint="eastAsia" w:ascii="宋体" w:hAnsi="宋体" w:cs="宋体"/>
                <w:color w:val="000000"/>
                <w:lang w:bidi="ar"/>
              </w:rPr>
              <w:t>10.温湿度自动监测功能：机柜正面顶部可显示当前机柜内部的温湿度信息（温度范围：0-50℃，湿度范围：20%-60%RH）。</w:t>
            </w:r>
          </w:p>
        </w:tc>
        <w:tc>
          <w:tcPr>
            <w:tcW w:w="620" w:type="dxa"/>
            <w:tcBorders>
              <w:top w:val="single" w:color="000000" w:sz="4" w:space="0"/>
              <w:left w:val="single" w:color="000000" w:sz="4" w:space="0"/>
              <w:bottom w:val="single" w:color="000000" w:sz="4" w:space="0"/>
              <w:right w:val="single" w:color="000000" w:sz="4" w:space="0"/>
            </w:tcBorders>
            <w:vAlign w:val="center"/>
          </w:tcPr>
          <w:p w14:paraId="1A0B4D70">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5062D228">
            <w:pPr>
              <w:widowControl/>
              <w:jc w:val="center"/>
              <w:textAlignment w:val="center"/>
              <w:rPr>
                <w:rFonts w:ascii="宋体" w:hAnsi="宋体" w:cs="宋体"/>
                <w:color w:val="000000"/>
              </w:rPr>
            </w:pPr>
            <w:r>
              <w:rPr>
                <w:rFonts w:hint="eastAsia" w:ascii="宋体" w:hAnsi="宋体" w:cs="宋体"/>
                <w:color w:val="000000"/>
                <w:lang w:bidi="ar"/>
              </w:rPr>
              <w:t>台</w:t>
            </w:r>
          </w:p>
        </w:tc>
      </w:tr>
      <w:tr w14:paraId="57709C4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CEA7970">
            <w:pPr>
              <w:widowControl/>
              <w:jc w:val="center"/>
              <w:textAlignment w:val="center"/>
              <w:rPr>
                <w:rFonts w:ascii="宋体" w:hAnsi="宋体" w:cs="宋体"/>
                <w:color w:val="000000"/>
                <w:lang w:bidi="ar"/>
              </w:rPr>
            </w:pPr>
            <w:r>
              <w:rPr>
                <w:rFonts w:hint="eastAsia" w:ascii="宋体" w:hAnsi="宋体" w:cs="宋体"/>
                <w:color w:val="000000"/>
                <w:lang w:bidi="ar"/>
              </w:rPr>
              <w:t>36</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21D77D7E">
            <w:pPr>
              <w:widowControl/>
              <w:jc w:val="center"/>
              <w:textAlignment w:val="center"/>
              <w:rPr>
                <w:rFonts w:ascii="宋体" w:hAnsi="宋体" w:cs="宋体"/>
                <w:color w:val="000000"/>
              </w:rPr>
            </w:pPr>
            <w:r>
              <w:rPr>
                <w:rFonts w:hint="eastAsia" w:ascii="宋体" w:hAnsi="宋体" w:cs="宋体"/>
                <w:color w:val="000000"/>
                <w:lang w:bidi="ar"/>
              </w:rPr>
              <w:t>可升降讲台</w:t>
            </w:r>
          </w:p>
        </w:tc>
        <w:tc>
          <w:tcPr>
            <w:tcW w:w="5430" w:type="dxa"/>
            <w:tcBorders>
              <w:top w:val="single" w:color="000000" w:sz="4" w:space="0"/>
              <w:left w:val="single" w:color="000000" w:sz="4" w:space="0"/>
              <w:bottom w:val="single" w:color="000000" w:sz="4" w:space="0"/>
              <w:right w:val="single" w:color="000000" w:sz="4" w:space="0"/>
            </w:tcBorders>
            <w:vAlign w:val="center"/>
          </w:tcPr>
          <w:p w14:paraId="3A6F8659">
            <w:pPr>
              <w:widowControl/>
              <w:textAlignment w:val="center"/>
              <w:rPr>
                <w:rFonts w:ascii="宋体" w:hAnsi="宋体" w:cs="宋体"/>
                <w:color w:val="000000"/>
                <w:lang w:bidi="ar"/>
              </w:rPr>
            </w:pPr>
            <w:r>
              <w:rPr>
                <w:rFonts w:hint="eastAsia" w:ascii="宋体" w:hAnsi="宋体" w:cs="宋体"/>
                <w:color w:val="000000"/>
                <w:lang w:bidi="ar"/>
              </w:rPr>
              <w:t>1、桌面：桌面采用E1级环保高密度板，高密度板厚度不低于18MM，高密度板经过防虫、防腐的化学处理，强度高、刚性好、不变形、比重合理；高密度板外表面采用中纤板喷粉技术处理，无需封边，桌面板所有棱边都采用弧形设计，美观大方；讲桌表面包括用户侧的边缘采用弧形倒角设计，防止撞伤；桌面安装长度不低于30 cm的铝拉丝挡条，防止物品滑落；桌面配置有笔槽。桌面尺寸长宽不低于：690mm*512mm。</w:t>
            </w:r>
          </w:p>
          <w:p w14:paraId="3650DA0F">
            <w:pPr>
              <w:widowControl/>
              <w:textAlignment w:val="center"/>
              <w:rPr>
                <w:rFonts w:ascii="宋体" w:hAnsi="宋体" w:cs="宋体"/>
                <w:color w:val="000000"/>
                <w:lang w:bidi="ar"/>
              </w:rPr>
            </w:pPr>
            <w:r>
              <w:rPr>
                <w:rFonts w:hint="eastAsia" w:ascii="宋体" w:hAnsi="宋体" w:cs="宋体"/>
                <w:color w:val="000000"/>
                <w:lang w:bidi="ar"/>
              </w:rPr>
              <w:t>2、气动升降杆：气动升降杆采用优质铝合金作为升降杆柱体，表面采用高温静电喷涂。桌面气动升降范围为752.5-1112.5mm；气杆采用一键</w:t>
            </w:r>
            <w:r>
              <w:rPr>
                <w:rFonts w:hint="eastAsia" w:ascii="宋体" w:hAnsi="宋体" w:cs="宋体"/>
                <w:color w:val="000000"/>
                <w:lang w:eastAsia="zh-CN" w:bidi="ar"/>
              </w:rPr>
              <w:t>无级</w:t>
            </w:r>
            <w:r>
              <w:rPr>
                <w:rFonts w:hint="eastAsia" w:ascii="宋体" w:hAnsi="宋体" w:cs="宋体"/>
                <w:color w:val="000000"/>
                <w:lang w:bidi="ar"/>
              </w:rPr>
              <w:t>升降，升降按键采用弧形设计，符合人体工学；气动升降杆最大承重15KG。</w:t>
            </w:r>
          </w:p>
          <w:p w14:paraId="2AB28E5A">
            <w:pPr>
              <w:widowControl/>
              <w:textAlignment w:val="center"/>
              <w:rPr>
                <w:rFonts w:ascii="宋体" w:hAnsi="宋体" w:cs="宋体"/>
                <w:color w:val="000000"/>
                <w:lang w:bidi="ar"/>
              </w:rPr>
            </w:pPr>
            <w:r>
              <w:rPr>
                <w:rFonts w:hint="eastAsia" w:ascii="宋体" w:hAnsi="宋体" w:cs="宋体"/>
                <w:color w:val="000000"/>
                <w:lang w:bidi="ar"/>
              </w:rPr>
              <w:t>3、底盘：采用开放型设计的支架底盘，符合人体工学，不仅可以防止踢脚，还突破传统的束缚，解放双脚。底盘采用优质铝合金，表面采用高温静电喷涂，安装4个两寸万向PU滑轮，2轮可锁定，方便移动。</w:t>
            </w:r>
          </w:p>
          <w:p w14:paraId="68F2CBB4">
            <w:pPr>
              <w:widowControl/>
              <w:textAlignment w:val="center"/>
              <w:rPr>
                <w:rFonts w:ascii="宋体" w:hAnsi="宋体" w:cs="宋体"/>
                <w:color w:val="000000"/>
                <w:lang w:bidi="ar"/>
              </w:rPr>
            </w:pPr>
            <w:r>
              <w:rPr>
                <w:rFonts w:hint="eastAsia" w:ascii="宋体" w:hAnsi="宋体" w:cs="宋体"/>
                <w:color w:val="000000"/>
                <w:lang w:bidi="ar"/>
              </w:rPr>
              <w:t>4、LOGO装饰板：桌面下方安装厚度不低于5mm的亚克力LOGO装饰板，尺寸不低于400*245mm，采用4颗装饰螺丝安装，可以印刷尺寸≤20CM的校徽。</w:t>
            </w:r>
          </w:p>
          <w:p w14:paraId="1686E48B">
            <w:pPr>
              <w:widowControl/>
              <w:textAlignment w:val="center"/>
              <w:rPr>
                <w:rFonts w:ascii="宋体" w:hAnsi="宋体" w:cs="宋体"/>
                <w:color w:val="000000"/>
                <w:lang w:bidi="ar"/>
              </w:rPr>
            </w:pPr>
            <w:r>
              <w:rPr>
                <w:rFonts w:hint="eastAsia" w:ascii="宋体" w:hAnsi="宋体" w:cs="宋体"/>
                <w:color w:val="000000"/>
                <w:lang w:bidi="ar"/>
              </w:rPr>
              <w:t>5、功能：课桌桌面呈10度倾斜，课桌可以选配安装水杯架、键盘托。</w:t>
            </w:r>
          </w:p>
          <w:p w14:paraId="3188E79E">
            <w:pPr>
              <w:widowControl/>
              <w:textAlignment w:val="center"/>
              <w:rPr>
                <w:rFonts w:ascii="宋体" w:hAnsi="宋体" w:cs="宋体"/>
                <w:color w:val="000000"/>
                <w:lang w:bidi="ar"/>
              </w:rPr>
            </w:pPr>
            <w:r>
              <w:rPr>
                <w:rFonts w:hint="eastAsia" w:ascii="宋体" w:hAnsi="宋体" w:cs="宋体"/>
                <w:color w:val="000000"/>
                <w:lang w:bidi="ar"/>
              </w:rPr>
              <w:t>6、产品整体尺寸（ L*W*H单位mm）：最低尺寸：不低于690*536*752.5mm，最高尺寸不低于690*536*1112.5mm。</w:t>
            </w:r>
          </w:p>
          <w:p w14:paraId="50A5B0A4">
            <w:pPr>
              <w:widowControl/>
              <w:textAlignment w:val="center"/>
              <w:rPr>
                <w:rFonts w:hint="eastAsia" w:ascii="宋体" w:hAnsi="宋体" w:cs="宋体"/>
                <w:color w:val="000000"/>
                <w:lang w:bidi="ar"/>
              </w:rPr>
            </w:pPr>
            <w:r>
              <w:rPr>
                <w:rFonts w:hint="eastAsia" w:ascii="宋体" w:hAnsi="宋体" w:cs="宋体"/>
                <w:color w:val="000000"/>
                <w:lang w:bidi="ar"/>
              </w:rPr>
              <w:t xml:space="preserve">7、为保证制造商的专业性与产品质量，要求制造商通过ISO9001标准质量管理体系、ISO14001标准环境管理体系、ISO45001标准职业健康安全管理体系的认证；制造商为省级和国家教育装备协会会员；                                                                                                                                                                                                 </w:t>
            </w:r>
          </w:p>
          <w:p w14:paraId="0A67CD3E">
            <w:pPr>
              <w:widowControl/>
              <w:textAlignment w:val="center"/>
              <w:rPr>
                <w:rFonts w:hint="eastAsia" w:ascii="宋体" w:hAnsi="宋体" w:cs="宋体"/>
                <w:color w:val="000000"/>
                <w:lang w:bidi="ar"/>
              </w:rPr>
            </w:pPr>
            <w:r>
              <w:rPr>
                <w:rFonts w:hint="eastAsia" w:ascii="宋体" w:hAnsi="宋体" w:cs="宋体"/>
                <w:color w:val="000000"/>
                <w:lang w:bidi="ar"/>
              </w:rPr>
              <w:t xml:space="preserve">8、投标产品符合 GB/T26572-2011 检测要求，（铅/镉/汞/六价铬含量）、多溴联苯和多溴二苯醚的含量全部检测合格。甲醛含量和重金属含量符合GB18584-2001要求。                                                                                                                               </w:t>
            </w:r>
          </w:p>
          <w:p w14:paraId="53FEC7C1">
            <w:pPr>
              <w:widowControl/>
              <w:textAlignment w:val="center"/>
              <w:rPr>
                <w:rFonts w:ascii="宋体" w:hAnsi="宋体" w:cs="宋体"/>
                <w:color w:val="000000"/>
                <w:lang w:bidi="ar"/>
              </w:rPr>
            </w:pPr>
            <w:r>
              <w:rPr>
                <w:rFonts w:hint="eastAsia" w:ascii="宋体" w:hAnsi="宋体" w:cs="宋体"/>
                <w:color w:val="000000"/>
                <w:lang w:bidi="ar"/>
              </w:rPr>
              <w:t>9、为保障产品的使用安全性，所使用的万向轮：所含铅、镉、汞、六价铬、多溴联苯等符合 GB/T26572-2011 标准。</w:t>
            </w:r>
          </w:p>
        </w:tc>
        <w:tc>
          <w:tcPr>
            <w:tcW w:w="620" w:type="dxa"/>
            <w:tcBorders>
              <w:top w:val="single" w:color="000000" w:sz="4" w:space="0"/>
              <w:left w:val="single" w:color="000000" w:sz="4" w:space="0"/>
              <w:bottom w:val="single" w:color="000000" w:sz="4" w:space="0"/>
              <w:right w:val="single" w:color="000000" w:sz="4" w:space="0"/>
            </w:tcBorders>
            <w:vAlign w:val="center"/>
          </w:tcPr>
          <w:p w14:paraId="3A780A33">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7974A346">
            <w:pPr>
              <w:widowControl/>
              <w:jc w:val="center"/>
              <w:textAlignment w:val="center"/>
              <w:rPr>
                <w:rFonts w:ascii="宋体" w:hAnsi="宋体" w:cs="宋体"/>
                <w:color w:val="000000"/>
              </w:rPr>
            </w:pPr>
            <w:r>
              <w:rPr>
                <w:rFonts w:hint="eastAsia" w:ascii="宋体" w:hAnsi="宋体" w:cs="宋体"/>
                <w:color w:val="000000"/>
                <w:lang w:bidi="ar"/>
              </w:rPr>
              <w:t>张</w:t>
            </w:r>
          </w:p>
        </w:tc>
      </w:tr>
      <w:tr w14:paraId="37FF776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4F36028">
            <w:pPr>
              <w:widowControl/>
              <w:jc w:val="center"/>
              <w:textAlignment w:val="center"/>
              <w:rPr>
                <w:rFonts w:ascii="宋体" w:hAnsi="宋体" w:cs="宋体"/>
                <w:color w:val="000000"/>
              </w:rPr>
            </w:pPr>
            <w:r>
              <w:rPr>
                <w:rFonts w:hint="eastAsia" w:ascii="宋体" w:hAnsi="宋体" w:cs="宋体"/>
                <w:color w:val="000000"/>
                <w:lang w:bidi="ar"/>
              </w:rPr>
              <w:t>37</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0E924191">
            <w:pPr>
              <w:widowControl/>
              <w:jc w:val="center"/>
              <w:textAlignment w:val="center"/>
              <w:rPr>
                <w:rFonts w:ascii="宋体" w:hAnsi="宋体" w:cs="宋体"/>
                <w:color w:val="000000"/>
              </w:rPr>
            </w:pPr>
            <w:r>
              <w:rPr>
                <w:rFonts w:hint="eastAsia" w:ascii="宋体" w:hAnsi="宋体" w:cs="宋体"/>
                <w:color w:val="000000"/>
                <w:lang w:bidi="ar"/>
              </w:rPr>
              <w:t>定制小组研讨实训台（等边梯形带滚轮）</w:t>
            </w:r>
          </w:p>
        </w:tc>
        <w:tc>
          <w:tcPr>
            <w:tcW w:w="5430" w:type="dxa"/>
            <w:tcBorders>
              <w:top w:val="single" w:color="000000" w:sz="4" w:space="0"/>
              <w:left w:val="single" w:color="000000" w:sz="4" w:space="0"/>
              <w:bottom w:val="single" w:color="000000" w:sz="4" w:space="0"/>
              <w:right w:val="single" w:color="000000" w:sz="4" w:space="0"/>
            </w:tcBorders>
            <w:vAlign w:val="center"/>
          </w:tcPr>
          <w:p w14:paraId="3546D50A">
            <w:pPr>
              <w:widowControl/>
              <w:textAlignment w:val="center"/>
              <w:rPr>
                <w:rFonts w:ascii="宋体" w:hAnsi="宋体" w:cs="宋体"/>
                <w:color w:val="000000"/>
                <w:lang w:bidi="ar"/>
              </w:rPr>
            </w:pPr>
            <w:r>
              <w:rPr>
                <w:rFonts w:hint="eastAsia" w:ascii="宋体" w:hAnsi="宋体" w:cs="宋体"/>
                <w:color w:val="000000"/>
                <w:lang w:bidi="ar"/>
              </w:rPr>
              <w:t>1.台面：E1级高密度板台面，厚度不低于25MM，内材经过防虫、防腐的化学处理，强度高、刚性好、不变形、比重合理；封边：PVC胶边；密度≥750公斤/立方米，游离甲醛含量≤8mg/100g。</w:t>
            </w:r>
          </w:p>
          <w:p w14:paraId="26E50EDA">
            <w:pPr>
              <w:widowControl/>
              <w:textAlignment w:val="center"/>
              <w:rPr>
                <w:rFonts w:ascii="宋体" w:hAnsi="宋体" w:cs="宋体"/>
                <w:color w:val="000000"/>
                <w:lang w:bidi="ar"/>
              </w:rPr>
            </w:pPr>
            <w:r>
              <w:rPr>
                <w:rFonts w:hint="eastAsia" w:ascii="宋体" w:hAnsi="宋体" w:cs="宋体"/>
                <w:color w:val="000000"/>
                <w:lang w:bidi="ar"/>
              </w:rPr>
              <w:t>2.台架采用厚蛋管冷轧钢立柱，冷轧钢横梁，表面高温静电喷涂；</w:t>
            </w:r>
          </w:p>
          <w:p w14:paraId="175A2255">
            <w:pPr>
              <w:widowControl/>
              <w:textAlignment w:val="center"/>
              <w:rPr>
                <w:rFonts w:ascii="宋体" w:hAnsi="宋体" w:cs="宋体"/>
                <w:color w:val="000000"/>
                <w:lang w:bidi="ar"/>
              </w:rPr>
            </w:pPr>
            <w:r>
              <w:rPr>
                <w:rFonts w:hint="eastAsia" w:ascii="宋体" w:hAnsi="宋体" w:cs="宋体"/>
                <w:color w:val="000000"/>
                <w:lang w:bidi="ar"/>
              </w:rPr>
              <w:t>3.脚轮：可调节高低，两个带刹车轮，两个不带刹车，方便用户随时调节桌面平整；</w:t>
            </w:r>
          </w:p>
          <w:p w14:paraId="53D5F884">
            <w:pPr>
              <w:widowControl/>
              <w:textAlignment w:val="center"/>
              <w:rPr>
                <w:rFonts w:ascii="宋体" w:hAnsi="宋体" w:cs="宋体"/>
                <w:color w:val="000000"/>
                <w:lang w:bidi="ar"/>
              </w:rPr>
            </w:pPr>
            <w:r>
              <w:rPr>
                <w:rFonts w:hint="eastAsia" w:ascii="宋体" w:hAnsi="宋体" w:cs="宋体"/>
                <w:color w:val="000000"/>
                <w:lang w:bidi="ar"/>
              </w:rPr>
              <w:t>4.木板颜色：多色可选或提供样品色定制；</w:t>
            </w:r>
          </w:p>
          <w:p w14:paraId="44D38BCA">
            <w:pPr>
              <w:widowControl/>
              <w:textAlignment w:val="center"/>
              <w:rPr>
                <w:rFonts w:ascii="宋体" w:hAnsi="宋体" w:cs="宋体"/>
                <w:color w:val="000000"/>
                <w:lang w:bidi="ar"/>
              </w:rPr>
            </w:pPr>
            <w:r>
              <w:rPr>
                <w:rFonts w:hint="eastAsia" w:ascii="宋体" w:hAnsi="宋体" w:cs="宋体"/>
                <w:color w:val="000000"/>
                <w:lang w:bidi="ar"/>
              </w:rPr>
              <w:t>5.平衡码：选配，1）可固定拼接、整体移动，2）可固定桌面平整；</w:t>
            </w:r>
          </w:p>
          <w:p w14:paraId="0BB58B58">
            <w:pPr>
              <w:widowControl/>
              <w:textAlignment w:val="center"/>
              <w:rPr>
                <w:rFonts w:hint="eastAsia" w:ascii="宋体" w:hAnsi="宋体" w:cs="宋体"/>
                <w:color w:val="000000"/>
                <w:lang w:bidi="ar"/>
              </w:rPr>
            </w:pPr>
            <w:r>
              <w:rPr>
                <w:rFonts w:hint="eastAsia" w:ascii="宋体" w:hAnsi="宋体" w:cs="宋体"/>
                <w:color w:val="000000"/>
                <w:lang w:bidi="ar"/>
              </w:rPr>
              <w:t xml:space="preserve">6.尺寸：不低于900*450*450*750mm可以任意拼，根据课程需求随意搭配；                                                                                                                                                                             </w:t>
            </w:r>
          </w:p>
          <w:p w14:paraId="3413DC4E">
            <w:pPr>
              <w:widowControl/>
              <w:textAlignment w:val="center"/>
              <w:rPr>
                <w:rFonts w:ascii="宋体" w:hAnsi="宋体" w:cs="宋体"/>
                <w:color w:val="000000"/>
                <w:lang w:bidi="ar"/>
              </w:rPr>
            </w:pPr>
            <w:r>
              <w:rPr>
                <w:rFonts w:hint="eastAsia" w:ascii="宋体" w:hAnsi="宋体" w:cs="宋体"/>
                <w:color w:val="000000"/>
                <w:lang w:bidi="ar"/>
              </w:rPr>
              <w:t>7.为保证制造商的专业性与产品质量，要求制造商通过ISO9001质量体系、ISO14001环境体系、ISO45001健康体系认证，为省级教育装备协会会员，中国教育协会会员，提供产品质量检测报告。</w:t>
            </w:r>
          </w:p>
        </w:tc>
        <w:tc>
          <w:tcPr>
            <w:tcW w:w="620" w:type="dxa"/>
            <w:tcBorders>
              <w:top w:val="single" w:color="000000" w:sz="4" w:space="0"/>
              <w:left w:val="single" w:color="000000" w:sz="4" w:space="0"/>
              <w:bottom w:val="single" w:color="000000" w:sz="4" w:space="0"/>
              <w:right w:val="single" w:color="000000" w:sz="4" w:space="0"/>
            </w:tcBorders>
            <w:vAlign w:val="center"/>
          </w:tcPr>
          <w:p w14:paraId="424C9BF2">
            <w:pPr>
              <w:widowControl/>
              <w:jc w:val="center"/>
              <w:textAlignment w:val="center"/>
              <w:rPr>
                <w:rFonts w:ascii="宋体" w:hAnsi="宋体" w:cs="宋体"/>
                <w:color w:val="000000"/>
              </w:rPr>
            </w:pPr>
            <w:r>
              <w:rPr>
                <w:rFonts w:hint="eastAsia" w:ascii="宋体" w:hAnsi="宋体" w:cs="宋体"/>
                <w:color w:val="000000"/>
                <w:lang w:bidi="ar"/>
              </w:rPr>
              <w:t>48</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28E4FE35">
            <w:pPr>
              <w:widowControl/>
              <w:jc w:val="center"/>
              <w:textAlignment w:val="center"/>
              <w:rPr>
                <w:rFonts w:ascii="宋体" w:hAnsi="宋体" w:cs="宋体"/>
                <w:color w:val="000000"/>
              </w:rPr>
            </w:pPr>
            <w:r>
              <w:rPr>
                <w:rFonts w:hint="eastAsia" w:ascii="宋体" w:hAnsi="宋体" w:cs="宋体"/>
                <w:color w:val="000000"/>
                <w:lang w:bidi="ar"/>
              </w:rPr>
              <w:t>位</w:t>
            </w:r>
          </w:p>
        </w:tc>
      </w:tr>
      <w:tr w14:paraId="490E3D4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D9EBAA1">
            <w:pPr>
              <w:widowControl/>
              <w:jc w:val="center"/>
              <w:textAlignment w:val="center"/>
              <w:rPr>
                <w:rFonts w:ascii="宋体" w:hAnsi="宋体" w:cs="宋体"/>
                <w:color w:val="000000"/>
              </w:rPr>
            </w:pPr>
            <w:r>
              <w:rPr>
                <w:rFonts w:hint="eastAsia" w:ascii="宋体" w:hAnsi="宋体" w:cs="宋体"/>
                <w:color w:val="000000"/>
              </w:rPr>
              <w:t>38</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178EDF01">
            <w:pPr>
              <w:widowControl/>
              <w:jc w:val="center"/>
              <w:textAlignment w:val="center"/>
              <w:rPr>
                <w:rFonts w:ascii="宋体" w:hAnsi="宋体" w:cs="宋体"/>
                <w:color w:val="000000"/>
              </w:rPr>
            </w:pPr>
            <w:r>
              <w:rPr>
                <w:rFonts w:hint="eastAsia" w:ascii="宋体" w:hAnsi="宋体" w:cs="宋体"/>
                <w:color w:val="000000"/>
                <w:lang w:bidi="ar"/>
              </w:rPr>
              <w:t>定制双人研讨实训台（带滚轮）</w:t>
            </w:r>
          </w:p>
        </w:tc>
        <w:tc>
          <w:tcPr>
            <w:tcW w:w="5430" w:type="dxa"/>
            <w:tcBorders>
              <w:top w:val="single" w:color="000000" w:sz="4" w:space="0"/>
              <w:left w:val="single" w:color="000000" w:sz="4" w:space="0"/>
              <w:bottom w:val="single" w:color="000000" w:sz="4" w:space="0"/>
              <w:right w:val="single" w:color="000000" w:sz="4" w:space="0"/>
            </w:tcBorders>
            <w:vAlign w:val="center"/>
          </w:tcPr>
          <w:p w14:paraId="2A531454">
            <w:pPr>
              <w:widowControl/>
              <w:textAlignment w:val="center"/>
              <w:rPr>
                <w:rFonts w:ascii="宋体" w:hAnsi="宋体" w:cs="宋体"/>
                <w:color w:val="000000"/>
                <w:lang w:bidi="ar"/>
              </w:rPr>
            </w:pPr>
            <w:r>
              <w:rPr>
                <w:rFonts w:hint="eastAsia" w:ascii="宋体" w:hAnsi="宋体" w:cs="宋体"/>
                <w:color w:val="000000"/>
                <w:lang w:bidi="ar"/>
              </w:rPr>
              <w:t>1.台面：E1级高密度板台面，厚度不低于25MM，内材经过防虫、防腐的化学处理，强度高、刚性好、不变形、比重合理；封边：PVC胶边；</w:t>
            </w:r>
          </w:p>
          <w:p w14:paraId="4C1D6A9F">
            <w:pPr>
              <w:widowControl/>
              <w:textAlignment w:val="center"/>
              <w:rPr>
                <w:rFonts w:ascii="宋体" w:hAnsi="宋体" w:cs="宋体"/>
                <w:color w:val="000000"/>
                <w:lang w:bidi="ar"/>
              </w:rPr>
            </w:pPr>
            <w:r>
              <w:rPr>
                <w:rFonts w:hint="eastAsia" w:ascii="宋体" w:hAnsi="宋体" w:cs="宋体"/>
                <w:color w:val="000000"/>
                <w:lang w:bidi="ar"/>
              </w:rPr>
              <w:t>2.架子：不低于1.5mm厚蛋管冷轧钢立柱，1.2mm冷轧钢横梁，表面高温静电喷涂；</w:t>
            </w:r>
          </w:p>
          <w:p w14:paraId="49BE94B7">
            <w:pPr>
              <w:widowControl/>
              <w:textAlignment w:val="center"/>
              <w:rPr>
                <w:rFonts w:ascii="宋体" w:hAnsi="宋体" w:cs="宋体"/>
                <w:color w:val="000000"/>
                <w:lang w:bidi="ar"/>
              </w:rPr>
            </w:pPr>
            <w:r>
              <w:rPr>
                <w:rFonts w:hint="eastAsia" w:ascii="宋体" w:hAnsi="宋体" w:cs="宋体"/>
                <w:color w:val="000000"/>
                <w:lang w:bidi="ar"/>
              </w:rPr>
              <w:t>3.书网：材料不低于0.8mm冷轧钢架，表面高温静电喷涂；</w:t>
            </w:r>
          </w:p>
          <w:p w14:paraId="09840DDA">
            <w:pPr>
              <w:widowControl/>
              <w:textAlignment w:val="center"/>
              <w:rPr>
                <w:rFonts w:ascii="宋体" w:hAnsi="宋体" w:cs="宋体"/>
                <w:color w:val="000000"/>
                <w:lang w:bidi="ar"/>
              </w:rPr>
            </w:pPr>
            <w:r>
              <w:rPr>
                <w:rFonts w:hint="eastAsia" w:ascii="宋体" w:hAnsi="宋体" w:cs="宋体"/>
                <w:color w:val="000000"/>
                <w:lang w:bidi="ar"/>
              </w:rPr>
              <w:t>4.挡板：挡板E1级高密度板不低于15MM，封边：PVC胶边。</w:t>
            </w:r>
          </w:p>
          <w:p w14:paraId="7DE8C2B3">
            <w:pPr>
              <w:widowControl/>
              <w:textAlignment w:val="center"/>
              <w:rPr>
                <w:rFonts w:ascii="宋体" w:hAnsi="宋体" w:cs="宋体"/>
                <w:color w:val="000000"/>
                <w:lang w:bidi="ar"/>
              </w:rPr>
            </w:pPr>
            <w:r>
              <w:rPr>
                <w:rFonts w:hint="eastAsia" w:ascii="宋体" w:hAnsi="宋体" w:cs="宋体"/>
                <w:color w:val="000000"/>
                <w:lang w:bidi="ar"/>
              </w:rPr>
              <w:t>5.脚轮：可调节高低，带刹车轮，方便用户随时调节桌面平整；</w:t>
            </w:r>
          </w:p>
          <w:p w14:paraId="2BC8986F">
            <w:pPr>
              <w:widowControl/>
              <w:textAlignment w:val="center"/>
              <w:rPr>
                <w:rFonts w:ascii="宋体" w:hAnsi="宋体" w:cs="宋体"/>
                <w:color w:val="000000"/>
                <w:lang w:bidi="ar"/>
              </w:rPr>
            </w:pPr>
            <w:r>
              <w:rPr>
                <w:rFonts w:hint="eastAsia" w:ascii="宋体" w:hAnsi="宋体" w:cs="宋体"/>
                <w:color w:val="000000"/>
                <w:lang w:bidi="ar"/>
              </w:rPr>
              <w:t>6.板材颜色：多色可选或提供样品色定制；</w:t>
            </w:r>
          </w:p>
          <w:p w14:paraId="07912C08">
            <w:pPr>
              <w:widowControl/>
              <w:textAlignment w:val="center"/>
              <w:rPr>
                <w:rFonts w:hint="eastAsia" w:ascii="宋体" w:hAnsi="宋体" w:cs="宋体"/>
                <w:color w:val="000000"/>
                <w:lang w:bidi="ar"/>
              </w:rPr>
            </w:pPr>
            <w:r>
              <w:rPr>
                <w:rFonts w:hint="eastAsia" w:ascii="宋体" w:hAnsi="宋体" w:cs="宋体"/>
                <w:color w:val="000000"/>
                <w:lang w:bidi="ar"/>
              </w:rPr>
              <w:t xml:space="preserve">7.平衡码：1）可固定拼接、整体移动，2）可固定桌面平整；尺寸≧：1200L*550W*750H                                                                                                                                                                                                                  </w:t>
            </w:r>
          </w:p>
          <w:p w14:paraId="6A22574D">
            <w:pPr>
              <w:widowControl/>
              <w:textAlignment w:val="center"/>
              <w:rPr>
                <w:rFonts w:ascii="宋体" w:hAnsi="宋体" w:cs="宋体"/>
                <w:color w:val="000000"/>
                <w:lang w:bidi="ar"/>
              </w:rPr>
            </w:pPr>
            <w:r>
              <w:rPr>
                <w:rFonts w:hint="eastAsia" w:ascii="宋体" w:hAnsi="宋体" w:cs="宋体"/>
                <w:color w:val="000000"/>
                <w:lang w:bidi="ar"/>
              </w:rPr>
              <w:t>8、为保证制造商的专业性与产品质量，要求制造商通过ISO9001质量体系、ISO14001环境体系、ISO45001健康体系认证，为省级教育装备协会会员，中国教育协会会员，提供产品质量检测报告。</w:t>
            </w:r>
          </w:p>
        </w:tc>
        <w:tc>
          <w:tcPr>
            <w:tcW w:w="620" w:type="dxa"/>
            <w:tcBorders>
              <w:top w:val="single" w:color="000000" w:sz="4" w:space="0"/>
              <w:left w:val="single" w:color="000000" w:sz="4" w:space="0"/>
              <w:bottom w:val="single" w:color="000000" w:sz="4" w:space="0"/>
              <w:right w:val="single" w:color="000000" w:sz="4" w:space="0"/>
            </w:tcBorders>
            <w:vAlign w:val="center"/>
          </w:tcPr>
          <w:p w14:paraId="1C468E16">
            <w:pPr>
              <w:widowControl/>
              <w:jc w:val="center"/>
              <w:textAlignment w:val="center"/>
              <w:rPr>
                <w:rFonts w:ascii="宋体" w:hAnsi="宋体" w:cs="宋体"/>
                <w:color w:val="000000"/>
              </w:rPr>
            </w:pPr>
            <w:r>
              <w:rPr>
                <w:rFonts w:hint="eastAsia" w:ascii="宋体" w:hAnsi="宋体" w:cs="宋体"/>
                <w:color w:val="000000"/>
                <w:lang w:bidi="ar"/>
              </w:rPr>
              <w:t>16</w:t>
            </w:r>
          </w:p>
        </w:tc>
        <w:tc>
          <w:tcPr>
            <w:tcW w:w="550" w:type="dxa"/>
            <w:tcBorders>
              <w:top w:val="single" w:color="000000" w:sz="4" w:space="0"/>
              <w:left w:val="single" w:color="000000" w:sz="4" w:space="0"/>
              <w:bottom w:val="single" w:color="000000" w:sz="4" w:space="0"/>
              <w:right w:val="single" w:color="000000" w:sz="4" w:space="0"/>
            </w:tcBorders>
            <w:noWrap/>
            <w:vAlign w:val="center"/>
          </w:tcPr>
          <w:p w14:paraId="7F1DAC77">
            <w:pPr>
              <w:widowControl/>
              <w:jc w:val="center"/>
              <w:textAlignment w:val="center"/>
              <w:rPr>
                <w:rFonts w:ascii="宋体" w:hAnsi="宋体" w:cs="宋体"/>
                <w:color w:val="000000"/>
              </w:rPr>
            </w:pPr>
            <w:r>
              <w:rPr>
                <w:rFonts w:hint="eastAsia" w:ascii="宋体" w:hAnsi="宋体" w:cs="宋体"/>
                <w:color w:val="000000"/>
                <w:lang w:bidi="ar"/>
              </w:rPr>
              <w:t>张</w:t>
            </w:r>
          </w:p>
        </w:tc>
      </w:tr>
      <w:tr w14:paraId="43890F5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333C2D96">
            <w:pPr>
              <w:widowControl/>
              <w:jc w:val="center"/>
              <w:textAlignment w:val="center"/>
              <w:rPr>
                <w:rFonts w:ascii="宋体" w:hAnsi="宋体" w:cs="宋体"/>
                <w:color w:val="000000"/>
              </w:rPr>
            </w:pPr>
            <w:r>
              <w:rPr>
                <w:rFonts w:hint="eastAsia" w:ascii="宋体" w:hAnsi="宋体" w:cs="宋体"/>
                <w:color w:val="000000"/>
              </w:rPr>
              <w:t>39</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493492A4">
            <w:pPr>
              <w:widowControl/>
              <w:jc w:val="center"/>
              <w:textAlignment w:val="center"/>
              <w:rPr>
                <w:rFonts w:ascii="宋体" w:hAnsi="宋体" w:cs="宋体"/>
                <w:color w:val="000000"/>
              </w:rPr>
            </w:pPr>
            <w:r>
              <w:rPr>
                <w:rFonts w:hint="eastAsia" w:ascii="宋体" w:hAnsi="宋体" w:cs="宋体"/>
                <w:color w:val="000000"/>
                <w:lang w:bidi="ar"/>
              </w:rPr>
              <w:t>学生实训组合椅（带滚轮）</w:t>
            </w:r>
          </w:p>
        </w:tc>
        <w:tc>
          <w:tcPr>
            <w:tcW w:w="5430" w:type="dxa"/>
            <w:tcBorders>
              <w:top w:val="single" w:color="000000" w:sz="4" w:space="0"/>
              <w:left w:val="single" w:color="000000" w:sz="4" w:space="0"/>
              <w:bottom w:val="single" w:color="000000" w:sz="4" w:space="0"/>
              <w:right w:val="single" w:color="000000" w:sz="4" w:space="0"/>
            </w:tcBorders>
            <w:vAlign w:val="center"/>
          </w:tcPr>
          <w:p w14:paraId="14CEAA92">
            <w:pPr>
              <w:widowControl/>
              <w:textAlignment w:val="center"/>
              <w:rPr>
                <w:rFonts w:ascii="宋体" w:hAnsi="宋体" w:cs="宋体"/>
                <w:color w:val="000000"/>
                <w:lang w:bidi="ar"/>
              </w:rPr>
            </w:pPr>
            <w:r>
              <w:rPr>
                <w:rFonts w:hint="eastAsia" w:ascii="宋体" w:hAnsi="宋体" w:cs="宋体"/>
                <w:color w:val="000000"/>
                <w:lang w:bidi="ar"/>
              </w:rPr>
              <w:t>1、靠背：采用全新优质PP+玻纤材料制成料，周边为圆弧设计，靠背完美贴合腰部；靠背下端镂空设计，方便人工移动摆放；整体呈简约、灵巧风格。</w:t>
            </w:r>
          </w:p>
          <w:p w14:paraId="11020CD6">
            <w:pPr>
              <w:widowControl/>
              <w:textAlignment w:val="center"/>
              <w:rPr>
                <w:rFonts w:ascii="宋体" w:hAnsi="宋体" w:cs="宋体"/>
                <w:color w:val="000000"/>
                <w:lang w:bidi="ar"/>
              </w:rPr>
            </w:pPr>
            <w:r>
              <w:rPr>
                <w:rFonts w:hint="eastAsia" w:ascii="宋体" w:hAnsi="宋体" w:cs="宋体"/>
                <w:color w:val="000000"/>
                <w:lang w:bidi="ar"/>
              </w:rPr>
              <w:t>2、座包：采用优质涤纶面料，内置高弹力裁切绵，内置多层曲木板。</w:t>
            </w:r>
          </w:p>
          <w:p w14:paraId="3D6E6BE7">
            <w:pPr>
              <w:widowControl/>
              <w:textAlignment w:val="center"/>
              <w:rPr>
                <w:rFonts w:ascii="宋体" w:hAnsi="宋体" w:cs="宋体"/>
                <w:color w:val="000000"/>
                <w:lang w:bidi="ar"/>
              </w:rPr>
            </w:pPr>
            <w:r>
              <w:rPr>
                <w:rFonts w:hint="eastAsia" w:ascii="宋体" w:hAnsi="宋体" w:cs="宋体"/>
                <w:color w:val="000000"/>
                <w:lang w:bidi="ar"/>
              </w:rPr>
              <w:t>3、架子：采用不低于Φ22*T1.8mm管，后脚内套Φ20*T1.5mm管，经模具弯曲处理成型，风格简约，表面喷涂处理。</w:t>
            </w:r>
          </w:p>
          <w:p w14:paraId="521EB42B">
            <w:pPr>
              <w:widowControl/>
              <w:textAlignment w:val="center"/>
              <w:rPr>
                <w:rFonts w:ascii="宋体" w:hAnsi="宋体" w:cs="宋体"/>
                <w:color w:val="000000"/>
                <w:lang w:bidi="ar"/>
              </w:rPr>
            </w:pPr>
            <w:r>
              <w:rPr>
                <w:rFonts w:hint="eastAsia" w:ascii="宋体" w:hAnsi="宋体" w:cs="宋体"/>
                <w:color w:val="000000"/>
                <w:lang w:bidi="ar"/>
              </w:rPr>
              <w:t>4、脚轮：Φ25mm尼龙轮，外圈PU材料。</w:t>
            </w:r>
          </w:p>
        </w:tc>
        <w:tc>
          <w:tcPr>
            <w:tcW w:w="620" w:type="dxa"/>
            <w:tcBorders>
              <w:top w:val="single" w:color="000000" w:sz="4" w:space="0"/>
              <w:left w:val="single" w:color="000000" w:sz="4" w:space="0"/>
              <w:bottom w:val="single" w:color="000000" w:sz="4" w:space="0"/>
              <w:right w:val="single" w:color="000000" w:sz="4" w:space="0"/>
            </w:tcBorders>
            <w:vAlign w:val="center"/>
          </w:tcPr>
          <w:p w14:paraId="327253C9">
            <w:pPr>
              <w:widowControl/>
              <w:jc w:val="center"/>
              <w:textAlignment w:val="center"/>
              <w:rPr>
                <w:rFonts w:ascii="宋体" w:hAnsi="宋体" w:cs="宋体"/>
                <w:color w:val="000000"/>
              </w:rPr>
            </w:pPr>
            <w:r>
              <w:rPr>
                <w:rFonts w:hint="eastAsia" w:ascii="宋体" w:hAnsi="宋体" w:cs="宋体"/>
                <w:color w:val="000000"/>
                <w:lang w:bidi="ar"/>
              </w:rPr>
              <w:t>80</w:t>
            </w:r>
          </w:p>
        </w:tc>
        <w:tc>
          <w:tcPr>
            <w:tcW w:w="550" w:type="dxa"/>
            <w:tcBorders>
              <w:top w:val="single" w:color="000000" w:sz="4" w:space="0"/>
              <w:left w:val="single" w:color="000000" w:sz="4" w:space="0"/>
              <w:bottom w:val="single" w:color="000000" w:sz="4" w:space="0"/>
              <w:right w:val="single" w:color="000000" w:sz="4" w:space="0"/>
            </w:tcBorders>
            <w:vAlign w:val="center"/>
          </w:tcPr>
          <w:p w14:paraId="044FBFF9">
            <w:pPr>
              <w:widowControl/>
              <w:jc w:val="center"/>
              <w:textAlignment w:val="center"/>
              <w:rPr>
                <w:rFonts w:ascii="宋体" w:hAnsi="宋体" w:cs="宋体"/>
                <w:color w:val="000000"/>
              </w:rPr>
            </w:pPr>
            <w:r>
              <w:rPr>
                <w:rFonts w:hint="eastAsia" w:ascii="宋体" w:hAnsi="宋体" w:cs="宋体"/>
                <w:color w:val="000000"/>
                <w:lang w:bidi="ar"/>
              </w:rPr>
              <w:t>张</w:t>
            </w:r>
          </w:p>
        </w:tc>
      </w:tr>
      <w:tr w14:paraId="28A97F9C">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A1A5E21">
            <w:pPr>
              <w:widowControl/>
              <w:jc w:val="center"/>
              <w:textAlignment w:val="center"/>
              <w:rPr>
                <w:rFonts w:ascii="宋体" w:hAnsi="宋体" w:cs="宋体"/>
                <w:color w:val="000000"/>
              </w:rPr>
            </w:pPr>
            <w:r>
              <w:rPr>
                <w:rFonts w:hint="eastAsia" w:ascii="宋体" w:hAnsi="宋体" w:cs="宋体"/>
                <w:color w:val="000000"/>
              </w:rPr>
              <w:t>40</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50BE4375">
            <w:pPr>
              <w:widowControl/>
              <w:jc w:val="center"/>
              <w:textAlignment w:val="center"/>
              <w:rPr>
                <w:rFonts w:ascii="宋体" w:hAnsi="宋体" w:cs="宋体"/>
                <w:color w:val="000000"/>
              </w:rPr>
            </w:pPr>
            <w:r>
              <w:rPr>
                <w:rFonts w:hint="eastAsia" w:ascii="宋体" w:hAnsi="宋体" w:cs="宋体"/>
                <w:color w:val="000000"/>
              </w:rPr>
              <w:t>一体化实训座舱</w:t>
            </w:r>
          </w:p>
        </w:tc>
        <w:tc>
          <w:tcPr>
            <w:tcW w:w="5430" w:type="dxa"/>
            <w:tcBorders>
              <w:top w:val="single" w:color="000000" w:sz="4" w:space="0"/>
              <w:left w:val="single" w:color="000000" w:sz="4" w:space="0"/>
              <w:bottom w:val="single" w:color="000000" w:sz="4" w:space="0"/>
              <w:right w:val="single" w:color="000000" w:sz="4" w:space="0"/>
            </w:tcBorders>
            <w:vAlign w:val="center"/>
          </w:tcPr>
          <w:p w14:paraId="7354C2EC">
            <w:pPr>
              <w:widowControl/>
              <w:textAlignment w:val="center"/>
              <w:rPr>
                <w:rFonts w:ascii="宋体" w:hAnsi="宋体" w:cs="宋体"/>
                <w:color w:val="000000"/>
              </w:rPr>
            </w:pPr>
            <w:r>
              <w:rPr>
                <w:rFonts w:hint="eastAsia" w:ascii="宋体" w:hAnsi="宋体" w:cs="宋体"/>
                <w:color w:val="000000"/>
              </w:rPr>
              <w:t>1、靠背：采用全新进口PP，厚度不低于5MM，一体注塑成型，整体结构具有优良的力学性能，耐冲击性强，结实牢固。</w:t>
            </w:r>
          </w:p>
          <w:p w14:paraId="45985155">
            <w:pPr>
              <w:widowControl/>
              <w:textAlignment w:val="center"/>
              <w:rPr>
                <w:rFonts w:ascii="宋体" w:hAnsi="宋体" w:cs="宋体"/>
                <w:color w:val="000000"/>
              </w:rPr>
            </w:pPr>
            <w:r>
              <w:rPr>
                <w:rFonts w:hint="eastAsia" w:ascii="宋体" w:hAnsi="宋体" w:cs="宋体"/>
                <w:color w:val="000000"/>
              </w:rPr>
              <w:t>2、座垫：且配置PA尼龙座壳，座面采用高密度不低于40%的弹力海绵，舒适透气；</w:t>
            </w:r>
          </w:p>
          <w:p w14:paraId="5DF25F7A">
            <w:pPr>
              <w:widowControl/>
              <w:textAlignment w:val="center"/>
              <w:rPr>
                <w:rFonts w:hint="eastAsia" w:ascii="宋体" w:hAnsi="宋体" w:cs="宋体"/>
                <w:color w:val="000000"/>
              </w:rPr>
            </w:pPr>
            <w:r>
              <w:rPr>
                <w:rFonts w:hint="eastAsia" w:ascii="宋体" w:hAnsi="宋体" w:cs="宋体"/>
                <w:color w:val="000000"/>
              </w:rPr>
              <w:t xml:space="preserve">3、架子：直径不低于25*T2.0MM喷涂五金椅架，金属质感，稳固性强，管表面磨砂处理，牢固美观大方。座椅下：配置加强优质进口P材料一次成型，100%全新原料，超大储物空间。                                                                    </w:t>
            </w:r>
          </w:p>
          <w:p w14:paraId="20C8C777">
            <w:pPr>
              <w:widowControl/>
              <w:textAlignment w:val="center"/>
              <w:rPr>
                <w:rFonts w:ascii="宋体" w:hAnsi="宋体" w:cs="宋体"/>
                <w:color w:val="000000"/>
              </w:rPr>
            </w:pPr>
            <w:r>
              <w:rPr>
                <w:rFonts w:hint="eastAsia" w:ascii="宋体" w:hAnsi="宋体" w:cs="宋体"/>
                <w:color w:val="000000"/>
              </w:rPr>
              <w:t>4、写字板：360˚度旋转写字板，规格≥500mm*300mm；支架采用直径不低于32*T2.0MM管材，配水杯架，方便耐用，自带置物架，轻松存放；</w:t>
            </w:r>
          </w:p>
          <w:p w14:paraId="02D5624F">
            <w:pPr>
              <w:widowControl/>
              <w:textAlignment w:val="center"/>
              <w:rPr>
                <w:rFonts w:ascii="宋体" w:hAnsi="宋体" w:cs="宋体"/>
                <w:color w:val="000000"/>
              </w:rPr>
            </w:pPr>
            <w:r>
              <w:rPr>
                <w:rFonts w:hint="eastAsia" w:ascii="宋体" w:hAnsi="宋体" w:cs="宋体"/>
                <w:color w:val="000000"/>
              </w:rPr>
              <w:t>5、脚轮：直径不低于50MM，PU万向滑动轮</w:t>
            </w:r>
          </w:p>
        </w:tc>
        <w:tc>
          <w:tcPr>
            <w:tcW w:w="620" w:type="dxa"/>
            <w:tcBorders>
              <w:top w:val="single" w:color="000000" w:sz="4" w:space="0"/>
              <w:left w:val="single" w:color="000000" w:sz="4" w:space="0"/>
              <w:bottom w:val="single" w:color="000000" w:sz="4" w:space="0"/>
              <w:right w:val="single" w:color="000000" w:sz="4" w:space="0"/>
            </w:tcBorders>
            <w:vAlign w:val="center"/>
          </w:tcPr>
          <w:p w14:paraId="5D9BB4B7">
            <w:pPr>
              <w:widowControl/>
              <w:jc w:val="center"/>
              <w:textAlignment w:val="center"/>
              <w:rPr>
                <w:rFonts w:ascii="宋体" w:hAnsi="宋体" w:cs="宋体"/>
                <w:color w:val="000000"/>
              </w:rPr>
            </w:pPr>
            <w:r>
              <w:rPr>
                <w:rFonts w:hint="eastAsia" w:ascii="宋体" w:hAnsi="宋体" w:cs="宋体"/>
                <w:color w:val="000000"/>
              </w:rPr>
              <w:t>20</w:t>
            </w:r>
          </w:p>
        </w:tc>
        <w:tc>
          <w:tcPr>
            <w:tcW w:w="550" w:type="dxa"/>
            <w:tcBorders>
              <w:top w:val="single" w:color="000000" w:sz="4" w:space="0"/>
              <w:left w:val="single" w:color="000000" w:sz="4" w:space="0"/>
              <w:bottom w:val="single" w:color="000000" w:sz="4" w:space="0"/>
              <w:right w:val="single" w:color="000000" w:sz="4" w:space="0"/>
            </w:tcBorders>
            <w:vAlign w:val="center"/>
          </w:tcPr>
          <w:p w14:paraId="7516816B">
            <w:pPr>
              <w:widowControl/>
              <w:jc w:val="center"/>
              <w:textAlignment w:val="center"/>
              <w:rPr>
                <w:rFonts w:ascii="宋体" w:hAnsi="宋体" w:cs="宋体"/>
                <w:color w:val="000000"/>
              </w:rPr>
            </w:pPr>
            <w:r>
              <w:rPr>
                <w:rFonts w:hint="eastAsia" w:ascii="宋体" w:hAnsi="宋体" w:cs="宋体"/>
                <w:color w:val="000000"/>
              </w:rPr>
              <w:t>张</w:t>
            </w:r>
          </w:p>
        </w:tc>
      </w:tr>
      <w:tr w14:paraId="66B9A62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7F6A1E6">
            <w:pPr>
              <w:widowControl/>
              <w:jc w:val="center"/>
              <w:textAlignment w:val="center"/>
              <w:rPr>
                <w:rFonts w:ascii="宋体" w:hAnsi="宋体" w:cs="宋体"/>
                <w:color w:val="000000"/>
              </w:rPr>
            </w:pPr>
            <w:r>
              <w:rPr>
                <w:rFonts w:hint="eastAsia" w:ascii="宋体" w:hAnsi="宋体" w:cs="宋体"/>
                <w:color w:val="000000"/>
              </w:rPr>
              <w:t>41</w:t>
            </w:r>
          </w:p>
        </w:tc>
        <w:tc>
          <w:tcPr>
            <w:tcW w:w="1925" w:type="dxa"/>
            <w:gridSpan w:val="3"/>
            <w:tcBorders>
              <w:top w:val="single" w:color="000000" w:sz="4" w:space="0"/>
              <w:left w:val="single" w:color="000000" w:sz="4" w:space="0"/>
              <w:bottom w:val="single" w:color="000000" w:sz="4" w:space="0"/>
              <w:right w:val="single" w:color="000000" w:sz="4" w:space="0"/>
            </w:tcBorders>
            <w:vAlign w:val="center"/>
          </w:tcPr>
          <w:p w14:paraId="78A39B37">
            <w:pPr>
              <w:widowControl/>
              <w:jc w:val="center"/>
              <w:textAlignment w:val="center"/>
              <w:rPr>
                <w:rFonts w:ascii="宋体" w:hAnsi="宋体" w:cs="宋体"/>
                <w:color w:val="000000"/>
              </w:rPr>
            </w:pPr>
            <w:r>
              <w:rPr>
                <w:rFonts w:hint="eastAsia" w:ascii="宋体" w:hAnsi="宋体" w:cs="宋体"/>
                <w:color w:val="000000"/>
              </w:rPr>
              <w:t>辅材与安装调试</w:t>
            </w:r>
          </w:p>
        </w:tc>
        <w:tc>
          <w:tcPr>
            <w:tcW w:w="5430" w:type="dxa"/>
            <w:tcBorders>
              <w:top w:val="single" w:color="000000" w:sz="4" w:space="0"/>
              <w:left w:val="single" w:color="000000" w:sz="4" w:space="0"/>
              <w:bottom w:val="single" w:color="000000" w:sz="4" w:space="0"/>
              <w:right w:val="single" w:color="000000" w:sz="4" w:space="0"/>
            </w:tcBorders>
            <w:vAlign w:val="center"/>
          </w:tcPr>
          <w:p w14:paraId="5D9CFF12">
            <w:pPr>
              <w:widowControl/>
              <w:textAlignment w:val="center"/>
              <w:rPr>
                <w:rFonts w:ascii="宋体" w:hAnsi="宋体" w:cs="宋体"/>
                <w:color w:val="000000"/>
              </w:rPr>
            </w:pPr>
            <w:r>
              <w:rPr>
                <w:rFonts w:hint="eastAsia" w:ascii="宋体" w:hAnsi="宋体" w:cs="宋体"/>
                <w:lang w:bidi="ar"/>
              </w:rPr>
              <w:t>音视频高清线材、六类网线、插线板、PVC管、膨胀螺丝等。设备、系统安装调试。</w:t>
            </w:r>
          </w:p>
        </w:tc>
        <w:tc>
          <w:tcPr>
            <w:tcW w:w="620" w:type="dxa"/>
            <w:tcBorders>
              <w:top w:val="single" w:color="000000" w:sz="4" w:space="0"/>
              <w:left w:val="single" w:color="000000" w:sz="4" w:space="0"/>
              <w:bottom w:val="single" w:color="000000" w:sz="4" w:space="0"/>
              <w:right w:val="single" w:color="000000" w:sz="4" w:space="0"/>
            </w:tcBorders>
            <w:vAlign w:val="center"/>
          </w:tcPr>
          <w:p w14:paraId="6A70DA18">
            <w:pPr>
              <w:widowControl/>
              <w:jc w:val="center"/>
              <w:textAlignment w:val="center"/>
              <w:rPr>
                <w:rFonts w:ascii="宋体" w:hAnsi="宋体" w:cs="宋体"/>
                <w:color w:val="000000"/>
              </w:rPr>
            </w:pPr>
            <w:r>
              <w:rPr>
                <w:rFonts w:hint="eastAsia" w:ascii="宋体" w:hAnsi="宋体" w:cs="宋体"/>
                <w:color w:val="000000"/>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1011429C">
            <w:pPr>
              <w:widowControl/>
              <w:jc w:val="center"/>
              <w:textAlignment w:val="center"/>
              <w:rPr>
                <w:rFonts w:ascii="宋体" w:hAnsi="宋体" w:cs="宋体"/>
                <w:color w:val="000000"/>
              </w:rPr>
            </w:pPr>
            <w:r>
              <w:rPr>
                <w:rFonts w:hint="eastAsia" w:ascii="宋体" w:hAnsi="宋体" w:cs="宋体"/>
                <w:color w:val="000000"/>
              </w:rPr>
              <w:t>项</w:t>
            </w:r>
          </w:p>
        </w:tc>
      </w:tr>
      <w:tr w14:paraId="658572B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5D27846">
            <w:pPr>
              <w:widowControl/>
              <w:jc w:val="center"/>
              <w:textAlignment w:val="center"/>
              <w:rPr>
                <w:rFonts w:ascii="宋体" w:hAnsi="宋体" w:cs="宋体"/>
                <w:color w:val="000000"/>
              </w:rPr>
            </w:pPr>
            <w:r>
              <w:rPr>
                <w:rFonts w:hint="eastAsia" w:ascii="宋体" w:hAnsi="宋体" w:cs="宋体"/>
                <w:color w:val="000000"/>
              </w:rPr>
              <w:t>42</w:t>
            </w:r>
          </w:p>
        </w:tc>
        <w:tc>
          <w:tcPr>
            <w:tcW w:w="462" w:type="dxa"/>
            <w:vMerge w:val="restart"/>
            <w:tcBorders>
              <w:top w:val="single" w:color="000000" w:sz="4" w:space="0"/>
              <w:left w:val="single" w:color="000000" w:sz="4" w:space="0"/>
              <w:right w:val="single" w:color="000000" w:sz="4" w:space="0"/>
            </w:tcBorders>
            <w:vAlign w:val="center"/>
          </w:tcPr>
          <w:p w14:paraId="6EFD1D7B">
            <w:pPr>
              <w:widowControl/>
              <w:jc w:val="center"/>
              <w:textAlignment w:val="center"/>
              <w:rPr>
                <w:rFonts w:ascii="宋体" w:hAnsi="宋体" w:cs="宋体"/>
                <w:color w:val="000000"/>
              </w:rPr>
            </w:pPr>
            <w:r>
              <w:rPr>
                <w:rFonts w:hint="eastAsia" w:ascii="宋体" w:hAnsi="宋体" w:cs="宋体"/>
                <w:color w:val="000000"/>
                <w:lang w:bidi="ar"/>
              </w:rPr>
              <w:t>环境改造</w:t>
            </w: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10FA8B3D">
            <w:pPr>
              <w:widowControl/>
              <w:jc w:val="center"/>
              <w:textAlignment w:val="center"/>
              <w:rPr>
                <w:rFonts w:ascii="宋体" w:hAnsi="宋体" w:cs="宋体"/>
                <w:color w:val="000000"/>
              </w:rPr>
            </w:pPr>
            <w:r>
              <w:rPr>
                <w:rFonts w:hint="eastAsia" w:ascii="宋体" w:hAnsi="宋体" w:cs="宋体"/>
                <w:color w:val="000000"/>
                <w:lang w:bidi="ar"/>
              </w:rPr>
              <w:t>原教室墙镜拆除</w:t>
            </w:r>
          </w:p>
        </w:tc>
        <w:tc>
          <w:tcPr>
            <w:tcW w:w="5430" w:type="dxa"/>
            <w:tcBorders>
              <w:top w:val="single" w:color="000000" w:sz="4" w:space="0"/>
              <w:left w:val="single" w:color="000000" w:sz="4" w:space="0"/>
              <w:bottom w:val="single" w:color="000000" w:sz="4" w:space="0"/>
              <w:right w:val="single" w:color="000000" w:sz="4" w:space="0"/>
            </w:tcBorders>
            <w:vAlign w:val="center"/>
          </w:tcPr>
          <w:p w14:paraId="06652A67">
            <w:pPr>
              <w:widowControl/>
              <w:textAlignment w:val="center"/>
              <w:rPr>
                <w:rFonts w:ascii="宋体" w:hAnsi="宋体" w:cs="宋体"/>
                <w:color w:val="000000"/>
                <w:lang w:bidi="ar"/>
              </w:rPr>
            </w:pPr>
            <w:r>
              <w:rPr>
                <w:rFonts w:hint="eastAsia" w:ascii="宋体" w:hAnsi="宋体" w:cs="宋体"/>
                <w:color w:val="000000"/>
                <w:lang w:bidi="ar"/>
              </w:rPr>
              <w:t>将教室原有墙面玻璃镜部分拆除（保证墙面平整）</w:t>
            </w:r>
          </w:p>
        </w:tc>
        <w:tc>
          <w:tcPr>
            <w:tcW w:w="620" w:type="dxa"/>
            <w:tcBorders>
              <w:top w:val="single" w:color="000000" w:sz="4" w:space="0"/>
              <w:left w:val="single" w:color="000000" w:sz="4" w:space="0"/>
              <w:bottom w:val="single" w:color="000000" w:sz="4" w:space="0"/>
              <w:right w:val="single" w:color="000000" w:sz="4" w:space="0"/>
            </w:tcBorders>
            <w:vAlign w:val="center"/>
          </w:tcPr>
          <w:p w14:paraId="4DA18561">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62D8894C">
            <w:pPr>
              <w:widowControl/>
              <w:jc w:val="center"/>
              <w:textAlignment w:val="center"/>
              <w:rPr>
                <w:rFonts w:ascii="宋体" w:hAnsi="宋体" w:cs="宋体"/>
                <w:color w:val="000000"/>
              </w:rPr>
            </w:pPr>
            <w:r>
              <w:rPr>
                <w:rFonts w:hint="eastAsia" w:ascii="宋体" w:hAnsi="宋体" w:cs="宋体"/>
                <w:color w:val="000000"/>
                <w:lang w:bidi="ar"/>
              </w:rPr>
              <w:t>项</w:t>
            </w:r>
          </w:p>
        </w:tc>
      </w:tr>
      <w:tr w14:paraId="4E329CC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EFB1FFC">
            <w:pPr>
              <w:widowControl/>
              <w:jc w:val="center"/>
              <w:textAlignment w:val="center"/>
              <w:rPr>
                <w:rFonts w:ascii="宋体" w:hAnsi="宋体" w:cs="宋体"/>
                <w:color w:val="000000"/>
              </w:rPr>
            </w:pPr>
            <w:r>
              <w:rPr>
                <w:rFonts w:hint="eastAsia" w:ascii="宋体" w:hAnsi="宋体" w:cs="宋体"/>
                <w:color w:val="000000"/>
              </w:rPr>
              <w:t>43</w:t>
            </w:r>
          </w:p>
        </w:tc>
        <w:tc>
          <w:tcPr>
            <w:tcW w:w="462" w:type="dxa"/>
            <w:vMerge w:val="continue"/>
            <w:tcBorders>
              <w:left w:val="single" w:color="000000" w:sz="4" w:space="0"/>
              <w:right w:val="single" w:color="000000" w:sz="4" w:space="0"/>
            </w:tcBorders>
            <w:vAlign w:val="center"/>
          </w:tcPr>
          <w:p w14:paraId="66F07808">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6EF99CF4">
            <w:pPr>
              <w:widowControl/>
              <w:jc w:val="center"/>
              <w:textAlignment w:val="center"/>
              <w:rPr>
                <w:rFonts w:ascii="宋体" w:hAnsi="宋体" w:cs="宋体"/>
                <w:color w:val="000000"/>
              </w:rPr>
            </w:pPr>
            <w:r>
              <w:rPr>
                <w:rFonts w:hint="eastAsia" w:ascii="宋体" w:hAnsi="宋体" w:cs="宋体"/>
                <w:color w:val="000000"/>
                <w:lang w:bidi="ar"/>
              </w:rPr>
              <w:t>背景墙基层</w:t>
            </w:r>
          </w:p>
        </w:tc>
        <w:tc>
          <w:tcPr>
            <w:tcW w:w="5430" w:type="dxa"/>
            <w:tcBorders>
              <w:top w:val="single" w:color="000000" w:sz="4" w:space="0"/>
              <w:left w:val="single" w:color="000000" w:sz="4" w:space="0"/>
              <w:bottom w:val="single" w:color="000000" w:sz="4" w:space="0"/>
              <w:right w:val="single" w:color="000000" w:sz="4" w:space="0"/>
            </w:tcBorders>
            <w:vAlign w:val="center"/>
          </w:tcPr>
          <w:p w14:paraId="2FC10197">
            <w:pPr>
              <w:widowControl/>
              <w:textAlignment w:val="center"/>
              <w:rPr>
                <w:rFonts w:ascii="宋体" w:hAnsi="宋体" w:cs="宋体"/>
                <w:color w:val="000000"/>
                <w:lang w:bidi="ar"/>
              </w:rPr>
            </w:pPr>
            <w:r>
              <w:rPr>
                <w:rFonts w:hint="eastAsia" w:ascii="宋体" w:hAnsi="宋体" w:cs="宋体"/>
                <w:color w:val="000000"/>
                <w:lang w:bidi="ar"/>
              </w:rPr>
              <w:t>40mm×40mm木龙骨基层，钢钉固定，龙骨上石膏板、木工板满铺找平</w:t>
            </w:r>
          </w:p>
        </w:tc>
        <w:tc>
          <w:tcPr>
            <w:tcW w:w="620" w:type="dxa"/>
            <w:tcBorders>
              <w:top w:val="single" w:color="000000" w:sz="4" w:space="0"/>
              <w:left w:val="single" w:color="000000" w:sz="4" w:space="0"/>
              <w:bottom w:val="single" w:color="000000" w:sz="4" w:space="0"/>
              <w:right w:val="single" w:color="000000" w:sz="4" w:space="0"/>
            </w:tcBorders>
            <w:vAlign w:val="center"/>
          </w:tcPr>
          <w:p w14:paraId="19A311EA">
            <w:pPr>
              <w:widowControl/>
              <w:jc w:val="center"/>
              <w:textAlignment w:val="center"/>
              <w:rPr>
                <w:rFonts w:ascii="宋体" w:hAnsi="宋体" w:cs="宋体"/>
                <w:color w:val="000000"/>
              </w:rPr>
            </w:pPr>
            <w:r>
              <w:rPr>
                <w:rFonts w:hint="eastAsia" w:ascii="宋体" w:hAnsi="宋体" w:cs="宋体"/>
                <w:color w:val="000000"/>
                <w:lang w:bidi="ar"/>
              </w:rPr>
              <w:t>55</w:t>
            </w:r>
          </w:p>
        </w:tc>
        <w:tc>
          <w:tcPr>
            <w:tcW w:w="550" w:type="dxa"/>
            <w:tcBorders>
              <w:top w:val="single" w:color="000000" w:sz="4" w:space="0"/>
              <w:left w:val="single" w:color="000000" w:sz="4" w:space="0"/>
              <w:bottom w:val="single" w:color="000000" w:sz="4" w:space="0"/>
              <w:right w:val="single" w:color="000000" w:sz="4" w:space="0"/>
            </w:tcBorders>
            <w:vAlign w:val="center"/>
          </w:tcPr>
          <w:p w14:paraId="2CC9C73F">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4F2A88D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1C8EAFC">
            <w:pPr>
              <w:widowControl/>
              <w:jc w:val="center"/>
              <w:textAlignment w:val="center"/>
              <w:rPr>
                <w:rFonts w:ascii="宋体" w:hAnsi="宋体" w:cs="宋体"/>
                <w:color w:val="000000"/>
              </w:rPr>
            </w:pPr>
            <w:r>
              <w:rPr>
                <w:rFonts w:hint="eastAsia" w:ascii="宋体" w:hAnsi="宋体" w:cs="宋体"/>
                <w:color w:val="000000"/>
              </w:rPr>
              <w:t>44</w:t>
            </w:r>
          </w:p>
        </w:tc>
        <w:tc>
          <w:tcPr>
            <w:tcW w:w="462" w:type="dxa"/>
            <w:vMerge w:val="continue"/>
            <w:tcBorders>
              <w:left w:val="single" w:color="000000" w:sz="4" w:space="0"/>
              <w:right w:val="single" w:color="000000" w:sz="4" w:space="0"/>
            </w:tcBorders>
            <w:vAlign w:val="center"/>
          </w:tcPr>
          <w:p w14:paraId="68E35BF0">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6D672E32">
            <w:pPr>
              <w:widowControl/>
              <w:jc w:val="center"/>
              <w:textAlignment w:val="center"/>
              <w:rPr>
                <w:rFonts w:ascii="宋体" w:hAnsi="宋体" w:cs="宋体"/>
                <w:color w:val="000000"/>
              </w:rPr>
            </w:pPr>
            <w:r>
              <w:rPr>
                <w:rFonts w:hint="eastAsia" w:ascii="宋体" w:hAnsi="宋体" w:cs="宋体"/>
                <w:color w:val="000000"/>
                <w:lang w:bidi="ar"/>
              </w:rPr>
              <w:t>背景墙造型</w:t>
            </w:r>
          </w:p>
        </w:tc>
        <w:tc>
          <w:tcPr>
            <w:tcW w:w="5430" w:type="dxa"/>
            <w:tcBorders>
              <w:top w:val="single" w:color="000000" w:sz="4" w:space="0"/>
              <w:left w:val="single" w:color="000000" w:sz="4" w:space="0"/>
              <w:bottom w:val="single" w:color="000000" w:sz="4" w:space="0"/>
              <w:right w:val="single" w:color="000000" w:sz="4" w:space="0"/>
            </w:tcBorders>
            <w:vAlign w:val="center"/>
          </w:tcPr>
          <w:p w14:paraId="4769CF3E">
            <w:pPr>
              <w:widowControl/>
              <w:textAlignment w:val="center"/>
              <w:rPr>
                <w:rFonts w:ascii="宋体" w:hAnsi="宋体" w:cs="宋体"/>
                <w:color w:val="000000"/>
                <w:lang w:bidi="ar"/>
              </w:rPr>
            </w:pPr>
            <w:r>
              <w:rPr>
                <w:rFonts w:hint="eastAsia" w:ascii="宋体" w:hAnsi="宋体" w:cs="宋体"/>
              </w:rPr>
              <w:t>竹木纤维饰+聚酯纤维板面板。色调与用户沟通确定。</w:t>
            </w:r>
          </w:p>
        </w:tc>
        <w:tc>
          <w:tcPr>
            <w:tcW w:w="620" w:type="dxa"/>
            <w:tcBorders>
              <w:top w:val="single" w:color="000000" w:sz="4" w:space="0"/>
              <w:left w:val="single" w:color="000000" w:sz="4" w:space="0"/>
              <w:bottom w:val="single" w:color="000000" w:sz="4" w:space="0"/>
              <w:right w:val="single" w:color="000000" w:sz="4" w:space="0"/>
            </w:tcBorders>
            <w:vAlign w:val="center"/>
          </w:tcPr>
          <w:p w14:paraId="27A037C3">
            <w:pPr>
              <w:widowControl/>
              <w:jc w:val="center"/>
              <w:textAlignment w:val="center"/>
              <w:rPr>
                <w:rFonts w:ascii="宋体" w:hAnsi="宋体" w:cs="宋体"/>
                <w:color w:val="000000"/>
              </w:rPr>
            </w:pPr>
            <w:r>
              <w:rPr>
                <w:rFonts w:hint="eastAsia" w:ascii="宋体" w:hAnsi="宋体" w:cs="宋体"/>
                <w:color w:val="000000"/>
                <w:lang w:bidi="ar"/>
              </w:rPr>
              <w:t>55</w:t>
            </w:r>
          </w:p>
        </w:tc>
        <w:tc>
          <w:tcPr>
            <w:tcW w:w="550" w:type="dxa"/>
            <w:tcBorders>
              <w:top w:val="single" w:color="000000" w:sz="4" w:space="0"/>
              <w:left w:val="single" w:color="000000" w:sz="4" w:space="0"/>
              <w:bottom w:val="single" w:color="000000" w:sz="4" w:space="0"/>
              <w:right w:val="single" w:color="000000" w:sz="4" w:space="0"/>
            </w:tcBorders>
            <w:vAlign w:val="center"/>
          </w:tcPr>
          <w:p w14:paraId="77702BC1">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47AC09AF">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885FE92">
            <w:pPr>
              <w:widowControl/>
              <w:jc w:val="center"/>
              <w:textAlignment w:val="center"/>
              <w:rPr>
                <w:rFonts w:ascii="宋体" w:hAnsi="宋体" w:cs="宋体"/>
                <w:color w:val="000000"/>
              </w:rPr>
            </w:pPr>
            <w:r>
              <w:rPr>
                <w:rFonts w:hint="eastAsia" w:ascii="宋体" w:hAnsi="宋体" w:cs="宋体"/>
                <w:color w:val="000000"/>
              </w:rPr>
              <w:t>45</w:t>
            </w:r>
          </w:p>
        </w:tc>
        <w:tc>
          <w:tcPr>
            <w:tcW w:w="462" w:type="dxa"/>
            <w:vMerge w:val="continue"/>
            <w:tcBorders>
              <w:left w:val="single" w:color="000000" w:sz="4" w:space="0"/>
              <w:right w:val="single" w:color="000000" w:sz="4" w:space="0"/>
            </w:tcBorders>
            <w:vAlign w:val="center"/>
          </w:tcPr>
          <w:p w14:paraId="161AFDE3">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18F6C6F4">
            <w:pPr>
              <w:widowControl/>
              <w:jc w:val="center"/>
              <w:textAlignment w:val="center"/>
              <w:rPr>
                <w:rFonts w:ascii="宋体" w:hAnsi="宋体" w:cs="宋体"/>
                <w:color w:val="000000"/>
              </w:rPr>
            </w:pPr>
            <w:r>
              <w:rPr>
                <w:rFonts w:hint="eastAsia" w:ascii="宋体" w:hAnsi="宋体" w:cs="宋体"/>
                <w:color w:val="000000"/>
                <w:lang w:bidi="ar"/>
              </w:rPr>
              <w:t>乳胶漆调色</w:t>
            </w:r>
          </w:p>
        </w:tc>
        <w:tc>
          <w:tcPr>
            <w:tcW w:w="5430" w:type="dxa"/>
            <w:tcBorders>
              <w:top w:val="single" w:color="000000" w:sz="4" w:space="0"/>
              <w:left w:val="single" w:color="000000" w:sz="4" w:space="0"/>
              <w:bottom w:val="single" w:color="000000" w:sz="4" w:space="0"/>
              <w:right w:val="single" w:color="000000" w:sz="4" w:space="0"/>
            </w:tcBorders>
            <w:vAlign w:val="center"/>
          </w:tcPr>
          <w:p w14:paraId="08236B37">
            <w:pPr>
              <w:widowControl/>
              <w:textAlignment w:val="center"/>
              <w:rPr>
                <w:rFonts w:ascii="宋体" w:hAnsi="宋体" w:cs="宋体"/>
                <w:color w:val="000000"/>
                <w:lang w:bidi="ar"/>
              </w:rPr>
            </w:pPr>
            <w:r>
              <w:rPr>
                <w:rFonts w:hint="eastAsia" w:ascii="宋体" w:hAnsi="宋体" w:cs="宋体"/>
              </w:rPr>
              <w:t>两遍腻子，环保乳胶漆，配套底漆打底，二面滚刷，色调与用户沟通确定</w:t>
            </w:r>
          </w:p>
        </w:tc>
        <w:tc>
          <w:tcPr>
            <w:tcW w:w="620" w:type="dxa"/>
            <w:tcBorders>
              <w:top w:val="single" w:color="000000" w:sz="4" w:space="0"/>
              <w:left w:val="single" w:color="000000" w:sz="4" w:space="0"/>
              <w:bottom w:val="single" w:color="000000" w:sz="4" w:space="0"/>
              <w:right w:val="single" w:color="000000" w:sz="4" w:space="0"/>
            </w:tcBorders>
            <w:vAlign w:val="center"/>
          </w:tcPr>
          <w:p w14:paraId="5A595A61">
            <w:pPr>
              <w:widowControl/>
              <w:jc w:val="center"/>
              <w:textAlignment w:val="center"/>
              <w:rPr>
                <w:rFonts w:ascii="宋体" w:hAnsi="宋体" w:cs="宋体"/>
                <w:color w:val="000000"/>
              </w:rPr>
            </w:pPr>
            <w:r>
              <w:rPr>
                <w:rFonts w:hint="eastAsia" w:ascii="宋体" w:hAnsi="宋体" w:cs="宋体"/>
                <w:color w:val="000000"/>
                <w:lang w:bidi="ar"/>
              </w:rPr>
              <w:t>165</w:t>
            </w:r>
          </w:p>
        </w:tc>
        <w:tc>
          <w:tcPr>
            <w:tcW w:w="550" w:type="dxa"/>
            <w:tcBorders>
              <w:top w:val="single" w:color="000000" w:sz="4" w:space="0"/>
              <w:left w:val="single" w:color="000000" w:sz="4" w:space="0"/>
              <w:bottom w:val="single" w:color="000000" w:sz="4" w:space="0"/>
              <w:right w:val="single" w:color="000000" w:sz="4" w:space="0"/>
            </w:tcBorders>
            <w:vAlign w:val="center"/>
          </w:tcPr>
          <w:p w14:paraId="0D2BC44B">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3BD886D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961A4F6">
            <w:pPr>
              <w:widowControl/>
              <w:jc w:val="center"/>
              <w:textAlignment w:val="center"/>
              <w:rPr>
                <w:rFonts w:ascii="宋体" w:hAnsi="宋体" w:cs="宋体"/>
                <w:color w:val="000000"/>
              </w:rPr>
            </w:pPr>
            <w:r>
              <w:rPr>
                <w:rFonts w:hint="eastAsia" w:ascii="宋体" w:hAnsi="宋体" w:cs="宋体"/>
                <w:color w:val="000000"/>
              </w:rPr>
              <w:t>46</w:t>
            </w:r>
          </w:p>
        </w:tc>
        <w:tc>
          <w:tcPr>
            <w:tcW w:w="462" w:type="dxa"/>
            <w:vMerge w:val="continue"/>
            <w:tcBorders>
              <w:left w:val="single" w:color="000000" w:sz="4" w:space="0"/>
              <w:right w:val="single" w:color="000000" w:sz="4" w:space="0"/>
            </w:tcBorders>
            <w:vAlign w:val="center"/>
          </w:tcPr>
          <w:p w14:paraId="0FBAA104">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1E7B0DFA">
            <w:pPr>
              <w:widowControl/>
              <w:jc w:val="center"/>
              <w:textAlignment w:val="center"/>
              <w:rPr>
                <w:rFonts w:ascii="宋体" w:hAnsi="宋体" w:cs="宋体"/>
                <w:color w:val="000000"/>
                <w:lang w:bidi="ar"/>
              </w:rPr>
            </w:pPr>
            <w:r>
              <w:rPr>
                <w:rFonts w:hint="eastAsia" w:ascii="宋体" w:hAnsi="宋体" w:cs="宋体"/>
                <w:color w:val="000000"/>
                <w:lang w:bidi="ar"/>
              </w:rPr>
              <w:t>地面自流平</w:t>
            </w:r>
          </w:p>
        </w:tc>
        <w:tc>
          <w:tcPr>
            <w:tcW w:w="5430" w:type="dxa"/>
            <w:tcBorders>
              <w:top w:val="single" w:color="000000" w:sz="4" w:space="0"/>
              <w:left w:val="single" w:color="000000" w:sz="4" w:space="0"/>
              <w:bottom w:val="single" w:color="000000" w:sz="4" w:space="0"/>
              <w:right w:val="single" w:color="000000" w:sz="4" w:space="0"/>
            </w:tcBorders>
            <w:vAlign w:val="center"/>
          </w:tcPr>
          <w:p w14:paraId="1B62B835">
            <w:pPr>
              <w:widowControl/>
              <w:textAlignment w:val="center"/>
              <w:rPr>
                <w:rFonts w:ascii="宋体" w:hAnsi="宋体" w:cs="宋体"/>
                <w:color w:val="000000"/>
                <w:lang w:bidi="ar"/>
              </w:rPr>
            </w:pPr>
            <w:r>
              <w:rPr>
                <w:rFonts w:hint="eastAsia" w:ascii="宋体" w:hAnsi="宋体" w:cs="宋体"/>
              </w:rPr>
              <w:t>3-5mm自流平水泥</w:t>
            </w:r>
          </w:p>
        </w:tc>
        <w:tc>
          <w:tcPr>
            <w:tcW w:w="620" w:type="dxa"/>
            <w:tcBorders>
              <w:top w:val="single" w:color="000000" w:sz="4" w:space="0"/>
              <w:left w:val="single" w:color="000000" w:sz="4" w:space="0"/>
              <w:bottom w:val="single" w:color="000000" w:sz="4" w:space="0"/>
              <w:right w:val="single" w:color="000000" w:sz="4" w:space="0"/>
            </w:tcBorders>
            <w:vAlign w:val="center"/>
          </w:tcPr>
          <w:p w14:paraId="21C8EB96">
            <w:pPr>
              <w:widowControl/>
              <w:jc w:val="center"/>
              <w:textAlignment w:val="center"/>
              <w:rPr>
                <w:rFonts w:ascii="宋体" w:hAnsi="宋体" w:cs="宋体"/>
                <w:color w:val="000000"/>
                <w:lang w:bidi="ar"/>
              </w:rPr>
            </w:pPr>
            <w:r>
              <w:rPr>
                <w:rFonts w:hint="eastAsia" w:ascii="宋体" w:hAnsi="宋体" w:cs="宋体"/>
                <w:color w:val="000000"/>
                <w:lang w:bidi="ar"/>
              </w:rPr>
              <w:t>171</w:t>
            </w:r>
          </w:p>
        </w:tc>
        <w:tc>
          <w:tcPr>
            <w:tcW w:w="550" w:type="dxa"/>
            <w:tcBorders>
              <w:top w:val="single" w:color="000000" w:sz="4" w:space="0"/>
              <w:left w:val="single" w:color="000000" w:sz="4" w:space="0"/>
              <w:bottom w:val="single" w:color="000000" w:sz="4" w:space="0"/>
              <w:right w:val="single" w:color="000000" w:sz="4" w:space="0"/>
            </w:tcBorders>
            <w:vAlign w:val="center"/>
          </w:tcPr>
          <w:p w14:paraId="597ED157">
            <w:pPr>
              <w:widowControl/>
              <w:jc w:val="center"/>
              <w:textAlignment w:val="center"/>
              <w:rPr>
                <w:rFonts w:ascii="宋体" w:hAnsi="宋体" w:cs="宋体"/>
                <w:color w:val="000000"/>
                <w:lang w:bidi="ar"/>
              </w:rPr>
            </w:pPr>
            <w:r>
              <w:rPr>
                <w:rFonts w:hint="eastAsia" w:ascii="宋体" w:hAnsi="宋体" w:cs="宋体"/>
                <w:color w:val="000000"/>
                <w:lang w:bidi="ar"/>
              </w:rPr>
              <w:t>平方米</w:t>
            </w:r>
          </w:p>
        </w:tc>
      </w:tr>
      <w:tr w14:paraId="11CE4EFF">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802D6C6">
            <w:pPr>
              <w:widowControl/>
              <w:jc w:val="center"/>
              <w:textAlignment w:val="center"/>
              <w:rPr>
                <w:rFonts w:ascii="宋体" w:hAnsi="宋体" w:cs="宋体"/>
                <w:color w:val="000000"/>
              </w:rPr>
            </w:pPr>
            <w:r>
              <w:rPr>
                <w:rFonts w:hint="eastAsia" w:ascii="宋体" w:hAnsi="宋体" w:cs="宋体"/>
                <w:color w:val="000000"/>
              </w:rPr>
              <w:t>47</w:t>
            </w:r>
          </w:p>
        </w:tc>
        <w:tc>
          <w:tcPr>
            <w:tcW w:w="462" w:type="dxa"/>
            <w:vMerge w:val="continue"/>
            <w:tcBorders>
              <w:left w:val="single" w:color="000000" w:sz="4" w:space="0"/>
              <w:right w:val="single" w:color="000000" w:sz="4" w:space="0"/>
            </w:tcBorders>
            <w:vAlign w:val="center"/>
          </w:tcPr>
          <w:p w14:paraId="3317DE8F">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26675A9E">
            <w:pPr>
              <w:widowControl/>
              <w:jc w:val="center"/>
              <w:textAlignment w:val="center"/>
              <w:rPr>
                <w:rFonts w:ascii="宋体" w:hAnsi="宋体" w:cs="宋体"/>
                <w:color w:val="000000"/>
              </w:rPr>
            </w:pPr>
            <w:r>
              <w:rPr>
                <w:rFonts w:hint="eastAsia" w:ascii="宋体" w:hAnsi="宋体" w:cs="宋体"/>
                <w:color w:val="000000"/>
                <w:lang w:bidi="ar"/>
              </w:rPr>
              <w:t>地胶</w:t>
            </w:r>
          </w:p>
        </w:tc>
        <w:tc>
          <w:tcPr>
            <w:tcW w:w="5430" w:type="dxa"/>
            <w:tcBorders>
              <w:top w:val="single" w:color="000000" w:sz="4" w:space="0"/>
              <w:left w:val="single" w:color="000000" w:sz="4" w:space="0"/>
              <w:bottom w:val="single" w:color="000000" w:sz="4" w:space="0"/>
              <w:right w:val="single" w:color="000000" w:sz="4" w:space="0"/>
            </w:tcBorders>
            <w:vAlign w:val="center"/>
          </w:tcPr>
          <w:p w14:paraId="07EBFD5C">
            <w:pPr>
              <w:widowControl/>
              <w:textAlignment w:val="center"/>
              <w:rPr>
                <w:rFonts w:ascii="宋体" w:hAnsi="宋体" w:cs="宋体"/>
                <w:color w:val="000000"/>
                <w:lang w:bidi="ar"/>
              </w:rPr>
            </w:pPr>
            <w:r>
              <w:rPr>
                <w:rFonts w:hint="eastAsia" w:ascii="宋体" w:hAnsi="宋体" w:cs="宋体"/>
                <w:color w:val="000000"/>
                <w:lang w:bidi="ar"/>
              </w:rPr>
              <w:t>2.5mm厚卷型材地胶铺贴（含人工及辅材）</w:t>
            </w:r>
          </w:p>
        </w:tc>
        <w:tc>
          <w:tcPr>
            <w:tcW w:w="620" w:type="dxa"/>
            <w:tcBorders>
              <w:top w:val="single" w:color="000000" w:sz="4" w:space="0"/>
              <w:left w:val="single" w:color="000000" w:sz="4" w:space="0"/>
              <w:bottom w:val="single" w:color="000000" w:sz="4" w:space="0"/>
              <w:right w:val="single" w:color="000000" w:sz="4" w:space="0"/>
            </w:tcBorders>
            <w:vAlign w:val="center"/>
          </w:tcPr>
          <w:p w14:paraId="4E1A88DB">
            <w:pPr>
              <w:widowControl/>
              <w:jc w:val="center"/>
              <w:textAlignment w:val="center"/>
              <w:rPr>
                <w:rFonts w:ascii="宋体" w:hAnsi="宋体" w:cs="宋体"/>
                <w:color w:val="000000"/>
              </w:rPr>
            </w:pPr>
            <w:r>
              <w:rPr>
                <w:rFonts w:hint="eastAsia" w:ascii="宋体" w:hAnsi="宋体" w:cs="宋体"/>
                <w:color w:val="000000"/>
                <w:lang w:bidi="ar"/>
              </w:rPr>
              <w:t>171</w:t>
            </w:r>
          </w:p>
        </w:tc>
        <w:tc>
          <w:tcPr>
            <w:tcW w:w="550" w:type="dxa"/>
            <w:tcBorders>
              <w:top w:val="single" w:color="000000" w:sz="4" w:space="0"/>
              <w:left w:val="single" w:color="000000" w:sz="4" w:space="0"/>
              <w:bottom w:val="single" w:color="000000" w:sz="4" w:space="0"/>
              <w:right w:val="single" w:color="000000" w:sz="4" w:space="0"/>
            </w:tcBorders>
            <w:vAlign w:val="center"/>
          </w:tcPr>
          <w:p w14:paraId="765CF9B0">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3E13A66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AFBD50A">
            <w:pPr>
              <w:widowControl/>
              <w:jc w:val="center"/>
              <w:textAlignment w:val="center"/>
              <w:rPr>
                <w:rFonts w:ascii="宋体" w:hAnsi="宋体" w:cs="宋体"/>
                <w:color w:val="000000"/>
              </w:rPr>
            </w:pPr>
            <w:r>
              <w:rPr>
                <w:rFonts w:hint="eastAsia" w:ascii="宋体" w:hAnsi="宋体" w:cs="宋体"/>
                <w:color w:val="000000"/>
              </w:rPr>
              <w:t>48</w:t>
            </w:r>
          </w:p>
        </w:tc>
        <w:tc>
          <w:tcPr>
            <w:tcW w:w="462" w:type="dxa"/>
            <w:vMerge w:val="continue"/>
            <w:tcBorders>
              <w:left w:val="single" w:color="000000" w:sz="4" w:space="0"/>
              <w:right w:val="single" w:color="000000" w:sz="4" w:space="0"/>
            </w:tcBorders>
            <w:vAlign w:val="center"/>
          </w:tcPr>
          <w:p w14:paraId="5AD18A72">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44FC7E29">
            <w:pPr>
              <w:widowControl/>
              <w:jc w:val="center"/>
              <w:textAlignment w:val="center"/>
              <w:rPr>
                <w:rFonts w:ascii="宋体" w:hAnsi="宋体" w:cs="宋体"/>
                <w:color w:val="000000"/>
              </w:rPr>
            </w:pPr>
            <w:r>
              <w:rPr>
                <w:rFonts w:hint="eastAsia" w:ascii="宋体" w:hAnsi="宋体" w:cs="宋体"/>
                <w:color w:val="000000"/>
                <w:lang w:bidi="ar"/>
              </w:rPr>
              <w:t>LED灯</w:t>
            </w:r>
          </w:p>
        </w:tc>
        <w:tc>
          <w:tcPr>
            <w:tcW w:w="5430" w:type="dxa"/>
            <w:tcBorders>
              <w:top w:val="single" w:color="000000" w:sz="4" w:space="0"/>
              <w:left w:val="single" w:color="000000" w:sz="4" w:space="0"/>
              <w:bottom w:val="single" w:color="000000" w:sz="4" w:space="0"/>
              <w:right w:val="single" w:color="000000" w:sz="4" w:space="0"/>
            </w:tcBorders>
            <w:vAlign w:val="center"/>
          </w:tcPr>
          <w:p w14:paraId="378EDA47">
            <w:pPr>
              <w:widowControl/>
              <w:textAlignment w:val="center"/>
              <w:rPr>
                <w:rFonts w:ascii="宋体" w:hAnsi="宋体" w:cs="宋体"/>
                <w:color w:val="000000"/>
                <w:lang w:bidi="ar"/>
              </w:rPr>
            </w:pPr>
            <w:r>
              <w:rPr>
                <w:rFonts w:hint="eastAsia" w:ascii="宋体" w:hAnsi="宋体" w:cs="宋体"/>
                <w:color w:val="000000"/>
                <w:lang w:bidi="ar"/>
              </w:rPr>
              <w:t>照明区域安装LED平板护眼灯，规格：1200*30mm，功率≥38W/组</w:t>
            </w:r>
          </w:p>
        </w:tc>
        <w:tc>
          <w:tcPr>
            <w:tcW w:w="620" w:type="dxa"/>
            <w:tcBorders>
              <w:top w:val="single" w:color="000000" w:sz="4" w:space="0"/>
              <w:left w:val="single" w:color="000000" w:sz="4" w:space="0"/>
              <w:bottom w:val="single" w:color="000000" w:sz="4" w:space="0"/>
              <w:right w:val="single" w:color="000000" w:sz="4" w:space="0"/>
            </w:tcBorders>
            <w:vAlign w:val="center"/>
          </w:tcPr>
          <w:p w14:paraId="336C8580">
            <w:pPr>
              <w:widowControl/>
              <w:jc w:val="center"/>
              <w:textAlignment w:val="center"/>
              <w:rPr>
                <w:rFonts w:ascii="宋体" w:hAnsi="宋体" w:cs="宋体"/>
                <w:color w:val="000000"/>
              </w:rPr>
            </w:pPr>
            <w:r>
              <w:rPr>
                <w:rFonts w:hint="eastAsia" w:ascii="宋体" w:hAnsi="宋体" w:cs="宋体"/>
                <w:color w:val="000000"/>
                <w:lang w:bidi="ar"/>
              </w:rPr>
              <w:t>30</w:t>
            </w:r>
          </w:p>
        </w:tc>
        <w:tc>
          <w:tcPr>
            <w:tcW w:w="550" w:type="dxa"/>
            <w:tcBorders>
              <w:top w:val="single" w:color="000000" w:sz="4" w:space="0"/>
              <w:left w:val="single" w:color="000000" w:sz="4" w:space="0"/>
              <w:bottom w:val="single" w:color="000000" w:sz="4" w:space="0"/>
              <w:right w:val="single" w:color="000000" w:sz="4" w:space="0"/>
            </w:tcBorders>
            <w:vAlign w:val="center"/>
          </w:tcPr>
          <w:p w14:paraId="3FD0A68A">
            <w:pPr>
              <w:widowControl/>
              <w:jc w:val="center"/>
              <w:textAlignment w:val="center"/>
              <w:rPr>
                <w:rFonts w:ascii="宋体" w:hAnsi="宋体" w:cs="宋体"/>
                <w:color w:val="000000"/>
              </w:rPr>
            </w:pPr>
            <w:r>
              <w:rPr>
                <w:rFonts w:hint="eastAsia" w:ascii="宋体" w:hAnsi="宋体" w:cs="宋体"/>
                <w:color w:val="000000"/>
                <w:lang w:bidi="ar"/>
              </w:rPr>
              <w:t>盏</w:t>
            </w:r>
          </w:p>
        </w:tc>
      </w:tr>
      <w:tr w14:paraId="79ED05CC">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BC5CAE8">
            <w:pPr>
              <w:widowControl/>
              <w:jc w:val="center"/>
              <w:textAlignment w:val="center"/>
              <w:rPr>
                <w:rFonts w:ascii="宋体" w:hAnsi="宋体" w:cs="宋体"/>
                <w:color w:val="000000"/>
              </w:rPr>
            </w:pPr>
            <w:r>
              <w:rPr>
                <w:rFonts w:hint="eastAsia" w:ascii="宋体" w:hAnsi="宋体" w:cs="宋体"/>
                <w:color w:val="000000"/>
              </w:rPr>
              <w:t>49</w:t>
            </w:r>
          </w:p>
        </w:tc>
        <w:tc>
          <w:tcPr>
            <w:tcW w:w="462" w:type="dxa"/>
            <w:vMerge w:val="continue"/>
            <w:tcBorders>
              <w:left w:val="single" w:color="000000" w:sz="4" w:space="0"/>
              <w:right w:val="single" w:color="000000" w:sz="4" w:space="0"/>
            </w:tcBorders>
            <w:vAlign w:val="center"/>
          </w:tcPr>
          <w:p w14:paraId="1A106698">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0E688D4F">
            <w:pPr>
              <w:widowControl/>
              <w:jc w:val="center"/>
              <w:textAlignment w:val="center"/>
              <w:rPr>
                <w:rFonts w:ascii="宋体" w:hAnsi="宋体" w:cs="宋体"/>
                <w:color w:val="000000"/>
              </w:rPr>
            </w:pPr>
            <w:r>
              <w:rPr>
                <w:rFonts w:hint="eastAsia" w:ascii="宋体" w:hAnsi="宋体" w:cs="宋体"/>
                <w:color w:val="000000"/>
                <w:lang w:bidi="ar"/>
              </w:rPr>
              <w:t>不锈钢踢脚线</w:t>
            </w:r>
          </w:p>
        </w:tc>
        <w:tc>
          <w:tcPr>
            <w:tcW w:w="5430" w:type="dxa"/>
            <w:tcBorders>
              <w:top w:val="single" w:color="000000" w:sz="4" w:space="0"/>
              <w:left w:val="single" w:color="000000" w:sz="4" w:space="0"/>
              <w:bottom w:val="single" w:color="000000" w:sz="4" w:space="0"/>
              <w:right w:val="single" w:color="000000" w:sz="4" w:space="0"/>
            </w:tcBorders>
            <w:vAlign w:val="center"/>
          </w:tcPr>
          <w:p w14:paraId="0476E58C">
            <w:pPr>
              <w:widowControl/>
              <w:textAlignment w:val="center"/>
              <w:rPr>
                <w:rFonts w:ascii="宋体" w:hAnsi="宋体" w:cs="宋体"/>
                <w:color w:val="000000"/>
                <w:lang w:bidi="ar"/>
              </w:rPr>
            </w:pPr>
            <w:r>
              <w:rPr>
                <w:rFonts w:hint="eastAsia" w:ascii="宋体" w:hAnsi="宋体" w:cs="宋体"/>
              </w:rPr>
              <w:t>金属拉丝不锈钢踢脚线80mm高</w:t>
            </w:r>
          </w:p>
        </w:tc>
        <w:tc>
          <w:tcPr>
            <w:tcW w:w="620" w:type="dxa"/>
            <w:tcBorders>
              <w:top w:val="single" w:color="000000" w:sz="4" w:space="0"/>
              <w:left w:val="single" w:color="000000" w:sz="4" w:space="0"/>
              <w:bottom w:val="single" w:color="000000" w:sz="4" w:space="0"/>
              <w:right w:val="single" w:color="000000" w:sz="4" w:space="0"/>
            </w:tcBorders>
            <w:vAlign w:val="center"/>
          </w:tcPr>
          <w:p w14:paraId="66C48907">
            <w:pPr>
              <w:widowControl/>
              <w:jc w:val="center"/>
              <w:textAlignment w:val="center"/>
              <w:rPr>
                <w:rFonts w:ascii="宋体" w:hAnsi="宋体" w:cs="宋体"/>
                <w:color w:val="000000"/>
              </w:rPr>
            </w:pPr>
            <w:r>
              <w:rPr>
                <w:rFonts w:hint="eastAsia" w:ascii="宋体" w:hAnsi="宋体" w:cs="宋体"/>
                <w:color w:val="000000"/>
                <w:lang w:bidi="ar"/>
              </w:rPr>
              <w:t>59</w:t>
            </w:r>
          </w:p>
        </w:tc>
        <w:tc>
          <w:tcPr>
            <w:tcW w:w="550" w:type="dxa"/>
            <w:tcBorders>
              <w:top w:val="single" w:color="000000" w:sz="4" w:space="0"/>
              <w:left w:val="single" w:color="000000" w:sz="4" w:space="0"/>
              <w:bottom w:val="single" w:color="000000" w:sz="4" w:space="0"/>
              <w:right w:val="single" w:color="000000" w:sz="4" w:space="0"/>
            </w:tcBorders>
            <w:vAlign w:val="center"/>
          </w:tcPr>
          <w:p w14:paraId="06400319">
            <w:pPr>
              <w:widowControl/>
              <w:jc w:val="center"/>
              <w:textAlignment w:val="center"/>
              <w:rPr>
                <w:rFonts w:ascii="宋体" w:hAnsi="宋体" w:cs="宋体"/>
                <w:color w:val="000000"/>
              </w:rPr>
            </w:pPr>
            <w:r>
              <w:rPr>
                <w:rFonts w:hint="eastAsia" w:ascii="宋体" w:hAnsi="宋体" w:cs="宋体"/>
                <w:color w:val="000000"/>
                <w:lang w:bidi="ar"/>
              </w:rPr>
              <w:t>米</w:t>
            </w:r>
          </w:p>
        </w:tc>
      </w:tr>
      <w:tr w14:paraId="05128DB9">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A4EEE9C">
            <w:pPr>
              <w:widowControl/>
              <w:jc w:val="center"/>
              <w:textAlignment w:val="center"/>
              <w:rPr>
                <w:rFonts w:ascii="宋体" w:hAnsi="宋体" w:cs="宋体"/>
                <w:color w:val="000000"/>
              </w:rPr>
            </w:pPr>
            <w:r>
              <w:rPr>
                <w:rFonts w:hint="eastAsia" w:ascii="宋体" w:hAnsi="宋体" w:cs="宋体"/>
                <w:color w:val="000000"/>
              </w:rPr>
              <w:t>50</w:t>
            </w:r>
          </w:p>
        </w:tc>
        <w:tc>
          <w:tcPr>
            <w:tcW w:w="462" w:type="dxa"/>
            <w:vMerge w:val="continue"/>
            <w:tcBorders>
              <w:left w:val="single" w:color="000000" w:sz="4" w:space="0"/>
              <w:right w:val="single" w:color="000000" w:sz="4" w:space="0"/>
            </w:tcBorders>
            <w:vAlign w:val="center"/>
          </w:tcPr>
          <w:p w14:paraId="39E6CF67">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19C8558D">
            <w:pPr>
              <w:widowControl/>
              <w:jc w:val="center"/>
              <w:textAlignment w:val="center"/>
              <w:rPr>
                <w:rFonts w:ascii="宋体" w:hAnsi="宋体" w:cs="宋体"/>
                <w:color w:val="000000"/>
              </w:rPr>
            </w:pPr>
            <w:r>
              <w:rPr>
                <w:rFonts w:hint="eastAsia" w:ascii="宋体" w:hAnsi="宋体" w:cs="宋体"/>
                <w:color w:val="000000"/>
                <w:lang w:bidi="ar"/>
              </w:rPr>
              <w:t>开关面板及插座</w:t>
            </w:r>
          </w:p>
        </w:tc>
        <w:tc>
          <w:tcPr>
            <w:tcW w:w="5430" w:type="dxa"/>
            <w:tcBorders>
              <w:top w:val="single" w:color="000000" w:sz="4" w:space="0"/>
              <w:left w:val="single" w:color="000000" w:sz="4" w:space="0"/>
              <w:bottom w:val="single" w:color="000000" w:sz="4" w:space="0"/>
              <w:right w:val="single" w:color="000000" w:sz="4" w:space="0"/>
            </w:tcBorders>
            <w:vAlign w:val="center"/>
          </w:tcPr>
          <w:p w14:paraId="45E20359">
            <w:pPr>
              <w:widowControl/>
              <w:textAlignment w:val="center"/>
              <w:rPr>
                <w:rFonts w:ascii="宋体" w:hAnsi="宋体" w:cs="宋体"/>
                <w:color w:val="000000"/>
                <w:lang w:bidi="ar"/>
              </w:rPr>
            </w:pPr>
            <w:r>
              <w:rPr>
                <w:rFonts w:hint="eastAsia" w:ascii="宋体" w:hAnsi="宋体" w:cs="宋体"/>
              </w:rPr>
              <w:t>五眼插座10A、照明单联开关</w:t>
            </w:r>
          </w:p>
        </w:tc>
        <w:tc>
          <w:tcPr>
            <w:tcW w:w="620" w:type="dxa"/>
            <w:tcBorders>
              <w:top w:val="single" w:color="000000" w:sz="4" w:space="0"/>
              <w:left w:val="single" w:color="000000" w:sz="4" w:space="0"/>
              <w:bottom w:val="single" w:color="000000" w:sz="4" w:space="0"/>
              <w:right w:val="single" w:color="000000" w:sz="4" w:space="0"/>
            </w:tcBorders>
            <w:vAlign w:val="center"/>
          </w:tcPr>
          <w:p w14:paraId="7F17AF86">
            <w:pPr>
              <w:widowControl/>
              <w:jc w:val="center"/>
              <w:textAlignment w:val="center"/>
              <w:rPr>
                <w:rFonts w:ascii="宋体" w:hAnsi="宋体" w:cs="宋体"/>
                <w:color w:val="000000"/>
              </w:rPr>
            </w:pPr>
            <w:r>
              <w:rPr>
                <w:rFonts w:hint="eastAsia" w:ascii="宋体" w:hAnsi="宋体" w:cs="宋体"/>
                <w:color w:val="000000"/>
                <w:lang w:bidi="ar"/>
              </w:rPr>
              <w:t>22</w:t>
            </w:r>
          </w:p>
        </w:tc>
        <w:tc>
          <w:tcPr>
            <w:tcW w:w="550" w:type="dxa"/>
            <w:tcBorders>
              <w:top w:val="single" w:color="000000" w:sz="4" w:space="0"/>
              <w:left w:val="single" w:color="000000" w:sz="4" w:space="0"/>
              <w:bottom w:val="single" w:color="000000" w:sz="4" w:space="0"/>
              <w:right w:val="single" w:color="000000" w:sz="4" w:space="0"/>
            </w:tcBorders>
            <w:vAlign w:val="center"/>
          </w:tcPr>
          <w:p w14:paraId="4114E55A">
            <w:pPr>
              <w:widowControl/>
              <w:jc w:val="center"/>
              <w:textAlignment w:val="center"/>
              <w:rPr>
                <w:rFonts w:ascii="宋体" w:hAnsi="宋体" w:cs="宋体"/>
                <w:color w:val="000000"/>
              </w:rPr>
            </w:pPr>
            <w:r>
              <w:rPr>
                <w:rFonts w:hint="eastAsia" w:ascii="宋体" w:hAnsi="宋体" w:cs="宋体"/>
                <w:color w:val="000000"/>
                <w:lang w:bidi="ar"/>
              </w:rPr>
              <w:t>只</w:t>
            </w:r>
          </w:p>
        </w:tc>
      </w:tr>
      <w:tr w14:paraId="6AD00FC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D5F6AAC">
            <w:pPr>
              <w:widowControl/>
              <w:jc w:val="center"/>
              <w:textAlignment w:val="center"/>
              <w:rPr>
                <w:rFonts w:ascii="宋体" w:hAnsi="宋体" w:cs="宋体"/>
                <w:color w:val="000000"/>
              </w:rPr>
            </w:pPr>
            <w:r>
              <w:rPr>
                <w:rFonts w:hint="eastAsia" w:ascii="宋体" w:hAnsi="宋体" w:cs="宋体"/>
                <w:color w:val="000000"/>
              </w:rPr>
              <w:t>51</w:t>
            </w:r>
          </w:p>
        </w:tc>
        <w:tc>
          <w:tcPr>
            <w:tcW w:w="462" w:type="dxa"/>
            <w:vMerge w:val="continue"/>
            <w:tcBorders>
              <w:left w:val="single" w:color="000000" w:sz="4" w:space="0"/>
              <w:right w:val="single" w:color="000000" w:sz="4" w:space="0"/>
            </w:tcBorders>
            <w:vAlign w:val="center"/>
          </w:tcPr>
          <w:p w14:paraId="4B84B85D">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058F12C2">
            <w:pPr>
              <w:widowControl/>
              <w:jc w:val="center"/>
              <w:textAlignment w:val="center"/>
              <w:rPr>
                <w:rFonts w:ascii="宋体" w:hAnsi="宋体" w:cs="宋体"/>
                <w:color w:val="000000"/>
              </w:rPr>
            </w:pPr>
            <w:r>
              <w:rPr>
                <w:rFonts w:hint="eastAsia" w:ascii="宋体" w:hAnsi="宋体" w:cs="宋体"/>
                <w:color w:val="000000"/>
                <w:lang w:bidi="ar"/>
              </w:rPr>
              <w:t>线路改造</w:t>
            </w:r>
          </w:p>
        </w:tc>
        <w:tc>
          <w:tcPr>
            <w:tcW w:w="5430" w:type="dxa"/>
            <w:tcBorders>
              <w:top w:val="single" w:color="000000" w:sz="4" w:space="0"/>
              <w:left w:val="single" w:color="000000" w:sz="4" w:space="0"/>
              <w:bottom w:val="single" w:color="000000" w:sz="4" w:space="0"/>
              <w:right w:val="single" w:color="000000" w:sz="4" w:space="0"/>
            </w:tcBorders>
            <w:vAlign w:val="center"/>
          </w:tcPr>
          <w:p w14:paraId="3D005EBD">
            <w:pPr>
              <w:widowControl/>
              <w:textAlignment w:val="center"/>
              <w:rPr>
                <w:rFonts w:ascii="宋体" w:hAnsi="宋体" w:cs="宋体"/>
                <w:color w:val="000000"/>
                <w:lang w:bidi="ar"/>
              </w:rPr>
            </w:pPr>
            <w:r>
              <w:rPr>
                <w:rFonts w:hint="eastAsia" w:ascii="宋体" w:hAnsi="宋体" w:cs="宋体"/>
              </w:rPr>
              <w:t>含照明、开关、插座线路改造（国标BV2.5mm2），墙地面开槽、还原。</w:t>
            </w:r>
          </w:p>
        </w:tc>
        <w:tc>
          <w:tcPr>
            <w:tcW w:w="620" w:type="dxa"/>
            <w:tcBorders>
              <w:top w:val="single" w:color="000000" w:sz="4" w:space="0"/>
              <w:left w:val="single" w:color="000000" w:sz="4" w:space="0"/>
              <w:bottom w:val="single" w:color="000000" w:sz="4" w:space="0"/>
              <w:right w:val="single" w:color="000000" w:sz="4" w:space="0"/>
            </w:tcBorders>
            <w:vAlign w:val="center"/>
          </w:tcPr>
          <w:p w14:paraId="123D3C45">
            <w:pPr>
              <w:widowControl/>
              <w:jc w:val="center"/>
              <w:textAlignment w:val="center"/>
              <w:rPr>
                <w:rFonts w:ascii="宋体" w:hAnsi="宋体" w:cs="宋体"/>
                <w:color w:val="000000"/>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66B6049E">
            <w:pPr>
              <w:widowControl/>
              <w:jc w:val="center"/>
              <w:textAlignment w:val="center"/>
              <w:rPr>
                <w:rFonts w:ascii="宋体" w:hAnsi="宋体" w:cs="宋体"/>
                <w:color w:val="000000"/>
              </w:rPr>
            </w:pPr>
            <w:r>
              <w:rPr>
                <w:rFonts w:hint="eastAsia" w:ascii="宋体" w:hAnsi="宋体" w:cs="宋体"/>
                <w:color w:val="000000"/>
                <w:lang w:bidi="ar"/>
              </w:rPr>
              <w:t>间</w:t>
            </w:r>
          </w:p>
        </w:tc>
      </w:tr>
      <w:tr w14:paraId="0B7CD75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813D455">
            <w:pPr>
              <w:widowControl/>
              <w:jc w:val="center"/>
              <w:textAlignment w:val="center"/>
              <w:rPr>
                <w:rFonts w:ascii="宋体" w:hAnsi="宋体" w:cs="宋体"/>
                <w:color w:val="000000"/>
              </w:rPr>
            </w:pPr>
            <w:r>
              <w:rPr>
                <w:rFonts w:hint="eastAsia" w:ascii="宋体" w:hAnsi="宋体" w:cs="宋体"/>
                <w:color w:val="000000"/>
              </w:rPr>
              <w:t>52</w:t>
            </w:r>
          </w:p>
        </w:tc>
        <w:tc>
          <w:tcPr>
            <w:tcW w:w="462" w:type="dxa"/>
            <w:vMerge w:val="continue"/>
            <w:tcBorders>
              <w:left w:val="single" w:color="000000" w:sz="4" w:space="0"/>
              <w:bottom w:val="single" w:color="000000" w:sz="4" w:space="0"/>
              <w:right w:val="single" w:color="000000" w:sz="4" w:space="0"/>
            </w:tcBorders>
            <w:vAlign w:val="center"/>
          </w:tcPr>
          <w:p w14:paraId="5DEE53C4">
            <w:pPr>
              <w:jc w:val="center"/>
              <w:rPr>
                <w:rFonts w:ascii="宋体" w:hAnsi="宋体" w:cs="宋体"/>
                <w:color w:val="000000"/>
              </w:rPr>
            </w:pPr>
          </w:p>
        </w:tc>
        <w:tc>
          <w:tcPr>
            <w:tcW w:w="1463" w:type="dxa"/>
            <w:gridSpan w:val="2"/>
            <w:tcBorders>
              <w:top w:val="single" w:color="000000" w:sz="4" w:space="0"/>
              <w:left w:val="single" w:color="000000" w:sz="4" w:space="0"/>
              <w:bottom w:val="single" w:color="000000" w:sz="4" w:space="0"/>
              <w:right w:val="single" w:color="000000" w:sz="4" w:space="0"/>
            </w:tcBorders>
            <w:vAlign w:val="center"/>
          </w:tcPr>
          <w:p w14:paraId="39B13F6F">
            <w:pPr>
              <w:widowControl/>
              <w:jc w:val="center"/>
              <w:textAlignment w:val="center"/>
              <w:rPr>
                <w:rFonts w:ascii="宋体" w:hAnsi="宋体" w:cs="宋体"/>
                <w:color w:val="000000"/>
                <w:lang w:bidi="ar"/>
              </w:rPr>
            </w:pPr>
            <w:r>
              <w:rPr>
                <w:rFonts w:hint="eastAsia" w:ascii="宋体" w:hAnsi="宋体" w:cs="宋体"/>
                <w:color w:val="000000"/>
                <w:lang w:bidi="ar"/>
              </w:rPr>
              <w:t>垃圾清运</w:t>
            </w:r>
          </w:p>
        </w:tc>
        <w:tc>
          <w:tcPr>
            <w:tcW w:w="5430" w:type="dxa"/>
            <w:tcBorders>
              <w:top w:val="single" w:color="000000" w:sz="4" w:space="0"/>
              <w:left w:val="single" w:color="000000" w:sz="4" w:space="0"/>
              <w:bottom w:val="single" w:color="000000" w:sz="4" w:space="0"/>
              <w:right w:val="single" w:color="000000" w:sz="4" w:space="0"/>
            </w:tcBorders>
            <w:vAlign w:val="center"/>
          </w:tcPr>
          <w:p w14:paraId="768C666D">
            <w:pPr>
              <w:widowControl/>
              <w:textAlignment w:val="center"/>
              <w:rPr>
                <w:rFonts w:ascii="宋体" w:hAnsi="宋体" w:cs="宋体"/>
                <w:color w:val="000000"/>
                <w:lang w:bidi="ar"/>
              </w:rPr>
            </w:pPr>
            <w:r>
              <w:rPr>
                <w:rFonts w:hint="eastAsia" w:ascii="宋体" w:hAnsi="宋体" w:cs="宋体"/>
              </w:rPr>
              <w:t>垃圾清运出校外</w:t>
            </w:r>
          </w:p>
        </w:tc>
        <w:tc>
          <w:tcPr>
            <w:tcW w:w="620" w:type="dxa"/>
            <w:tcBorders>
              <w:top w:val="single" w:color="000000" w:sz="4" w:space="0"/>
              <w:left w:val="single" w:color="000000" w:sz="4" w:space="0"/>
              <w:bottom w:val="single" w:color="000000" w:sz="4" w:space="0"/>
              <w:right w:val="single" w:color="000000" w:sz="4" w:space="0"/>
            </w:tcBorders>
            <w:vAlign w:val="center"/>
          </w:tcPr>
          <w:p w14:paraId="2518FFC9">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62C23C25">
            <w:pPr>
              <w:widowControl/>
              <w:jc w:val="center"/>
              <w:textAlignment w:val="center"/>
              <w:rPr>
                <w:rFonts w:ascii="宋体" w:hAnsi="宋体" w:cs="宋体"/>
                <w:color w:val="000000"/>
                <w:lang w:bidi="ar"/>
              </w:rPr>
            </w:pPr>
            <w:r>
              <w:rPr>
                <w:rFonts w:hint="eastAsia" w:ascii="宋体" w:hAnsi="宋体" w:cs="宋体"/>
                <w:color w:val="000000"/>
                <w:lang w:bidi="ar"/>
              </w:rPr>
              <w:t>项</w:t>
            </w:r>
          </w:p>
        </w:tc>
      </w:tr>
      <w:tr w14:paraId="587CD5A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A521B2A">
            <w:pPr>
              <w:widowControl/>
              <w:jc w:val="center"/>
              <w:textAlignment w:val="center"/>
              <w:rPr>
                <w:rFonts w:ascii="宋体" w:hAnsi="宋体" w:cs="宋体"/>
                <w:color w:val="000000"/>
              </w:rPr>
            </w:pPr>
            <w:r>
              <w:rPr>
                <w:rFonts w:hint="eastAsia" w:ascii="宋体" w:hAnsi="宋体" w:cs="宋体"/>
                <w:color w:val="000000"/>
              </w:rPr>
              <w:t>53</w:t>
            </w:r>
          </w:p>
        </w:tc>
        <w:tc>
          <w:tcPr>
            <w:tcW w:w="1925" w:type="dxa"/>
            <w:gridSpan w:val="3"/>
            <w:tcBorders>
              <w:left w:val="single" w:color="000000" w:sz="4" w:space="0"/>
              <w:bottom w:val="single" w:color="000000" w:sz="4" w:space="0"/>
              <w:right w:val="single" w:color="000000" w:sz="4" w:space="0"/>
            </w:tcBorders>
            <w:vAlign w:val="center"/>
          </w:tcPr>
          <w:p w14:paraId="03503E58">
            <w:pPr>
              <w:widowControl/>
              <w:jc w:val="center"/>
              <w:textAlignment w:val="center"/>
              <w:rPr>
                <w:rFonts w:ascii="宋体" w:hAnsi="宋体" w:cs="宋体"/>
                <w:color w:val="000000"/>
                <w:lang w:bidi="ar"/>
              </w:rPr>
            </w:pPr>
            <w:r>
              <w:rPr>
                <w:rFonts w:hint="eastAsia" w:ascii="宋体" w:hAnsi="宋体" w:cs="宋体"/>
                <w:color w:val="000000"/>
                <w:lang w:bidi="ar"/>
              </w:rPr>
              <w:t>应急物资综合实践教学平台</w:t>
            </w:r>
          </w:p>
        </w:tc>
        <w:tc>
          <w:tcPr>
            <w:tcW w:w="5430" w:type="dxa"/>
            <w:tcBorders>
              <w:top w:val="single" w:color="000000" w:sz="4" w:space="0"/>
              <w:left w:val="single" w:color="000000" w:sz="4" w:space="0"/>
              <w:bottom w:val="single" w:color="000000" w:sz="4" w:space="0"/>
              <w:right w:val="single" w:color="000000" w:sz="4" w:space="0"/>
            </w:tcBorders>
            <w:vAlign w:val="center"/>
          </w:tcPr>
          <w:p w14:paraId="508FD7E8">
            <w:pPr>
              <w:widowControl/>
              <w:textAlignment w:val="center"/>
              <w:rPr>
                <w:rFonts w:ascii="宋体" w:hAnsi="宋体" w:cs="宋体"/>
                <w:color w:val="000000"/>
                <w:lang w:bidi="ar"/>
              </w:rPr>
            </w:pPr>
            <w:r>
              <w:rPr>
                <w:rFonts w:hint="eastAsia" w:ascii="宋体" w:hAnsi="宋体" w:cs="宋体"/>
                <w:color w:val="000000"/>
                <w:lang w:bidi="ar"/>
              </w:rPr>
              <w:t>1. 产品功能要求</w:t>
            </w:r>
          </w:p>
          <w:p w14:paraId="5F3D037D">
            <w:pPr>
              <w:widowControl/>
              <w:textAlignment w:val="center"/>
              <w:rPr>
                <w:rFonts w:ascii="宋体" w:hAnsi="宋体" w:cs="宋体"/>
                <w:color w:val="000000"/>
                <w:lang w:bidi="ar"/>
              </w:rPr>
            </w:pPr>
            <w:r>
              <w:rPr>
                <w:rFonts w:hint="eastAsia" w:ascii="宋体" w:hAnsi="宋体" w:cs="宋体"/>
                <w:color w:val="000000"/>
                <w:lang w:bidi="ar"/>
              </w:rPr>
              <w:t>（1）应急物资综合实践教学平台应包括物资管理、物资需求、物资动用、仓库作业、物资跟踪、发放与回收、物资采购、企业资源、仓库资源、指挥大屏及基础数据模块。可基于不同的应急场景，进行相应的系统实训操作。</w:t>
            </w:r>
          </w:p>
          <w:p w14:paraId="42C3E459">
            <w:pPr>
              <w:widowControl/>
              <w:textAlignment w:val="center"/>
              <w:rPr>
                <w:rFonts w:ascii="宋体" w:hAnsi="宋体" w:cs="宋体"/>
                <w:color w:val="000000"/>
                <w:lang w:bidi="ar"/>
              </w:rPr>
            </w:pPr>
            <w:r>
              <w:rPr>
                <w:rFonts w:hint="eastAsia" w:ascii="宋体" w:hAnsi="宋体" w:cs="宋体"/>
                <w:color w:val="000000"/>
                <w:lang w:bidi="ar"/>
              </w:rPr>
              <w:t>1.1 物资管理</w:t>
            </w:r>
          </w:p>
          <w:p w14:paraId="7D2498D1">
            <w:pPr>
              <w:widowControl/>
              <w:textAlignment w:val="center"/>
              <w:rPr>
                <w:rFonts w:ascii="宋体" w:hAnsi="宋体" w:cs="宋体"/>
                <w:color w:val="000000"/>
                <w:lang w:bidi="ar"/>
              </w:rPr>
            </w:pPr>
            <w:r>
              <w:rPr>
                <w:rFonts w:hint="eastAsia" w:ascii="宋体" w:hAnsi="宋体" w:cs="宋体"/>
                <w:color w:val="000000"/>
                <w:lang w:bidi="ar"/>
              </w:rPr>
              <w:t>应支持新建、编辑和查询物资管理内容。包括：</w:t>
            </w:r>
          </w:p>
          <w:p w14:paraId="2521FDB8">
            <w:pPr>
              <w:widowControl/>
              <w:textAlignment w:val="center"/>
              <w:rPr>
                <w:rFonts w:ascii="宋体" w:hAnsi="宋体" w:cs="宋体"/>
                <w:color w:val="000000"/>
                <w:lang w:bidi="ar"/>
              </w:rPr>
            </w:pPr>
            <w:r>
              <w:rPr>
                <w:rFonts w:hint="eastAsia" w:ascii="宋体" w:hAnsi="宋体" w:cs="宋体"/>
                <w:color w:val="000000"/>
                <w:lang w:bidi="ar"/>
              </w:rPr>
              <w:t>（1）物资主数据：支持利用物资名等不少于10个筛选条件对物资进行筛选；支持新增物资信息；支持对物资进行品类划分、用途划分、品种划分；支持绑定批次属性；支持上传物资照片等附件。支持批量导入、导出物资主数据。</w:t>
            </w:r>
          </w:p>
          <w:p w14:paraId="27685241">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（2）物资储备查询：支持利用物资名等不少于20个筛选条件对物资储备信息进行筛选；支持仓库总数、库存总数的统计；支持库存调整；支持库存确认。</w:t>
            </w:r>
          </w:p>
          <w:p w14:paraId="62487A92">
            <w:pPr>
              <w:widowControl/>
              <w:textAlignment w:val="center"/>
              <w:rPr>
                <w:rFonts w:ascii="宋体" w:hAnsi="宋体" w:cs="宋体"/>
                <w:color w:val="000000"/>
                <w:lang w:bidi="ar"/>
              </w:rPr>
            </w:pPr>
            <w:r>
              <w:rPr>
                <w:rFonts w:hint="eastAsia" w:ascii="宋体" w:hAnsi="宋体" w:cs="宋体"/>
                <w:color w:val="000000"/>
                <w:lang w:bidi="ar"/>
              </w:rPr>
              <w:t>（3）物资进出查询：支持利用物资名等不少于15个筛选条件对物资进出情况进行筛选；支持批量导出物资进出历史数据。</w:t>
            </w:r>
          </w:p>
          <w:p w14:paraId="038D43C7">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（4）物资提报：支持利用物资提报名等不少于3个筛选条件对物资提报信息进行筛选；支持新增物资提报。</w:t>
            </w:r>
          </w:p>
          <w:p w14:paraId="667614F4">
            <w:pPr>
              <w:widowControl/>
              <w:textAlignment w:val="center"/>
              <w:rPr>
                <w:rFonts w:ascii="宋体" w:hAnsi="宋体" w:cs="宋体"/>
                <w:color w:val="000000"/>
                <w:lang w:bidi="ar"/>
              </w:rPr>
            </w:pPr>
            <w:r>
              <w:rPr>
                <w:rFonts w:hint="eastAsia" w:ascii="宋体" w:hAnsi="宋体" w:cs="宋体"/>
                <w:color w:val="000000"/>
                <w:lang w:bidi="ar"/>
              </w:rPr>
              <w:t>（5）批属性设置：支持利用属性名称等不少于3个筛选条件对批属性信息进行筛选；支持新增批属性信息。</w:t>
            </w:r>
          </w:p>
          <w:p w14:paraId="0D144FD0">
            <w:pPr>
              <w:widowControl/>
              <w:textAlignment w:val="center"/>
              <w:rPr>
                <w:rFonts w:ascii="宋体" w:hAnsi="宋体" w:cs="宋体"/>
                <w:color w:val="000000"/>
                <w:lang w:bidi="ar"/>
              </w:rPr>
            </w:pPr>
            <w:r>
              <w:rPr>
                <w:rFonts w:hint="eastAsia" w:ascii="宋体" w:hAnsi="宋体" w:cs="宋体"/>
                <w:color w:val="000000"/>
                <w:lang w:bidi="ar"/>
              </w:rPr>
              <w:t>（6）包装策略管理：支持利用包装策略编码等不少于3个筛选条件对包装策略进行筛选；支持新增包装策略、查看包装策略、停用包装策略。</w:t>
            </w:r>
          </w:p>
          <w:p w14:paraId="26D61C45">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（7）物资包装策略维护：管理支持新增、查看、编辑包装策略。</w:t>
            </w:r>
          </w:p>
          <w:p w14:paraId="48704BD3">
            <w:pPr>
              <w:widowControl/>
              <w:textAlignment w:val="center"/>
              <w:rPr>
                <w:rFonts w:ascii="宋体" w:hAnsi="宋体" w:cs="宋体"/>
                <w:color w:val="000000"/>
                <w:lang w:bidi="ar"/>
              </w:rPr>
            </w:pPr>
            <w:r>
              <w:rPr>
                <w:rFonts w:hint="eastAsia" w:ascii="宋体" w:hAnsi="宋体" w:cs="宋体"/>
                <w:color w:val="000000"/>
                <w:lang w:bidi="ar"/>
              </w:rPr>
              <w:t>1.2 物资需求</w:t>
            </w:r>
          </w:p>
          <w:p w14:paraId="095B78F4">
            <w:pPr>
              <w:widowControl/>
              <w:textAlignment w:val="center"/>
              <w:rPr>
                <w:rFonts w:ascii="宋体" w:hAnsi="宋体" w:cs="宋体"/>
                <w:color w:val="000000"/>
                <w:lang w:bidi="ar"/>
              </w:rPr>
            </w:pPr>
            <w:r>
              <w:rPr>
                <w:rFonts w:hint="eastAsia" w:ascii="宋体" w:hAnsi="宋体" w:cs="宋体"/>
                <w:color w:val="000000"/>
                <w:lang w:bidi="ar"/>
              </w:rPr>
              <w:t>应支持新建、编辑和查询物资需求内容。包括：</w:t>
            </w:r>
          </w:p>
          <w:p w14:paraId="493BAED5">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（1）需求提报：支持在基础数据、收货信息、需求信息三个维度录入数据；同时支持各类文件的上传。</w:t>
            </w:r>
          </w:p>
          <w:p w14:paraId="38CAD9F1">
            <w:pPr>
              <w:widowControl/>
              <w:textAlignment w:val="center"/>
              <w:rPr>
                <w:rFonts w:ascii="宋体" w:hAnsi="宋体" w:cs="宋体"/>
                <w:color w:val="000000"/>
                <w:lang w:bidi="ar"/>
              </w:rPr>
            </w:pPr>
            <w:r>
              <w:rPr>
                <w:rFonts w:hint="eastAsia" w:ascii="宋体" w:hAnsi="宋体" w:cs="宋体"/>
                <w:color w:val="000000"/>
                <w:lang w:bidi="ar"/>
              </w:rPr>
              <w:t>（2）审核与跟踪：支持利用需求单位等不少于8个检索条件进行检索，支持新增需求提报单，支持随单据上传文件。</w:t>
            </w:r>
          </w:p>
          <w:p w14:paraId="1D267D1E">
            <w:pPr>
              <w:widowControl/>
              <w:textAlignment w:val="center"/>
              <w:rPr>
                <w:rFonts w:ascii="宋体" w:hAnsi="宋体" w:cs="宋体"/>
                <w:color w:val="000000"/>
                <w:lang w:bidi="ar"/>
              </w:rPr>
            </w:pPr>
            <w:r>
              <w:rPr>
                <w:rFonts w:hint="eastAsia" w:ascii="宋体" w:hAnsi="宋体" w:cs="宋体"/>
                <w:color w:val="000000"/>
                <w:lang w:bidi="ar"/>
              </w:rPr>
              <w:t>（3）上级调拨单：支持利用上级调拨单号等不少于8个检索条件进行检索；支持对检索出的调拨点进行查看和确认。</w:t>
            </w:r>
          </w:p>
          <w:p w14:paraId="30983C14">
            <w:pPr>
              <w:widowControl/>
              <w:textAlignment w:val="center"/>
              <w:rPr>
                <w:rFonts w:ascii="宋体" w:hAnsi="宋体" w:cs="宋体"/>
                <w:color w:val="000000"/>
                <w:lang w:bidi="ar"/>
              </w:rPr>
            </w:pPr>
            <w:r>
              <w:rPr>
                <w:rFonts w:hint="eastAsia" w:ascii="宋体" w:hAnsi="宋体" w:cs="宋体"/>
                <w:color w:val="000000"/>
                <w:lang w:bidi="ar"/>
              </w:rPr>
              <w:t>（4）灾情等级管理：支持利用灾种等不少于3个检索条件进行检索；支持新增灾种等级；同时支持历史灾种数据的查看、编辑和删除。</w:t>
            </w:r>
          </w:p>
          <w:p w14:paraId="50268086">
            <w:pPr>
              <w:widowControl/>
              <w:textAlignment w:val="center"/>
              <w:rPr>
                <w:rFonts w:ascii="宋体" w:hAnsi="宋体" w:cs="宋体"/>
                <w:color w:val="000000"/>
                <w:lang w:bidi="ar"/>
              </w:rPr>
            </w:pPr>
            <w:r>
              <w:rPr>
                <w:rFonts w:hint="eastAsia" w:ascii="宋体" w:hAnsi="宋体" w:cs="宋体"/>
                <w:color w:val="000000"/>
                <w:lang w:bidi="ar"/>
              </w:rPr>
              <w:t>（5）灾情创建：支持利用灾情编号等不少于5个检索条件进行检索；支持新增灾情；支持历史数据的编辑和删除。</w:t>
            </w:r>
          </w:p>
          <w:p w14:paraId="714969BE">
            <w:pPr>
              <w:widowControl/>
              <w:textAlignment w:val="center"/>
              <w:rPr>
                <w:rFonts w:ascii="宋体" w:hAnsi="宋体" w:cs="宋体"/>
                <w:color w:val="000000"/>
                <w:lang w:bidi="ar"/>
              </w:rPr>
            </w:pPr>
            <w:r>
              <w:rPr>
                <w:rFonts w:hint="eastAsia" w:ascii="宋体" w:hAnsi="宋体" w:cs="宋体"/>
                <w:color w:val="000000"/>
                <w:lang w:bidi="ar"/>
              </w:rPr>
              <w:t>（6）灾情物资预测：支撑利用灾情编号等不少于5个检索条件对历史数据进行检索；支持新增灾情物资预测信息，可以利用灾害信息、灾害损失信息等对数据进行预测；支持对历史灾情数据的查看、编辑、删除和确认。</w:t>
            </w:r>
          </w:p>
          <w:p w14:paraId="3123B921">
            <w:pPr>
              <w:widowControl/>
              <w:textAlignment w:val="center"/>
              <w:rPr>
                <w:rFonts w:ascii="宋体" w:hAnsi="宋体" w:cs="宋体"/>
                <w:color w:val="000000"/>
                <w:lang w:bidi="ar"/>
              </w:rPr>
            </w:pPr>
            <w:r>
              <w:rPr>
                <w:rFonts w:hint="eastAsia" w:ascii="宋体" w:hAnsi="宋体" w:cs="宋体"/>
                <w:color w:val="000000"/>
                <w:lang w:bidi="ar"/>
              </w:rPr>
              <w:t>1.3 物资动用</w:t>
            </w:r>
          </w:p>
          <w:p w14:paraId="5FED6F2F">
            <w:pPr>
              <w:widowControl/>
              <w:textAlignment w:val="center"/>
              <w:rPr>
                <w:rFonts w:ascii="宋体" w:hAnsi="宋体" w:cs="宋体"/>
                <w:color w:val="000000"/>
                <w:lang w:bidi="ar"/>
              </w:rPr>
            </w:pPr>
            <w:r>
              <w:rPr>
                <w:rFonts w:hint="eastAsia" w:ascii="宋体" w:hAnsi="宋体" w:cs="宋体"/>
                <w:color w:val="000000"/>
                <w:lang w:bidi="ar"/>
              </w:rPr>
              <w:t>应支持新建、编辑和查询物资动用内容。包括：</w:t>
            </w:r>
          </w:p>
          <w:p w14:paraId="7B2DB8F8">
            <w:pPr>
              <w:widowControl/>
              <w:textAlignment w:val="center"/>
              <w:rPr>
                <w:rFonts w:ascii="宋体" w:hAnsi="宋体" w:cs="宋体"/>
                <w:color w:val="000000"/>
                <w:lang w:bidi="ar"/>
              </w:rPr>
            </w:pPr>
            <w:r>
              <w:rPr>
                <w:rFonts w:hint="eastAsia" w:ascii="宋体" w:hAnsi="宋体" w:cs="宋体"/>
                <w:color w:val="000000"/>
                <w:lang w:bidi="ar"/>
              </w:rPr>
              <w:t>（1）动用指令：支持利用动用指令号等不少于8个检索条件对动用指令进行检索；支持动用指令的新增，同时支持动用指令文件的上传；支持对动用指令进行查看，生成相关公文。</w:t>
            </w:r>
          </w:p>
          <w:p w14:paraId="6E7D2173">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（2）调运执行：支持利用动用指令号等不少于10个检索条件对动用指令进行检索；支持对动用指令的查看和调拨。</w:t>
            </w:r>
          </w:p>
          <w:p w14:paraId="7DC4AB46">
            <w:pPr>
              <w:widowControl/>
              <w:textAlignment w:val="center"/>
              <w:rPr>
                <w:rFonts w:ascii="宋体" w:hAnsi="宋体" w:cs="宋体"/>
                <w:color w:val="000000"/>
                <w:lang w:bidi="ar"/>
              </w:rPr>
            </w:pPr>
            <w:r>
              <w:rPr>
                <w:rFonts w:hint="eastAsia" w:ascii="宋体" w:hAnsi="宋体" w:cs="宋体"/>
                <w:color w:val="000000"/>
                <w:lang w:bidi="ar"/>
              </w:rPr>
              <w:t>（3）调运进展：支持利用调运单号等不少于10个检索条件对调运单进行检索；支持新增调运单；支持对历史调运单的查看和相关文件的生成。</w:t>
            </w:r>
          </w:p>
          <w:p w14:paraId="002ADE4F">
            <w:pPr>
              <w:widowControl/>
              <w:textAlignment w:val="center"/>
              <w:rPr>
                <w:rFonts w:ascii="宋体" w:hAnsi="宋体" w:cs="宋体"/>
                <w:color w:val="000000"/>
                <w:lang w:bidi="ar"/>
              </w:rPr>
            </w:pPr>
            <w:r>
              <w:rPr>
                <w:rFonts w:hint="eastAsia" w:ascii="宋体" w:hAnsi="宋体" w:cs="宋体"/>
                <w:color w:val="000000"/>
                <w:lang w:bidi="ar"/>
              </w:rPr>
              <w:t>（4）调运配置：支持利用状态等检索条件对调运策略进行检索；支持新增调运配置。</w:t>
            </w:r>
          </w:p>
          <w:p w14:paraId="2B2B72E6">
            <w:pPr>
              <w:widowControl/>
              <w:textAlignment w:val="center"/>
              <w:rPr>
                <w:rFonts w:ascii="宋体" w:hAnsi="宋体" w:cs="宋体"/>
                <w:color w:val="000000"/>
                <w:lang w:bidi="ar"/>
              </w:rPr>
            </w:pPr>
            <w:r>
              <w:rPr>
                <w:rFonts w:hint="eastAsia" w:ascii="宋体" w:hAnsi="宋体" w:cs="宋体"/>
                <w:color w:val="000000"/>
                <w:lang w:bidi="ar"/>
              </w:rPr>
              <w:t>1.4 仓库作业</w:t>
            </w:r>
          </w:p>
          <w:p w14:paraId="5E8A743B">
            <w:pPr>
              <w:widowControl/>
              <w:textAlignment w:val="center"/>
              <w:rPr>
                <w:rFonts w:ascii="宋体" w:hAnsi="宋体" w:cs="宋体"/>
                <w:color w:val="000000"/>
                <w:lang w:bidi="ar"/>
              </w:rPr>
            </w:pPr>
            <w:r>
              <w:rPr>
                <w:rFonts w:hint="eastAsia" w:ascii="宋体" w:hAnsi="宋体" w:cs="宋体"/>
                <w:color w:val="000000"/>
                <w:lang w:bidi="ar"/>
              </w:rPr>
              <w:t>应支持新建、编辑和查询仓库作业内容。包括：</w:t>
            </w:r>
          </w:p>
          <w:p w14:paraId="5C6E9D3E">
            <w:pPr>
              <w:widowControl/>
              <w:textAlignment w:val="center"/>
              <w:rPr>
                <w:rFonts w:ascii="宋体" w:hAnsi="宋体" w:cs="宋体"/>
                <w:color w:val="000000"/>
                <w:lang w:bidi="ar"/>
              </w:rPr>
            </w:pPr>
            <w:r>
              <w:rPr>
                <w:rFonts w:hint="eastAsia" w:ascii="宋体" w:hAnsi="宋体" w:cs="宋体"/>
                <w:color w:val="000000"/>
                <w:lang w:bidi="ar"/>
              </w:rPr>
              <w:t>（1）物资入库：支持利用入库单号等不少于5个检索条件对入库单进行检索；支持新增入库单；支持入库单快速入库。</w:t>
            </w:r>
          </w:p>
          <w:p w14:paraId="519BCD49">
            <w:pPr>
              <w:widowControl/>
              <w:textAlignment w:val="center"/>
              <w:rPr>
                <w:rFonts w:ascii="宋体" w:hAnsi="宋体" w:cs="宋体"/>
                <w:color w:val="000000"/>
                <w:lang w:bidi="ar"/>
              </w:rPr>
            </w:pPr>
            <w:r>
              <w:rPr>
                <w:rFonts w:hint="eastAsia" w:ascii="宋体" w:hAnsi="宋体" w:cs="宋体"/>
                <w:color w:val="000000"/>
                <w:lang w:bidi="ar"/>
              </w:rPr>
              <w:t>（2）物资出库：支持利用出库单号等不少于10个检索条件对出库单进行检索；支持新增出库单；支持快速出库功能；同时支持历史出库单的查看。</w:t>
            </w:r>
          </w:p>
          <w:p w14:paraId="3A53AC7C">
            <w:pPr>
              <w:widowControl/>
              <w:textAlignment w:val="center"/>
              <w:rPr>
                <w:rFonts w:ascii="宋体" w:hAnsi="宋体" w:cs="宋体"/>
                <w:color w:val="000000"/>
                <w:lang w:bidi="ar"/>
              </w:rPr>
            </w:pPr>
            <w:r>
              <w:rPr>
                <w:rFonts w:hint="eastAsia" w:ascii="宋体" w:hAnsi="宋体" w:cs="宋体"/>
                <w:color w:val="000000"/>
                <w:lang w:bidi="ar"/>
              </w:rPr>
              <w:t>（3）作业审核：支持利用原作业单号等不少于8个检索条件对作业单进行检索；支持批量审核作业单。</w:t>
            </w:r>
          </w:p>
          <w:p w14:paraId="75CC3534">
            <w:pPr>
              <w:widowControl/>
              <w:textAlignment w:val="center"/>
              <w:rPr>
                <w:rFonts w:ascii="宋体" w:hAnsi="宋体" w:cs="宋体"/>
                <w:color w:val="000000"/>
                <w:lang w:bidi="ar"/>
              </w:rPr>
            </w:pPr>
            <w:r>
              <w:rPr>
                <w:rFonts w:hint="eastAsia" w:ascii="宋体" w:hAnsi="宋体" w:cs="宋体"/>
                <w:color w:val="000000"/>
                <w:lang w:bidi="ar"/>
              </w:rPr>
              <w:t>（4）物资码查询：支持利用仓库名称等不少于3个检索条件对物资码进行检索。</w:t>
            </w:r>
          </w:p>
          <w:p w14:paraId="023EE238">
            <w:pPr>
              <w:widowControl/>
              <w:textAlignment w:val="center"/>
              <w:rPr>
                <w:rFonts w:ascii="宋体" w:hAnsi="宋体" w:cs="宋体"/>
                <w:color w:val="000000"/>
                <w:lang w:bidi="ar"/>
              </w:rPr>
            </w:pPr>
            <w:r>
              <w:rPr>
                <w:rFonts w:hint="eastAsia" w:ascii="宋体" w:hAnsi="宋体" w:cs="宋体"/>
                <w:color w:val="000000"/>
                <w:lang w:bidi="ar"/>
              </w:rPr>
              <w:t>（5）仓库申请物资码：支持利用仓库名称等不少于3个检索条件对批次号物资码申请批次进行检索，同时支持申请物资码和历史申请信息的查看。</w:t>
            </w:r>
          </w:p>
          <w:p w14:paraId="1BD0349E">
            <w:pPr>
              <w:widowControl/>
              <w:textAlignment w:val="center"/>
              <w:rPr>
                <w:rFonts w:ascii="宋体" w:hAnsi="宋体" w:cs="宋体"/>
                <w:color w:val="000000"/>
                <w:lang w:bidi="ar"/>
              </w:rPr>
            </w:pPr>
            <w:r>
              <w:rPr>
                <w:rFonts w:hint="eastAsia" w:ascii="宋体" w:hAnsi="宋体" w:cs="宋体"/>
                <w:color w:val="000000"/>
                <w:lang w:bidi="ar"/>
              </w:rPr>
              <w:t>（6）容器码申请：支持利用仓库名称等不少于3个检索条件对容器码进行检索；支持新增容器码、激活容器码、打印容器码；同时支持已申请物资码的查看。</w:t>
            </w:r>
          </w:p>
          <w:p w14:paraId="15EF7381">
            <w:pPr>
              <w:widowControl/>
              <w:textAlignment w:val="center"/>
              <w:rPr>
                <w:rFonts w:ascii="宋体" w:hAnsi="宋体" w:cs="宋体"/>
                <w:color w:val="000000"/>
                <w:lang w:bidi="ar"/>
              </w:rPr>
            </w:pPr>
            <w:r>
              <w:rPr>
                <w:rFonts w:hint="eastAsia" w:ascii="宋体" w:hAnsi="宋体" w:cs="宋体"/>
                <w:color w:val="000000"/>
                <w:lang w:bidi="ar"/>
              </w:rPr>
              <w:t>（7）容器码绑定物资：支持利用仓库名称等不少于2个检索条件对容器码进行检索，同时支持新增容器码和历史容器码绑定物资关系的查看。</w:t>
            </w:r>
          </w:p>
          <w:p w14:paraId="2AC13D36">
            <w:pPr>
              <w:widowControl/>
              <w:textAlignment w:val="center"/>
              <w:rPr>
                <w:rFonts w:ascii="宋体" w:hAnsi="宋体" w:cs="宋体"/>
                <w:color w:val="000000"/>
                <w:lang w:bidi="ar"/>
              </w:rPr>
            </w:pPr>
            <w:r>
              <w:rPr>
                <w:rFonts w:hint="eastAsia" w:ascii="宋体" w:hAnsi="宋体" w:cs="宋体"/>
                <w:color w:val="000000"/>
                <w:lang w:bidi="ar"/>
              </w:rPr>
              <w:t>1.5 物资跟踪</w:t>
            </w:r>
          </w:p>
          <w:p w14:paraId="2B11A5B6">
            <w:pPr>
              <w:widowControl/>
              <w:textAlignment w:val="center"/>
              <w:rPr>
                <w:rFonts w:ascii="宋体" w:hAnsi="宋体" w:cs="宋体"/>
                <w:color w:val="000000"/>
                <w:lang w:bidi="ar"/>
              </w:rPr>
            </w:pPr>
            <w:r>
              <w:rPr>
                <w:rFonts w:hint="eastAsia" w:ascii="宋体" w:hAnsi="宋体" w:cs="宋体"/>
                <w:color w:val="000000"/>
                <w:lang w:bidi="ar"/>
              </w:rPr>
              <w:t>应支持新建、编辑和查询物资跟踪内容。包括：</w:t>
            </w:r>
          </w:p>
          <w:p w14:paraId="204DF6CD">
            <w:pPr>
              <w:widowControl/>
              <w:textAlignment w:val="center"/>
              <w:rPr>
                <w:rFonts w:ascii="宋体" w:hAnsi="宋体" w:cs="宋体"/>
                <w:color w:val="000000"/>
                <w:lang w:bidi="ar"/>
              </w:rPr>
            </w:pPr>
            <w:r>
              <w:rPr>
                <w:rFonts w:hint="eastAsia" w:ascii="宋体" w:hAnsi="宋体" w:cs="宋体"/>
                <w:color w:val="000000"/>
                <w:lang w:bidi="ar"/>
              </w:rPr>
              <w:t>（1）物流监控：支持利用运单号等不少于8个检索条件对运单进行检索；支持对历史运单进行运单跟踪。</w:t>
            </w:r>
          </w:p>
          <w:p w14:paraId="0F26B972">
            <w:pPr>
              <w:widowControl/>
              <w:textAlignment w:val="center"/>
              <w:rPr>
                <w:rFonts w:ascii="宋体" w:hAnsi="宋体" w:cs="宋体"/>
                <w:color w:val="000000"/>
                <w:lang w:bidi="ar"/>
              </w:rPr>
            </w:pPr>
            <w:r>
              <w:rPr>
                <w:rFonts w:hint="eastAsia" w:ascii="宋体" w:hAnsi="宋体" w:cs="宋体"/>
                <w:color w:val="000000"/>
                <w:lang w:bidi="ar"/>
              </w:rPr>
              <w:t>（2）运单管理：支持利用运单号等不少于8个检索条件对运单进行检索；支持新增运单、批量取件和批量发运；同时支持历史运单的查看、发运和物流监控。</w:t>
            </w:r>
          </w:p>
          <w:p w14:paraId="281439C6">
            <w:pPr>
              <w:widowControl/>
              <w:textAlignment w:val="center"/>
              <w:rPr>
                <w:rFonts w:ascii="宋体" w:hAnsi="宋体" w:cs="宋体"/>
                <w:color w:val="000000"/>
                <w:lang w:bidi="ar"/>
              </w:rPr>
            </w:pPr>
            <w:r>
              <w:rPr>
                <w:rFonts w:hint="eastAsia" w:ascii="宋体" w:hAnsi="宋体" w:cs="宋体"/>
                <w:color w:val="000000"/>
                <w:lang w:bidi="ar"/>
              </w:rPr>
              <w:t>（3）运单签收：支持通过输入运单号、签收方式、签收状态和附件的方式对运单进行签收。</w:t>
            </w:r>
          </w:p>
          <w:p w14:paraId="3F8EAD76">
            <w:pPr>
              <w:widowControl/>
              <w:textAlignment w:val="center"/>
              <w:rPr>
                <w:rFonts w:ascii="宋体" w:hAnsi="宋体" w:cs="宋体"/>
                <w:color w:val="000000"/>
                <w:lang w:bidi="ar"/>
              </w:rPr>
            </w:pPr>
            <w:r>
              <w:rPr>
                <w:rFonts w:hint="eastAsia" w:ascii="宋体" w:hAnsi="宋体" w:cs="宋体"/>
                <w:color w:val="000000"/>
                <w:lang w:bidi="ar"/>
              </w:rPr>
              <w:t>（4）机构签收：支持利用运单号等不少于5个检索条件对运单进行检索，同时支持历史运单的查看与确认收货。</w:t>
            </w:r>
          </w:p>
          <w:p w14:paraId="19A8DB6A">
            <w:pPr>
              <w:widowControl/>
              <w:textAlignment w:val="center"/>
              <w:rPr>
                <w:rFonts w:ascii="宋体" w:hAnsi="宋体" w:cs="宋体"/>
                <w:color w:val="000000"/>
                <w:lang w:bidi="ar"/>
              </w:rPr>
            </w:pPr>
            <w:r>
              <w:rPr>
                <w:rFonts w:hint="eastAsia" w:ascii="宋体" w:hAnsi="宋体" w:cs="宋体"/>
                <w:color w:val="000000"/>
                <w:lang w:bidi="ar"/>
              </w:rPr>
              <w:t>1.6 发放与回收</w:t>
            </w:r>
          </w:p>
          <w:p w14:paraId="467D33E1">
            <w:pPr>
              <w:widowControl/>
              <w:textAlignment w:val="center"/>
              <w:rPr>
                <w:rFonts w:ascii="宋体" w:hAnsi="宋体" w:cs="宋体"/>
                <w:color w:val="000000"/>
                <w:lang w:bidi="ar"/>
              </w:rPr>
            </w:pPr>
            <w:r>
              <w:rPr>
                <w:rFonts w:hint="eastAsia" w:ascii="宋体" w:hAnsi="宋体" w:cs="宋体"/>
                <w:color w:val="000000"/>
                <w:lang w:bidi="ar"/>
              </w:rPr>
              <w:t>应支持新建、编辑和查询发放与回收内容。包括：</w:t>
            </w:r>
          </w:p>
          <w:p w14:paraId="3A9E350F">
            <w:pPr>
              <w:widowControl/>
              <w:textAlignment w:val="center"/>
              <w:rPr>
                <w:rFonts w:ascii="宋体" w:hAnsi="宋体" w:cs="宋体"/>
                <w:color w:val="000000"/>
                <w:lang w:bidi="ar"/>
              </w:rPr>
            </w:pPr>
            <w:r>
              <w:rPr>
                <w:rFonts w:hint="eastAsia" w:ascii="宋体" w:hAnsi="宋体" w:cs="宋体"/>
                <w:color w:val="000000"/>
                <w:lang w:bidi="ar"/>
              </w:rPr>
              <w:t>（1）发放登记：支持新增发放登记信息，可以在基础信息和物资接收人信息两方面维度进行数据录入；同时支持文件的上传。</w:t>
            </w:r>
          </w:p>
          <w:p w14:paraId="35A97F92">
            <w:pPr>
              <w:widowControl/>
              <w:textAlignment w:val="center"/>
              <w:rPr>
                <w:rFonts w:ascii="宋体" w:hAnsi="宋体" w:cs="宋体"/>
                <w:color w:val="000000"/>
                <w:lang w:bidi="ar"/>
              </w:rPr>
            </w:pPr>
            <w:r>
              <w:rPr>
                <w:rFonts w:hint="eastAsia" w:ascii="宋体" w:hAnsi="宋体" w:cs="宋体"/>
                <w:color w:val="000000"/>
                <w:lang w:bidi="ar"/>
              </w:rPr>
              <w:t>（2）发放查询：支持利用物资分发单号等不少于5个检索条件对物资分发单号进行检索；同时支持历史物资分发信息的查看。</w:t>
            </w:r>
          </w:p>
          <w:p w14:paraId="5154BDB4">
            <w:pPr>
              <w:widowControl/>
              <w:textAlignment w:val="center"/>
              <w:rPr>
                <w:rFonts w:ascii="宋体" w:hAnsi="宋体" w:cs="宋体"/>
                <w:color w:val="000000"/>
                <w:lang w:bidi="ar"/>
              </w:rPr>
            </w:pPr>
            <w:r>
              <w:rPr>
                <w:rFonts w:hint="eastAsia" w:ascii="宋体" w:hAnsi="宋体" w:cs="宋体"/>
                <w:color w:val="000000"/>
                <w:lang w:bidi="ar"/>
              </w:rPr>
              <w:t>1.7 物资采购</w:t>
            </w:r>
          </w:p>
          <w:p w14:paraId="29887D32">
            <w:pPr>
              <w:widowControl/>
              <w:textAlignment w:val="center"/>
              <w:rPr>
                <w:rFonts w:ascii="宋体" w:hAnsi="宋体" w:cs="宋体"/>
                <w:color w:val="000000"/>
                <w:lang w:bidi="ar"/>
              </w:rPr>
            </w:pPr>
            <w:r>
              <w:rPr>
                <w:rFonts w:hint="eastAsia" w:ascii="宋体" w:hAnsi="宋体" w:cs="宋体"/>
                <w:color w:val="000000"/>
                <w:lang w:bidi="ar"/>
              </w:rPr>
              <w:t>应支持学生新建、编辑和查询物资采购内容。包括：</w:t>
            </w:r>
          </w:p>
          <w:p w14:paraId="04CAAFB1">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（1）采购建议：支持利用采购建议名称等不少于3个检索条件对历史采购建议进行检索；支持新增采购建议；支持转发采购建议。</w:t>
            </w:r>
          </w:p>
          <w:p w14:paraId="30E265AA">
            <w:pPr>
              <w:widowControl/>
              <w:textAlignment w:val="center"/>
              <w:rPr>
                <w:rFonts w:ascii="宋体" w:hAnsi="宋体" w:cs="宋体"/>
                <w:color w:val="000000"/>
                <w:lang w:bidi="ar"/>
              </w:rPr>
            </w:pPr>
            <w:r>
              <w:rPr>
                <w:rFonts w:hint="eastAsia" w:ascii="宋体" w:hAnsi="宋体" w:cs="宋体"/>
                <w:color w:val="000000"/>
                <w:lang w:bidi="ar"/>
              </w:rPr>
              <w:t>（2）采购方案：支持利用建议名称等不少于3个字段对采购建议进行检索；支持查看、编辑、退回采购建议。</w:t>
            </w:r>
          </w:p>
          <w:p w14:paraId="47919D85">
            <w:pPr>
              <w:widowControl/>
              <w:textAlignment w:val="center"/>
              <w:rPr>
                <w:rFonts w:ascii="宋体" w:hAnsi="宋体" w:cs="宋体"/>
                <w:color w:val="000000"/>
                <w:lang w:bidi="ar"/>
              </w:rPr>
            </w:pPr>
            <w:r>
              <w:rPr>
                <w:rFonts w:hint="eastAsia" w:ascii="宋体" w:hAnsi="宋体" w:cs="宋体"/>
                <w:color w:val="000000"/>
                <w:lang w:bidi="ar"/>
              </w:rPr>
              <w:t>（3）采购查询：支持利用采购建议名称等不少于3个检索条件对采购建议进行检索；支持对历史采购建议的查看反馈。</w:t>
            </w:r>
          </w:p>
          <w:p w14:paraId="05E6ED88">
            <w:pPr>
              <w:widowControl/>
              <w:textAlignment w:val="center"/>
              <w:rPr>
                <w:rFonts w:ascii="宋体" w:hAnsi="宋体" w:cs="宋体"/>
                <w:color w:val="000000"/>
                <w:lang w:bidi="ar"/>
              </w:rPr>
            </w:pPr>
            <w:r>
              <w:rPr>
                <w:rFonts w:hint="eastAsia" w:ascii="宋体" w:hAnsi="宋体" w:cs="宋体"/>
                <w:color w:val="000000"/>
                <w:lang w:bidi="ar"/>
              </w:rPr>
              <w:t>（4）采购订单：支持利用采购订单名称等不少于5个检索条件对采购订单进行检索；支持新增采购订单；支持对历史采购订单进行查看。</w:t>
            </w:r>
          </w:p>
          <w:p w14:paraId="4E155517">
            <w:pPr>
              <w:widowControl/>
              <w:textAlignment w:val="center"/>
              <w:rPr>
                <w:rFonts w:ascii="宋体" w:hAnsi="宋体" w:cs="宋体"/>
                <w:color w:val="000000"/>
                <w:lang w:bidi="ar"/>
              </w:rPr>
            </w:pPr>
            <w:r>
              <w:rPr>
                <w:rFonts w:hint="eastAsia" w:ascii="宋体" w:hAnsi="宋体" w:cs="宋体"/>
                <w:color w:val="000000"/>
                <w:lang w:bidi="ar"/>
              </w:rPr>
              <w:t>1.8 企业资源</w:t>
            </w:r>
          </w:p>
          <w:p w14:paraId="4DC56151">
            <w:pPr>
              <w:widowControl/>
              <w:textAlignment w:val="center"/>
              <w:rPr>
                <w:rFonts w:ascii="宋体" w:hAnsi="宋体" w:cs="宋体"/>
                <w:color w:val="000000"/>
                <w:lang w:bidi="ar"/>
              </w:rPr>
            </w:pPr>
            <w:r>
              <w:rPr>
                <w:rFonts w:hint="eastAsia" w:ascii="宋体" w:hAnsi="宋体" w:cs="宋体"/>
                <w:color w:val="000000"/>
                <w:lang w:bidi="ar"/>
              </w:rPr>
              <w:t>应支持新建、编辑和查询企业资源内容。包括：</w:t>
            </w:r>
          </w:p>
          <w:p w14:paraId="76FA85BC">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（1）企业基础信息：支持利用企业名称等不少于20个检索条件对企业进行检索；支持对检索数据的导出；支持新增企业信息；支持各企业信息的查看、应用和编辑。</w:t>
            </w:r>
          </w:p>
          <w:p w14:paraId="61E390AE">
            <w:pPr>
              <w:widowControl/>
              <w:textAlignment w:val="center"/>
              <w:rPr>
                <w:rFonts w:ascii="宋体" w:hAnsi="宋体" w:cs="宋体"/>
                <w:color w:val="000000"/>
                <w:lang w:bidi="ar"/>
              </w:rPr>
            </w:pPr>
            <w:r>
              <w:rPr>
                <w:rFonts w:hint="eastAsia" w:ascii="宋体" w:hAnsi="宋体" w:cs="宋体"/>
                <w:color w:val="000000"/>
                <w:lang w:bidi="ar"/>
              </w:rPr>
              <w:t>（2）企业产能信息：支持利用企业名称等不少于10个检索条件对企业产能情况进行检索；支持对检索信息的导出；支持企业产能详情的查看。</w:t>
            </w:r>
          </w:p>
          <w:p w14:paraId="1097DF24">
            <w:pPr>
              <w:widowControl/>
              <w:textAlignment w:val="center"/>
              <w:rPr>
                <w:rFonts w:ascii="宋体" w:hAnsi="宋体" w:cs="宋体"/>
                <w:color w:val="000000"/>
                <w:lang w:bidi="ar"/>
              </w:rPr>
            </w:pPr>
            <w:r>
              <w:rPr>
                <w:rFonts w:hint="eastAsia" w:ascii="宋体" w:hAnsi="宋体" w:cs="宋体"/>
                <w:color w:val="000000"/>
                <w:lang w:bidi="ar"/>
              </w:rPr>
              <w:t>1.9 仓库资源</w:t>
            </w:r>
          </w:p>
          <w:p w14:paraId="7667B14C">
            <w:pPr>
              <w:widowControl/>
              <w:textAlignment w:val="center"/>
              <w:rPr>
                <w:rFonts w:ascii="宋体" w:hAnsi="宋体" w:cs="宋体"/>
                <w:color w:val="000000"/>
                <w:lang w:bidi="ar"/>
              </w:rPr>
            </w:pPr>
            <w:r>
              <w:rPr>
                <w:rFonts w:hint="eastAsia" w:ascii="宋体" w:hAnsi="宋体" w:cs="宋体"/>
                <w:color w:val="000000"/>
                <w:lang w:bidi="ar"/>
              </w:rPr>
              <w:t>（1）应支持新建、编辑和查询仓库资源内容。包括利用仓库名称等不少于10个检索条件对仓库数据进行检索；同时支持新增仓库数据、批量导出仓库数据和查看仓库信息。</w:t>
            </w:r>
          </w:p>
          <w:p w14:paraId="011EF34C">
            <w:pPr>
              <w:widowControl/>
              <w:textAlignment w:val="center"/>
              <w:rPr>
                <w:rFonts w:ascii="宋体" w:hAnsi="宋体" w:cs="宋体"/>
                <w:color w:val="000000"/>
                <w:lang w:bidi="ar"/>
              </w:rPr>
            </w:pPr>
            <w:r>
              <w:rPr>
                <w:rFonts w:hint="eastAsia" w:ascii="宋体" w:hAnsi="宋体" w:cs="宋体"/>
                <w:color w:val="000000"/>
                <w:lang w:bidi="ar"/>
              </w:rPr>
              <w:t>1.10 指挥大屏</w:t>
            </w:r>
          </w:p>
          <w:p w14:paraId="479BF8CF">
            <w:pPr>
              <w:widowControl/>
              <w:textAlignment w:val="center"/>
              <w:rPr>
                <w:rFonts w:ascii="宋体" w:hAnsi="宋体" w:cs="宋体"/>
                <w:color w:val="000000"/>
                <w:lang w:bidi="ar"/>
              </w:rPr>
            </w:pPr>
            <w:r>
              <w:rPr>
                <w:rFonts w:hint="eastAsia" w:ascii="宋体" w:hAnsi="宋体" w:cs="宋体"/>
                <w:color w:val="000000"/>
                <w:lang w:bidi="ar"/>
              </w:rPr>
              <w:t>应支持利用可视化大屏实现应急资源信息数据的快速获取与分析。包括：</w:t>
            </w:r>
          </w:p>
          <w:p w14:paraId="6C843FF0">
            <w:pPr>
              <w:widowControl/>
              <w:textAlignment w:val="center"/>
              <w:rPr>
                <w:rFonts w:ascii="宋体" w:hAnsi="宋体" w:cs="宋体"/>
                <w:color w:val="000000"/>
                <w:lang w:bidi="ar"/>
              </w:rPr>
            </w:pPr>
            <w:r>
              <w:rPr>
                <w:rFonts w:hint="eastAsia" w:ascii="宋体" w:hAnsi="宋体" w:cs="宋体"/>
                <w:color w:val="000000"/>
                <w:lang w:bidi="ar"/>
              </w:rPr>
              <w:t>（1）筛选查询与统计：支持利用区域筛选、物资筛选、仓库筛选等不少于2个条件对物资进行筛选与统计。</w:t>
            </w:r>
          </w:p>
          <w:p w14:paraId="125B6FFF">
            <w:pPr>
              <w:widowControl/>
              <w:textAlignment w:val="center"/>
              <w:rPr>
                <w:rFonts w:ascii="宋体" w:hAnsi="宋体" w:cs="宋体"/>
                <w:color w:val="000000"/>
                <w:lang w:bidi="ar"/>
              </w:rPr>
            </w:pPr>
            <w:r>
              <w:rPr>
                <w:rFonts w:hint="eastAsia" w:ascii="宋体" w:hAnsi="宋体" w:cs="宋体"/>
                <w:color w:val="000000"/>
                <w:lang w:bidi="ar"/>
              </w:rPr>
              <w:t>（2）圈选查询：支持利用经纬度、中心地址、灾情发生地、手动点选及半径对物资进行圈选查询。</w:t>
            </w:r>
          </w:p>
          <w:p w14:paraId="595ED5D9">
            <w:pPr>
              <w:widowControl/>
              <w:textAlignment w:val="center"/>
              <w:rPr>
                <w:rFonts w:ascii="宋体" w:hAnsi="宋体" w:cs="宋体"/>
                <w:color w:val="000000"/>
                <w:lang w:bidi="ar"/>
              </w:rPr>
            </w:pPr>
            <w:r>
              <w:rPr>
                <w:rFonts w:hint="eastAsia" w:ascii="宋体" w:hAnsi="宋体" w:cs="宋体"/>
                <w:color w:val="000000"/>
                <w:lang w:bidi="ar"/>
              </w:rPr>
              <w:t>（3）仓库筛选：支持利用仓库名称、预警状态搜索；进行仓库筛选。</w:t>
            </w:r>
          </w:p>
          <w:p w14:paraId="5253E5D8">
            <w:pPr>
              <w:widowControl/>
              <w:textAlignment w:val="center"/>
              <w:rPr>
                <w:rFonts w:ascii="宋体" w:hAnsi="宋体" w:cs="宋体"/>
                <w:color w:val="000000"/>
                <w:lang w:bidi="ar"/>
              </w:rPr>
            </w:pPr>
            <w:r>
              <w:rPr>
                <w:rFonts w:hint="eastAsia" w:ascii="宋体" w:hAnsi="宋体" w:cs="宋体"/>
                <w:color w:val="000000"/>
                <w:lang w:bidi="ar"/>
              </w:rPr>
              <w:t>（4）应急物资查询管理支持对当前页面的仓库总数、物资种类、物资总价和物资储量分析4项内容进行概览查看。</w:t>
            </w:r>
          </w:p>
          <w:p w14:paraId="25B2F22D">
            <w:pPr>
              <w:widowControl/>
              <w:textAlignment w:val="center"/>
              <w:rPr>
                <w:rFonts w:ascii="宋体" w:hAnsi="宋体" w:cs="宋体"/>
                <w:color w:val="000000"/>
                <w:lang w:bidi="ar"/>
              </w:rPr>
            </w:pPr>
            <w:r>
              <w:rPr>
                <w:rFonts w:hint="eastAsia" w:ascii="宋体" w:hAnsi="宋体" w:cs="宋体"/>
                <w:color w:val="000000"/>
                <w:lang w:bidi="ar"/>
              </w:rPr>
              <w:t>1.11基础数据</w:t>
            </w:r>
          </w:p>
          <w:p w14:paraId="4D6CDDA7">
            <w:pPr>
              <w:widowControl/>
              <w:textAlignment w:val="center"/>
              <w:rPr>
                <w:rFonts w:ascii="宋体" w:hAnsi="宋体" w:cs="宋体"/>
                <w:color w:val="000000"/>
                <w:lang w:bidi="ar"/>
              </w:rPr>
            </w:pPr>
            <w:r>
              <w:rPr>
                <w:rFonts w:hint="eastAsia" w:ascii="宋体" w:hAnsi="宋体" w:cs="宋体"/>
                <w:color w:val="000000"/>
                <w:lang w:bidi="ar"/>
              </w:rPr>
              <w:t>应支持新建、编辑和查询基础数据内容。包括：</w:t>
            </w:r>
          </w:p>
          <w:p w14:paraId="5F22A4A5">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（1）物资分类：支持利用分类编码等不少于2个检索条件对物资分类情况进行检索，同时支持新增物资分类、变更父节点、导出和导入分类信息以及历史分类数据的查看。</w:t>
            </w:r>
          </w:p>
          <w:p w14:paraId="7785F026">
            <w:pPr>
              <w:widowControl/>
              <w:textAlignment w:val="center"/>
              <w:rPr>
                <w:rFonts w:ascii="宋体" w:hAnsi="宋体" w:cs="宋体"/>
                <w:color w:val="000000"/>
                <w:lang w:bidi="ar"/>
              </w:rPr>
            </w:pPr>
            <w:r>
              <w:rPr>
                <w:rFonts w:hint="eastAsia" w:ascii="宋体" w:hAnsi="宋体" w:cs="宋体"/>
                <w:color w:val="000000"/>
                <w:lang w:bidi="ar"/>
              </w:rPr>
              <w:t>（2）平台分类：支持利用应用条线等不少于3个检索条件对平台分类信息进行检索；支持新增分类、变更父节点、数据导出与导入；同时支持历史分类信息的查看。</w:t>
            </w:r>
          </w:p>
          <w:p w14:paraId="5A8C1C47">
            <w:pPr>
              <w:widowControl/>
              <w:textAlignment w:val="center"/>
              <w:rPr>
                <w:rFonts w:ascii="宋体" w:hAnsi="宋体" w:cs="宋体"/>
                <w:color w:val="000000"/>
                <w:lang w:bidi="ar"/>
              </w:rPr>
            </w:pPr>
            <w:r>
              <w:rPr>
                <w:rFonts w:hint="eastAsia" w:ascii="宋体" w:hAnsi="宋体" w:cs="宋体"/>
                <w:color w:val="000000"/>
                <w:lang w:bidi="ar"/>
              </w:rPr>
              <w:t>（3）组织机构：支持利用机构编码等不少于5个检索条件对组织机构进行检索；支持新增组织机构；支持组织机构批量导入；支持数据导出功能；同时支持组织机构信息的查看。</w:t>
            </w:r>
          </w:p>
          <w:p w14:paraId="20725D9C">
            <w:pPr>
              <w:widowControl/>
              <w:textAlignment w:val="center"/>
              <w:rPr>
                <w:rFonts w:ascii="宋体" w:hAnsi="宋体" w:cs="宋体"/>
                <w:color w:val="000000"/>
                <w:lang w:bidi="ar"/>
              </w:rPr>
            </w:pPr>
            <w:r>
              <w:rPr>
                <w:rFonts w:hint="eastAsia" w:ascii="宋体" w:hAnsi="宋体" w:cs="宋体"/>
                <w:color w:val="000000"/>
                <w:lang w:bidi="ar"/>
              </w:rPr>
              <w:t>（4）四级地址：支持利用地址编码等2个检索条件对地址信息进行检索；支持地址的新增与导出；同时支持地址的停用。</w:t>
            </w:r>
          </w:p>
          <w:p w14:paraId="6C594924">
            <w:pPr>
              <w:widowControl/>
              <w:textAlignment w:val="center"/>
              <w:rPr>
                <w:rFonts w:ascii="宋体" w:hAnsi="宋体" w:cs="宋体"/>
                <w:color w:val="000000"/>
                <w:lang w:bidi="ar"/>
              </w:rPr>
            </w:pPr>
            <w:r>
              <w:rPr>
                <w:rFonts w:hint="eastAsia" w:ascii="宋体" w:hAnsi="宋体" w:cs="宋体"/>
                <w:color w:val="000000"/>
                <w:lang w:bidi="ar"/>
              </w:rPr>
              <w:t>（5）行政区划：支持利用行政区划编码等2个信息对行政区划进行筛选；同时支持行政区划的新增与导出。</w:t>
            </w:r>
          </w:p>
          <w:p w14:paraId="6DA546F4">
            <w:pPr>
              <w:widowControl/>
              <w:textAlignment w:val="center"/>
              <w:rPr>
                <w:rFonts w:ascii="宋体" w:hAnsi="宋体" w:cs="宋体"/>
                <w:color w:val="000000"/>
                <w:lang w:bidi="ar"/>
              </w:rPr>
            </w:pPr>
            <w:r>
              <w:rPr>
                <w:rFonts w:hint="eastAsia" w:ascii="宋体" w:hAnsi="宋体" w:cs="宋体"/>
                <w:color w:val="000000"/>
                <w:lang w:bidi="ar"/>
              </w:rPr>
              <w:t>（6）机构服务配置：支持利用机构编码等3个检索条件对机构服务进行检索；同时支持机构的编辑操作。</w:t>
            </w:r>
          </w:p>
          <w:p w14:paraId="6D4B6136">
            <w:pPr>
              <w:widowControl/>
              <w:textAlignment w:val="center"/>
              <w:rPr>
                <w:rFonts w:ascii="宋体" w:hAnsi="宋体" w:cs="宋体"/>
                <w:color w:val="000000"/>
                <w:lang w:bidi="ar"/>
              </w:rPr>
            </w:pPr>
            <w:r>
              <w:rPr>
                <w:rFonts w:hint="eastAsia" w:ascii="宋体" w:hAnsi="宋体" w:cs="宋体"/>
                <w:color w:val="000000"/>
                <w:lang w:bidi="ar"/>
              </w:rPr>
              <w:t>（7）个性化显示配置：支持配置个性化显示内容，可以对物资等信息进行部分筛选性的展示。</w:t>
            </w:r>
          </w:p>
          <w:p w14:paraId="79C9928E">
            <w:pPr>
              <w:widowControl/>
              <w:textAlignment w:val="center"/>
              <w:rPr>
                <w:rFonts w:ascii="宋体" w:hAnsi="宋体" w:cs="宋体"/>
                <w:color w:val="000000"/>
                <w:lang w:bidi="ar"/>
              </w:rPr>
            </w:pPr>
            <w:r>
              <w:rPr>
                <w:rFonts w:hint="eastAsia" w:ascii="宋体" w:hAnsi="宋体" w:cs="宋体"/>
                <w:color w:val="000000"/>
                <w:lang w:bidi="ar"/>
              </w:rPr>
              <w:t>（8）数据字典：支持利用字段类型编码等3个筛选条件对数据字典进行筛选；支持添加新的数据字典；支持对已有数据字典的编辑和删除。</w:t>
            </w:r>
          </w:p>
          <w:p w14:paraId="5C7FB503">
            <w:pPr>
              <w:widowControl/>
              <w:textAlignment w:val="center"/>
              <w:rPr>
                <w:rFonts w:ascii="宋体" w:hAnsi="宋体" w:cs="宋体"/>
                <w:color w:val="000000"/>
                <w:lang w:bidi="ar"/>
              </w:rPr>
            </w:pPr>
            <w:r>
              <w:rPr>
                <w:rFonts w:hint="eastAsia" w:ascii="宋体" w:hAnsi="宋体" w:cs="宋体"/>
                <w:color w:val="000000"/>
                <w:lang w:bidi="ar"/>
              </w:rPr>
              <w:t>（9）系统功能模块配置：支持利用应用系统等2个筛选条件对系统功能配置进行筛选；支持添加功能模块；支持对已有配置的编辑和删除。</w:t>
            </w:r>
          </w:p>
          <w:p w14:paraId="545790D2">
            <w:pPr>
              <w:widowControl/>
              <w:textAlignment w:val="center"/>
              <w:rPr>
                <w:rFonts w:ascii="宋体" w:hAnsi="宋体" w:cs="宋体"/>
                <w:color w:val="000000"/>
                <w:lang w:bidi="ar"/>
              </w:rPr>
            </w:pPr>
            <w:r>
              <w:rPr>
                <w:rFonts w:hint="eastAsia" w:ascii="宋体" w:hAnsi="宋体" w:cs="宋体"/>
                <w:color w:val="000000"/>
                <w:lang w:bidi="ar"/>
              </w:rPr>
              <w:t>（10）区域板块：支持利用区域板块名称等不少于3个筛选条件对区域板块进行筛选；支持新增区域板块信息；支持对已有区域板块进行查看、编辑或删除。</w:t>
            </w:r>
          </w:p>
          <w:p w14:paraId="445F7E23">
            <w:pPr>
              <w:widowControl/>
              <w:textAlignment w:val="center"/>
              <w:rPr>
                <w:rFonts w:ascii="宋体" w:hAnsi="宋体" w:cs="宋体"/>
                <w:color w:val="000000"/>
                <w:lang w:bidi="ar"/>
              </w:rPr>
            </w:pPr>
            <w:r>
              <w:rPr>
                <w:rFonts w:hint="eastAsia" w:ascii="宋体" w:hAnsi="宋体" w:cs="宋体"/>
                <w:color w:val="000000"/>
                <w:lang w:bidi="ar"/>
              </w:rPr>
              <w:t>2. 产品规格要求</w:t>
            </w:r>
          </w:p>
          <w:p w14:paraId="62243B72">
            <w:pPr>
              <w:widowControl/>
              <w:textAlignment w:val="center"/>
              <w:rPr>
                <w:rFonts w:ascii="宋体" w:hAnsi="宋体" w:cs="宋体"/>
                <w:color w:val="000000"/>
                <w:lang w:bidi="ar"/>
              </w:rPr>
            </w:pPr>
            <w:r>
              <w:rPr>
                <w:rFonts w:hint="eastAsia" w:ascii="宋体" w:hAnsi="宋体" w:cs="宋体"/>
                <w:color w:val="000000"/>
                <w:lang w:bidi="ar"/>
              </w:rPr>
              <w:t>（1）支持SAAS部署，含50个学员账号，5年升级运维服务。</w:t>
            </w:r>
          </w:p>
          <w:p w14:paraId="5E5E743C">
            <w:pPr>
              <w:widowControl/>
              <w:textAlignment w:val="center"/>
              <w:rPr>
                <w:rFonts w:ascii="宋体" w:hAnsi="宋体" w:cs="宋体"/>
                <w:color w:val="000000"/>
                <w:lang w:bidi="ar"/>
              </w:rPr>
            </w:pPr>
            <w:r>
              <w:rPr>
                <w:rFonts w:hint="eastAsia" w:ascii="宋体" w:hAnsi="宋体" w:cs="宋体"/>
                <w:color w:val="000000"/>
                <w:lang w:bidi="ar"/>
              </w:rPr>
              <w:t>3. 技术规格要求</w:t>
            </w:r>
          </w:p>
          <w:p w14:paraId="7EF1DC36">
            <w:pPr>
              <w:widowControl/>
              <w:textAlignment w:val="center"/>
              <w:rPr>
                <w:rFonts w:ascii="宋体" w:hAnsi="宋体" w:cs="宋体"/>
                <w:color w:val="000000"/>
                <w:lang w:bidi="ar"/>
              </w:rPr>
            </w:pPr>
            <w:r>
              <w:rPr>
                <w:rFonts w:hint="eastAsia" w:ascii="宋体" w:hAnsi="宋体" w:cs="宋体"/>
                <w:color w:val="000000"/>
                <w:lang w:bidi="ar"/>
              </w:rPr>
              <w:t>（1）需要采用主流微服务架构进行系统设计、开发和部署，便于系统扩展。</w:t>
            </w:r>
          </w:p>
          <w:p w14:paraId="546BA25D">
            <w:pPr>
              <w:widowControl/>
              <w:textAlignment w:val="center"/>
              <w:rPr>
                <w:rFonts w:ascii="宋体" w:hAnsi="宋体" w:cs="宋体"/>
                <w:color w:val="000000"/>
                <w:lang w:bidi="ar"/>
              </w:rPr>
            </w:pPr>
            <w:r>
              <w:rPr>
                <w:rFonts w:hint="eastAsia" w:ascii="宋体" w:hAnsi="宋体" w:cs="宋体"/>
                <w:color w:val="000000"/>
                <w:lang w:bidi="ar"/>
              </w:rPr>
              <w:t>（2）系统需要支持跨平台部署，并具有高速度、高性能、高安全性、高可靠性以及易扩充和拓展等特性。</w:t>
            </w:r>
          </w:p>
          <w:p w14:paraId="7A8C0C5F">
            <w:pPr>
              <w:widowControl/>
              <w:textAlignment w:val="center"/>
              <w:rPr>
                <w:rFonts w:ascii="宋体" w:hAnsi="宋体" w:cs="宋体"/>
                <w:color w:val="000000"/>
                <w:lang w:bidi="ar"/>
              </w:rPr>
            </w:pPr>
            <w:r>
              <w:rPr>
                <w:rFonts w:hint="eastAsia" w:ascii="宋体" w:hAnsi="宋体" w:cs="宋体"/>
                <w:color w:val="000000"/>
                <w:lang w:bidi="ar"/>
              </w:rPr>
              <w:t>（3）需要支持主流的关系型数据库，如mysql，具有亿级数据分库分表存储优化方案。</w:t>
            </w:r>
          </w:p>
          <w:p w14:paraId="3C9478CD">
            <w:pPr>
              <w:widowControl/>
              <w:textAlignment w:val="center"/>
              <w:rPr>
                <w:rFonts w:ascii="宋体" w:hAnsi="宋体" w:cs="宋体"/>
                <w:color w:val="000000"/>
                <w:lang w:bidi="ar"/>
              </w:rPr>
            </w:pPr>
            <w:r>
              <w:rPr>
                <w:rFonts w:hint="eastAsia" w:ascii="宋体" w:hAnsi="宋体" w:cs="宋体"/>
                <w:color w:val="000000"/>
                <w:lang w:bidi="ar"/>
              </w:rPr>
              <w:t>（4）系统需要支持整套敏感数据的保护机制，包括：数据库加密存储，数据脱敏等。</w:t>
            </w:r>
          </w:p>
          <w:p w14:paraId="29EADB92">
            <w:pPr>
              <w:widowControl/>
              <w:textAlignment w:val="center"/>
              <w:rPr>
                <w:rFonts w:ascii="宋体" w:hAnsi="宋体" w:cs="宋体"/>
                <w:color w:val="000000"/>
                <w:lang w:bidi="ar"/>
              </w:rPr>
            </w:pPr>
            <w:r>
              <w:rPr>
                <w:rFonts w:hint="eastAsia" w:ascii="宋体" w:hAnsi="宋体" w:cs="宋体"/>
                <w:color w:val="000000"/>
                <w:lang w:bidi="ar"/>
              </w:rPr>
              <w:t>（5）系统需要提供统一规范的数据访问接口，支持标准的https协议及严格的访问鉴权。</w:t>
            </w:r>
          </w:p>
          <w:p w14:paraId="791DE82B">
            <w:pPr>
              <w:widowControl/>
              <w:textAlignment w:val="center"/>
              <w:rPr>
                <w:rFonts w:ascii="宋体" w:hAnsi="宋体" w:cs="宋体"/>
                <w:color w:val="000000"/>
                <w:lang w:bidi="ar"/>
              </w:rPr>
            </w:pPr>
            <w:r>
              <w:rPr>
                <w:rFonts w:hint="eastAsia" w:ascii="宋体" w:hAnsi="宋体" w:cs="宋体"/>
                <w:color w:val="000000"/>
                <w:lang w:bidi="ar"/>
              </w:rPr>
              <w:t>（6）系统需要采用企业服务总线技术，以实现不同服务之间的通信和整合。利用企业服务总线技术，支持异构环境中的服务、消息以及基于事件的交互，并且具有适当的服务级别和可管理性。</w:t>
            </w:r>
          </w:p>
          <w:p w14:paraId="3F52BADA">
            <w:pPr>
              <w:widowControl/>
              <w:textAlignment w:val="center"/>
              <w:rPr>
                <w:rFonts w:ascii="宋体" w:hAnsi="宋体" w:cs="宋体"/>
                <w:color w:val="000000"/>
                <w:lang w:bidi="ar"/>
              </w:rPr>
            </w:pPr>
            <w:r>
              <w:rPr>
                <w:rFonts w:hint="eastAsia" w:ascii="宋体" w:hAnsi="宋体" w:cs="宋体"/>
                <w:color w:val="000000"/>
                <w:lang w:bidi="ar"/>
              </w:rPr>
              <w:t>（7）系统需要有统一数据服务架构。要求采用统一的数据服务架构：支持关系型数据库、非关系型数据库和分布式文件系统等数据存储方式，能根据需要对数据层进行进一步的封装，实现系统建设中数据源与数据访问之间解耦，数据访问与数据源分离后，形成“一体化”的统一的大数据存储和访问服务。</w:t>
            </w:r>
          </w:p>
          <w:p w14:paraId="28E4EAF6">
            <w:pPr>
              <w:widowControl/>
              <w:textAlignment w:val="center"/>
              <w:rPr>
                <w:rFonts w:ascii="宋体" w:hAnsi="宋体" w:cs="宋体"/>
                <w:color w:val="000000"/>
                <w:lang w:bidi="ar"/>
              </w:rPr>
            </w:pPr>
            <w:r>
              <w:rPr>
                <w:rFonts w:hint="eastAsia" w:ascii="宋体" w:hAnsi="宋体" w:cs="宋体"/>
                <w:color w:val="000000"/>
                <w:lang w:bidi="ar"/>
              </w:rPr>
              <w:t>（8）系统采用SAAS化部署，减少服务器等硬件基础设备采购成本，同时能够同步使用最新升级版软件；</w:t>
            </w:r>
          </w:p>
          <w:p w14:paraId="6C70C23E">
            <w:pPr>
              <w:widowControl/>
              <w:textAlignment w:val="center"/>
              <w:rPr>
                <w:rFonts w:ascii="宋体" w:hAnsi="宋体" w:cs="宋体"/>
                <w:color w:val="000000"/>
                <w:lang w:bidi="ar"/>
              </w:rPr>
            </w:pPr>
            <w:r>
              <w:rPr>
                <w:rFonts w:hint="eastAsia" w:ascii="宋体" w:hAnsi="宋体" w:cs="宋体"/>
                <w:color w:val="000000"/>
                <w:lang w:bidi="ar"/>
              </w:rPr>
              <w:t>（9）提供《软件著作权证书》并加盖公章。</w:t>
            </w:r>
          </w:p>
        </w:tc>
        <w:tc>
          <w:tcPr>
            <w:tcW w:w="620" w:type="dxa"/>
            <w:tcBorders>
              <w:top w:val="single" w:color="000000" w:sz="4" w:space="0"/>
              <w:left w:val="single" w:color="000000" w:sz="4" w:space="0"/>
              <w:bottom w:val="single" w:color="000000" w:sz="4" w:space="0"/>
              <w:right w:val="single" w:color="000000" w:sz="4" w:space="0"/>
            </w:tcBorders>
            <w:vAlign w:val="center"/>
          </w:tcPr>
          <w:p w14:paraId="47CF2A5A">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519B5013">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489546B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9AB7DF6">
            <w:pPr>
              <w:widowControl/>
              <w:jc w:val="center"/>
              <w:textAlignment w:val="center"/>
              <w:rPr>
                <w:rFonts w:ascii="宋体" w:hAnsi="宋体" w:cs="宋体"/>
                <w:color w:val="000000"/>
              </w:rPr>
            </w:pPr>
            <w:r>
              <w:rPr>
                <w:rFonts w:hint="eastAsia" w:ascii="宋体" w:hAnsi="宋体" w:cs="宋体"/>
                <w:color w:val="000000"/>
              </w:rPr>
              <w:t>54</w:t>
            </w:r>
          </w:p>
        </w:tc>
        <w:tc>
          <w:tcPr>
            <w:tcW w:w="1925" w:type="dxa"/>
            <w:gridSpan w:val="3"/>
            <w:tcBorders>
              <w:left w:val="single" w:color="000000" w:sz="4" w:space="0"/>
              <w:bottom w:val="single" w:color="000000" w:sz="4" w:space="0"/>
              <w:right w:val="single" w:color="000000" w:sz="4" w:space="0"/>
            </w:tcBorders>
            <w:vAlign w:val="center"/>
          </w:tcPr>
          <w:p w14:paraId="752E5CA5">
            <w:pPr>
              <w:widowControl/>
              <w:jc w:val="center"/>
              <w:textAlignment w:val="center"/>
              <w:rPr>
                <w:rFonts w:ascii="宋体" w:hAnsi="宋体" w:cs="宋体"/>
                <w:color w:val="000000"/>
                <w:lang w:bidi="ar"/>
              </w:rPr>
            </w:pPr>
            <w:r>
              <w:rPr>
                <w:rFonts w:hint="eastAsia" w:ascii="宋体" w:hAnsi="宋体" w:cs="宋体"/>
                <w:color w:val="000000"/>
                <w:lang w:bidi="ar"/>
              </w:rPr>
              <w:t>《应急物资供应链管理》课程</w:t>
            </w:r>
          </w:p>
        </w:tc>
        <w:tc>
          <w:tcPr>
            <w:tcW w:w="5430" w:type="dxa"/>
            <w:tcBorders>
              <w:top w:val="single" w:color="000000" w:sz="4" w:space="0"/>
              <w:left w:val="single" w:color="000000" w:sz="4" w:space="0"/>
              <w:bottom w:val="single" w:color="000000" w:sz="4" w:space="0"/>
              <w:right w:val="single" w:color="000000" w:sz="4" w:space="0"/>
            </w:tcBorders>
            <w:vAlign w:val="center"/>
          </w:tcPr>
          <w:p w14:paraId="039F11C6">
            <w:pPr>
              <w:widowControl/>
              <w:textAlignment w:val="center"/>
              <w:rPr>
                <w:rFonts w:ascii="宋体" w:hAnsi="宋体" w:cs="宋体"/>
                <w:color w:val="000000"/>
                <w:lang w:bidi="ar"/>
              </w:rPr>
            </w:pPr>
            <w:r>
              <w:rPr>
                <w:rFonts w:hint="eastAsia" w:ascii="宋体" w:hAnsi="宋体" w:cs="宋体"/>
                <w:color w:val="000000"/>
                <w:lang w:bidi="ar"/>
              </w:rPr>
              <w:t>1. 课程整体要求</w:t>
            </w:r>
          </w:p>
          <w:p w14:paraId="11B0EF2A">
            <w:pPr>
              <w:widowControl/>
              <w:textAlignment w:val="center"/>
              <w:rPr>
                <w:rFonts w:ascii="宋体" w:hAnsi="宋体" w:cs="宋体"/>
                <w:color w:val="000000"/>
                <w:lang w:bidi="ar"/>
              </w:rPr>
            </w:pPr>
            <w:r>
              <w:rPr>
                <w:rFonts w:hint="eastAsia" w:ascii="宋体" w:hAnsi="宋体" w:cs="宋体"/>
                <w:color w:val="000000"/>
                <w:lang w:bidi="ar"/>
              </w:rPr>
              <w:t>（1）《应急物资供应链管理》课程应与应急物资综合实践教学平台相结合，依托平台真实实践数据，培养学生能够应用平台实现应急物资“找得到、管得好、调得出、送得到、可追溯”的运营管理能力。</w:t>
            </w:r>
          </w:p>
          <w:p w14:paraId="34C00386">
            <w:pPr>
              <w:widowControl/>
              <w:textAlignment w:val="center"/>
              <w:rPr>
                <w:rFonts w:ascii="宋体" w:hAnsi="宋体" w:cs="宋体"/>
                <w:color w:val="000000"/>
                <w:lang w:bidi="ar"/>
              </w:rPr>
            </w:pPr>
            <w:r>
              <w:rPr>
                <w:rFonts w:hint="eastAsia" w:ascii="宋体" w:hAnsi="宋体" w:cs="宋体"/>
                <w:color w:val="000000"/>
                <w:lang w:bidi="ar"/>
              </w:rPr>
              <w:t>（2）课程应以应急物资供应链运营管理相关岗位对应的相关代表性工作任务和岗位职业能力分析为依据确定课程目标、设计课程内容，分别以应急物资供应链的工作任务和工作流程为线索进行设计，构建任务引领型的理实一体化课程。</w:t>
            </w:r>
          </w:p>
          <w:p w14:paraId="6C8F8029">
            <w:pPr>
              <w:widowControl/>
              <w:textAlignment w:val="center"/>
              <w:rPr>
                <w:rFonts w:ascii="宋体" w:hAnsi="宋体" w:cs="宋体"/>
                <w:color w:val="000000"/>
                <w:lang w:bidi="ar"/>
              </w:rPr>
            </w:pPr>
            <w:r>
              <w:rPr>
                <w:rFonts w:hint="eastAsia" w:ascii="宋体" w:hAnsi="宋体" w:cs="宋体"/>
                <w:color w:val="000000"/>
                <w:lang w:bidi="ar"/>
              </w:rPr>
              <w:t>（3）课程应包括应急物资的筹措、应急物资的储备、应急物资的分配、应急物资的调拨、应急物资的配送、应急物资的发放、应急物资的回收、平台运营数据管理、应急物资动态数据管理、大数据预测与预警管理、应急物资全程溯源管理、救援团队与社会力量信息化管理等相关任务。</w:t>
            </w:r>
          </w:p>
          <w:p w14:paraId="0D6D55D3">
            <w:pPr>
              <w:widowControl/>
              <w:textAlignment w:val="center"/>
              <w:rPr>
                <w:rFonts w:ascii="宋体" w:hAnsi="宋体" w:cs="宋体"/>
                <w:color w:val="000000"/>
                <w:lang w:bidi="ar"/>
              </w:rPr>
            </w:pPr>
            <w:r>
              <w:rPr>
                <w:rFonts w:hint="eastAsia" w:ascii="宋体" w:hAnsi="宋体" w:cs="宋体"/>
                <w:color w:val="000000"/>
                <w:lang w:bidi="ar"/>
              </w:rPr>
              <w:t>2. 课程资源要求</w:t>
            </w:r>
          </w:p>
          <w:p w14:paraId="7273BCF4">
            <w:pPr>
              <w:widowControl/>
              <w:textAlignment w:val="center"/>
              <w:rPr>
                <w:rFonts w:ascii="宋体" w:hAnsi="宋体" w:cs="宋体"/>
                <w:color w:val="000000"/>
                <w:lang w:bidi="ar"/>
              </w:rPr>
            </w:pPr>
            <w:r>
              <w:rPr>
                <w:rFonts w:hint="eastAsia" w:ascii="宋体" w:hAnsi="宋体" w:cs="宋体"/>
                <w:color w:val="000000"/>
                <w:lang w:bidi="ar"/>
              </w:rPr>
              <w:t>（1）课程资源要求：教材1套、课程标准1个、PPT不少于12个，总页数不少于400页、讲解视频不少于12个，总时长不少于300分钟、习题不少于100道。</w:t>
            </w:r>
          </w:p>
          <w:p w14:paraId="5100A1DD">
            <w:pPr>
              <w:widowControl/>
              <w:textAlignment w:val="center"/>
              <w:rPr>
                <w:rFonts w:ascii="宋体" w:hAnsi="宋体" w:cs="宋体"/>
                <w:color w:val="000000"/>
                <w:lang w:bidi="ar"/>
              </w:rPr>
            </w:pPr>
            <w:r>
              <w:rPr>
                <w:rFonts w:hint="eastAsia" w:ascii="宋体" w:hAnsi="宋体" w:cs="宋体"/>
                <w:color w:val="000000"/>
                <w:lang w:bidi="ar"/>
              </w:rPr>
              <w:t>3. 课程大纲</w:t>
            </w:r>
          </w:p>
          <w:p w14:paraId="6EA68EB6">
            <w:pPr>
              <w:widowControl/>
              <w:textAlignment w:val="center"/>
              <w:rPr>
                <w:rFonts w:ascii="宋体" w:hAnsi="宋体" w:cs="宋体"/>
                <w:color w:val="000000"/>
                <w:lang w:bidi="ar"/>
              </w:rPr>
            </w:pPr>
            <w:r>
              <w:rPr>
                <w:rFonts w:hint="eastAsia" w:ascii="宋体" w:hAnsi="宋体" w:cs="宋体"/>
                <w:color w:val="000000"/>
                <w:lang w:bidi="ar"/>
              </w:rPr>
              <w:t>项目一 应急物资的筹措与储备</w:t>
            </w:r>
          </w:p>
          <w:p w14:paraId="07685948">
            <w:pPr>
              <w:widowControl/>
              <w:textAlignment w:val="center"/>
              <w:rPr>
                <w:rFonts w:ascii="宋体" w:hAnsi="宋体" w:cs="宋体"/>
                <w:color w:val="000000"/>
                <w:lang w:bidi="ar"/>
              </w:rPr>
            </w:pPr>
            <w:r>
              <w:rPr>
                <w:rFonts w:hint="eastAsia" w:ascii="宋体" w:hAnsi="宋体" w:cs="宋体"/>
                <w:color w:val="000000"/>
                <w:lang w:bidi="ar"/>
              </w:rPr>
              <w:t>任务一 应急物资的筹措</w:t>
            </w:r>
          </w:p>
          <w:p w14:paraId="508322AB">
            <w:pPr>
              <w:widowControl/>
              <w:textAlignment w:val="center"/>
              <w:rPr>
                <w:rFonts w:ascii="宋体" w:hAnsi="宋体" w:cs="宋体"/>
                <w:color w:val="000000"/>
                <w:lang w:bidi="ar"/>
              </w:rPr>
            </w:pPr>
            <w:r>
              <w:rPr>
                <w:rFonts w:hint="eastAsia" w:ascii="宋体" w:hAnsi="宋体" w:cs="宋体"/>
                <w:color w:val="000000"/>
                <w:lang w:bidi="ar"/>
              </w:rPr>
              <w:t>任务内容应包括应急物资的分类、应急物资筹措途径、应急物资的采购策略等专业知识，并结合系统平台讲解应急物资筹措的工作要点、作业流程和作业过程。</w:t>
            </w:r>
          </w:p>
          <w:p w14:paraId="2F57BF65">
            <w:pPr>
              <w:widowControl/>
              <w:textAlignment w:val="center"/>
              <w:rPr>
                <w:rFonts w:ascii="宋体" w:hAnsi="宋体" w:cs="宋体"/>
                <w:color w:val="000000"/>
                <w:lang w:bidi="ar"/>
              </w:rPr>
            </w:pPr>
            <w:r>
              <w:rPr>
                <w:rFonts w:hint="eastAsia" w:ascii="宋体" w:hAnsi="宋体" w:cs="宋体"/>
                <w:color w:val="000000"/>
                <w:lang w:bidi="ar"/>
              </w:rPr>
              <w:t>任务二 应急物资的储备</w:t>
            </w:r>
          </w:p>
          <w:p w14:paraId="55F1F407">
            <w:pPr>
              <w:widowControl/>
              <w:textAlignment w:val="center"/>
              <w:rPr>
                <w:rFonts w:ascii="宋体" w:hAnsi="宋体" w:cs="宋体"/>
                <w:color w:val="000000"/>
                <w:lang w:bidi="ar"/>
              </w:rPr>
            </w:pPr>
            <w:r>
              <w:rPr>
                <w:rFonts w:hint="eastAsia" w:ascii="宋体" w:hAnsi="宋体" w:cs="宋体"/>
                <w:color w:val="000000"/>
                <w:lang w:bidi="ar"/>
              </w:rPr>
              <w:t>任务内容应包括应急物资储备含义及分类、应急物资储备体系建设要求、应急物资储备体系建设方法等专业知识，并结合系统平台讲解应急物资储备的工作要点、作业流程和作业过程。</w:t>
            </w:r>
          </w:p>
          <w:p w14:paraId="45353E12">
            <w:pPr>
              <w:widowControl/>
              <w:textAlignment w:val="center"/>
              <w:rPr>
                <w:rFonts w:ascii="宋体" w:hAnsi="宋体" w:cs="宋体"/>
                <w:color w:val="000000"/>
                <w:lang w:bidi="ar"/>
              </w:rPr>
            </w:pPr>
            <w:r>
              <w:rPr>
                <w:rFonts w:hint="eastAsia" w:ascii="宋体" w:hAnsi="宋体" w:cs="宋体"/>
                <w:color w:val="000000"/>
                <w:lang w:bidi="ar"/>
              </w:rPr>
              <w:t>项目二 应急物资的配置</w:t>
            </w:r>
          </w:p>
          <w:p w14:paraId="707F6B08">
            <w:pPr>
              <w:widowControl/>
              <w:textAlignment w:val="center"/>
              <w:rPr>
                <w:rFonts w:ascii="宋体" w:hAnsi="宋体" w:cs="宋体"/>
                <w:color w:val="000000"/>
                <w:lang w:bidi="ar"/>
              </w:rPr>
            </w:pPr>
            <w:r>
              <w:rPr>
                <w:rFonts w:hint="eastAsia" w:ascii="宋体" w:hAnsi="宋体" w:cs="宋体"/>
                <w:color w:val="000000"/>
                <w:lang w:bidi="ar"/>
              </w:rPr>
              <w:t>任务一应急物资的分配</w:t>
            </w:r>
          </w:p>
          <w:p w14:paraId="20739718">
            <w:pPr>
              <w:widowControl/>
              <w:textAlignment w:val="center"/>
              <w:rPr>
                <w:rFonts w:ascii="宋体" w:hAnsi="宋体" w:cs="宋体"/>
                <w:color w:val="000000"/>
                <w:lang w:bidi="ar"/>
              </w:rPr>
            </w:pPr>
            <w:r>
              <w:rPr>
                <w:rFonts w:hint="eastAsia" w:ascii="宋体" w:hAnsi="宋体" w:cs="宋体"/>
                <w:color w:val="000000"/>
                <w:lang w:bidi="ar"/>
              </w:rPr>
              <w:t>任务内容应包括应急物资分配方法、应急物资分配策略、应急物资分配特点等专业知识，并结合系统平台讲解应急物资分配的工作要点、作业流程和作业过程。</w:t>
            </w:r>
          </w:p>
          <w:p w14:paraId="450073E0">
            <w:pPr>
              <w:widowControl/>
              <w:textAlignment w:val="center"/>
              <w:rPr>
                <w:rFonts w:ascii="宋体" w:hAnsi="宋体" w:cs="宋体"/>
                <w:color w:val="000000"/>
                <w:lang w:bidi="ar"/>
              </w:rPr>
            </w:pPr>
            <w:r>
              <w:rPr>
                <w:rFonts w:hint="eastAsia" w:ascii="宋体" w:hAnsi="宋体" w:cs="宋体"/>
                <w:color w:val="000000"/>
                <w:lang w:bidi="ar"/>
              </w:rPr>
              <w:t>任务二 应急物资的调拨</w:t>
            </w:r>
          </w:p>
          <w:p w14:paraId="1B44FE6C">
            <w:pPr>
              <w:widowControl/>
              <w:textAlignment w:val="center"/>
              <w:rPr>
                <w:rFonts w:ascii="宋体" w:hAnsi="宋体" w:cs="宋体"/>
                <w:color w:val="000000"/>
                <w:lang w:bidi="ar"/>
              </w:rPr>
            </w:pPr>
            <w:r>
              <w:rPr>
                <w:rFonts w:hint="eastAsia" w:ascii="宋体" w:hAnsi="宋体" w:cs="宋体"/>
                <w:color w:val="000000"/>
                <w:lang w:bidi="ar"/>
              </w:rPr>
              <w:t>任务内容应包括应急物资调拨概念、应急物资调拨影响因素介绍等专业知识，并结合系统平台讲解应急物资调拨的工作要点、作业流程和作业过程。</w:t>
            </w:r>
          </w:p>
          <w:p w14:paraId="488748E0">
            <w:pPr>
              <w:widowControl/>
              <w:textAlignment w:val="center"/>
              <w:rPr>
                <w:rFonts w:ascii="宋体" w:hAnsi="宋体" w:cs="宋体"/>
                <w:color w:val="000000"/>
                <w:lang w:bidi="ar"/>
              </w:rPr>
            </w:pPr>
            <w:r>
              <w:rPr>
                <w:rFonts w:hint="eastAsia" w:ascii="宋体" w:hAnsi="宋体" w:cs="宋体"/>
                <w:color w:val="000000"/>
                <w:lang w:bidi="ar"/>
              </w:rPr>
              <w:t>任务三 应急物资的配送</w:t>
            </w:r>
          </w:p>
          <w:p w14:paraId="699F4D12">
            <w:pPr>
              <w:widowControl/>
              <w:textAlignment w:val="center"/>
              <w:rPr>
                <w:rFonts w:ascii="宋体" w:hAnsi="宋体" w:cs="宋体"/>
                <w:color w:val="000000"/>
                <w:lang w:bidi="ar"/>
              </w:rPr>
            </w:pPr>
            <w:r>
              <w:rPr>
                <w:rFonts w:hint="eastAsia" w:ascii="宋体" w:hAnsi="宋体" w:cs="宋体"/>
                <w:color w:val="000000"/>
                <w:lang w:bidi="ar"/>
              </w:rPr>
              <w:t>任务内容应包括应急物资配送方式、应急物资配送策略、应急物资配送特点、应急物资配送原则、应急物流通道建设等专业知识，并结合系统平台讲解应急物资配送的工作要点、作业流程和作业过程。</w:t>
            </w:r>
          </w:p>
          <w:p w14:paraId="4587B6C1">
            <w:pPr>
              <w:widowControl/>
              <w:textAlignment w:val="center"/>
              <w:rPr>
                <w:rFonts w:ascii="宋体" w:hAnsi="宋体" w:cs="宋体"/>
                <w:color w:val="000000"/>
                <w:lang w:bidi="ar"/>
              </w:rPr>
            </w:pPr>
            <w:r>
              <w:rPr>
                <w:rFonts w:hint="eastAsia" w:ascii="宋体" w:hAnsi="宋体" w:cs="宋体"/>
                <w:color w:val="000000"/>
                <w:lang w:bidi="ar"/>
              </w:rPr>
              <w:t>任务四 应急物资的发放</w:t>
            </w:r>
          </w:p>
          <w:p w14:paraId="0345D835">
            <w:pPr>
              <w:widowControl/>
              <w:textAlignment w:val="center"/>
              <w:rPr>
                <w:rFonts w:ascii="宋体" w:hAnsi="宋体" w:cs="宋体"/>
                <w:color w:val="000000"/>
                <w:lang w:bidi="ar"/>
              </w:rPr>
            </w:pPr>
            <w:r>
              <w:rPr>
                <w:rFonts w:hint="eastAsia" w:ascii="宋体" w:hAnsi="宋体" w:cs="宋体"/>
                <w:color w:val="000000"/>
                <w:lang w:bidi="ar"/>
              </w:rPr>
              <w:t>任务内容应包括应急物资发放的方法、应急物资发放策略、应急物资发放特点、应急物资发放原则等专业知识，并结合系统平台讲解应急物资发放的工作要点、作业流程和作业过程。</w:t>
            </w:r>
          </w:p>
          <w:p w14:paraId="49DE7277">
            <w:pPr>
              <w:widowControl/>
              <w:textAlignment w:val="center"/>
              <w:rPr>
                <w:rFonts w:ascii="宋体" w:hAnsi="宋体" w:cs="宋体"/>
                <w:color w:val="000000"/>
                <w:lang w:bidi="ar"/>
              </w:rPr>
            </w:pPr>
            <w:r>
              <w:rPr>
                <w:rFonts w:hint="eastAsia" w:ascii="宋体" w:hAnsi="宋体" w:cs="宋体"/>
                <w:color w:val="000000"/>
                <w:lang w:bidi="ar"/>
              </w:rPr>
              <w:t>任务五 应急物资的回收</w:t>
            </w:r>
          </w:p>
          <w:p w14:paraId="6EEF4096">
            <w:pPr>
              <w:widowControl/>
              <w:textAlignment w:val="center"/>
              <w:rPr>
                <w:rFonts w:ascii="宋体" w:hAnsi="宋体" w:cs="宋体"/>
                <w:color w:val="000000"/>
                <w:lang w:bidi="ar"/>
              </w:rPr>
            </w:pPr>
            <w:r>
              <w:rPr>
                <w:rFonts w:hint="eastAsia" w:ascii="宋体" w:hAnsi="宋体" w:cs="宋体"/>
                <w:color w:val="000000"/>
                <w:lang w:bidi="ar"/>
              </w:rPr>
              <w:t>任务内容应包括回收、发放的概念，以及可回收物资类别、回收管理暂行办法等专业知识，并结合系统平台讲解应急物资回收的工作要点、作业流程和作业过程。</w:t>
            </w:r>
          </w:p>
          <w:p w14:paraId="27468CFE">
            <w:pPr>
              <w:widowControl/>
              <w:textAlignment w:val="center"/>
              <w:rPr>
                <w:rFonts w:ascii="宋体" w:hAnsi="宋体" w:cs="宋体"/>
                <w:color w:val="000000"/>
                <w:lang w:bidi="ar"/>
              </w:rPr>
            </w:pPr>
            <w:r>
              <w:rPr>
                <w:rFonts w:hint="eastAsia" w:ascii="宋体" w:hAnsi="宋体" w:cs="宋体"/>
                <w:color w:val="000000"/>
                <w:lang w:bidi="ar"/>
              </w:rPr>
              <w:t>项目三 应急物资信息化管理</w:t>
            </w:r>
          </w:p>
          <w:p w14:paraId="25552E44">
            <w:pPr>
              <w:widowControl/>
              <w:textAlignment w:val="center"/>
              <w:rPr>
                <w:rFonts w:ascii="宋体" w:hAnsi="宋体" w:cs="宋体"/>
                <w:color w:val="000000"/>
                <w:lang w:bidi="ar"/>
              </w:rPr>
            </w:pPr>
            <w:r>
              <w:rPr>
                <w:rFonts w:hint="eastAsia" w:ascii="宋体" w:hAnsi="宋体" w:cs="宋体"/>
                <w:color w:val="000000"/>
                <w:lang w:bidi="ar"/>
              </w:rPr>
              <w:t>任务一 平台运营数据管理</w:t>
            </w:r>
          </w:p>
          <w:p w14:paraId="71D5E034">
            <w:pPr>
              <w:widowControl/>
              <w:textAlignment w:val="center"/>
              <w:rPr>
                <w:rFonts w:ascii="宋体" w:hAnsi="宋体" w:cs="宋体"/>
                <w:color w:val="000000"/>
                <w:lang w:bidi="ar"/>
              </w:rPr>
            </w:pPr>
            <w:r>
              <w:rPr>
                <w:rFonts w:hint="eastAsia" w:ascii="宋体" w:hAnsi="宋体" w:cs="宋体"/>
                <w:color w:val="000000"/>
                <w:lang w:bidi="ar"/>
              </w:rPr>
              <w:t>任务内容应包括平台数据与数据运营的含义、数据运营工作内容、分析方法、运营数据管理作用等专业知识，并结合系统平台讲解应急物资管理平台运营数据管理的操作事项和分析过程。</w:t>
            </w:r>
          </w:p>
          <w:p w14:paraId="028DFB03">
            <w:pPr>
              <w:widowControl/>
              <w:textAlignment w:val="center"/>
              <w:rPr>
                <w:rFonts w:ascii="宋体" w:hAnsi="宋体" w:cs="宋体"/>
                <w:color w:val="000000"/>
                <w:lang w:bidi="ar"/>
              </w:rPr>
            </w:pPr>
            <w:r>
              <w:rPr>
                <w:rFonts w:hint="eastAsia" w:ascii="宋体" w:hAnsi="宋体" w:cs="宋体"/>
                <w:color w:val="000000"/>
                <w:lang w:bidi="ar"/>
              </w:rPr>
              <w:t>任务二 应急物资动态数据管理</w:t>
            </w:r>
          </w:p>
          <w:p w14:paraId="2C4093C0">
            <w:pPr>
              <w:widowControl/>
              <w:textAlignment w:val="center"/>
              <w:rPr>
                <w:rFonts w:ascii="宋体" w:hAnsi="宋体" w:cs="宋体"/>
                <w:color w:val="000000"/>
                <w:lang w:bidi="ar"/>
              </w:rPr>
            </w:pPr>
            <w:r>
              <w:rPr>
                <w:rFonts w:hint="eastAsia" w:ascii="宋体" w:hAnsi="宋体" w:cs="宋体"/>
                <w:color w:val="000000"/>
                <w:lang w:bidi="ar"/>
              </w:rPr>
              <w:t>任务内容应包括应急物资动态数据管理的作用、大数据技术对应急动态数字化管理的作用等专业知识，并结合系统平台讲解应急物资动态数据管理的操作事项和操作过程。</w:t>
            </w:r>
          </w:p>
          <w:p w14:paraId="7EDCDD8C">
            <w:pPr>
              <w:widowControl/>
              <w:textAlignment w:val="center"/>
              <w:rPr>
                <w:rFonts w:ascii="宋体" w:hAnsi="宋体" w:cs="宋体"/>
                <w:color w:val="000000"/>
                <w:lang w:bidi="ar"/>
              </w:rPr>
            </w:pPr>
            <w:r>
              <w:rPr>
                <w:rFonts w:hint="eastAsia" w:ascii="宋体" w:hAnsi="宋体" w:cs="宋体"/>
                <w:color w:val="000000"/>
                <w:lang w:bidi="ar"/>
              </w:rPr>
              <w:t>任务三大数据预测与预警管理</w:t>
            </w:r>
          </w:p>
          <w:p w14:paraId="6EABA2BF">
            <w:pPr>
              <w:widowControl/>
              <w:textAlignment w:val="center"/>
              <w:rPr>
                <w:rFonts w:ascii="宋体" w:hAnsi="宋体" w:cs="宋体"/>
                <w:color w:val="000000"/>
                <w:lang w:bidi="ar"/>
              </w:rPr>
            </w:pPr>
            <w:r>
              <w:rPr>
                <w:rFonts w:hint="eastAsia" w:ascii="宋体" w:hAnsi="宋体" w:cs="宋体"/>
                <w:color w:val="000000"/>
                <w:lang w:bidi="ar"/>
              </w:rPr>
              <w:t>任务内容应包括预测方法与流程、灾害预警的概念、大数据灾害预警思维与技术、加强灾害预警工作的对策、应急预警信息发布痛点等专业知识，并结合系统平台讲解大数据预测与预警管理的操作事项和操作过程。</w:t>
            </w:r>
          </w:p>
          <w:p w14:paraId="50414877">
            <w:pPr>
              <w:widowControl/>
              <w:textAlignment w:val="center"/>
              <w:rPr>
                <w:rFonts w:ascii="宋体" w:hAnsi="宋体" w:cs="宋体"/>
                <w:color w:val="000000"/>
                <w:lang w:bidi="ar"/>
              </w:rPr>
            </w:pPr>
            <w:r>
              <w:rPr>
                <w:rFonts w:hint="eastAsia" w:ascii="宋体" w:hAnsi="宋体" w:cs="宋体"/>
                <w:color w:val="000000"/>
                <w:lang w:bidi="ar"/>
              </w:rPr>
              <w:t>任务四 应急物资全程溯源管理</w:t>
            </w:r>
          </w:p>
          <w:p w14:paraId="732C4851">
            <w:pPr>
              <w:widowControl/>
              <w:textAlignment w:val="center"/>
              <w:rPr>
                <w:rFonts w:ascii="宋体" w:hAnsi="宋体" w:cs="宋体"/>
                <w:color w:val="000000"/>
                <w:lang w:bidi="ar"/>
              </w:rPr>
            </w:pPr>
            <w:r>
              <w:rPr>
                <w:rFonts w:hint="eastAsia" w:ascii="宋体" w:hAnsi="宋体" w:cs="宋体"/>
                <w:color w:val="000000"/>
                <w:lang w:bidi="ar"/>
              </w:rPr>
              <w:t>任务内容应包括应急物资溯源的必要性、区块链技术简介、区块链在供应链溯源中的应用与价值、应急物资追溯系统等专业知识，并结合系统平台讲解应急物资全程溯源管理的操作事项和操作过程。</w:t>
            </w:r>
          </w:p>
          <w:p w14:paraId="15DE2986">
            <w:pPr>
              <w:widowControl/>
              <w:textAlignment w:val="center"/>
              <w:rPr>
                <w:rFonts w:ascii="宋体" w:hAnsi="宋体" w:cs="宋体"/>
                <w:color w:val="000000"/>
                <w:lang w:bidi="ar"/>
              </w:rPr>
            </w:pPr>
            <w:r>
              <w:rPr>
                <w:rFonts w:hint="eastAsia" w:ascii="宋体" w:hAnsi="宋体" w:cs="宋体"/>
                <w:color w:val="000000"/>
                <w:lang w:bidi="ar"/>
              </w:rPr>
              <w:t>任务五 救援团队与社会力量信息化管理</w:t>
            </w:r>
          </w:p>
          <w:p w14:paraId="2D042D28">
            <w:pPr>
              <w:widowControl/>
              <w:textAlignment w:val="center"/>
              <w:rPr>
                <w:rFonts w:ascii="宋体" w:hAnsi="宋体" w:cs="宋体"/>
                <w:color w:val="000000"/>
                <w:lang w:bidi="ar"/>
              </w:rPr>
            </w:pPr>
            <w:r>
              <w:rPr>
                <w:rFonts w:hint="eastAsia" w:ascii="宋体" w:hAnsi="宋体" w:cs="宋体"/>
                <w:color w:val="000000"/>
                <w:lang w:bidi="ar"/>
              </w:rPr>
              <w:t>任务内容应包括救援团队与社会力量概念和构成、社会应急救援力量发展中存在的问题等专业知识，并结合系统平台理实一体讲解救援团队与社会力量信息化管理的操作事项和操作过程。</w:t>
            </w:r>
          </w:p>
        </w:tc>
        <w:tc>
          <w:tcPr>
            <w:tcW w:w="620" w:type="dxa"/>
            <w:tcBorders>
              <w:top w:val="single" w:color="000000" w:sz="4" w:space="0"/>
              <w:left w:val="single" w:color="000000" w:sz="4" w:space="0"/>
              <w:bottom w:val="single" w:color="000000" w:sz="4" w:space="0"/>
              <w:right w:val="single" w:color="000000" w:sz="4" w:space="0"/>
            </w:tcBorders>
            <w:vAlign w:val="center"/>
          </w:tcPr>
          <w:p w14:paraId="35082713">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17BAD4A3">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648DA5A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38905CED">
            <w:pPr>
              <w:widowControl/>
              <w:jc w:val="center"/>
              <w:textAlignment w:val="center"/>
              <w:rPr>
                <w:rFonts w:ascii="宋体" w:hAnsi="宋体" w:cs="宋体"/>
                <w:color w:val="000000"/>
              </w:rPr>
            </w:pPr>
            <w:r>
              <w:rPr>
                <w:rFonts w:hint="eastAsia" w:ascii="宋体" w:hAnsi="宋体" w:cs="宋体"/>
                <w:color w:val="000000"/>
              </w:rPr>
              <w:t>55</w:t>
            </w:r>
          </w:p>
        </w:tc>
        <w:tc>
          <w:tcPr>
            <w:tcW w:w="1925" w:type="dxa"/>
            <w:gridSpan w:val="3"/>
            <w:tcBorders>
              <w:left w:val="single" w:color="000000" w:sz="4" w:space="0"/>
              <w:bottom w:val="single" w:color="000000" w:sz="4" w:space="0"/>
              <w:right w:val="single" w:color="000000" w:sz="4" w:space="0"/>
            </w:tcBorders>
            <w:vAlign w:val="center"/>
          </w:tcPr>
          <w:p w14:paraId="41F9671E">
            <w:pPr>
              <w:widowControl/>
              <w:jc w:val="center"/>
              <w:textAlignment w:val="center"/>
              <w:rPr>
                <w:rFonts w:ascii="宋体" w:hAnsi="宋体" w:cs="宋体"/>
                <w:color w:val="000000"/>
                <w:lang w:bidi="ar"/>
              </w:rPr>
            </w:pPr>
            <w:r>
              <w:rPr>
                <w:rFonts w:hint="eastAsia" w:ascii="宋体" w:hAnsi="宋体" w:cs="宋体"/>
                <w:color w:val="000000"/>
                <w:lang w:bidi="ar"/>
              </w:rPr>
              <w:t>自然灾害公共危机应急决策沙盘对抗比赛平台</w:t>
            </w:r>
          </w:p>
        </w:tc>
        <w:tc>
          <w:tcPr>
            <w:tcW w:w="5430" w:type="dxa"/>
            <w:tcBorders>
              <w:top w:val="single" w:color="000000" w:sz="4" w:space="0"/>
              <w:left w:val="single" w:color="000000" w:sz="4" w:space="0"/>
              <w:bottom w:val="single" w:color="000000" w:sz="4" w:space="0"/>
              <w:right w:val="single" w:color="000000" w:sz="4" w:space="0"/>
            </w:tcBorders>
            <w:vAlign w:val="center"/>
          </w:tcPr>
          <w:p w14:paraId="65885F6C">
            <w:pPr>
              <w:widowControl/>
              <w:textAlignment w:val="center"/>
              <w:rPr>
                <w:rFonts w:ascii="宋体" w:hAnsi="宋体" w:cs="宋体"/>
                <w:color w:val="000000"/>
                <w:lang w:bidi="ar"/>
              </w:rPr>
            </w:pPr>
            <w:r>
              <w:rPr>
                <w:rFonts w:hint="eastAsia" w:ascii="宋体" w:hAnsi="宋体" w:cs="宋体"/>
                <w:color w:val="000000"/>
                <w:lang w:bidi="ar"/>
              </w:rPr>
              <w:t>模块一：</w:t>
            </w:r>
          </w:p>
          <w:p w14:paraId="0FA813EF">
            <w:pPr>
              <w:widowControl/>
              <w:textAlignment w:val="center"/>
              <w:rPr>
                <w:rFonts w:hint="eastAsia" w:ascii="宋体" w:hAnsi="宋体" w:eastAsia="宋体" w:cs="宋体"/>
                <w:b/>
                <w:bCs/>
                <w:color w:val="000000"/>
                <w:highlight w:val="cyan"/>
                <w:lang w:eastAsia="zh-CN" w:bidi="ar"/>
              </w:rPr>
            </w:pPr>
            <w:r>
              <w:rPr>
                <w:rFonts w:hint="eastAsia" w:ascii="宋体" w:hAnsi="宋体" w:cs="宋体"/>
                <w:color w:val="000000"/>
                <w:lang w:bidi="ar"/>
              </w:rPr>
              <w:t>1、系统内通过后台自定义数据设置台风变化及发展背景信息、多个突发任务、评价指标体系，学生扮演各政府职能部门角色，通过控制人物移动和物品交互进行台风预警、隐患排查、应急响应及恢复重建等决策操作，最终根据灾情损失、受伤人数、死亡人数和社会满意度四个维度对学生进行评分；</w:t>
            </w:r>
          </w:p>
          <w:p w14:paraId="288A86C5">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2、软件需采用3D动画实景模拟的形式，支持学生通过角色扮演，模拟不同的职能部门以第三人称视角进入到指挥大厅、物资储备室等室内场景和室外城市情景中；</w:t>
            </w:r>
          </w:p>
          <w:p w14:paraId="7F0DC42E">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3、软件中需要包含预案模块，要求学生先对预案有一定了解才能开始实验，预案模块至少包含案例背景、小型台风响应流程、大型台风响应流程、监测预警、响应措施、应急保障等知识点考核，考核形式多样，包括连线、拖拽、选择、填空等多种形式；</w:t>
            </w:r>
          </w:p>
          <w:p w14:paraId="5406FB5E">
            <w:pPr>
              <w:widowControl/>
              <w:textAlignment w:val="center"/>
              <w:rPr>
                <w:rFonts w:ascii="宋体" w:hAnsi="宋体" w:cs="宋体"/>
                <w:color w:val="000000"/>
                <w:lang w:bidi="ar"/>
              </w:rPr>
            </w:pPr>
            <w:r>
              <w:rPr>
                <w:rFonts w:hint="eastAsia" w:ascii="宋体" w:hAnsi="宋体" w:cs="宋体"/>
                <w:color w:val="000000"/>
                <w:lang w:bidi="ar"/>
              </w:rPr>
              <w:t>4、软件支持现场状况360度全景呈现，案例中应包含居民楼、政府部门、公园、在建工地、地下车库、体育馆、消防局、学校、商业大楼等不少于100栋建筑；</w:t>
            </w:r>
          </w:p>
          <w:p w14:paraId="15141A4F">
            <w:pPr>
              <w:widowControl/>
              <w:textAlignment w:val="center"/>
              <w:rPr>
                <w:rFonts w:ascii="宋体" w:hAnsi="宋体" w:cs="宋体"/>
                <w:color w:val="000000"/>
                <w:lang w:bidi="ar"/>
              </w:rPr>
            </w:pPr>
            <w:r>
              <w:rPr>
                <w:rFonts w:hint="eastAsia" w:ascii="宋体" w:hAnsi="宋体" w:cs="宋体"/>
                <w:color w:val="000000"/>
                <w:lang w:bidi="ar"/>
              </w:rPr>
              <w:t>5、软件中应有贴近实际的动态效果及特效，包括：台风来临前后的晴雨、风力等天气状况变化；台风造成的树木摇晃、广告牌倾倒、花盆破损掉落等物品动态；人物维修、救援、清运等动作细节；</w:t>
            </w:r>
          </w:p>
          <w:p w14:paraId="2935FC8D">
            <w:pPr>
              <w:widowControl/>
              <w:textAlignment w:val="center"/>
              <w:rPr>
                <w:rFonts w:ascii="宋体" w:hAnsi="宋体" w:cs="宋体"/>
                <w:color w:val="000000"/>
                <w:lang w:bidi="ar"/>
              </w:rPr>
            </w:pPr>
            <w:r>
              <w:rPr>
                <w:rFonts w:hint="eastAsia" w:ascii="宋体" w:hAnsi="宋体" w:cs="宋体"/>
                <w:color w:val="000000"/>
                <w:lang w:bidi="ar"/>
              </w:rPr>
              <w:t>6、实验场景应包括微观、中观和宏观视角，在微观视角下学生以第三人称视角真实地模拟一个职能部门的人物角色在城市场景中跑动，探索操作，触发并完成危机事件处置任务；</w:t>
            </w:r>
          </w:p>
          <w:p w14:paraId="60B40DC2">
            <w:pPr>
              <w:widowControl/>
              <w:textAlignment w:val="center"/>
              <w:rPr>
                <w:rFonts w:ascii="宋体" w:hAnsi="宋体" w:cs="宋体"/>
                <w:color w:val="000000"/>
                <w:lang w:bidi="ar"/>
              </w:rPr>
            </w:pPr>
            <w:r>
              <w:rPr>
                <w:rFonts w:hint="eastAsia" w:ascii="宋体" w:hAnsi="宋体" w:cs="宋体"/>
                <w:color w:val="000000"/>
                <w:lang w:bidi="ar"/>
              </w:rPr>
              <w:t>7、实验场景应包括微观、中观和宏观视角，在中观视角下学生会详细查看某一栋楼的人员、物资、灾害、建筑脆弱性等相关信息，通过分析单栋建筑的数据情况和灾害变化，对单栋建筑进行维修、控制等特定操作；</w:t>
            </w:r>
          </w:p>
          <w:p w14:paraId="5024CE3C">
            <w:pPr>
              <w:widowControl/>
              <w:textAlignment w:val="center"/>
              <w:rPr>
                <w:rFonts w:ascii="宋体" w:hAnsi="宋体" w:cs="宋体"/>
                <w:color w:val="000000"/>
                <w:lang w:bidi="ar"/>
              </w:rPr>
            </w:pPr>
            <w:r>
              <w:rPr>
                <w:rFonts w:hint="eastAsia" w:ascii="宋体" w:hAnsi="宋体" w:cs="宋体"/>
                <w:color w:val="000000"/>
                <w:lang w:bidi="ar"/>
              </w:rPr>
              <w:t>8、实验场景应包括微观、中观和宏观视角，在宏观视角下学生会以俯视视角看到整体城市场景情况，通过全景地图查看小队位置、城市布局等信息，进行整体的资源调配和发布行动命令；</w:t>
            </w:r>
          </w:p>
          <w:p w14:paraId="79BCA5E9">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9、案例需要包含应急指挥组、综合宣发组、转移安置组、工程抢险组、治安保卫组、后勤保障组共6个部门角色；学生需要扮演不同的部门角色进行防台准备会议及分工、灾害隐患排查和治理、物资及避难场所配备、预警风险信息发布、应急响应及动员、人员转移及救助、灾情评估与恢复重建等覆盖事前、事中、事后三大阶段的突发事件全流程处理；</w:t>
            </w:r>
          </w:p>
          <w:p w14:paraId="73BBF2A0">
            <w:pPr>
              <w:widowControl/>
              <w:textAlignment w:val="center"/>
              <w:rPr>
                <w:rFonts w:ascii="宋体" w:hAnsi="宋体" w:cs="宋体"/>
                <w:color w:val="000000"/>
                <w:lang w:bidi="ar"/>
              </w:rPr>
            </w:pPr>
            <w:r>
              <w:rPr>
                <w:rFonts w:hint="eastAsia" w:ascii="宋体" w:hAnsi="宋体" w:cs="宋体"/>
                <w:color w:val="000000"/>
                <w:lang w:bidi="ar"/>
              </w:rPr>
              <w:t>10、系统需要采用灾情损失、受伤人数、死亡人数和社会满意度四个维度对学生的操作结果进行实时反馈；支持学生在实验进行过程中查看任务进度，知晓整体事件处置流程和当前任务完成状态。</w:t>
            </w:r>
          </w:p>
          <w:p w14:paraId="7D64BA3F">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11、软件需要提供详实的台风移动信息，包括经纬度、时间、气压、风力、风速、移向、移速等，并以动态效果图展示台风移动路径；</w:t>
            </w:r>
          </w:p>
          <w:p w14:paraId="372E253F">
            <w:pPr>
              <w:widowControl/>
              <w:textAlignment w:val="center"/>
              <w:rPr>
                <w:rFonts w:ascii="宋体" w:hAnsi="宋体" w:cs="宋体"/>
                <w:color w:val="000000"/>
                <w:lang w:bidi="ar"/>
              </w:rPr>
            </w:pPr>
            <w:r>
              <w:rPr>
                <w:rFonts w:hint="eastAsia" w:ascii="宋体" w:hAnsi="宋体" w:cs="宋体"/>
                <w:color w:val="000000"/>
                <w:lang w:bidi="ar"/>
              </w:rPr>
              <w:t>12、实验结束后系统需要根据学生实验操作情况生成实验报告，支持学生及老师查看下载实验报告；</w:t>
            </w:r>
          </w:p>
          <w:p w14:paraId="440C6B52">
            <w:pPr>
              <w:widowControl/>
              <w:textAlignment w:val="center"/>
              <w:rPr>
                <w:rFonts w:ascii="宋体" w:hAnsi="宋体" w:cs="宋体"/>
                <w:color w:val="000000"/>
                <w:lang w:bidi="ar"/>
              </w:rPr>
            </w:pPr>
            <w:r>
              <w:rPr>
                <w:rFonts w:hint="eastAsia" w:ascii="宋体" w:hAnsi="宋体" w:cs="宋体"/>
                <w:color w:val="000000"/>
                <w:lang w:bidi="ar"/>
              </w:rPr>
              <w:t>13、支持教师自定义软件的地图模型位置及建筑内人员类型，让学生在不同的城市模型及地理环境下体验危机处置的决策变化；</w:t>
            </w:r>
          </w:p>
          <w:p w14:paraId="3CACD830">
            <w:pPr>
              <w:widowControl/>
              <w:textAlignment w:val="center"/>
              <w:rPr>
                <w:rFonts w:ascii="宋体" w:hAnsi="宋体" w:cs="宋体"/>
                <w:color w:val="000000"/>
                <w:lang w:bidi="ar"/>
              </w:rPr>
            </w:pPr>
            <w:r>
              <w:rPr>
                <w:rFonts w:hint="eastAsia" w:ascii="宋体" w:hAnsi="宋体" w:cs="宋体"/>
                <w:color w:val="000000"/>
                <w:lang w:bidi="ar"/>
              </w:rPr>
              <w:t>14、支持教师自定义参与本次灾害处置的操作职能部门，并编辑部门的基础信息；</w:t>
            </w:r>
          </w:p>
          <w:p w14:paraId="19449251">
            <w:pPr>
              <w:widowControl/>
              <w:textAlignment w:val="center"/>
              <w:rPr>
                <w:rFonts w:ascii="宋体" w:hAnsi="宋体" w:cs="宋体"/>
                <w:color w:val="000000"/>
                <w:lang w:bidi="ar"/>
              </w:rPr>
            </w:pPr>
            <w:r>
              <w:rPr>
                <w:rFonts w:hint="eastAsia" w:ascii="宋体" w:hAnsi="宋体" w:cs="宋体"/>
                <w:color w:val="000000"/>
                <w:lang w:bidi="ar"/>
              </w:rPr>
              <w:t>15、支持教师自定义添加各部门参与台风灾害应急处置的小队信息，包括队伍名称、队伍人数、队伍属性、队伍位置等信息；</w:t>
            </w:r>
          </w:p>
          <w:p w14:paraId="5A58938A">
            <w:pPr>
              <w:widowControl/>
              <w:textAlignment w:val="center"/>
              <w:rPr>
                <w:rFonts w:ascii="宋体" w:hAnsi="宋体" w:cs="宋体"/>
                <w:color w:val="000000"/>
                <w:lang w:bidi="ar"/>
              </w:rPr>
            </w:pPr>
            <w:r>
              <w:rPr>
                <w:rFonts w:hint="eastAsia" w:ascii="宋体" w:hAnsi="宋体" w:cs="宋体"/>
                <w:color w:val="000000"/>
                <w:lang w:bidi="ar"/>
              </w:rPr>
              <w:t>16、支持教师自定义添加多个突发任务，每个任务可以有多个子任务，学生需要操作不同部门依次完成全部的子任务，多部门协作配合完成总任务；</w:t>
            </w:r>
          </w:p>
          <w:p w14:paraId="31EFBA2D">
            <w:pPr>
              <w:widowControl/>
              <w:textAlignment w:val="center"/>
              <w:rPr>
                <w:rFonts w:ascii="宋体" w:hAnsi="宋体" w:cs="宋体"/>
                <w:color w:val="000000"/>
                <w:lang w:bidi="ar"/>
              </w:rPr>
            </w:pPr>
            <w:r>
              <w:rPr>
                <w:rFonts w:hint="eastAsia" w:ascii="宋体" w:hAnsi="宋体" w:cs="宋体"/>
                <w:color w:val="000000"/>
                <w:lang w:bidi="ar"/>
              </w:rPr>
              <w:t>17、支持教师自定义实验时长，设置主任务的开始和结束时间；</w:t>
            </w:r>
          </w:p>
          <w:p w14:paraId="7BFB9B37">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18、教师可自定义实验得分的计算公式，让学生在不同指标侧重下进行实验，调整实验策略；</w:t>
            </w:r>
          </w:p>
          <w:p w14:paraId="630C7CB1">
            <w:pPr>
              <w:widowControl/>
              <w:textAlignment w:val="center"/>
              <w:rPr>
                <w:rFonts w:ascii="宋体" w:hAnsi="宋体" w:cs="宋体"/>
                <w:color w:val="000000"/>
                <w:lang w:bidi="ar"/>
              </w:rPr>
            </w:pPr>
            <w:r>
              <w:rPr>
                <w:rFonts w:hint="eastAsia" w:ascii="宋体" w:hAnsi="宋体" w:cs="宋体"/>
                <w:color w:val="000000"/>
                <w:lang w:bidi="ar"/>
              </w:rPr>
              <w:t>模块二：</w:t>
            </w:r>
          </w:p>
          <w:p w14:paraId="57ECDBEA">
            <w:pPr>
              <w:widowControl/>
              <w:textAlignment w:val="center"/>
              <w:rPr>
                <w:rFonts w:ascii="宋体" w:hAnsi="宋体" w:cs="宋体"/>
                <w:color w:val="000000"/>
                <w:lang w:bidi="ar"/>
              </w:rPr>
            </w:pPr>
            <w:r>
              <w:rPr>
                <w:rFonts w:hint="eastAsia" w:ascii="宋体" w:hAnsi="宋体" w:cs="宋体"/>
                <w:color w:val="000000"/>
                <w:lang w:bidi="ar"/>
              </w:rPr>
              <w:t>1、教师端网页版采用B/S架构，系统业务功能包含用户管理、实验分配、实验报告三个核心功能模块；</w:t>
            </w:r>
          </w:p>
          <w:p w14:paraId="64539325">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2、教师端包含：用户管理、分配实验、实验报告等：用户管理教师可添加实验班级，对班级学生进行导入、编辑和删除操作；分配实验可针对实验班级进行选择；实验形式分为集中实验和自由练习两种模式：自由练习模式下可自由设置实验开始和结束时间，在实验时间范围内，学生可以进行多次重复实验；集中实验单人模式下，在实验时间范围内，学生仅可进行一次实验；分配日志包含：案例名称、实验名称、分配时间、实验形式、实验班级、实验状态等信息，教师删除已结束和未开始实验；实验报告包含：案例名称、实验名称、实验形式、分配时间、参与评委、班级、操作等，展示该账号管理班级下分配的所有实验数据，可查看某场实验中所参与学生的成绩排名并下载实验报告；</w:t>
            </w:r>
          </w:p>
          <w:p w14:paraId="6F3B4AAF">
            <w:pPr>
              <w:widowControl/>
              <w:textAlignment w:val="center"/>
              <w:rPr>
                <w:rFonts w:ascii="宋体" w:hAnsi="宋体" w:cs="宋体"/>
                <w:color w:val="000000"/>
                <w:lang w:bidi="ar"/>
              </w:rPr>
            </w:pPr>
            <w:r>
              <w:rPr>
                <w:rFonts w:hint="eastAsia" w:ascii="宋体" w:hAnsi="宋体" w:cs="宋体"/>
                <w:color w:val="000000"/>
                <w:lang w:bidi="ar"/>
              </w:rPr>
              <w:t>3、学生通过角色扮演的方式完成事件处置，具体包括：发布应急响应、新闻发布、选择安置区、救援埋压人员、救治伤员、安置区伤员处置、维修通讯设施、安置区卫生保障、设置水源保护点、管控暴乱民众、新闻发布会、灾区短期恢复；</w:t>
            </w:r>
          </w:p>
          <w:p w14:paraId="1D167294">
            <w:pPr>
              <w:widowControl/>
              <w:textAlignment w:val="center"/>
              <w:rPr>
                <w:rFonts w:ascii="宋体" w:hAnsi="宋体" w:cs="宋体"/>
                <w:color w:val="000000"/>
                <w:lang w:bidi="ar"/>
              </w:rPr>
            </w:pPr>
            <w:r>
              <w:rPr>
                <w:rFonts w:hint="eastAsia" w:ascii="宋体" w:hAnsi="宋体" w:cs="宋体"/>
                <w:color w:val="000000"/>
                <w:lang w:bidi="ar"/>
              </w:rPr>
              <w:t>4、软件采用3D实景模拟的形式，以真实发生的事件为背景进行建模，包括损坏建筑、通讯设施、救援帐篷、救援人员、警戒岗亭等模型；</w:t>
            </w:r>
          </w:p>
          <w:p w14:paraId="1FB1CC13">
            <w:pPr>
              <w:widowControl/>
              <w:textAlignment w:val="center"/>
              <w:rPr>
                <w:rFonts w:ascii="宋体" w:hAnsi="宋体" w:cs="宋体"/>
                <w:color w:val="000000"/>
                <w:lang w:bidi="ar"/>
              </w:rPr>
            </w:pPr>
            <w:r>
              <w:rPr>
                <w:rFonts w:hint="eastAsia" w:ascii="宋体" w:hAnsi="宋体" w:cs="宋体"/>
                <w:color w:val="000000"/>
                <w:lang w:bidi="ar"/>
              </w:rPr>
              <w:t>5、软件到达指定地点后则触发相应情景，让学生对整体流程有直观地了解。</w:t>
            </w:r>
          </w:p>
          <w:p w14:paraId="2C81C5B2">
            <w:pPr>
              <w:widowControl/>
              <w:textAlignment w:val="center"/>
              <w:rPr>
                <w:rFonts w:ascii="宋体" w:hAnsi="宋体" w:cs="宋体"/>
                <w:color w:val="000000"/>
                <w:lang w:bidi="ar"/>
              </w:rPr>
            </w:pPr>
            <w:r>
              <w:rPr>
                <w:rFonts w:hint="eastAsia" w:ascii="宋体" w:hAnsi="宋体" w:cs="宋体"/>
                <w:color w:val="000000"/>
                <w:lang w:bidi="ar"/>
              </w:rPr>
              <w:t>6、软件支持学生以第三人称视角操作人物前往安置点、应急指挥部、水源等室内和室外场景；</w:t>
            </w:r>
          </w:p>
          <w:p w14:paraId="54BD6C04">
            <w:pPr>
              <w:widowControl/>
              <w:textAlignment w:val="center"/>
              <w:rPr>
                <w:rFonts w:ascii="宋体" w:hAnsi="宋体" w:cs="宋体"/>
                <w:color w:val="000000"/>
                <w:lang w:bidi="ar"/>
              </w:rPr>
            </w:pPr>
            <w:r>
              <w:rPr>
                <w:rFonts w:hint="eastAsia" w:ascii="宋体" w:hAnsi="宋体" w:cs="宋体"/>
                <w:color w:val="000000"/>
                <w:lang w:bidi="ar"/>
              </w:rPr>
              <w:t>7、软件包含可视化的数据面板，显示任务状态等功能信息；</w:t>
            </w:r>
          </w:p>
          <w:p w14:paraId="0A38C844">
            <w:pPr>
              <w:widowControl/>
              <w:textAlignment w:val="center"/>
              <w:rPr>
                <w:rFonts w:ascii="宋体" w:hAnsi="宋体" w:cs="宋体"/>
                <w:color w:val="000000"/>
                <w:lang w:bidi="ar"/>
              </w:rPr>
            </w:pPr>
            <w:r>
              <w:rPr>
                <w:rFonts w:hint="eastAsia" w:ascii="宋体" w:hAnsi="宋体" w:cs="宋体"/>
                <w:color w:val="000000"/>
                <w:lang w:bidi="ar"/>
              </w:rPr>
              <w:t>8、软件包含丰富的引导及提示内容，同时事件及任务完成状态可自动提醒；</w:t>
            </w:r>
          </w:p>
          <w:p w14:paraId="36422903">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9、考察点的多样性，系统具备专业的知识考察点，对应任务具有不同的关联考点需要学生完成；</w:t>
            </w:r>
          </w:p>
          <w:p w14:paraId="586A40B5">
            <w:pPr>
              <w:widowControl/>
              <w:textAlignment w:val="center"/>
              <w:rPr>
                <w:rFonts w:ascii="宋体" w:hAnsi="宋体" w:cs="宋体"/>
                <w:color w:val="000000"/>
                <w:lang w:bidi="ar"/>
              </w:rPr>
            </w:pPr>
            <w:r>
              <w:rPr>
                <w:rFonts w:hint="eastAsia" w:ascii="宋体" w:hAnsi="宋体" w:cs="宋体"/>
                <w:color w:val="000000"/>
                <w:lang w:bidi="ar"/>
              </w:rPr>
              <w:t>10、系统对学生的操作、实际操作的效果、知识考点的准确率进行智能评价评分；</w:t>
            </w:r>
          </w:p>
          <w:p w14:paraId="5DE6F330">
            <w:pPr>
              <w:widowControl/>
              <w:textAlignment w:val="center"/>
              <w:rPr>
                <w:rFonts w:ascii="宋体" w:hAnsi="宋体" w:cs="宋体"/>
                <w:color w:val="000000"/>
                <w:lang w:bidi="ar"/>
              </w:rPr>
            </w:pPr>
            <w:r>
              <w:rPr>
                <w:rFonts w:hint="eastAsia" w:ascii="宋体" w:hAnsi="宋体" w:cs="宋体"/>
                <w:color w:val="000000"/>
                <w:lang w:bidi="ar"/>
              </w:rPr>
              <w:t>11、实验结束后自动生成实验报告，可供学生和教师查看下载；</w:t>
            </w:r>
          </w:p>
        </w:tc>
        <w:tc>
          <w:tcPr>
            <w:tcW w:w="620" w:type="dxa"/>
            <w:tcBorders>
              <w:top w:val="single" w:color="000000" w:sz="4" w:space="0"/>
              <w:left w:val="single" w:color="000000" w:sz="4" w:space="0"/>
              <w:bottom w:val="single" w:color="000000" w:sz="4" w:space="0"/>
              <w:right w:val="single" w:color="000000" w:sz="4" w:space="0"/>
            </w:tcBorders>
            <w:vAlign w:val="center"/>
          </w:tcPr>
          <w:p w14:paraId="139EBF3F">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4599A558">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63038B7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8A82945">
            <w:pPr>
              <w:widowControl/>
              <w:jc w:val="center"/>
              <w:textAlignment w:val="center"/>
              <w:rPr>
                <w:rFonts w:ascii="宋体" w:hAnsi="宋体" w:cs="宋体"/>
                <w:color w:val="000000"/>
              </w:rPr>
            </w:pPr>
            <w:r>
              <w:rPr>
                <w:rFonts w:hint="eastAsia" w:ascii="宋体" w:hAnsi="宋体" w:cs="宋体"/>
                <w:color w:val="000000"/>
              </w:rPr>
              <w:t>56</w:t>
            </w:r>
          </w:p>
        </w:tc>
        <w:tc>
          <w:tcPr>
            <w:tcW w:w="1925" w:type="dxa"/>
            <w:gridSpan w:val="3"/>
            <w:tcBorders>
              <w:left w:val="single" w:color="000000" w:sz="4" w:space="0"/>
              <w:bottom w:val="single" w:color="000000" w:sz="4" w:space="0"/>
              <w:right w:val="single" w:color="000000" w:sz="4" w:space="0"/>
            </w:tcBorders>
            <w:vAlign w:val="center"/>
          </w:tcPr>
          <w:p w14:paraId="27829C07">
            <w:pPr>
              <w:widowControl/>
              <w:jc w:val="center"/>
              <w:textAlignment w:val="center"/>
              <w:rPr>
                <w:rFonts w:ascii="宋体" w:hAnsi="宋体" w:cs="宋体"/>
                <w:color w:val="000000"/>
                <w:lang w:bidi="ar"/>
              </w:rPr>
            </w:pPr>
            <w:r>
              <w:rPr>
                <w:rFonts w:hint="eastAsia" w:ascii="宋体" w:hAnsi="宋体" w:cs="宋体"/>
                <w:color w:val="000000"/>
                <w:lang w:bidi="ar"/>
              </w:rPr>
              <w:t>配套定制服务器</w:t>
            </w:r>
          </w:p>
        </w:tc>
        <w:tc>
          <w:tcPr>
            <w:tcW w:w="5430" w:type="dxa"/>
            <w:tcBorders>
              <w:top w:val="single" w:color="000000" w:sz="4" w:space="0"/>
              <w:left w:val="single" w:color="000000" w:sz="4" w:space="0"/>
              <w:bottom w:val="single" w:color="000000" w:sz="4" w:space="0"/>
              <w:right w:val="single" w:color="000000" w:sz="4" w:space="0"/>
            </w:tcBorders>
            <w:vAlign w:val="center"/>
          </w:tcPr>
          <w:p w14:paraId="70663EA8">
            <w:pPr>
              <w:widowControl/>
              <w:textAlignment w:val="center"/>
              <w:rPr>
                <w:rFonts w:ascii="宋体" w:hAnsi="宋体" w:cs="宋体"/>
                <w:color w:val="000000"/>
                <w:lang w:bidi="ar"/>
              </w:rPr>
            </w:pPr>
            <w:r>
              <w:rPr>
                <w:rFonts w:hint="eastAsia" w:ascii="宋体" w:hAnsi="宋体" w:cs="宋体"/>
                <w:color w:val="000000"/>
                <w:lang w:bidi="ar"/>
              </w:rPr>
              <w:t>机架式：≥2×Intel至强铜牌3206R 1.9G/32G DDR4 ECC/480G 2.5 企业级SATA SSD/ 板载阵列卡/ 2x550W电源/双口千兆网卡/标配导轨</w:t>
            </w:r>
          </w:p>
        </w:tc>
        <w:tc>
          <w:tcPr>
            <w:tcW w:w="620" w:type="dxa"/>
            <w:tcBorders>
              <w:top w:val="single" w:color="000000" w:sz="4" w:space="0"/>
              <w:left w:val="single" w:color="000000" w:sz="4" w:space="0"/>
              <w:bottom w:val="single" w:color="000000" w:sz="4" w:space="0"/>
              <w:right w:val="single" w:color="000000" w:sz="4" w:space="0"/>
            </w:tcBorders>
            <w:vAlign w:val="center"/>
          </w:tcPr>
          <w:p w14:paraId="205C9058">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550" w:type="dxa"/>
            <w:tcBorders>
              <w:top w:val="single" w:color="000000" w:sz="4" w:space="0"/>
              <w:left w:val="single" w:color="000000" w:sz="4" w:space="0"/>
              <w:bottom w:val="single" w:color="000000" w:sz="4" w:space="0"/>
              <w:right w:val="single" w:color="000000" w:sz="4" w:space="0"/>
            </w:tcBorders>
            <w:vAlign w:val="center"/>
          </w:tcPr>
          <w:p w14:paraId="415C4E4F">
            <w:pPr>
              <w:widowControl/>
              <w:jc w:val="center"/>
              <w:textAlignment w:val="center"/>
              <w:rPr>
                <w:rFonts w:ascii="宋体" w:hAnsi="宋体" w:cs="宋体"/>
                <w:color w:val="000000"/>
                <w:lang w:bidi="ar"/>
              </w:rPr>
            </w:pPr>
            <w:r>
              <w:rPr>
                <w:rFonts w:hint="eastAsia" w:ascii="宋体" w:hAnsi="宋体" w:cs="宋体"/>
                <w:color w:val="000000"/>
                <w:lang w:bidi="ar"/>
              </w:rPr>
              <w:t>台</w:t>
            </w:r>
          </w:p>
        </w:tc>
      </w:tr>
    </w:tbl>
    <w:p w14:paraId="6FA567E0">
      <w:pPr>
        <w:pBdr>
          <w:top w:val="none" w:color="000000" w:sz="0" w:space="0"/>
          <w:left w:val="none" w:color="000000" w:sz="0" w:space="0"/>
          <w:bottom w:val="none" w:color="000000" w:sz="0" w:space="0"/>
          <w:right w:val="none" w:color="000000" w:sz="0" w:space="0"/>
        </w:pBdr>
        <w:spacing w:line="85" w:lineRule="atLeast"/>
        <w:rPr>
          <w:b/>
          <w:bCs/>
          <w:sz w:val="24"/>
          <w:szCs w:val="24"/>
        </w:rPr>
      </w:pPr>
    </w:p>
    <w:p w14:paraId="001CF093">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ascii="宋体" w:hAnsi="宋体" w:eastAsia="宋体" w:cs="宋体"/>
          <w:color w:val="000000"/>
          <w:sz w:val="24"/>
          <w:szCs w:val="24"/>
          <w:lang w:val="en-US" w:eastAsia="zh-CN" w:bidi="ar-SA"/>
        </w:rPr>
      </w:pPr>
      <w:r>
        <w:rPr>
          <w:rFonts w:hint="eastAsia" w:ascii="宋体" w:hAnsi="宋体" w:cs="宋体"/>
          <w:b/>
          <w:bCs/>
          <w:color w:val="000000"/>
          <w:sz w:val="24"/>
          <w:szCs w:val="24"/>
          <w:lang w:val="en-US" w:eastAsia="zh-CN"/>
        </w:rPr>
        <w:t>（三）现场勘查：</w:t>
      </w:r>
    </w:p>
    <w:p w14:paraId="4889FCF4">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因本项目涉及环境改造与综合布局</w:t>
      </w:r>
      <w:r>
        <w:rPr>
          <w:rFonts w:ascii="宋体" w:hAnsi="宋体" w:eastAsia="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请投标人自行进行现场考察。采购人会提供必要的协助，让投标人充分了解现场情况。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p>
    <w:p w14:paraId="706672D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b/>
          <w:bCs/>
          <w:sz w:val="24"/>
          <w:szCs w:val="24"/>
        </w:rPr>
      </w:pPr>
      <w:r>
        <w:rPr>
          <w:rFonts w:hint="eastAsia" w:ascii="宋体" w:hAnsi="宋体" w:eastAsia="宋体" w:cs="宋体"/>
          <w:color w:val="000000"/>
          <w:sz w:val="24"/>
          <w:szCs w:val="24"/>
          <w:lang w:val="en-US" w:eastAsia="zh-CN" w:bidi="ar-SA"/>
        </w:rPr>
        <w:t>因投标人自身原因未现场考察或现场考察不全面的，中标后不得因此提出修改投标报价或提出索赔等要求，不得以此为由拒绝签署合同或履行所约定的各项义务。在项目履约过</w:t>
      </w:r>
      <w:r>
        <w:rPr>
          <w:rFonts w:hint="eastAsia" w:ascii="宋体" w:hAnsi="宋体" w:cs="宋体"/>
          <w:color w:val="000000"/>
          <w:sz w:val="24"/>
          <w:szCs w:val="24"/>
          <w:lang w:val="en-US" w:eastAsia="zh-CN" w:bidi="ar-SA"/>
        </w:rPr>
        <w:t>程中</w:t>
      </w:r>
      <w:r>
        <w:rPr>
          <w:rFonts w:hint="eastAsia" w:ascii="宋体" w:hAnsi="宋体" w:eastAsia="宋体" w:cs="宋体"/>
          <w:color w:val="000000"/>
          <w:sz w:val="24"/>
          <w:szCs w:val="24"/>
          <w:lang w:val="en-US" w:eastAsia="zh-CN" w:bidi="ar-SA"/>
        </w:rPr>
        <w:t>无法满足采购人实际需要的，造成的所有损失由中标人自行承担并承担一切法律责任。</w:t>
      </w:r>
    </w:p>
    <w:p w14:paraId="7FA95C13">
      <w:pPr>
        <w:rPr>
          <w:sz w:val="24"/>
          <w:szCs w:val="24"/>
        </w:rPr>
      </w:pPr>
    </w:p>
    <w:p w14:paraId="727A5EA2">
      <w:pPr>
        <w:spacing w:line="360" w:lineRule="auto"/>
        <w:ind w:firstLine="602" w:firstLineChars="200"/>
        <w:rPr>
          <w:rFonts w:ascii="宋体" w:hAnsi="宋体"/>
          <w:b/>
          <w:color w:val="000000"/>
          <w:sz w:val="30"/>
          <w:szCs w:val="30"/>
        </w:rPr>
      </w:pPr>
      <w:r>
        <w:rPr>
          <w:rFonts w:hint="eastAsia" w:ascii="宋体" w:hAnsi="宋体"/>
          <w:b/>
          <w:color w:val="000000"/>
          <w:sz w:val="30"/>
          <w:szCs w:val="30"/>
        </w:rPr>
        <w:t>第二部分  有关说明</w:t>
      </w:r>
    </w:p>
    <w:p w14:paraId="3EA64E8B">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投标总报价包括满足本项目要求的所有产品及其配件、包装、运输、安装调试及售后服务等从项目中标起到项目正式交付以及质保期内所发生的一切费用。</w:t>
      </w:r>
    </w:p>
    <w:p w14:paraId="654A444A">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通过中国海关报关验放进入中国境内且产自境外的产品不在本项目的报价范围。</w:t>
      </w:r>
    </w:p>
    <w:p w14:paraId="5A94EAA8">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bCs/>
          <w:color w:val="000000"/>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89FCE8A">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cs="宋体"/>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5B31BFBA">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投标人必须在满足招标文件要求的基础上进行报价，如有技术偏离请于投标偏离表中说明。</w:t>
      </w:r>
    </w:p>
    <w:p w14:paraId="032D4405">
      <w:pPr>
        <w:numPr>
          <w:ilvl w:val="1"/>
          <w:numId w:val="6"/>
        </w:numPr>
        <w:tabs>
          <w:tab w:val="left" w:pos="525"/>
          <w:tab w:val="left" w:pos="630"/>
          <w:tab w:val="left" w:pos="735"/>
          <w:tab w:val="left" w:pos="945"/>
          <w:tab w:val="clear" w:pos="780"/>
        </w:tabs>
        <w:spacing w:line="360" w:lineRule="auto"/>
        <w:rPr>
          <w:rFonts w:ascii="宋体" w:hAnsi="宋体"/>
          <w:bCs/>
          <w:sz w:val="24"/>
          <w:szCs w:val="24"/>
          <w:highlight w:val="none"/>
        </w:rPr>
      </w:pPr>
      <w:r>
        <w:rPr>
          <w:rFonts w:hint="eastAsia" w:ascii="宋体" w:hAnsi="宋体"/>
          <w:bCs/>
          <w:sz w:val="24"/>
          <w:szCs w:val="24"/>
          <w:highlight w:val="none"/>
        </w:rPr>
        <w:t xml:space="preserve"> 项目工期：合同签订之日起</w:t>
      </w:r>
      <w:r>
        <w:rPr>
          <w:rFonts w:ascii="宋体" w:hAnsi="宋体"/>
          <w:bCs/>
          <w:sz w:val="24"/>
          <w:szCs w:val="24"/>
          <w:highlight w:val="none"/>
        </w:rPr>
        <w:t>30</w:t>
      </w:r>
      <w:r>
        <w:rPr>
          <w:rFonts w:hint="eastAsia" w:ascii="宋体" w:hAnsi="宋体"/>
          <w:bCs/>
          <w:sz w:val="24"/>
          <w:szCs w:val="24"/>
          <w:highlight w:val="none"/>
        </w:rPr>
        <w:t>天内完成本项目的供货、安装、调试。</w:t>
      </w:r>
    </w:p>
    <w:p w14:paraId="5A0E153C">
      <w:pPr>
        <w:numPr>
          <w:ilvl w:val="1"/>
          <w:numId w:val="6"/>
        </w:numPr>
        <w:tabs>
          <w:tab w:val="left" w:pos="426"/>
          <w:tab w:val="left" w:pos="525"/>
          <w:tab w:val="clear" w:pos="780"/>
        </w:tabs>
        <w:spacing w:line="360" w:lineRule="auto"/>
        <w:ind w:left="0" w:firstLine="420"/>
        <w:rPr>
          <w:rFonts w:ascii="宋体" w:hAnsi="宋体"/>
          <w:bCs/>
          <w:sz w:val="24"/>
          <w:szCs w:val="24"/>
          <w:highlight w:val="none"/>
        </w:rPr>
      </w:pPr>
      <w:r>
        <w:rPr>
          <w:rFonts w:hint="eastAsia" w:ascii="宋体" w:hAnsi="宋体"/>
          <w:bCs/>
          <w:sz w:val="24"/>
          <w:szCs w:val="24"/>
          <w:highlight w:val="none"/>
        </w:rPr>
        <w:t>项目整体质保期：</w:t>
      </w:r>
      <w:r>
        <w:rPr>
          <w:rFonts w:hint="eastAsia" w:ascii="宋体" w:hAnsi="宋体"/>
          <w:bCs/>
          <w:sz w:val="24"/>
          <w:szCs w:val="24"/>
          <w:highlight w:val="none"/>
          <w:lang w:val="en-US" w:eastAsia="zh-CN"/>
        </w:rPr>
        <w:t>三</w:t>
      </w:r>
      <w:r>
        <w:rPr>
          <w:rFonts w:ascii="宋体" w:hAnsi="宋体"/>
          <w:bCs/>
          <w:sz w:val="24"/>
          <w:szCs w:val="24"/>
          <w:highlight w:val="none"/>
        </w:rPr>
        <w:t>年，自最终验收合格、交付使用之日起计算</w:t>
      </w:r>
      <w:r>
        <w:rPr>
          <w:rFonts w:hint="eastAsia" w:ascii="宋体" w:hAnsi="宋体"/>
          <w:bCs/>
          <w:sz w:val="24"/>
          <w:szCs w:val="24"/>
          <w:highlight w:val="none"/>
        </w:rPr>
        <w:t>。</w:t>
      </w:r>
    </w:p>
    <w:p w14:paraId="5E3CA12D">
      <w:pPr>
        <w:numPr>
          <w:ilvl w:val="1"/>
          <w:numId w:val="6"/>
        </w:numPr>
        <w:tabs>
          <w:tab w:val="left" w:pos="426"/>
          <w:tab w:val="left" w:pos="525"/>
          <w:tab w:val="clear" w:pos="780"/>
        </w:tabs>
        <w:spacing w:line="360" w:lineRule="auto"/>
        <w:ind w:left="0" w:firstLine="480"/>
        <w:rPr>
          <w:rFonts w:ascii="宋体" w:hAnsi="宋体"/>
          <w:bCs/>
          <w:color w:val="000000"/>
          <w:sz w:val="24"/>
          <w:szCs w:val="24"/>
          <w:highlight w:val="none"/>
        </w:rPr>
      </w:pPr>
      <w:r>
        <w:rPr>
          <w:rFonts w:ascii="宋体" w:hAnsi="宋体"/>
          <w:bCs/>
          <w:sz w:val="24"/>
          <w:szCs w:val="24"/>
          <w:highlight w:val="none"/>
        </w:rPr>
        <w:t>付款方</w:t>
      </w:r>
      <w:r>
        <w:rPr>
          <w:rFonts w:ascii="宋体" w:hAnsi="宋体"/>
          <w:bCs/>
          <w:color w:val="000000"/>
          <w:sz w:val="24"/>
          <w:szCs w:val="24"/>
          <w:highlight w:val="none"/>
        </w:rPr>
        <w:t>式：</w:t>
      </w:r>
      <w:r>
        <w:rPr>
          <w:rFonts w:hint="eastAsia" w:ascii="宋体" w:hAnsi="宋体"/>
          <w:bCs/>
          <w:color w:val="000000"/>
          <w:sz w:val="24"/>
          <w:szCs w:val="24"/>
          <w:highlight w:val="none"/>
        </w:rPr>
        <w:t>合同签订后，支付合同总价的30%作为预付款；项目完工并验收合格后，支付合同总价的60%；待完成审计流程后，再行支付合同总价的5%；剩余5%作为质保金，在质保期满且无任何质量问题后一次性付清。</w:t>
      </w:r>
    </w:p>
    <w:p w14:paraId="2C13339E">
      <w:pPr>
        <w:numPr>
          <w:ilvl w:val="1"/>
          <w:numId w:val="6"/>
        </w:numPr>
        <w:tabs>
          <w:tab w:val="left" w:pos="426"/>
          <w:tab w:val="left" w:pos="52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本项目合同履行地点：无锡，具体地点以合同书约定为准。中标方必须按采购人要求将本项目中货物送到指定地点</w:t>
      </w:r>
      <w:r>
        <w:rPr>
          <w:rFonts w:hint="eastAsia" w:ascii="宋体" w:hAnsi="宋体"/>
          <w:bCs/>
          <w:color w:val="000000"/>
          <w:sz w:val="24"/>
          <w:szCs w:val="24"/>
          <w:lang w:eastAsia="zh-CN"/>
        </w:rPr>
        <w:t>（</w:t>
      </w:r>
      <w:r>
        <w:rPr>
          <w:rFonts w:hint="eastAsia" w:ascii="宋体" w:hAnsi="宋体"/>
          <w:bCs/>
          <w:color w:val="000000"/>
          <w:sz w:val="24"/>
          <w:szCs w:val="24"/>
        </w:rPr>
        <w:t>包括可能的分布范围</w:t>
      </w:r>
      <w:r>
        <w:rPr>
          <w:rFonts w:hint="eastAsia" w:ascii="宋体" w:hAnsi="宋体"/>
          <w:bCs/>
          <w:color w:val="000000"/>
          <w:sz w:val="24"/>
          <w:szCs w:val="24"/>
          <w:lang w:eastAsia="zh-CN"/>
        </w:rPr>
        <w:t>）</w:t>
      </w:r>
      <w:r>
        <w:rPr>
          <w:rFonts w:hint="eastAsia" w:ascii="宋体" w:hAnsi="宋体"/>
          <w:bCs/>
          <w:color w:val="000000"/>
          <w:sz w:val="24"/>
          <w:szCs w:val="24"/>
        </w:rPr>
        <w:t>，并分地实施安装调试。</w:t>
      </w:r>
    </w:p>
    <w:p w14:paraId="0FC16CFB">
      <w:pPr>
        <w:numPr>
          <w:ilvl w:val="1"/>
          <w:numId w:val="6"/>
        </w:numPr>
        <w:tabs>
          <w:tab w:val="left" w:pos="525"/>
          <w:tab w:val="left" w:pos="630"/>
          <w:tab w:val="left" w:pos="73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如有</w:t>
      </w:r>
      <w:r>
        <w:rPr>
          <w:rFonts w:hint="eastAsia"/>
          <w:color w:val="000000"/>
          <w:sz w:val="24"/>
          <w:szCs w:val="24"/>
          <w:lang w:eastAsia="zh-CN"/>
        </w:rPr>
        <w:t>涉及</w:t>
      </w:r>
      <w:r>
        <w:rPr>
          <w:rFonts w:hint="eastAsia"/>
          <w:color w:val="000000"/>
          <w:sz w:val="24"/>
          <w:szCs w:val="24"/>
        </w:rPr>
        <w:t>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5B13F4F">
      <w:pPr>
        <w:numPr>
          <w:ilvl w:val="1"/>
          <w:numId w:val="6"/>
        </w:numPr>
        <w:tabs>
          <w:tab w:val="left" w:pos="525"/>
          <w:tab w:val="left" w:pos="630"/>
          <w:tab w:val="left" w:pos="73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5D85A9E8">
      <w:pPr>
        <w:numPr>
          <w:ilvl w:val="1"/>
          <w:numId w:val="6"/>
        </w:numPr>
        <w:tabs>
          <w:tab w:val="left" w:pos="525"/>
          <w:tab w:val="left" w:pos="630"/>
          <w:tab w:val="left" w:pos="735"/>
          <w:tab w:val="left" w:pos="945"/>
          <w:tab w:val="clear" w:pos="780"/>
        </w:tabs>
        <w:spacing w:line="360" w:lineRule="auto"/>
        <w:ind w:left="0" w:firstLine="480"/>
        <w:rPr>
          <w:rFonts w:ascii="宋体"/>
          <w:bCs/>
          <w:color w:val="000000"/>
          <w:sz w:val="24"/>
          <w:szCs w:val="24"/>
        </w:rPr>
      </w:pPr>
      <w:r>
        <w:rPr>
          <w:rFonts w:hint="eastAsia" w:ascii="宋体"/>
          <w:bCs/>
          <w:color w:val="000000"/>
          <w:sz w:val="24"/>
          <w:szCs w:val="24"/>
        </w:rPr>
        <w:t>依据《政府采购促进中小企业发展管理办法》规定享受扶持政策获得政府采购合同的，小微企业不得将合同分包给大中型企业，中型企业不得将合同分包给大型企业。</w:t>
      </w:r>
    </w:p>
    <w:p w14:paraId="3A015604">
      <w:pPr>
        <w:numPr>
          <w:ilvl w:val="1"/>
          <w:numId w:val="6"/>
        </w:numPr>
        <w:tabs>
          <w:tab w:val="left" w:pos="525"/>
          <w:tab w:val="left" w:pos="630"/>
          <w:tab w:val="left" w:pos="735"/>
          <w:tab w:val="left" w:pos="945"/>
          <w:tab w:val="clear" w:pos="780"/>
        </w:tabs>
        <w:spacing w:line="360" w:lineRule="auto"/>
        <w:ind w:left="0" w:firstLine="480"/>
        <w:rPr>
          <w:rFonts w:ascii="宋体" w:hAnsi="宋体"/>
          <w:bCs/>
          <w:color w:val="000000"/>
          <w:sz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14:paraId="006960AE">
      <w:pPr>
        <w:spacing w:line="360" w:lineRule="auto"/>
        <w:ind w:firstLine="480"/>
        <w:rPr>
          <w:rFonts w:ascii="宋体" w:hAnsi="宋体"/>
          <w:b/>
          <w:color w:val="000000"/>
          <w:sz w:val="30"/>
          <w:szCs w:val="30"/>
        </w:rPr>
      </w:pPr>
      <w:r>
        <w:rPr>
          <w:rFonts w:ascii="宋体" w:hAnsi="宋体"/>
          <w:bCs/>
          <w:color w:val="000000"/>
          <w:sz w:val="24"/>
        </w:rPr>
        <w:br w:type="page" w:clear="all"/>
      </w:r>
    </w:p>
    <w:p w14:paraId="4EE8940A">
      <w:pPr>
        <w:tabs>
          <w:tab w:val="left" w:pos="525"/>
          <w:tab w:val="left" w:pos="630"/>
          <w:tab w:val="left" w:pos="735"/>
          <w:tab w:val="left" w:pos="945"/>
        </w:tabs>
        <w:spacing w:line="360" w:lineRule="auto"/>
        <w:ind w:firstLine="602"/>
        <w:rPr>
          <w:rFonts w:ascii="宋体" w:hAnsi="宋体"/>
          <w:b/>
          <w:bCs/>
          <w:color w:val="000000"/>
          <w:sz w:val="30"/>
          <w:szCs w:val="30"/>
        </w:rPr>
      </w:pPr>
      <w:r>
        <w:rPr>
          <w:rFonts w:hint="eastAsia" w:ascii="宋体" w:hAnsi="宋体"/>
          <w:b/>
          <w:color w:val="000000"/>
          <w:sz w:val="30"/>
          <w:szCs w:val="30"/>
        </w:rPr>
        <w:t>第三部分  政府采购政策（包括但不限于下列具体政策要求）</w:t>
      </w:r>
    </w:p>
    <w:p w14:paraId="1ECEB658">
      <w:pPr>
        <w:numPr>
          <w:ilvl w:val="1"/>
          <w:numId w:val="7"/>
        </w:numPr>
        <w:tabs>
          <w:tab w:val="left" w:pos="525"/>
          <w:tab w:val="left" w:pos="945"/>
          <w:tab w:val="clear" w:pos="780"/>
        </w:tabs>
        <w:spacing w:line="360" w:lineRule="auto"/>
        <w:ind w:left="0" w:firstLine="525"/>
        <w:rPr>
          <w:rFonts w:ascii="宋体"/>
          <w:bCs/>
          <w:color w:val="000000"/>
          <w:sz w:val="24"/>
          <w:szCs w:val="24"/>
        </w:rPr>
      </w:pPr>
      <w:r>
        <w:rPr>
          <w:rFonts w:hint="eastAsia" w:ascii="宋体"/>
          <w:bCs/>
          <w:color w:val="000000"/>
          <w:sz w:val="24"/>
          <w:szCs w:val="24"/>
        </w:rPr>
        <w:t>本项目中如有</w:t>
      </w:r>
      <w:r>
        <w:rPr>
          <w:rFonts w:hint="eastAsia" w:ascii="宋体"/>
          <w:bCs/>
          <w:color w:val="000000"/>
          <w:sz w:val="24"/>
          <w:szCs w:val="24"/>
          <w:lang w:eastAsia="zh-CN"/>
        </w:rPr>
        <w:t>涉及</w:t>
      </w:r>
      <w:r>
        <w:rPr>
          <w:rFonts w:hint="eastAsia" w:ascii="宋体"/>
          <w:bCs/>
          <w:color w:val="000000"/>
          <w:sz w:val="24"/>
          <w:szCs w:val="24"/>
        </w:rPr>
        <w:t>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431192E">
      <w:pPr>
        <w:numPr>
          <w:ilvl w:val="1"/>
          <w:numId w:val="7"/>
        </w:numPr>
        <w:tabs>
          <w:tab w:val="left" w:pos="525"/>
          <w:tab w:val="left" w:pos="945"/>
          <w:tab w:val="clear" w:pos="780"/>
        </w:tabs>
        <w:spacing w:line="360" w:lineRule="auto"/>
        <w:ind w:left="0" w:firstLine="525"/>
        <w:rPr>
          <w:rFonts w:ascii="宋体"/>
          <w:bCs/>
          <w:color w:val="000000"/>
          <w:sz w:val="24"/>
          <w:szCs w:val="24"/>
        </w:rPr>
      </w:pPr>
      <w:r>
        <w:rPr>
          <w:rFonts w:hint="eastAsia"/>
          <w:color w:val="000000"/>
          <w:sz w:val="24"/>
          <w:szCs w:val="24"/>
        </w:rPr>
        <w:t>本项目中如有</w:t>
      </w:r>
      <w:r>
        <w:rPr>
          <w:rFonts w:hint="eastAsia"/>
          <w:color w:val="000000"/>
          <w:sz w:val="24"/>
          <w:szCs w:val="24"/>
          <w:lang w:eastAsia="zh-CN"/>
        </w:rPr>
        <w:t>涉及</w:t>
      </w:r>
      <w:r>
        <w:rPr>
          <w:rFonts w:hint="eastAsia"/>
          <w:color w:val="000000"/>
          <w:sz w:val="24"/>
          <w:szCs w:val="24"/>
        </w:rPr>
        <w:t>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4090233">
      <w:pPr>
        <w:numPr>
          <w:ilvl w:val="1"/>
          <w:numId w:val="7"/>
        </w:numPr>
        <w:tabs>
          <w:tab w:val="left" w:pos="525"/>
          <w:tab w:val="left" w:pos="945"/>
          <w:tab w:val="clear" w:pos="780"/>
        </w:tabs>
        <w:spacing w:line="360" w:lineRule="auto"/>
        <w:ind w:left="0" w:firstLine="525"/>
        <w:rPr>
          <w:rFonts w:ascii="宋体" w:hAnsi="宋体" w:cs="宋体"/>
          <w:color w:val="000000"/>
          <w:sz w:val="24"/>
          <w:szCs w:val="24"/>
        </w:rPr>
      </w:pPr>
      <w:r>
        <w:rPr>
          <w:rFonts w:hint="eastAsia" w:ascii="宋体"/>
          <w:bCs/>
          <w:color w:val="000000"/>
          <w:sz w:val="24"/>
          <w:szCs w:val="24"/>
        </w:rPr>
        <w:t>根据国家扶持中小企业的有关政策，在我中心组织的采购项目中标的供应商，如需要政府采购合同融资，请按锡财购【2022】7号文件执行。</w:t>
      </w:r>
    </w:p>
    <w:p w14:paraId="25EA7343">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rPr>
        <w:t>合同融资</w:t>
      </w:r>
      <w:r>
        <w:rPr>
          <w:rFonts w:hint="eastAsia" w:ascii="宋体"/>
          <w:bCs/>
          <w:color w:val="000000"/>
          <w:sz w:val="24"/>
          <w:szCs w:val="24"/>
          <w:lang w:eastAsia="zh-CN"/>
        </w:rPr>
        <w:t>，</w:t>
      </w:r>
      <w:r>
        <w:rPr>
          <w:rFonts w:hint="eastAsia" w:ascii="宋体"/>
          <w:bCs/>
          <w:color w:val="000000"/>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“苏采云”系统</w:t>
      </w:r>
      <w:r>
        <w:rPr>
          <w:rFonts w:hint="eastAsia" w:ascii="宋体"/>
          <w:bCs/>
          <w:color w:val="000000"/>
          <w:sz w:val="24"/>
          <w:szCs w:val="24"/>
        </w:rPr>
        <w:t>凭政府采购中标、成交通知书或政府采购合同向采购人提出此合同有融资需求，采购人在</w:t>
      </w:r>
      <w:r>
        <w:rPr>
          <w:rFonts w:hint="eastAsia" w:ascii="宋体" w:hAnsi="宋体"/>
          <w:bCs/>
          <w:color w:val="000000"/>
          <w:sz w:val="24"/>
          <w:szCs w:val="24"/>
        </w:rPr>
        <w:t>“苏采云”系统</w:t>
      </w:r>
      <w:r>
        <w:rPr>
          <w:rFonts w:hint="eastAsia" w:ascii="宋体"/>
          <w:bCs/>
          <w:color w:val="000000"/>
          <w:sz w:val="24"/>
          <w:szCs w:val="24"/>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46C70236">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rPr>
        <w:t>中标、成交供应商可根据自身情况，自行决定是否选择采用合同融资形式， 在无锡政府采购网——政采贷专栏提供的银行名录内自主选择合作银行。</w:t>
      </w:r>
    </w:p>
    <w:p w14:paraId="4BDB5F47">
      <w:pPr>
        <w:numPr>
          <w:ilvl w:val="1"/>
          <w:numId w:val="7"/>
        </w:numPr>
        <w:tabs>
          <w:tab w:val="left" w:pos="525"/>
          <w:tab w:val="left" w:pos="945"/>
          <w:tab w:val="clear" w:pos="780"/>
        </w:tabs>
        <w:spacing w:line="360" w:lineRule="auto"/>
        <w:ind w:left="0" w:firstLine="525"/>
        <w:rPr>
          <w:rFonts w:ascii="宋体" w:hAnsi="宋体" w:cs="宋体"/>
          <w:color w:val="000000"/>
          <w:sz w:val="24"/>
          <w:szCs w:val="24"/>
        </w:rPr>
      </w:pPr>
      <w:r>
        <w:rPr>
          <w:rFonts w:hint="eastAsia" w:ascii="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5B925D4">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lang w:val="en"/>
        </w:rPr>
        <w:t>中标、成交供应商可以根据自身情况，自行决定是否采用电子履约保函形式，具体操作可登录江苏政府采购网的保险保函模块进行办理。</w:t>
      </w:r>
    </w:p>
    <w:p w14:paraId="07F9E424">
      <w:pPr>
        <w:numPr>
          <w:ilvl w:val="1"/>
          <w:numId w:val="7"/>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采购人可在合同中约定，</w:t>
      </w:r>
      <w:r>
        <w:rPr>
          <w:rFonts w:hint="eastAsia" w:ascii="宋体" w:hAnsi="宋体" w:cs="宋体"/>
          <w:color w:val="000000"/>
          <w:sz w:val="24"/>
          <w:szCs w:val="24"/>
        </w:rPr>
        <w:t>在</w:t>
      </w:r>
      <w:r>
        <w:rPr>
          <w:rFonts w:hint="eastAsia" w:ascii="宋体"/>
          <w:bCs/>
          <w:color w:val="000000"/>
          <w:sz w:val="24"/>
          <w:szCs w:val="24"/>
        </w:rPr>
        <w:t>履约验收管理时，可对所提供的七种软硬件进行验收，必要时可以委托依法取得检测、认证资质的机构进行检测、认证。</w:t>
      </w:r>
    </w:p>
    <w:p w14:paraId="034922C3">
      <w:pPr>
        <w:numPr>
          <w:ilvl w:val="1"/>
          <w:numId w:val="7"/>
        </w:numPr>
        <w:tabs>
          <w:tab w:val="left" w:pos="525"/>
          <w:tab w:val="left" w:pos="945"/>
          <w:tab w:val="clear" w:pos="780"/>
        </w:tabs>
        <w:spacing w:line="360" w:lineRule="auto"/>
        <w:ind w:left="0" w:firstLine="480"/>
        <w:rPr>
          <w:rFonts w:ascii="宋体"/>
          <w:bCs/>
          <w:color w:val="000000"/>
          <w:sz w:val="24"/>
          <w:szCs w:val="24"/>
        </w:rPr>
      </w:pPr>
      <w:r>
        <w:rPr>
          <w:rFonts w:hint="eastAsia" w:ascii="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66A1D84">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87E8351">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采购人原则上应当自收到发票后10个工作日内将资金支付到合同约定的供应商账户。</w:t>
      </w:r>
    </w:p>
    <w:p w14:paraId="7EE5400C">
      <w:pPr>
        <w:tabs>
          <w:tab w:val="left" w:pos="525"/>
          <w:tab w:val="left" w:pos="630"/>
          <w:tab w:val="left" w:pos="735"/>
          <w:tab w:val="left" w:pos="945"/>
          <w:tab w:val="left" w:pos="1080"/>
        </w:tabs>
        <w:spacing w:line="360" w:lineRule="auto"/>
        <w:ind w:firstLine="480"/>
        <w:jc w:val="center"/>
        <w:rPr>
          <w:rFonts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050738D5">
      <w:pPr>
        <w:pStyle w:val="255"/>
        <w:spacing w:before="0" w:after="0" w:line="500" w:lineRule="exact"/>
        <w:ind w:firstLine="602"/>
        <w:rPr>
          <w:rFonts w:cs="Arial"/>
          <w:b/>
          <w:color w:val="000000"/>
          <w:sz w:val="30"/>
          <w:szCs w:val="30"/>
        </w:rPr>
      </w:pPr>
      <w:r>
        <w:rPr>
          <w:rFonts w:hint="eastAsia" w:cs="Arial"/>
          <w:b/>
          <w:color w:val="000000"/>
          <w:sz w:val="30"/>
          <w:szCs w:val="30"/>
        </w:rPr>
        <w:t>第一部分  评标方法</w:t>
      </w:r>
    </w:p>
    <w:p w14:paraId="7071BD68">
      <w:pPr>
        <w:pStyle w:val="255"/>
        <w:spacing w:before="0" w:after="0" w:line="500" w:lineRule="exact"/>
        <w:rPr>
          <w:rFonts w:cs="Arial"/>
          <w:color w:val="000000"/>
        </w:rPr>
      </w:pPr>
      <w:r>
        <w:rPr>
          <w:rFonts w:hint="eastAsia" w:cs="Arial"/>
          <w:color w:val="000000"/>
        </w:rPr>
        <w:t>投标人通过初审的，方可进入比较与评价程序。</w:t>
      </w:r>
    </w:p>
    <w:p w14:paraId="7060C8EB">
      <w:pPr>
        <w:pStyle w:val="255"/>
        <w:spacing w:before="0" w:after="0" w:line="500" w:lineRule="exact"/>
        <w:rPr>
          <w:rFonts w:cs="Arial"/>
          <w:color w:val="000000"/>
        </w:rPr>
      </w:pPr>
      <w:r>
        <w:rPr>
          <w:rFonts w:hint="eastAsia" w:cs="Arial"/>
          <w:color w:val="000000"/>
        </w:rPr>
        <w:t>比较与评价采用综合评分法。</w:t>
      </w:r>
    </w:p>
    <w:p w14:paraId="1FCBB98C">
      <w:pPr>
        <w:pStyle w:val="255"/>
        <w:spacing w:before="0" w:after="0" w:line="500" w:lineRule="exact"/>
        <w:rPr>
          <w:rStyle w:val="282"/>
          <w:rFonts w:ascii="宋体" w:hAnsi="宋体"/>
          <w:color w:val="000000"/>
        </w:rPr>
      </w:pPr>
      <w:r>
        <w:rPr>
          <w:rStyle w:val="282"/>
          <w:rFonts w:ascii="宋体" w:hAnsi="宋体"/>
          <w:color w:val="000000"/>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p>
    <w:p w14:paraId="2BA63878">
      <w:pPr>
        <w:pStyle w:val="255"/>
        <w:spacing w:before="0" w:after="0" w:line="500" w:lineRule="exact"/>
        <w:rPr>
          <w:rStyle w:val="57"/>
          <w:rFonts w:ascii="宋体" w:hAnsi="宋体"/>
          <w:color w:val="000000"/>
          <w:sz w:val="24"/>
          <w:szCs w:val="24"/>
        </w:rPr>
      </w:pPr>
      <w:r>
        <w:rPr>
          <w:rStyle w:val="282"/>
          <w:rFonts w:ascii="宋体" w:hAnsi="宋体"/>
          <w:color w:val="000000"/>
        </w:rPr>
        <w:t>提供相同品牌产品且通过资格审查、符合性审查的不同投标人参加同一合同项下投标的，按一家投标人计算</w:t>
      </w:r>
      <w:r>
        <w:rPr>
          <w:rStyle w:val="282"/>
          <w:rFonts w:hint="eastAsia" w:ascii="宋体" w:hAnsi="宋体"/>
          <w:color w:val="000000"/>
        </w:rPr>
        <w:t>，</w:t>
      </w:r>
      <w:r>
        <w:rPr>
          <w:rStyle w:val="282"/>
          <w:rFonts w:ascii="宋体" w:hAnsi="宋体"/>
          <w:color w:val="000000"/>
        </w:rPr>
        <w:t>评审</w:t>
      </w:r>
      <w:bookmarkStart w:id="194" w:name="_Hlk167442400"/>
      <w:r>
        <w:rPr>
          <w:rStyle w:val="282"/>
          <w:rFonts w:ascii="宋体" w:hAnsi="宋体"/>
          <w:color w:val="000000"/>
        </w:rPr>
        <w:t>后得分最高</w:t>
      </w:r>
      <w:bookmarkEnd w:id="194"/>
      <w:r>
        <w:rPr>
          <w:rStyle w:val="282"/>
          <w:rFonts w:ascii="宋体" w:hAnsi="宋体"/>
          <w:color w:val="000000"/>
        </w:rPr>
        <w:t>的投标人获得评审排名资格</w:t>
      </w:r>
      <w:r>
        <w:rPr>
          <w:rStyle w:val="282"/>
          <w:rFonts w:hint="eastAsia" w:ascii="宋体" w:hAnsi="宋体"/>
          <w:color w:val="000000"/>
        </w:rPr>
        <w:t>，</w:t>
      </w:r>
      <w:r>
        <w:rPr>
          <w:rStyle w:val="282"/>
          <w:rFonts w:ascii="宋体" w:hAnsi="宋体"/>
          <w:color w:val="000000"/>
        </w:rPr>
        <w:t>其他同品牌投标人无评审排名资格</w:t>
      </w:r>
      <w:r>
        <w:rPr>
          <w:rStyle w:val="282"/>
          <w:rFonts w:hint="eastAsia" w:ascii="宋体" w:hAnsi="宋体"/>
          <w:color w:val="000000"/>
        </w:rPr>
        <w:t>。</w:t>
      </w:r>
      <w:bookmarkStart w:id="195" w:name="_Hlk167442455"/>
      <w:r>
        <w:rPr>
          <w:rStyle w:val="282"/>
          <w:rFonts w:ascii="宋体" w:hAnsi="宋体"/>
          <w:color w:val="000000"/>
        </w:rPr>
        <w:t>评审后最高得分相同</w:t>
      </w:r>
      <w:bookmarkEnd w:id="195"/>
      <w:r>
        <w:rPr>
          <w:rStyle w:val="282"/>
          <w:rFonts w:ascii="宋体" w:hAnsi="宋体"/>
          <w:color w:val="000000"/>
        </w:rPr>
        <w:t>的，</w:t>
      </w:r>
      <w:r>
        <w:rPr>
          <w:rStyle w:val="282"/>
          <w:rFonts w:hint="eastAsia" w:ascii="宋体" w:hAnsi="宋体"/>
          <w:color w:val="000000"/>
        </w:rPr>
        <w:t>投标报价低的投标人</w:t>
      </w:r>
      <w:r>
        <w:rPr>
          <w:rStyle w:val="282"/>
          <w:rFonts w:ascii="宋体" w:hAnsi="宋体"/>
          <w:color w:val="000000"/>
        </w:rPr>
        <w:t>获得评审排名资格</w:t>
      </w:r>
      <w:r>
        <w:rPr>
          <w:rStyle w:val="282"/>
          <w:rFonts w:hint="eastAsia" w:ascii="宋体" w:hAnsi="宋体"/>
          <w:color w:val="000000"/>
        </w:rPr>
        <w:t>，</w:t>
      </w:r>
      <w:bookmarkStart w:id="196" w:name="_Hlk167442289"/>
      <w:r>
        <w:rPr>
          <w:rStyle w:val="282"/>
          <w:rFonts w:ascii="宋体" w:hAnsi="宋体"/>
          <w:color w:val="000000"/>
        </w:rPr>
        <w:t>其他同品牌投标人无评审排名资格</w:t>
      </w:r>
      <w:bookmarkEnd w:id="196"/>
      <w:r>
        <w:rPr>
          <w:rStyle w:val="282"/>
          <w:rFonts w:ascii="宋体" w:hAnsi="宋体"/>
          <w:color w:val="000000"/>
        </w:rPr>
        <w:t>。评审后最高得分相同</w:t>
      </w:r>
      <w:r>
        <w:rPr>
          <w:rStyle w:val="282"/>
          <w:rFonts w:hint="eastAsia" w:ascii="宋体" w:hAnsi="宋体"/>
          <w:color w:val="000000"/>
        </w:rPr>
        <w:t>且投标报价相同的投标人，则</w:t>
      </w:r>
      <w:r>
        <w:rPr>
          <w:rStyle w:val="282"/>
          <w:rFonts w:ascii="宋体" w:hAnsi="宋体"/>
          <w:color w:val="000000"/>
        </w:rPr>
        <w:t>技术指标得分高的投标人获得评审排名资格</w:t>
      </w:r>
      <w:r>
        <w:rPr>
          <w:rStyle w:val="282"/>
          <w:rFonts w:hint="eastAsia" w:ascii="宋体" w:hAnsi="宋体"/>
          <w:color w:val="000000"/>
        </w:rPr>
        <w:t>，</w:t>
      </w:r>
      <w:r>
        <w:rPr>
          <w:rStyle w:val="282"/>
          <w:rFonts w:ascii="宋体" w:hAnsi="宋体"/>
          <w:color w:val="000000"/>
        </w:rPr>
        <w:t>其他同品牌投标人无评审排名资格。非单一产品采购项目，多家投标人提供的核心产品（如有）品牌相同的，同上处理。</w:t>
      </w:r>
    </w:p>
    <w:p w14:paraId="1E7823AA">
      <w:pPr>
        <w:pStyle w:val="255"/>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27682B05">
      <w:pPr>
        <w:pStyle w:val="255"/>
        <w:spacing w:before="0" w:after="0" w:line="500" w:lineRule="exact"/>
        <w:ind w:firstLine="562"/>
        <w:rPr>
          <w:rFonts w:ascii="宋体" w:hAnsi="宋体"/>
          <w:b/>
          <w:color w:val="000000"/>
          <w:sz w:val="28"/>
          <w:szCs w:val="28"/>
        </w:rPr>
      </w:pPr>
      <w:r>
        <w:rPr>
          <w:rFonts w:hint="eastAsia" w:ascii="宋体" w:hAnsi="宋体"/>
          <w:b/>
          <w:color w:val="000000"/>
          <w:sz w:val="28"/>
          <w:szCs w:val="28"/>
        </w:rPr>
        <w:t>一、落实政府采购政策的价格调整</w:t>
      </w:r>
    </w:p>
    <w:p w14:paraId="1129ADE8">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25F46185">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1EB6CE35">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54FDD6D6">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46FB45A">
      <w:pPr>
        <w:spacing w:line="500" w:lineRule="exact"/>
        <w:ind w:firstLine="480"/>
        <w:jc w:val="left"/>
        <w:rPr>
          <w:rFonts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78C6566F">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5E21F60C">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22D21275">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0015EB41">
      <w:pPr>
        <w:pStyle w:val="255"/>
        <w:spacing w:before="0" w:after="0" w:line="500" w:lineRule="exact"/>
        <w:ind w:firstLine="360"/>
        <w:rPr>
          <w:rFonts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二、评分标准</w:t>
      </w:r>
    </w:p>
    <w:p w14:paraId="7E07E4AD">
      <w:pPr>
        <w:numPr>
          <w:ilvl w:val="4"/>
          <w:numId w:val="8"/>
        </w:numPr>
        <w:tabs>
          <w:tab w:val="left" w:pos="525"/>
          <w:tab w:val="left" w:pos="945"/>
          <w:tab w:val="left" w:pos="1155"/>
          <w:tab w:val="left" w:pos="3823"/>
        </w:tabs>
        <w:spacing w:line="500" w:lineRule="exact"/>
        <w:ind w:left="0" w:firstLine="482"/>
        <w:rPr>
          <w:rFonts w:ascii="宋体" w:hAnsi="宋体"/>
          <w:b/>
          <w:bCs/>
          <w:color w:val="000000"/>
          <w:sz w:val="24"/>
          <w:szCs w:val="24"/>
        </w:rPr>
      </w:pPr>
      <w:r>
        <w:rPr>
          <w:rFonts w:hint="eastAsia" w:ascii="宋体" w:hAnsi="宋体"/>
          <w:b/>
          <w:bCs/>
          <w:color w:val="000000"/>
          <w:sz w:val="24"/>
          <w:szCs w:val="24"/>
        </w:rPr>
        <w:t>价格（</w:t>
      </w:r>
      <w:r>
        <w:rPr>
          <w:rFonts w:hint="eastAsia" w:ascii="宋体" w:hAnsi="宋体"/>
          <w:b/>
          <w:bCs/>
          <w:color w:val="000000"/>
          <w:sz w:val="24"/>
          <w:szCs w:val="24"/>
          <w:lang w:val="en-US" w:eastAsia="zh-CN"/>
        </w:rPr>
        <w:t>30</w:t>
      </w:r>
      <w:r>
        <w:rPr>
          <w:rFonts w:hint="eastAsia" w:ascii="宋体" w:hAnsi="宋体"/>
          <w:b/>
          <w:bCs/>
          <w:color w:val="000000"/>
          <w:sz w:val="24"/>
          <w:szCs w:val="24"/>
        </w:rPr>
        <w:t>分）：</w:t>
      </w:r>
    </w:p>
    <w:p w14:paraId="45F2305F">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w:t>
      </w:r>
      <w:r>
        <w:rPr>
          <w:rFonts w:hint="eastAsia" w:ascii="宋体" w:hAnsi="宋体"/>
          <w:bCs/>
          <w:color w:val="000000"/>
          <w:sz w:val="24"/>
          <w:szCs w:val="24"/>
          <w:lang w:eastAsia="zh-CN"/>
        </w:rPr>
        <w:t>价格</w:t>
      </w:r>
      <w:r>
        <w:rPr>
          <w:rFonts w:hint="eastAsia" w:ascii="宋体" w:hAnsi="宋体"/>
          <w:bCs/>
          <w:color w:val="000000"/>
          <w:sz w:val="24"/>
          <w:szCs w:val="24"/>
        </w:rPr>
        <w:t>统一按照下列公式计算：</w:t>
      </w:r>
    </w:p>
    <w:p w14:paraId="0566C8BD">
      <w:pPr>
        <w:tabs>
          <w:tab w:val="left" w:pos="945"/>
          <w:tab w:val="left" w:pos="1155"/>
        </w:tabs>
        <w:spacing w:line="500" w:lineRule="exact"/>
        <w:ind w:firstLine="480"/>
        <w:rPr>
          <w:rFonts w:ascii="宋体" w:hAns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rPr>
        <w:t>评标基准价／投标报价</w:t>
      </w:r>
      <w:r>
        <w:rPr>
          <w:rFonts w:ascii="宋体" w:hAnsi="宋体"/>
          <w:bCs/>
          <w:color w:val="000000"/>
          <w:sz w:val="24"/>
          <w:szCs w:val="24"/>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2A88D214">
      <w:pPr>
        <w:tabs>
          <w:tab w:val="left" w:pos="945"/>
          <w:tab w:val="left" w:pos="1155"/>
        </w:tabs>
        <w:spacing w:line="360" w:lineRule="auto"/>
        <w:ind w:firstLine="480"/>
        <w:rPr>
          <w:rFonts w:ascii="宋体"/>
          <w:bCs/>
          <w:color w:val="000000"/>
          <w:sz w:val="24"/>
          <w:szCs w:val="24"/>
        </w:rPr>
      </w:pPr>
      <w:r>
        <w:rPr>
          <w:rFonts w:hint="eastAsia" w:ascii="宋体" w:hAnsi="宋体"/>
          <w:b/>
          <w:bCs/>
          <w:sz w:val="24"/>
          <w:szCs w:val="24"/>
        </w:rPr>
        <w:t>评标委员会认为投标人的报价明显低于其他通过符合性审</w:t>
      </w:r>
      <w:r>
        <w:rPr>
          <w:rFonts w:hint="eastAsia" w:ascii="宋体" w:hAnsi="宋体"/>
          <w:b/>
          <w:bCs/>
          <w:sz w:val="24"/>
          <w:szCs w:val="24"/>
          <w:lang w:eastAsia="zh-CN"/>
        </w:rPr>
        <w:t>查的</w:t>
      </w:r>
      <w:r>
        <w:rPr>
          <w:rFonts w:hint="eastAsia" w:ascii="宋体" w:hAnsi="宋体"/>
          <w:b/>
          <w:bCs/>
          <w:sz w:val="24"/>
          <w:szCs w:val="24"/>
        </w:rPr>
        <w:t>投标人的报价，有可能影响产品质量或者不能诚信履约的，将要求其在评标现场合理的时间内提供书面说明，必要时提交相关证明材料；投标人不能证明其报价合理性的，评标委员会将其作为无效投标处理。</w:t>
      </w:r>
    </w:p>
    <w:p w14:paraId="5B19F96C">
      <w:pPr>
        <w:spacing w:line="360" w:lineRule="auto"/>
        <w:ind w:firstLine="482"/>
        <w:jc w:val="left"/>
        <w:rPr>
          <w:rFonts w:ascii="宋体" w:hAnsi="宋体"/>
          <w:b/>
          <w:bCs/>
          <w:color w:val="000000"/>
          <w:sz w:val="24"/>
          <w:szCs w:val="24"/>
        </w:rPr>
      </w:pPr>
      <w:r>
        <w:rPr>
          <w:rFonts w:hint="eastAsia" w:ascii="宋体" w:hAnsi="宋体"/>
          <w:b/>
          <w:bCs/>
          <w:color w:val="000000"/>
          <w:sz w:val="24"/>
          <w:szCs w:val="24"/>
        </w:rPr>
        <w:t>2、技术部分</w:t>
      </w:r>
      <w:r>
        <w:rPr>
          <w:rFonts w:ascii="宋体" w:hAnsi="宋体"/>
          <w:b/>
          <w:bCs/>
          <w:color w:val="000000"/>
          <w:sz w:val="24"/>
          <w:szCs w:val="24"/>
        </w:rPr>
        <w:t>（</w:t>
      </w:r>
      <w:r>
        <w:rPr>
          <w:rFonts w:hint="eastAsia" w:ascii="宋体" w:hAnsi="宋体"/>
          <w:b/>
          <w:bCs/>
          <w:color w:val="000000"/>
          <w:sz w:val="24"/>
          <w:szCs w:val="24"/>
          <w:lang w:val="en-US" w:eastAsia="zh-CN"/>
        </w:rPr>
        <w:t>48</w:t>
      </w:r>
      <w:r>
        <w:rPr>
          <w:rFonts w:ascii="宋体" w:hAnsi="宋体"/>
          <w:b/>
          <w:bCs/>
          <w:color w:val="000000"/>
          <w:sz w:val="24"/>
          <w:szCs w:val="24"/>
        </w:rPr>
        <w:t>分）：</w:t>
      </w:r>
    </w:p>
    <w:p w14:paraId="67328C7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w:t>
      </w:r>
      <w:r>
        <w:rPr>
          <w:rFonts w:ascii="宋体" w:hAnsi="宋体" w:cs="宋体"/>
          <w:color w:val="000000"/>
          <w:sz w:val="24"/>
        </w:rPr>
        <w:t>.1</w:t>
      </w:r>
      <w:r>
        <w:rPr>
          <w:rFonts w:ascii="宋体" w:hAnsi="宋体" w:cs="宋体"/>
          <w:color w:val="000000"/>
          <w:sz w:val="24"/>
          <w:highlight w:val="none"/>
        </w:rPr>
        <w:t xml:space="preserve"> </w:t>
      </w:r>
      <w:r>
        <w:rPr>
          <w:rFonts w:hint="eastAsia" w:ascii="宋体" w:hAnsi="宋体" w:cs="宋体"/>
          <w:color w:val="000000"/>
          <w:sz w:val="24"/>
          <w:highlight w:val="none"/>
        </w:rPr>
        <w:t>在第四章项目技术要求</w:t>
      </w:r>
      <w:r>
        <w:rPr>
          <w:rFonts w:ascii="宋体" w:hAnsi="宋体" w:cs="宋体"/>
          <w:color w:val="000000"/>
          <w:sz w:val="24"/>
          <w:highlight w:val="none"/>
        </w:rPr>
        <w:t>中标记</w:t>
      </w:r>
      <w:r>
        <w:rPr>
          <w:rFonts w:hint="eastAsia" w:ascii="宋体" w:hAnsi="宋体" w:cs="宋体"/>
          <w:color w:val="000000"/>
          <w:sz w:val="24"/>
          <w:highlight w:val="none"/>
        </w:rPr>
        <w:t xml:space="preserve"> “▲”的参数提供相应技术支持资料，提供一个得</w:t>
      </w:r>
      <w:r>
        <w:rPr>
          <w:rFonts w:hint="eastAsia" w:ascii="宋体" w:hAnsi="宋体" w:cs="宋体"/>
          <w:color w:val="000000"/>
          <w:sz w:val="24"/>
          <w:highlight w:val="none"/>
          <w:lang w:val="en-US" w:eastAsia="zh-CN"/>
        </w:rPr>
        <w:t>1.5</w:t>
      </w:r>
      <w:r>
        <w:rPr>
          <w:rFonts w:hint="eastAsia" w:ascii="宋体" w:hAnsi="宋体" w:cs="宋体"/>
          <w:color w:val="000000"/>
          <w:sz w:val="24"/>
          <w:highlight w:val="none"/>
        </w:rPr>
        <w:t>分，最高得</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分。（</w:t>
      </w:r>
      <w:r>
        <w:rPr>
          <w:rFonts w:hint="eastAsia" w:ascii="宋体" w:hAnsi="宋体" w:cs="宋体"/>
          <w:color w:val="000000"/>
          <w:sz w:val="24"/>
          <w:lang w:val="en-US" w:eastAsia="zh-CN"/>
        </w:rPr>
        <w:t>支持资料包括</w:t>
      </w:r>
      <w:r>
        <w:rPr>
          <w:rFonts w:hint="eastAsia" w:ascii="宋体" w:hAnsi="宋体" w:cs="宋体"/>
          <w:color w:val="000000"/>
          <w:sz w:val="24"/>
        </w:rPr>
        <w:t>、截图、检测报告、产品彩页、白皮书</w:t>
      </w:r>
      <w:r>
        <w:rPr>
          <w:rFonts w:hint="eastAsia" w:ascii="宋体" w:hAnsi="宋体" w:cs="宋体"/>
          <w:color w:val="000000"/>
          <w:sz w:val="24"/>
          <w:lang w:val="en-US" w:eastAsia="zh-CN"/>
        </w:rPr>
        <w:t>等</w:t>
      </w:r>
      <w:r>
        <w:rPr>
          <w:rFonts w:hint="eastAsia" w:ascii="宋体" w:hAnsi="宋体" w:cs="宋体"/>
          <w:color w:val="000000"/>
          <w:sz w:val="24"/>
        </w:rPr>
        <w:t>）</w:t>
      </w:r>
    </w:p>
    <w:p w14:paraId="22D8991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ascii="宋体" w:hAnsi="宋体" w:cs="宋体"/>
          <w:color w:val="000000"/>
          <w:sz w:val="24"/>
        </w:rPr>
        <w:t>2.2项目</w:t>
      </w:r>
      <w:r>
        <w:rPr>
          <w:rFonts w:hint="eastAsia" w:ascii="宋体" w:hAnsi="宋体" w:cs="宋体"/>
          <w:color w:val="000000"/>
          <w:sz w:val="24"/>
          <w:lang w:val="en-US" w:eastAsia="zh-CN"/>
        </w:rPr>
        <w:t>总体方案</w:t>
      </w:r>
      <w:r>
        <w:rPr>
          <w:rFonts w:ascii="宋体" w:hAnsi="宋体" w:cs="宋体"/>
          <w:color w:val="000000"/>
          <w:sz w:val="24"/>
        </w:rPr>
        <w:t>（</w:t>
      </w:r>
      <w:r>
        <w:rPr>
          <w:rFonts w:hint="eastAsia" w:ascii="宋体" w:hAnsi="宋体" w:cs="宋体"/>
          <w:color w:val="000000"/>
          <w:sz w:val="24"/>
          <w:lang w:val="en-US" w:eastAsia="zh-CN"/>
        </w:rPr>
        <w:t>9</w:t>
      </w:r>
      <w:r>
        <w:rPr>
          <w:rFonts w:ascii="宋体" w:hAnsi="宋体" w:cs="宋体"/>
          <w:color w:val="000000"/>
          <w:sz w:val="24"/>
        </w:rPr>
        <w:t>分）</w:t>
      </w:r>
      <w:r>
        <w:rPr>
          <w:rFonts w:hint="eastAsia" w:ascii="宋体" w:hAnsi="宋体" w:cs="宋体"/>
          <w:color w:val="000000"/>
          <w:sz w:val="24"/>
        </w:rPr>
        <w:t>：根据</w:t>
      </w:r>
      <w:r>
        <w:rPr>
          <w:rFonts w:hint="eastAsia" w:ascii="宋体" w:hAnsi="宋体" w:cs="宋体"/>
          <w:color w:val="000000"/>
          <w:sz w:val="24"/>
          <w:lang w:val="en-US" w:eastAsia="zh-CN"/>
        </w:rPr>
        <w:t>投标人</w:t>
      </w:r>
      <w:r>
        <w:rPr>
          <w:rFonts w:hint="eastAsia" w:ascii="宋体" w:hAnsi="宋体" w:cs="宋体"/>
          <w:color w:val="000000"/>
          <w:sz w:val="24"/>
        </w:rPr>
        <w:t>对整个项目的理解程度及项目设计方案与相关产品的性能稳定性、质量可靠性、与用户采购需求的匹配度、提供的技术方案可行性等方面设计科学，能够充分发挥设备与平台功能等进行综合评审。整体方案设计贴合需方建设特点，提供针对本项目设计效果图等划分合理、配置设备充分、建设科学、贴合教学应用与管理需求、丰富全面，系统产品稳定可靠，完全满足或优于用户需求，得9分；设计较符合需方建设特点，系统产品较稳定可靠，技术方案完善可行，提供针对本项目设计效果图等划分较合理、设计较科学，基本满足用户需求，得</w:t>
      </w:r>
      <w:r>
        <w:rPr>
          <w:rFonts w:hint="eastAsia" w:ascii="宋体" w:hAnsi="宋体" w:cs="宋体"/>
          <w:color w:val="000000"/>
          <w:sz w:val="24"/>
          <w:lang w:val="en-US" w:eastAsia="zh-CN"/>
        </w:rPr>
        <w:t>6</w:t>
      </w:r>
      <w:r>
        <w:rPr>
          <w:rFonts w:hint="eastAsia" w:ascii="宋体" w:hAnsi="宋体" w:cs="宋体"/>
          <w:color w:val="000000"/>
          <w:sz w:val="24"/>
        </w:rPr>
        <w:t>分；系统产品稳定可靠性一般，技术方案较全面，用户需求满足度较低，得</w:t>
      </w:r>
      <w:r>
        <w:rPr>
          <w:rFonts w:hint="eastAsia" w:ascii="宋体" w:hAnsi="宋体" w:cs="宋体"/>
          <w:color w:val="000000"/>
          <w:sz w:val="24"/>
          <w:lang w:val="en-US" w:eastAsia="zh-CN"/>
        </w:rPr>
        <w:t>3</w:t>
      </w:r>
      <w:r>
        <w:rPr>
          <w:rFonts w:hint="eastAsia" w:ascii="宋体" w:hAnsi="宋体" w:cs="宋体"/>
          <w:color w:val="000000"/>
          <w:sz w:val="24"/>
        </w:rPr>
        <w:t>分</w:t>
      </w:r>
      <w:r>
        <w:rPr>
          <w:rFonts w:hint="eastAsia" w:ascii="宋体" w:hAnsi="宋体" w:cs="宋体"/>
          <w:color w:val="000000"/>
          <w:sz w:val="24"/>
          <w:lang w:eastAsia="zh-CN"/>
        </w:rPr>
        <w:t>；</w:t>
      </w:r>
      <w:r>
        <w:rPr>
          <w:rFonts w:hint="eastAsia" w:ascii="宋体" w:hAnsi="宋体" w:cs="宋体"/>
          <w:color w:val="000000"/>
          <w:sz w:val="24"/>
          <w:lang w:val="en-US" w:eastAsia="zh-CN"/>
        </w:rPr>
        <w:t>无方案不得分。</w:t>
      </w:r>
    </w:p>
    <w:p w14:paraId="437B39A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ascii="宋体" w:hAnsi="宋体" w:cs="宋体"/>
          <w:color w:val="000000"/>
          <w:sz w:val="24"/>
        </w:rPr>
        <w:t>2.3</w:t>
      </w:r>
      <w:r>
        <w:rPr>
          <w:rFonts w:hint="eastAsia" w:ascii="宋体" w:hAnsi="宋体" w:cs="宋体"/>
          <w:color w:val="000000"/>
          <w:sz w:val="24"/>
          <w:lang w:val="en-US" w:eastAsia="zh-CN"/>
        </w:rPr>
        <w:t>实施</w:t>
      </w:r>
      <w:r>
        <w:rPr>
          <w:rFonts w:ascii="宋体" w:hAnsi="宋体" w:cs="宋体"/>
          <w:color w:val="000000"/>
          <w:sz w:val="24"/>
        </w:rPr>
        <w:t>方案（</w:t>
      </w:r>
      <w:r>
        <w:rPr>
          <w:rFonts w:hint="eastAsia" w:ascii="宋体" w:hAnsi="宋体" w:cs="宋体"/>
          <w:color w:val="000000"/>
          <w:sz w:val="24"/>
          <w:lang w:val="en-US" w:eastAsia="zh-CN"/>
        </w:rPr>
        <w:t>5</w:t>
      </w:r>
      <w:r>
        <w:rPr>
          <w:rFonts w:ascii="宋体" w:hAnsi="宋体" w:cs="宋体"/>
          <w:color w:val="000000"/>
          <w:sz w:val="24"/>
        </w:rPr>
        <w:t>分）</w:t>
      </w:r>
      <w:r>
        <w:rPr>
          <w:rFonts w:hint="eastAsia" w:ascii="宋体" w:hAnsi="宋体" w:cs="宋体"/>
          <w:color w:val="000000"/>
          <w:sz w:val="24"/>
        </w:rPr>
        <w:t>：实施方案</w:t>
      </w:r>
      <w:r>
        <w:rPr>
          <w:rFonts w:hint="eastAsia" w:ascii="宋体" w:hAnsi="宋体" w:cs="宋体"/>
          <w:color w:val="000000"/>
          <w:sz w:val="24"/>
          <w:lang w:val="en-US" w:eastAsia="zh-CN"/>
        </w:rPr>
        <w:t>主要</w:t>
      </w:r>
      <w:r>
        <w:rPr>
          <w:rFonts w:hint="eastAsia" w:ascii="宋体" w:hAnsi="宋体" w:cs="宋体"/>
          <w:color w:val="000000"/>
          <w:sz w:val="24"/>
        </w:rPr>
        <w:t>结合学校实际情况提供建设性意见、安装调试及验收等方案进行综合打分。提供方案相关内容全面、详细、合理，措施有力，并能够结合学校实际情况、与需求的吻合程度提供建设性意见，得5分；实施方案内容较合理、较全面</w:t>
      </w:r>
      <w:r>
        <w:rPr>
          <w:rFonts w:hint="eastAsia" w:ascii="宋体" w:hAnsi="宋体" w:cs="宋体"/>
          <w:color w:val="000000"/>
          <w:sz w:val="24"/>
          <w:lang w:eastAsia="zh-CN"/>
        </w:rPr>
        <w:t>，</w:t>
      </w:r>
      <w:r>
        <w:rPr>
          <w:rFonts w:hint="eastAsia" w:ascii="宋体" w:hAnsi="宋体" w:cs="宋体"/>
          <w:color w:val="000000"/>
          <w:sz w:val="24"/>
        </w:rPr>
        <w:t>得3分；实施方案内容的合理性、全面性有欠缺，措施针对性一般得1分；未提供方案不得分。</w:t>
      </w:r>
    </w:p>
    <w:p w14:paraId="62454B80">
      <w:pPr>
        <w:pStyle w:val="249"/>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000000"/>
          <w:sz w:val="24"/>
        </w:rPr>
      </w:pPr>
      <w:r>
        <w:rPr>
          <w:rFonts w:ascii="宋体" w:hAnsi="宋体" w:cs="宋体"/>
          <w:color w:val="000000"/>
          <w:sz w:val="24"/>
        </w:rPr>
        <w:t xml:space="preserve">2.4 </w:t>
      </w:r>
      <w:r>
        <w:rPr>
          <w:rFonts w:hint="eastAsia" w:ascii="宋体" w:hAnsi="宋体" w:cs="宋体"/>
          <w:color w:val="000000"/>
          <w:sz w:val="24"/>
          <w:lang w:val="en-US" w:eastAsia="zh-CN"/>
        </w:rPr>
        <w:t>培训</w:t>
      </w:r>
      <w:r>
        <w:rPr>
          <w:rFonts w:ascii="宋体" w:hAnsi="宋体" w:cs="宋体"/>
          <w:color w:val="000000"/>
          <w:sz w:val="24"/>
        </w:rPr>
        <w:t>方案（</w:t>
      </w:r>
      <w:r>
        <w:rPr>
          <w:rFonts w:hint="eastAsia" w:ascii="宋体" w:hAnsi="宋体" w:cs="宋体"/>
          <w:color w:val="000000"/>
          <w:sz w:val="24"/>
          <w:lang w:val="en-US" w:eastAsia="zh-CN"/>
        </w:rPr>
        <w:t>4</w:t>
      </w:r>
      <w:r>
        <w:rPr>
          <w:rFonts w:ascii="宋体" w:hAnsi="宋体" w:cs="宋体"/>
          <w:color w:val="000000"/>
          <w:sz w:val="24"/>
        </w:rPr>
        <w:t>分）</w:t>
      </w:r>
      <w:r>
        <w:rPr>
          <w:rFonts w:hint="eastAsia" w:ascii="宋体" w:hAnsi="宋体" w:cs="宋体"/>
          <w:color w:val="000000"/>
          <w:sz w:val="24"/>
        </w:rPr>
        <w:t>：</w:t>
      </w:r>
    </w:p>
    <w:p w14:paraId="5A7317D4">
      <w:pPr>
        <w:pStyle w:val="249"/>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1"/>
          <w:lang w:val="en-US" w:eastAsia="zh-CN" w:bidi="ar-SA"/>
        </w:rPr>
      </w:pPr>
      <w:r>
        <w:rPr>
          <w:rFonts w:hint="eastAsia" w:ascii="宋体" w:hAnsi="宋体" w:cs="宋体"/>
          <w:color w:val="000000"/>
          <w:sz w:val="24"/>
          <w:lang w:val="en-US" w:eastAsia="zh-CN"/>
        </w:rPr>
        <w:t>2.4.1</w:t>
      </w:r>
      <w:r>
        <w:rPr>
          <w:rFonts w:hint="eastAsia" w:ascii="宋体" w:hAnsi="宋体" w:eastAsia="宋体" w:cs="宋体"/>
          <w:color w:val="000000"/>
          <w:sz w:val="24"/>
          <w:szCs w:val="21"/>
          <w:lang w:val="en-US" w:eastAsia="zh-CN" w:bidi="ar-SA"/>
        </w:rPr>
        <w:t>根据投标人针对本项目提供的培训方案（详细培训计划、时间、内容、人数、次数安排等）进行综合评分：培训方案全面周到、具有详细内容，可行性强的得3分；培训方案较全面、有具体内容，有一定可行性的得2分；培训方案有内容，但欠全面，可行性较差的得1分；未提供相关信息或不能反映评审内容不得分。</w:t>
      </w:r>
    </w:p>
    <w:p w14:paraId="182424B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1"/>
          <w:highlight w:val="none"/>
          <w:lang w:val="en-US" w:eastAsia="zh-CN" w:bidi="ar-SA"/>
        </w:rPr>
      </w:pPr>
      <w:r>
        <w:rPr>
          <w:rFonts w:hint="eastAsia" w:ascii="宋体" w:hAnsi="宋体" w:cs="宋体"/>
          <w:color w:val="000000"/>
          <w:sz w:val="24"/>
          <w:szCs w:val="21"/>
          <w:lang w:val="en-US" w:eastAsia="zh-CN" w:bidi="ar-SA"/>
        </w:rPr>
        <w:t>2.4.2</w:t>
      </w:r>
      <w:r>
        <w:rPr>
          <w:rFonts w:hint="eastAsia" w:ascii="宋体" w:hAnsi="宋体" w:eastAsia="宋体" w:cs="宋体"/>
          <w:color w:val="000000"/>
          <w:sz w:val="24"/>
          <w:szCs w:val="21"/>
          <w:lang w:val="en-US" w:eastAsia="zh-CN" w:bidi="ar-SA"/>
        </w:rPr>
        <w:t>投标人针对本项目的培训讲师具有教师资格的得</w:t>
      </w:r>
      <w:r>
        <w:rPr>
          <w:rFonts w:hint="eastAsia" w:ascii="宋体" w:hAnsi="宋体" w:cs="宋体"/>
          <w:color w:val="000000"/>
          <w:sz w:val="24"/>
          <w:szCs w:val="21"/>
          <w:lang w:val="en-US" w:eastAsia="zh-CN" w:bidi="ar-SA"/>
        </w:rPr>
        <w:t>2</w:t>
      </w:r>
      <w:r>
        <w:rPr>
          <w:rFonts w:hint="eastAsia" w:ascii="宋体" w:hAnsi="宋体" w:eastAsia="宋体" w:cs="宋体"/>
          <w:color w:val="000000"/>
          <w:sz w:val="24"/>
          <w:szCs w:val="21"/>
          <w:lang w:val="en-US" w:eastAsia="zh-CN" w:bidi="ar-SA"/>
        </w:rPr>
        <w:t>分，不提供不得分。</w:t>
      </w:r>
      <w:r>
        <w:rPr>
          <w:rFonts w:hint="eastAsia" w:ascii="宋体" w:hAnsi="宋体" w:eastAsia="宋体" w:cs="宋体"/>
          <w:color w:val="000000"/>
          <w:sz w:val="24"/>
          <w:szCs w:val="21"/>
          <w:lang w:val="zh-CN" w:eastAsia="zh-CN" w:bidi="ar-SA"/>
        </w:rPr>
        <w:t>（提供</w:t>
      </w:r>
      <w:r>
        <w:rPr>
          <w:rFonts w:hint="eastAsia" w:ascii="宋体" w:hAnsi="宋体" w:cs="宋体"/>
          <w:color w:val="000000"/>
          <w:sz w:val="24"/>
          <w:szCs w:val="21"/>
          <w:lang w:val="en-US" w:eastAsia="zh-CN" w:bidi="ar-SA"/>
        </w:rPr>
        <w:t>资格</w:t>
      </w:r>
      <w:r>
        <w:rPr>
          <w:rFonts w:hint="eastAsia" w:ascii="宋体" w:hAnsi="宋体" w:eastAsia="宋体" w:cs="宋体"/>
          <w:color w:val="000000"/>
          <w:sz w:val="24"/>
          <w:szCs w:val="21"/>
          <w:lang w:val="zh-CN" w:eastAsia="zh-CN" w:bidi="ar-SA"/>
        </w:rPr>
        <w:t>证</w:t>
      </w:r>
      <w:r>
        <w:rPr>
          <w:rFonts w:hint="eastAsia" w:ascii="宋体" w:hAnsi="宋体" w:eastAsia="宋体" w:cs="宋体"/>
          <w:color w:val="000000"/>
          <w:sz w:val="24"/>
          <w:szCs w:val="21"/>
          <w:highlight w:val="none"/>
          <w:lang w:val="zh-CN" w:eastAsia="zh-CN" w:bidi="ar-SA"/>
        </w:rPr>
        <w:t>书及投标人</w:t>
      </w:r>
      <w:r>
        <w:rPr>
          <w:rFonts w:hint="eastAsia" w:ascii="宋体" w:hAnsi="宋体" w:eastAsia="宋体" w:cs="宋体"/>
          <w:color w:val="000000"/>
          <w:sz w:val="24"/>
          <w:szCs w:val="21"/>
          <w:highlight w:val="none"/>
          <w:lang w:val="en-US" w:eastAsia="zh-CN" w:bidi="ar-SA"/>
        </w:rPr>
        <w:t>为其缴纳的</w:t>
      </w:r>
      <w:r>
        <w:rPr>
          <w:rFonts w:hint="eastAsia" w:ascii="宋体" w:hAnsi="宋体" w:eastAsia="宋体" w:cs="宋体"/>
          <w:color w:val="000000"/>
          <w:sz w:val="24"/>
          <w:szCs w:val="21"/>
          <w:highlight w:val="none"/>
          <w:lang w:val="zh-CN" w:eastAsia="zh-CN" w:bidi="ar-SA"/>
        </w:rPr>
        <w:t>近</w:t>
      </w:r>
      <w:r>
        <w:rPr>
          <w:rFonts w:hint="eastAsia" w:ascii="宋体" w:hAnsi="宋体" w:cs="宋体"/>
          <w:color w:val="000000"/>
          <w:sz w:val="24"/>
          <w:szCs w:val="21"/>
          <w:highlight w:val="none"/>
          <w:lang w:val="en-US" w:eastAsia="zh-CN" w:bidi="ar-SA"/>
        </w:rPr>
        <w:t>一年中任意一个月的</w:t>
      </w:r>
      <w:r>
        <w:rPr>
          <w:rFonts w:hint="eastAsia" w:ascii="宋体" w:hAnsi="宋体" w:eastAsia="宋体" w:cs="宋体"/>
          <w:color w:val="000000"/>
          <w:sz w:val="24"/>
          <w:szCs w:val="21"/>
          <w:highlight w:val="none"/>
          <w:lang w:val="zh-CN" w:eastAsia="zh-CN" w:bidi="ar-SA"/>
        </w:rPr>
        <w:t>社保证明）</w:t>
      </w:r>
    </w:p>
    <w:p w14:paraId="70CB8ECA">
      <w:pPr>
        <w:tabs>
          <w:tab w:val="left" w:pos="945"/>
          <w:tab w:val="left" w:pos="1155"/>
          <w:tab w:val="left" w:pos="3823"/>
        </w:tabs>
        <w:spacing w:line="360" w:lineRule="auto"/>
        <w:ind w:left="480"/>
        <w:rPr>
          <w:rFonts w:ascii="宋体" w:hAnsi="宋体"/>
          <w:b/>
          <w:bCs/>
          <w:color w:val="000000"/>
          <w:sz w:val="24"/>
          <w:szCs w:val="24"/>
        </w:rPr>
      </w:pPr>
      <w:r>
        <w:rPr>
          <w:rFonts w:hint="eastAsia" w:ascii="宋体" w:hAnsi="宋体"/>
          <w:b/>
          <w:bCs/>
          <w:color w:val="000000"/>
          <w:sz w:val="24"/>
          <w:szCs w:val="24"/>
        </w:rPr>
        <w:t>3、商务部分</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22</w:t>
      </w:r>
      <w:r>
        <w:rPr>
          <w:rFonts w:hint="eastAsia" w:ascii="宋体" w:hAnsi="宋体"/>
          <w:b/>
          <w:bCs/>
          <w:color w:val="000000"/>
          <w:sz w:val="24"/>
          <w:szCs w:val="24"/>
          <w:highlight w:val="none"/>
        </w:rPr>
        <w:t>分</w:t>
      </w:r>
      <w:r>
        <w:rPr>
          <w:rFonts w:hint="eastAsia" w:ascii="宋体" w:hAnsi="宋体"/>
          <w:b/>
          <w:bCs/>
          <w:color w:val="000000"/>
          <w:sz w:val="24"/>
          <w:szCs w:val="24"/>
        </w:rPr>
        <w:t>）：</w:t>
      </w:r>
      <w:r>
        <w:rPr>
          <w:rFonts w:ascii="宋体" w:hAnsi="宋体"/>
          <w:b/>
          <w:bCs/>
          <w:color w:val="000000"/>
          <w:sz w:val="24"/>
          <w:szCs w:val="24"/>
        </w:rPr>
        <w:t xml:space="preserve"> </w:t>
      </w:r>
    </w:p>
    <w:p w14:paraId="59E26274">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ascii="宋体" w:hAnsi="宋体" w:cs="宋体"/>
          <w:color w:val="000000"/>
          <w:sz w:val="24"/>
        </w:rPr>
      </w:pPr>
      <w:r>
        <w:rPr>
          <w:rFonts w:ascii="宋体" w:hAnsi="宋体" w:cs="宋体"/>
          <w:color w:val="000000"/>
          <w:sz w:val="24"/>
        </w:rPr>
        <w:t>3.1业绩（</w:t>
      </w:r>
      <w:r>
        <w:rPr>
          <w:rFonts w:hint="eastAsia" w:ascii="宋体" w:hAnsi="宋体" w:cs="宋体"/>
          <w:color w:val="000000"/>
          <w:sz w:val="24"/>
          <w:lang w:val="en-US" w:eastAsia="zh-CN"/>
        </w:rPr>
        <w:t>6</w:t>
      </w:r>
      <w:r>
        <w:rPr>
          <w:rFonts w:ascii="宋体" w:hAnsi="宋体" w:cs="宋体"/>
          <w:color w:val="000000"/>
          <w:sz w:val="24"/>
        </w:rPr>
        <w:t>分）：投标人提供自202</w:t>
      </w:r>
      <w:r>
        <w:rPr>
          <w:rFonts w:hint="eastAsia" w:ascii="宋体" w:hAnsi="宋体" w:cs="宋体"/>
          <w:color w:val="000000"/>
          <w:sz w:val="24"/>
          <w:lang w:val="en-US" w:eastAsia="zh-CN"/>
        </w:rPr>
        <w:t>1</w:t>
      </w:r>
      <w:r>
        <w:rPr>
          <w:rFonts w:ascii="宋体" w:hAnsi="宋体" w:cs="宋体"/>
          <w:color w:val="000000"/>
          <w:sz w:val="24"/>
        </w:rPr>
        <w:t>年</w:t>
      </w:r>
      <w:r>
        <w:rPr>
          <w:rFonts w:hint="eastAsia" w:ascii="宋体" w:hAnsi="宋体" w:cs="宋体"/>
          <w:color w:val="000000"/>
          <w:sz w:val="24"/>
          <w:lang w:val="en-US" w:eastAsia="zh-CN"/>
        </w:rPr>
        <w:t>6</w:t>
      </w:r>
      <w:r>
        <w:rPr>
          <w:rFonts w:ascii="宋体" w:hAnsi="宋体" w:cs="宋体"/>
          <w:color w:val="000000"/>
          <w:sz w:val="24"/>
        </w:rPr>
        <w:t>月1日以来</w:t>
      </w:r>
      <w:r>
        <w:rPr>
          <w:rFonts w:hint="eastAsia" w:ascii="宋体" w:hAnsi="宋体" w:cs="宋体"/>
          <w:color w:val="000000"/>
          <w:sz w:val="24"/>
        </w:rPr>
        <w:t>（以合同签订时间为准）以来的与本项目类似业绩（</w:t>
      </w:r>
      <w:r>
        <w:rPr>
          <w:rFonts w:hint="eastAsia" w:ascii="宋体" w:hAnsi="宋体" w:cs="宋体"/>
          <w:b/>
          <w:bCs/>
          <w:color w:val="000000"/>
          <w:sz w:val="24"/>
        </w:rPr>
        <w:t>须</w:t>
      </w:r>
      <w:r>
        <w:rPr>
          <w:rFonts w:hint="eastAsia" w:ascii="宋体" w:hAnsi="宋体" w:cs="宋体"/>
          <w:color w:val="000000"/>
          <w:sz w:val="24"/>
        </w:rPr>
        <w:t>提供中标通知书或中标公告、合同、用户联系人及电话）</w:t>
      </w:r>
      <w:r>
        <w:rPr>
          <w:rFonts w:hint="eastAsia" w:ascii="宋体" w:hAnsi="宋体" w:cs="宋体"/>
          <w:color w:val="000000"/>
          <w:sz w:val="24"/>
          <w:lang w:eastAsia="zh-CN"/>
        </w:rPr>
        <w:t>。</w:t>
      </w:r>
      <w:r>
        <w:rPr>
          <w:rFonts w:ascii="宋体" w:hAnsi="宋体" w:cs="宋体"/>
          <w:color w:val="000000"/>
          <w:sz w:val="24"/>
        </w:rPr>
        <w:t>每提供一份有效</w:t>
      </w:r>
      <w:r>
        <w:rPr>
          <w:rFonts w:hint="eastAsia" w:ascii="宋体" w:hAnsi="宋体" w:cs="宋体"/>
          <w:color w:val="000000"/>
          <w:sz w:val="24"/>
        </w:rPr>
        <w:t>证明材料</w:t>
      </w:r>
      <w:r>
        <w:rPr>
          <w:rFonts w:ascii="宋体" w:hAnsi="宋体" w:cs="宋体"/>
          <w:color w:val="000000"/>
          <w:sz w:val="24"/>
        </w:rPr>
        <w:t>得</w:t>
      </w:r>
      <w:r>
        <w:rPr>
          <w:rFonts w:hint="eastAsia" w:ascii="宋体" w:hAnsi="宋体" w:cs="宋体"/>
          <w:color w:val="000000"/>
          <w:sz w:val="24"/>
          <w:lang w:val="en-US" w:eastAsia="zh-CN"/>
        </w:rPr>
        <w:t>2</w:t>
      </w:r>
      <w:r>
        <w:rPr>
          <w:rFonts w:ascii="宋体" w:hAnsi="宋体" w:cs="宋体"/>
          <w:color w:val="000000"/>
          <w:sz w:val="24"/>
        </w:rPr>
        <w:t>分，最高</w:t>
      </w:r>
      <w:r>
        <w:rPr>
          <w:rFonts w:hint="eastAsia" w:ascii="宋体" w:hAnsi="宋体" w:cs="宋体"/>
          <w:color w:val="000000"/>
          <w:sz w:val="24"/>
        </w:rPr>
        <w:t>得</w:t>
      </w:r>
      <w:r>
        <w:rPr>
          <w:rFonts w:hint="eastAsia" w:ascii="宋体" w:hAnsi="宋体" w:cs="宋体"/>
          <w:color w:val="000000"/>
          <w:sz w:val="24"/>
          <w:lang w:val="en-US" w:eastAsia="zh-CN"/>
        </w:rPr>
        <w:t>6</w:t>
      </w:r>
      <w:r>
        <w:rPr>
          <w:rFonts w:ascii="宋体" w:hAnsi="宋体" w:cs="宋体"/>
          <w:color w:val="000000"/>
          <w:sz w:val="24"/>
        </w:rPr>
        <w:t>分。</w:t>
      </w:r>
    </w:p>
    <w:p w14:paraId="2B85DC3D">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cs="宋体"/>
          <w:color w:val="000000"/>
          <w:sz w:val="24"/>
        </w:rPr>
      </w:pPr>
      <w:r>
        <w:rPr>
          <w:rFonts w:ascii="宋体" w:hAnsi="宋体" w:cs="宋体"/>
          <w:color w:val="000000"/>
          <w:sz w:val="24"/>
        </w:rPr>
        <w:t>3.2</w:t>
      </w:r>
      <w:r>
        <w:rPr>
          <w:rFonts w:hint="eastAsia" w:ascii="宋体" w:hAnsi="宋体" w:cs="宋体"/>
          <w:color w:val="000000"/>
          <w:sz w:val="24"/>
          <w:lang w:val="en-US" w:eastAsia="zh-CN"/>
        </w:rPr>
        <w:t>服务保证</w:t>
      </w:r>
      <w:r>
        <w:rPr>
          <w:rFonts w:hint="eastAsia" w:ascii="宋体" w:hAnsi="宋体" w:cs="宋体"/>
          <w:color w:val="000000"/>
          <w:sz w:val="24"/>
        </w:rPr>
        <w:t>（</w:t>
      </w:r>
      <w:r>
        <w:rPr>
          <w:rFonts w:hint="eastAsia" w:ascii="宋体" w:hAnsi="宋体" w:cs="宋体"/>
          <w:color w:val="000000"/>
          <w:sz w:val="24"/>
          <w:lang w:val="en-US" w:eastAsia="zh-CN"/>
        </w:rPr>
        <w:t>6</w:t>
      </w:r>
      <w:r>
        <w:rPr>
          <w:rFonts w:ascii="宋体" w:hAnsi="宋体" w:cs="宋体"/>
          <w:color w:val="000000"/>
          <w:sz w:val="24"/>
        </w:rPr>
        <w:t>分）：</w:t>
      </w:r>
      <w:r>
        <w:rPr>
          <w:rFonts w:hint="eastAsia" w:ascii="宋体" w:hAnsi="宋体" w:cs="宋体"/>
          <w:color w:val="000000"/>
          <w:sz w:val="24"/>
        </w:rPr>
        <w:t>提供</w:t>
      </w:r>
      <w:r>
        <w:rPr>
          <w:rFonts w:hint="eastAsia" w:ascii="宋体" w:hAnsi="宋体" w:cs="宋体"/>
          <w:color w:val="000000"/>
          <w:sz w:val="24"/>
          <w:lang w:val="en-US" w:eastAsia="zh-CN"/>
        </w:rPr>
        <w:t>相关</w:t>
      </w:r>
      <w:r>
        <w:rPr>
          <w:rFonts w:hint="eastAsia" w:ascii="宋体" w:hAnsi="宋体" w:cs="宋体"/>
          <w:color w:val="000000"/>
          <w:sz w:val="24"/>
        </w:rPr>
        <w:t>证书扫描件，并加盖投标人公章</w:t>
      </w:r>
    </w:p>
    <w:p w14:paraId="4159BA9F">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3.2.</w:t>
      </w:r>
      <w:r>
        <w:rPr>
          <w:rFonts w:hint="eastAsia" w:ascii="宋体" w:hAnsi="宋体" w:cs="宋体"/>
          <w:color w:val="000000"/>
          <w:sz w:val="24"/>
        </w:rPr>
        <w:t>1投标人具有ISO20000信息技术服务管理体系认证证书，</w:t>
      </w:r>
      <w:r>
        <w:rPr>
          <w:rFonts w:hint="eastAsia" w:ascii="宋体" w:hAnsi="宋体" w:cs="宋体"/>
          <w:color w:val="000000"/>
          <w:sz w:val="24"/>
          <w:highlight w:val="none"/>
        </w:rPr>
        <w:t>得</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分</w:t>
      </w:r>
      <w:r>
        <w:rPr>
          <w:rFonts w:hint="eastAsia" w:ascii="宋体" w:hAnsi="宋体" w:cs="宋体"/>
          <w:color w:val="000000"/>
          <w:sz w:val="24"/>
          <w:lang w:eastAsia="zh-CN"/>
        </w:rPr>
        <w:t>。</w:t>
      </w:r>
    </w:p>
    <w:p w14:paraId="3DD05EA6">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3.2.</w:t>
      </w:r>
      <w:r>
        <w:rPr>
          <w:rFonts w:hint="eastAsia" w:ascii="宋体" w:hAnsi="宋体" w:cs="宋体"/>
          <w:color w:val="000000"/>
          <w:sz w:val="24"/>
        </w:rPr>
        <w:t>2投标人具备系统集成售后服务五星认证</w:t>
      </w:r>
      <w:r>
        <w:rPr>
          <w:rFonts w:hint="eastAsia" w:ascii="宋体" w:hAnsi="宋体" w:cs="宋体"/>
          <w:color w:val="000000"/>
          <w:sz w:val="24"/>
          <w:lang w:eastAsia="zh-CN"/>
        </w:rPr>
        <w:t>，</w:t>
      </w:r>
      <w:r>
        <w:rPr>
          <w:rFonts w:hint="eastAsia" w:ascii="宋体" w:hAnsi="宋体" w:cs="宋体"/>
          <w:color w:val="000000"/>
          <w:sz w:val="24"/>
        </w:rPr>
        <w:t>得1分</w:t>
      </w:r>
      <w:r>
        <w:rPr>
          <w:rFonts w:hint="eastAsia" w:ascii="宋体" w:hAnsi="宋体" w:cs="宋体"/>
          <w:color w:val="000000"/>
          <w:sz w:val="24"/>
          <w:lang w:eastAsia="zh-CN"/>
        </w:rPr>
        <w:t>。</w:t>
      </w:r>
    </w:p>
    <w:p w14:paraId="1FBBF2B8">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3.2.3</w:t>
      </w:r>
      <w:r>
        <w:rPr>
          <w:rFonts w:hint="eastAsia" w:ascii="宋体" w:hAnsi="宋体" w:cs="宋体"/>
          <w:color w:val="000000"/>
          <w:sz w:val="24"/>
        </w:rPr>
        <w:t>为保证后期设备维护，所投激光黑板与</w:t>
      </w:r>
      <w:r>
        <w:rPr>
          <w:rFonts w:hint="eastAsia" w:ascii="宋体" w:hAnsi="宋体" w:cs="宋体"/>
          <w:color w:val="000000"/>
          <w:sz w:val="24"/>
          <w:lang w:val="en-US" w:eastAsia="zh-CN"/>
        </w:rPr>
        <w:t>终端设备</w:t>
      </w:r>
      <w:r>
        <w:rPr>
          <w:rFonts w:hint="eastAsia" w:ascii="宋体" w:hAnsi="宋体" w:cs="宋体"/>
          <w:color w:val="000000"/>
          <w:sz w:val="24"/>
        </w:rPr>
        <w:t>制造商具有售后服务评价体系和售后服务体系成熟度十星认证证书</w:t>
      </w:r>
      <w:r>
        <w:rPr>
          <w:rFonts w:hint="eastAsia" w:ascii="宋体" w:hAnsi="宋体" w:cs="宋体"/>
          <w:color w:val="000000"/>
          <w:sz w:val="24"/>
          <w:lang w:eastAsia="zh-CN"/>
        </w:rPr>
        <w:t>，</w:t>
      </w:r>
      <w:r>
        <w:rPr>
          <w:rFonts w:hint="eastAsia" w:ascii="宋体" w:hAnsi="宋体" w:cs="宋体"/>
          <w:color w:val="000000"/>
          <w:sz w:val="24"/>
        </w:rPr>
        <w:t>得1分</w:t>
      </w:r>
      <w:r>
        <w:rPr>
          <w:rFonts w:hint="eastAsia" w:ascii="宋体" w:hAnsi="宋体" w:cs="宋体"/>
          <w:color w:val="000000"/>
          <w:sz w:val="24"/>
          <w:lang w:eastAsia="zh-CN"/>
        </w:rPr>
        <w:t>。</w:t>
      </w:r>
    </w:p>
    <w:p w14:paraId="3D591F42">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ascii="宋体" w:hAnsi="宋体" w:cs="宋体"/>
          <w:color w:val="000000"/>
          <w:sz w:val="24"/>
        </w:rPr>
      </w:pPr>
      <w:r>
        <w:rPr>
          <w:rFonts w:hint="eastAsia" w:ascii="宋体" w:hAnsi="宋体" w:cs="宋体"/>
          <w:color w:val="000000"/>
          <w:sz w:val="24"/>
          <w:lang w:val="en-US" w:eastAsia="zh-CN"/>
        </w:rPr>
        <w:t>3.2.4</w:t>
      </w:r>
      <w:r>
        <w:rPr>
          <w:rFonts w:hint="eastAsia" w:ascii="宋体" w:hAnsi="宋体" w:cs="宋体"/>
          <w:color w:val="000000"/>
          <w:sz w:val="24"/>
        </w:rPr>
        <w:t>为保证后期服务，</w:t>
      </w:r>
      <w:r>
        <w:rPr>
          <w:rFonts w:hint="eastAsia" w:ascii="宋体" w:hAnsi="宋体" w:cs="宋体"/>
          <w:color w:val="000000"/>
          <w:sz w:val="24"/>
          <w:lang w:val="en-US" w:eastAsia="zh-CN"/>
        </w:rPr>
        <w:t>投标人或所投产品制造商</w:t>
      </w:r>
      <w:r>
        <w:rPr>
          <w:rFonts w:ascii="宋体" w:hAnsi="宋体" w:cs="宋体"/>
          <w:color w:val="000000"/>
          <w:sz w:val="24"/>
        </w:rPr>
        <w:t>服务团队成员具有</w:t>
      </w:r>
      <w:r>
        <w:rPr>
          <w:rFonts w:hint="eastAsia" w:ascii="宋体" w:hAnsi="宋体" w:cs="宋体"/>
          <w:color w:val="000000"/>
          <w:sz w:val="24"/>
        </w:rPr>
        <w:t>①</w:t>
      </w:r>
      <w:r>
        <w:rPr>
          <w:rFonts w:ascii="宋体" w:hAnsi="宋体" w:cs="宋体"/>
          <w:color w:val="000000"/>
          <w:sz w:val="24"/>
        </w:rPr>
        <w:t>VR</w:t>
      </w:r>
      <w:r>
        <w:rPr>
          <w:rFonts w:hint="eastAsia" w:ascii="宋体" w:hAnsi="宋体" w:cs="宋体"/>
          <w:color w:val="000000"/>
          <w:sz w:val="24"/>
        </w:rPr>
        <w:t>高级</w:t>
      </w:r>
      <w:r>
        <w:rPr>
          <w:rFonts w:ascii="宋体" w:hAnsi="宋体" w:cs="宋体"/>
          <w:color w:val="000000"/>
          <w:sz w:val="24"/>
        </w:rPr>
        <w:t>开发工程师证书、</w:t>
      </w:r>
      <w:r>
        <w:rPr>
          <w:rFonts w:hint="eastAsia" w:ascii="宋体" w:hAnsi="宋体" w:cs="宋体"/>
          <w:color w:val="000000"/>
          <w:sz w:val="24"/>
        </w:rPr>
        <w:t>②</w:t>
      </w:r>
      <w:r>
        <w:rPr>
          <w:rFonts w:ascii="宋体" w:hAnsi="宋体" w:cs="宋体"/>
          <w:color w:val="000000"/>
          <w:sz w:val="24"/>
        </w:rPr>
        <w:t>PMP证书</w:t>
      </w:r>
      <w:r>
        <w:rPr>
          <w:rFonts w:hint="eastAsia" w:ascii="宋体" w:hAnsi="宋体" w:cs="宋体"/>
          <w:color w:val="000000"/>
          <w:sz w:val="24"/>
        </w:rPr>
        <w:t>，</w:t>
      </w:r>
      <w:r>
        <w:rPr>
          <w:rFonts w:ascii="宋体" w:hAnsi="宋体" w:cs="宋体"/>
          <w:color w:val="000000"/>
          <w:sz w:val="24"/>
        </w:rPr>
        <w:t>每提供一个</w:t>
      </w:r>
      <w:r>
        <w:rPr>
          <w:rFonts w:hint="eastAsia" w:ascii="宋体" w:hAnsi="宋体" w:cs="宋体"/>
          <w:color w:val="000000"/>
          <w:sz w:val="24"/>
        </w:rPr>
        <w:t>证书</w:t>
      </w:r>
      <w:r>
        <w:rPr>
          <w:rFonts w:ascii="宋体" w:hAnsi="宋体" w:cs="宋体"/>
          <w:color w:val="000000"/>
          <w:sz w:val="24"/>
        </w:rPr>
        <w:t>得</w:t>
      </w:r>
      <w:r>
        <w:rPr>
          <w:rFonts w:hint="eastAsia" w:ascii="宋体" w:hAnsi="宋体" w:cs="宋体"/>
          <w:color w:val="000000"/>
          <w:sz w:val="24"/>
        </w:rPr>
        <w:t>1分，最高得</w:t>
      </w:r>
      <w:r>
        <w:rPr>
          <w:rFonts w:ascii="宋体" w:hAnsi="宋体" w:cs="宋体"/>
          <w:color w:val="000000"/>
          <w:sz w:val="24"/>
        </w:rPr>
        <w:t>2</w:t>
      </w:r>
      <w:r>
        <w:rPr>
          <w:rFonts w:hint="eastAsia" w:ascii="宋体" w:hAnsi="宋体" w:cs="宋体"/>
          <w:color w:val="000000"/>
          <w:sz w:val="24"/>
        </w:rPr>
        <w:t>分</w:t>
      </w:r>
      <w:r>
        <w:rPr>
          <w:rFonts w:ascii="宋体" w:hAnsi="宋体" w:cs="宋体"/>
          <w:color w:val="000000"/>
          <w:sz w:val="24"/>
        </w:rPr>
        <w:t>。</w:t>
      </w:r>
      <w:r>
        <w:rPr>
          <w:rFonts w:hint="eastAsia" w:ascii="宋体" w:hAnsi="宋体" w:cs="宋体"/>
          <w:color w:val="000000"/>
          <w:sz w:val="24"/>
        </w:rPr>
        <w:t>（提供</w:t>
      </w:r>
      <w:r>
        <w:rPr>
          <w:rFonts w:hint="eastAsia" w:ascii="宋体" w:hAnsi="宋体" w:cs="宋体"/>
          <w:color w:val="000000"/>
          <w:sz w:val="24"/>
          <w:lang w:val="en-US" w:eastAsia="zh-CN"/>
        </w:rPr>
        <w:t>投标人为团队</w:t>
      </w:r>
      <w:r>
        <w:rPr>
          <w:rFonts w:hint="eastAsia" w:ascii="宋体" w:hAnsi="宋体" w:cs="宋体"/>
          <w:color w:val="000000"/>
          <w:sz w:val="24"/>
        </w:rPr>
        <w:t>成员</w:t>
      </w:r>
      <w:r>
        <w:rPr>
          <w:rFonts w:hint="eastAsia" w:ascii="宋体" w:hAnsi="宋体" w:cs="宋体"/>
          <w:color w:val="000000"/>
          <w:sz w:val="24"/>
          <w:lang w:val="en-US" w:eastAsia="zh-CN"/>
        </w:rPr>
        <w:t>缴纳的</w:t>
      </w:r>
      <w:r>
        <w:rPr>
          <w:rFonts w:hint="eastAsia" w:ascii="宋体" w:hAnsi="宋体" w:eastAsia="宋体" w:cs="宋体"/>
          <w:color w:val="000000"/>
          <w:sz w:val="24"/>
          <w:szCs w:val="21"/>
          <w:highlight w:val="none"/>
          <w:lang w:val="zh-CN" w:eastAsia="zh-CN" w:bidi="ar-SA"/>
        </w:rPr>
        <w:t>近</w:t>
      </w:r>
      <w:r>
        <w:rPr>
          <w:rFonts w:hint="eastAsia" w:ascii="宋体" w:hAnsi="宋体" w:cs="宋体"/>
          <w:color w:val="000000"/>
          <w:sz w:val="24"/>
          <w:szCs w:val="21"/>
          <w:highlight w:val="none"/>
          <w:lang w:val="en-US" w:eastAsia="zh-CN" w:bidi="ar-SA"/>
        </w:rPr>
        <w:t>一年中任意一个月的</w:t>
      </w:r>
      <w:r>
        <w:rPr>
          <w:rFonts w:hint="eastAsia" w:ascii="宋体" w:hAnsi="宋体" w:eastAsia="宋体" w:cs="宋体"/>
          <w:color w:val="000000"/>
          <w:sz w:val="24"/>
          <w:szCs w:val="21"/>
          <w:highlight w:val="none"/>
          <w:lang w:val="zh-CN" w:eastAsia="zh-CN" w:bidi="ar-SA"/>
        </w:rPr>
        <w:t>社保证明</w:t>
      </w:r>
      <w:r>
        <w:rPr>
          <w:rFonts w:hint="eastAsia" w:ascii="宋体" w:hAnsi="宋体" w:cs="宋体"/>
          <w:color w:val="000000"/>
          <w:sz w:val="24"/>
        </w:rPr>
        <w:t>）</w:t>
      </w:r>
    </w:p>
    <w:p w14:paraId="2A5B0268">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cs="宋体"/>
          <w:color w:val="000000"/>
          <w:sz w:val="24"/>
        </w:rPr>
      </w:pPr>
      <w:r>
        <w:rPr>
          <w:rFonts w:hint="eastAsia" w:ascii="宋体" w:hAnsi="宋体" w:cs="宋体"/>
          <w:color w:val="000000"/>
          <w:sz w:val="24"/>
        </w:rPr>
        <w:t>3.3 产品质量、稳定性（</w:t>
      </w:r>
      <w:r>
        <w:rPr>
          <w:rFonts w:hint="eastAsia" w:ascii="宋体" w:hAnsi="宋体" w:cs="宋体"/>
          <w:color w:val="000000"/>
          <w:sz w:val="24"/>
          <w:lang w:val="en-US" w:eastAsia="zh-CN"/>
        </w:rPr>
        <w:t>5</w:t>
      </w:r>
      <w:r>
        <w:rPr>
          <w:rFonts w:hint="eastAsia" w:ascii="宋体" w:hAnsi="宋体" w:cs="宋体"/>
          <w:color w:val="000000"/>
          <w:sz w:val="24"/>
        </w:rPr>
        <w:t>分）：提供</w:t>
      </w:r>
      <w:r>
        <w:rPr>
          <w:rFonts w:hint="eastAsia" w:ascii="宋体" w:hAnsi="宋体" w:cs="宋体"/>
          <w:color w:val="000000"/>
          <w:sz w:val="24"/>
          <w:lang w:val="en-US" w:eastAsia="zh-CN"/>
        </w:rPr>
        <w:t>相关</w:t>
      </w:r>
      <w:r>
        <w:rPr>
          <w:rFonts w:hint="eastAsia" w:ascii="宋体" w:hAnsi="宋体" w:cs="宋体"/>
          <w:color w:val="000000"/>
          <w:sz w:val="24"/>
        </w:rPr>
        <w:t>证书扫描件，并加盖投标人公章</w:t>
      </w:r>
    </w:p>
    <w:p w14:paraId="601677DA">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3.3.1</w:t>
      </w:r>
      <w:r>
        <w:rPr>
          <w:rFonts w:hint="eastAsia" w:ascii="宋体" w:hAnsi="宋体" w:cs="宋体"/>
          <w:color w:val="000000"/>
          <w:sz w:val="24"/>
        </w:rPr>
        <w:t>所投XR内容桥接软件具有相关国家计算机软件著作权登记证书得1分</w:t>
      </w:r>
      <w:r>
        <w:rPr>
          <w:rFonts w:hint="eastAsia" w:ascii="宋体" w:hAnsi="宋体" w:cs="宋体"/>
          <w:color w:val="000000"/>
          <w:sz w:val="24"/>
          <w:lang w:eastAsia="zh-CN"/>
        </w:rPr>
        <w:t>。</w:t>
      </w:r>
    </w:p>
    <w:p w14:paraId="27867D71">
      <w:pPr>
        <w:pBdr>
          <w:top w:val="none" w:color="000000" w:sz="0" w:space="0"/>
          <w:left w:val="none" w:color="000000" w:sz="0" w:space="0"/>
          <w:bottom w:val="none" w:color="000000" w:sz="0" w:space="0"/>
          <w:right w:val="none" w:color="000000" w:sz="0" w:space="0"/>
        </w:pBdr>
        <w:tabs>
          <w:tab w:val="left" w:pos="945"/>
        </w:tabs>
        <w:spacing w:line="360" w:lineRule="auto"/>
        <w:ind w:firstLine="480"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3.3.</w:t>
      </w:r>
      <w:r>
        <w:rPr>
          <w:rFonts w:hint="eastAsia" w:ascii="宋体" w:hAnsi="宋体" w:cs="宋体"/>
          <w:color w:val="000000"/>
          <w:sz w:val="24"/>
        </w:rPr>
        <w:t>2所投XR内容创作引擎软件具有相关国家计算机软件著作权登记证书得1分</w:t>
      </w:r>
      <w:r>
        <w:rPr>
          <w:rFonts w:hint="eastAsia" w:ascii="宋体" w:hAnsi="宋体" w:cs="宋体"/>
          <w:color w:val="000000"/>
          <w:sz w:val="24"/>
          <w:lang w:eastAsia="zh-CN"/>
        </w:rPr>
        <w:t>。</w:t>
      </w:r>
      <w:r>
        <w:rPr>
          <w:rFonts w:hint="eastAsia" w:ascii="宋体" w:hAnsi="宋体" w:cs="宋体"/>
          <w:color w:val="000000"/>
          <w:sz w:val="24"/>
          <w:lang w:val="en-US" w:eastAsia="zh-CN"/>
        </w:rPr>
        <w:t xml:space="preserve"> </w:t>
      </w:r>
    </w:p>
    <w:p w14:paraId="275691DA">
      <w:pPr>
        <w:pBdr>
          <w:top w:val="none" w:color="000000" w:sz="0" w:space="0"/>
          <w:left w:val="none" w:color="000000" w:sz="0" w:space="0"/>
          <w:bottom w:val="none" w:color="000000" w:sz="0" w:space="0"/>
          <w:right w:val="none" w:color="000000" w:sz="0" w:space="0"/>
        </w:pBdr>
        <w:tabs>
          <w:tab w:val="left" w:pos="945"/>
        </w:tabs>
        <w:spacing w:line="360" w:lineRule="auto"/>
        <w:ind w:firstLine="480" w:firstLineChars="200"/>
        <w:rPr>
          <w:rFonts w:hint="eastAsia" w:ascii="宋体" w:hAnsi="宋体" w:eastAsia="宋体" w:cs="宋体"/>
          <w:color w:val="000000"/>
          <w:sz w:val="24"/>
          <w:highlight w:val="cyan"/>
          <w:lang w:eastAsia="zh-CN"/>
        </w:rPr>
      </w:pPr>
      <w:r>
        <w:rPr>
          <w:rFonts w:hint="eastAsia" w:ascii="宋体" w:hAnsi="宋体" w:cs="宋体"/>
          <w:color w:val="000000"/>
          <w:sz w:val="24"/>
          <w:lang w:val="en-US" w:eastAsia="zh-CN"/>
        </w:rPr>
        <w:t>3.3.</w:t>
      </w:r>
      <w:r>
        <w:rPr>
          <w:rFonts w:hint="eastAsia" w:ascii="宋体" w:hAnsi="宋体" w:cs="宋体"/>
          <w:color w:val="000000"/>
          <w:sz w:val="24"/>
        </w:rPr>
        <w:t>3为保证正常教学的开展，提供所投XR内容创作引擎软件配套软件使用正版教材的得2分</w:t>
      </w:r>
      <w:r>
        <w:rPr>
          <w:rFonts w:hint="eastAsia" w:ascii="宋体" w:hAnsi="宋体" w:cs="宋体"/>
          <w:color w:val="000000"/>
          <w:sz w:val="24"/>
          <w:lang w:eastAsia="zh-CN"/>
        </w:rPr>
        <w:t>。（</w:t>
      </w:r>
      <w:r>
        <w:rPr>
          <w:rFonts w:hint="eastAsia" w:ascii="宋体" w:hAnsi="宋体" w:cs="宋体"/>
          <w:color w:val="000000"/>
          <w:sz w:val="24"/>
          <w:highlight w:val="none"/>
        </w:rPr>
        <w:t>投标文件提交所投教材的样书</w:t>
      </w:r>
      <w:r>
        <w:rPr>
          <w:rFonts w:hint="eastAsia" w:ascii="宋体" w:hAnsi="宋体" w:cs="宋体"/>
          <w:color w:val="000000"/>
          <w:sz w:val="24"/>
          <w:highlight w:val="none"/>
          <w:lang w:val="en-US" w:eastAsia="zh-CN"/>
        </w:rPr>
        <w:t>电子版</w:t>
      </w:r>
      <w:r>
        <w:rPr>
          <w:rFonts w:hint="eastAsia" w:ascii="宋体" w:hAnsi="宋体" w:cs="宋体"/>
          <w:color w:val="000000"/>
          <w:sz w:val="24"/>
          <w:highlight w:val="none"/>
          <w:lang w:eastAsia="zh-CN"/>
        </w:rPr>
        <w:t>）</w:t>
      </w:r>
    </w:p>
    <w:p w14:paraId="17E2A391">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cs="宋体"/>
          <w:color w:val="000000"/>
          <w:sz w:val="24"/>
          <w:lang w:eastAsia="zh-CN"/>
        </w:rPr>
      </w:pPr>
      <w:r>
        <w:rPr>
          <w:rFonts w:hint="eastAsia" w:ascii="宋体" w:hAnsi="宋体" w:cs="宋体"/>
          <w:color w:val="000000"/>
          <w:sz w:val="24"/>
          <w:lang w:val="en-US" w:eastAsia="zh-CN"/>
        </w:rPr>
        <w:t>3.3.</w:t>
      </w:r>
      <w:r>
        <w:rPr>
          <w:rFonts w:hint="eastAsia" w:ascii="宋体" w:hAnsi="宋体" w:cs="宋体"/>
          <w:color w:val="000000"/>
          <w:sz w:val="24"/>
        </w:rPr>
        <w:t>4</w:t>
      </w:r>
      <w:r>
        <w:rPr>
          <w:rFonts w:hint="eastAsia" w:ascii="宋体" w:hAnsi="宋体" w:cs="宋体"/>
          <w:color w:val="000000"/>
          <w:sz w:val="24"/>
          <w:lang w:eastAsia="zh-Hans"/>
        </w:rPr>
        <w:t>所投</w:t>
      </w:r>
      <w:r>
        <w:rPr>
          <w:rFonts w:hint="eastAsia" w:ascii="宋体" w:hAnsi="宋体" w:cs="宋体"/>
          <w:color w:val="000000"/>
          <w:sz w:val="24"/>
        </w:rPr>
        <w:t>一体机MTBF无故障检测时间≥30万小时，</w:t>
      </w:r>
      <w:r>
        <w:rPr>
          <w:rFonts w:hint="eastAsia" w:ascii="宋体" w:hAnsi="宋体" w:cs="宋体"/>
          <w:color w:val="000000"/>
          <w:sz w:val="24"/>
          <w:lang w:eastAsia="zh-Hans"/>
        </w:rPr>
        <w:t>提供检测报告及</w:t>
      </w:r>
      <w:r>
        <w:rPr>
          <w:rFonts w:hint="eastAsia" w:ascii="宋体" w:hAnsi="宋体" w:cs="宋体"/>
          <w:color w:val="000000"/>
          <w:sz w:val="24"/>
        </w:rPr>
        <w:t>MTBF</w:t>
      </w:r>
      <w:r>
        <w:rPr>
          <w:rFonts w:hint="eastAsia" w:ascii="宋体" w:hAnsi="宋体" w:cs="宋体"/>
          <w:color w:val="000000"/>
          <w:sz w:val="24"/>
          <w:lang w:eastAsia="zh-Hans"/>
        </w:rPr>
        <w:t>证书</w:t>
      </w:r>
      <w:r>
        <w:rPr>
          <w:rFonts w:hint="eastAsia" w:ascii="宋体" w:hAnsi="宋体" w:cs="宋体"/>
          <w:color w:val="000000"/>
          <w:sz w:val="24"/>
        </w:rPr>
        <w:t>得1分</w:t>
      </w:r>
      <w:r>
        <w:rPr>
          <w:rFonts w:hint="eastAsia" w:ascii="宋体" w:hAnsi="宋体" w:cs="宋体"/>
          <w:color w:val="000000"/>
          <w:sz w:val="24"/>
          <w:lang w:eastAsia="zh-CN"/>
        </w:rPr>
        <w:t>。</w:t>
      </w:r>
    </w:p>
    <w:p w14:paraId="02C3CF1C">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cs="宋体"/>
          <w:color w:val="000000"/>
          <w:sz w:val="24"/>
          <w:lang w:eastAsia="zh-CN"/>
        </w:rPr>
      </w:pPr>
      <w:r>
        <w:rPr>
          <w:rFonts w:hint="eastAsia" w:ascii="宋体" w:hAnsi="宋体" w:cs="宋体"/>
          <w:color w:val="000000"/>
          <w:sz w:val="24"/>
          <w:lang w:val="en-US" w:eastAsia="zh-CN"/>
        </w:rPr>
        <w:t>3.4</w:t>
      </w:r>
      <w:r>
        <w:rPr>
          <w:rFonts w:hint="eastAsia" w:ascii="宋体" w:hAnsi="宋体" w:cs="宋体"/>
          <w:color w:val="000000"/>
          <w:sz w:val="24"/>
        </w:rPr>
        <w:t>履约能力与资信（</w:t>
      </w:r>
      <w:r>
        <w:rPr>
          <w:rFonts w:hint="eastAsia" w:ascii="宋体" w:hAnsi="宋体" w:cs="宋体"/>
          <w:color w:val="000000"/>
          <w:sz w:val="24"/>
          <w:lang w:val="en-US" w:eastAsia="zh-CN"/>
        </w:rPr>
        <w:t>5</w:t>
      </w:r>
      <w:r>
        <w:rPr>
          <w:rFonts w:hint="eastAsia" w:ascii="宋体" w:hAnsi="宋体" w:cs="宋体"/>
          <w:color w:val="000000"/>
          <w:sz w:val="24"/>
        </w:rPr>
        <w:t>分）</w:t>
      </w:r>
      <w:r>
        <w:rPr>
          <w:rFonts w:hint="eastAsia" w:ascii="宋体" w:hAnsi="宋体" w:cs="宋体"/>
          <w:color w:val="000000"/>
          <w:sz w:val="24"/>
          <w:lang w:eastAsia="zh-CN"/>
        </w:rPr>
        <w:t>：</w:t>
      </w:r>
      <w:r>
        <w:rPr>
          <w:rFonts w:hint="eastAsia" w:ascii="宋体" w:hAnsi="宋体" w:cs="宋体"/>
          <w:color w:val="000000"/>
          <w:sz w:val="24"/>
        </w:rPr>
        <w:t>提供</w:t>
      </w:r>
      <w:r>
        <w:rPr>
          <w:rFonts w:hint="eastAsia" w:ascii="宋体" w:hAnsi="宋体" w:cs="宋体"/>
          <w:color w:val="000000"/>
          <w:sz w:val="24"/>
          <w:lang w:val="en-US" w:eastAsia="zh-CN"/>
        </w:rPr>
        <w:t>相关</w:t>
      </w:r>
      <w:r>
        <w:rPr>
          <w:rFonts w:hint="eastAsia" w:ascii="宋体" w:hAnsi="宋体" w:cs="宋体"/>
          <w:color w:val="000000"/>
          <w:sz w:val="24"/>
        </w:rPr>
        <w:t>证书扫描件，并加盖投标人公章</w:t>
      </w:r>
    </w:p>
    <w:p w14:paraId="5133B072">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cs="宋体"/>
          <w:color w:val="000000"/>
          <w:sz w:val="24"/>
        </w:rPr>
      </w:pPr>
      <w:r>
        <w:rPr>
          <w:rFonts w:hint="eastAsia" w:ascii="宋体" w:hAnsi="宋体" w:cs="宋体"/>
          <w:color w:val="000000"/>
          <w:sz w:val="24"/>
          <w:lang w:val="en-US" w:eastAsia="zh-CN"/>
        </w:rPr>
        <w:t>3.4.1</w:t>
      </w:r>
      <w:r>
        <w:rPr>
          <w:rFonts w:hint="eastAsia" w:ascii="宋体" w:hAnsi="宋体" w:cs="宋体"/>
          <w:color w:val="000000"/>
          <w:sz w:val="24"/>
        </w:rPr>
        <w:t>投标人针对本项目的实施团队成员具有国家级标准机构</w:t>
      </w:r>
      <w:r>
        <w:rPr>
          <w:rFonts w:hint="eastAsia" w:ascii="宋体" w:hAnsi="宋体" w:cs="宋体"/>
          <w:color w:val="000000"/>
          <w:sz w:val="24"/>
          <w:lang w:val="zh-CN"/>
        </w:rPr>
        <w:t>（如工信部</w:t>
      </w:r>
      <w:r>
        <w:rPr>
          <w:rFonts w:hint="eastAsia" w:ascii="宋体" w:hAnsi="宋体" w:cs="宋体"/>
          <w:color w:val="000000"/>
          <w:sz w:val="24"/>
        </w:rPr>
        <w:t>教育与考试中心</w:t>
      </w:r>
      <w:r>
        <w:rPr>
          <w:rFonts w:hint="eastAsia" w:ascii="宋体" w:hAnsi="宋体" w:cs="宋体"/>
          <w:color w:val="000000"/>
          <w:sz w:val="24"/>
          <w:lang w:val="zh-CN"/>
        </w:rPr>
        <w:t>）认证的</w:t>
      </w:r>
      <w:r>
        <w:rPr>
          <w:rFonts w:hint="eastAsia" w:ascii="宋体" w:hAnsi="宋体" w:cs="宋体"/>
          <w:color w:val="000000"/>
          <w:sz w:val="24"/>
        </w:rPr>
        <w:t>教育技术工程师证书</w:t>
      </w:r>
      <w:r>
        <w:rPr>
          <w:rFonts w:hint="eastAsia" w:ascii="宋体" w:hAnsi="宋体" w:cs="宋体"/>
          <w:color w:val="000000"/>
          <w:sz w:val="24"/>
          <w:lang w:val="zh-CN"/>
        </w:rPr>
        <w:t>，</w:t>
      </w:r>
      <w:r>
        <w:rPr>
          <w:rFonts w:hint="eastAsia" w:ascii="宋体" w:hAnsi="宋体" w:cs="宋体"/>
          <w:color w:val="000000"/>
          <w:sz w:val="24"/>
          <w:highlight w:val="none"/>
          <w:lang w:val="zh-CN"/>
        </w:rPr>
        <w:t>得</w:t>
      </w:r>
      <w:r>
        <w:rPr>
          <w:rFonts w:hint="eastAsia" w:ascii="宋体" w:hAnsi="宋体" w:cs="宋体"/>
          <w:color w:val="000000"/>
          <w:sz w:val="24"/>
          <w:highlight w:val="none"/>
          <w:lang w:val="en-US" w:eastAsia="zh-CN"/>
        </w:rPr>
        <w:t>1分</w:t>
      </w:r>
      <w:r>
        <w:rPr>
          <w:rFonts w:hint="eastAsia" w:ascii="宋体" w:hAnsi="宋体" w:cs="宋体"/>
          <w:color w:val="000000"/>
          <w:sz w:val="24"/>
          <w:lang w:eastAsia="zh-CN"/>
        </w:rPr>
        <w:t>。</w:t>
      </w:r>
      <w:r>
        <w:rPr>
          <w:rFonts w:hint="eastAsia" w:ascii="宋体" w:hAnsi="宋体" w:cs="宋体"/>
          <w:color w:val="000000"/>
          <w:sz w:val="24"/>
          <w:lang w:val="zh-CN"/>
        </w:rPr>
        <w:t>（提供证书</w:t>
      </w:r>
      <w:r>
        <w:rPr>
          <w:rFonts w:hint="eastAsia" w:ascii="宋体" w:hAnsi="宋体" w:cs="宋体"/>
          <w:color w:val="000000"/>
          <w:sz w:val="24"/>
          <w:lang w:val="en-US" w:eastAsia="zh-CN"/>
        </w:rPr>
        <w:t>扫描件</w:t>
      </w:r>
      <w:r>
        <w:rPr>
          <w:rFonts w:hint="eastAsia" w:ascii="宋体" w:hAnsi="宋体" w:cs="宋体"/>
          <w:color w:val="000000"/>
          <w:sz w:val="24"/>
          <w:lang w:val="zh-CN"/>
        </w:rPr>
        <w:t>及投标人</w:t>
      </w:r>
      <w:r>
        <w:rPr>
          <w:rFonts w:hint="eastAsia" w:ascii="宋体" w:hAnsi="宋体" w:cs="宋体"/>
          <w:color w:val="000000"/>
          <w:sz w:val="24"/>
          <w:lang w:val="en-US" w:eastAsia="zh-CN"/>
        </w:rPr>
        <w:t>为其缴纳的</w:t>
      </w:r>
      <w:r>
        <w:rPr>
          <w:rFonts w:hint="eastAsia" w:ascii="宋体" w:hAnsi="宋体" w:eastAsia="宋体" w:cs="宋体"/>
          <w:color w:val="000000"/>
          <w:sz w:val="24"/>
          <w:szCs w:val="21"/>
          <w:highlight w:val="none"/>
          <w:lang w:val="zh-CN" w:eastAsia="zh-CN" w:bidi="ar-SA"/>
        </w:rPr>
        <w:t>近</w:t>
      </w:r>
      <w:r>
        <w:rPr>
          <w:rFonts w:hint="eastAsia" w:ascii="宋体" w:hAnsi="宋体" w:cs="宋体"/>
          <w:color w:val="000000"/>
          <w:sz w:val="24"/>
          <w:szCs w:val="21"/>
          <w:highlight w:val="none"/>
          <w:lang w:val="en-US" w:eastAsia="zh-CN" w:bidi="ar-SA"/>
        </w:rPr>
        <w:t>一年中任意一个月的</w:t>
      </w:r>
      <w:r>
        <w:rPr>
          <w:rFonts w:hint="eastAsia" w:ascii="宋体" w:hAnsi="宋体" w:eastAsia="宋体" w:cs="宋体"/>
          <w:color w:val="000000"/>
          <w:sz w:val="24"/>
          <w:szCs w:val="21"/>
          <w:highlight w:val="none"/>
          <w:lang w:val="zh-CN" w:eastAsia="zh-CN" w:bidi="ar-SA"/>
        </w:rPr>
        <w:t>社保证明</w:t>
      </w:r>
      <w:r>
        <w:rPr>
          <w:rFonts w:hint="eastAsia" w:ascii="宋体" w:hAnsi="宋体" w:cs="宋体"/>
          <w:color w:val="000000"/>
          <w:sz w:val="24"/>
          <w:lang w:val="zh-CN"/>
        </w:rPr>
        <w:t>）</w:t>
      </w:r>
    </w:p>
    <w:p w14:paraId="6239C0C5">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cs="宋体"/>
          <w:color w:val="000000"/>
          <w:sz w:val="24"/>
          <w:lang w:val="zh-CN"/>
        </w:rPr>
      </w:pPr>
      <w:r>
        <w:rPr>
          <w:rFonts w:hint="eastAsia" w:ascii="宋体" w:hAnsi="宋体" w:cs="宋体"/>
          <w:color w:val="000000"/>
          <w:sz w:val="24"/>
          <w:lang w:val="en-US" w:eastAsia="zh-CN"/>
        </w:rPr>
        <w:t>3.4.2</w:t>
      </w:r>
      <w:r>
        <w:rPr>
          <w:rFonts w:hint="eastAsia" w:ascii="宋体" w:hAnsi="宋体" w:cs="宋体"/>
          <w:color w:val="000000"/>
          <w:sz w:val="24"/>
        </w:rPr>
        <w:t>投标人针对本项目的实施团队成员具有电工证书</w:t>
      </w:r>
      <w:r>
        <w:rPr>
          <w:rFonts w:hint="eastAsia" w:ascii="宋体" w:hAnsi="宋体" w:cs="宋体"/>
          <w:color w:val="000000"/>
          <w:sz w:val="24"/>
          <w:lang w:val="zh-CN"/>
        </w:rPr>
        <w:t>，得</w:t>
      </w:r>
      <w:r>
        <w:rPr>
          <w:rFonts w:hint="eastAsia" w:ascii="宋体" w:hAnsi="宋体" w:cs="宋体"/>
          <w:color w:val="000000"/>
          <w:sz w:val="24"/>
        </w:rPr>
        <w:t>1</w:t>
      </w:r>
      <w:r>
        <w:rPr>
          <w:rFonts w:hint="eastAsia" w:ascii="宋体" w:hAnsi="宋体" w:cs="宋体"/>
          <w:color w:val="000000"/>
          <w:sz w:val="24"/>
          <w:lang w:val="zh-CN"/>
        </w:rPr>
        <w:t>分</w:t>
      </w:r>
      <w:r>
        <w:rPr>
          <w:rFonts w:hint="eastAsia" w:ascii="宋体" w:hAnsi="宋体" w:cs="宋体"/>
          <w:color w:val="000000"/>
          <w:sz w:val="24"/>
        </w:rPr>
        <w:t>。</w:t>
      </w:r>
      <w:r>
        <w:rPr>
          <w:rFonts w:hint="eastAsia" w:ascii="宋体" w:hAnsi="宋体" w:cs="宋体"/>
          <w:color w:val="000000"/>
          <w:sz w:val="24"/>
          <w:lang w:val="zh-CN"/>
        </w:rPr>
        <w:t>（提供证书</w:t>
      </w:r>
      <w:r>
        <w:rPr>
          <w:rFonts w:hint="eastAsia" w:ascii="宋体" w:hAnsi="宋体" w:cs="宋体"/>
          <w:color w:val="000000"/>
          <w:sz w:val="24"/>
          <w:lang w:val="en-US" w:eastAsia="zh-CN"/>
        </w:rPr>
        <w:t>扫描件</w:t>
      </w:r>
      <w:r>
        <w:rPr>
          <w:rFonts w:hint="eastAsia" w:ascii="宋体" w:hAnsi="宋体" w:cs="宋体"/>
          <w:color w:val="000000"/>
          <w:sz w:val="24"/>
          <w:lang w:val="zh-CN"/>
        </w:rPr>
        <w:t>及投标人</w:t>
      </w:r>
      <w:r>
        <w:rPr>
          <w:rFonts w:hint="eastAsia" w:ascii="宋体" w:hAnsi="宋体" w:cs="宋体"/>
          <w:color w:val="000000"/>
          <w:sz w:val="24"/>
          <w:lang w:val="en-US" w:eastAsia="zh-CN"/>
        </w:rPr>
        <w:t>为其缴纳的</w:t>
      </w:r>
      <w:r>
        <w:rPr>
          <w:rFonts w:hint="eastAsia" w:ascii="宋体" w:hAnsi="宋体" w:eastAsia="宋体" w:cs="宋体"/>
          <w:color w:val="000000"/>
          <w:sz w:val="24"/>
          <w:szCs w:val="21"/>
          <w:highlight w:val="none"/>
          <w:lang w:val="zh-CN" w:eastAsia="zh-CN" w:bidi="ar-SA"/>
        </w:rPr>
        <w:t>近</w:t>
      </w:r>
      <w:r>
        <w:rPr>
          <w:rFonts w:hint="eastAsia" w:ascii="宋体" w:hAnsi="宋体" w:cs="宋体"/>
          <w:color w:val="000000"/>
          <w:sz w:val="24"/>
          <w:szCs w:val="21"/>
          <w:highlight w:val="none"/>
          <w:lang w:val="en-US" w:eastAsia="zh-CN" w:bidi="ar-SA"/>
        </w:rPr>
        <w:t>一年中任意一个月的</w:t>
      </w:r>
      <w:r>
        <w:rPr>
          <w:rFonts w:hint="eastAsia" w:ascii="宋体" w:hAnsi="宋体" w:eastAsia="宋体" w:cs="宋体"/>
          <w:color w:val="000000"/>
          <w:sz w:val="24"/>
          <w:szCs w:val="21"/>
          <w:highlight w:val="none"/>
          <w:lang w:val="zh-CN" w:eastAsia="zh-CN" w:bidi="ar-SA"/>
        </w:rPr>
        <w:t>社保证明</w:t>
      </w:r>
      <w:r>
        <w:rPr>
          <w:rFonts w:hint="eastAsia" w:ascii="宋体" w:hAnsi="宋体" w:cs="宋体"/>
          <w:color w:val="000000"/>
          <w:sz w:val="24"/>
          <w:lang w:val="zh-CN"/>
        </w:rPr>
        <w:t>）</w:t>
      </w:r>
    </w:p>
    <w:p w14:paraId="5513229E">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eastAsia="宋体" w:cs="宋体"/>
          <w:color w:val="000000"/>
          <w:sz w:val="24"/>
          <w:lang w:eastAsia="zh-CN"/>
        </w:rPr>
      </w:pPr>
      <w:r>
        <w:rPr>
          <w:rFonts w:hint="eastAsia" w:ascii="宋体" w:hAnsi="宋体" w:cs="宋体"/>
          <w:color w:val="000000"/>
          <w:sz w:val="24"/>
          <w:lang w:val="en-US" w:eastAsia="zh-CN"/>
        </w:rPr>
        <w:t>3.4.3</w:t>
      </w:r>
      <w:r>
        <w:rPr>
          <w:rFonts w:hint="eastAsia" w:ascii="宋体" w:hAnsi="宋体" w:cs="宋体"/>
          <w:color w:val="000000"/>
          <w:sz w:val="24"/>
          <w:lang w:val="zh-CN"/>
        </w:rPr>
        <w:t>投标人具有智慧实训系统、智慧管理系统国家计算机软件著作权登记证书，每提供一</w:t>
      </w:r>
      <w:r>
        <w:rPr>
          <w:rFonts w:hint="eastAsia" w:ascii="宋体" w:hAnsi="宋体" w:cs="宋体"/>
          <w:color w:val="000000"/>
          <w:sz w:val="24"/>
          <w:highlight w:val="none"/>
          <w:lang w:val="zh-CN"/>
        </w:rPr>
        <w:t>个得</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val="zh-CN"/>
        </w:rPr>
        <w:t>分，最高得</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分</w:t>
      </w:r>
      <w:r>
        <w:rPr>
          <w:rFonts w:hint="eastAsia" w:ascii="宋体" w:hAnsi="宋体" w:cs="宋体"/>
          <w:color w:val="000000"/>
          <w:sz w:val="24"/>
          <w:lang w:eastAsia="zh-CN"/>
        </w:rPr>
        <w:t>。</w:t>
      </w:r>
    </w:p>
    <w:p w14:paraId="3F3C780D">
      <w:pPr>
        <w:pStyle w:val="2"/>
        <w:rPr>
          <w:rFonts w:hint="eastAsia"/>
          <w:lang w:eastAsia="zh-CN"/>
        </w:rPr>
      </w:pPr>
      <w:bookmarkStart w:id="208" w:name="_GoBack"/>
      <w:bookmarkEnd w:id="208"/>
    </w:p>
    <w:p w14:paraId="0DE94645">
      <w:pPr>
        <w:pStyle w:val="2"/>
        <w:jc w:val="both"/>
        <w:rPr>
          <w:rFonts w:hint="eastAsia"/>
          <w:lang w:eastAsia="zh-CN"/>
        </w:rPr>
      </w:pPr>
    </w:p>
    <w:p w14:paraId="28F82DEF">
      <w:pPr>
        <w:rPr>
          <w:rFonts w:hint="eastAsia" w:ascii="黑体" w:eastAsia="黑体"/>
          <w:bCs/>
          <w:color w:val="000000"/>
          <w:sz w:val="36"/>
          <w:szCs w:val="36"/>
        </w:rPr>
      </w:pPr>
      <w:r>
        <w:rPr>
          <w:rFonts w:hint="eastAsia" w:ascii="黑体" w:eastAsia="黑体"/>
          <w:bCs/>
          <w:color w:val="000000"/>
          <w:sz w:val="36"/>
          <w:szCs w:val="36"/>
        </w:rPr>
        <w:br w:type="page"/>
      </w:r>
    </w:p>
    <w:p w14:paraId="1CBED71E">
      <w:pPr>
        <w:spacing w:line="500" w:lineRule="exact"/>
        <w:jc w:val="center"/>
        <w:rPr>
          <w:rFonts w:ascii="黑体" w:eastAsia="黑体"/>
          <w:bCs/>
          <w:color w:val="000000"/>
          <w:sz w:val="36"/>
          <w:szCs w:val="36"/>
        </w:rPr>
      </w:pPr>
      <w:r>
        <w:rPr>
          <w:rFonts w:hint="eastAsia" w:ascii="黑体" w:eastAsia="黑体"/>
          <w:bCs/>
          <w:color w:val="000000"/>
          <w:sz w:val="36"/>
          <w:szCs w:val="36"/>
        </w:rPr>
        <w:t xml:space="preserve">第六章  </w:t>
      </w:r>
      <w:bookmarkEnd w:id="191"/>
      <w:bookmarkEnd w:id="192"/>
      <w:bookmarkEnd w:id="193"/>
      <w:r>
        <w:rPr>
          <w:rFonts w:hint="eastAsia" w:ascii="黑体" w:eastAsia="黑体"/>
          <w:bCs/>
          <w:color w:val="000000"/>
          <w:sz w:val="36"/>
          <w:szCs w:val="36"/>
        </w:rPr>
        <w:t>投标文件内容与格式</w:t>
      </w:r>
    </w:p>
    <w:p w14:paraId="7B53BB15">
      <w:pPr>
        <w:pStyle w:val="255"/>
        <w:spacing w:before="0" w:after="0" w:line="500" w:lineRule="exact"/>
        <w:ind w:firstLine="602"/>
        <w:rPr>
          <w:rFonts w:cs="Arial"/>
          <w:b/>
          <w:color w:val="000000"/>
          <w:sz w:val="30"/>
          <w:szCs w:val="30"/>
        </w:rPr>
      </w:pPr>
      <w:bookmarkStart w:id="197" w:name="_Hlt26955039"/>
      <w:bookmarkEnd w:id="197"/>
      <w:bookmarkStart w:id="198" w:name="_Hlt26671244"/>
      <w:bookmarkEnd w:id="198"/>
      <w:bookmarkStart w:id="199" w:name="_Toc49090576"/>
      <w:bookmarkStart w:id="200" w:name="_Toc26554094"/>
      <w:bookmarkStart w:id="201" w:name="_Toc120614282"/>
      <w:r>
        <w:rPr>
          <w:rFonts w:hint="eastAsia" w:cs="Arial"/>
          <w:b/>
          <w:color w:val="000000"/>
          <w:sz w:val="30"/>
          <w:szCs w:val="30"/>
        </w:rPr>
        <w:t>第一部分  投标文件内容</w:t>
      </w:r>
    </w:p>
    <w:p w14:paraId="7CEFA214">
      <w:pPr>
        <w:pStyle w:val="255"/>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Style w:val="4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2229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21D84025">
            <w:pPr>
              <w:pStyle w:val="255"/>
              <w:spacing w:before="0" w:after="0" w:line="240" w:lineRule="auto"/>
              <w:ind w:firstLine="0"/>
              <w:jc w:val="center"/>
              <w:rPr>
                <w:rFonts w:ascii="宋体" w:hAnsi="宋体" w:cs="宋体"/>
                <w:b/>
                <w:color w:val="000000"/>
              </w:rPr>
            </w:pPr>
            <w:r>
              <w:rPr>
                <w:rFonts w:hint="eastAsia" w:ascii="宋体" w:hAnsi="宋体" w:cs="宋体"/>
                <w:b/>
                <w:color w:val="000000"/>
              </w:rPr>
              <w:t>序号</w:t>
            </w:r>
          </w:p>
        </w:tc>
        <w:tc>
          <w:tcPr>
            <w:tcW w:w="6104" w:type="dxa"/>
            <w:vAlign w:val="center"/>
          </w:tcPr>
          <w:p w14:paraId="6A9E6EA1">
            <w:pPr>
              <w:pStyle w:val="255"/>
              <w:spacing w:before="0" w:after="0" w:line="240" w:lineRule="auto"/>
              <w:jc w:val="center"/>
              <w:rPr>
                <w:rFonts w:ascii="宋体" w:hAnsi="宋体" w:cs="宋体"/>
                <w:b/>
                <w:color w:val="000000"/>
              </w:rPr>
            </w:pPr>
            <w:r>
              <w:rPr>
                <w:rFonts w:hint="eastAsia" w:ascii="宋体" w:hAnsi="宋体" w:cs="宋体"/>
                <w:b/>
                <w:color w:val="000000"/>
              </w:rPr>
              <w:t>评审项目及评审要求</w:t>
            </w:r>
          </w:p>
        </w:tc>
        <w:tc>
          <w:tcPr>
            <w:tcW w:w="2449" w:type="dxa"/>
            <w:vAlign w:val="center"/>
          </w:tcPr>
          <w:p w14:paraId="13CD19F1">
            <w:pPr>
              <w:pStyle w:val="255"/>
              <w:spacing w:before="0" w:after="0" w:line="240" w:lineRule="auto"/>
              <w:ind w:firstLine="0"/>
              <w:jc w:val="center"/>
              <w:rPr>
                <w:rFonts w:ascii="宋体" w:hAnsi="宋体" w:cs="宋体"/>
                <w:b/>
                <w:color w:val="000000"/>
              </w:rPr>
            </w:pPr>
            <w:r>
              <w:rPr>
                <w:rFonts w:hint="eastAsia" w:ascii="宋体" w:hAnsi="宋体" w:cs="宋体"/>
                <w:b/>
                <w:color w:val="000000"/>
              </w:rPr>
              <w:t>审查因素</w:t>
            </w:r>
          </w:p>
        </w:tc>
      </w:tr>
      <w:tr w14:paraId="5D1CF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8B19931">
            <w:pPr>
              <w:pStyle w:val="255"/>
              <w:spacing w:before="0" w:after="0" w:line="240" w:lineRule="auto"/>
              <w:ind w:firstLine="0"/>
              <w:jc w:val="center"/>
              <w:rPr>
                <w:rFonts w:ascii="宋体" w:hAnsi="宋体" w:cs="宋体"/>
                <w:color w:val="000000"/>
              </w:rPr>
            </w:pPr>
            <w:r>
              <w:rPr>
                <w:rFonts w:hint="eastAsia" w:ascii="宋体" w:hAnsi="宋体" w:cs="宋体"/>
                <w:color w:val="000000"/>
              </w:rPr>
              <w:t>1</w:t>
            </w:r>
          </w:p>
        </w:tc>
        <w:tc>
          <w:tcPr>
            <w:tcW w:w="6104" w:type="dxa"/>
            <w:vAlign w:val="center"/>
          </w:tcPr>
          <w:p w14:paraId="755F4E48">
            <w:pPr>
              <w:pStyle w:val="255"/>
              <w:spacing w:before="0" w:after="0" w:line="240" w:lineRule="auto"/>
              <w:ind w:firstLine="0"/>
              <w:jc w:val="both"/>
              <w:rPr>
                <w:rFonts w:ascii="宋体" w:hAnsi="宋体" w:cs="宋体"/>
                <w:color w:val="000000"/>
              </w:rPr>
            </w:pPr>
            <w:r>
              <w:rPr>
                <w:rFonts w:hint="eastAsia" w:ascii="宋体" w:hAnsi="宋体" w:cs="宋体"/>
                <w:color w:val="000000"/>
              </w:rPr>
              <w:t>具有独立承担民事责任能力的投标人营业执照或相关部门的登记证明文件扫描件（投标人</w:t>
            </w:r>
            <w:r>
              <w:rPr>
                <w:rFonts w:hint="eastAsia" w:ascii="宋体" w:hAnsi="宋体" w:cs="宋体"/>
                <w:color w:val="000000"/>
                <w:lang w:eastAsia="zh-CN"/>
              </w:rPr>
              <w:t>如</w:t>
            </w:r>
            <w:r>
              <w:rPr>
                <w:rFonts w:hint="eastAsia" w:ascii="宋体" w:hAnsi="宋体" w:cs="宋体"/>
                <w:color w:val="000000"/>
              </w:rPr>
              <w:t>允许以分支机构身份参加投标的，提供投标人分支机构的营业执照扫描件；投标人如是自然人情形的，提供有效身份证扫描件）。</w:t>
            </w:r>
          </w:p>
        </w:tc>
        <w:tc>
          <w:tcPr>
            <w:tcW w:w="2449" w:type="dxa"/>
            <w:vMerge w:val="restart"/>
            <w:vAlign w:val="center"/>
          </w:tcPr>
          <w:p w14:paraId="5D149375">
            <w:pPr>
              <w:pStyle w:val="255"/>
              <w:spacing w:before="0" w:after="0" w:line="240" w:lineRule="auto"/>
              <w:ind w:firstLine="0"/>
              <w:rPr>
                <w:rFonts w:ascii="宋体" w:hAnsi="宋体" w:cs="宋体"/>
                <w:color w:val="000000"/>
              </w:rPr>
            </w:pPr>
            <w:r>
              <w:rPr>
                <w:rFonts w:hint="eastAsia" w:ascii="宋体" w:hAnsi="宋体" w:cs="宋体"/>
              </w:rPr>
              <w:t>满足《中华人民共和国政府采购法》第二十二条规定</w:t>
            </w:r>
          </w:p>
        </w:tc>
      </w:tr>
      <w:tr w14:paraId="68DA4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15001098">
            <w:pPr>
              <w:pStyle w:val="255"/>
              <w:spacing w:before="0" w:after="0" w:line="240" w:lineRule="auto"/>
              <w:ind w:firstLine="0"/>
              <w:jc w:val="center"/>
              <w:rPr>
                <w:rFonts w:ascii="宋体" w:hAnsi="宋体" w:cs="宋体"/>
                <w:color w:val="000000"/>
              </w:rPr>
            </w:pPr>
            <w:r>
              <w:rPr>
                <w:rFonts w:hint="eastAsia" w:ascii="宋体" w:hAnsi="宋体" w:cs="宋体"/>
                <w:color w:val="000000"/>
              </w:rPr>
              <w:t>2</w:t>
            </w:r>
          </w:p>
        </w:tc>
        <w:tc>
          <w:tcPr>
            <w:tcW w:w="6104" w:type="dxa"/>
            <w:vAlign w:val="center"/>
          </w:tcPr>
          <w:p w14:paraId="7407FCE1">
            <w:pPr>
              <w:pStyle w:val="255"/>
              <w:spacing w:before="0" w:after="0" w:line="240" w:lineRule="auto"/>
              <w:ind w:firstLine="0"/>
              <w:jc w:val="both"/>
              <w:rPr>
                <w:rFonts w:ascii="宋体" w:hAnsi="宋体" w:cs="宋体"/>
                <w:color w:val="000000"/>
              </w:rPr>
            </w:pPr>
            <w:r>
              <w:rPr>
                <w:rFonts w:hint="eastAsia" w:ascii="宋体" w:hAnsi="宋体" w:cs="宋体"/>
                <w:color w:val="000000"/>
              </w:rPr>
              <w:t>《授权委托书》（给定格式；投标人如是自然人情形的，可不提供）。</w:t>
            </w:r>
          </w:p>
        </w:tc>
        <w:tc>
          <w:tcPr>
            <w:tcW w:w="2449" w:type="dxa"/>
            <w:vMerge w:val="continue"/>
            <w:vAlign w:val="center"/>
          </w:tcPr>
          <w:p w14:paraId="25B7F5F2">
            <w:pPr>
              <w:pStyle w:val="255"/>
              <w:spacing w:before="0" w:after="0" w:line="240" w:lineRule="auto"/>
              <w:ind w:firstLine="0"/>
              <w:rPr>
                <w:rFonts w:ascii="宋体" w:hAnsi="宋体" w:cs="宋体"/>
                <w:color w:val="000000"/>
              </w:rPr>
            </w:pPr>
          </w:p>
        </w:tc>
      </w:tr>
      <w:tr w14:paraId="7C132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213595D9">
            <w:pPr>
              <w:pStyle w:val="255"/>
              <w:spacing w:before="0" w:after="0" w:line="240" w:lineRule="auto"/>
              <w:ind w:firstLine="0"/>
              <w:jc w:val="center"/>
              <w:rPr>
                <w:rFonts w:ascii="宋体" w:hAnsi="宋体" w:cs="宋体"/>
                <w:color w:val="000000"/>
              </w:rPr>
            </w:pPr>
            <w:r>
              <w:rPr>
                <w:rFonts w:hint="eastAsia" w:ascii="宋体" w:hAnsi="宋体" w:cs="宋体"/>
                <w:color w:val="000000"/>
              </w:rPr>
              <w:t>3</w:t>
            </w:r>
          </w:p>
        </w:tc>
        <w:tc>
          <w:tcPr>
            <w:tcW w:w="6104" w:type="dxa"/>
            <w:vAlign w:val="center"/>
          </w:tcPr>
          <w:p w14:paraId="55AB4BE0">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7"/>
                <w:rFonts w:hint="eastAsia" w:ascii="宋体" w:hAnsi="宋体" w:cs="宋体"/>
                <w:color w:val="000000"/>
                <w:sz w:val="24"/>
                <w:szCs w:val="24"/>
              </w:rPr>
              <w:t>。</w:t>
            </w:r>
          </w:p>
        </w:tc>
        <w:tc>
          <w:tcPr>
            <w:tcW w:w="2449" w:type="dxa"/>
            <w:vMerge w:val="continue"/>
            <w:vAlign w:val="center"/>
          </w:tcPr>
          <w:p w14:paraId="69DB8390">
            <w:pPr>
              <w:pStyle w:val="255"/>
              <w:spacing w:before="0" w:after="0" w:line="240" w:lineRule="auto"/>
              <w:ind w:firstLine="0"/>
              <w:rPr>
                <w:rFonts w:ascii="宋体" w:hAnsi="宋体" w:cs="宋体"/>
                <w:color w:val="000000"/>
              </w:rPr>
            </w:pPr>
          </w:p>
        </w:tc>
      </w:tr>
      <w:tr w14:paraId="1E412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0DCF1927">
            <w:pPr>
              <w:pStyle w:val="255"/>
              <w:spacing w:before="0" w:after="0" w:line="240" w:lineRule="auto"/>
              <w:ind w:firstLine="0"/>
              <w:jc w:val="center"/>
              <w:rPr>
                <w:rFonts w:ascii="宋体" w:hAnsi="宋体" w:cs="宋体"/>
                <w:color w:val="000000"/>
              </w:rPr>
            </w:pPr>
            <w:r>
              <w:rPr>
                <w:rFonts w:hint="eastAsia" w:ascii="宋体" w:hAnsi="宋体" w:cs="宋体"/>
                <w:color w:val="000000"/>
              </w:rPr>
              <w:t>4</w:t>
            </w:r>
          </w:p>
        </w:tc>
        <w:tc>
          <w:tcPr>
            <w:tcW w:w="6104" w:type="dxa"/>
            <w:vAlign w:val="center"/>
          </w:tcPr>
          <w:p w14:paraId="07CCBD89">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的依法缴纳税收的相关材料（提供相关主管部门证明或银行代扣证明）。</w:t>
            </w:r>
          </w:p>
        </w:tc>
        <w:tc>
          <w:tcPr>
            <w:tcW w:w="2449" w:type="dxa"/>
            <w:vMerge w:val="continue"/>
            <w:vAlign w:val="center"/>
          </w:tcPr>
          <w:p w14:paraId="198EEE9F">
            <w:pPr>
              <w:pStyle w:val="255"/>
              <w:spacing w:before="0" w:after="0" w:line="240" w:lineRule="auto"/>
              <w:ind w:firstLine="0"/>
              <w:rPr>
                <w:rFonts w:ascii="宋体" w:hAnsi="宋体" w:cs="宋体"/>
                <w:color w:val="000000"/>
              </w:rPr>
            </w:pPr>
          </w:p>
        </w:tc>
      </w:tr>
      <w:tr w14:paraId="1FCBD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31D8AF07">
            <w:pPr>
              <w:pStyle w:val="255"/>
              <w:spacing w:before="0" w:after="0" w:line="240" w:lineRule="auto"/>
              <w:ind w:firstLine="0"/>
              <w:jc w:val="center"/>
              <w:rPr>
                <w:rFonts w:ascii="宋体" w:hAnsi="宋体" w:cs="宋体"/>
                <w:color w:val="000000"/>
              </w:rPr>
            </w:pPr>
            <w:r>
              <w:rPr>
                <w:rFonts w:hint="eastAsia" w:ascii="宋体" w:hAnsi="宋体" w:cs="宋体"/>
                <w:color w:val="000000"/>
              </w:rPr>
              <w:t>5</w:t>
            </w:r>
          </w:p>
        </w:tc>
        <w:tc>
          <w:tcPr>
            <w:tcW w:w="6104" w:type="dxa"/>
            <w:vAlign w:val="center"/>
          </w:tcPr>
          <w:p w14:paraId="573474A5">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的依法缴纳社会保障资金的相关材料（提供相关主管部门证明或银行代扣证明）。</w:t>
            </w:r>
          </w:p>
        </w:tc>
        <w:tc>
          <w:tcPr>
            <w:tcW w:w="2449" w:type="dxa"/>
            <w:vMerge w:val="continue"/>
            <w:vAlign w:val="center"/>
          </w:tcPr>
          <w:p w14:paraId="431B4138">
            <w:pPr>
              <w:pStyle w:val="255"/>
              <w:spacing w:before="0" w:after="0" w:line="240" w:lineRule="auto"/>
              <w:ind w:firstLine="0"/>
              <w:rPr>
                <w:rFonts w:ascii="宋体" w:hAnsi="宋体" w:cs="宋体"/>
                <w:color w:val="000000"/>
              </w:rPr>
            </w:pPr>
          </w:p>
        </w:tc>
      </w:tr>
      <w:tr w14:paraId="5AF58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5609D663">
            <w:pPr>
              <w:pStyle w:val="255"/>
              <w:spacing w:before="0" w:after="0" w:line="240" w:lineRule="auto"/>
              <w:ind w:firstLine="0"/>
              <w:jc w:val="center"/>
              <w:rPr>
                <w:rFonts w:ascii="宋体" w:hAnsi="宋体" w:cs="宋体"/>
                <w:color w:val="000000"/>
              </w:rPr>
            </w:pPr>
            <w:r>
              <w:rPr>
                <w:rFonts w:hint="eastAsia" w:ascii="宋体" w:hAnsi="宋体" w:cs="宋体"/>
                <w:color w:val="000000"/>
              </w:rPr>
              <w:t>6</w:t>
            </w:r>
          </w:p>
        </w:tc>
        <w:tc>
          <w:tcPr>
            <w:tcW w:w="6104" w:type="dxa"/>
            <w:tcBorders>
              <w:bottom w:val="single" w:color="000000" w:sz="4" w:space="0"/>
            </w:tcBorders>
            <w:vAlign w:val="center"/>
          </w:tcPr>
          <w:p w14:paraId="6F9C2572">
            <w:pPr>
              <w:pStyle w:val="255"/>
              <w:spacing w:before="0" w:after="0" w:line="240" w:lineRule="auto"/>
              <w:ind w:firstLine="0"/>
              <w:jc w:val="both"/>
              <w:rPr>
                <w:rFonts w:ascii="宋体" w:hAnsi="宋体" w:cs="宋体"/>
                <w:color w:val="000000"/>
              </w:rPr>
            </w:pPr>
            <w:r>
              <w:rPr>
                <w:rFonts w:hint="eastAsia" w:ascii="宋体" w:hAnsi="宋体" w:cs="宋体"/>
                <w:color w:val="000000"/>
              </w:rPr>
              <w:t>《资格声明函》（给定格式）。</w:t>
            </w:r>
          </w:p>
        </w:tc>
        <w:tc>
          <w:tcPr>
            <w:tcW w:w="2449" w:type="dxa"/>
            <w:vMerge w:val="continue"/>
            <w:vAlign w:val="center"/>
          </w:tcPr>
          <w:p w14:paraId="3DF246EC">
            <w:pPr>
              <w:pStyle w:val="255"/>
              <w:spacing w:before="0" w:after="0" w:line="240" w:lineRule="auto"/>
              <w:ind w:firstLine="0"/>
              <w:rPr>
                <w:rFonts w:ascii="宋体" w:hAnsi="宋体" w:cs="宋体"/>
                <w:color w:val="000000"/>
              </w:rPr>
            </w:pPr>
          </w:p>
        </w:tc>
      </w:tr>
      <w:tr w14:paraId="73E48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355E07E1">
            <w:pPr>
              <w:pStyle w:val="255"/>
              <w:spacing w:before="0" w:after="0" w:line="240" w:lineRule="auto"/>
              <w:ind w:firstLine="0"/>
              <w:jc w:val="center"/>
              <w:rPr>
                <w:rFonts w:ascii="宋体" w:hAnsi="宋体" w:cs="宋体"/>
                <w:color w:val="000000"/>
              </w:rPr>
            </w:pPr>
            <w:r>
              <w:rPr>
                <w:rFonts w:hint="eastAsia" w:ascii="宋体" w:hAnsi="宋体" w:cs="宋体"/>
                <w:color w:val="000000"/>
              </w:rPr>
              <w:t>7</w:t>
            </w:r>
          </w:p>
        </w:tc>
        <w:tc>
          <w:tcPr>
            <w:tcW w:w="6104" w:type="dxa"/>
            <w:vAlign w:val="center"/>
          </w:tcPr>
          <w:p w14:paraId="4B2A1A9F">
            <w:pPr>
              <w:widowControl/>
              <w:rPr>
                <w:rFonts w:ascii="宋体" w:hAnsi="宋体" w:cs="宋体"/>
                <w:color w:val="000000"/>
                <w:sz w:val="24"/>
                <w:szCs w:val="24"/>
              </w:rPr>
            </w:pPr>
            <w:r>
              <w:rPr>
                <w:rFonts w:hint="eastAsia" w:ascii="宋体" w:hAnsi="宋体" w:cs="宋体"/>
                <w:color w:val="000000"/>
                <w:sz w:val="24"/>
                <w:szCs w:val="24"/>
              </w:rPr>
              <w:t>落实政府采购政策需满足的资格要求的证明文件（如有）</w:t>
            </w:r>
          </w:p>
        </w:tc>
        <w:tc>
          <w:tcPr>
            <w:tcW w:w="2449" w:type="dxa"/>
            <w:vMerge w:val="continue"/>
            <w:vAlign w:val="center"/>
          </w:tcPr>
          <w:p w14:paraId="47EE18EB">
            <w:pPr>
              <w:pStyle w:val="255"/>
              <w:spacing w:before="0" w:after="0" w:line="240" w:lineRule="auto"/>
              <w:ind w:firstLine="0"/>
              <w:rPr>
                <w:rFonts w:ascii="宋体" w:hAnsi="宋体" w:cs="宋体"/>
                <w:color w:val="000000"/>
              </w:rPr>
            </w:pPr>
          </w:p>
        </w:tc>
      </w:tr>
      <w:tr w14:paraId="3B1D0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69EEFCD6">
            <w:pPr>
              <w:pStyle w:val="255"/>
              <w:spacing w:before="0" w:after="0" w:line="240" w:lineRule="auto"/>
              <w:ind w:firstLine="0"/>
              <w:jc w:val="center"/>
              <w:rPr>
                <w:rFonts w:ascii="宋体" w:hAnsi="宋体" w:cs="宋体"/>
                <w:bCs/>
                <w:color w:val="000000"/>
              </w:rPr>
            </w:pPr>
            <w:r>
              <w:rPr>
                <w:rFonts w:hint="eastAsia" w:ascii="宋体" w:hAnsi="宋体" w:cs="宋体"/>
                <w:bCs/>
                <w:color w:val="000000"/>
              </w:rPr>
              <w:t>8</w:t>
            </w:r>
          </w:p>
        </w:tc>
        <w:tc>
          <w:tcPr>
            <w:tcW w:w="6104" w:type="dxa"/>
            <w:vAlign w:val="center"/>
          </w:tcPr>
          <w:p w14:paraId="4750775E">
            <w:pPr>
              <w:pStyle w:val="255"/>
              <w:spacing w:before="0" w:after="0" w:line="240" w:lineRule="auto"/>
              <w:ind w:firstLine="0"/>
              <w:jc w:val="both"/>
              <w:rPr>
                <w:rFonts w:ascii="宋体" w:hAnsi="宋体" w:cs="宋体"/>
                <w:bCs/>
                <w:color w:val="000000"/>
              </w:rPr>
            </w:pPr>
            <w:r>
              <w:rPr>
                <w:rFonts w:hint="eastAsia" w:ascii="宋体" w:hAnsi="宋体" w:cs="宋体"/>
                <w:bCs/>
                <w:color w:val="000000"/>
              </w:rPr>
              <w:t>本项目要求的特定资格证明</w:t>
            </w:r>
            <w:r>
              <w:rPr>
                <w:rFonts w:hint="eastAsia" w:ascii="宋体" w:hAnsi="宋体" w:cs="宋体"/>
                <w:color w:val="000000"/>
              </w:rPr>
              <w:t>文件（</w:t>
            </w:r>
            <w:r>
              <w:rPr>
                <w:rFonts w:hint="eastAsia" w:ascii="宋体" w:hAnsi="宋体" w:cs="宋体"/>
                <w:bCs/>
                <w:color w:val="000000"/>
              </w:rPr>
              <w:t>如有</w:t>
            </w:r>
            <w:r>
              <w:rPr>
                <w:rFonts w:hint="eastAsia" w:ascii="宋体" w:hAnsi="宋体" w:cs="宋体"/>
                <w:color w:val="000000"/>
              </w:rPr>
              <w:t>）。</w:t>
            </w:r>
          </w:p>
        </w:tc>
        <w:tc>
          <w:tcPr>
            <w:tcW w:w="2449" w:type="dxa"/>
            <w:vAlign w:val="center"/>
          </w:tcPr>
          <w:p w14:paraId="4766ECD8">
            <w:pPr>
              <w:pStyle w:val="255"/>
              <w:spacing w:before="0" w:after="0" w:line="240" w:lineRule="auto"/>
              <w:ind w:firstLine="0"/>
              <w:rPr>
                <w:rFonts w:ascii="宋体" w:hAnsi="宋体" w:cs="宋体"/>
                <w:bCs/>
                <w:color w:val="000000"/>
              </w:rPr>
            </w:pPr>
            <w:r>
              <w:rPr>
                <w:rFonts w:hint="eastAsia" w:ascii="宋体" w:hAnsi="宋体" w:cs="宋体"/>
                <w:color w:val="000000"/>
              </w:rPr>
              <w:t>特定资格要求，详见第一章《投标邀请》</w:t>
            </w:r>
          </w:p>
        </w:tc>
      </w:tr>
      <w:tr w14:paraId="6B6A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3A5D8670">
            <w:pPr>
              <w:pStyle w:val="255"/>
              <w:spacing w:before="0" w:after="0" w:line="240" w:lineRule="auto"/>
              <w:ind w:firstLine="0"/>
              <w:jc w:val="center"/>
              <w:rPr>
                <w:rFonts w:ascii="宋体" w:hAnsi="宋体" w:cs="宋体"/>
                <w:bCs/>
                <w:color w:val="000000"/>
              </w:rPr>
            </w:pPr>
            <w:r>
              <w:rPr>
                <w:rFonts w:hint="eastAsia" w:ascii="宋体" w:hAnsi="宋体" w:cs="宋体"/>
                <w:bCs/>
                <w:color w:val="000000"/>
              </w:rPr>
              <w:t>9</w:t>
            </w:r>
          </w:p>
        </w:tc>
        <w:tc>
          <w:tcPr>
            <w:tcW w:w="6104" w:type="dxa"/>
            <w:vAlign w:val="center"/>
          </w:tcPr>
          <w:p w14:paraId="2CFD0B50">
            <w:pPr>
              <w:pStyle w:val="255"/>
              <w:spacing w:before="0" w:after="0" w:line="240" w:lineRule="auto"/>
              <w:ind w:firstLine="0"/>
              <w:jc w:val="both"/>
              <w:rPr>
                <w:rFonts w:ascii="宋体" w:hAnsi="宋体" w:cs="宋体"/>
                <w:bCs/>
                <w:color w:val="000000"/>
              </w:rPr>
            </w:pPr>
            <w:r>
              <w:rPr>
                <w:rFonts w:hint="eastAsia" w:ascii="宋体" w:hAnsi="宋体" w:cs="宋体"/>
                <w:bCs/>
                <w:color w:val="000000"/>
              </w:rPr>
              <w:t>《联合体协议》（如有，格式自拟）。</w:t>
            </w:r>
          </w:p>
        </w:tc>
        <w:tc>
          <w:tcPr>
            <w:tcW w:w="2449" w:type="dxa"/>
            <w:vAlign w:val="center"/>
          </w:tcPr>
          <w:p w14:paraId="43D9DFCB">
            <w:pPr>
              <w:pStyle w:val="255"/>
              <w:spacing w:before="0" w:after="0" w:line="240" w:lineRule="auto"/>
              <w:ind w:firstLine="0"/>
              <w:rPr>
                <w:rFonts w:ascii="宋体" w:hAnsi="宋体" w:cs="宋体"/>
                <w:color w:val="000000"/>
              </w:rPr>
            </w:pPr>
            <w:r>
              <w:rPr>
                <w:rFonts w:hint="eastAsia" w:ascii="宋体" w:hAnsi="宋体"/>
                <w:color w:val="000000"/>
              </w:rPr>
              <w:t>如接受联合体投标且投标人为联合体时</w:t>
            </w:r>
          </w:p>
        </w:tc>
      </w:tr>
    </w:tbl>
    <w:p w14:paraId="38EF85B3">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2A915316">
      <w:pPr>
        <w:numPr>
          <w:ilvl w:val="0"/>
          <w:numId w:val="9"/>
        </w:numPr>
        <w:spacing w:line="500" w:lineRule="exact"/>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w:t>
      </w:r>
      <w:r>
        <w:rPr>
          <w:rFonts w:ascii="宋体" w:hAnsi="宋体"/>
          <w:color w:val="000000"/>
          <w:sz w:val="24"/>
          <w:szCs w:val="24"/>
        </w:rPr>
        <w:t>7</w:t>
      </w:r>
      <w:r>
        <w:rPr>
          <w:rFonts w:hint="eastAsia" w:ascii="宋体" w:hAnsi="宋体"/>
          <w:color w:val="000000"/>
          <w:sz w:val="24"/>
          <w:szCs w:val="24"/>
        </w:rPr>
        <w:t>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7FCC4A4A">
      <w:pPr>
        <w:spacing w:line="500" w:lineRule="exact"/>
        <w:ind w:firstLine="480"/>
        <w:rPr>
          <w:rFonts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73C8E9F">
      <w:pPr>
        <w:numPr>
          <w:ilvl w:val="0"/>
          <w:numId w:val="9"/>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7项，如本项目有落实政府采购政策需满足的资格要求的（详见第一章《投标邀请》），必须提供相应证明文件，否则投标文件无效。</w:t>
      </w:r>
    </w:p>
    <w:p w14:paraId="10A5F787">
      <w:pPr>
        <w:spacing w:line="500" w:lineRule="exact"/>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9697CBC">
      <w:pPr>
        <w:numPr>
          <w:ilvl w:val="0"/>
          <w:numId w:val="9"/>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542C91F4">
      <w:pPr>
        <w:numPr>
          <w:ilvl w:val="0"/>
          <w:numId w:val="9"/>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258D1C1">
      <w:pPr>
        <w:spacing w:line="500" w:lineRule="exact"/>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中：第2、6项可由联合体主体单位（即联合体牵头人）代表联合体提供；第1、3、4、5、7（如有）、8（如有）项，联合体各方均须提供。</w:t>
      </w:r>
    </w:p>
    <w:p w14:paraId="38F08968">
      <w:pPr>
        <w:rPr>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7100B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4E02DAA2">
            <w:pPr>
              <w:pStyle w:val="255"/>
              <w:spacing w:before="0" w:after="0" w:line="240" w:lineRule="auto"/>
              <w:ind w:firstLine="0"/>
              <w:jc w:val="center"/>
              <w:rPr>
                <w:rFonts w:cs="Arial"/>
                <w:b/>
                <w:color w:val="000000"/>
              </w:rPr>
            </w:pPr>
            <w:r>
              <w:rPr>
                <w:rFonts w:hint="eastAsia" w:cs="Arial"/>
                <w:b/>
                <w:color w:val="000000"/>
              </w:rPr>
              <w:t>序号</w:t>
            </w:r>
          </w:p>
        </w:tc>
        <w:tc>
          <w:tcPr>
            <w:tcW w:w="6095" w:type="dxa"/>
            <w:vAlign w:val="center"/>
          </w:tcPr>
          <w:p w14:paraId="43926941">
            <w:pPr>
              <w:pStyle w:val="255"/>
              <w:spacing w:before="0" w:after="0" w:line="240" w:lineRule="auto"/>
              <w:ind w:firstLine="0"/>
              <w:jc w:val="center"/>
              <w:rPr>
                <w:rFonts w:cs="Arial"/>
                <w:b/>
                <w:color w:val="000000"/>
              </w:rPr>
            </w:pPr>
            <w:r>
              <w:rPr>
                <w:rFonts w:hint="eastAsia" w:ascii="宋体" w:hAnsi="宋体" w:cs="宋体"/>
                <w:b/>
                <w:color w:val="000000"/>
              </w:rPr>
              <w:t>评审项及评审要求</w:t>
            </w:r>
          </w:p>
        </w:tc>
        <w:tc>
          <w:tcPr>
            <w:tcW w:w="1979" w:type="dxa"/>
            <w:vAlign w:val="center"/>
          </w:tcPr>
          <w:p w14:paraId="1C803146">
            <w:pPr>
              <w:pStyle w:val="255"/>
              <w:spacing w:before="0" w:after="0" w:line="240" w:lineRule="auto"/>
              <w:ind w:firstLine="0"/>
              <w:jc w:val="center"/>
              <w:rPr>
                <w:rFonts w:cs="Arial"/>
                <w:b/>
                <w:color w:val="000000"/>
              </w:rPr>
            </w:pPr>
            <w:r>
              <w:rPr>
                <w:rFonts w:hint="eastAsia" w:cs="Arial"/>
                <w:b/>
                <w:color w:val="000000"/>
              </w:rPr>
              <w:t>审查因素</w:t>
            </w:r>
          </w:p>
        </w:tc>
      </w:tr>
      <w:tr w14:paraId="567FD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96A191D">
            <w:pPr>
              <w:pStyle w:val="255"/>
              <w:spacing w:before="0" w:after="0" w:line="240" w:lineRule="auto"/>
              <w:ind w:firstLine="0"/>
              <w:jc w:val="center"/>
              <w:rPr>
                <w:rFonts w:ascii="宋体" w:hAnsi="宋体" w:cs="Arial"/>
                <w:color w:val="000000"/>
              </w:rPr>
            </w:pPr>
            <w:r>
              <w:rPr>
                <w:rFonts w:hint="eastAsia" w:ascii="宋体" w:hAnsi="宋体" w:cs="Arial"/>
                <w:color w:val="000000"/>
              </w:rPr>
              <w:t>1</w:t>
            </w:r>
          </w:p>
        </w:tc>
        <w:tc>
          <w:tcPr>
            <w:tcW w:w="6095" w:type="dxa"/>
            <w:vAlign w:val="center"/>
          </w:tcPr>
          <w:p w14:paraId="37DA60BB">
            <w:pPr>
              <w:pStyle w:val="255"/>
              <w:spacing w:before="0" w:after="0" w:line="240" w:lineRule="auto"/>
              <w:ind w:firstLine="0"/>
              <w:jc w:val="both"/>
              <w:rPr>
                <w:rFonts w:ascii="宋体" w:hAnsi="宋体" w:cs="Arial"/>
                <w:color w:val="000000"/>
              </w:rPr>
            </w:pPr>
            <w:r>
              <w:rPr>
                <w:rFonts w:hint="eastAsia" w:ascii="宋体" w:hAnsi="宋体" w:cs="Arial"/>
                <w:color w:val="000000"/>
              </w:rPr>
              <w:t>投标函（给定格式）</w:t>
            </w:r>
          </w:p>
        </w:tc>
        <w:tc>
          <w:tcPr>
            <w:tcW w:w="1979" w:type="dxa"/>
            <w:vMerge w:val="restart"/>
            <w:vAlign w:val="center"/>
          </w:tcPr>
          <w:p w14:paraId="6C3D761D">
            <w:pPr>
              <w:pStyle w:val="255"/>
              <w:spacing w:before="0" w:after="0" w:line="240" w:lineRule="auto"/>
              <w:ind w:firstLine="0"/>
              <w:jc w:val="both"/>
              <w:rPr>
                <w:rFonts w:cs="Arial"/>
                <w:color w:val="000000"/>
              </w:rPr>
            </w:pPr>
            <w:r>
              <w:rPr>
                <w:rFonts w:hint="eastAsia" w:cs="Arial"/>
                <w:color w:val="000000"/>
              </w:rPr>
              <w:t>符合性证明文件</w:t>
            </w:r>
          </w:p>
        </w:tc>
      </w:tr>
      <w:tr w14:paraId="71F86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3E7B13">
            <w:pPr>
              <w:pStyle w:val="255"/>
              <w:spacing w:before="0" w:after="0" w:line="240" w:lineRule="auto"/>
              <w:ind w:firstLine="0"/>
              <w:jc w:val="center"/>
              <w:rPr>
                <w:rFonts w:ascii="宋体" w:hAnsi="宋体" w:cs="Arial"/>
                <w:color w:val="000000"/>
              </w:rPr>
            </w:pPr>
            <w:r>
              <w:rPr>
                <w:rFonts w:hint="eastAsia" w:ascii="宋体" w:hAnsi="宋体" w:cs="Arial"/>
                <w:color w:val="000000"/>
              </w:rPr>
              <w:t>2</w:t>
            </w:r>
          </w:p>
        </w:tc>
        <w:tc>
          <w:tcPr>
            <w:tcW w:w="6095" w:type="dxa"/>
            <w:vAlign w:val="center"/>
          </w:tcPr>
          <w:p w14:paraId="3E6AF589">
            <w:pPr>
              <w:pStyle w:val="255"/>
              <w:spacing w:before="0" w:after="0" w:line="240" w:lineRule="auto"/>
              <w:ind w:firstLine="0"/>
              <w:jc w:val="both"/>
              <w:rPr>
                <w:rFonts w:ascii="宋体" w:hAnsi="宋体" w:cs="Arial"/>
                <w:color w:val="000000"/>
              </w:rPr>
            </w:pPr>
            <w:r>
              <w:rPr>
                <w:rFonts w:hint="eastAsia" w:ascii="宋体" w:hAnsi="宋体" w:cs="Arial"/>
                <w:color w:val="000000"/>
              </w:rPr>
              <w:t>承诺书（给定格式）</w:t>
            </w:r>
          </w:p>
        </w:tc>
        <w:tc>
          <w:tcPr>
            <w:tcW w:w="1979" w:type="dxa"/>
            <w:vMerge w:val="continue"/>
            <w:vAlign w:val="center"/>
          </w:tcPr>
          <w:p w14:paraId="4CB1471C">
            <w:pPr>
              <w:pStyle w:val="255"/>
              <w:spacing w:before="0" w:after="0" w:line="240" w:lineRule="auto"/>
              <w:ind w:firstLine="0"/>
              <w:jc w:val="both"/>
              <w:rPr>
                <w:rFonts w:cs="Arial"/>
                <w:color w:val="000000"/>
              </w:rPr>
            </w:pPr>
          </w:p>
        </w:tc>
      </w:tr>
      <w:tr w14:paraId="3FF0B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2A10B8D">
            <w:pPr>
              <w:pStyle w:val="255"/>
              <w:spacing w:before="0" w:after="0" w:line="240" w:lineRule="auto"/>
              <w:ind w:firstLine="0"/>
              <w:jc w:val="center"/>
              <w:rPr>
                <w:rFonts w:ascii="宋体" w:hAnsi="宋体"/>
                <w:color w:val="000000"/>
              </w:rPr>
            </w:pPr>
            <w:r>
              <w:rPr>
                <w:rFonts w:hint="eastAsia" w:ascii="宋体" w:hAnsi="宋体"/>
                <w:color w:val="000000"/>
              </w:rPr>
              <w:t>3</w:t>
            </w:r>
          </w:p>
        </w:tc>
        <w:tc>
          <w:tcPr>
            <w:tcW w:w="6095" w:type="dxa"/>
            <w:vAlign w:val="center"/>
          </w:tcPr>
          <w:p w14:paraId="73066262">
            <w:pPr>
              <w:pStyle w:val="255"/>
              <w:spacing w:before="0" w:after="0" w:line="240" w:lineRule="auto"/>
              <w:ind w:firstLine="0"/>
              <w:jc w:val="both"/>
              <w:rPr>
                <w:rFonts w:ascii="宋体" w:hAnsi="宋体" w:cs="Arial"/>
                <w:color w:val="000000"/>
              </w:rPr>
            </w:pPr>
            <w:r>
              <w:rPr>
                <w:rFonts w:hint="eastAsia" w:ascii="宋体" w:hAnsi="宋体"/>
                <w:color w:val="000000"/>
              </w:rPr>
              <w:t>开标一览表（给定格式）</w:t>
            </w:r>
          </w:p>
        </w:tc>
        <w:tc>
          <w:tcPr>
            <w:tcW w:w="1979" w:type="dxa"/>
            <w:vMerge w:val="continue"/>
            <w:vAlign w:val="center"/>
          </w:tcPr>
          <w:p w14:paraId="349F613E">
            <w:pPr>
              <w:pStyle w:val="255"/>
              <w:spacing w:before="0" w:after="0" w:line="240" w:lineRule="auto"/>
              <w:ind w:firstLine="0"/>
              <w:jc w:val="both"/>
              <w:rPr>
                <w:rFonts w:cs="Arial"/>
                <w:color w:val="000000"/>
              </w:rPr>
            </w:pPr>
          </w:p>
        </w:tc>
      </w:tr>
      <w:tr w14:paraId="370A2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F4ADD5E">
            <w:pPr>
              <w:pStyle w:val="255"/>
              <w:spacing w:before="0" w:after="0" w:line="240" w:lineRule="auto"/>
              <w:ind w:firstLine="0"/>
              <w:jc w:val="center"/>
              <w:rPr>
                <w:rFonts w:ascii="宋体" w:hAnsi="宋体"/>
                <w:color w:val="000000"/>
              </w:rPr>
            </w:pPr>
            <w:r>
              <w:rPr>
                <w:rFonts w:hint="eastAsia" w:ascii="宋体" w:hAnsi="宋体"/>
                <w:color w:val="000000"/>
              </w:rPr>
              <w:t>4</w:t>
            </w:r>
          </w:p>
        </w:tc>
        <w:tc>
          <w:tcPr>
            <w:tcW w:w="6095" w:type="dxa"/>
            <w:vAlign w:val="center"/>
          </w:tcPr>
          <w:p w14:paraId="2B8F8985">
            <w:pPr>
              <w:pStyle w:val="255"/>
              <w:spacing w:before="0" w:after="0" w:line="240" w:lineRule="auto"/>
              <w:ind w:firstLine="0"/>
              <w:jc w:val="both"/>
              <w:rPr>
                <w:rFonts w:ascii="宋体" w:hAnsi="宋体" w:cs="Arial"/>
                <w:color w:val="000000"/>
              </w:rPr>
            </w:pPr>
            <w:r>
              <w:rPr>
                <w:rFonts w:hint="eastAsia" w:ascii="宋体" w:hAnsi="宋体"/>
                <w:color w:val="000000"/>
              </w:rPr>
              <w:t>明细报价表（给定格式）</w:t>
            </w:r>
          </w:p>
        </w:tc>
        <w:tc>
          <w:tcPr>
            <w:tcW w:w="1979" w:type="dxa"/>
            <w:vMerge w:val="continue"/>
            <w:vAlign w:val="center"/>
          </w:tcPr>
          <w:p w14:paraId="046CF6A8">
            <w:pPr>
              <w:pStyle w:val="255"/>
              <w:spacing w:before="0" w:after="0" w:line="240" w:lineRule="auto"/>
              <w:ind w:firstLine="0"/>
              <w:jc w:val="both"/>
              <w:rPr>
                <w:rFonts w:cs="Arial"/>
                <w:color w:val="000000"/>
              </w:rPr>
            </w:pPr>
          </w:p>
        </w:tc>
      </w:tr>
      <w:tr w14:paraId="77796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540243C">
            <w:pPr>
              <w:pStyle w:val="255"/>
              <w:spacing w:before="0" w:after="0" w:line="240" w:lineRule="auto"/>
              <w:ind w:firstLine="0"/>
              <w:jc w:val="center"/>
              <w:rPr>
                <w:rFonts w:ascii="宋体" w:hAnsi="宋体"/>
                <w:color w:val="000000"/>
              </w:rPr>
            </w:pPr>
            <w:r>
              <w:rPr>
                <w:rFonts w:hint="eastAsia" w:ascii="宋体" w:hAnsi="宋体"/>
                <w:color w:val="000000"/>
              </w:rPr>
              <w:t>5</w:t>
            </w:r>
          </w:p>
        </w:tc>
        <w:tc>
          <w:tcPr>
            <w:tcW w:w="6095" w:type="dxa"/>
            <w:vAlign w:val="center"/>
          </w:tcPr>
          <w:p w14:paraId="26CB18C8">
            <w:pPr>
              <w:pStyle w:val="255"/>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continue"/>
            <w:vAlign w:val="center"/>
          </w:tcPr>
          <w:p w14:paraId="677E1EAB">
            <w:pPr>
              <w:pStyle w:val="255"/>
              <w:spacing w:before="0" w:after="0" w:line="240" w:lineRule="auto"/>
              <w:ind w:firstLine="0"/>
              <w:jc w:val="both"/>
              <w:rPr>
                <w:rFonts w:cs="Arial"/>
                <w:color w:val="000000"/>
              </w:rPr>
            </w:pPr>
          </w:p>
        </w:tc>
      </w:tr>
      <w:tr w14:paraId="08754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B8B6CE9">
            <w:pPr>
              <w:pStyle w:val="255"/>
              <w:spacing w:before="0" w:after="0" w:line="240" w:lineRule="auto"/>
              <w:ind w:firstLine="0"/>
              <w:jc w:val="center"/>
              <w:rPr>
                <w:rFonts w:ascii="宋体" w:hAnsi="宋体"/>
                <w:color w:val="000000"/>
              </w:rPr>
            </w:pPr>
            <w:r>
              <w:rPr>
                <w:rFonts w:hint="eastAsia" w:ascii="宋体" w:hAnsi="宋体"/>
                <w:color w:val="000000"/>
              </w:rPr>
              <w:t>6</w:t>
            </w:r>
          </w:p>
        </w:tc>
        <w:tc>
          <w:tcPr>
            <w:tcW w:w="6095" w:type="dxa"/>
            <w:vAlign w:val="center"/>
          </w:tcPr>
          <w:p w14:paraId="1D707D31">
            <w:pPr>
              <w:pStyle w:val="255"/>
              <w:spacing w:before="0" w:after="0" w:line="240" w:lineRule="auto"/>
              <w:ind w:firstLine="0"/>
              <w:jc w:val="both"/>
              <w:rPr>
                <w:rFonts w:ascii="宋体" w:hAnsi="宋体"/>
                <w:color w:val="000000"/>
              </w:rPr>
            </w:pPr>
            <w:r>
              <w:rPr>
                <w:rFonts w:hint="eastAsia" w:ascii="宋体" w:hAnsi="宋体"/>
                <w:color w:val="000000"/>
              </w:rPr>
              <w:t>《采购需求》中如有要求须提供的证明文件</w:t>
            </w:r>
          </w:p>
        </w:tc>
        <w:tc>
          <w:tcPr>
            <w:tcW w:w="1979" w:type="dxa"/>
            <w:vMerge w:val="continue"/>
            <w:vAlign w:val="center"/>
          </w:tcPr>
          <w:p w14:paraId="52A7E5DB">
            <w:pPr>
              <w:pStyle w:val="255"/>
              <w:spacing w:before="0" w:after="0" w:line="240" w:lineRule="auto"/>
              <w:ind w:firstLine="0"/>
              <w:jc w:val="both"/>
              <w:rPr>
                <w:rFonts w:cs="Arial"/>
                <w:color w:val="000000"/>
              </w:rPr>
            </w:pPr>
          </w:p>
        </w:tc>
      </w:tr>
      <w:tr w14:paraId="1C0D6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054692E">
            <w:pPr>
              <w:pStyle w:val="255"/>
              <w:spacing w:before="0" w:after="0" w:line="240" w:lineRule="auto"/>
              <w:ind w:firstLine="0"/>
              <w:jc w:val="center"/>
              <w:rPr>
                <w:rFonts w:ascii="宋体" w:hAnsi="宋体"/>
                <w:color w:val="000000"/>
              </w:rPr>
            </w:pPr>
            <w:r>
              <w:rPr>
                <w:rFonts w:hint="eastAsia" w:ascii="宋体" w:hAnsi="宋体"/>
                <w:color w:val="000000"/>
              </w:rPr>
              <w:t>7</w:t>
            </w:r>
          </w:p>
        </w:tc>
        <w:tc>
          <w:tcPr>
            <w:tcW w:w="6095" w:type="dxa"/>
            <w:vAlign w:val="center"/>
          </w:tcPr>
          <w:p w14:paraId="44CCC745">
            <w:pPr>
              <w:pStyle w:val="255"/>
              <w:spacing w:before="0" w:after="0" w:line="240" w:lineRule="auto"/>
              <w:ind w:firstLine="0"/>
              <w:jc w:val="both"/>
              <w:rPr>
                <w:rFonts w:ascii="宋体" w:hAnsi="宋体"/>
                <w:color w:val="000000"/>
              </w:rPr>
            </w:pPr>
            <w:r>
              <w:rPr>
                <w:rFonts w:hint="eastAsia" w:ascii="宋体" w:hAnsi="宋体"/>
                <w:color w:val="000000"/>
              </w:rPr>
              <w:t>《评标方法与评标标准》中涉及的证明文件</w:t>
            </w:r>
          </w:p>
        </w:tc>
        <w:tc>
          <w:tcPr>
            <w:tcW w:w="1979" w:type="dxa"/>
            <w:vMerge w:val="restart"/>
            <w:vAlign w:val="center"/>
          </w:tcPr>
          <w:p w14:paraId="31150640">
            <w:pPr>
              <w:pStyle w:val="255"/>
              <w:spacing w:before="0" w:after="0" w:line="240" w:lineRule="auto"/>
              <w:ind w:firstLine="0"/>
              <w:jc w:val="both"/>
              <w:rPr>
                <w:rFonts w:cs="Arial"/>
                <w:color w:val="000000"/>
              </w:rPr>
            </w:pPr>
            <w:r>
              <w:rPr>
                <w:rFonts w:hint="eastAsia" w:cs="Arial"/>
                <w:color w:val="000000"/>
              </w:rPr>
              <w:t>其他证明文件</w:t>
            </w:r>
          </w:p>
        </w:tc>
      </w:tr>
      <w:tr w14:paraId="3A66C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32FF91C">
            <w:pPr>
              <w:pStyle w:val="255"/>
              <w:spacing w:before="0" w:after="0" w:line="240" w:lineRule="auto"/>
              <w:ind w:firstLine="0"/>
              <w:jc w:val="center"/>
              <w:rPr>
                <w:rFonts w:ascii="宋体" w:hAnsi="宋体"/>
                <w:color w:val="000000"/>
              </w:rPr>
            </w:pPr>
            <w:r>
              <w:rPr>
                <w:rFonts w:hint="eastAsia" w:ascii="宋体" w:hAnsi="宋体"/>
                <w:color w:val="000000"/>
              </w:rPr>
              <w:t>8</w:t>
            </w:r>
          </w:p>
        </w:tc>
        <w:tc>
          <w:tcPr>
            <w:tcW w:w="6095" w:type="dxa"/>
            <w:vAlign w:val="center"/>
          </w:tcPr>
          <w:p w14:paraId="77CDE33E">
            <w:pPr>
              <w:pStyle w:val="255"/>
              <w:spacing w:before="0" w:after="0" w:line="240" w:lineRule="auto"/>
              <w:ind w:firstLine="0"/>
              <w:jc w:val="both"/>
              <w:rPr>
                <w:rFonts w:ascii="宋体" w:hAnsi="宋体"/>
                <w:color w:val="000000"/>
              </w:rPr>
            </w:pPr>
            <w:r>
              <w:rPr>
                <w:rFonts w:hint="eastAsia" w:ascii="宋体" w:hAnsi="宋体"/>
                <w:color w:val="000000"/>
              </w:rPr>
              <w:t>其他投标人认为应附的文件（如有，自拟并自行添加）</w:t>
            </w:r>
          </w:p>
        </w:tc>
        <w:tc>
          <w:tcPr>
            <w:tcW w:w="1979" w:type="dxa"/>
            <w:vMerge w:val="continue"/>
          </w:tcPr>
          <w:p w14:paraId="4EBE1B50">
            <w:pPr>
              <w:pStyle w:val="255"/>
              <w:spacing w:before="0" w:after="0" w:line="240" w:lineRule="auto"/>
              <w:ind w:firstLine="0"/>
              <w:rPr>
                <w:rFonts w:cs="Arial"/>
                <w:color w:val="000000"/>
              </w:rPr>
            </w:pPr>
          </w:p>
        </w:tc>
      </w:tr>
    </w:tbl>
    <w:p w14:paraId="0E3953EE">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5212F21D">
      <w:pPr>
        <w:numPr>
          <w:ilvl w:val="0"/>
          <w:numId w:val="1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hint="eastAsia" w:cs="Arial"/>
          <w:color w:val="000000"/>
          <w:sz w:val="24"/>
          <w:szCs w:val="24"/>
        </w:rPr>
        <w:t>符合性证明文件及其他证明文件</w:t>
      </w:r>
      <w:r>
        <w:rPr>
          <w:rFonts w:hint="eastAsia" w:ascii="宋体" w:hAnsi="宋体"/>
          <w:color w:val="000000"/>
          <w:sz w:val="24"/>
          <w:szCs w:val="24"/>
        </w:rPr>
        <w:t>1～6项必须按要求全部提供（有给定格式的，必须按给定格式的要求正确填报并提供，相应格式见本章第二部分），否则投标文件无效。</w:t>
      </w:r>
    </w:p>
    <w:p w14:paraId="70B87112">
      <w:pPr>
        <w:numPr>
          <w:ilvl w:val="0"/>
          <w:numId w:val="10"/>
        </w:numPr>
        <w:spacing w:line="500" w:lineRule="exact"/>
        <w:ind w:firstLine="480"/>
        <w:rPr>
          <w:rFonts w:ascii="宋体" w:hAnsi="宋体" w:cs="宋体"/>
          <w:color w:val="000000"/>
          <w:sz w:val="24"/>
          <w:szCs w:val="24"/>
        </w:rPr>
      </w:pPr>
      <w:r>
        <w:rPr>
          <w:rFonts w:hint="eastAsia" w:ascii="宋体" w:hAnsi="宋体" w:cs="宋体"/>
          <w:color w:val="000000"/>
          <w:sz w:val="24"/>
          <w:szCs w:val="24"/>
        </w:rPr>
        <w:t>如项目接受联合体投标，且投标人为联合体时，上述</w:t>
      </w:r>
      <w:r>
        <w:rPr>
          <w:rFonts w:hint="eastAsia" w:cs="Arial"/>
          <w:color w:val="000000"/>
          <w:sz w:val="24"/>
          <w:szCs w:val="24"/>
        </w:rPr>
        <w:t>符合性证明文件及其他证明文件</w:t>
      </w:r>
      <w:r>
        <w:rPr>
          <w:rFonts w:hint="eastAsia" w:ascii="宋体" w:hAnsi="宋体" w:cs="宋体"/>
          <w:color w:val="000000"/>
          <w:sz w:val="24"/>
          <w:szCs w:val="24"/>
        </w:rPr>
        <w:t>第1～5项可由联合体主体单位（即联合体牵头人）代表联合体提供。</w:t>
      </w:r>
    </w:p>
    <w:p w14:paraId="0988AE63">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406C7370">
      <w:pPr>
        <w:pStyle w:val="255"/>
        <w:spacing w:before="0" w:after="0"/>
        <w:ind w:firstLine="0"/>
        <w:rPr>
          <w:rFonts w:cs="Arial"/>
          <w:b/>
          <w:color w:val="000000"/>
          <w:sz w:val="28"/>
          <w:szCs w:val="28"/>
        </w:rPr>
      </w:pPr>
      <w:r>
        <w:rPr>
          <w:rFonts w:hint="eastAsia" w:cs="Arial"/>
          <w:b/>
          <w:color w:val="000000"/>
          <w:sz w:val="28"/>
          <w:szCs w:val="28"/>
        </w:rPr>
        <w:t>一、封面格式（参考格式）：</w:t>
      </w:r>
    </w:p>
    <w:p w14:paraId="6B965BAB">
      <w:pPr>
        <w:jc w:val="center"/>
        <w:rPr>
          <w:rFonts w:ascii="宋体" w:hAnsi="宋体"/>
          <w:b/>
          <w:color w:val="000000"/>
          <w:sz w:val="72"/>
          <w:shd w:val="clear" w:color="FFFFFF" w:fill="D9D9D9"/>
        </w:rPr>
      </w:pPr>
    </w:p>
    <w:p w14:paraId="4481BFD7">
      <w:pPr>
        <w:jc w:val="center"/>
        <w:rPr>
          <w:rFonts w:ascii="宋体" w:hAnsi="宋体"/>
          <w:b/>
          <w:color w:val="000000"/>
          <w:sz w:val="72"/>
          <w:shd w:val="clear" w:color="FFFFFF" w:fill="D9D9D9"/>
        </w:rPr>
      </w:pPr>
    </w:p>
    <w:p w14:paraId="375BF6DB">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7124715A">
      <w:pPr>
        <w:jc w:val="center"/>
        <w:rPr>
          <w:rFonts w:ascii="宋体" w:hAnsi="宋体"/>
          <w:b/>
          <w:color w:val="000000"/>
          <w:sz w:val="72"/>
          <w:shd w:val="clear" w:color="FFFFFF" w:fill="D9D9D9"/>
        </w:rPr>
      </w:pPr>
    </w:p>
    <w:p w14:paraId="1D38E775">
      <w:pPr>
        <w:jc w:val="center"/>
        <w:rPr>
          <w:rFonts w:ascii="宋体" w:hAnsi="宋体"/>
          <w:b/>
          <w:color w:val="000000"/>
          <w:sz w:val="72"/>
          <w:shd w:val="clear" w:color="FFFFFF" w:fill="D9D9D9"/>
        </w:rPr>
      </w:pPr>
    </w:p>
    <w:p w14:paraId="1444E70E">
      <w:pPr>
        <w:jc w:val="center"/>
        <w:rPr>
          <w:rFonts w:ascii="宋体" w:hAnsi="宋体"/>
          <w:b/>
          <w:color w:val="000000"/>
          <w:sz w:val="72"/>
          <w:shd w:val="clear" w:color="FFFFFF" w:fill="D9D9D9"/>
        </w:rPr>
      </w:pPr>
    </w:p>
    <w:p w14:paraId="39DEBD90">
      <w:pPr>
        <w:jc w:val="center"/>
        <w:rPr>
          <w:rFonts w:ascii="宋体" w:hAnsi="宋体"/>
          <w:b/>
          <w:color w:val="000000"/>
          <w:sz w:val="72"/>
          <w:shd w:val="clear" w:color="FFFFFF" w:fill="D9D9D9"/>
        </w:rPr>
      </w:pPr>
    </w:p>
    <w:p w14:paraId="5BBF4B27">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JSZC-320200-WXJY-G2024-0030</w:t>
      </w:r>
    </w:p>
    <w:p w14:paraId="283816DC">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无锡学院智慧应急管理情景模拟综合实训室</w:t>
      </w:r>
    </w:p>
    <w:p w14:paraId="70ABB159">
      <w:pPr>
        <w:ind w:firstLine="1800"/>
        <w:rPr>
          <w:rFonts w:ascii="黑体" w:hAnsi="华文中宋" w:eastAsia="黑体"/>
          <w:bCs/>
          <w:color w:val="000000"/>
          <w:sz w:val="30"/>
          <w:szCs w:val="30"/>
        </w:rPr>
      </w:pPr>
      <w:r>
        <w:rPr>
          <w:rFonts w:hint="eastAsia" w:ascii="黑体" w:hAnsi="华文中宋" w:eastAsia="黑体"/>
          <w:bCs/>
          <w:color w:val="000000"/>
          <w:sz w:val="30"/>
          <w:szCs w:val="30"/>
        </w:rPr>
        <w:t>投 标 人：</w:t>
      </w:r>
    </w:p>
    <w:p w14:paraId="6917D219">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46485DA6">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1685D402">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0FA343EF">
      <w:pPr>
        <w:pStyle w:val="253"/>
        <w:ind w:firstLine="480"/>
        <w:rPr>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JSZC-320200-WXJY-G2024-0030</w:t>
      </w:r>
      <w:r>
        <w:rPr>
          <w:rFonts w:hint="eastAsia" w:ascii="宋体" w:hAnsi="宋体"/>
          <w:bCs/>
          <w:color w:val="000000"/>
          <w:sz w:val="24"/>
          <w:szCs w:val="24"/>
        </w:rPr>
        <w:t>项目，兹授权：</w:t>
      </w:r>
    </w:p>
    <w:p w14:paraId="4B7077C9">
      <w:pPr>
        <w:pStyle w:val="253"/>
        <w:ind w:firstLine="480"/>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60514D5E">
      <w:pPr>
        <w:pStyle w:val="253"/>
        <w:ind w:firstLine="480"/>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71F51D33">
      <w:pPr>
        <w:pStyle w:val="253"/>
        <w:ind w:firstLine="480"/>
        <w:rPr>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631D60C8">
      <w:pPr>
        <w:pStyle w:val="253"/>
        <w:ind w:firstLine="480"/>
        <w:rPr>
          <w:rFonts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111C34C5">
      <w:pPr>
        <w:pStyle w:val="253"/>
        <w:ind w:firstLine="480"/>
        <w:rPr>
          <w:color w:val="000000"/>
          <w:sz w:val="24"/>
          <w:szCs w:val="24"/>
        </w:rPr>
      </w:pPr>
      <w:r>
        <w:rPr>
          <w:rFonts w:hint="eastAsia"/>
          <w:color w:val="000000"/>
          <w:sz w:val="24"/>
          <w:szCs w:val="24"/>
        </w:rPr>
        <w:t>特此授权委托。</w:t>
      </w:r>
    </w:p>
    <w:p w14:paraId="128B6456">
      <w:pPr>
        <w:pStyle w:val="253"/>
        <w:ind w:firstLine="0"/>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50180803">
      <w:pPr>
        <w:pStyle w:val="253"/>
        <w:ind w:firstLine="0"/>
        <w:rPr>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14:paraId="1DBF7BE0">
      <w:pPr>
        <w:pStyle w:val="253"/>
        <w:ind w:firstLine="0"/>
        <w:rPr>
          <w:color w:val="000000"/>
          <w:sz w:val="24"/>
          <w:szCs w:val="24"/>
        </w:rPr>
      </w:pPr>
      <w:r>
        <w:rPr>
          <w:rFonts w:hint="eastAsia" w:ascii="宋体" w:hAnsi="宋体" w:cs="宋体"/>
          <w:b/>
          <w:color w:val="000000"/>
          <w:sz w:val="30"/>
          <w:lang w:eastAsia="zh-CN"/>
        </w:rPr>
        <w:t>（</w:t>
      </w:r>
      <w:r>
        <w:rPr>
          <w:rFonts w:hint="eastAsia" w:ascii="宋体" w:hAnsi="宋体" w:cs="宋体"/>
          <w:b/>
          <w:color w:val="000000"/>
          <w:sz w:val="30"/>
        </w:rPr>
        <w:t>被授权人身份证原件扫描件附后</w:t>
      </w:r>
      <w:r>
        <w:rPr>
          <w:rFonts w:hint="eastAsia" w:ascii="宋体" w:hAnsi="宋体" w:cs="宋体"/>
          <w:b/>
          <w:color w:val="000000"/>
          <w:sz w:val="30"/>
          <w:lang w:eastAsia="zh-CN"/>
        </w:rPr>
        <w:t>）</w:t>
      </w:r>
    </w:p>
    <w:p w14:paraId="118A1866">
      <w:pPr>
        <w:pStyle w:val="253"/>
        <w:ind w:firstLine="0"/>
        <w:rPr>
          <w:color w:val="000000"/>
          <w:sz w:val="24"/>
          <w:szCs w:val="24"/>
        </w:rPr>
      </w:pPr>
      <w:r>
        <w:rPr>
          <w:rFonts w:hint="eastAsia"/>
          <w:color w:val="000000"/>
          <w:sz w:val="24"/>
          <w:szCs w:val="24"/>
        </w:rPr>
        <w:t>说明：</w:t>
      </w:r>
    </w:p>
    <w:p w14:paraId="5EB01EA7">
      <w:pPr>
        <w:pStyle w:val="253"/>
        <w:numPr>
          <w:ilvl w:val="0"/>
          <w:numId w:val="11"/>
        </w:numPr>
        <w:ind w:firstLine="480"/>
        <w:rPr>
          <w:rFonts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67B989D4">
      <w:pPr>
        <w:pStyle w:val="253"/>
        <w:numPr>
          <w:ilvl w:val="0"/>
          <w:numId w:val="11"/>
        </w:numPr>
        <w:ind w:firstLine="480"/>
        <w:rPr>
          <w:rFonts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处签字或盖章即可。</w:t>
      </w:r>
    </w:p>
    <w:p w14:paraId="037ED61E">
      <w:pPr>
        <w:pStyle w:val="253"/>
        <w:numPr>
          <w:ilvl w:val="0"/>
          <w:numId w:val="11"/>
        </w:numPr>
        <w:ind w:firstLine="480"/>
        <w:rPr>
          <w:rFonts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6426D2C4">
      <w:pPr>
        <w:pStyle w:val="253"/>
        <w:numPr>
          <w:ilvl w:val="0"/>
          <w:numId w:val="11"/>
        </w:numPr>
        <w:ind w:firstLine="480"/>
        <w:rPr>
          <w:rFonts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被授权人为外籍、港、澳、台地区人士的，其身份证明须提供有效的护照或港澳同胞来往内地通行证、台湾同胞来往大陆通行证，或其他可在中国大陆有效居留的许可证明。</w:t>
      </w:r>
    </w:p>
    <w:p w14:paraId="63311AA4">
      <w:pPr>
        <w:pStyle w:val="253"/>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5EF537C2">
      <w:pPr>
        <w:jc w:val="center"/>
        <w:outlineLvl w:val="0"/>
        <w:rPr>
          <w:rFonts w:ascii="黑体" w:eastAsia="黑体"/>
          <w:bCs/>
          <w:color w:val="000000"/>
          <w:sz w:val="28"/>
          <w:szCs w:val="28"/>
        </w:rPr>
      </w:pPr>
      <w:bookmarkStart w:id="202" w:name="报价方关于资格的声明函（格式）"/>
      <w:bookmarkEnd w:id="202"/>
      <w:r>
        <w:rPr>
          <w:rFonts w:hint="eastAsia" w:ascii="黑体" w:eastAsia="黑体"/>
          <w:bCs/>
          <w:color w:val="000000"/>
          <w:sz w:val="28"/>
          <w:szCs w:val="28"/>
        </w:rPr>
        <w:t>资格声明函</w:t>
      </w:r>
    </w:p>
    <w:p w14:paraId="3B6C7BA6">
      <w:pPr>
        <w:spacing w:line="480" w:lineRule="auto"/>
        <w:jc w:val="center"/>
        <w:rPr>
          <w:rFonts w:ascii="宋体"/>
          <w:bCs/>
          <w:color w:val="000000"/>
          <w:sz w:val="24"/>
          <w:szCs w:val="24"/>
        </w:rPr>
      </w:pPr>
    </w:p>
    <w:p w14:paraId="549D5E80">
      <w:pPr>
        <w:spacing w:line="480" w:lineRule="auto"/>
        <w:rPr>
          <w:rFonts w:ascii="宋体"/>
          <w:bCs/>
          <w:color w:val="000000"/>
          <w:sz w:val="24"/>
          <w:szCs w:val="24"/>
        </w:rPr>
      </w:pPr>
      <w:r>
        <w:rPr>
          <w:rFonts w:hint="eastAsia" w:ascii="宋体" w:hAnsi="宋体"/>
          <w:bCs/>
          <w:color w:val="000000"/>
          <w:sz w:val="24"/>
          <w:szCs w:val="24"/>
        </w:rPr>
        <w:t>无锡市教育信息化和装备管理服务中心：</w:t>
      </w:r>
    </w:p>
    <w:p w14:paraId="4626E3DE">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JSZC-320200-WXJY-G2024-0030</w:t>
      </w:r>
      <w:r>
        <w:rPr>
          <w:rFonts w:hint="eastAsia" w:ascii="宋体" w:hAnsi="宋体"/>
          <w:bCs/>
          <w:color w:val="000000"/>
          <w:sz w:val="24"/>
          <w:szCs w:val="24"/>
        </w:rPr>
        <w:t>进行投标，并作如下声明</w:t>
      </w:r>
    </w:p>
    <w:p w14:paraId="548A44B6">
      <w:pPr>
        <w:spacing w:line="480" w:lineRule="auto"/>
        <w:ind w:firstLine="480"/>
        <w:rPr>
          <w:rFonts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47FF5904">
      <w:pPr>
        <w:spacing w:line="480" w:lineRule="auto"/>
        <w:ind w:firstLine="480"/>
        <w:rPr>
          <w:rFonts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3EDEB0B1">
      <w:pPr>
        <w:spacing w:line="480" w:lineRule="auto"/>
        <w:ind w:firstLine="480"/>
        <w:rPr>
          <w:rFonts w:ascii="宋体" w:hAnsi="宋体"/>
          <w:bCs/>
          <w:color w:val="000000"/>
          <w:sz w:val="24"/>
          <w:szCs w:val="24"/>
        </w:rPr>
      </w:pPr>
      <w:r>
        <w:rPr>
          <w:rFonts w:hint="eastAsia" w:ascii="宋体" w:hAnsi="宋体"/>
          <w:bCs/>
          <w:color w:val="000000"/>
          <w:sz w:val="24"/>
          <w:szCs w:val="24"/>
        </w:rPr>
        <w:t>3.本公司（单位）无被“信用中国”网站（www.creditchina.gov.cn）、中国政府采购网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20AB98B8">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14:paraId="625954B6">
      <w:pPr>
        <w:spacing w:line="480" w:lineRule="auto"/>
        <w:rPr>
          <w:rFonts w:ascii="宋体"/>
          <w:bCs/>
          <w:color w:val="000000"/>
          <w:sz w:val="24"/>
          <w:szCs w:val="24"/>
        </w:rPr>
      </w:pPr>
    </w:p>
    <w:p w14:paraId="79F1A997">
      <w:pPr>
        <w:spacing w:line="480" w:lineRule="auto"/>
        <w:rPr>
          <w:rFonts w:ascii="宋体"/>
          <w:bCs/>
          <w:color w:val="000000"/>
          <w:sz w:val="24"/>
          <w:szCs w:val="24"/>
        </w:rPr>
      </w:pPr>
      <w:r>
        <w:rPr>
          <w:rFonts w:hint="eastAsia" w:ascii="宋体" w:hAnsi="宋体"/>
          <w:bCs/>
          <w:color w:val="000000"/>
          <w:sz w:val="24"/>
          <w:szCs w:val="24"/>
        </w:rPr>
        <w:t>投标人名称（盖章）：</w:t>
      </w:r>
    </w:p>
    <w:p w14:paraId="550B580C">
      <w:pPr>
        <w:spacing w:line="440" w:lineRule="exact"/>
        <w:rPr>
          <w:rFonts w:ascii="黑体" w:eastAsia="黑体"/>
          <w:bCs/>
          <w:color w:val="000000"/>
          <w:sz w:val="28"/>
          <w:szCs w:val="28"/>
        </w:rPr>
      </w:pPr>
      <w:r>
        <w:rPr>
          <w:rFonts w:ascii="宋体"/>
          <w:bCs/>
          <w:color w:val="000000"/>
          <w:sz w:val="24"/>
          <w:szCs w:val="24"/>
        </w:rPr>
        <w:br w:type="page" w:clear="all"/>
      </w:r>
      <w:r>
        <w:rPr>
          <w:rFonts w:hint="eastAsia" w:ascii="宋体" w:hAnsi="宋体" w:cs="宋体"/>
          <w:b/>
          <w:color w:val="000000"/>
          <w:sz w:val="28"/>
          <w:szCs w:val="28"/>
        </w:rPr>
        <w:t>四、中小企业声明函（给定格式）：</w:t>
      </w:r>
    </w:p>
    <w:p w14:paraId="7673338F">
      <w:pPr>
        <w:spacing w:line="360" w:lineRule="auto"/>
        <w:ind w:firstLine="560"/>
        <w:jc w:val="center"/>
        <w:rPr>
          <w:rFonts w:ascii="黑体" w:eastAsia="黑体"/>
          <w:bCs/>
          <w:color w:val="000000"/>
          <w:sz w:val="28"/>
          <w:szCs w:val="28"/>
        </w:rPr>
      </w:pPr>
      <w:r>
        <w:rPr>
          <w:rFonts w:ascii="黑体" w:eastAsia="黑体"/>
          <w:bCs/>
          <w:color w:val="000000"/>
          <w:sz w:val="28"/>
          <w:szCs w:val="28"/>
        </w:rPr>
        <w:t>中小企业声明函（货物）</w:t>
      </w:r>
    </w:p>
    <w:p w14:paraId="1900C237">
      <w:pPr>
        <w:spacing w:line="360" w:lineRule="auto"/>
        <w:ind w:firstLine="480"/>
        <w:rPr>
          <w:rFonts w:ascii="宋体" w:hAnsi="宋体"/>
          <w:bCs/>
          <w:color w:val="000000"/>
          <w:sz w:val="24"/>
          <w:szCs w:val="24"/>
        </w:rPr>
      </w:pPr>
      <w:r>
        <w:rPr>
          <w:rFonts w:ascii="宋体" w:hAnsi="宋体"/>
          <w:bCs/>
          <w:color w:val="000000"/>
          <w:sz w:val="24"/>
          <w:szCs w:val="24"/>
        </w:rPr>
        <w:t>本公司（联合体）郑重声明，根据《政府采购促进中小企业发展管理办法》（财库﹝2020﹞46 号）的规定，本公司 （联合体）参加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采购活动，提供的货物全部由符合政策要求的中小企业制造。相关企业 （含联合体中的中小企业、签订分包意向协议的中小企业）的具体情况如下：</w:t>
      </w:r>
    </w:p>
    <w:p w14:paraId="272BABA7">
      <w:pPr>
        <w:spacing w:line="360" w:lineRule="auto"/>
        <w:ind w:firstLine="480"/>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415AA7DD">
      <w:pPr>
        <w:spacing w:line="360" w:lineRule="auto"/>
        <w:ind w:firstLine="480"/>
        <w:rPr>
          <w:rFonts w:ascii="宋体" w:hAnsi="宋体"/>
          <w:bCs/>
          <w:color w:val="000000"/>
          <w:sz w:val="24"/>
          <w:szCs w:val="24"/>
        </w:rPr>
      </w:pPr>
      <w:r>
        <w:rPr>
          <w:rFonts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5E823F8E">
      <w:pPr>
        <w:spacing w:line="360" w:lineRule="auto"/>
        <w:ind w:firstLine="480"/>
        <w:rPr>
          <w:rFonts w:ascii="宋体" w:hAnsi="宋体"/>
          <w:bCs/>
          <w:color w:val="000000"/>
          <w:sz w:val="24"/>
          <w:szCs w:val="24"/>
        </w:rPr>
      </w:pPr>
      <w:r>
        <w:rPr>
          <w:rFonts w:ascii="宋体" w:hAnsi="宋体"/>
          <w:bCs/>
          <w:color w:val="000000"/>
          <w:sz w:val="24"/>
          <w:szCs w:val="24"/>
        </w:rPr>
        <w:t>……</w:t>
      </w:r>
    </w:p>
    <w:p w14:paraId="467757C2">
      <w:pPr>
        <w:spacing w:line="360" w:lineRule="auto"/>
        <w:ind w:firstLine="480"/>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3A61E816">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14:paraId="7531C670">
      <w:pPr>
        <w:spacing w:line="360" w:lineRule="auto"/>
        <w:ind w:firstLine="4800"/>
        <w:rPr>
          <w:rFonts w:ascii="宋体" w:hAnsi="宋体"/>
          <w:bCs/>
          <w:color w:val="000000"/>
          <w:sz w:val="24"/>
          <w:szCs w:val="24"/>
        </w:rPr>
      </w:pPr>
      <w:r>
        <w:rPr>
          <w:rFonts w:hint="eastAsia" w:ascii="宋体" w:hAnsi="宋体"/>
          <w:bCs/>
          <w:color w:val="000000"/>
          <w:sz w:val="24"/>
          <w:szCs w:val="24"/>
        </w:rPr>
        <w:t>日　　　　　　期：</w:t>
      </w:r>
    </w:p>
    <w:p w14:paraId="00861E29">
      <w:pPr>
        <w:spacing w:line="360" w:lineRule="auto"/>
        <w:ind w:firstLine="420"/>
        <w:rPr>
          <w:color w:val="000000"/>
        </w:rPr>
      </w:pPr>
      <w:r>
        <w:rPr>
          <w:rFonts w:hint="eastAsia"/>
          <w:color w:val="000000"/>
        </w:rPr>
        <w:t>注：</w:t>
      </w:r>
    </w:p>
    <w:p w14:paraId="1EC35D30">
      <w:pPr>
        <w:spacing w:line="360" w:lineRule="auto"/>
        <w:ind w:firstLine="420"/>
        <w:rPr>
          <w:color w:val="000000"/>
        </w:rPr>
      </w:pPr>
      <w:r>
        <w:rPr>
          <w:rFonts w:hint="eastAsia"/>
          <w:color w:val="000000"/>
        </w:rPr>
        <w:t>（</w:t>
      </w:r>
      <w:r>
        <w:rPr>
          <w:rFonts w:hint="eastAsia"/>
          <w:color w:val="000000"/>
          <w:lang w:val="en-US" w:eastAsia="zh-CN"/>
        </w:rPr>
        <w:t>1</w:t>
      </w:r>
      <w:r>
        <w:rPr>
          <w:rFonts w:hint="eastAsia"/>
          <w:color w:val="000000"/>
        </w:rPr>
        <w:t>）从业人员、营业收入、资产总额填报上一年度数据，无上一年度数据的新成立企业可不填报。</w:t>
      </w:r>
    </w:p>
    <w:p w14:paraId="5B3CFB71">
      <w:pPr>
        <w:spacing w:line="360" w:lineRule="auto"/>
        <w:ind w:firstLine="420"/>
        <w:rPr>
          <w:color w:val="000000"/>
        </w:rPr>
      </w:pPr>
      <w:r>
        <w:rPr>
          <w:rFonts w:hint="eastAsia"/>
          <w:color w:val="000000"/>
        </w:rPr>
        <w:t>（</w:t>
      </w:r>
      <w:r>
        <w:rPr>
          <w:rFonts w:hint="eastAsia"/>
          <w:color w:val="000000"/>
          <w:lang w:val="en-US" w:eastAsia="zh-CN"/>
        </w:rPr>
        <w:t>2</w:t>
      </w:r>
      <w:r>
        <w:rPr>
          <w:rFonts w:hint="eastAsia"/>
          <w:color w:val="000000"/>
        </w:rPr>
        <w:t>）</w:t>
      </w:r>
      <w:r>
        <w:rPr>
          <w:rFonts w:hint="eastAsia" w:ascii="宋体" w:hAnsi="宋体"/>
          <w:color w:val="000000"/>
          <w:sz w:val="21"/>
          <w:szCs w:val="21"/>
          <w:highlight w:val="none"/>
        </w:rPr>
        <w:t>专门</w:t>
      </w:r>
      <w:r>
        <w:rPr>
          <w:rFonts w:ascii="宋体" w:hAnsi="宋体"/>
          <w:color w:val="000000"/>
          <w:sz w:val="21"/>
          <w:szCs w:val="21"/>
          <w:highlight w:val="none"/>
        </w:rPr>
        <w:t>面向中小微型企业</w:t>
      </w:r>
      <w:r>
        <w:rPr>
          <w:rFonts w:hint="eastAsia" w:ascii="宋体" w:hAnsi="宋体"/>
          <w:color w:val="000000"/>
          <w:sz w:val="21"/>
          <w:szCs w:val="21"/>
          <w:highlight w:val="none"/>
        </w:rPr>
        <w:t>采购</w:t>
      </w:r>
      <w:r>
        <w:rPr>
          <w:rFonts w:ascii="宋体" w:hAnsi="宋体"/>
          <w:color w:val="000000"/>
          <w:sz w:val="21"/>
          <w:szCs w:val="21"/>
          <w:highlight w:val="none"/>
        </w:rPr>
        <w:t>的项目，</w:t>
      </w:r>
      <w:r>
        <w:rPr>
          <w:rFonts w:hint="eastAsia" w:ascii="宋体" w:hAnsi="宋体"/>
          <w:color w:val="000000"/>
          <w:sz w:val="21"/>
          <w:szCs w:val="21"/>
          <w:highlight w:val="none"/>
        </w:rPr>
        <w:t>供应商如不提供此声明函，则</w:t>
      </w:r>
      <w:r>
        <w:rPr>
          <w:rFonts w:ascii="宋体" w:hAnsi="宋体"/>
          <w:color w:val="000000"/>
          <w:sz w:val="21"/>
          <w:szCs w:val="21"/>
          <w:highlight w:val="none"/>
        </w:rPr>
        <w:t>不能通过资格审查；</w:t>
      </w:r>
      <w:r>
        <w:rPr>
          <w:rFonts w:hint="eastAsia" w:ascii="宋体" w:hAnsi="宋体"/>
          <w:color w:val="000000"/>
          <w:sz w:val="21"/>
          <w:szCs w:val="21"/>
          <w:highlight w:val="none"/>
        </w:rPr>
        <w:t>非专门</w:t>
      </w:r>
      <w:r>
        <w:rPr>
          <w:rFonts w:ascii="宋体" w:hAnsi="宋体"/>
          <w:color w:val="000000"/>
          <w:sz w:val="21"/>
          <w:szCs w:val="21"/>
          <w:highlight w:val="none"/>
        </w:rPr>
        <w:t>面向中小微型企业</w:t>
      </w:r>
      <w:r>
        <w:rPr>
          <w:rFonts w:hint="eastAsia" w:ascii="宋体" w:hAnsi="宋体"/>
          <w:color w:val="000000"/>
          <w:sz w:val="21"/>
          <w:szCs w:val="21"/>
          <w:highlight w:val="none"/>
        </w:rPr>
        <w:t>采购</w:t>
      </w:r>
      <w:r>
        <w:rPr>
          <w:rFonts w:ascii="宋体" w:hAnsi="宋体"/>
          <w:color w:val="000000"/>
          <w:sz w:val="21"/>
          <w:szCs w:val="21"/>
          <w:highlight w:val="none"/>
        </w:rPr>
        <w:t>的项目，</w:t>
      </w:r>
      <w:r>
        <w:rPr>
          <w:rFonts w:hint="eastAsia" w:ascii="宋体" w:hAnsi="宋体"/>
          <w:color w:val="000000"/>
          <w:sz w:val="21"/>
          <w:szCs w:val="21"/>
          <w:highlight w:val="none"/>
        </w:rPr>
        <w:t>供应商如不提供此声明函，价格将不做相应扣除</w:t>
      </w:r>
      <w:r>
        <w:rPr>
          <w:rFonts w:hint="eastAsia" w:ascii="宋体" w:hAnsi="宋体"/>
          <w:color w:val="000000"/>
          <w:sz w:val="21"/>
          <w:szCs w:val="21"/>
          <w:highlight w:val="none"/>
          <w:lang w:eastAsia="zh-CN"/>
        </w:rPr>
        <w:t>。</w:t>
      </w:r>
      <w:r>
        <w:rPr>
          <w:rFonts w:hint="eastAsia"/>
          <w:color w:val="000000"/>
        </w:rPr>
        <w:t>在货物采购项目中，供应商提供的货物既有中小企业制造货物，也有大型企业制造货物的，不享受本办法规定的中小企业扶持政策。</w:t>
      </w:r>
    </w:p>
    <w:p w14:paraId="3F61D940">
      <w:pPr>
        <w:spacing w:line="360" w:lineRule="auto"/>
        <w:ind w:firstLine="420"/>
        <w:rPr>
          <w:color w:val="000000"/>
        </w:rPr>
      </w:pPr>
      <w:r>
        <w:rPr>
          <w:rFonts w:hint="eastAsia"/>
          <w:color w:val="000000"/>
        </w:rPr>
        <w:t>（</w:t>
      </w:r>
      <w:r>
        <w:rPr>
          <w:rFonts w:hint="eastAsia"/>
          <w:color w:val="000000"/>
          <w:lang w:val="en-US" w:eastAsia="zh-CN"/>
        </w:rPr>
        <w:t>3</w:t>
      </w:r>
      <w:r>
        <w:rPr>
          <w:rFonts w:hint="eastAsia"/>
          <w:color w:val="000000"/>
        </w:rPr>
        <w:t>）中标供应商的《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14:paraId="1AF228B6">
      <w:pPr>
        <w:spacing w:line="360" w:lineRule="auto"/>
        <w:rPr>
          <w:rFonts w:ascii="宋体" w:hAnsi="宋体" w:cs="宋体"/>
          <w:b/>
          <w:color w:val="000000"/>
          <w:sz w:val="30"/>
          <w:szCs w:val="30"/>
        </w:rPr>
      </w:pPr>
      <w:r>
        <w:rPr>
          <w:color w:val="000000"/>
        </w:rPr>
        <w:br w:type="page" w:clear="all"/>
      </w:r>
      <w:r>
        <w:rPr>
          <w:rFonts w:hint="eastAsia"/>
          <w:b/>
          <w:color w:val="000000"/>
          <w:sz w:val="30"/>
          <w:szCs w:val="30"/>
        </w:rPr>
        <w:t>五</w:t>
      </w:r>
      <w:r>
        <w:rPr>
          <w:rFonts w:hint="eastAsia" w:ascii="宋体" w:hAnsi="宋体" w:cs="宋体"/>
          <w:b/>
          <w:color w:val="000000"/>
          <w:sz w:val="30"/>
          <w:szCs w:val="30"/>
        </w:rPr>
        <w:t>、残疾人福利性单位声明函（给定格式）：</w:t>
      </w:r>
    </w:p>
    <w:p w14:paraId="17986C47">
      <w:pPr>
        <w:spacing w:line="440" w:lineRule="exact"/>
        <w:ind w:firstLine="482"/>
        <w:rPr>
          <w:rFonts w:ascii="Arial" w:hAnsi="Arial"/>
          <w:b/>
          <w:color w:val="000000"/>
          <w:sz w:val="24"/>
        </w:rPr>
      </w:pPr>
    </w:p>
    <w:p w14:paraId="3F5B6205">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4C96370E">
      <w:pPr>
        <w:jc w:val="center"/>
        <w:rPr>
          <w:rFonts w:ascii="黑体" w:eastAsia="黑体"/>
          <w:bCs/>
          <w:color w:val="000000"/>
          <w:sz w:val="28"/>
          <w:szCs w:val="28"/>
        </w:rPr>
      </w:pPr>
    </w:p>
    <w:p w14:paraId="0CDB733F">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758709">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330CDD5B">
      <w:pPr>
        <w:spacing w:line="580" w:lineRule="exact"/>
        <w:ind w:firstLine="480"/>
        <w:rPr>
          <w:rFonts w:ascii="宋体" w:hAnsi="宋体"/>
          <w:bCs/>
          <w:color w:val="000000"/>
          <w:sz w:val="24"/>
          <w:szCs w:val="24"/>
        </w:rPr>
      </w:pPr>
    </w:p>
    <w:p w14:paraId="09EFA105">
      <w:pPr>
        <w:spacing w:line="580" w:lineRule="exact"/>
        <w:ind w:firstLine="480"/>
        <w:rPr>
          <w:rFonts w:ascii="宋体" w:hAnsi="宋体"/>
          <w:bCs/>
          <w:color w:val="000000"/>
          <w:sz w:val="24"/>
          <w:szCs w:val="24"/>
        </w:rPr>
      </w:pPr>
    </w:p>
    <w:p w14:paraId="1D4FD098">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3F1F2EEC">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0B200D9E">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六</w:t>
      </w:r>
      <w:r>
        <w:rPr>
          <w:b/>
          <w:color w:val="000000"/>
          <w:sz w:val="30"/>
          <w:szCs w:val="30"/>
        </w:rPr>
        <w:t>、投标函</w:t>
      </w:r>
      <w:r>
        <w:rPr>
          <w:rFonts w:hint="eastAsia"/>
          <w:b/>
          <w:color w:val="000000"/>
          <w:sz w:val="30"/>
          <w:szCs w:val="30"/>
        </w:rPr>
        <w:t>（给定格式）：</w:t>
      </w:r>
    </w:p>
    <w:p w14:paraId="23450E61">
      <w:pPr>
        <w:spacing w:line="360" w:lineRule="auto"/>
        <w:rPr>
          <w:b/>
          <w:color w:val="000000"/>
          <w:sz w:val="30"/>
          <w:szCs w:val="30"/>
        </w:rPr>
      </w:pPr>
    </w:p>
    <w:p w14:paraId="6D1FC593">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6091A98F">
      <w:pPr>
        <w:spacing w:line="400" w:lineRule="exact"/>
        <w:rPr>
          <w:rFonts w:ascii="宋体"/>
          <w:bCs/>
          <w:color w:val="000000"/>
          <w:sz w:val="24"/>
          <w:szCs w:val="24"/>
        </w:rPr>
      </w:pPr>
      <w:r>
        <w:rPr>
          <w:rFonts w:hint="eastAsia" w:ascii="宋体" w:hAnsi="宋体"/>
          <w:bCs/>
          <w:color w:val="000000"/>
          <w:sz w:val="24"/>
          <w:szCs w:val="24"/>
        </w:rPr>
        <w:t>致无锡市教育信息化和装备管理服务中心：</w:t>
      </w:r>
    </w:p>
    <w:p w14:paraId="7AE7C5C6">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JSZC-320200-WXJY-G2024-0030</w:t>
      </w:r>
      <w:r>
        <w:rPr>
          <w:rFonts w:hint="eastAsia" w:ascii="宋体" w:hAnsi="宋体"/>
          <w:bCs/>
          <w:color w:val="000000"/>
          <w:sz w:val="24"/>
          <w:szCs w:val="24"/>
        </w:rPr>
        <w:t>招标文件，经仔细阅读和研究，我方决定参加此项目的投标。</w:t>
      </w:r>
    </w:p>
    <w:p w14:paraId="7FE431C6">
      <w:pPr>
        <w:numPr>
          <w:ilvl w:val="0"/>
          <w:numId w:val="12"/>
        </w:numPr>
        <w:tabs>
          <w:tab w:val="left" w:pos="315"/>
          <w:tab w:val="left" w:pos="840"/>
          <w:tab w:val="left" w:pos="945"/>
          <w:tab w:val="left" w:pos="1050"/>
          <w:tab w:val="left" w:pos="1260"/>
          <w:tab w:val="clear" w:pos="552"/>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6FC1AE62">
      <w:pPr>
        <w:numPr>
          <w:ilvl w:val="0"/>
          <w:numId w:val="12"/>
        </w:numPr>
        <w:tabs>
          <w:tab w:val="left" w:pos="0"/>
          <w:tab w:val="left" w:pos="315"/>
          <w:tab w:val="left" w:pos="525"/>
          <w:tab w:val="left" w:pos="840"/>
          <w:tab w:val="left" w:pos="945"/>
          <w:tab w:val="left" w:pos="1050"/>
          <w:tab w:val="clear" w:pos="552"/>
        </w:tabs>
        <w:spacing w:line="400" w:lineRule="exact"/>
        <w:ind w:left="0" w:firstLine="523"/>
        <w:rPr>
          <w:rStyle w:val="55"/>
          <w:bCs/>
          <w:color w:val="000000"/>
        </w:rPr>
      </w:pPr>
      <w:r>
        <w:rPr>
          <w:rFonts w:hint="eastAsia" w:ascii="宋体" w:hAnsi="宋体"/>
          <w:bCs/>
          <w:color w:val="000000"/>
          <w:sz w:val="24"/>
          <w:szCs w:val="24"/>
        </w:rPr>
        <w:t>我方愿意提供无锡市教育信息化和装备管理服务中心在招标文件中要求的文件、资料。</w:t>
      </w:r>
    </w:p>
    <w:p w14:paraId="4F156C87">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14:paraId="7974C144">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0C1B35BC">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14:paraId="328F9BD9">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709F6BB4">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我方已详细审核全部招标文件及其有效补充文件，我们知道必须放弃提出含糊不清或误解问题的权利。</w:t>
      </w:r>
    </w:p>
    <w:p w14:paraId="06A57C22">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155F6777">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6D203838">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其他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p>
    <w:p w14:paraId="55384BE0">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68F5BA65">
      <w:pPr>
        <w:spacing w:line="400" w:lineRule="exact"/>
        <w:ind w:firstLine="480"/>
        <w:rPr>
          <w:rFonts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0CE6A9DE">
      <w:pPr>
        <w:spacing w:line="460" w:lineRule="exact"/>
        <w:ind w:firstLine="480" w:firstLineChars="200"/>
        <w:rPr>
          <w:rFonts w:ascii="宋体" w:hAnsi="宋体"/>
          <w:bCs/>
          <w:color w:val="000000"/>
          <w:sz w:val="24"/>
          <w:szCs w:val="24"/>
        </w:rPr>
      </w:pPr>
      <w:r>
        <w:rPr>
          <w:rFonts w:hint="eastAsia" w:ascii="宋体" w:hAnsi="宋体"/>
          <w:bCs/>
          <w:color w:val="000000"/>
          <w:sz w:val="24"/>
          <w:szCs w:val="24"/>
        </w:rPr>
        <w:t>投标人名称（盖章）：</w:t>
      </w:r>
    </w:p>
    <w:p w14:paraId="0355F5BC">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七、承诺书（给定格式）：</w:t>
      </w:r>
    </w:p>
    <w:p w14:paraId="45F5111A">
      <w:pPr>
        <w:jc w:val="center"/>
        <w:rPr>
          <w:rFonts w:ascii="黑体" w:eastAsia="黑体"/>
          <w:bCs/>
          <w:color w:val="000000"/>
          <w:sz w:val="28"/>
          <w:szCs w:val="28"/>
        </w:rPr>
      </w:pPr>
      <w:r>
        <w:rPr>
          <w:rFonts w:hint="eastAsia" w:ascii="黑体" w:eastAsia="黑体"/>
          <w:bCs/>
          <w:color w:val="000000"/>
          <w:sz w:val="28"/>
          <w:szCs w:val="28"/>
        </w:rPr>
        <w:t>承诺书</w:t>
      </w:r>
    </w:p>
    <w:p w14:paraId="6FCCAC99">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rPr>
        <w:t>投标人</w:t>
      </w:r>
      <w:r>
        <w:rPr>
          <w:rFonts w:hint="eastAsia" w:ascii="宋体" w:hAnsi="宋体"/>
          <w:color w:val="000000"/>
          <w:sz w:val="24"/>
          <w:szCs w:val="24"/>
        </w:rPr>
        <w:t>名称）针对本项目</w:t>
      </w:r>
      <w:r>
        <w:rPr>
          <w:rFonts w:hint="eastAsia" w:ascii="宋体" w:hAnsi="宋体"/>
          <w:bCs/>
          <w:color w:val="000000"/>
          <w:sz w:val="24"/>
          <w:szCs w:val="24"/>
          <w:lang w:eastAsia="zh-CN"/>
        </w:rPr>
        <w:t>JSZC-320200-WXJY-G2024-0030</w:t>
      </w:r>
      <w:r>
        <w:rPr>
          <w:rFonts w:hint="eastAsia" w:ascii="宋体" w:hAnsi="宋体"/>
          <w:color w:val="000000"/>
          <w:sz w:val="24"/>
          <w:szCs w:val="24"/>
        </w:rPr>
        <w:t>在此承诺：</w:t>
      </w:r>
    </w:p>
    <w:p w14:paraId="3E14CD61">
      <w:pPr>
        <w:spacing w:line="480" w:lineRule="auto"/>
        <w:ind w:firstLine="480"/>
        <w:rPr>
          <w:rFonts w:ascii="宋体" w:hAnsi="宋体"/>
          <w:bCs/>
          <w:color w:val="000000"/>
          <w:sz w:val="24"/>
          <w:szCs w:val="24"/>
        </w:rPr>
      </w:pPr>
      <w:r>
        <w:rPr>
          <w:rFonts w:hint="eastAsia" w:ascii="宋体" w:hAnsi="宋体"/>
          <w:color w:val="000000"/>
          <w:sz w:val="24"/>
          <w:szCs w:val="24"/>
        </w:rPr>
        <w:t>1.本公司（单位）</w:t>
      </w:r>
      <w:r>
        <w:rPr>
          <w:rFonts w:hint="eastAsia" w:ascii="宋体" w:hAnsi="宋体"/>
          <w:bCs/>
          <w:color w:val="000000"/>
          <w:sz w:val="24"/>
          <w:szCs w:val="24"/>
        </w:rPr>
        <w:t>对本项目所提供的货物均为原厂全新合格品，提供的服务符合招标文件要求。</w:t>
      </w:r>
    </w:p>
    <w:p w14:paraId="15CF8C31">
      <w:pPr>
        <w:spacing w:line="480" w:lineRule="auto"/>
        <w:ind w:firstLine="480"/>
        <w:rPr>
          <w:rFonts w:ascii="宋体"/>
          <w:bCs/>
          <w:color w:val="000000"/>
          <w:sz w:val="24"/>
          <w:szCs w:val="24"/>
        </w:rPr>
      </w:pPr>
      <w:r>
        <w:rPr>
          <w:rFonts w:hint="eastAsia" w:ascii="宋体"/>
          <w:bCs/>
          <w:color w:val="000000"/>
          <w:sz w:val="24"/>
          <w:szCs w:val="24"/>
        </w:rPr>
        <w:t>2.本项目中如有涉及商品包装、快递包装要求的，本公司（单位）对于中标产品的包装将严格</w:t>
      </w:r>
      <w:r>
        <w:rPr>
          <w:rFonts w:hint="eastAsia" w:ascii="宋体"/>
          <w:bCs/>
          <w:color w:val="000000"/>
          <w:sz w:val="24"/>
          <w:szCs w:val="24"/>
          <w:lang w:eastAsia="zh-CN"/>
        </w:rPr>
        <w:t>按照</w:t>
      </w:r>
      <w:r>
        <w:rPr>
          <w:rFonts w:hint="eastAsia" w:ascii="宋体"/>
          <w:bCs/>
          <w:color w:val="000000"/>
          <w:sz w:val="24"/>
          <w:szCs w:val="24"/>
        </w:rPr>
        <w:t>《关于印发〈商品包装政府采购需求标准（试行）〉、〈快递包装政府采购需求标准（试行）〉的通知》（财办库〔2020〕123号）文件执行。</w:t>
      </w:r>
    </w:p>
    <w:p w14:paraId="60241294">
      <w:pPr>
        <w:spacing w:line="480" w:lineRule="auto"/>
        <w:ind w:firstLine="480"/>
        <w:rPr>
          <w:rFonts w:ascii="宋体" w:hAnsi="宋体"/>
          <w:color w:val="000000"/>
          <w:sz w:val="24"/>
          <w:szCs w:val="24"/>
        </w:rPr>
      </w:pPr>
      <w:r>
        <w:rPr>
          <w:rFonts w:hint="eastAsia" w:ascii="宋体" w:hAnsi="宋体"/>
          <w:color w:val="000000"/>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00BEAAFE">
      <w:pPr>
        <w:spacing w:line="480" w:lineRule="auto"/>
        <w:ind w:firstLine="480"/>
        <w:rPr>
          <w:rFonts w:ascii="宋体" w:hAnsi="宋体"/>
          <w:bCs/>
          <w:color w:val="000000"/>
          <w:sz w:val="24"/>
          <w:szCs w:val="24"/>
        </w:rPr>
      </w:pPr>
      <w:r>
        <w:rPr>
          <w:rFonts w:hint="eastAsia" w:ascii="宋体" w:hAnsi="宋体"/>
          <w:bCs/>
          <w:color w:val="000000"/>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本公司（单位）</w:t>
      </w:r>
      <w:r>
        <w:rPr>
          <w:rFonts w:hint="eastAsia" w:ascii="宋体" w:hAnsi="宋体"/>
          <w:bCs/>
          <w:color w:val="000000"/>
          <w:sz w:val="24"/>
          <w:szCs w:val="24"/>
        </w:rPr>
        <w:t>将按规定执行国家和我省VOCs含量限制标准；如非强制性标准的，</w:t>
      </w:r>
      <w:r>
        <w:rPr>
          <w:rFonts w:hint="eastAsia" w:ascii="宋体"/>
          <w:bCs/>
          <w:color w:val="000000"/>
          <w:sz w:val="24"/>
          <w:szCs w:val="24"/>
        </w:rPr>
        <w:t>本公司（单位）</w:t>
      </w:r>
      <w:r>
        <w:rPr>
          <w:rFonts w:hint="eastAsia" w:ascii="宋体" w:hAnsi="宋体"/>
          <w:bCs/>
          <w:color w:val="000000"/>
          <w:sz w:val="24"/>
          <w:szCs w:val="24"/>
        </w:rPr>
        <w:t>将优先提供符合推荐性标准的涂料、胶黏剂、油墨、清洗剂等挥发性有机物产品或者在通用类货物、家具、印刷、公务车辆维修等采购项目中优先使用低挥发性原辅材料。</w:t>
      </w:r>
    </w:p>
    <w:p w14:paraId="4F1ED6DA">
      <w:pPr>
        <w:spacing w:line="480" w:lineRule="auto"/>
        <w:ind w:firstLine="480"/>
        <w:rPr>
          <w:rFonts w:ascii="宋体" w:hAnsi="宋体" w:cs="宋体"/>
          <w:color w:val="000000"/>
          <w:sz w:val="24"/>
          <w:szCs w:val="24"/>
        </w:rPr>
      </w:pPr>
      <w:r>
        <w:rPr>
          <w:rFonts w:hint="eastAsia" w:ascii="宋体"/>
          <w:bCs/>
          <w:color w:val="000000"/>
          <w:sz w:val="24"/>
          <w:szCs w:val="24"/>
        </w:rPr>
        <w:t>4.</w:t>
      </w:r>
      <w:r>
        <w:rPr>
          <w:rFonts w:hint="eastAsia" w:ascii="宋体" w:hAnsi="宋体" w:cs="宋体"/>
          <w:color w:val="000000"/>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本公司（单位）将所投产品符合相关要求和标准。在满足</w:t>
      </w:r>
      <w:r>
        <w:rPr>
          <w:rFonts w:hint="eastAsia" w:ascii="宋体" w:hAnsi="宋体" w:cs="宋体"/>
          <w:color w:val="000000"/>
          <w:sz w:val="24"/>
          <w:szCs w:val="24"/>
        </w:rPr>
        <w:t>《需求标准》的前提下，如招标文件中对七种软硬件有其他要求的，</w:t>
      </w:r>
      <w:r>
        <w:rPr>
          <w:rFonts w:hint="eastAsia" w:ascii="宋体"/>
          <w:bCs/>
          <w:color w:val="000000"/>
          <w:sz w:val="24"/>
          <w:szCs w:val="24"/>
        </w:rPr>
        <w:t>本公司（单位）所投产品将</w:t>
      </w:r>
      <w:r>
        <w:rPr>
          <w:rFonts w:hint="eastAsia" w:ascii="宋体" w:hAnsi="宋体" w:cs="宋体"/>
          <w:color w:val="000000"/>
          <w:sz w:val="24"/>
          <w:szCs w:val="24"/>
        </w:rPr>
        <w:t>满足招标文件要求。如采购人在</w:t>
      </w:r>
      <w:r>
        <w:rPr>
          <w:rFonts w:hint="eastAsia" w:ascii="宋体"/>
          <w:bCs/>
          <w:color w:val="000000"/>
          <w:sz w:val="24"/>
          <w:szCs w:val="24"/>
        </w:rPr>
        <w:t>合同中约定，</w:t>
      </w:r>
      <w:r>
        <w:rPr>
          <w:rFonts w:hint="eastAsia" w:ascii="宋体" w:hAnsi="宋体" w:cs="宋体"/>
          <w:color w:val="000000"/>
          <w:sz w:val="24"/>
          <w:szCs w:val="24"/>
        </w:rPr>
        <w:t>在</w:t>
      </w:r>
      <w:r>
        <w:rPr>
          <w:rFonts w:hint="eastAsia" w:ascii="宋体"/>
          <w:bCs/>
          <w:color w:val="000000"/>
          <w:sz w:val="24"/>
          <w:szCs w:val="24"/>
        </w:rPr>
        <w:t>履约验收管理时，对所提供的七种软硬件进行验收，且必要时将委托依法取得检测、认证资质的机构进行检测、认证的，本公司（单位）将予以配合。</w:t>
      </w:r>
    </w:p>
    <w:p w14:paraId="73FF0826">
      <w:pPr>
        <w:spacing w:line="480" w:lineRule="auto"/>
        <w:ind w:firstLine="480"/>
        <w:rPr>
          <w:rFonts w:ascii="宋体"/>
          <w:bCs/>
          <w:color w:val="000000"/>
          <w:sz w:val="24"/>
          <w:szCs w:val="24"/>
        </w:rPr>
      </w:pPr>
    </w:p>
    <w:p w14:paraId="797D8456">
      <w:pPr>
        <w:spacing w:line="480" w:lineRule="auto"/>
        <w:ind w:firstLine="480"/>
        <w:rPr>
          <w:rFonts w:ascii="宋体"/>
          <w:bCs/>
          <w:color w:val="000000"/>
          <w:sz w:val="24"/>
          <w:szCs w:val="24"/>
        </w:rPr>
      </w:pPr>
      <w:r>
        <w:rPr>
          <w:rFonts w:ascii="宋体"/>
          <w:bCs/>
          <w:color w:val="000000"/>
          <w:sz w:val="24"/>
          <w:szCs w:val="24"/>
        </w:rPr>
        <w:t>……</w:t>
      </w:r>
      <w:r>
        <w:rPr>
          <w:rFonts w:hint="eastAsia" w:ascii="宋体"/>
          <w:bCs/>
          <w:color w:val="000000"/>
          <w:sz w:val="24"/>
          <w:szCs w:val="24"/>
        </w:rPr>
        <w:t>（投标人如有其他承诺的可在此处添加）</w:t>
      </w:r>
    </w:p>
    <w:p w14:paraId="56053377">
      <w:pPr>
        <w:spacing w:line="480" w:lineRule="auto"/>
        <w:ind w:firstLine="480"/>
        <w:rPr>
          <w:rFonts w:ascii="宋体"/>
          <w:bCs/>
          <w:color w:val="000000"/>
          <w:sz w:val="24"/>
          <w:szCs w:val="24"/>
        </w:rPr>
      </w:pPr>
    </w:p>
    <w:p w14:paraId="0C26C459">
      <w:pPr>
        <w:spacing w:line="480" w:lineRule="auto"/>
        <w:ind w:firstLine="480"/>
        <w:rPr>
          <w:rFonts w:ascii="宋体" w:hAnsi="宋体"/>
          <w:color w:val="000000"/>
          <w:sz w:val="24"/>
          <w:szCs w:val="20"/>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将承担一切法律责任。</w:t>
      </w:r>
    </w:p>
    <w:p w14:paraId="31600EC9">
      <w:pPr>
        <w:spacing w:line="480" w:lineRule="auto"/>
        <w:ind w:firstLine="5400"/>
        <w:rPr>
          <w:rFonts w:ascii="宋体" w:hAnsi="宋体"/>
          <w:bCs/>
          <w:color w:val="000000"/>
          <w:sz w:val="24"/>
          <w:szCs w:val="24"/>
        </w:rPr>
      </w:pPr>
    </w:p>
    <w:p w14:paraId="0658A751">
      <w:pPr>
        <w:spacing w:line="480" w:lineRule="auto"/>
        <w:ind w:firstLine="3720"/>
        <w:rPr>
          <w:rFonts w:ascii="宋体" w:hAnsi="宋体"/>
          <w:bCs/>
          <w:color w:val="000000"/>
          <w:sz w:val="24"/>
          <w:szCs w:val="24"/>
        </w:rPr>
      </w:pPr>
      <w:r>
        <w:rPr>
          <w:rFonts w:hint="eastAsia" w:ascii="宋体" w:hAnsi="宋体"/>
          <w:bCs/>
          <w:color w:val="000000"/>
          <w:sz w:val="24"/>
          <w:szCs w:val="24"/>
        </w:rPr>
        <w:t>投标人名称（盖章）：</w:t>
      </w:r>
    </w:p>
    <w:p w14:paraId="1CA65E10">
      <w:pPr>
        <w:outlineLvl w:val="0"/>
        <w:rPr>
          <w:b/>
          <w:color w:val="000000"/>
          <w:sz w:val="30"/>
          <w:szCs w:val="30"/>
        </w:rPr>
      </w:pPr>
      <w:r>
        <w:rPr>
          <w:rFonts w:ascii="宋体" w:hAnsi="宋体"/>
          <w:bCs/>
          <w:color w:val="000000"/>
          <w:sz w:val="24"/>
          <w:szCs w:val="24"/>
        </w:rPr>
        <w:br w:type="page" w:clear="all"/>
      </w:r>
    </w:p>
    <w:p w14:paraId="4C397D88">
      <w:pPr>
        <w:spacing w:line="360" w:lineRule="auto"/>
        <w:rPr>
          <w:b/>
          <w:color w:val="000000"/>
          <w:sz w:val="30"/>
          <w:szCs w:val="30"/>
        </w:rPr>
      </w:pPr>
      <w:r>
        <w:rPr>
          <w:rFonts w:hint="eastAsia"/>
          <w:b/>
          <w:color w:val="000000"/>
          <w:sz w:val="30"/>
          <w:szCs w:val="30"/>
        </w:rPr>
        <w:t>八、开标一览表（给定格式）：</w:t>
      </w:r>
    </w:p>
    <w:p w14:paraId="1A55363E">
      <w:pPr>
        <w:spacing w:line="440" w:lineRule="exact"/>
        <w:ind w:firstLine="482"/>
        <w:rPr>
          <w:rFonts w:ascii="Arial" w:hAnsi="Arial"/>
          <w:b/>
          <w:color w:val="000000"/>
          <w:sz w:val="24"/>
        </w:rPr>
      </w:pPr>
    </w:p>
    <w:p w14:paraId="326C6880">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689924EF">
      <w:pPr>
        <w:jc w:val="center"/>
        <w:outlineLvl w:val="0"/>
        <w:rPr>
          <w:rFonts w:ascii="黑体" w:eastAsia="黑体"/>
          <w:bCs/>
          <w:color w:val="000000"/>
          <w:sz w:val="28"/>
          <w:szCs w:val="28"/>
        </w:rPr>
      </w:pPr>
    </w:p>
    <w:p w14:paraId="6FC4B4CE">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JSZC-320200-WXJY-G2024-0030</w:t>
      </w:r>
    </w:p>
    <w:tbl>
      <w:tblPr>
        <w:tblStyle w:val="4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7787F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7" w:type="dxa"/>
            <w:vAlign w:val="center"/>
          </w:tcPr>
          <w:p w14:paraId="5098B734">
            <w:pPr>
              <w:jc w:val="center"/>
              <w:rPr>
                <w:rFonts w:ascii="宋体"/>
                <w:b/>
                <w:bCs/>
                <w:color w:val="000000"/>
                <w:sz w:val="24"/>
                <w:szCs w:val="24"/>
              </w:rPr>
            </w:pPr>
            <w:r>
              <w:rPr>
                <w:rFonts w:hint="eastAsia" w:ascii="宋体" w:hAnsi="宋体"/>
                <w:b/>
                <w:bCs/>
                <w:color w:val="000000"/>
                <w:sz w:val="24"/>
                <w:szCs w:val="24"/>
              </w:rPr>
              <w:t>项目名称</w:t>
            </w:r>
          </w:p>
        </w:tc>
        <w:tc>
          <w:tcPr>
            <w:tcW w:w="3188" w:type="dxa"/>
            <w:vAlign w:val="center"/>
          </w:tcPr>
          <w:p w14:paraId="57677757">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2F438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2CFDD9EC">
            <w:pPr>
              <w:pStyle w:val="280"/>
              <w:spacing w:line="400" w:lineRule="exact"/>
              <w:jc w:val="center"/>
              <w:rPr>
                <w:rFonts w:hint="eastAsia" w:hAnsi="宋体" w:eastAsia="宋体"/>
                <w:bCs/>
                <w:color w:val="000000"/>
                <w:szCs w:val="24"/>
                <w:lang w:eastAsia="zh-CN"/>
              </w:rPr>
            </w:pPr>
            <w:r>
              <w:rPr>
                <w:rFonts w:hint="eastAsia" w:hAnsi="宋体"/>
                <w:bCs/>
                <w:color w:val="000000"/>
                <w:szCs w:val="24"/>
                <w:lang w:eastAsia="zh-CN"/>
              </w:rPr>
              <w:t>无锡学院智慧应急管理情景模拟综合实训室</w:t>
            </w:r>
          </w:p>
        </w:tc>
        <w:tc>
          <w:tcPr>
            <w:tcW w:w="3188" w:type="dxa"/>
            <w:vAlign w:val="center"/>
          </w:tcPr>
          <w:p w14:paraId="1FA01B95">
            <w:pPr>
              <w:pStyle w:val="280"/>
              <w:rPr>
                <w:rFonts w:hAnsi="宋体"/>
                <w:b/>
                <w:color w:val="000000"/>
                <w:szCs w:val="24"/>
              </w:rPr>
            </w:pPr>
          </w:p>
        </w:tc>
      </w:tr>
      <w:tr w14:paraId="344CF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103C4643">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14:paraId="01A3CD25">
      <w:pPr>
        <w:spacing w:line="400" w:lineRule="exact"/>
        <w:rPr>
          <w:rFonts w:ascii="黑体" w:eastAsia="黑体"/>
          <w:bCs/>
          <w:color w:val="000000"/>
          <w:sz w:val="24"/>
          <w:szCs w:val="24"/>
        </w:rPr>
      </w:pPr>
      <w:r>
        <w:rPr>
          <w:rFonts w:hint="eastAsia" w:ascii="黑体" w:eastAsia="黑体"/>
          <w:bCs/>
          <w:color w:val="000000"/>
          <w:sz w:val="24"/>
          <w:szCs w:val="24"/>
        </w:rPr>
        <w:t>投标人名称（盖章）：</w:t>
      </w:r>
    </w:p>
    <w:p w14:paraId="08B95842">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九、明细报价表（给定格式）：</w:t>
      </w:r>
    </w:p>
    <w:p w14:paraId="732AF6CF">
      <w:pPr>
        <w:spacing w:line="360" w:lineRule="auto"/>
        <w:rPr>
          <w:b/>
          <w:color w:val="000000"/>
          <w:sz w:val="30"/>
          <w:szCs w:val="30"/>
        </w:rPr>
      </w:pPr>
    </w:p>
    <w:p w14:paraId="3C571F7A">
      <w:pPr>
        <w:spacing w:line="400" w:lineRule="exact"/>
        <w:jc w:val="center"/>
        <w:outlineLvl w:val="0"/>
        <w:rPr>
          <w:rFonts w:ascii="黑体" w:eastAsia="黑体"/>
          <w:bCs/>
          <w:color w:val="000000"/>
          <w:sz w:val="28"/>
          <w:szCs w:val="28"/>
        </w:rPr>
      </w:pPr>
      <w:r>
        <w:rPr>
          <w:rFonts w:hint="eastAsia" w:ascii="黑体" w:eastAsia="黑体"/>
          <w:bCs/>
          <w:color w:val="000000"/>
          <w:sz w:val="28"/>
          <w:szCs w:val="28"/>
        </w:rPr>
        <w:t>明细报价表</w:t>
      </w:r>
    </w:p>
    <w:p w14:paraId="3926FA61">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JSZC-320200-WXJY-G2024-0030</w:t>
      </w:r>
    </w:p>
    <w:tbl>
      <w:tblPr>
        <w:tblStyle w:val="4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3045"/>
        <w:gridCol w:w="599"/>
        <w:gridCol w:w="1276"/>
        <w:gridCol w:w="992"/>
        <w:gridCol w:w="709"/>
        <w:gridCol w:w="939"/>
      </w:tblGrid>
      <w:tr w14:paraId="17962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2E8DF3EE">
            <w:pPr>
              <w:spacing w:before="5"/>
              <w:jc w:val="center"/>
              <w:rPr>
                <w:color w:val="000000"/>
                <w:sz w:val="18"/>
              </w:rPr>
            </w:pPr>
            <w:r>
              <w:rPr>
                <w:rFonts w:hint="eastAsia"/>
                <w:color w:val="000000"/>
                <w:sz w:val="18"/>
              </w:rPr>
              <w:t>序号</w:t>
            </w:r>
          </w:p>
        </w:tc>
        <w:tc>
          <w:tcPr>
            <w:tcW w:w="1050" w:type="dxa"/>
            <w:noWrap/>
            <w:tcMar>
              <w:top w:w="15" w:type="dxa"/>
              <w:left w:w="15" w:type="dxa"/>
              <w:bottom w:w="0" w:type="dxa"/>
              <w:right w:w="15" w:type="dxa"/>
            </w:tcMar>
            <w:vAlign w:val="center"/>
          </w:tcPr>
          <w:p w14:paraId="322FDC48">
            <w:pPr>
              <w:spacing w:before="5"/>
              <w:jc w:val="center"/>
              <w:rPr>
                <w:color w:val="000000"/>
                <w:sz w:val="18"/>
              </w:rPr>
            </w:pPr>
            <w:r>
              <w:rPr>
                <w:rFonts w:hint="eastAsia"/>
                <w:color w:val="000000"/>
                <w:sz w:val="18"/>
              </w:rPr>
              <w:t>名称</w:t>
            </w:r>
          </w:p>
        </w:tc>
        <w:tc>
          <w:tcPr>
            <w:tcW w:w="945" w:type="dxa"/>
            <w:noWrap/>
            <w:tcMar>
              <w:top w:w="15" w:type="dxa"/>
              <w:left w:w="15" w:type="dxa"/>
              <w:bottom w:w="0" w:type="dxa"/>
              <w:right w:w="15" w:type="dxa"/>
            </w:tcMar>
            <w:vAlign w:val="center"/>
          </w:tcPr>
          <w:p w14:paraId="1A59BCB5">
            <w:pPr>
              <w:spacing w:before="5"/>
              <w:jc w:val="center"/>
              <w:rPr>
                <w:color w:val="000000"/>
                <w:sz w:val="18"/>
              </w:rPr>
            </w:pPr>
            <w:r>
              <w:rPr>
                <w:rFonts w:hint="eastAsia"/>
                <w:color w:val="000000"/>
                <w:sz w:val="18"/>
              </w:rPr>
              <w:t>品牌型号</w:t>
            </w:r>
          </w:p>
        </w:tc>
        <w:tc>
          <w:tcPr>
            <w:tcW w:w="3045" w:type="dxa"/>
            <w:noWrap/>
            <w:tcMar>
              <w:top w:w="15" w:type="dxa"/>
              <w:left w:w="15" w:type="dxa"/>
              <w:bottom w:w="0" w:type="dxa"/>
              <w:right w:w="15" w:type="dxa"/>
            </w:tcMar>
            <w:vAlign w:val="center"/>
          </w:tcPr>
          <w:p w14:paraId="5FCE9894">
            <w:pPr>
              <w:spacing w:before="5"/>
              <w:jc w:val="center"/>
              <w:rPr>
                <w:color w:val="000000"/>
                <w:sz w:val="18"/>
              </w:rPr>
            </w:pPr>
            <w:r>
              <w:rPr>
                <w:rFonts w:hint="eastAsia"/>
                <w:color w:val="000000"/>
                <w:sz w:val="18"/>
              </w:rPr>
              <w:t>性能指标</w:t>
            </w:r>
          </w:p>
        </w:tc>
        <w:tc>
          <w:tcPr>
            <w:tcW w:w="599" w:type="dxa"/>
            <w:tcMar>
              <w:top w:w="15" w:type="dxa"/>
              <w:left w:w="15" w:type="dxa"/>
              <w:bottom w:w="0" w:type="dxa"/>
              <w:right w:w="15" w:type="dxa"/>
            </w:tcMar>
            <w:vAlign w:val="center"/>
          </w:tcPr>
          <w:p w14:paraId="4075CB8C">
            <w:pPr>
              <w:spacing w:before="5"/>
              <w:jc w:val="center"/>
              <w:rPr>
                <w:color w:val="000000"/>
                <w:sz w:val="18"/>
              </w:rPr>
            </w:pPr>
            <w:r>
              <w:rPr>
                <w:rFonts w:hint="eastAsia"/>
                <w:color w:val="000000"/>
                <w:sz w:val="18"/>
              </w:rPr>
              <w:t>数量</w:t>
            </w:r>
          </w:p>
        </w:tc>
        <w:tc>
          <w:tcPr>
            <w:tcW w:w="1276" w:type="dxa"/>
            <w:vAlign w:val="center"/>
          </w:tcPr>
          <w:p w14:paraId="0170FAF6">
            <w:pPr>
              <w:spacing w:before="5"/>
              <w:jc w:val="center"/>
              <w:rPr>
                <w:color w:val="000000"/>
                <w:sz w:val="18"/>
              </w:rPr>
            </w:pPr>
            <w:r>
              <w:rPr>
                <w:rFonts w:hint="eastAsia"/>
                <w:color w:val="000000"/>
                <w:sz w:val="18"/>
              </w:rPr>
              <w:t>产地</w:t>
            </w:r>
          </w:p>
        </w:tc>
        <w:tc>
          <w:tcPr>
            <w:tcW w:w="992" w:type="dxa"/>
            <w:noWrap/>
            <w:tcMar>
              <w:top w:w="15" w:type="dxa"/>
              <w:left w:w="15" w:type="dxa"/>
              <w:bottom w:w="0" w:type="dxa"/>
              <w:right w:w="15" w:type="dxa"/>
            </w:tcMar>
            <w:vAlign w:val="center"/>
          </w:tcPr>
          <w:p w14:paraId="522F48F4">
            <w:pPr>
              <w:spacing w:before="5"/>
              <w:jc w:val="center"/>
              <w:rPr>
                <w:color w:val="000000"/>
                <w:sz w:val="18"/>
              </w:rPr>
            </w:pPr>
            <w:r>
              <w:rPr>
                <w:rFonts w:hint="eastAsia"/>
                <w:color w:val="000000"/>
                <w:sz w:val="18"/>
              </w:rPr>
              <w:t>质保期</w:t>
            </w:r>
          </w:p>
        </w:tc>
        <w:tc>
          <w:tcPr>
            <w:tcW w:w="709" w:type="dxa"/>
            <w:vAlign w:val="center"/>
          </w:tcPr>
          <w:p w14:paraId="03C5F481">
            <w:pPr>
              <w:spacing w:before="5"/>
              <w:jc w:val="center"/>
              <w:rPr>
                <w:color w:val="000000"/>
                <w:sz w:val="18"/>
              </w:rPr>
            </w:pPr>
            <w:r>
              <w:rPr>
                <w:rFonts w:hint="eastAsia"/>
                <w:color w:val="000000"/>
                <w:sz w:val="18"/>
              </w:rPr>
              <w:t>单报价</w:t>
            </w:r>
          </w:p>
        </w:tc>
        <w:tc>
          <w:tcPr>
            <w:tcW w:w="939" w:type="dxa"/>
            <w:vAlign w:val="center"/>
          </w:tcPr>
          <w:p w14:paraId="0438CE0B">
            <w:pPr>
              <w:spacing w:before="5"/>
              <w:jc w:val="center"/>
              <w:rPr>
                <w:color w:val="000000"/>
                <w:sz w:val="18"/>
              </w:rPr>
            </w:pPr>
            <w:r>
              <w:rPr>
                <w:rFonts w:hint="eastAsia"/>
                <w:color w:val="000000"/>
                <w:sz w:val="18"/>
              </w:rPr>
              <w:t>分项总报价</w:t>
            </w:r>
          </w:p>
        </w:tc>
      </w:tr>
      <w:tr w14:paraId="4D28C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53F971D7">
            <w:pPr>
              <w:pStyle w:val="31"/>
              <w:pBdr>
                <w:bottom w:val="none" w:color="000000" w:sz="0" w:space="0"/>
              </w:pBdr>
              <w:tabs>
                <w:tab w:val="clear" w:pos="4153"/>
                <w:tab w:val="clear" w:pos="8306"/>
              </w:tabs>
              <w:spacing w:before="5"/>
              <w:rPr>
                <w:rFonts w:ascii="宋体"/>
                <w:color w:val="000000"/>
                <w:lang w:eastAsia="zh-CN"/>
              </w:rPr>
            </w:pPr>
            <w:r>
              <w:rPr>
                <w:rFonts w:hint="eastAsia" w:ascii="宋体"/>
                <w:color w:val="000000"/>
                <w:lang w:eastAsia="zh-CN"/>
              </w:rPr>
              <w:t>1</w:t>
            </w:r>
          </w:p>
        </w:tc>
        <w:tc>
          <w:tcPr>
            <w:tcW w:w="1050" w:type="dxa"/>
            <w:noWrap/>
            <w:tcMar>
              <w:top w:w="15" w:type="dxa"/>
              <w:left w:w="15" w:type="dxa"/>
              <w:bottom w:w="0" w:type="dxa"/>
              <w:right w:w="15" w:type="dxa"/>
            </w:tcMar>
            <w:vAlign w:val="center"/>
          </w:tcPr>
          <w:p w14:paraId="4E2F3CF9">
            <w:pPr>
              <w:pStyle w:val="31"/>
              <w:pBdr>
                <w:bottom w:val="none" w:color="000000" w:sz="0" w:space="0"/>
              </w:pBdr>
              <w:tabs>
                <w:tab w:val="clear" w:pos="4153"/>
                <w:tab w:val="clear" w:pos="8306"/>
              </w:tabs>
              <w:rPr>
                <w:rFonts w:ascii="宋体"/>
                <w:bCs/>
                <w:color w:val="000000"/>
                <w:lang w:eastAsia="zh-CN"/>
              </w:rPr>
            </w:pPr>
          </w:p>
        </w:tc>
        <w:tc>
          <w:tcPr>
            <w:tcW w:w="945" w:type="dxa"/>
            <w:tcMar>
              <w:top w:w="15" w:type="dxa"/>
              <w:left w:w="15" w:type="dxa"/>
              <w:bottom w:w="0" w:type="dxa"/>
              <w:right w:w="15" w:type="dxa"/>
            </w:tcMar>
            <w:vAlign w:val="center"/>
          </w:tcPr>
          <w:p w14:paraId="28BEB44A">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tcPr>
          <w:p w14:paraId="71338FB9">
            <w:pPr>
              <w:jc w:val="center"/>
              <w:rPr>
                <w:rFonts w:ascii="宋体"/>
                <w:bCs/>
                <w:color w:val="000000"/>
                <w:sz w:val="18"/>
              </w:rPr>
            </w:pPr>
          </w:p>
        </w:tc>
        <w:tc>
          <w:tcPr>
            <w:tcW w:w="599" w:type="dxa"/>
            <w:tcMar>
              <w:top w:w="15" w:type="dxa"/>
              <w:left w:w="15" w:type="dxa"/>
              <w:bottom w:w="0" w:type="dxa"/>
              <w:right w:w="15" w:type="dxa"/>
            </w:tcMar>
            <w:vAlign w:val="center"/>
          </w:tcPr>
          <w:p w14:paraId="37429214">
            <w:pPr>
              <w:jc w:val="center"/>
              <w:rPr>
                <w:rFonts w:ascii="黑体" w:hAnsi="宋体" w:eastAsia="黑体"/>
                <w:b/>
                <w:bCs/>
                <w:color w:val="000000"/>
                <w:sz w:val="24"/>
                <w:szCs w:val="24"/>
              </w:rPr>
            </w:pPr>
            <w:r>
              <w:rPr>
                <w:rFonts w:hint="eastAsia" w:ascii="黑体" w:eastAsia="黑体"/>
                <w:b/>
                <w:bCs/>
                <w:color w:val="000000"/>
              </w:rPr>
              <w:t>　</w:t>
            </w:r>
          </w:p>
        </w:tc>
        <w:tc>
          <w:tcPr>
            <w:tcW w:w="1276" w:type="dxa"/>
            <w:vAlign w:val="center"/>
          </w:tcPr>
          <w:p w14:paraId="50EFE4A5">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1126210E">
            <w:pPr>
              <w:jc w:val="center"/>
              <w:rPr>
                <w:rFonts w:ascii="黑体" w:hAnsi="宋体" w:eastAsia="黑体"/>
                <w:b/>
                <w:bCs/>
                <w:color w:val="000000"/>
                <w:sz w:val="24"/>
                <w:szCs w:val="24"/>
              </w:rPr>
            </w:pPr>
            <w:r>
              <w:rPr>
                <w:rFonts w:hint="eastAsia" w:ascii="黑体" w:eastAsia="黑体"/>
                <w:b/>
                <w:bCs/>
                <w:color w:val="000000"/>
              </w:rPr>
              <w:t>　</w:t>
            </w:r>
          </w:p>
        </w:tc>
        <w:tc>
          <w:tcPr>
            <w:tcW w:w="709" w:type="dxa"/>
            <w:vAlign w:val="center"/>
          </w:tcPr>
          <w:p w14:paraId="7888E50E">
            <w:pPr>
              <w:jc w:val="center"/>
              <w:rPr>
                <w:rFonts w:ascii="黑体" w:hAnsi="宋体" w:eastAsia="黑体"/>
                <w:b/>
                <w:bCs/>
                <w:color w:val="000000"/>
                <w:sz w:val="24"/>
                <w:szCs w:val="24"/>
              </w:rPr>
            </w:pPr>
          </w:p>
        </w:tc>
        <w:tc>
          <w:tcPr>
            <w:tcW w:w="939" w:type="dxa"/>
            <w:vAlign w:val="center"/>
          </w:tcPr>
          <w:p w14:paraId="6D045127">
            <w:pPr>
              <w:jc w:val="center"/>
              <w:rPr>
                <w:rFonts w:ascii="黑体" w:hAnsi="宋体" w:eastAsia="黑体"/>
                <w:b/>
                <w:bCs/>
                <w:color w:val="000000"/>
                <w:sz w:val="24"/>
                <w:szCs w:val="24"/>
              </w:rPr>
            </w:pPr>
          </w:p>
        </w:tc>
      </w:tr>
      <w:tr w14:paraId="67B00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124A63A2">
            <w:pPr>
              <w:jc w:val="center"/>
              <w:rPr>
                <w:rFonts w:ascii="宋体"/>
                <w:color w:val="000000"/>
                <w:sz w:val="18"/>
              </w:rPr>
            </w:pPr>
            <w:r>
              <w:rPr>
                <w:rFonts w:hint="eastAsia" w:ascii="宋体"/>
                <w:color w:val="000000"/>
                <w:sz w:val="18"/>
              </w:rPr>
              <w:t>2</w:t>
            </w:r>
          </w:p>
        </w:tc>
        <w:tc>
          <w:tcPr>
            <w:tcW w:w="1050" w:type="dxa"/>
            <w:noWrap/>
            <w:tcMar>
              <w:top w:w="15" w:type="dxa"/>
              <w:left w:w="15" w:type="dxa"/>
              <w:bottom w:w="0" w:type="dxa"/>
              <w:right w:w="15" w:type="dxa"/>
            </w:tcMar>
            <w:vAlign w:val="center"/>
          </w:tcPr>
          <w:p w14:paraId="536C8B79">
            <w:pPr>
              <w:jc w:val="center"/>
              <w:rPr>
                <w:rFonts w:ascii="宋体"/>
                <w:color w:val="000000"/>
              </w:rPr>
            </w:pPr>
          </w:p>
        </w:tc>
        <w:tc>
          <w:tcPr>
            <w:tcW w:w="945" w:type="dxa"/>
            <w:tcMar>
              <w:top w:w="15" w:type="dxa"/>
              <w:left w:w="15" w:type="dxa"/>
              <w:bottom w:w="0" w:type="dxa"/>
              <w:right w:w="15" w:type="dxa"/>
            </w:tcMar>
            <w:vAlign w:val="center"/>
          </w:tcPr>
          <w:p w14:paraId="583206AC">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vAlign w:val="center"/>
          </w:tcPr>
          <w:p w14:paraId="28647ED9">
            <w:pPr>
              <w:jc w:val="center"/>
              <w:rPr>
                <w:rFonts w:ascii="宋体"/>
                <w:bCs/>
                <w:color w:val="000000"/>
                <w:sz w:val="18"/>
              </w:rPr>
            </w:pPr>
          </w:p>
        </w:tc>
        <w:tc>
          <w:tcPr>
            <w:tcW w:w="599" w:type="dxa"/>
            <w:tcMar>
              <w:top w:w="15" w:type="dxa"/>
              <w:left w:w="15" w:type="dxa"/>
              <w:bottom w:w="0" w:type="dxa"/>
              <w:right w:w="15" w:type="dxa"/>
            </w:tcMar>
            <w:vAlign w:val="center"/>
          </w:tcPr>
          <w:p w14:paraId="1BD5DBC7">
            <w:pPr>
              <w:jc w:val="center"/>
              <w:rPr>
                <w:rFonts w:ascii="黑体" w:hAnsi="宋体" w:eastAsia="黑体"/>
                <w:b/>
                <w:bCs/>
                <w:color w:val="000000"/>
                <w:sz w:val="24"/>
                <w:szCs w:val="24"/>
              </w:rPr>
            </w:pPr>
            <w:r>
              <w:rPr>
                <w:rFonts w:hint="eastAsia" w:ascii="黑体" w:eastAsia="黑体"/>
                <w:b/>
                <w:bCs/>
                <w:color w:val="000000"/>
              </w:rPr>
              <w:t>　</w:t>
            </w:r>
          </w:p>
        </w:tc>
        <w:tc>
          <w:tcPr>
            <w:tcW w:w="1276" w:type="dxa"/>
            <w:vAlign w:val="center"/>
          </w:tcPr>
          <w:p w14:paraId="6A66C70A">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261C30DA">
            <w:pPr>
              <w:jc w:val="center"/>
              <w:rPr>
                <w:rFonts w:ascii="黑体" w:hAnsi="宋体" w:eastAsia="黑体"/>
                <w:b/>
                <w:bCs/>
                <w:color w:val="000000"/>
                <w:sz w:val="24"/>
                <w:szCs w:val="24"/>
              </w:rPr>
            </w:pPr>
            <w:r>
              <w:rPr>
                <w:rFonts w:hint="eastAsia" w:ascii="黑体" w:eastAsia="黑体"/>
                <w:b/>
                <w:bCs/>
                <w:color w:val="000000"/>
              </w:rPr>
              <w:t>　</w:t>
            </w:r>
          </w:p>
        </w:tc>
        <w:tc>
          <w:tcPr>
            <w:tcW w:w="709" w:type="dxa"/>
            <w:vAlign w:val="center"/>
          </w:tcPr>
          <w:p w14:paraId="24DDB1A3">
            <w:pPr>
              <w:jc w:val="center"/>
              <w:rPr>
                <w:rFonts w:ascii="黑体" w:hAnsi="宋体" w:eastAsia="黑体"/>
                <w:b/>
                <w:bCs/>
                <w:color w:val="000000"/>
                <w:sz w:val="24"/>
                <w:szCs w:val="24"/>
              </w:rPr>
            </w:pPr>
          </w:p>
        </w:tc>
        <w:tc>
          <w:tcPr>
            <w:tcW w:w="939" w:type="dxa"/>
            <w:vAlign w:val="center"/>
          </w:tcPr>
          <w:p w14:paraId="122FD1BA">
            <w:pPr>
              <w:jc w:val="center"/>
              <w:rPr>
                <w:rFonts w:ascii="黑体" w:hAnsi="宋体" w:eastAsia="黑体"/>
                <w:b/>
                <w:bCs/>
                <w:color w:val="000000"/>
                <w:sz w:val="24"/>
                <w:szCs w:val="24"/>
              </w:rPr>
            </w:pPr>
          </w:p>
        </w:tc>
      </w:tr>
      <w:tr w14:paraId="649FF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24C0D8D6">
            <w:pPr>
              <w:jc w:val="center"/>
              <w:rPr>
                <w:rFonts w:ascii="宋体"/>
                <w:color w:val="000000"/>
                <w:sz w:val="18"/>
              </w:rPr>
            </w:pPr>
          </w:p>
        </w:tc>
        <w:tc>
          <w:tcPr>
            <w:tcW w:w="1050" w:type="dxa"/>
            <w:noWrap/>
            <w:tcMar>
              <w:top w:w="15" w:type="dxa"/>
              <w:left w:w="15" w:type="dxa"/>
              <w:bottom w:w="0" w:type="dxa"/>
              <w:right w:w="15" w:type="dxa"/>
            </w:tcMar>
            <w:vAlign w:val="center"/>
          </w:tcPr>
          <w:p w14:paraId="0C2A4DBB">
            <w:pPr>
              <w:jc w:val="center"/>
              <w:rPr>
                <w:rFonts w:ascii="宋体"/>
                <w:color w:val="000000"/>
              </w:rPr>
            </w:pPr>
            <w:r>
              <w:rPr>
                <w:rFonts w:ascii="宋体"/>
                <w:color w:val="000000"/>
              </w:rPr>
              <w:t>……</w:t>
            </w:r>
          </w:p>
        </w:tc>
        <w:tc>
          <w:tcPr>
            <w:tcW w:w="945" w:type="dxa"/>
            <w:tcMar>
              <w:top w:w="15" w:type="dxa"/>
              <w:left w:w="15" w:type="dxa"/>
              <w:bottom w:w="0" w:type="dxa"/>
              <w:right w:w="15" w:type="dxa"/>
            </w:tcMar>
            <w:vAlign w:val="center"/>
          </w:tcPr>
          <w:p w14:paraId="640E40AF">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vAlign w:val="center"/>
          </w:tcPr>
          <w:p w14:paraId="0C16A95E">
            <w:pPr>
              <w:jc w:val="center"/>
              <w:rPr>
                <w:rFonts w:ascii="宋体"/>
                <w:bCs/>
                <w:color w:val="000000"/>
                <w:sz w:val="18"/>
              </w:rPr>
            </w:pPr>
          </w:p>
        </w:tc>
        <w:tc>
          <w:tcPr>
            <w:tcW w:w="599" w:type="dxa"/>
            <w:tcMar>
              <w:top w:w="15" w:type="dxa"/>
              <w:left w:w="15" w:type="dxa"/>
              <w:bottom w:w="0" w:type="dxa"/>
              <w:right w:w="15" w:type="dxa"/>
            </w:tcMar>
            <w:vAlign w:val="center"/>
          </w:tcPr>
          <w:p w14:paraId="7C74D574">
            <w:pPr>
              <w:jc w:val="center"/>
              <w:rPr>
                <w:rFonts w:ascii="黑体" w:eastAsia="黑体"/>
                <w:b/>
                <w:bCs/>
                <w:color w:val="000000"/>
              </w:rPr>
            </w:pPr>
          </w:p>
        </w:tc>
        <w:tc>
          <w:tcPr>
            <w:tcW w:w="1276" w:type="dxa"/>
            <w:vAlign w:val="center"/>
          </w:tcPr>
          <w:p w14:paraId="400E35EC">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32AFA6F8">
            <w:pPr>
              <w:jc w:val="center"/>
              <w:rPr>
                <w:rFonts w:ascii="黑体" w:eastAsia="黑体"/>
                <w:b/>
                <w:bCs/>
                <w:color w:val="000000"/>
              </w:rPr>
            </w:pPr>
          </w:p>
        </w:tc>
        <w:tc>
          <w:tcPr>
            <w:tcW w:w="709" w:type="dxa"/>
            <w:vAlign w:val="center"/>
          </w:tcPr>
          <w:p w14:paraId="599E1423">
            <w:pPr>
              <w:jc w:val="center"/>
              <w:rPr>
                <w:rFonts w:ascii="黑体" w:hAnsi="宋体" w:eastAsia="黑体"/>
                <w:b/>
                <w:bCs/>
                <w:color w:val="000000"/>
                <w:sz w:val="24"/>
                <w:szCs w:val="24"/>
              </w:rPr>
            </w:pPr>
          </w:p>
        </w:tc>
        <w:tc>
          <w:tcPr>
            <w:tcW w:w="939" w:type="dxa"/>
            <w:vAlign w:val="center"/>
          </w:tcPr>
          <w:p w14:paraId="3C704EAF">
            <w:pPr>
              <w:jc w:val="center"/>
              <w:rPr>
                <w:rFonts w:ascii="黑体" w:hAnsi="宋体" w:eastAsia="黑体"/>
                <w:b/>
                <w:bCs/>
                <w:color w:val="000000"/>
                <w:sz w:val="24"/>
                <w:szCs w:val="24"/>
              </w:rPr>
            </w:pPr>
          </w:p>
        </w:tc>
      </w:tr>
    </w:tbl>
    <w:p w14:paraId="67330DF7">
      <w:pPr>
        <w:spacing w:before="5" w:line="560" w:lineRule="atLeast"/>
        <w:rPr>
          <w:b/>
          <w:bCs/>
          <w:color w:val="000000"/>
          <w:sz w:val="24"/>
          <w:szCs w:val="24"/>
        </w:rPr>
      </w:pPr>
      <w:r>
        <w:rPr>
          <w:rFonts w:hint="eastAsia"/>
          <w:b/>
          <w:bCs/>
          <w:color w:val="000000"/>
          <w:sz w:val="24"/>
          <w:szCs w:val="24"/>
        </w:rPr>
        <w:t>投标人名称（盖章）：</w:t>
      </w:r>
    </w:p>
    <w:p w14:paraId="1003C23E">
      <w:pPr>
        <w:spacing w:line="400" w:lineRule="exact"/>
        <w:outlineLvl w:val="0"/>
        <w:rPr>
          <w:rFonts w:ascii="宋体" w:hAnsi="宋体"/>
          <w:b/>
          <w:color w:val="000000"/>
        </w:rPr>
      </w:pPr>
    </w:p>
    <w:p w14:paraId="7D16DE1B">
      <w:pPr>
        <w:spacing w:line="400" w:lineRule="exact"/>
        <w:outlineLvl w:val="0"/>
        <w:rPr>
          <w:rFonts w:ascii="宋体"/>
          <w:bCs/>
          <w:color w:val="000000"/>
        </w:rPr>
      </w:pPr>
      <w:r>
        <w:rPr>
          <w:rFonts w:hint="eastAsia" w:ascii="宋体" w:hAnsi="宋体"/>
          <w:b/>
          <w:color w:val="000000"/>
        </w:rPr>
        <w:t>注：</w:t>
      </w:r>
      <w:r>
        <w:rPr>
          <w:rFonts w:hint="eastAsia" w:ascii="宋体" w:hAnsi="宋体"/>
          <w:bCs/>
          <w:color w:val="000000"/>
        </w:rPr>
        <w:t>（</w:t>
      </w:r>
      <w:r>
        <w:rPr>
          <w:rFonts w:ascii="宋体" w:hAnsi="宋体"/>
          <w:bCs/>
          <w:color w:val="000000"/>
        </w:rPr>
        <w:t>1</w:t>
      </w:r>
      <w:r>
        <w:rPr>
          <w:rFonts w:hint="eastAsia" w:ascii="宋体" w:hAnsi="宋体"/>
          <w:bCs/>
          <w:color w:val="000000"/>
        </w:rPr>
        <w:t>）</w:t>
      </w:r>
      <w:r>
        <w:rPr>
          <w:rFonts w:hint="eastAsia" w:ascii="宋体"/>
          <w:bCs/>
          <w:color w:val="000000"/>
        </w:rPr>
        <w:t>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000000"/>
          <w:lang w:eastAsia="zh-CN"/>
        </w:rPr>
        <w:t>（</w:t>
      </w:r>
      <w:r>
        <w:rPr>
          <w:rFonts w:hint="eastAsia" w:ascii="宋体"/>
          <w:bCs/>
          <w:color w:val="000000"/>
        </w:rPr>
        <w:t>含新疆生产建设兵团</w:t>
      </w:r>
      <w:r>
        <w:rPr>
          <w:rFonts w:hint="eastAsia" w:ascii="宋体"/>
          <w:bCs/>
          <w:color w:val="000000"/>
          <w:lang w:eastAsia="zh-CN"/>
        </w:rPr>
        <w:t>）</w:t>
      </w:r>
      <w:r>
        <w:rPr>
          <w:rFonts w:hint="eastAsia" w:ascii="宋体"/>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装备管理服务中心有权将相关内容进行公示；</w:t>
      </w:r>
    </w:p>
    <w:p w14:paraId="62E7EDE9">
      <w:pPr>
        <w:spacing w:line="400" w:lineRule="exact"/>
        <w:ind w:firstLine="315"/>
        <w:outlineLvl w:val="0"/>
        <w:rPr>
          <w:rFonts w:ascii="宋体"/>
          <w:bCs/>
          <w:color w:val="000000"/>
        </w:rPr>
      </w:pPr>
      <w:r>
        <w:rPr>
          <w:rFonts w:hint="eastAsia" w:ascii="宋体" w:hAnsi="宋体"/>
          <w:bCs/>
          <w:color w:val="000000"/>
        </w:rPr>
        <w:t>（</w:t>
      </w:r>
      <w:r>
        <w:rPr>
          <w:rFonts w:ascii="宋体" w:hAnsi="宋体"/>
          <w:bCs/>
          <w:color w:val="000000"/>
        </w:rPr>
        <w:t>2</w:t>
      </w:r>
      <w:r>
        <w:rPr>
          <w:rFonts w:hint="eastAsia" w:ascii="宋体" w:hAnsi="宋体"/>
          <w:bCs/>
          <w:color w:val="000000"/>
        </w:rPr>
        <w:t>）投标人应当根据“采购需求”的内容在上表中详细填写；</w:t>
      </w:r>
    </w:p>
    <w:p w14:paraId="37CACD26">
      <w:pPr>
        <w:spacing w:line="400" w:lineRule="exact"/>
        <w:ind w:firstLine="315"/>
        <w:outlineLvl w:val="0"/>
        <w:rPr>
          <w:rFonts w:ascii="宋体" w:hAnsi="宋体"/>
          <w:bCs/>
          <w:color w:val="000000"/>
        </w:rPr>
      </w:pPr>
      <w:r>
        <w:rPr>
          <w:rFonts w:hint="eastAsia" w:ascii="宋体" w:hAnsi="宋体"/>
          <w:bCs/>
          <w:color w:val="000000"/>
        </w:rPr>
        <w:t>（</w:t>
      </w:r>
      <w:r>
        <w:rPr>
          <w:rFonts w:ascii="宋体" w:hAnsi="宋体"/>
          <w:bCs/>
          <w:color w:val="000000"/>
        </w:rPr>
        <w:t>3</w:t>
      </w:r>
      <w:r>
        <w:rPr>
          <w:rFonts w:hint="eastAsia" w:ascii="宋体" w:hAnsi="宋体"/>
          <w:bCs/>
          <w:color w:val="000000"/>
        </w:rPr>
        <w:t>）表格不够可自行延长。</w:t>
      </w:r>
      <w:bookmarkEnd w:id="199"/>
      <w:bookmarkEnd w:id="200"/>
      <w:bookmarkEnd w:id="201"/>
      <w:bookmarkStart w:id="203" w:name="_Toc120614284"/>
    </w:p>
    <w:p w14:paraId="45C516D7">
      <w:pPr>
        <w:spacing w:line="400" w:lineRule="exact"/>
        <w:jc w:val="center"/>
        <w:outlineLvl w:val="0"/>
        <w:rPr>
          <w:b/>
          <w:color w:val="000000"/>
          <w:sz w:val="30"/>
          <w:szCs w:val="30"/>
        </w:rPr>
      </w:pPr>
      <w:r>
        <w:rPr>
          <w:rFonts w:hint="eastAsia" w:ascii="宋体" w:hAnsi="宋体"/>
          <w:bCs/>
          <w:color w:val="000000"/>
        </w:rPr>
        <w:br w:type="page" w:clear="all"/>
      </w:r>
    </w:p>
    <w:p w14:paraId="00731A54">
      <w:pPr>
        <w:spacing w:line="360" w:lineRule="auto"/>
        <w:rPr>
          <w:b/>
          <w:color w:val="000000"/>
          <w:sz w:val="30"/>
          <w:szCs w:val="30"/>
        </w:rPr>
      </w:pPr>
      <w:r>
        <w:rPr>
          <w:rFonts w:hint="eastAsia"/>
          <w:b/>
          <w:color w:val="000000"/>
          <w:sz w:val="30"/>
          <w:szCs w:val="30"/>
        </w:rPr>
        <w:t>十</w:t>
      </w:r>
      <w:r>
        <w:rPr>
          <w:b/>
          <w:color w:val="000000"/>
          <w:sz w:val="30"/>
          <w:szCs w:val="30"/>
        </w:rPr>
        <w:t>、</w:t>
      </w:r>
      <w:r>
        <w:rPr>
          <w:rFonts w:hint="eastAsia"/>
          <w:b/>
          <w:color w:val="000000"/>
          <w:sz w:val="30"/>
          <w:szCs w:val="30"/>
        </w:rPr>
        <w:t>投标偏离表（给定格式）：</w:t>
      </w:r>
    </w:p>
    <w:p w14:paraId="6A8FA306">
      <w:pPr>
        <w:ind w:firstLine="490"/>
        <w:jc w:val="center"/>
        <w:outlineLvl w:val="0"/>
        <w:rPr>
          <w:rFonts w:ascii="黑体" w:eastAsia="黑体"/>
          <w:bCs/>
          <w:color w:val="000000"/>
          <w:sz w:val="28"/>
          <w:szCs w:val="28"/>
        </w:rPr>
      </w:pPr>
    </w:p>
    <w:p w14:paraId="5E3B2547">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5462DB9E">
      <w:pPr>
        <w:spacing w:line="400" w:lineRule="exact"/>
        <w:jc w:val="center"/>
        <w:outlineLvl w:val="0"/>
        <w:rPr>
          <w:rFonts w:ascii="黑体" w:eastAsia="黑体"/>
          <w:bCs/>
          <w:color w:val="000000"/>
          <w:sz w:val="28"/>
          <w:szCs w:val="28"/>
        </w:rPr>
      </w:pPr>
    </w:p>
    <w:p w14:paraId="00C395C3">
      <w:pPr>
        <w:spacing w:line="400" w:lineRule="exact"/>
        <w:jc w:val="center"/>
        <w:outlineLvl w:val="0"/>
        <w:rPr>
          <w:rFonts w:ascii="黑体" w:eastAsia="黑体"/>
          <w:bCs/>
          <w:color w:val="000000"/>
          <w:sz w:val="28"/>
          <w:szCs w:val="28"/>
        </w:rPr>
      </w:pPr>
    </w:p>
    <w:p w14:paraId="03310ABB">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JSZC-320200-WXJY-G2024-0030</w:t>
      </w:r>
    </w:p>
    <w:tbl>
      <w:tblPr>
        <w:tblStyle w:val="48"/>
        <w:tblW w:w="9885" w:type="dxa"/>
        <w:jc w:val="center"/>
        <w:tblLayout w:type="fixed"/>
        <w:tblCellMar>
          <w:top w:w="0" w:type="dxa"/>
          <w:left w:w="0" w:type="dxa"/>
          <w:bottom w:w="0" w:type="dxa"/>
          <w:right w:w="0" w:type="dxa"/>
        </w:tblCellMar>
      </w:tblPr>
      <w:tblGrid>
        <w:gridCol w:w="1905"/>
        <w:gridCol w:w="2835"/>
        <w:gridCol w:w="2835"/>
        <w:gridCol w:w="2310"/>
      </w:tblGrid>
      <w:tr w14:paraId="0E4680C9">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B69E09F">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3C849348">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7E047CB5">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511B0C9E">
            <w:pPr>
              <w:jc w:val="center"/>
              <w:rPr>
                <w:rFonts w:ascii="宋体"/>
                <w:b/>
                <w:bCs/>
                <w:color w:val="000000"/>
                <w:sz w:val="24"/>
                <w:szCs w:val="24"/>
              </w:rPr>
            </w:pPr>
            <w:r>
              <w:rPr>
                <w:rFonts w:hint="eastAsia" w:ascii="宋体" w:hAnsi="宋体"/>
                <w:b/>
                <w:bCs/>
                <w:color w:val="000000"/>
                <w:sz w:val="24"/>
                <w:szCs w:val="24"/>
              </w:rPr>
              <w:t>偏离说明</w:t>
            </w:r>
          </w:p>
        </w:tc>
      </w:tr>
      <w:tr w14:paraId="29EED1EE">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DA61EE">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DD70403">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BF8F073">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F0C56BE">
            <w:pPr>
              <w:jc w:val="center"/>
              <w:rPr>
                <w:rFonts w:ascii="宋体"/>
                <w:bCs/>
                <w:color w:val="000000"/>
              </w:rPr>
            </w:pPr>
          </w:p>
        </w:tc>
      </w:tr>
    </w:tbl>
    <w:p w14:paraId="0562BF80">
      <w:pPr>
        <w:rPr>
          <w:rFonts w:ascii="宋体" w:eastAsia="黑体"/>
          <w:b/>
          <w:color w:val="000000"/>
          <w:sz w:val="24"/>
          <w:szCs w:val="24"/>
        </w:rPr>
      </w:pPr>
      <w:r>
        <w:rPr>
          <w:rFonts w:hint="eastAsia" w:ascii="黑体" w:eastAsia="黑体"/>
          <w:bCs/>
          <w:color w:val="000000"/>
          <w:sz w:val="24"/>
          <w:szCs w:val="24"/>
        </w:rPr>
        <w:t>投标人名称（盖章）：</w:t>
      </w:r>
    </w:p>
    <w:p w14:paraId="3F3CE2CB">
      <w:pPr>
        <w:rPr>
          <w:rFonts w:ascii="宋体"/>
          <w:bCs/>
          <w:color w:val="000000"/>
          <w:sz w:val="30"/>
        </w:rPr>
      </w:pPr>
    </w:p>
    <w:p w14:paraId="2DED5003">
      <w:pPr>
        <w:ind w:firstLine="420"/>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14:paraId="7B82A4CF">
      <w:pPr>
        <w:ind w:firstLine="420"/>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）如无任何技术偏离，请于本表 “偏离说明”中注明“无偏离”；</w:t>
      </w:r>
    </w:p>
    <w:p w14:paraId="7187B154">
      <w:pPr>
        <w:ind w:firstLine="420"/>
        <w:outlineLvl w:val="0"/>
        <w:rPr>
          <w:rFonts w:ascii="宋体" w:hAnsi="宋体"/>
          <w:bCs/>
          <w:color w:val="000000"/>
          <w:sz w:val="24"/>
          <w:szCs w:val="24"/>
        </w:rPr>
      </w:pPr>
      <w:r>
        <w:rPr>
          <w:rFonts w:hint="eastAsia" w:ascii="宋体" w:hAnsi="宋体"/>
          <w:bCs/>
          <w:color w:val="000000"/>
          <w:sz w:val="24"/>
          <w:szCs w:val="24"/>
        </w:rPr>
        <w:t xml:space="preserve">   （3）如有技术偏离项，请于本表中列明偏离内容，如需要可自行延长，其余无偏离内容不须赘述。</w:t>
      </w:r>
      <w:bookmarkEnd w:id="189"/>
      <w:bookmarkEnd w:id="190"/>
      <w:bookmarkEnd w:id="203"/>
      <w:bookmarkStart w:id="204" w:name="_Hlt26955066"/>
      <w:bookmarkEnd w:id="204"/>
      <w:bookmarkStart w:id="205" w:name="_Hlt26671374"/>
      <w:bookmarkEnd w:id="205"/>
      <w:bookmarkStart w:id="206" w:name="_Hlt26609389"/>
      <w:bookmarkEnd w:id="206"/>
      <w:bookmarkStart w:id="207" w:name="_格式2__法定代表人授权书"/>
      <w:bookmarkEnd w:id="207"/>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华文中宋">
    <w:panose1 w:val="02010600040101010101"/>
    <w:charset w:val="86"/>
    <w:family w:val="auto"/>
    <w:pitch w:val="default"/>
    <w:sig w:usb0="00000287" w:usb1="080F0000" w:usb2="00000000" w:usb3="00000000" w:csb0="0004009F" w:csb1="DFD70000"/>
  </w:font>
  <w:font w:name="Showcard Gothic">
    <w:altName w:val="Gabriola"/>
    <w:panose1 w:val="04020904020102020604"/>
    <w:charset w:val="00"/>
    <w:family w:val="decorative"/>
    <w:pitch w:val="default"/>
    <w:sig w:usb0="00000000" w:usb1="00000000" w:usb2="00000000" w:usb3="00000000" w:csb0="2000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5107D">
    <w:pPr>
      <w:pStyle w:val="30"/>
      <w:framePr w:wrap="around" w:vAnchor="text" w:hAnchor="margin" w:xAlign="center" w:y="1"/>
      <w:rPr>
        <w:rStyle w:val="53"/>
        <w:rFonts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ascii="宋体" w:hAnsi="宋体"/>
      </w:rPr>
      <w:t>３</w:t>
    </w:r>
    <w:r>
      <w:rPr>
        <w:rFonts w:ascii="宋体" w:hAnsi="宋体"/>
      </w:rPr>
      <w:fldChar w:fldCharType="end"/>
    </w:r>
  </w:p>
  <w:p w14:paraId="59192413">
    <w:pPr>
      <w:pStyle w:val="30"/>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F9D2A">
    <w:pPr>
      <w:pStyle w:val="30"/>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0B6644AC">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52578">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FE5D1A"/>
    <w:multiLevelType w:val="multilevel"/>
    <w:tmpl w:val="03FE5D1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96330E1"/>
    <w:multiLevelType w:val="multilevel"/>
    <w:tmpl w:val="196330E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B96481B"/>
    <w:multiLevelType w:val="multilevel"/>
    <w:tmpl w:val="2B9648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2CE048D6"/>
    <w:multiLevelType w:val="multilevel"/>
    <w:tmpl w:val="2CE048D6"/>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3B5B5442"/>
    <w:multiLevelType w:val="multilevel"/>
    <w:tmpl w:val="3B5B5442"/>
    <w:lvl w:ilvl="0" w:tentative="0">
      <w:start w:val="1"/>
      <w:numFmt w:val="decimal"/>
      <w:pStyle w:val="26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5EB1025"/>
    <w:multiLevelType w:val="multilevel"/>
    <w:tmpl w:val="45EB1025"/>
    <w:lvl w:ilvl="0" w:tentative="0">
      <w:start w:val="1"/>
      <w:numFmt w:val="upperLetter"/>
      <w:pStyle w:val="24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C2861A5"/>
    <w:multiLevelType w:val="multilevel"/>
    <w:tmpl w:val="4C2861A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7">
    <w:nsid w:val="55DA5AB9"/>
    <w:multiLevelType w:val="multilevel"/>
    <w:tmpl w:val="55DA5AB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1BA6794"/>
    <w:multiLevelType w:val="multilevel"/>
    <w:tmpl w:val="61BA6794"/>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55B1DE9"/>
    <w:multiLevelType w:val="multilevel"/>
    <w:tmpl w:val="655B1DE9"/>
    <w:lvl w:ilvl="0" w:tentative="0">
      <w:start w:val="1"/>
      <w:numFmt w:val="japaneseCounting"/>
      <w:lvlText w:val="（%1）"/>
      <w:lvlJc w:val="left"/>
      <w:pPr>
        <w:ind w:left="1230" w:hanging="75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0">
    <w:nsid w:val="734870F5"/>
    <w:multiLevelType w:val="multilevel"/>
    <w:tmpl w:val="734870F5"/>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562"/>
        </w:tabs>
        <w:ind w:left="562"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1">
    <w:nsid w:val="7D987C3E"/>
    <w:multiLevelType w:val="multilevel"/>
    <w:tmpl w:val="7D987C3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6"/>
  </w:num>
  <w:num w:numId="2">
    <w:abstractNumId w:val="5"/>
  </w:num>
  <w:num w:numId="3">
    <w:abstractNumId w:val="4"/>
  </w:num>
  <w:num w:numId="4">
    <w:abstractNumId w:val="8"/>
  </w:num>
  <w:num w:numId="5">
    <w:abstractNumId w:val="9"/>
  </w:num>
  <w:num w:numId="6">
    <w:abstractNumId w:val="3"/>
  </w:num>
  <w:num w:numId="7">
    <w:abstractNumId w:val="2"/>
  </w:num>
  <w:num w:numId="8">
    <w:abstractNumId w:val="10"/>
  </w:num>
  <w:num w:numId="9">
    <w:abstractNumId w:val="1"/>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kxYTU0MTlhN2JkMTg2ZDJjNDBmNDY3Y2MxZGM4YTYifQ=="/>
  </w:docVars>
  <w:rsids>
    <w:rsidRoot w:val="007A0E13"/>
    <w:rsid w:val="00000467"/>
    <w:rsid w:val="00035D53"/>
    <w:rsid w:val="000451B4"/>
    <w:rsid w:val="00046A5F"/>
    <w:rsid w:val="00063260"/>
    <w:rsid w:val="000812EB"/>
    <w:rsid w:val="000D1AA6"/>
    <w:rsid w:val="000D70DF"/>
    <w:rsid w:val="000E0AB6"/>
    <w:rsid w:val="000E5466"/>
    <w:rsid w:val="000E57A4"/>
    <w:rsid w:val="000F3158"/>
    <w:rsid w:val="000F7A7E"/>
    <w:rsid w:val="00113608"/>
    <w:rsid w:val="00150D43"/>
    <w:rsid w:val="0016358D"/>
    <w:rsid w:val="00174900"/>
    <w:rsid w:val="0018067C"/>
    <w:rsid w:val="0018756B"/>
    <w:rsid w:val="001955CC"/>
    <w:rsid w:val="001A5EB2"/>
    <w:rsid w:val="001B4BA2"/>
    <w:rsid w:val="001B67C9"/>
    <w:rsid w:val="001B7950"/>
    <w:rsid w:val="001C0FB2"/>
    <w:rsid w:val="001C19BA"/>
    <w:rsid w:val="001D059B"/>
    <w:rsid w:val="001D387E"/>
    <w:rsid w:val="001E16DE"/>
    <w:rsid w:val="001E4DCF"/>
    <w:rsid w:val="001F3DD0"/>
    <w:rsid w:val="00232889"/>
    <w:rsid w:val="00232E44"/>
    <w:rsid w:val="00270BA4"/>
    <w:rsid w:val="00280524"/>
    <w:rsid w:val="00281A8B"/>
    <w:rsid w:val="002B1CF5"/>
    <w:rsid w:val="002C36CF"/>
    <w:rsid w:val="002E5E12"/>
    <w:rsid w:val="002F1B92"/>
    <w:rsid w:val="00303A5E"/>
    <w:rsid w:val="00307375"/>
    <w:rsid w:val="00307A17"/>
    <w:rsid w:val="00307C6B"/>
    <w:rsid w:val="00334739"/>
    <w:rsid w:val="00337668"/>
    <w:rsid w:val="00342183"/>
    <w:rsid w:val="00346B5F"/>
    <w:rsid w:val="0037244F"/>
    <w:rsid w:val="00387203"/>
    <w:rsid w:val="00391F97"/>
    <w:rsid w:val="003A287A"/>
    <w:rsid w:val="003B3477"/>
    <w:rsid w:val="003C31F5"/>
    <w:rsid w:val="003E24D5"/>
    <w:rsid w:val="003E6EDD"/>
    <w:rsid w:val="004077F5"/>
    <w:rsid w:val="00444198"/>
    <w:rsid w:val="0044687E"/>
    <w:rsid w:val="00467003"/>
    <w:rsid w:val="004A1030"/>
    <w:rsid w:val="004A4F84"/>
    <w:rsid w:val="004A597E"/>
    <w:rsid w:val="004B4425"/>
    <w:rsid w:val="004C55E0"/>
    <w:rsid w:val="004D0D15"/>
    <w:rsid w:val="004E561C"/>
    <w:rsid w:val="004F3247"/>
    <w:rsid w:val="00533D58"/>
    <w:rsid w:val="0055012E"/>
    <w:rsid w:val="00561EC3"/>
    <w:rsid w:val="005742C5"/>
    <w:rsid w:val="005A04FB"/>
    <w:rsid w:val="005B6FD2"/>
    <w:rsid w:val="005C61E8"/>
    <w:rsid w:val="005D2DC4"/>
    <w:rsid w:val="005D4C9F"/>
    <w:rsid w:val="005E58BE"/>
    <w:rsid w:val="005F015A"/>
    <w:rsid w:val="005F41F8"/>
    <w:rsid w:val="005F5F2A"/>
    <w:rsid w:val="00612DF2"/>
    <w:rsid w:val="00612FAA"/>
    <w:rsid w:val="006319B3"/>
    <w:rsid w:val="00641D97"/>
    <w:rsid w:val="006432F0"/>
    <w:rsid w:val="0064636B"/>
    <w:rsid w:val="0064795A"/>
    <w:rsid w:val="0067178B"/>
    <w:rsid w:val="00681D86"/>
    <w:rsid w:val="006857EC"/>
    <w:rsid w:val="006A0FE4"/>
    <w:rsid w:val="006C7310"/>
    <w:rsid w:val="006F1783"/>
    <w:rsid w:val="007022B8"/>
    <w:rsid w:val="007051BF"/>
    <w:rsid w:val="00710AF5"/>
    <w:rsid w:val="007205B8"/>
    <w:rsid w:val="00732701"/>
    <w:rsid w:val="007410BE"/>
    <w:rsid w:val="0076100A"/>
    <w:rsid w:val="007638CE"/>
    <w:rsid w:val="00771DA7"/>
    <w:rsid w:val="0078509C"/>
    <w:rsid w:val="007A0E13"/>
    <w:rsid w:val="007C09CB"/>
    <w:rsid w:val="00825173"/>
    <w:rsid w:val="00825BD9"/>
    <w:rsid w:val="00835457"/>
    <w:rsid w:val="00836D24"/>
    <w:rsid w:val="00841B56"/>
    <w:rsid w:val="00843A31"/>
    <w:rsid w:val="00851CEB"/>
    <w:rsid w:val="008520E6"/>
    <w:rsid w:val="00884E7C"/>
    <w:rsid w:val="008857F4"/>
    <w:rsid w:val="008904DF"/>
    <w:rsid w:val="00892C7A"/>
    <w:rsid w:val="00892F29"/>
    <w:rsid w:val="008A52BA"/>
    <w:rsid w:val="008B7CF3"/>
    <w:rsid w:val="008E320A"/>
    <w:rsid w:val="008F4357"/>
    <w:rsid w:val="00905980"/>
    <w:rsid w:val="0091635E"/>
    <w:rsid w:val="009212B5"/>
    <w:rsid w:val="009265EB"/>
    <w:rsid w:val="009374C8"/>
    <w:rsid w:val="00966251"/>
    <w:rsid w:val="00990A05"/>
    <w:rsid w:val="009A2E16"/>
    <w:rsid w:val="009A5DFB"/>
    <w:rsid w:val="009C64CB"/>
    <w:rsid w:val="00A172CF"/>
    <w:rsid w:val="00A47636"/>
    <w:rsid w:val="00A500FA"/>
    <w:rsid w:val="00A63D74"/>
    <w:rsid w:val="00A97A16"/>
    <w:rsid w:val="00AA57AA"/>
    <w:rsid w:val="00AA59BE"/>
    <w:rsid w:val="00AD331B"/>
    <w:rsid w:val="00AE750A"/>
    <w:rsid w:val="00AE7F3A"/>
    <w:rsid w:val="00AF52E1"/>
    <w:rsid w:val="00AF7DAB"/>
    <w:rsid w:val="00B07486"/>
    <w:rsid w:val="00B23244"/>
    <w:rsid w:val="00B24A33"/>
    <w:rsid w:val="00B53743"/>
    <w:rsid w:val="00BC1E6C"/>
    <w:rsid w:val="00BD3056"/>
    <w:rsid w:val="00BD4841"/>
    <w:rsid w:val="00C0443E"/>
    <w:rsid w:val="00C21959"/>
    <w:rsid w:val="00C33DAE"/>
    <w:rsid w:val="00C52AD8"/>
    <w:rsid w:val="00C561F2"/>
    <w:rsid w:val="00C7162F"/>
    <w:rsid w:val="00C803BA"/>
    <w:rsid w:val="00C866F6"/>
    <w:rsid w:val="00C93425"/>
    <w:rsid w:val="00CA03CA"/>
    <w:rsid w:val="00CC474A"/>
    <w:rsid w:val="00CC72E2"/>
    <w:rsid w:val="00CD1030"/>
    <w:rsid w:val="00CD14DF"/>
    <w:rsid w:val="00CF32D2"/>
    <w:rsid w:val="00D00A5F"/>
    <w:rsid w:val="00D133D3"/>
    <w:rsid w:val="00D21E5D"/>
    <w:rsid w:val="00D261AB"/>
    <w:rsid w:val="00D27FB2"/>
    <w:rsid w:val="00D50B95"/>
    <w:rsid w:val="00D54335"/>
    <w:rsid w:val="00D6285B"/>
    <w:rsid w:val="00D77FE6"/>
    <w:rsid w:val="00D94D93"/>
    <w:rsid w:val="00DB7CAC"/>
    <w:rsid w:val="00DC5D0A"/>
    <w:rsid w:val="00DC69E0"/>
    <w:rsid w:val="00DE02F2"/>
    <w:rsid w:val="00DE32AE"/>
    <w:rsid w:val="00E21735"/>
    <w:rsid w:val="00E73E82"/>
    <w:rsid w:val="00E81377"/>
    <w:rsid w:val="00E92C44"/>
    <w:rsid w:val="00EB11F6"/>
    <w:rsid w:val="00ED40D1"/>
    <w:rsid w:val="00ED47A7"/>
    <w:rsid w:val="00EE18B8"/>
    <w:rsid w:val="00EF4966"/>
    <w:rsid w:val="00EF5242"/>
    <w:rsid w:val="00EF6EA5"/>
    <w:rsid w:val="00F22969"/>
    <w:rsid w:val="00F302F3"/>
    <w:rsid w:val="00F37F62"/>
    <w:rsid w:val="00F43FAC"/>
    <w:rsid w:val="00F44788"/>
    <w:rsid w:val="00F51787"/>
    <w:rsid w:val="00F766A5"/>
    <w:rsid w:val="00FB3988"/>
    <w:rsid w:val="00FB4245"/>
    <w:rsid w:val="00FD5344"/>
    <w:rsid w:val="00FE0FF3"/>
    <w:rsid w:val="07293803"/>
    <w:rsid w:val="0850242F"/>
    <w:rsid w:val="0AA43604"/>
    <w:rsid w:val="15954221"/>
    <w:rsid w:val="1C663F5A"/>
    <w:rsid w:val="1E355DDA"/>
    <w:rsid w:val="1EDC1C83"/>
    <w:rsid w:val="29D100AA"/>
    <w:rsid w:val="2BB60F51"/>
    <w:rsid w:val="2D184973"/>
    <w:rsid w:val="32A54BE6"/>
    <w:rsid w:val="36FD336F"/>
    <w:rsid w:val="374C62C8"/>
    <w:rsid w:val="40932323"/>
    <w:rsid w:val="52312E15"/>
    <w:rsid w:val="5E4A64C2"/>
    <w:rsid w:val="5F204F4C"/>
    <w:rsid w:val="63A76897"/>
    <w:rsid w:val="675A427B"/>
    <w:rsid w:val="68C03473"/>
    <w:rsid w:val="6A8E441B"/>
    <w:rsid w:val="6CE50F6C"/>
    <w:rsid w:val="74F57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207"/>
    <w:qFormat/>
    <w:uiPriority w:val="0"/>
    <w:pPr>
      <w:keepNext/>
      <w:jc w:val="center"/>
      <w:outlineLvl w:val="0"/>
    </w:pPr>
    <w:rPr>
      <w:rFonts w:ascii="楷体_GB2312" w:eastAsia="楷体_GB2312"/>
      <w:sz w:val="28"/>
      <w:szCs w:val="28"/>
      <w:lang w:eastAsia="en-US"/>
    </w:rPr>
  </w:style>
  <w:style w:type="paragraph" w:styleId="2">
    <w:name w:val="heading 2"/>
    <w:basedOn w:val="1"/>
    <w:next w:val="1"/>
    <w:link w:val="208"/>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styleId="4">
    <w:name w:val="heading 3"/>
    <w:basedOn w:val="1"/>
    <w:next w:val="5"/>
    <w:link w:val="210"/>
    <w:qFormat/>
    <w:uiPriority w:val="0"/>
    <w:pPr>
      <w:keepNext/>
      <w:keepLines/>
      <w:spacing w:before="260" w:after="260" w:line="416" w:lineRule="auto"/>
      <w:outlineLvl w:val="2"/>
    </w:pPr>
    <w:rPr>
      <w:b/>
      <w:bCs/>
      <w:sz w:val="32"/>
      <w:szCs w:val="32"/>
      <w:lang w:eastAsia="en-US"/>
    </w:rPr>
  </w:style>
  <w:style w:type="paragraph" w:styleId="6">
    <w:name w:val="heading 4"/>
    <w:basedOn w:val="1"/>
    <w:next w:val="5"/>
    <w:link w:val="211"/>
    <w:qFormat/>
    <w:uiPriority w:val="0"/>
    <w:pPr>
      <w:keepNext/>
      <w:keepLines/>
      <w:spacing w:before="280" w:after="290" w:line="376" w:lineRule="auto"/>
      <w:outlineLvl w:val="3"/>
    </w:pPr>
    <w:rPr>
      <w:rFonts w:ascii="Arial" w:hAnsi="Arial" w:eastAsia="黑体"/>
      <w:b/>
      <w:bCs/>
      <w:sz w:val="28"/>
      <w:szCs w:val="28"/>
      <w:lang w:eastAsia="en-US"/>
    </w:rPr>
  </w:style>
  <w:style w:type="paragraph" w:styleId="7">
    <w:name w:val="heading 5"/>
    <w:basedOn w:val="1"/>
    <w:next w:val="5"/>
    <w:link w:val="212"/>
    <w:qFormat/>
    <w:uiPriority w:val="9"/>
    <w:pPr>
      <w:keepNext/>
      <w:outlineLvl w:val="4"/>
    </w:pPr>
    <w:rPr>
      <w:rFonts w:ascii="宋体"/>
      <w:color w:val="000000"/>
      <w:sz w:val="28"/>
      <w:szCs w:val="28"/>
      <w:lang w:eastAsia="en-US"/>
    </w:rPr>
  </w:style>
  <w:style w:type="paragraph" w:styleId="8">
    <w:name w:val="heading 6"/>
    <w:basedOn w:val="1"/>
    <w:next w:val="1"/>
    <w:link w:val="213"/>
    <w:qFormat/>
    <w:uiPriority w:val="9"/>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styleId="9">
    <w:name w:val="heading 7"/>
    <w:basedOn w:val="1"/>
    <w:next w:val="1"/>
    <w:link w:val="214"/>
    <w:qFormat/>
    <w:uiPriority w:val="9"/>
    <w:pPr>
      <w:keepNext/>
      <w:keepLines/>
      <w:numPr>
        <w:ilvl w:val="6"/>
        <w:numId w:val="1"/>
      </w:numPr>
      <w:spacing w:before="240" w:after="64" w:line="320" w:lineRule="auto"/>
      <w:outlineLvl w:val="6"/>
    </w:pPr>
    <w:rPr>
      <w:b/>
      <w:bCs/>
      <w:sz w:val="24"/>
      <w:szCs w:val="24"/>
      <w:lang w:eastAsia="en-US"/>
    </w:rPr>
  </w:style>
  <w:style w:type="paragraph" w:styleId="10">
    <w:name w:val="heading 8"/>
    <w:basedOn w:val="1"/>
    <w:next w:val="1"/>
    <w:link w:val="215"/>
    <w:qFormat/>
    <w:uiPriority w:val="9"/>
    <w:pPr>
      <w:keepNext/>
      <w:keepLines/>
      <w:numPr>
        <w:ilvl w:val="7"/>
        <w:numId w:val="1"/>
      </w:numPr>
      <w:spacing w:before="240" w:after="64" w:line="320" w:lineRule="auto"/>
      <w:outlineLvl w:val="7"/>
    </w:pPr>
    <w:rPr>
      <w:rFonts w:ascii="Arial" w:hAnsi="Arial" w:eastAsia="黑体"/>
      <w:sz w:val="24"/>
      <w:szCs w:val="24"/>
      <w:lang w:eastAsia="en-US"/>
    </w:rPr>
  </w:style>
  <w:style w:type="paragraph" w:styleId="11">
    <w:name w:val="heading 9"/>
    <w:basedOn w:val="1"/>
    <w:next w:val="1"/>
    <w:link w:val="216"/>
    <w:qFormat/>
    <w:uiPriority w:val="9"/>
    <w:pPr>
      <w:keepNext/>
      <w:keepLines/>
      <w:numPr>
        <w:ilvl w:val="8"/>
        <w:numId w:val="1"/>
      </w:numPr>
      <w:spacing w:before="240" w:after="64" w:line="320" w:lineRule="auto"/>
      <w:outlineLvl w:val="8"/>
    </w:pPr>
    <w:rPr>
      <w:rFonts w:ascii="Arial" w:hAnsi="Arial" w:eastAsia="黑体"/>
      <w:sz w:val="20"/>
      <w:lang w:eastAsia="en-US"/>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9"/>
    <w:qFormat/>
    <w:uiPriority w:val="0"/>
    <w:pPr>
      <w:ind w:firstLine="420"/>
    </w:pPr>
    <w:rPr>
      <w:sz w:val="20"/>
      <w:lang w:eastAsia="en-US"/>
    </w:rPr>
  </w:style>
  <w:style w:type="paragraph" w:styleId="12">
    <w:name w:val="List 3"/>
    <w:basedOn w:val="1"/>
    <w:qFormat/>
    <w:uiPriority w:val="0"/>
    <w:pPr>
      <w:ind w:left="100" w:hanging="20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8"/>
    <w:semiHidden/>
    <w:qFormat/>
    <w:uiPriority w:val="0"/>
    <w:pPr>
      <w:shd w:val="clear" w:color="auto" w:fill="000080"/>
    </w:pPr>
    <w:rPr>
      <w:sz w:val="20"/>
      <w:lang w:eastAsia="en-US"/>
    </w:rPr>
  </w:style>
  <w:style w:type="paragraph" w:styleId="16">
    <w:name w:val="annotation text"/>
    <w:basedOn w:val="1"/>
    <w:link w:val="219"/>
    <w:semiHidden/>
    <w:qFormat/>
    <w:uiPriority w:val="0"/>
    <w:pPr>
      <w:jc w:val="left"/>
    </w:pPr>
    <w:rPr>
      <w:sz w:val="20"/>
      <w:lang w:eastAsia="en-US"/>
    </w:rPr>
  </w:style>
  <w:style w:type="paragraph" w:styleId="17">
    <w:name w:val="Body Text 3"/>
    <w:basedOn w:val="1"/>
    <w:link w:val="220"/>
    <w:qFormat/>
    <w:uiPriority w:val="0"/>
    <w:rPr>
      <w:rFonts w:ascii="仿宋_GB2312" w:hAnsi="Arial" w:eastAsia="仿宋_GB2312"/>
      <w:sz w:val="32"/>
      <w:szCs w:val="32"/>
      <w:lang w:eastAsia="en-US"/>
    </w:rPr>
  </w:style>
  <w:style w:type="paragraph" w:styleId="18">
    <w:name w:val="Body Text"/>
    <w:basedOn w:val="1"/>
    <w:link w:val="221"/>
    <w:qFormat/>
    <w:uiPriority w:val="99"/>
    <w:rPr>
      <w:rFonts w:ascii="楷体_GB2312" w:hAnsi="Arial" w:eastAsia="楷体_GB2312"/>
      <w:sz w:val="28"/>
      <w:szCs w:val="28"/>
      <w:lang w:eastAsia="en-US"/>
    </w:rPr>
  </w:style>
  <w:style w:type="paragraph" w:styleId="19">
    <w:name w:val="Body Text Indent"/>
    <w:basedOn w:val="1"/>
    <w:link w:val="222"/>
    <w:qFormat/>
    <w:uiPriority w:val="0"/>
    <w:pPr>
      <w:ind w:firstLine="645"/>
    </w:pPr>
    <w:rPr>
      <w:rFonts w:ascii="楷体_GB2312" w:eastAsia="楷体_GB2312"/>
      <w:sz w:val="32"/>
      <w:szCs w:val="32"/>
      <w:lang w:eastAsia="en-US"/>
    </w:rPr>
  </w:style>
  <w:style w:type="paragraph" w:styleId="20">
    <w:name w:val="List 2"/>
    <w:basedOn w:val="1"/>
    <w:qFormat/>
    <w:uiPriority w:val="0"/>
    <w:pPr>
      <w:ind w:left="100" w:hanging="200"/>
    </w:pPr>
  </w:style>
  <w:style w:type="paragraph" w:styleId="21">
    <w:name w:val="index 4"/>
    <w:basedOn w:val="1"/>
    <w:next w:val="1"/>
    <w:qFormat/>
    <w:uiPriority w:val="99"/>
    <w:pPr>
      <w:ind w:left="600" w:leftChars="600"/>
    </w:pPr>
    <w:rPr>
      <w:kern w:val="2"/>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25"/>
    <w:qFormat/>
    <w:uiPriority w:val="0"/>
    <w:rPr>
      <w:rFonts w:ascii="宋体" w:hAnsi="Courier New"/>
      <w:sz w:val="20"/>
      <w:lang w:eastAsia="en-US"/>
    </w:rPr>
  </w:style>
  <w:style w:type="paragraph" w:styleId="25">
    <w:name w:val="toc 8"/>
    <w:basedOn w:val="1"/>
    <w:next w:val="1"/>
    <w:unhideWhenUsed/>
    <w:qFormat/>
    <w:uiPriority w:val="39"/>
    <w:pPr>
      <w:spacing w:after="57"/>
      <w:ind w:left="1984"/>
    </w:pPr>
  </w:style>
  <w:style w:type="paragraph" w:styleId="26">
    <w:name w:val="Date"/>
    <w:basedOn w:val="1"/>
    <w:next w:val="1"/>
    <w:link w:val="227"/>
    <w:qFormat/>
    <w:uiPriority w:val="0"/>
    <w:rPr>
      <w:sz w:val="24"/>
      <w:szCs w:val="24"/>
      <w:lang w:eastAsia="en-US"/>
    </w:rPr>
  </w:style>
  <w:style w:type="paragraph" w:styleId="27">
    <w:name w:val="Body Text Indent 2"/>
    <w:basedOn w:val="1"/>
    <w:link w:val="228"/>
    <w:qFormat/>
    <w:uiPriority w:val="0"/>
    <w:pPr>
      <w:ind w:left="630" w:firstLine="645"/>
    </w:pPr>
    <w:rPr>
      <w:rFonts w:ascii="Arial" w:hAnsi="Arial" w:eastAsia="仿宋_GB2312"/>
      <w:sz w:val="32"/>
      <w:szCs w:val="32"/>
      <w:lang w:eastAsia="en-US"/>
    </w:rPr>
  </w:style>
  <w:style w:type="paragraph" w:styleId="28">
    <w:name w:val="endnote text"/>
    <w:basedOn w:val="1"/>
    <w:link w:val="205"/>
    <w:semiHidden/>
    <w:unhideWhenUsed/>
    <w:qFormat/>
    <w:uiPriority w:val="99"/>
    <w:rPr>
      <w:sz w:val="20"/>
    </w:rPr>
  </w:style>
  <w:style w:type="paragraph" w:styleId="29">
    <w:name w:val="Balloon Text"/>
    <w:basedOn w:val="1"/>
    <w:link w:val="229"/>
    <w:semiHidden/>
    <w:qFormat/>
    <w:uiPriority w:val="99"/>
    <w:rPr>
      <w:sz w:val="18"/>
      <w:szCs w:val="18"/>
      <w:lang w:eastAsia="en-US"/>
    </w:rPr>
  </w:style>
  <w:style w:type="paragraph" w:styleId="30">
    <w:name w:val="footer"/>
    <w:basedOn w:val="1"/>
    <w:link w:val="230"/>
    <w:qFormat/>
    <w:uiPriority w:val="0"/>
    <w:pPr>
      <w:tabs>
        <w:tab w:val="center" w:pos="4153"/>
        <w:tab w:val="right" w:pos="8306"/>
      </w:tabs>
      <w:jc w:val="left"/>
    </w:pPr>
    <w:rPr>
      <w:sz w:val="18"/>
      <w:szCs w:val="18"/>
      <w:lang w:eastAsia="en-US"/>
    </w:rPr>
  </w:style>
  <w:style w:type="paragraph" w:styleId="31">
    <w:name w:val="header"/>
    <w:basedOn w:val="1"/>
    <w:link w:val="231"/>
    <w:qFormat/>
    <w:uiPriority w:val="0"/>
    <w:pPr>
      <w:pBdr>
        <w:bottom w:val="single" w:color="000000" w:sz="6" w:space="1"/>
      </w:pBdr>
      <w:tabs>
        <w:tab w:val="center" w:pos="4153"/>
        <w:tab w:val="right" w:pos="8306"/>
      </w:tabs>
      <w:jc w:val="center"/>
    </w:pPr>
    <w:rPr>
      <w:sz w:val="18"/>
      <w:szCs w:val="18"/>
      <w:lang w:eastAsia="en-US"/>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71"/>
    <w:qFormat/>
    <w:uiPriority w:val="11"/>
    <w:pPr>
      <w:spacing w:before="200" w:after="200"/>
    </w:pPr>
    <w:rPr>
      <w:sz w:val="24"/>
      <w:szCs w:val="24"/>
    </w:rPr>
  </w:style>
  <w:style w:type="paragraph" w:styleId="35">
    <w:name w:val="List"/>
    <w:basedOn w:val="1"/>
    <w:qFormat/>
    <w:uiPriority w:val="0"/>
    <w:pPr>
      <w:ind w:left="200" w:hanging="200"/>
    </w:pPr>
  </w:style>
  <w:style w:type="paragraph" w:styleId="36">
    <w:name w:val="footnote text"/>
    <w:basedOn w:val="1"/>
    <w:link w:val="204"/>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35"/>
    <w:qFormat/>
    <w:uiPriority w:val="0"/>
    <w:pPr>
      <w:ind w:left="645" w:firstLine="645"/>
    </w:pPr>
    <w:rPr>
      <w:rFonts w:ascii="Arial" w:hAnsi="Arial" w:eastAsia="仿宋_GB2312"/>
      <w:color w:val="FFFF00"/>
      <w:sz w:val="32"/>
      <w:szCs w:val="32"/>
      <w:lang w:eastAsia="en-US"/>
    </w:rPr>
  </w:style>
  <w:style w:type="paragraph" w:styleId="39">
    <w:name w:val="table of figures"/>
    <w:basedOn w:val="1"/>
    <w:next w:val="1"/>
    <w:qFormat/>
    <w:uiPriority w:val="99"/>
    <w:pPr>
      <w:ind w:left="840" w:hanging="420"/>
    </w:pPr>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238"/>
    <w:qFormat/>
    <w:uiPriority w:val="0"/>
    <w:pPr>
      <w:widowControl/>
      <w:jc w:val="center"/>
    </w:pPr>
    <w:rPr>
      <w:rFonts w:ascii="楷体_GB2312" w:eastAsia="楷体_GB2312"/>
      <w:sz w:val="28"/>
      <w:szCs w:val="28"/>
      <w:lang w:eastAsia="en-US"/>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70"/>
    <w:qFormat/>
    <w:uiPriority w:val="10"/>
    <w:pPr>
      <w:spacing w:before="300" w:after="200"/>
      <w:contextualSpacing/>
    </w:pPr>
    <w:rPr>
      <w:sz w:val="48"/>
      <w:szCs w:val="48"/>
    </w:rPr>
  </w:style>
  <w:style w:type="paragraph" w:styleId="46">
    <w:name w:val="annotation subject"/>
    <w:basedOn w:val="16"/>
    <w:next w:val="16"/>
    <w:link w:val="239"/>
    <w:semiHidden/>
    <w:qFormat/>
    <w:uiPriority w:val="0"/>
    <w:rPr>
      <w:b/>
      <w:bCs/>
    </w:rPr>
  </w:style>
  <w:style w:type="paragraph" w:styleId="47">
    <w:name w:val="Body Text First Indent 2"/>
    <w:basedOn w:val="19"/>
    <w:link w:val="283"/>
    <w:semiHidden/>
    <w:unhideWhenUsed/>
    <w:qFormat/>
    <w:uiPriority w:val="99"/>
    <w:pPr>
      <w:spacing w:after="120"/>
      <w:ind w:left="420" w:leftChars="200" w:firstLine="420" w:firstLineChars="200"/>
    </w:pPr>
    <w:rPr>
      <w:rFonts w:ascii="Times New Roman" w:eastAsia="宋体"/>
      <w:sz w:val="21"/>
      <w:szCs w:val="21"/>
      <w:lang w:eastAsia="zh-CN"/>
    </w:rPr>
  </w:style>
  <w:style w:type="table" w:styleId="49">
    <w:name w:val="Table Grid"/>
    <w:basedOn w:val="48"/>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FollowedHyperlink"/>
    <w:basedOn w:val="50"/>
    <w:semiHidden/>
    <w:unhideWhenUsed/>
    <w:qFormat/>
    <w:uiPriority w:val="99"/>
    <w:rPr>
      <w:color w:val="954F72"/>
      <w:u w:val="single"/>
    </w:rPr>
  </w:style>
  <w:style w:type="character" w:styleId="55">
    <w:name w:val="HTML Typewriter"/>
    <w:qFormat/>
    <w:uiPriority w:val="99"/>
    <w:rPr>
      <w:rFonts w:ascii="宋体" w:hAnsi="宋体" w:eastAsia="宋体" w:cs="宋体"/>
      <w:sz w:val="24"/>
      <w:szCs w:val="24"/>
    </w:rPr>
  </w:style>
  <w:style w:type="character" w:styleId="56">
    <w:name w:val="Hyperlink"/>
    <w:qFormat/>
    <w:uiPriority w:val="99"/>
    <w:rPr>
      <w:color w:val="0000FF"/>
      <w:u w:val="single"/>
    </w:rPr>
  </w:style>
  <w:style w:type="character" w:styleId="57">
    <w:name w:val="annotation reference"/>
    <w:semiHidden/>
    <w:qFormat/>
    <w:uiPriority w:val="0"/>
    <w:rPr>
      <w:sz w:val="21"/>
      <w:szCs w:val="21"/>
    </w:rPr>
  </w:style>
  <w:style w:type="character" w:styleId="58">
    <w:name w:val="footnote reference"/>
    <w:unhideWhenUsed/>
    <w:qFormat/>
    <w:uiPriority w:val="99"/>
    <w:rPr>
      <w:vertAlign w:val="superscript"/>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paragraph" w:styleId="68">
    <w:name w:val="List Paragraph"/>
    <w:basedOn w:val="1"/>
    <w:link w:val="284"/>
    <w:qFormat/>
    <w:uiPriority w:val="34"/>
    <w:pPr>
      <w:ind w:left="720"/>
      <w:contextualSpacing/>
    </w:pPr>
  </w:style>
  <w:style w:type="paragraph" w:styleId="69">
    <w:name w:val="No Spacing"/>
    <w:qFormat/>
    <w:uiPriority w:val="1"/>
    <w:pPr>
      <w:widowControl w:val="0"/>
      <w:jc w:val="both"/>
    </w:pPr>
    <w:rPr>
      <w:rFonts w:ascii="Times New Roman" w:hAnsi="Times New Roman" w:eastAsia="宋体" w:cs="Times New Roman"/>
      <w:sz w:val="21"/>
      <w:szCs w:val="21"/>
      <w:lang w:val="en-US" w:eastAsia="zh-CN" w:bidi="ar-SA"/>
    </w:rPr>
  </w:style>
  <w:style w:type="character" w:customStyle="1" w:styleId="70">
    <w:name w:val="标题 字符"/>
    <w:link w:val="45"/>
    <w:qFormat/>
    <w:uiPriority w:val="10"/>
    <w:rPr>
      <w:sz w:val="48"/>
      <w:szCs w:val="48"/>
    </w:rPr>
  </w:style>
  <w:style w:type="character" w:customStyle="1" w:styleId="71">
    <w:name w:val="副标题 字符"/>
    <w:link w:val="34"/>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6"/>
    <w:qFormat/>
    <w:uiPriority w:val="99"/>
    <w:rPr>
      <w:sz w:val="18"/>
    </w:rPr>
  </w:style>
  <w:style w:type="character" w:customStyle="1" w:styleId="205">
    <w:name w:val="尾注文本 字符"/>
    <w:link w:val="28"/>
    <w:qFormat/>
    <w:uiPriority w:val="99"/>
    <w:rPr>
      <w:sz w:val="20"/>
    </w:rPr>
  </w:style>
  <w:style w:type="paragraph" w:customStyle="1" w:styleId="206">
    <w:name w:val="TOC Heading"/>
    <w:unhideWhenUsed/>
    <w:qFormat/>
    <w:uiPriority w:val="39"/>
    <w:rPr>
      <w:rFonts w:ascii="Calibri" w:hAnsi="Calibri" w:eastAsia="宋体" w:cs="Times New Roman"/>
      <w:lang w:val="en-US" w:eastAsia="zh-CN" w:bidi="ar-SA"/>
    </w:rPr>
  </w:style>
  <w:style w:type="character" w:customStyle="1" w:styleId="207">
    <w:name w:val="标题 1 字符"/>
    <w:link w:val="3"/>
    <w:qFormat/>
    <w:uiPriority w:val="9"/>
    <w:rPr>
      <w:rFonts w:ascii="楷体_GB2312" w:hAnsi="Times New Roman" w:eastAsia="楷体_GB2312" w:cs="Times New Roman"/>
      <w:sz w:val="28"/>
      <w:szCs w:val="28"/>
    </w:rPr>
  </w:style>
  <w:style w:type="character" w:customStyle="1" w:styleId="208">
    <w:name w:val="标题 2 字符"/>
    <w:link w:val="2"/>
    <w:qFormat/>
    <w:uiPriority w:val="9"/>
    <w:rPr>
      <w:rFonts w:ascii="Arial" w:hAnsi="Arial" w:eastAsia="幼圆" w:cs="Arial"/>
      <w:b/>
      <w:bCs/>
      <w:sz w:val="44"/>
      <w:szCs w:val="44"/>
    </w:rPr>
  </w:style>
  <w:style w:type="character" w:customStyle="1" w:styleId="209">
    <w:name w:val="正文缩进 字符"/>
    <w:link w:val="5"/>
    <w:qFormat/>
    <w:uiPriority w:val="0"/>
    <w:rPr>
      <w:rFonts w:ascii="Times New Roman" w:hAnsi="Times New Roman" w:eastAsia="宋体" w:cs="Times New Roman"/>
      <w:szCs w:val="21"/>
    </w:rPr>
  </w:style>
  <w:style w:type="character" w:customStyle="1" w:styleId="210">
    <w:name w:val="标题 3 字符"/>
    <w:link w:val="4"/>
    <w:qFormat/>
    <w:uiPriority w:val="9"/>
    <w:rPr>
      <w:rFonts w:ascii="Times New Roman" w:hAnsi="Times New Roman" w:eastAsia="宋体" w:cs="Times New Roman"/>
      <w:b/>
      <w:bCs/>
      <w:sz w:val="32"/>
      <w:szCs w:val="32"/>
    </w:rPr>
  </w:style>
  <w:style w:type="character" w:customStyle="1" w:styleId="211">
    <w:name w:val="标题 4 字符"/>
    <w:link w:val="6"/>
    <w:qFormat/>
    <w:uiPriority w:val="9"/>
    <w:rPr>
      <w:rFonts w:ascii="Arial" w:hAnsi="Arial" w:eastAsia="黑体" w:cs="Arial"/>
      <w:b/>
      <w:bCs/>
      <w:sz w:val="28"/>
      <w:szCs w:val="28"/>
    </w:rPr>
  </w:style>
  <w:style w:type="character" w:customStyle="1" w:styleId="212">
    <w:name w:val="标题 5 字符"/>
    <w:link w:val="7"/>
    <w:qFormat/>
    <w:uiPriority w:val="9"/>
    <w:rPr>
      <w:rFonts w:ascii="宋体" w:hAnsi="Times New Roman" w:eastAsia="宋体" w:cs="Times New Roman"/>
      <w:color w:val="000000"/>
      <w:sz w:val="28"/>
      <w:szCs w:val="28"/>
    </w:rPr>
  </w:style>
  <w:style w:type="character" w:customStyle="1" w:styleId="213">
    <w:name w:val="标题 6 字符"/>
    <w:link w:val="8"/>
    <w:qFormat/>
    <w:uiPriority w:val="9"/>
    <w:rPr>
      <w:rFonts w:ascii="Arial" w:hAnsi="Arial" w:eastAsia="黑体" w:cs="Times New Roman"/>
      <w:b/>
      <w:bCs/>
      <w:sz w:val="24"/>
      <w:szCs w:val="24"/>
    </w:rPr>
  </w:style>
  <w:style w:type="character" w:customStyle="1" w:styleId="214">
    <w:name w:val="标题 7 字符"/>
    <w:link w:val="9"/>
    <w:qFormat/>
    <w:uiPriority w:val="9"/>
    <w:rPr>
      <w:rFonts w:ascii="Times New Roman" w:hAnsi="Times New Roman" w:eastAsia="宋体" w:cs="Times New Roman"/>
      <w:b/>
      <w:bCs/>
      <w:sz w:val="24"/>
      <w:szCs w:val="24"/>
    </w:rPr>
  </w:style>
  <w:style w:type="character" w:customStyle="1" w:styleId="215">
    <w:name w:val="标题 8 字符"/>
    <w:link w:val="10"/>
    <w:qFormat/>
    <w:uiPriority w:val="9"/>
    <w:rPr>
      <w:rFonts w:ascii="Arial" w:hAnsi="Arial" w:eastAsia="黑体" w:cs="Times New Roman"/>
      <w:sz w:val="24"/>
      <w:szCs w:val="24"/>
    </w:rPr>
  </w:style>
  <w:style w:type="character" w:customStyle="1" w:styleId="216">
    <w:name w:val="标题 9 字符"/>
    <w:link w:val="11"/>
    <w:qFormat/>
    <w:uiPriority w:val="9"/>
    <w:rPr>
      <w:rFonts w:ascii="Arial" w:hAnsi="Arial" w:eastAsia="黑体" w:cs="Times New Roman"/>
      <w:szCs w:val="21"/>
    </w:rPr>
  </w:style>
  <w:style w:type="paragraph" w:customStyle="1" w:styleId="217">
    <w:name w:val="目录 71"/>
    <w:basedOn w:val="1"/>
    <w:next w:val="1"/>
    <w:semiHidden/>
    <w:qFormat/>
    <w:uiPriority w:val="0"/>
    <w:pPr>
      <w:ind w:left="1260"/>
      <w:jc w:val="left"/>
    </w:pPr>
  </w:style>
  <w:style w:type="character" w:customStyle="1" w:styleId="218">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19">
    <w:name w:val="批注文字 字符"/>
    <w:link w:val="16"/>
    <w:semiHidden/>
    <w:qFormat/>
    <w:uiPriority w:val="0"/>
    <w:rPr>
      <w:rFonts w:ascii="Times New Roman" w:hAnsi="Times New Roman" w:eastAsia="宋体" w:cs="Times New Roman"/>
      <w:szCs w:val="21"/>
    </w:rPr>
  </w:style>
  <w:style w:type="character" w:customStyle="1" w:styleId="220">
    <w:name w:val="正文文本 3 字符"/>
    <w:link w:val="17"/>
    <w:qFormat/>
    <w:uiPriority w:val="0"/>
    <w:rPr>
      <w:rFonts w:ascii="仿宋_GB2312" w:hAnsi="Arial" w:eastAsia="仿宋_GB2312" w:cs="Times New Roman"/>
      <w:sz w:val="32"/>
      <w:szCs w:val="32"/>
    </w:rPr>
  </w:style>
  <w:style w:type="character" w:customStyle="1" w:styleId="221">
    <w:name w:val="正文文本 字符"/>
    <w:link w:val="18"/>
    <w:qFormat/>
    <w:uiPriority w:val="99"/>
    <w:rPr>
      <w:rFonts w:ascii="楷体_GB2312" w:hAnsi="Arial" w:eastAsia="楷体_GB2312" w:cs="Times New Roman"/>
      <w:sz w:val="28"/>
      <w:szCs w:val="28"/>
    </w:rPr>
  </w:style>
  <w:style w:type="character" w:customStyle="1" w:styleId="222">
    <w:name w:val="正文文本缩进 字符"/>
    <w:link w:val="19"/>
    <w:qFormat/>
    <w:uiPriority w:val="0"/>
    <w:rPr>
      <w:rFonts w:ascii="楷体_GB2312" w:hAnsi="Times New Roman" w:eastAsia="楷体_GB2312" w:cs="Times New Roman"/>
      <w:sz w:val="32"/>
      <w:szCs w:val="32"/>
    </w:r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character" w:customStyle="1" w:styleId="225">
    <w:name w:val="纯文本 字符"/>
    <w:link w:val="24"/>
    <w:qFormat/>
    <w:uiPriority w:val="0"/>
    <w:rPr>
      <w:rFonts w:ascii="宋体" w:hAnsi="Courier New" w:eastAsia="宋体" w:cs="Courier New"/>
      <w:szCs w:val="21"/>
    </w:rPr>
  </w:style>
  <w:style w:type="paragraph" w:customStyle="1" w:styleId="226">
    <w:name w:val="目录 81"/>
    <w:basedOn w:val="1"/>
    <w:next w:val="1"/>
    <w:semiHidden/>
    <w:qFormat/>
    <w:uiPriority w:val="0"/>
    <w:pPr>
      <w:ind w:left="1470"/>
      <w:jc w:val="left"/>
    </w:pPr>
  </w:style>
  <w:style w:type="character" w:customStyle="1" w:styleId="227">
    <w:name w:val="日期 字符"/>
    <w:link w:val="26"/>
    <w:qFormat/>
    <w:uiPriority w:val="0"/>
    <w:rPr>
      <w:rFonts w:ascii="Times New Roman" w:hAnsi="Times New Roman" w:eastAsia="宋体" w:cs="Times New Roman"/>
      <w:sz w:val="24"/>
      <w:szCs w:val="24"/>
    </w:rPr>
  </w:style>
  <w:style w:type="character" w:customStyle="1" w:styleId="228">
    <w:name w:val="正文文本缩进 2 字符"/>
    <w:link w:val="27"/>
    <w:qFormat/>
    <w:uiPriority w:val="0"/>
    <w:rPr>
      <w:rFonts w:ascii="Arial" w:hAnsi="Arial" w:eastAsia="仿宋_GB2312" w:cs="Arial"/>
      <w:sz w:val="32"/>
      <w:szCs w:val="32"/>
    </w:rPr>
  </w:style>
  <w:style w:type="character" w:customStyle="1" w:styleId="229">
    <w:name w:val="批注框文本 字符"/>
    <w:link w:val="29"/>
    <w:semiHidden/>
    <w:qFormat/>
    <w:uiPriority w:val="99"/>
    <w:rPr>
      <w:rFonts w:ascii="Times New Roman" w:hAnsi="Times New Roman" w:eastAsia="宋体" w:cs="Times New Roman"/>
      <w:sz w:val="18"/>
      <w:szCs w:val="18"/>
    </w:rPr>
  </w:style>
  <w:style w:type="character" w:customStyle="1" w:styleId="230">
    <w:name w:val="页脚 字符"/>
    <w:link w:val="30"/>
    <w:qFormat/>
    <w:uiPriority w:val="0"/>
    <w:rPr>
      <w:rFonts w:ascii="Times New Roman" w:hAnsi="Times New Roman" w:eastAsia="宋体" w:cs="Times New Roman"/>
      <w:sz w:val="18"/>
      <w:szCs w:val="18"/>
    </w:rPr>
  </w:style>
  <w:style w:type="character" w:customStyle="1" w:styleId="231">
    <w:name w:val="页眉 字符"/>
    <w:link w:val="31"/>
    <w:qFormat/>
    <w:uiPriority w:val="0"/>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style>
  <w:style w:type="paragraph" w:customStyle="1" w:styleId="234">
    <w:name w:val="目录 61"/>
    <w:basedOn w:val="1"/>
    <w:next w:val="1"/>
    <w:semiHidden/>
    <w:qFormat/>
    <w:uiPriority w:val="0"/>
    <w:pPr>
      <w:ind w:left="1050"/>
      <w:jc w:val="left"/>
    </w:pPr>
  </w:style>
  <w:style w:type="character" w:customStyle="1" w:styleId="235">
    <w:name w:val="正文文本缩进 3 字符"/>
    <w:link w:val="38"/>
    <w:qFormat/>
    <w:uiPriority w:val="0"/>
    <w:rPr>
      <w:rFonts w:ascii="Arial" w:hAnsi="Arial" w:eastAsia="仿宋_GB2312" w:cs="Arial"/>
      <w:color w:val="FFFF00"/>
      <w:sz w:val="32"/>
      <w:szCs w:val="32"/>
    </w:rPr>
  </w:style>
  <w:style w:type="paragraph" w:customStyle="1" w:styleId="236">
    <w:name w:val="目录 21"/>
    <w:basedOn w:val="1"/>
    <w:next w:val="1"/>
    <w:semiHidden/>
    <w:qFormat/>
    <w:uiPriority w:val="0"/>
    <w:pPr>
      <w:ind w:left="210"/>
      <w:jc w:val="left"/>
    </w:pPr>
    <w:rPr>
      <w:smallCaps/>
      <w:szCs w:val="24"/>
    </w:rPr>
  </w:style>
  <w:style w:type="paragraph" w:customStyle="1" w:styleId="237">
    <w:name w:val="目录 91"/>
    <w:basedOn w:val="1"/>
    <w:next w:val="1"/>
    <w:semiHidden/>
    <w:qFormat/>
    <w:uiPriority w:val="0"/>
    <w:pPr>
      <w:ind w:left="1680"/>
      <w:jc w:val="left"/>
    </w:pPr>
  </w:style>
  <w:style w:type="character" w:customStyle="1" w:styleId="238">
    <w:name w:val="正文文本 2 字符"/>
    <w:link w:val="42"/>
    <w:qFormat/>
    <w:uiPriority w:val="0"/>
    <w:rPr>
      <w:rFonts w:ascii="楷体_GB2312" w:hAnsi="Times New Roman" w:eastAsia="楷体_GB2312" w:cs="Times New Roman"/>
      <w:sz w:val="28"/>
      <w:szCs w:val="28"/>
    </w:rPr>
  </w:style>
  <w:style w:type="character" w:customStyle="1" w:styleId="239">
    <w:name w:val="批注主题 字符"/>
    <w:link w:val="46"/>
    <w:semiHidden/>
    <w:qFormat/>
    <w:uiPriority w:val="0"/>
    <w:rPr>
      <w:rFonts w:ascii="Times New Roman" w:hAnsi="Times New Roman" w:eastAsia="宋体" w:cs="Times New Roman"/>
      <w:b/>
      <w:bCs/>
      <w:szCs w:val="21"/>
    </w:rPr>
  </w:style>
  <w:style w:type="paragraph" w:customStyle="1" w:styleId="240">
    <w:name w:val="正文首行缩进1"/>
    <w:basedOn w:val="1"/>
    <w:link w:val="241"/>
    <w:qFormat/>
    <w:uiPriority w:val="0"/>
    <w:pPr>
      <w:spacing w:line="360" w:lineRule="auto"/>
      <w:ind w:firstLine="200"/>
    </w:pPr>
    <w:rPr>
      <w:rFonts w:ascii="仿宋_GB2312" w:eastAsia="仿宋_GB2312"/>
      <w:sz w:val="30"/>
      <w:szCs w:val="30"/>
      <w:lang w:eastAsia="en-US"/>
    </w:rPr>
  </w:style>
  <w:style w:type="character" w:customStyle="1" w:styleId="241">
    <w:name w:val="正文首行缩进 Char"/>
    <w:link w:val="240"/>
    <w:qFormat/>
    <w:uiPriority w:val="0"/>
    <w:rPr>
      <w:rFonts w:ascii="仿宋_GB2312" w:hAnsi="Times New Roman" w:eastAsia="仿宋_GB2312" w:cs="Times New Roman"/>
      <w:sz w:val="30"/>
      <w:szCs w:val="30"/>
    </w:rPr>
  </w:style>
  <w:style w:type="paragraph" w:customStyle="1" w:styleId="242">
    <w:name w:val="正文首行缩进 21"/>
    <w:basedOn w:val="19"/>
    <w:link w:val="243"/>
    <w:qFormat/>
    <w:uiPriority w:val="0"/>
    <w:pPr>
      <w:spacing w:line="360" w:lineRule="auto"/>
      <w:ind w:firstLine="420"/>
    </w:pPr>
    <w:rPr>
      <w:rFonts w:ascii="宋体" w:hAnsi="宋体" w:eastAsia="宋体"/>
      <w:szCs w:val="20"/>
    </w:rPr>
  </w:style>
  <w:style w:type="character" w:customStyle="1" w:styleId="243">
    <w:name w:val="正文首行缩进 2 Char"/>
    <w:link w:val="242"/>
    <w:qFormat/>
    <w:uiPriority w:val="0"/>
    <w:rPr>
      <w:rFonts w:ascii="宋体" w:hAnsi="宋体" w:eastAsia="宋体" w:cs="Times New Roman"/>
      <w:sz w:val="32"/>
      <w:szCs w:val="20"/>
    </w:rPr>
  </w:style>
  <w:style w:type="character" w:customStyle="1" w:styleId="244">
    <w:name w:val="已访问的超链接1"/>
    <w:qFormat/>
    <w:uiPriority w:val="0"/>
    <w:rPr>
      <w:color w:val="800080"/>
      <w:u w:val="single"/>
    </w:rPr>
  </w:style>
  <w:style w:type="character" w:customStyle="1" w:styleId="245">
    <w:name w:val="font5 Char"/>
    <w:qFormat/>
    <w:uiPriority w:val="0"/>
    <w:rPr>
      <w:rFonts w:ascii="宋体" w:hAnsi="宋体" w:eastAsia="宋体"/>
      <w:sz w:val="28"/>
      <w:szCs w:val="28"/>
      <w:lang w:val="en-US" w:eastAsia="zh-CN" w:bidi="ar-SA"/>
    </w:rPr>
  </w:style>
  <w:style w:type="character" w:customStyle="1" w:styleId="246">
    <w:name w:val="二级目录 Char"/>
    <w:link w:val="247"/>
    <w:qFormat/>
    <w:uiPriority w:val="0"/>
    <w:rPr>
      <w:b/>
      <w:sz w:val="30"/>
      <w:szCs w:val="28"/>
      <w:lang w:val="en-US" w:eastAsia="zh-CN" w:bidi="ar-SA"/>
    </w:rPr>
  </w:style>
  <w:style w:type="paragraph" w:customStyle="1" w:styleId="247">
    <w:name w:val="二级目录"/>
    <w:next w:val="1"/>
    <w:link w:val="246"/>
    <w:qFormat/>
    <w:uiPriority w:val="0"/>
    <w:pPr>
      <w:numPr>
        <w:ilvl w:val="0"/>
        <w:numId w:val="2"/>
      </w:numPr>
      <w:tabs>
        <w:tab w:val="left" w:pos="1145"/>
      </w:tabs>
      <w:outlineLvl w:val="1"/>
    </w:pPr>
    <w:rPr>
      <w:rFonts w:ascii="Calibri" w:hAnsi="Calibri" w:eastAsia="宋体" w:cs="Times New Roman"/>
      <w:b/>
      <w:sz w:val="30"/>
      <w:szCs w:val="28"/>
      <w:lang w:val="en-US" w:eastAsia="zh-CN" w:bidi="ar-SA"/>
    </w:rPr>
  </w:style>
  <w:style w:type="character" w:customStyle="1" w:styleId="248">
    <w:name w:val="列出段落 Char"/>
    <w:link w:val="249"/>
    <w:qFormat/>
    <w:uiPriority w:val="0"/>
    <w:rPr>
      <w:rFonts w:ascii="Calibri" w:hAnsi="Calibri"/>
      <w:sz w:val="24"/>
      <w:szCs w:val="24"/>
      <w:lang w:eastAsia="en-US" w:bidi="en-US"/>
    </w:rPr>
  </w:style>
  <w:style w:type="paragraph" w:customStyle="1" w:styleId="249">
    <w:name w:val="列出段落1"/>
    <w:basedOn w:val="1"/>
    <w:link w:val="248"/>
    <w:qFormat/>
    <w:uiPriority w:val="0"/>
    <w:pPr>
      <w:widowControl/>
      <w:ind w:left="720"/>
      <w:contextualSpacing/>
      <w:jc w:val="left"/>
    </w:pPr>
    <w:rPr>
      <w:rFonts w:ascii="Calibri" w:hAnsi="Calibri"/>
      <w:sz w:val="24"/>
      <w:szCs w:val="24"/>
      <w:lang w:eastAsia="en-US" w:bidi="en-US"/>
    </w:rPr>
  </w:style>
  <w:style w:type="paragraph" w:customStyle="1" w:styleId="250">
    <w:name w:val="Body Text(ch)"/>
    <w:basedOn w:val="1"/>
    <w:next w:val="18"/>
    <w:qFormat/>
    <w:uiPriority w:val="0"/>
    <w:pPr>
      <w:spacing w:after="120"/>
    </w:pPr>
    <w:rPr>
      <w:rFonts w:ascii="宋体" w:hAnsi="Arial"/>
      <w:bCs/>
      <w:iCs/>
      <w:szCs w:val="24"/>
    </w:rPr>
  </w:style>
  <w:style w:type="paragraph" w:customStyle="1" w:styleId="25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3">
    <w:name w:val="Char"/>
    <w:basedOn w:val="1"/>
    <w:qFormat/>
    <w:uiPriority w:val="0"/>
    <w:pPr>
      <w:tabs>
        <w:tab w:val="left" w:pos="360"/>
      </w:tabs>
      <w:ind w:firstLine="200"/>
    </w:pPr>
    <w:rPr>
      <w:sz w:val="28"/>
      <w:szCs w:val="30"/>
    </w:rPr>
  </w:style>
  <w:style w:type="paragraph" w:customStyle="1" w:styleId="254">
    <w:name w:val="Char1"/>
    <w:basedOn w:val="15"/>
    <w:qFormat/>
    <w:uiPriority w:val="0"/>
    <w:rPr>
      <w:rFonts w:ascii="Tahoma" w:hAnsi="Tahoma"/>
      <w:sz w:val="24"/>
      <w:szCs w:val="24"/>
    </w:rPr>
  </w:style>
  <w:style w:type="paragraph" w:customStyle="1" w:styleId="25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6">
    <w:name w:val="table_lines"/>
    <w:basedOn w:val="1"/>
    <w:qFormat/>
    <w:uiPriority w:val="0"/>
    <w:pPr>
      <w:widowControl/>
      <w:jc w:val="left"/>
    </w:pPr>
    <w:rPr>
      <w:sz w:val="20"/>
      <w:szCs w:val="20"/>
      <w:lang w:val="de-DE" w:eastAsia="de-DE"/>
    </w:rPr>
  </w:style>
  <w:style w:type="paragraph" w:customStyle="1" w:styleId="257">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9">
    <w:name w:val="Char Char Char Char"/>
    <w:basedOn w:val="15"/>
    <w:qFormat/>
    <w:uiPriority w:val="0"/>
    <w:pPr>
      <w:spacing w:line="360" w:lineRule="auto"/>
    </w:pPr>
    <w:rPr>
      <w:rFonts w:ascii="Tahoma" w:hAnsi="Tahoma"/>
      <w:sz w:val="24"/>
      <w:szCs w:val="24"/>
    </w:rPr>
  </w:style>
  <w:style w:type="paragraph" w:customStyle="1" w:styleId="260">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61">
    <w:name w:val="4"/>
    <w:basedOn w:val="1"/>
    <w:next w:val="38"/>
    <w:qFormat/>
    <w:uiPriority w:val="0"/>
    <w:pPr>
      <w:spacing w:line="360" w:lineRule="auto"/>
      <w:ind w:firstLine="420"/>
    </w:pPr>
    <w:rPr>
      <w:color w:val="FF0000"/>
      <w:sz w:val="24"/>
      <w:szCs w:val="24"/>
    </w:rPr>
  </w:style>
  <w:style w:type="paragraph" w:customStyle="1" w:styleId="26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3">
    <w:name w:val="Char Char Char Char Char Char Char Char Char Char"/>
    <w:basedOn w:val="1"/>
    <w:qFormat/>
    <w:uiPriority w:val="0"/>
    <w:pPr>
      <w:spacing w:line="360" w:lineRule="auto"/>
    </w:pPr>
    <w:rPr>
      <w:sz w:val="24"/>
      <w:szCs w:val="20"/>
    </w:rPr>
  </w:style>
  <w:style w:type="paragraph" w:customStyle="1" w:styleId="264">
    <w:name w:val="样式1"/>
    <w:basedOn w:val="1"/>
    <w:qFormat/>
    <w:uiPriority w:val="0"/>
    <w:pPr>
      <w:numPr>
        <w:ilvl w:val="0"/>
        <w:numId w:val="3"/>
      </w:numPr>
    </w:pPr>
    <w:rPr>
      <w:rFonts w:ascii="宋体" w:hAnsi="宋体"/>
    </w:rPr>
  </w:style>
  <w:style w:type="paragraph" w:customStyle="1" w:styleId="26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Char Char Char Char1"/>
    <w:basedOn w:val="15"/>
    <w:qFormat/>
    <w:uiPriority w:val="0"/>
    <w:pPr>
      <w:spacing w:line="360" w:lineRule="auto"/>
    </w:pPr>
    <w:rPr>
      <w:rFonts w:ascii="Tahoma" w:hAnsi="Tahoma"/>
      <w:sz w:val="24"/>
      <w:szCs w:val="24"/>
    </w:rPr>
  </w:style>
  <w:style w:type="paragraph" w:customStyle="1" w:styleId="276">
    <w:name w:val="table_1stline"/>
    <w:basedOn w:val="1"/>
    <w:qFormat/>
    <w:uiPriority w:val="0"/>
    <w:pPr>
      <w:widowControl/>
      <w:spacing w:before="120"/>
      <w:jc w:val="left"/>
    </w:pPr>
    <w:rPr>
      <w:bCs/>
      <w:sz w:val="20"/>
      <w:szCs w:val="20"/>
      <w:lang w:val="de-DE" w:eastAsia="de-DE"/>
    </w:rPr>
  </w:style>
  <w:style w:type="paragraph" w:customStyle="1" w:styleId="27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9">
    <w:name w:val="Revision"/>
    <w:semiHidden/>
    <w:qFormat/>
    <w:uiPriority w:val="99"/>
    <w:rPr>
      <w:rFonts w:ascii="Times New Roman" w:hAnsi="Times New Roman" w:eastAsia="宋体" w:cs="Times New Roman"/>
      <w:sz w:val="21"/>
      <w:szCs w:val="21"/>
      <w:lang w:val="en-US" w:eastAsia="zh-CN" w:bidi="ar-SA"/>
    </w:rPr>
  </w:style>
  <w:style w:type="paragraph" w:customStyle="1" w:styleId="280">
    <w:name w:val="普通文字"/>
    <w:basedOn w:val="1"/>
    <w:next w:val="1"/>
    <w:qFormat/>
    <w:uiPriority w:val="99"/>
    <w:rPr>
      <w:rFonts w:ascii="宋体"/>
      <w:sz w:val="24"/>
      <w:szCs w:val="20"/>
    </w:rPr>
  </w:style>
  <w:style w:type="paragraph" w:customStyle="1" w:styleId="281">
    <w:name w:val="目录 111"/>
    <w:basedOn w:val="1"/>
    <w:next w:val="1"/>
    <w:unhideWhenUsed/>
    <w:qFormat/>
    <w:uiPriority w:val="39"/>
    <w:pPr>
      <w:widowControl/>
      <w:spacing w:after="100" w:line="259" w:lineRule="auto"/>
      <w:jc w:val="left"/>
    </w:pPr>
    <w:rPr>
      <w:rFonts w:ascii="Calibri" w:hAnsi="Calibri"/>
      <w:sz w:val="22"/>
      <w:szCs w:val="22"/>
    </w:rPr>
  </w:style>
  <w:style w:type="character" w:customStyle="1" w:styleId="282">
    <w:name w:val="NormalCharacter"/>
    <w:qFormat/>
    <w:uiPriority w:val="0"/>
  </w:style>
  <w:style w:type="character" w:customStyle="1" w:styleId="283">
    <w:name w:val="正文文本首行缩进 2 字符"/>
    <w:basedOn w:val="222"/>
    <w:link w:val="47"/>
    <w:semiHidden/>
    <w:qFormat/>
    <w:uiPriority w:val="99"/>
    <w:rPr>
      <w:rFonts w:ascii="Times New Roman" w:hAnsi="Times New Roman" w:eastAsia="楷体_GB2312" w:cs="Times New Roman"/>
      <w:sz w:val="21"/>
      <w:szCs w:val="21"/>
    </w:rPr>
  </w:style>
  <w:style w:type="character" w:customStyle="1" w:styleId="284">
    <w:name w:val="列表段落 字符"/>
    <w:link w:val="68"/>
    <w:qFormat/>
    <w:uiPriority w:val="99"/>
    <w:rPr>
      <w:rFonts w:ascii="Times New Roman" w:hAnsi="Times New Roman"/>
      <w:sz w:val="21"/>
      <w:szCs w:val="21"/>
    </w:rPr>
  </w:style>
  <w:style w:type="paragraph" w:customStyle="1" w:styleId="285">
    <w:name w:val="List Paragraph1"/>
    <w:basedOn w:val="1"/>
    <w:qFormat/>
    <w:uiPriority w:val="0"/>
    <w:pPr>
      <w:ind w:firstLine="420" w:firstLineChars="200"/>
    </w:pPr>
    <w:rPr>
      <w:rFonts w:ascii="Calibri" w:hAnsi="Calibri"/>
      <w:kern w:val="2"/>
      <w:szCs w:val="22"/>
    </w:rPr>
  </w:style>
  <w:style w:type="paragraph" w:customStyle="1" w:styleId="286">
    <w:name w:val="_Style 14"/>
    <w:basedOn w:val="1"/>
    <w:next w:val="68"/>
    <w:qFormat/>
    <w:uiPriority w:val="99"/>
    <w:pPr>
      <w:ind w:firstLine="420" w:firstLineChars="200"/>
    </w:pPr>
    <w:rPr>
      <w:rFonts w:ascii="宋体" w:hAnsi="宋体"/>
      <w:bCs/>
      <w:kern w:val="2"/>
      <w:szCs w:val="32"/>
    </w:rPr>
  </w:style>
  <w:style w:type="paragraph" w:customStyle="1" w:styleId="287">
    <w:name w:val="xl65"/>
    <w:basedOn w:val="1"/>
    <w:qFormat/>
    <w:uiPriority w:val="0"/>
    <w:pPr>
      <w:widowControl/>
      <w:shd w:val="clear" w:color="000000" w:fill="FFFFFF"/>
      <w:spacing w:before="100" w:beforeAutospacing="1" w:after="100" w:afterAutospacing="1"/>
      <w:jc w:val="center"/>
    </w:pPr>
    <w:rPr>
      <w:rFonts w:ascii="宋体" w:hAnsi="宋体" w:cs="宋体"/>
      <w:sz w:val="18"/>
      <w:szCs w:val="18"/>
    </w:rPr>
  </w:style>
  <w:style w:type="paragraph" w:customStyle="1" w:styleId="288">
    <w:name w:val="xl66"/>
    <w:basedOn w:val="1"/>
    <w:qFormat/>
    <w:uiPriority w:val="0"/>
    <w:pPr>
      <w:widowControl/>
      <w:shd w:val="clear" w:color="000000" w:fill="FFFFFF"/>
      <w:spacing w:before="100" w:beforeAutospacing="1" w:after="100" w:afterAutospacing="1"/>
      <w:jc w:val="left"/>
    </w:pPr>
    <w:rPr>
      <w:rFonts w:ascii="宋体" w:hAnsi="宋体" w:cs="宋体"/>
      <w:sz w:val="18"/>
      <w:szCs w:val="18"/>
    </w:rPr>
  </w:style>
  <w:style w:type="paragraph" w:customStyle="1" w:styleId="289">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290">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291">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292">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293">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294">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sz w:val="18"/>
      <w:szCs w:val="18"/>
    </w:rPr>
  </w:style>
  <w:style w:type="paragraph" w:customStyle="1" w:styleId="29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cs="宋体"/>
      <w:sz w:val="18"/>
      <w:szCs w:val="18"/>
    </w:rPr>
  </w:style>
  <w:style w:type="paragraph" w:customStyle="1" w:styleId="296">
    <w:name w:val="font8"/>
    <w:basedOn w:val="1"/>
    <w:qFormat/>
    <w:uiPriority w:val="0"/>
    <w:pPr>
      <w:widowControl/>
      <w:spacing w:before="100" w:beforeAutospacing="1" w:after="100" w:afterAutospacing="1"/>
      <w:jc w:val="left"/>
    </w:pPr>
    <w:rPr>
      <w:sz w:val="18"/>
      <w:szCs w:val="18"/>
    </w:rPr>
  </w:style>
  <w:style w:type="paragraph" w:customStyle="1" w:styleId="29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sz w:val="18"/>
      <w:szCs w:val="18"/>
    </w:rPr>
  </w:style>
  <w:style w:type="paragraph" w:customStyle="1" w:styleId="29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sz w:val="18"/>
      <w:szCs w:val="18"/>
    </w:rPr>
  </w:style>
  <w:style w:type="paragraph" w:customStyle="1" w:styleId="299">
    <w:name w:val="font9"/>
    <w:basedOn w:val="1"/>
    <w:qFormat/>
    <w:uiPriority w:val="0"/>
    <w:pPr>
      <w:widowControl/>
      <w:spacing w:before="100" w:beforeAutospacing="1" w:after="100" w:afterAutospacing="1"/>
      <w:jc w:val="left"/>
    </w:pPr>
    <w:rPr>
      <w:rFonts w:ascii="宋体" w:hAnsi="宋体" w:cs="宋体"/>
      <w:color w:val="FF0000"/>
      <w:sz w:val="18"/>
      <w:szCs w:val="18"/>
    </w:rPr>
  </w:style>
  <w:style w:type="paragraph" w:customStyle="1" w:styleId="300">
    <w:name w:val="font10"/>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01">
    <w:name w:val="font11"/>
    <w:basedOn w:val="1"/>
    <w:qFormat/>
    <w:uiPriority w:val="0"/>
    <w:pPr>
      <w:widowControl/>
      <w:spacing w:before="100" w:beforeAutospacing="1" w:after="100" w:afterAutospacing="1"/>
      <w:jc w:val="left"/>
    </w:pPr>
    <w:rPr>
      <w:rFonts w:ascii="宋体" w:hAnsi="宋体" w:cs="宋体"/>
      <w:color w:val="FF0000"/>
      <w:sz w:val="18"/>
      <w:szCs w:val="18"/>
    </w:rPr>
  </w:style>
  <w:style w:type="paragraph" w:customStyle="1" w:styleId="302">
    <w:name w:val="font12"/>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03">
    <w:name w:val="font13"/>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304">
    <w:name w:val="font14"/>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305">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30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宋体" w:hAnsi="宋体" w:cs="宋体"/>
      <w:sz w:val="18"/>
      <w:szCs w:val="18"/>
    </w:rPr>
  </w:style>
  <w:style w:type="paragraph" w:customStyle="1" w:styleId="30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宋体" w:hAnsi="宋体" w:cs="宋体"/>
      <w:sz w:val="18"/>
      <w:szCs w:val="18"/>
    </w:rPr>
  </w:style>
  <w:style w:type="paragraph" w:customStyle="1" w:styleId="30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bottom"/>
    </w:pPr>
    <w:rPr>
      <w:rFonts w:ascii="宋体" w:hAnsi="宋体" w:cs="宋体"/>
      <w:sz w:val="18"/>
      <w:szCs w:val="18"/>
    </w:rPr>
  </w:style>
  <w:style w:type="paragraph" w:customStyle="1" w:styleId="30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sz w:val="18"/>
      <w:szCs w:val="18"/>
    </w:rPr>
  </w:style>
  <w:style w:type="paragraph" w:customStyle="1" w:styleId="31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宋体" w:hAnsi="宋体" w:cs="宋体"/>
      <w:sz w:val="18"/>
      <w:szCs w:val="18"/>
    </w:rPr>
  </w:style>
  <w:style w:type="paragraph" w:customStyle="1" w:styleId="31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pPr>
    <w:rPr>
      <w:rFonts w:ascii="宋体" w:hAnsi="宋体" w:cs="宋体"/>
      <w:sz w:val="18"/>
      <w:szCs w:val="18"/>
    </w:rPr>
  </w:style>
  <w:style w:type="paragraph" w:customStyle="1" w:styleId="312">
    <w:name w:val="xl83"/>
    <w:basedOn w:val="1"/>
    <w:qFormat/>
    <w:uiPriority w:val="0"/>
    <w:pPr>
      <w:widowControl/>
      <w:shd w:val="clear" w:color="000000" w:fill="FF0000"/>
      <w:spacing w:before="100" w:beforeAutospacing="1" w:after="100" w:afterAutospacing="1"/>
      <w:jc w:val="center"/>
    </w:pPr>
    <w:rPr>
      <w:rFonts w:ascii="宋体" w:hAnsi="宋体" w:cs="宋体"/>
      <w:sz w:val="18"/>
      <w:szCs w:val="18"/>
    </w:rPr>
  </w:style>
  <w:style w:type="paragraph" w:customStyle="1" w:styleId="31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18"/>
      <w:szCs w:val="18"/>
    </w:rPr>
  </w:style>
  <w:style w:type="paragraph" w:customStyle="1" w:styleId="31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18"/>
      <w:szCs w:val="18"/>
    </w:rPr>
  </w:style>
  <w:style w:type="paragraph" w:customStyle="1" w:styleId="31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31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31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31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31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sz w:val="18"/>
      <w:szCs w:val="18"/>
    </w:rPr>
  </w:style>
  <w:style w:type="paragraph" w:customStyle="1" w:styleId="32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sz w:val="18"/>
      <w:szCs w:val="18"/>
    </w:rPr>
  </w:style>
  <w:style w:type="paragraph" w:customStyle="1" w:styleId="32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color w:val="FF0000"/>
      <w:sz w:val="18"/>
      <w:szCs w:val="18"/>
    </w:rPr>
  </w:style>
  <w:style w:type="paragraph" w:customStyle="1" w:styleId="327">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color w:val="FF0000"/>
      <w:sz w:val="18"/>
      <w:szCs w:val="18"/>
    </w:rPr>
  </w:style>
  <w:style w:type="character" w:customStyle="1" w:styleId="328">
    <w:name w:val="NormalCharacter1"/>
    <w:qFormat/>
    <w:uiPriority w:val="0"/>
  </w:style>
  <w:style w:type="paragraph" w:customStyle="1" w:styleId="329">
    <w:name w:val="段"/>
    <w:next w:val="1"/>
    <w:qFormat/>
    <w:uiPriority w:val="0"/>
    <w:pPr>
      <w:ind w:firstLine="200"/>
      <w:jc w:val="both"/>
    </w:pPr>
    <w:rPr>
      <w:rFonts w:ascii="宋体" w:hAnsi="Times New Roman" w:eastAsia="宋体" w:cs="宋体"/>
      <w:sz w:val="21"/>
      <w:szCs w:val="21"/>
      <w:lang w:val="en-US" w:eastAsia="zh-CN" w:bidi="ar-SA"/>
    </w:rPr>
  </w:style>
  <w:style w:type="table" w:customStyle="1" w:styleId="330">
    <w:name w:val="无格式表格 11"/>
    <w:qFormat/>
    <w:uiPriority w:val="59"/>
    <w:rPr>
      <w:rFonts w:ascii="Times New Roman" w:hAnsi="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31">
    <w:name w:val="无格式表格 21"/>
    <w:qFormat/>
    <w:uiPriority w:val="59"/>
    <w:rPr>
      <w:rFonts w:ascii="Times New Roman" w:hAnsi="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32">
    <w:name w:val="无格式表格 31"/>
    <w:qFormat/>
    <w:uiPriority w:val="99"/>
    <w:rPr>
      <w:rFonts w:ascii="Times New Roman" w:hAnsi="Times New Roman"/>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3">
    <w:name w:val="无格式表格 41"/>
    <w:qFormat/>
    <w:uiPriority w:val="99"/>
    <w:rPr>
      <w:rFonts w:ascii="Times New Roman" w:hAnsi="Times New Roman"/>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4">
    <w:name w:val="无格式表格 51"/>
    <w:qFormat/>
    <w:uiPriority w:val="99"/>
    <w:rPr>
      <w:rFonts w:ascii="Times New Roman" w:hAnsi="Times New Roman"/>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5">
    <w:name w:val="网格表 1 浅色1"/>
    <w:qFormat/>
    <w:uiPriority w:val="99"/>
    <w:rPr>
      <w:rFonts w:ascii="Times New Roman" w:hAnsi="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36">
    <w:name w:val="网格表 21"/>
    <w:qFormat/>
    <w:uiPriority w:val="99"/>
    <w:rPr>
      <w:rFonts w:ascii="Times New Roman" w:hAnsi="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7">
    <w:name w:val="网格表 31"/>
    <w:qFormat/>
    <w:uiPriority w:val="99"/>
    <w:rPr>
      <w:rFonts w:ascii="Times New Roman" w:hAnsi="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8">
    <w:name w:val="网格表 41"/>
    <w:qFormat/>
    <w:uiPriority w:val="59"/>
    <w:rPr>
      <w:rFonts w:ascii="Times New Roman" w:hAnsi="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9">
    <w:name w:val="网格表 5 深色1"/>
    <w:qFormat/>
    <w:uiPriority w:val="99"/>
    <w:rPr>
      <w:rFonts w:ascii="Times New Roman" w:hAnsi="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340">
    <w:name w:val="网格表 6 彩色1"/>
    <w:qFormat/>
    <w:uiPriority w:val="99"/>
    <w:rPr>
      <w:rFonts w:ascii="Times New Roman" w:hAnsi="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41">
    <w:name w:val="网格表 7 彩色1"/>
    <w:qFormat/>
    <w:uiPriority w:val="99"/>
    <w:rPr>
      <w:rFonts w:ascii="Times New Roman" w:hAnsi="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42">
    <w:name w:val="清单表 1 浅色1"/>
    <w:qFormat/>
    <w:uiPriority w:val="99"/>
    <w:rPr>
      <w:rFonts w:ascii="Times New Roman" w:hAnsi="Times New Roman"/>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343">
    <w:name w:val="清单表 21"/>
    <w:qFormat/>
    <w:uiPriority w:val="99"/>
    <w:rPr>
      <w:rFonts w:ascii="Times New Roman" w:hAnsi="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344">
    <w:name w:val="清单表 31"/>
    <w:qFormat/>
    <w:uiPriority w:val="99"/>
    <w:rPr>
      <w:rFonts w:ascii="Times New Roman" w:hAnsi="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345">
    <w:name w:val="清单表 41"/>
    <w:qFormat/>
    <w:uiPriority w:val="99"/>
    <w:rPr>
      <w:rFonts w:ascii="Times New Roman" w:hAnsi="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346">
    <w:name w:val="清单表 5 深色1"/>
    <w:qFormat/>
    <w:uiPriority w:val="99"/>
    <w:rPr>
      <w:rFonts w:ascii="Times New Roman" w:hAnsi="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347">
    <w:name w:val="清单表 6 彩色1"/>
    <w:qFormat/>
    <w:uiPriority w:val="99"/>
    <w:rPr>
      <w:rFonts w:ascii="Times New Roman" w:hAnsi="Times New Roman"/>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348">
    <w:name w:val="清单表 7 彩色1"/>
    <w:qFormat/>
    <w:uiPriority w:val="99"/>
    <w:rPr>
      <w:rFonts w:ascii="Times New Roman" w:hAnsi="Times New Roman"/>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349">
    <w:name w:val="TOC 标题1"/>
    <w:unhideWhenUsed/>
    <w:qFormat/>
    <w:uiPriority w:val="39"/>
    <w:rPr>
      <w:rFonts w:ascii="Times New Roman" w:hAnsi="Times New Roman" w:eastAsia="宋体" w:cs="Times New Roman"/>
      <w:lang w:val="en-US" w:eastAsia="zh-CN" w:bidi="ar-SA"/>
    </w:rPr>
  </w:style>
  <w:style w:type="paragraph" w:customStyle="1" w:styleId="350">
    <w:name w:val="标题 11"/>
    <w:basedOn w:val="1"/>
    <w:next w:val="1"/>
    <w:qFormat/>
    <w:uiPriority w:val="0"/>
    <w:pPr>
      <w:keepNext/>
      <w:keepLines/>
      <w:spacing w:before="340" w:after="330" w:line="576" w:lineRule="auto"/>
      <w:outlineLvl w:val="0"/>
    </w:pPr>
    <w:rPr>
      <w:rFonts w:ascii="Calibri" w:hAnsi="Calibri"/>
      <w:b/>
      <w:sz w:val="44"/>
      <w:szCs w:val="24"/>
    </w:rPr>
  </w:style>
  <w:style w:type="paragraph" w:customStyle="1" w:styleId="351">
    <w:name w:val="标题 21"/>
    <w:basedOn w:val="1"/>
    <w:next w:val="1"/>
    <w:qFormat/>
    <w:uiPriority w:val="0"/>
    <w:pPr>
      <w:keepNext/>
      <w:keepLines/>
      <w:spacing w:before="260" w:after="260" w:line="413" w:lineRule="auto"/>
      <w:outlineLvl w:val="1"/>
    </w:pPr>
    <w:rPr>
      <w:rFonts w:ascii="Arial" w:hAnsi="Arial" w:eastAsia="黑体"/>
      <w:b/>
      <w:sz w:val="32"/>
      <w:szCs w:val="24"/>
    </w:rPr>
  </w:style>
  <w:style w:type="paragraph" w:customStyle="1" w:styleId="352">
    <w:name w:val="标题 31"/>
    <w:basedOn w:val="1"/>
    <w:next w:val="1"/>
    <w:qFormat/>
    <w:uiPriority w:val="0"/>
    <w:pPr>
      <w:keepNext/>
      <w:keepLines/>
      <w:spacing w:before="260" w:after="260" w:line="413" w:lineRule="auto"/>
      <w:outlineLvl w:val="2"/>
    </w:pPr>
    <w:rPr>
      <w:rFonts w:ascii="Calibri" w:hAnsi="Calibri"/>
      <w:b/>
      <w:sz w:val="32"/>
      <w:szCs w:val="24"/>
    </w:rPr>
  </w:style>
  <w:style w:type="paragraph" w:customStyle="1" w:styleId="353">
    <w:name w:val="标题 41"/>
    <w:basedOn w:val="1"/>
    <w:next w:val="1"/>
    <w:qFormat/>
    <w:uiPriority w:val="0"/>
    <w:pPr>
      <w:keepNext/>
      <w:keepLines/>
      <w:spacing w:before="280" w:after="290" w:line="372" w:lineRule="auto"/>
      <w:outlineLvl w:val="3"/>
    </w:pPr>
    <w:rPr>
      <w:rFonts w:ascii="Arial" w:hAnsi="Arial" w:eastAsia="黑体"/>
      <w:b/>
      <w:sz w:val="28"/>
      <w:szCs w:val="24"/>
    </w:rPr>
  </w:style>
  <w:style w:type="character" w:customStyle="1" w:styleId="354">
    <w:name w:val="默认段落字体1"/>
    <w:semiHidden/>
    <w:qFormat/>
    <w:uiPriority w:val="0"/>
  </w:style>
  <w:style w:type="table" w:customStyle="1" w:styleId="355">
    <w:name w:val="普通表格1"/>
    <w:semiHidden/>
    <w:qFormat/>
    <w:uiPriority w:val="0"/>
    <w:rPr>
      <w:rFonts w:ascii="Times New Roman" w:hAnsi="Times New Roman"/>
    </w:rPr>
    <w:tblPr>
      <w:tblCellMar>
        <w:top w:w="0" w:type="dxa"/>
        <w:left w:w="0" w:type="dxa"/>
        <w:bottom w:w="0" w:type="dxa"/>
        <w:right w:w="0" w:type="dxa"/>
      </w:tblCellMar>
    </w:tblPr>
  </w:style>
  <w:style w:type="paragraph" w:customStyle="1" w:styleId="356">
    <w:name w:val="页脚1"/>
    <w:basedOn w:val="1"/>
    <w:link w:val="357"/>
    <w:qFormat/>
    <w:uiPriority w:val="0"/>
    <w:pPr>
      <w:tabs>
        <w:tab w:val="center" w:pos="4153"/>
        <w:tab w:val="right" w:pos="8306"/>
      </w:tabs>
      <w:jc w:val="left"/>
    </w:pPr>
    <w:rPr>
      <w:rFonts w:ascii="Calibri" w:hAnsi="Calibri"/>
      <w:sz w:val="18"/>
      <w:szCs w:val="18"/>
    </w:rPr>
  </w:style>
  <w:style w:type="character" w:customStyle="1" w:styleId="357">
    <w:name w:val="页脚 Char"/>
    <w:link w:val="356"/>
    <w:qFormat/>
    <w:uiPriority w:val="0"/>
    <w:rPr>
      <w:sz w:val="18"/>
      <w:szCs w:val="18"/>
    </w:rPr>
  </w:style>
  <w:style w:type="paragraph" w:customStyle="1" w:styleId="358">
    <w:name w:val="页眉1"/>
    <w:basedOn w:val="1"/>
    <w:link w:val="359"/>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359">
    <w:name w:val="页眉 Char"/>
    <w:link w:val="358"/>
    <w:qFormat/>
    <w:uiPriority w:val="0"/>
    <w:rPr>
      <w:sz w:val="18"/>
      <w:szCs w:val="18"/>
    </w:rPr>
  </w:style>
  <w:style w:type="character" w:customStyle="1" w:styleId="360">
    <w:name w:val="font41"/>
    <w:basedOn w:val="50"/>
    <w:qFormat/>
    <w:uiPriority w:val="0"/>
    <w:rPr>
      <w:rFonts w:hint="eastAsia" w:ascii="宋体" w:hAnsi="宋体" w:eastAsia="宋体" w:cs="宋体"/>
      <w:color w:val="000000"/>
      <w:sz w:val="21"/>
      <w:szCs w:val="21"/>
      <w:u w:val="none"/>
    </w:rPr>
  </w:style>
  <w:style w:type="character" w:customStyle="1" w:styleId="361">
    <w:name w:val="font151"/>
    <w:basedOn w:val="50"/>
    <w:qFormat/>
    <w:uiPriority w:val="0"/>
    <w:rPr>
      <w:rFonts w:hint="eastAsia" w:ascii="宋体" w:hAnsi="宋体" w:eastAsia="宋体" w:cs="宋体"/>
      <w:i/>
      <w:iCs/>
      <w:color w:val="000000"/>
      <w:sz w:val="21"/>
      <w:szCs w:val="21"/>
      <w:u w:val="none"/>
    </w:rPr>
  </w:style>
  <w:style w:type="character" w:customStyle="1" w:styleId="362">
    <w:name w:val="font161"/>
    <w:basedOn w:val="50"/>
    <w:qFormat/>
    <w:uiPriority w:val="0"/>
    <w:rPr>
      <w:rFonts w:hint="eastAsia" w:ascii="宋体" w:hAnsi="宋体" w:eastAsia="宋体" w:cs="宋体"/>
      <w:color w:val="000000"/>
      <w:sz w:val="21"/>
      <w:szCs w:val="21"/>
      <w:u w:val="none"/>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73</Pages>
  <Words>50867</Words>
  <Characters>55117</Characters>
  <Lines>268</Lines>
  <Paragraphs>75</Paragraphs>
  <TotalTime>30</TotalTime>
  <ScaleCrop>false</ScaleCrop>
  <LinksUpToDate>false</LinksUpToDate>
  <CharactersWithSpaces>56724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2024-09-14T03:22:00Z</dcterms:created>
  <dc:creator>无锡市政府采购中心</dc:creator>
  <cp:lastModifiedBy>陈旻晔</cp:lastModifiedBy>
  <dcterms:modified xsi:type="dcterms:W3CDTF">2024-11-05T03:25:20Z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4B0C44F8797642A0A2F634A39636DF53_13</vt:lpwstr>
  </property>
</Properties>
</file>