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8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96"/>
        </w:rPr>
        <w:t xml:space="preserve">竞争性磋商文件</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52"/>
        </w:rPr>
        <w:t xml:space="preserve">（服务类）</w:t>
      </w:r>
      <w:r/>
    </w:p>
    <w:p>
      <w:pPr>
        <w:ind w:left="0" w:right="0" w:firstLine="1606"/>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1606"/>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1606"/>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项目名称：《南京市加氢站布局专项规划》编制 </w:t>
      </w:r>
      <w:r/>
    </w:p>
    <w:p>
      <w:pPr>
        <w:ind w:left="0" w:right="0" w:firstLine="1928"/>
        <w:jc w:val="both"/>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项目编号：QC-2024082239X</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FangSong" w:hAnsi="FangSong" w:eastAsia="FangSong" w:cs="FangSong"/>
          <w:b/>
          <w:color w:val="000000"/>
          <w:sz w:val="30"/>
        </w:rPr>
        <w:t xml:space="preserve">   </w:t>
      </w:r>
      <w:r>
        <w:rPr>
          <w:rFonts w:ascii="FangSong" w:hAnsi="FangSong" w:eastAsia="FangSong" w:cs="FangSong"/>
          <w:color w:val="000000"/>
          <w:sz w:val="21"/>
        </w:rPr>
        <w:t xml:space="preserve">  </w:t>
      </w:r>
      <w:r>
        <w:rPr>
          <w:rFonts w:ascii="FangSong" w:hAnsi="FangSong" w:eastAsia="FangSong" w:cs="FangSong"/>
          <w:b/>
          <w:color w:val="000000"/>
          <w:sz w:val="30"/>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107"/>
        <w:jc w:val="both"/>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采购人名称：南京市应急管理局</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采购代理机构：江苏柒采招标代理有限公司</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2024年11月</w:t>
      </w:r>
      <w:r/>
    </w:p>
    <w:p>
      <w:pPr>
        <w:ind w:left="0" w:right="0" w:firstLine="0"/>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目  录</w:t>
      </w:r>
      <w:r/>
    </w:p>
    <w:p>
      <w:pPr>
        <w:ind w:left="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343" w:history="1">
        <w:r>
          <w:rPr>
            <w:rStyle w:val="1005"/>
            <w:rFonts w:ascii="FangSong" w:hAnsi="FangSong" w:eastAsia="FangSong" w:cs="FangSong"/>
            <w:b/>
            <w:color w:val="000000"/>
            <w:sz w:val="18"/>
            <w:u w:val="single"/>
          </w:rPr>
          <w:t xml:space="preserve">第一章  磋商邀请</w:t>
          <w:tab/>
          <w:t xml:space="preserve">3</w:t>
        </w:r>
      </w:hyperlink>
      <w:r/>
      <w:r/>
    </w:p>
    <w:p>
      <w:pPr>
        <w:ind w:left="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 w:history="1">
        <w:r>
          <w:rPr>
            <w:rStyle w:val="1005"/>
            <w:rFonts w:ascii="FangSong" w:hAnsi="FangSong" w:eastAsia="FangSong" w:cs="FangSong"/>
            <w:b/>
            <w:color w:val="000000"/>
            <w:sz w:val="18"/>
            <w:u w:val="single"/>
          </w:rPr>
          <w:t xml:space="preserve">第二章  供应商须知</w:t>
          <w:tab/>
          <w:t xml:space="preserve">8</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984" w:history="1">
        <w:r>
          <w:rPr>
            <w:rStyle w:val="1005"/>
            <w:rFonts w:ascii="FangSong" w:hAnsi="FangSong" w:eastAsia="FangSong" w:cs="FangSong"/>
            <w:color w:val="000000"/>
            <w:sz w:val="18"/>
            <w:u w:val="single"/>
          </w:rPr>
          <w:t xml:space="preserve">供应商须知前附表</w:t>
          <w:tab/>
          <w:t xml:space="preserve">8</w:t>
        </w:r>
      </w:hyperlink>
      <w:r/>
      <w:r/>
    </w:p>
    <w:p>
      <w:pPr>
        <w:ind w:left="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105" w:history="1">
        <w:r>
          <w:rPr>
            <w:rStyle w:val="1005"/>
            <w:rFonts w:ascii="FangSong" w:hAnsi="FangSong" w:eastAsia="FangSong" w:cs="FangSong"/>
            <w:b/>
            <w:color w:val="000000"/>
            <w:sz w:val="18"/>
            <w:u w:val="single"/>
          </w:rPr>
          <w:t xml:space="preserve">第三章  合同文本（服务）</w:t>
          <w:tab/>
          <w:t xml:space="preserve">20</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9223" w:history="1">
        <w:r>
          <w:rPr>
            <w:rStyle w:val="1005"/>
            <w:rFonts w:ascii="FangSong" w:hAnsi="FangSong" w:eastAsia="FangSong" w:cs="FangSong"/>
            <w:color w:val="000000"/>
            <w:sz w:val="18"/>
            <w:u w:val="single"/>
          </w:rPr>
          <w:t xml:space="preserve">一、合同内容</w:t>
          <w:tab/>
          <w:t xml:space="preserve">20</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132" w:history="1">
        <w:r>
          <w:rPr>
            <w:rStyle w:val="1005"/>
            <w:rFonts w:ascii="FangSong" w:hAnsi="FangSong" w:eastAsia="FangSong" w:cs="FangSong"/>
            <w:color w:val="000000"/>
            <w:sz w:val="18"/>
            <w:u w:val="single"/>
          </w:rPr>
          <w:t xml:space="preserve">二、合同金额</w:t>
          <w:tab/>
          <w:t xml:space="preserve">20</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2195" w:history="1">
        <w:r>
          <w:rPr>
            <w:rStyle w:val="1005"/>
            <w:rFonts w:ascii="FangSong" w:hAnsi="FangSong" w:eastAsia="FangSong" w:cs="FangSong"/>
            <w:color w:val="000000"/>
            <w:sz w:val="18"/>
            <w:u w:val="single"/>
          </w:rPr>
          <w:t xml:space="preserve">三、技术资料</w:t>
          <w:tab/>
          <w:t xml:space="preserve">21</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7737" w:history="1">
        <w:r>
          <w:rPr>
            <w:rStyle w:val="1005"/>
            <w:rFonts w:ascii="FangSong" w:hAnsi="FangSong" w:eastAsia="FangSong" w:cs="FangSong"/>
            <w:color w:val="000000"/>
            <w:sz w:val="18"/>
            <w:u w:val="single"/>
          </w:rPr>
          <w:t xml:space="preserve">四、权利和义务</w:t>
          <w:tab/>
          <w:t xml:space="preserve">21</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20600" w:history="1">
        <w:r>
          <w:rPr>
            <w:rStyle w:val="1005"/>
            <w:rFonts w:ascii="FangSong" w:hAnsi="FangSong" w:eastAsia="FangSong" w:cs="FangSong"/>
            <w:color w:val="000000"/>
            <w:sz w:val="18"/>
            <w:u w:val="single"/>
          </w:rPr>
          <w:t xml:space="preserve">五、知识产权及产权担保</w:t>
          <w:tab/>
          <w:t xml:space="preserve">22</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0623" w:history="1">
        <w:r>
          <w:rPr>
            <w:rStyle w:val="1005"/>
            <w:rFonts w:ascii="FangSong" w:hAnsi="FangSong" w:eastAsia="FangSong" w:cs="FangSong"/>
            <w:color w:val="000000"/>
            <w:sz w:val="18"/>
            <w:u w:val="single"/>
          </w:rPr>
          <w:t xml:space="preserve">六、合同转包或分包</w:t>
          <w:tab/>
          <w:t xml:space="preserve">22</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5323" w:history="1">
        <w:r>
          <w:rPr>
            <w:rStyle w:val="1005"/>
            <w:rFonts w:ascii="FangSong" w:hAnsi="FangSong" w:eastAsia="FangSong" w:cs="FangSong"/>
            <w:color w:val="000000"/>
            <w:sz w:val="18"/>
            <w:u w:val="single"/>
          </w:rPr>
          <w:t xml:space="preserve">七、合同款项支付</w:t>
          <w:tab/>
          <w:t xml:space="preserve">22</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29427" w:history="1">
        <w:r>
          <w:rPr>
            <w:rStyle w:val="1005"/>
            <w:rFonts w:ascii="FangSong" w:hAnsi="FangSong" w:eastAsia="FangSong" w:cs="FangSong"/>
            <w:color w:val="000000"/>
            <w:sz w:val="18"/>
            <w:u w:val="single"/>
          </w:rPr>
          <w:t xml:space="preserve">八、项目验收</w:t>
          <w:tab/>
          <w:t xml:space="preserve">22</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1094" w:history="1">
        <w:r>
          <w:rPr>
            <w:rStyle w:val="1005"/>
            <w:rFonts w:ascii="FangSong" w:hAnsi="FangSong" w:eastAsia="FangSong" w:cs="FangSong"/>
            <w:color w:val="000000"/>
            <w:sz w:val="18"/>
            <w:u w:val="single"/>
          </w:rPr>
          <w:t xml:space="preserve">九、违约责任</w:t>
          <w:tab/>
          <w:t xml:space="preserve">23</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12442" w:history="1">
        <w:r>
          <w:rPr>
            <w:rStyle w:val="1005"/>
            <w:rFonts w:ascii="FangSong" w:hAnsi="FangSong" w:eastAsia="FangSong" w:cs="FangSong"/>
            <w:color w:val="000000"/>
            <w:sz w:val="18"/>
            <w:u w:val="single"/>
          </w:rPr>
          <w:t xml:space="preserve">十、不可抗力事件处理</w:t>
          <w:tab/>
          <w:t xml:space="preserve">24</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32562" w:history="1">
        <w:r>
          <w:rPr>
            <w:rStyle w:val="1005"/>
            <w:rFonts w:ascii="FangSong" w:hAnsi="FangSong" w:eastAsia="FangSong" w:cs="FangSong"/>
            <w:color w:val="000000"/>
            <w:sz w:val="18"/>
            <w:u w:val="single"/>
          </w:rPr>
          <w:t xml:space="preserve">十一、诉讼</w:t>
          <w:tab/>
          <w:t xml:space="preserve">24</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31534" w:history="1">
        <w:r>
          <w:rPr>
            <w:rStyle w:val="1005"/>
            <w:rFonts w:ascii="FangSong" w:hAnsi="FangSong" w:eastAsia="FangSong" w:cs="FangSong"/>
            <w:color w:val="000000"/>
            <w:sz w:val="18"/>
            <w:u w:val="single"/>
          </w:rPr>
          <w:t xml:space="preserve">十二、组成本合同的文件</w:t>
          <w:tab/>
          <w:t xml:space="preserve">24</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1823" w:history="1">
        <w:r>
          <w:rPr>
            <w:rStyle w:val="1005"/>
            <w:rFonts w:ascii="FangSong" w:hAnsi="FangSong" w:eastAsia="FangSong" w:cs="FangSong"/>
            <w:color w:val="000000"/>
            <w:sz w:val="18"/>
            <w:u w:val="single"/>
          </w:rPr>
          <w:t xml:space="preserve">十三、合同生效及其它</w:t>
          <w:tab/>
          <w:t xml:space="preserve">25</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1823" w:history="1">
        <w:r>
          <w:rPr>
            <w:rStyle w:val="1005"/>
            <w:rFonts w:ascii="FangSong" w:hAnsi="FangSong" w:eastAsia="FangSong" w:cs="FangSong"/>
            <w:color w:val="000000"/>
            <w:sz w:val="18"/>
            <w:u w:val="single"/>
          </w:rPr>
          <w:t xml:space="preserve">十四、其它</w:t>
          <w:tab/>
          <w:t xml:space="preserve">25</w:t>
        </w:r>
      </w:hyperlink>
      <w:r/>
      <w:r/>
    </w:p>
    <w:p>
      <w:pPr>
        <w:ind w:left="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32272" w:history="1">
        <w:r>
          <w:rPr>
            <w:rStyle w:val="1005"/>
            <w:rFonts w:ascii="FangSong" w:hAnsi="FangSong" w:eastAsia="FangSong" w:cs="FangSong"/>
            <w:b/>
            <w:color w:val="000000"/>
            <w:sz w:val="18"/>
            <w:u w:val="single"/>
          </w:rPr>
          <w:t xml:space="preserve">第四章 项目需求</w:t>
          <w:tab/>
          <w:t xml:space="preserve">27</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_Toc14752" w:history="1">
        <w:r>
          <w:rPr>
            <w:rStyle w:val="1005"/>
            <w:rFonts w:ascii="FangSong" w:hAnsi="FangSong" w:eastAsia="FangSong" w:cs="FangSong"/>
            <w:color w:val="000000"/>
            <w:sz w:val="18"/>
            <w:u w:val="single"/>
          </w:rPr>
          <w:t xml:space="preserve">一、项目概况</w:t>
          <w:tab/>
          <w:t xml:space="preserve">27</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_Toc5048" w:history="1">
        <w:r>
          <w:rPr>
            <w:rStyle w:val="1005"/>
            <w:rFonts w:ascii="FangSong" w:hAnsi="FangSong" w:eastAsia="FangSong" w:cs="FangSong"/>
            <w:color w:val="000000"/>
            <w:sz w:val="18"/>
            <w:u w:val="single"/>
          </w:rPr>
          <w:t xml:space="preserve">二、项目范围</w:t>
          <w:tab/>
          <w:t xml:space="preserve">27</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21834" w:history="1">
        <w:r>
          <w:rPr>
            <w:rStyle w:val="1005"/>
            <w:rFonts w:ascii="FangSong" w:hAnsi="FangSong" w:eastAsia="FangSong" w:cs="FangSong"/>
            <w:color w:val="000000"/>
            <w:sz w:val="18"/>
            <w:u w:val="single"/>
          </w:rPr>
          <w:t xml:space="preserve">三、项目目标</w:t>
          <w:tab/>
          <w:t xml:space="preserve">27</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32378" w:history="1">
        <w:r>
          <w:rPr>
            <w:rStyle w:val="1005"/>
            <w:rFonts w:ascii="FangSong" w:hAnsi="FangSong" w:eastAsia="FangSong" w:cs="FangSong"/>
            <w:color w:val="000000"/>
            <w:sz w:val="18"/>
            <w:u w:val="single"/>
          </w:rPr>
          <w:t xml:space="preserve">四、成果主要内容</w:t>
          <w:tab/>
          <w:t xml:space="preserve">27</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_Toc24807" w:history="1">
        <w:r>
          <w:rPr>
            <w:rStyle w:val="1005"/>
            <w:rFonts w:ascii="FangSong" w:hAnsi="FangSong" w:eastAsia="FangSong" w:cs="FangSong"/>
            <w:color w:val="000000"/>
            <w:sz w:val="18"/>
            <w:u w:val="single"/>
          </w:rPr>
          <w:t xml:space="preserve">五、计划安排</w:t>
          <w:tab/>
          <w:t xml:space="preserve">29</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_Toc26774" w:history="1">
        <w:r>
          <w:rPr>
            <w:rStyle w:val="1005"/>
            <w:rFonts w:ascii="FangSong" w:hAnsi="FangSong" w:eastAsia="FangSong" w:cs="FangSong"/>
            <w:color w:val="000000"/>
            <w:sz w:val="18"/>
            <w:u w:val="single"/>
          </w:rPr>
          <w:t xml:space="preserve">六、成果形成</w:t>
          <w:tab/>
          <w:t xml:space="preserve">30</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36" w:tooltip="http://jszfcg.jsczt.cn/jszc/onlyoffice/7.2.1-34/web-apps/apps/documenteditor/main/index_loader.html?_dc=7.2.1-34&amp;lang=zh&amp;customer=%20&amp;logo=%20&amp;headerlogo=%2Ffavicon.ico&amp;frameEditorId=iframePage&amp;compact=true&amp;parentOrigin=http://jszfcg.jsczt.cn#_Toc10706" w:history="1">
        <w:r>
          <w:rPr>
            <w:rStyle w:val="1005"/>
            <w:rFonts w:ascii="FangSong" w:hAnsi="FangSong" w:eastAsia="FangSong" w:cs="FangSong"/>
            <w:color w:val="000000"/>
            <w:sz w:val="18"/>
            <w:u w:val="single"/>
          </w:rPr>
          <w:t xml:space="preserve">七、付款方式</w:t>
          <w:tab/>
          <w:t xml:space="preserve">30</w:t>
        </w:r>
      </w:hyperlink>
      <w:r/>
      <w:r/>
    </w:p>
    <w:p>
      <w:pPr>
        <w:ind w:left="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37" w:tooltip="http://jszfcg.jsczt.cn/jszc/onlyoffice/7.2.1-34/web-apps/apps/documenteditor/main/index_loader.html?_dc=7.2.1-34&amp;lang=zh&amp;customer=%20&amp;logo=%20&amp;headerlogo=%2Ffavicon.ico&amp;frameEditorId=iframePage&amp;compact=true&amp;parentOrigin=http://jszfcg.jsczt.cn#_Toc6657" w:history="1">
        <w:r>
          <w:rPr>
            <w:rStyle w:val="1005"/>
            <w:rFonts w:ascii="FangSong" w:hAnsi="FangSong" w:eastAsia="FangSong" w:cs="FangSong"/>
            <w:b/>
            <w:color w:val="000000"/>
            <w:sz w:val="18"/>
            <w:u w:val="single"/>
          </w:rPr>
          <w:t xml:space="preserve">第五章  评审方法与评审标准</w:t>
          <w:tab/>
          <w:t xml:space="preserve">31</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38" w:tooltip="http://jszfcg.jsczt.cn/jszc/onlyoffice/7.2.1-34/web-apps/apps/documenteditor/main/index_loader.html?_dc=7.2.1-34&amp;lang=zh&amp;customer=%20&amp;logo=%20&amp;headerlogo=%2Ffavicon.ico&amp;frameEditorId=iframePage&amp;compact=true&amp;parentOrigin=http://jszfcg.jsczt.cn#_Toc16687" w:history="1">
        <w:r>
          <w:rPr>
            <w:rStyle w:val="1005"/>
            <w:rFonts w:ascii="FangSong" w:hAnsi="FangSong" w:eastAsia="FangSong" w:cs="FangSong"/>
            <w:color w:val="000000"/>
            <w:sz w:val="18"/>
            <w:u w:val="single"/>
          </w:rPr>
          <w:t xml:space="preserve">一、定标办法</w:t>
          <w:tab/>
          <w:t xml:space="preserve">31</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39" w:tooltip="http://jszfcg.jsczt.cn/jszc/onlyoffice/7.2.1-34/web-apps/apps/documenteditor/main/index_loader.html?_dc=7.2.1-34&amp;lang=zh&amp;customer=%20&amp;logo=%20&amp;headerlogo=%2Ffavicon.ico&amp;frameEditorId=iframePage&amp;compact=true&amp;parentOrigin=http://jszfcg.jsczt.cn#_Toc19355" w:history="1">
        <w:r>
          <w:rPr>
            <w:rStyle w:val="1005"/>
            <w:rFonts w:ascii="FangSong" w:hAnsi="FangSong" w:eastAsia="FangSong" w:cs="FangSong"/>
            <w:color w:val="000000"/>
            <w:sz w:val="18"/>
            <w:u w:val="single"/>
          </w:rPr>
          <w:t xml:space="preserve">二、政府采购政策功能落实</w:t>
          <w:tab/>
          <w:t xml:space="preserve">31</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40" w:tooltip="http://jszfcg.jsczt.cn/jszc/onlyoffice/7.2.1-34/web-apps/apps/documenteditor/main/index_loader.html?_dc=7.2.1-34&amp;lang=zh&amp;customer=%20&amp;logo=%20&amp;headerlogo=%2Ffavicon.ico&amp;frameEditorId=iframePage&amp;compact=true&amp;parentOrigin=http://jszfcg.jsczt.cn#_Toc24548" w:history="1">
        <w:r>
          <w:rPr>
            <w:rStyle w:val="1005"/>
            <w:rFonts w:ascii="FangSong" w:hAnsi="FangSong" w:eastAsia="FangSong" w:cs="FangSong"/>
            <w:color w:val="000000"/>
            <w:sz w:val="18"/>
            <w:u w:val="single"/>
          </w:rPr>
          <w:t xml:space="preserve">三、评审办法和评审标准</w:t>
          <w:tab/>
          <w:t xml:space="preserve">32</w:t>
        </w:r>
      </w:hyperlink>
      <w:r/>
      <w:r/>
    </w:p>
    <w:p>
      <w:pPr>
        <w:ind w:left="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41" w:tooltip="http://jszfcg.jsczt.cn/jszc/onlyoffice/7.2.1-34/web-apps/apps/documenteditor/main/index_loader.html?_dc=7.2.1-34&amp;lang=zh&amp;customer=%20&amp;logo=%20&amp;headerlogo=%2Ffavicon.ico&amp;frameEditorId=iframePage&amp;compact=true&amp;parentOrigin=http://jszfcg.jsczt.cn#_Toc11792" w:history="1">
        <w:r>
          <w:rPr>
            <w:rStyle w:val="1005"/>
            <w:rFonts w:ascii="FangSong" w:hAnsi="FangSong" w:eastAsia="FangSong" w:cs="FangSong"/>
            <w:b/>
            <w:color w:val="000000"/>
            <w:sz w:val="18"/>
            <w:u w:val="single"/>
          </w:rPr>
          <w:t xml:space="preserve">第六章  响应文件格式</w:t>
          <w:tab/>
          <w:t xml:space="preserve">37</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42" w:tooltip="http://jszfcg.jsczt.cn/jszc/onlyoffice/7.2.1-34/web-apps/apps/documenteditor/main/index_loader.html?_dc=7.2.1-34&amp;lang=zh&amp;customer=%20&amp;logo=%20&amp;headerlogo=%2Ffavicon.ico&amp;frameEditorId=iframePage&amp;compact=true&amp;parentOrigin=http://jszfcg.jsczt.cn#_Toc29029" w:history="1">
        <w:r>
          <w:rPr>
            <w:rStyle w:val="1005"/>
            <w:rFonts w:ascii="FangSong" w:hAnsi="FangSong" w:eastAsia="FangSong" w:cs="FangSong"/>
            <w:i/>
            <w:color w:val="000000"/>
            <w:sz w:val="18"/>
            <w:u w:val="single"/>
          </w:rPr>
          <w:t xml:space="preserve">资格证明文件（第一项-第七项）</w:t>
        </w:r>
        <w:r>
          <w:rPr>
            <w:rStyle w:val="1005"/>
            <w:rFonts w:ascii="FangSong" w:hAnsi="FangSong" w:eastAsia="FangSong" w:cs="FangSong"/>
            <w:color w:val="000000"/>
            <w:sz w:val="18"/>
            <w:u w:val="single"/>
          </w:rPr>
          <w:tab/>
          <w:t xml:space="preserve">40</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43" w:tooltip="http://jszfcg.jsczt.cn/jszc/onlyoffice/7.2.1-34/web-apps/apps/documenteditor/main/index_loader.html?_dc=7.2.1-34&amp;lang=zh&amp;customer=%20&amp;logo=%20&amp;headerlogo=%2Ffavicon.ico&amp;frameEditorId=iframePage&amp;compact=true&amp;parentOrigin=http://jszfcg.jsczt.cn#_Toc28934" w:history="1">
        <w:r>
          <w:rPr>
            <w:rStyle w:val="1005"/>
            <w:rFonts w:ascii="FangSong" w:hAnsi="FangSong" w:eastAsia="FangSong" w:cs="FangSong"/>
            <w:color w:val="000000"/>
            <w:sz w:val="18"/>
            <w:u w:val="single"/>
          </w:rPr>
          <w:t xml:space="preserve">一、法人或其他组织的营业执照等证明文件，自然人的身份证明</w:t>
          <w:tab/>
          <w:t xml:space="preserve">40</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44" w:tooltip="http://jszfcg.jsczt.cn/jszc/onlyoffice/7.2.1-34/web-apps/apps/documenteditor/main/index_loader.html?_dc=7.2.1-34&amp;lang=zh&amp;customer=%20&amp;logo=%20&amp;headerlogo=%2Ffavicon.ico&amp;frameEditorId=iframePage&amp;compact=true&amp;parentOrigin=http://jszfcg.jsczt.cn#_Toc23479" w:history="1">
        <w:r>
          <w:rPr>
            <w:rStyle w:val="1005"/>
            <w:rFonts w:ascii="FangSong" w:hAnsi="FangSong" w:eastAsia="FangSong" w:cs="FangSong"/>
            <w:color w:val="000000"/>
            <w:sz w:val="18"/>
            <w:u w:val="single"/>
          </w:rPr>
          <w:t xml:space="preserve">二、响应文件截止时间前一年的财务状况报告或银行出具的资信证明或其他会计报表等</w:t>
          <w:tab/>
          <w:t xml:space="preserve">40</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45" w:tooltip="http://jszfcg.jsczt.cn/jszc/onlyoffice/7.2.1-34/web-apps/apps/documenteditor/main/index_loader.html?_dc=7.2.1-34&amp;lang=zh&amp;customer=%20&amp;logo=%20&amp;headerlogo=%2Ffavicon.ico&amp;frameEditorId=iframePage&amp;compact=true&amp;parentOrigin=http://jszfcg.jsczt.cn#_Toc19352" w:history="1">
        <w:r>
          <w:rPr>
            <w:rStyle w:val="1005"/>
            <w:rFonts w:ascii="FangSong" w:hAnsi="FangSong" w:eastAsia="FangSong" w:cs="FangSong"/>
            <w:color w:val="000000"/>
            <w:sz w:val="18"/>
            <w:u w:val="single"/>
          </w:rPr>
          <w:t xml:space="preserve">三、依法缴纳税收和社会保障资金的相关材料</w:t>
          <w:tab/>
          <w:t xml:space="preserve">40</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46" w:tooltip="http://jszfcg.jsczt.cn/jszc/onlyoffice/7.2.1-34/web-apps/apps/documenteditor/main/index_loader.html?_dc=7.2.1-34&amp;lang=zh&amp;customer=%20&amp;logo=%20&amp;headerlogo=%2Ffavicon.ico&amp;frameEditorId=iframePage&amp;compact=true&amp;parentOrigin=http://jszfcg.jsczt.cn#_Toc26117" w:history="1">
        <w:r>
          <w:rPr>
            <w:rStyle w:val="1005"/>
            <w:rFonts w:ascii="FangSong" w:hAnsi="FangSong" w:eastAsia="FangSong" w:cs="FangSong"/>
            <w:color w:val="000000"/>
            <w:sz w:val="18"/>
            <w:u w:val="single"/>
          </w:rPr>
          <w:t xml:space="preserve">四、具备履行合同所必需的设备和专业技术能力的书面声明</w:t>
          <w:tab/>
          <w:t xml:space="preserve">41</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47" w:tooltip="http://jszfcg.jsczt.cn/jszc/onlyoffice/7.2.1-34/web-apps/apps/documenteditor/main/index_loader.html?_dc=7.2.1-34&amp;lang=zh&amp;customer=%20&amp;logo=%20&amp;headerlogo=%2Ffavicon.ico&amp;frameEditorId=iframePage&amp;compact=true&amp;parentOrigin=http://jszfcg.jsczt.cn#_Toc10947" w:history="1">
        <w:r>
          <w:rPr>
            <w:rStyle w:val="1005"/>
            <w:rFonts w:ascii="FangSong" w:hAnsi="FangSong" w:eastAsia="FangSong" w:cs="FangSong"/>
            <w:color w:val="000000"/>
            <w:sz w:val="18"/>
            <w:u w:val="single"/>
          </w:rPr>
          <w:t xml:space="preserve">五、参加政府采购活动前3年内在经营活动中没有重大违法记录的书面声明</w:t>
          <w:tab/>
          <w:t xml:space="preserve">41</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48" w:tooltip="http://jszfcg.jsczt.cn/jszc/onlyoffice/7.2.1-34/web-apps/apps/documenteditor/main/index_loader.html?_dc=7.2.1-34&amp;lang=zh&amp;customer=%20&amp;logo=%20&amp;headerlogo=%2Ffavicon.ico&amp;frameEditorId=iframePage&amp;compact=true&amp;parentOrigin=http://jszfcg.jsczt.cn#_Toc27118" w:history="1">
        <w:r>
          <w:rPr>
            <w:rStyle w:val="1005"/>
            <w:rFonts w:ascii="FangSong" w:hAnsi="FangSong" w:eastAsia="FangSong" w:cs="FangSong"/>
            <w:color w:val="000000"/>
            <w:sz w:val="18"/>
            <w:u w:val="single"/>
          </w:rPr>
          <w:t xml:space="preserve">六、特定资格要求的证明文件</w:t>
          <w:tab/>
          <w:t xml:space="preserve">42</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49" w:tooltip="http://jszfcg.jsczt.cn/jszc/onlyoffice/7.2.1-34/web-apps/apps/documenteditor/main/index_loader.html?_dc=7.2.1-34&amp;lang=zh&amp;customer=%20&amp;logo=%20&amp;headerlogo=%2Ffavicon.ico&amp;frameEditorId=iframePage&amp;compact=true&amp;parentOrigin=http://jszfcg.jsczt.cn#_Toc26604" w:history="1">
        <w:r>
          <w:rPr>
            <w:rStyle w:val="1005"/>
            <w:rFonts w:ascii="FangSong" w:hAnsi="FangSong" w:eastAsia="FangSong" w:cs="FangSong"/>
            <w:color w:val="000000"/>
            <w:sz w:val="18"/>
            <w:u w:val="single"/>
          </w:rPr>
          <w:t xml:space="preserve">七、承诺函</w:t>
          <w:tab/>
          <w:t xml:space="preserve">42</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50" w:tooltip="http://jszfcg.jsczt.cn/jszc/onlyoffice/7.2.1-34/web-apps/apps/documenteditor/main/index_loader.html?_dc=7.2.1-34&amp;lang=zh&amp;customer=%20&amp;logo=%20&amp;headerlogo=%2Ffavicon.ico&amp;frameEditorId=iframePage&amp;compact=true&amp;parentOrigin=http://jszfcg.jsczt.cn#_Toc20577" w:history="1">
        <w:r>
          <w:rPr>
            <w:rStyle w:val="1005"/>
            <w:rFonts w:ascii="FangSong" w:hAnsi="FangSong" w:eastAsia="FangSong" w:cs="FangSong"/>
            <w:color w:val="000000"/>
            <w:sz w:val="18"/>
            <w:u w:val="single"/>
          </w:rPr>
          <w:t xml:space="preserve">八、法人授权书</w:t>
          <w:tab/>
          <w:t xml:space="preserve">43</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51" w:tooltip="http://jszfcg.jsczt.cn/jszc/onlyoffice/7.2.1-34/web-apps/apps/documenteditor/main/index_loader.html?_dc=7.2.1-34&amp;lang=zh&amp;customer=%20&amp;logo=%20&amp;headerlogo=%2Ffavicon.ico&amp;frameEditorId=iframePage&amp;compact=true&amp;parentOrigin=http://jszfcg.jsczt.cn#_Toc28902" w:history="1">
        <w:r>
          <w:rPr>
            <w:rStyle w:val="1005"/>
            <w:rFonts w:ascii="FangSong" w:hAnsi="FangSong" w:eastAsia="FangSong" w:cs="FangSong"/>
            <w:color w:val="000000"/>
            <w:sz w:val="18"/>
            <w:u w:val="single"/>
          </w:rPr>
          <w:t xml:space="preserve">九、响应函</w:t>
          <w:tab/>
          <w:t xml:space="preserve">44</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52" w:tooltip="http://jszfcg.jsczt.cn/jszc/onlyoffice/7.2.1-34/web-apps/apps/documenteditor/main/index_loader.html?_dc=7.2.1-34&amp;lang=zh&amp;customer=%20&amp;logo=%20&amp;headerlogo=%2Ffavicon.ico&amp;frameEditorId=iframePage&amp;compact=true&amp;parentOrigin=http://jszfcg.jsczt.cn#_Toc15898" w:history="1">
        <w:r>
          <w:rPr>
            <w:rStyle w:val="1005"/>
            <w:rFonts w:ascii="FangSong" w:hAnsi="FangSong" w:eastAsia="FangSong" w:cs="FangSong"/>
            <w:color w:val="000000"/>
            <w:sz w:val="18"/>
            <w:u w:val="single"/>
          </w:rPr>
          <w:t xml:space="preserve">十、小微企业声明函（服务）</w:t>
          <w:tab/>
          <w:t xml:space="preserve">45</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53" w:tooltip="http://jszfcg.jsczt.cn/jszc/onlyoffice/7.2.1-34/web-apps/apps/documenteditor/main/index_loader.html?_dc=7.2.1-34&amp;lang=zh&amp;customer=%20&amp;logo=%20&amp;headerlogo=%2Ffavicon.ico&amp;frameEditorId=iframePage&amp;compact=true&amp;parentOrigin=http://jszfcg.jsczt.cn#_Toc21734" w:history="1">
        <w:r>
          <w:rPr>
            <w:rStyle w:val="1005"/>
            <w:rFonts w:ascii="FangSong" w:hAnsi="FangSong" w:eastAsia="FangSong" w:cs="FangSong"/>
            <w:color w:val="000000"/>
            <w:sz w:val="18"/>
            <w:u w:val="single"/>
          </w:rPr>
          <w:t xml:space="preserve">十一、残疾人福利性单位声明函</w:t>
          <w:tab/>
          <w:t xml:space="preserve">46</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54" w:tooltip="http://jszfcg.jsczt.cn/jszc/onlyoffice/7.2.1-34/web-apps/apps/documenteditor/main/index_loader.html?_dc=7.2.1-34&amp;lang=zh&amp;customer=%20&amp;logo=%20&amp;headerlogo=%2Ffavicon.ico&amp;frameEditorId=iframePage&amp;compact=true&amp;parentOrigin=http://jszfcg.jsczt.cn#_Toc13627" w:history="1">
        <w:r>
          <w:rPr>
            <w:rStyle w:val="1005"/>
            <w:rFonts w:ascii="FangSong" w:hAnsi="FangSong" w:eastAsia="FangSong" w:cs="FangSong"/>
            <w:color w:val="000000"/>
            <w:sz w:val="18"/>
            <w:u w:val="single"/>
          </w:rPr>
          <w:t xml:space="preserve">十二、监狱企业声明函</w:t>
          <w:tab/>
          <w:t xml:space="preserve">47</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55" w:tooltip="http://jszfcg.jsczt.cn/jszc/onlyoffice/7.2.1-34/web-apps/apps/documenteditor/main/index_loader.html?_dc=7.2.1-34&amp;lang=zh&amp;customer=%20&amp;logo=%20&amp;headerlogo=%2Ffavicon.ico&amp;frameEditorId=iframePage&amp;compact=true&amp;parentOrigin=http://jszfcg.jsczt.cn#_Toc1597" w:history="1">
        <w:r>
          <w:rPr>
            <w:rStyle w:val="1005"/>
            <w:rFonts w:ascii="FangSong" w:hAnsi="FangSong" w:eastAsia="FangSong" w:cs="FangSong"/>
            <w:color w:val="000000"/>
            <w:sz w:val="18"/>
            <w:u w:val="single"/>
          </w:rPr>
          <w:t xml:space="preserve">十三、报价表</w:t>
          <w:tab/>
          <w:t xml:space="preserve">48</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56" w:tooltip="http://jszfcg.jsczt.cn/jszc/onlyoffice/7.2.1-34/web-apps/apps/documenteditor/main/index_loader.html?_dc=7.2.1-34&amp;lang=zh&amp;customer=%20&amp;logo=%20&amp;headerlogo=%2Ffavicon.ico&amp;frameEditorId=iframePage&amp;compact=true&amp;parentOrigin=http://jszfcg.jsczt.cn#_Toc23715" w:history="1">
        <w:r>
          <w:rPr>
            <w:rStyle w:val="1005"/>
            <w:rFonts w:ascii="FangSong" w:hAnsi="FangSong" w:eastAsia="FangSong" w:cs="FangSong"/>
            <w:color w:val="000000"/>
            <w:sz w:val="18"/>
            <w:u w:val="single"/>
          </w:rPr>
          <w:t xml:space="preserve">十四、分项报价表</w:t>
          <w:tab/>
          <w:t xml:space="preserve">49</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57" w:tooltip="http://jszfcg.jsczt.cn/jszc/onlyoffice/7.2.1-34/web-apps/apps/documenteditor/main/index_loader.html?_dc=7.2.1-34&amp;lang=zh&amp;customer=%20&amp;logo=%20&amp;headerlogo=%2Ffavicon.ico&amp;frameEditorId=iframePage&amp;compact=true&amp;parentOrigin=http://jszfcg.jsczt.cn#_Toc24283" w:history="1">
        <w:r>
          <w:rPr>
            <w:rStyle w:val="1005"/>
            <w:rFonts w:ascii="FangSong" w:hAnsi="FangSong" w:eastAsia="FangSong" w:cs="FangSong"/>
            <w:color w:val="000000"/>
            <w:sz w:val="18"/>
            <w:u w:val="single"/>
          </w:rPr>
          <w:t xml:space="preserve">十五、技术要求响应及偏离表</w:t>
          <w:tab/>
          <w:t xml:space="preserve">50</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58" w:tooltip="http://jszfcg.jsczt.cn/jszc/onlyoffice/7.2.1-34/web-apps/apps/documenteditor/main/index_loader.html?_dc=7.2.1-34&amp;lang=zh&amp;customer=%20&amp;logo=%20&amp;headerlogo=%2Ffavicon.ico&amp;frameEditorId=iframePage&amp;compact=true&amp;parentOrigin=http://jszfcg.jsczt.cn#_Toc25317" w:history="1">
        <w:r>
          <w:rPr>
            <w:rStyle w:val="1005"/>
            <w:rFonts w:ascii="FangSong" w:hAnsi="FangSong" w:eastAsia="FangSong" w:cs="FangSong"/>
            <w:color w:val="000000"/>
            <w:sz w:val="18"/>
            <w:u w:val="single"/>
          </w:rPr>
          <w:t xml:space="preserve">十六、商务要求响应及偏离表</w:t>
          <w:tab/>
          <w:t xml:space="preserve">50</w:t>
        </w:r>
      </w:hyperlink>
      <w:r/>
      <w:r/>
    </w:p>
    <w:p>
      <w:pPr>
        <w:ind w:left="210" w:right="0" w:firstLine="0"/>
        <w:spacing w:before="0" w:after="0" w:line="269" w:lineRule="atLeast"/>
        <w:tabs>
          <w:tab w:val="left" w:pos="9746" w:leader="none"/>
        </w:tabs>
        <w:pBdr>
          <w:top w:val="none" w:color="000000" w:sz="4" w:space="0"/>
          <w:left w:val="none" w:color="000000" w:sz="4" w:space="0"/>
          <w:bottom w:val="none" w:color="000000" w:sz="4" w:space="0"/>
          <w:right w:val="none" w:color="000000" w:sz="4" w:space="0"/>
        </w:pBdr>
      </w:pPr>
      <w:r/>
      <w:hyperlink r:id="rId59" w:tooltip="http://jszfcg.jsczt.cn/jszc/onlyoffice/7.2.1-34/web-apps/apps/documenteditor/main/index_loader.html?_dc=7.2.1-34&amp;lang=zh&amp;customer=%20&amp;logo=%20&amp;headerlogo=%2Ffavicon.ico&amp;frameEditorId=iframePage&amp;compact=true&amp;parentOrigin=http://jszfcg.jsczt.cn#_Toc9697" w:history="1">
        <w:r>
          <w:rPr>
            <w:rStyle w:val="1005"/>
            <w:rFonts w:ascii="FangSong" w:hAnsi="FangSong" w:eastAsia="FangSong" w:cs="FangSong"/>
            <w:color w:val="000000"/>
            <w:sz w:val="18"/>
            <w:u w:val="single"/>
          </w:rPr>
          <w:t xml:space="preserve">十七、其他证明文件</w:t>
          <w:tab/>
          <w:t xml:space="preserve">51</w:t>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 </w:t>
      </w:r>
      <w:r/>
    </w:p>
    <w:p>
      <w:pPr>
        <w:pStyle w:val="773"/>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第一章  磋商邀请</w:t>
      </w:r>
      <w:r/>
    </w:p>
    <w:p>
      <w:pPr>
        <w:ind w:left="0" w:right="0" w:firstLine="480"/>
        <w:spacing w:before="120" w:after="12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受</w:t>
      </w:r>
      <w:r>
        <w:rPr>
          <w:rFonts w:ascii="FangSong" w:hAnsi="FangSong" w:eastAsia="FangSong" w:cs="FangSong"/>
          <w:b/>
          <w:color w:val="000000"/>
          <w:sz w:val="24"/>
        </w:rPr>
        <w:t xml:space="preserve">南京市应急管理局</w:t>
      </w:r>
      <w:r>
        <w:rPr>
          <w:rFonts w:ascii="FangSong" w:hAnsi="FangSong" w:eastAsia="FangSong" w:cs="FangSong"/>
          <w:color w:val="000000"/>
          <w:sz w:val="24"/>
        </w:rPr>
        <w:t xml:space="preserve">的委托，江苏柒采招标代理有限公司就</w:t>
      </w:r>
      <w:r>
        <w:rPr>
          <w:rFonts w:ascii="FangSong" w:hAnsi="FangSong" w:eastAsia="FangSong" w:cs="FangSong"/>
          <w:b/>
          <w:color w:val="000000"/>
          <w:sz w:val="24"/>
        </w:rPr>
        <w:t xml:space="preserve">《南京市加氢站布局专项规划》编制 </w:t>
      </w:r>
      <w:r>
        <w:rPr>
          <w:rFonts w:ascii="FangSong" w:hAnsi="FangSong" w:eastAsia="FangSong" w:cs="FangSong"/>
          <w:color w:val="000000"/>
          <w:sz w:val="24"/>
        </w:rPr>
        <w:t xml:space="preserve">（项目编号：QC-2024082239X）项目实施政府采购，本次采购采用竞争性磋商方式，欢迎符合条件的供应商参加磋商。</w:t>
      </w:r>
      <w:r/>
    </w:p>
    <w:p>
      <w:pPr>
        <w:ind w:left="0" w:right="0" w:firstLine="482"/>
        <w:jc w:val="both"/>
        <w:spacing w:before="0" w:after="0" w:line="570"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b/>
          <w:color w:val="000000"/>
          <w:sz w:val="24"/>
        </w:rPr>
        <w:t xml:space="preserve">项目概况</w:t>
      </w:r>
      <w:r/>
    </w:p>
    <w:p>
      <w:pPr>
        <w:ind w:left="0" w:right="0" w:firstLine="480"/>
        <w:jc w:val="both"/>
        <w:spacing w:before="0" w:after="0" w:line="570"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rPr>
        <w:t xml:space="preserve">《南京市加氢站布局专项规划》编制的潜在供应商应在南京市建邺区奥体大街68号新城科技园国际研发总部园3栋6楼（或采用邮寄方式）获取磋商文件，并于2024年11月26日09时30分（北京时间）前递交响应文件。</w:t>
      </w:r>
      <w:r/>
    </w:p>
    <w:p>
      <w:pPr>
        <w:pStyle w:val="777"/>
        <w:ind w:left="0" w:right="0" w:firstLine="436"/>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一、项目基本情况</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1.项目编号：QC-2024082239X</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2.项目名称：《南京市加氢站布局专项规划》编制 </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3.采购方式：竞争性磋商</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4.预算金额：人民币</w:t>
      </w:r>
      <w:r>
        <w:rPr>
          <w:rFonts w:ascii="FangSong" w:hAnsi="FangSong" w:eastAsia="FangSong" w:cs="FangSong"/>
          <w:b/>
          <w:color w:val="000000"/>
          <w:sz w:val="24"/>
          <w:u w:val="single"/>
        </w:rPr>
        <w:t xml:space="preserve">壹佰万元</w:t>
      </w:r>
      <w:r>
        <w:rPr>
          <w:rFonts w:ascii="FangSong" w:hAnsi="FangSong" w:eastAsia="FangSong" w:cs="FangSong"/>
          <w:color w:val="000000"/>
          <w:sz w:val="24"/>
        </w:rPr>
        <w:t xml:space="preserve">整（</w:t>
      </w:r>
      <w:r>
        <w:rPr>
          <w:rFonts w:ascii="Arial" w:hAnsi="Arial" w:eastAsia="Arial" w:cs="Arial"/>
          <w:color w:val="000000"/>
          <w:sz w:val="24"/>
        </w:rPr>
        <w:t xml:space="preserve">¥ </w:t>
      </w:r>
      <w:r>
        <w:rPr>
          <w:rFonts w:ascii="FangSong" w:hAnsi="FangSong" w:eastAsia="FangSong" w:cs="FangSong"/>
          <w:color w:val="000000"/>
          <w:sz w:val="24"/>
        </w:rPr>
        <w:t xml:space="preserve">1,000,000.00元）</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5.最高限价：人民币</w:t>
      </w:r>
      <w:r>
        <w:rPr>
          <w:rFonts w:ascii="FangSong" w:hAnsi="FangSong" w:eastAsia="FangSong" w:cs="FangSong"/>
          <w:b/>
          <w:color w:val="000000"/>
          <w:sz w:val="24"/>
          <w:u w:val="single"/>
        </w:rPr>
        <w:t xml:space="preserve">壹佰万元</w:t>
      </w:r>
      <w:r>
        <w:rPr>
          <w:rFonts w:ascii="FangSong" w:hAnsi="FangSong" w:eastAsia="FangSong" w:cs="FangSong"/>
          <w:color w:val="000000"/>
          <w:sz w:val="24"/>
        </w:rPr>
        <w:t xml:space="preserve">整（</w:t>
      </w:r>
      <w:r>
        <w:rPr>
          <w:rFonts w:ascii="Arial" w:hAnsi="Arial" w:eastAsia="Arial" w:cs="Arial"/>
          <w:color w:val="000000"/>
          <w:sz w:val="24"/>
        </w:rPr>
        <w:t xml:space="preserve">¥ </w:t>
      </w:r>
      <w:r>
        <w:rPr>
          <w:rFonts w:ascii="FangSong" w:hAnsi="FangSong" w:eastAsia="FangSong" w:cs="FangSong"/>
          <w:color w:val="000000"/>
          <w:sz w:val="24"/>
        </w:rPr>
        <w:t xml:space="preserve">1,000,000.00元）</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6.采购需求：以氢能产业发展为基础，为了从市级层面尽快形成统一氢能战略规划，打造国内重要的氢能产业基地，拟启动《南京市加氢站布局专项规划》。</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7.合同履行期限：2025年12月31日前完成整个项目的评审报批。</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8.本项目是否属于专门面向中小企业采购项目：否。</w:t>
      </w:r>
      <w:r/>
    </w:p>
    <w:p>
      <w:pPr>
        <w:pStyle w:val="777"/>
        <w:ind w:left="0" w:right="0" w:firstLine="436"/>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二、供应商的资格要求：</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1.满足《中华人民共和国政府采购法》第二十二条规定，并提供下列材料：</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具有独立承担民事责任的能力（提供法人或者其他组织的营业执照等证明材料，自然人的身份证明）；</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 具有良好的商业信誉和健全的财务会计制度（提供提交响应文件截止时间前</w:t>
      </w:r>
      <w:r>
        <w:rPr>
          <w:rFonts w:ascii="FangSong" w:hAnsi="FangSong" w:eastAsia="FangSong" w:cs="FangSong"/>
          <w:b/>
          <w:color w:val="000000"/>
          <w:sz w:val="24"/>
          <w:u w:val="single"/>
        </w:rPr>
        <w:t xml:space="preserve">1年内的经审计的财务报告或银行出具的资信证明或其他会计报表等</w:t>
      </w:r>
      <w:r>
        <w:rPr>
          <w:rFonts w:ascii="FangSong" w:hAnsi="FangSong" w:eastAsia="FangSong" w:cs="FangSong"/>
          <w:color w:val="000000"/>
          <w:sz w:val="24"/>
        </w:rPr>
        <w:t xml:space="preserve">，成立不满一个月不需提供）；</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 有依法缴纳税收和社会保障资金的良好记录（提供提交响应文件截止时间前</w:t>
      </w:r>
      <w:r>
        <w:rPr>
          <w:rFonts w:ascii="FangSong" w:hAnsi="FangSong" w:eastAsia="FangSong" w:cs="FangSong"/>
          <w:b/>
          <w:color w:val="000000"/>
          <w:sz w:val="24"/>
          <w:u w:val="single"/>
        </w:rPr>
        <w:t xml:space="preserve">1年内至少一个月依法缴纳税收及缴纳社会保障资金的证明材料</w:t>
      </w:r>
      <w:r>
        <w:rPr>
          <w:rFonts w:ascii="FangSong" w:hAnsi="FangSong" w:eastAsia="FangSong" w:cs="FangSong"/>
          <w:color w:val="000000"/>
          <w:sz w:val="24"/>
        </w:rPr>
        <w:t xml:space="preserve">。供应商依法享受缓缴、免缴税收、社会保障资金的提供证明材料）；</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1.4具备履行合同所必需的设备和专业技术能力的书面声明；</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1.5参加政府采购活动前3年内在经营活动中没有重大违法记录的书面声明。</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1.6法律、行政法规规定的其他条件：无。</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第1.5条所称重大违法记录，是指供应商因违法经营受到刑事处罚或者责令停产停业、吊销许可证或者执照、较大数额罚款等行政处罚。（2）供应商在参加政府采购活动前3年内因违法经营被禁止在一定期限内参加政府采购活动，期限届满的，可以参加政府采购活动。</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2.落实政府采购政策需满足的资格要求：无（如是专门面向中小企业项目，需在此项明确所属行业等）</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3.本项目的特定资格要求：</w:t>
      </w:r>
      <w:r>
        <w:rPr>
          <w:rFonts w:ascii="FangSong" w:hAnsi="FangSong" w:eastAsia="FangSong" w:cs="FangSong"/>
          <w:b/>
          <w:color w:val="000000"/>
          <w:sz w:val="24"/>
        </w:rPr>
        <w:t xml:space="preserve">供应商须具有城乡规划编制单位资质乙级或以上等级。</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4.本项目</w:t>
      </w:r>
      <w:r>
        <w:rPr>
          <w:rFonts w:ascii="FangSong" w:hAnsi="FangSong" w:eastAsia="FangSong" w:cs="FangSong"/>
          <w:b/>
          <w:color w:val="000000"/>
          <w:sz w:val="24"/>
          <w:u w:val="single"/>
        </w:rPr>
        <w:t xml:space="preserve">不接受</w:t>
      </w:r>
      <w:r>
        <w:rPr>
          <w:rFonts w:ascii="FangSong" w:hAnsi="FangSong" w:eastAsia="FangSong" w:cs="FangSong"/>
          <w:color w:val="000000"/>
          <w:sz w:val="24"/>
        </w:rPr>
        <w:t xml:space="preserve">联合体响应，</w:t>
      </w:r>
      <w:r>
        <w:rPr>
          <w:rFonts w:ascii="FangSong" w:hAnsi="FangSong" w:eastAsia="FangSong" w:cs="FangSong"/>
          <w:b/>
          <w:color w:val="000000"/>
          <w:sz w:val="24"/>
          <w:u w:val="single"/>
        </w:rPr>
        <w:t xml:space="preserve">不允许</w:t>
      </w:r>
      <w:r>
        <w:rPr>
          <w:rFonts w:ascii="FangSong" w:hAnsi="FangSong" w:eastAsia="FangSong" w:cs="FangSong"/>
          <w:color w:val="000000"/>
          <w:sz w:val="24"/>
        </w:rPr>
        <w:t xml:space="preserve">分包、转包。</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5.本项目</w:t>
      </w:r>
      <w:r>
        <w:rPr>
          <w:rFonts w:ascii="FangSong" w:hAnsi="FangSong" w:eastAsia="FangSong" w:cs="FangSong"/>
          <w:b/>
          <w:color w:val="000000"/>
          <w:sz w:val="24"/>
          <w:u w:val="single"/>
        </w:rPr>
        <w:t xml:space="preserve">不接受</w:t>
      </w:r>
      <w:r>
        <w:rPr>
          <w:rFonts w:ascii="FangSong" w:hAnsi="FangSong" w:eastAsia="FangSong" w:cs="FangSong"/>
          <w:color w:val="000000"/>
          <w:sz w:val="24"/>
        </w:rPr>
        <w:t xml:space="preserve">进口产品响应（注：本文件所称进口产品是指通过中国海关报关验放进入中国境内且产自关境外的产品）。</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6.拒绝下述供应商参加本次采购活动：</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6.1负责人为同一人或者存在直接控股、管理关系的不同供应商，不得参加同一合同项下的政府采购活动。</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6.2供应商被“信用中国”（www.creditchina.gov.cn）、“中国政府采购网”（www.ccgp.gov.cn）等网站列入失信被执行人、重大税收违法案件当事人名单、政府采购严重违法失信行为记录名单。</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6.3拒绝为采购项目提供整体设计、规范编制或者项目管理、监理、检测等服务供应商参加本项目的采购活动。</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（1）投标人在参加政府采购活动前3年内因违法经营被禁止在一定期限内参加政府采购活动，期限届满的，可以参加政府采购活动。</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依据南京市财政局“关于在政府采购中推行信用承诺制的通知”，政府采购供应商只需在资格审查环节针对以上6项提供满足相应条件的书面承诺书（南京市政府采购供应商信用记录表暨信用承诺书），不再需要提供证明材料。供应商在中标后，应按采购文件要求，将由信用承诺书替代的证明材料提交采购人或采购代理机构核验。经核验无误后，由采购人或采购代理机构发出成交通知书。</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7.供应商诚信档案管理</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南京市政府采购供应商信用管理工作暂行办法》（宁财规〔2018〕10号）有关规定，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供应商申请网上注册的，应当按以下程序进行： </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（1）登录“信用南京”或“南京公共采购信息网”网站，点击“政府采购供应商诚信档案”图标，在弹出的用户登录界面，点击“新用户注册”；</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南京市政府采购供应商诚信档案管理系统客服电话：025-52718366；供应商可就用户注册与打印“南京市政府采购供应商信用记录表”等事宜进行咨询。</w:t>
      </w:r>
      <w:r/>
    </w:p>
    <w:p>
      <w:pPr>
        <w:pStyle w:val="777"/>
        <w:ind w:left="0" w:right="0" w:firstLine="436"/>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三、获取磋商文件</w:t>
      </w:r>
      <w:r/>
    </w:p>
    <w:p>
      <w:pPr>
        <w:ind w:left="0" w:right="0" w:firstLine="539"/>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时间：</w:t>
      </w:r>
      <w:r>
        <w:rPr>
          <w:rFonts w:ascii="FangSong" w:hAnsi="FangSong" w:eastAsia="FangSong" w:cs="FangSong"/>
          <w:color w:val="000000"/>
          <w:sz w:val="24"/>
        </w:rPr>
        <w:t xml:space="preserve">自磋商公告发布之日起5个工作日。</w:t>
      </w:r>
      <w:r/>
    </w:p>
    <w:p>
      <w:pPr>
        <w:ind w:left="0" w:right="0" w:firstLine="54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获取方式：</w:t>
      </w:r>
      <w:r>
        <w:rPr>
          <w:rFonts w:ascii="FangSong" w:hAnsi="FangSong" w:eastAsia="FangSong" w:cs="FangSong"/>
          <w:color w:val="000000"/>
          <w:sz w:val="24"/>
        </w:rPr>
        <w:t xml:space="preserve">江苏省政府采购交易系统（苏采云）</w:t>
      </w:r>
      <w:r/>
    </w:p>
    <w:p>
      <w:pPr>
        <w:pStyle w:val="777"/>
        <w:ind w:left="0" w:right="0" w:firstLine="436"/>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四、提交</w:t>
      </w:r>
      <w:r>
        <w:rPr>
          <w:rFonts w:ascii="FangSong" w:hAnsi="FangSong" w:eastAsia="FangSong" w:cs="FangSong"/>
          <w:b/>
          <w:color w:val="000000"/>
          <w:sz w:val="28"/>
        </w:rPr>
        <w:t xml:space="preserve">响应文件截止时间</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时间：2024年11月26日09:30（北京时间）</w:t>
      </w:r>
      <w:r/>
    </w:p>
    <w:p>
      <w:pPr>
        <w:pStyle w:val="777"/>
        <w:ind w:left="0" w:right="0" w:firstLine="436"/>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五、公告期限</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自本公告发布之日起3个工作日。</w:t>
      </w:r>
      <w:r/>
    </w:p>
    <w:p>
      <w:pPr>
        <w:pStyle w:val="777"/>
        <w:ind w:left="0" w:right="0" w:firstLine="436"/>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六、其他补充事宜</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有关本次磋商的事项若存在变动或修改，敬请及时关注江苏柒采招标代理有限公司在“江苏政府采购网（南京公共采购信息网）”发布的更正公告。</w:t>
      </w:r>
      <w:r/>
    </w:p>
    <w:p>
      <w:pPr>
        <w:pStyle w:val="777"/>
        <w:ind w:left="0" w:right="0" w:firstLine="436"/>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七、本次磋商联系方式</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1.采购人信息</w:t>
      </w:r>
      <w:r/>
    </w:p>
    <w:p>
      <w:pPr>
        <w:ind w:left="1079" w:right="0" w:hanging="30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称：南京市应急管理局</w:t>
      </w:r>
      <w:r/>
    </w:p>
    <w:p>
      <w:pPr>
        <w:ind w:left="1079" w:right="0" w:hanging="30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址：南京市玄武区双龙巷22号</w:t>
      </w:r>
      <w:r/>
    </w:p>
    <w:p>
      <w:pPr>
        <w:ind w:left="1079" w:right="0" w:hanging="30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联系人：李星</w:t>
      </w:r>
      <w:r/>
    </w:p>
    <w:p>
      <w:pPr>
        <w:ind w:left="1079" w:right="0" w:hanging="30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联系方式：025-</w:t>
      </w:r>
      <w:r>
        <w:rPr>
          <w:rFonts w:ascii="FangSong" w:hAnsi="FangSong" w:eastAsia="FangSong" w:cs="FangSong"/>
          <w:color w:val="000000"/>
          <w:sz w:val="24"/>
          <w:u w:val="none"/>
        </w:rPr>
        <w:t xml:space="preserve">83630361</w:t>
      </w:r>
      <w:r/>
    </w:p>
    <w:p>
      <w:pPr>
        <w:ind w:left="0" w:right="0" w:firstLine="72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2.招标代理信息</w:t>
      </w:r>
      <w:r/>
    </w:p>
    <w:p>
      <w:pPr>
        <w:ind w:left="0" w:right="0" w:firstLine="72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名称：江苏柒采招标代理有限公司</w:t>
      </w:r>
      <w:r/>
    </w:p>
    <w:p>
      <w:pPr>
        <w:ind w:left="0" w:right="0" w:firstLine="72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地址：南京市建邺区奥体大街68号新城科技园国际研发总部园3幢6楼（6A）</w:t>
      </w:r>
      <w:r/>
    </w:p>
    <w:p>
      <w:pPr>
        <w:ind w:left="0" w:right="0" w:firstLine="72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联系人：李欣/倪斌/张明立</w:t>
      </w:r>
      <w:r/>
    </w:p>
    <w:p>
      <w:pPr>
        <w:ind w:left="0" w:right="0" w:firstLine="72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联系方式：025-83370296-712</w:t>
      </w:r>
      <w:r/>
    </w:p>
    <w:p>
      <w:pPr>
        <w:pStyle w:val="777"/>
        <w:ind w:left="0" w:right="0" w:firstLine="436"/>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八、其他</w:t>
      </w:r>
      <w:r/>
    </w:p>
    <w:p>
      <w:pPr>
        <w:ind w:left="0" w:right="0" w:firstLine="72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1.采购项目需要落实的政府采购政策： </w:t>
      </w:r>
      <w:r/>
    </w:p>
    <w:p>
      <w:pPr>
        <w:ind w:left="0" w:right="0" w:firstLine="72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政府采购促进中小企业发展</w:t>
      </w:r>
      <w:r/>
    </w:p>
    <w:p>
      <w:pPr>
        <w:ind w:left="0" w:right="0" w:firstLine="72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 政府采购支持监狱企业发展</w:t>
      </w:r>
      <w:r/>
    </w:p>
    <w:p>
      <w:pPr>
        <w:ind w:left="0" w:right="0" w:firstLine="72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 政府采购促进残疾人就业</w:t>
      </w:r>
      <w:r/>
    </w:p>
    <w:p>
      <w:pPr>
        <w:ind w:left="0" w:right="0" w:firstLine="72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 政府采购鼓励采购节能环保产品</w:t>
      </w:r>
      <w:r/>
    </w:p>
    <w:p>
      <w:pPr>
        <w:ind w:left="0" w:right="0" w:firstLine="72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2.获取“获取文件登记表”电子版，请登录“江苏柒采招标代理有限公司”官网（http://www.jsqczb.cn/sy），点击“下载专区”，获取“招标文件获取登记表 ”。</w:t>
      </w:r>
      <w:r/>
    </w:p>
    <w:p>
      <w:pPr>
        <w:ind w:left="0" w:right="0" w:firstLine="72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请供应商在获取竞争性磋商文件后，认真阅读各项内容，按照竞争性磋商文件的要求详细填写和编制响应文件，进行必要的准备，并按竞争性磋商文件确定的时间、地点准时参加磋商活动。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773"/>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第二章  供应商须知</w:t>
      </w:r>
      <w:r/>
    </w:p>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供应商须知前附表</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3"/>
        <w:gridCol w:w="2230"/>
        <w:gridCol w:w="6431"/>
      </w:tblGrid>
      <w:tr>
        <w:trPr>
          <w:trHeight w:val="6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1" w:type="dxa"/>
            <w:vAlign w:val="top"/>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称：南京市应急管理局</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址：南京市玄武区双龙巷22号</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联系人：李星</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联系方式：025-83630361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名称：江苏柒采招标代理有限公司</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地址：南京市建邺区奥体大街68号新城科技园国际研发总部园3幢6楼（6A）</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联系人：李欣/倪斌/张明立</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联系方式：025-83370296-712</w:t>
            </w:r>
            <w:r/>
          </w:p>
        </w:tc>
      </w:tr>
      <w:tr>
        <w:trPr>
          <w:trHeight w:val="5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《南京市加氢站布局专项规划》编制 </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QC-2024082239X</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人民币</w:t>
            </w:r>
            <w:r>
              <w:rPr>
                <w:rFonts w:ascii="FangSong" w:hAnsi="FangSong" w:eastAsia="FangSong" w:cs="FangSong"/>
                <w:b/>
                <w:color w:val="000000"/>
                <w:sz w:val="24"/>
                <w:u w:val="single"/>
              </w:rPr>
              <w:t xml:space="preserve">壹佰万元</w:t>
            </w:r>
            <w:r>
              <w:rPr>
                <w:rFonts w:ascii="FangSong" w:hAnsi="FangSong" w:eastAsia="FangSong" w:cs="FangSong"/>
                <w:color w:val="000000"/>
                <w:sz w:val="24"/>
              </w:rPr>
              <w:t xml:space="preserve">整（¥ 1,000,000.00元）</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项目实施地点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现场勘查/集中答疑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w:t>
            </w:r>
            <w:r>
              <w:rPr>
                <w:rFonts w:ascii="FangSong" w:hAnsi="FangSong" w:eastAsia="FangSong" w:cs="FangSong"/>
                <w:b/>
                <w:color w:val="000000"/>
                <w:sz w:val="24"/>
                <w:u w:val="single"/>
              </w:rPr>
              <w:t xml:space="preserve">不安排</w:t>
            </w:r>
            <w:r>
              <w:rPr>
                <w:rFonts w:ascii="FangSong" w:hAnsi="FangSong" w:eastAsia="FangSong" w:cs="FangSong"/>
                <w:color w:val="000000"/>
                <w:sz w:val="24"/>
              </w:rPr>
              <w:t xml:space="preserve">现场勘查/集中答疑。</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司对磋商文件进行的答疑、澄清或补充，将会以邮件的方式发送给供应商报名时预留的电子邮箱；更正公告将在“江苏政府采购网（南京公共采购信息网）”上及时发布。该公告或澄清、补充、答疑等内容为磋商文件的组成部分，对供应商具有同样约束力。供应商应主动接收邮件或上网查询，且采购人及采购代理机构不承担供应商未及时关注相关信息而引发的相关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b/>
                <w:color w:val="000000"/>
                <w:sz w:val="24"/>
              </w:rPr>
              <w:t xml:space="preserve">R</w:t>
            </w:r>
            <w:r>
              <w:rPr>
                <w:rFonts w:ascii="FangSong" w:hAnsi="FangSong" w:eastAsia="FangSong" w:cs="FangSong"/>
                <w:b/>
                <w:color w:val="000000"/>
                <w:sz w:val="24"/>
              </w:rPr>
              <w:t xml:space="preserve"> 不要求提供。</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FangSong" w:hAnsi="FangSong" w:eastAsia="FangSong" w:cs="FangSong"/>
                <w:color w:val="000000"/>
                <w:sz w:val="24"/>
              </w:rPr>
              <w:t xml:space="preserve"> 要求提供。数额不得超过采购项目预算金额的2%，本项目的磋商保证金为人民币______元，提交方式为______。</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收款人户名：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银行账号：</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注：以电汇方式递交磋商保证金须在电汇凭据附言栏中写明项目编号、分包号及用途（磋商保证金）。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响应文件接收时间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截止时间：2024年11月26日上午09点30分（北京时间）</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地点：江苏省政府采购交易系统（以下简称“苏采云系统”）网上开标大厅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响应文件启封时间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时间：2024年11月26日上午09:30（北京时间）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提交响应文件事宜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60" w:tooltip="http://www.ccgp-jiangsu.gov.cn/jiangsu/zlxz/ee/ee3a4bc5a3454aa2b0d9312230633ce9.html" w:history="1">
              <w:r>
                <w:rPr>
                  <w:rStyle w:val="1005"/>
                  <w:rFonts w:ascii="FangSong" w:hAnsi="FangSong" w:eastAsia="FangSong" w:cs="FangSong"/>
                  <w:color w:val="0000ff"/>
                  <w:sz w:val="24"/>
                  <w:u w:val="single"/>
                </w:rPr>
                <w:t xml:space="preserve">下载地址</w:t>
              </w:r>
            </w:hyperlink>
            <w:r>
              <w:rPr>
                <w:rFonts w:ascii="FangSong" w:hAnsi="FangSong" w:eastAsia="FangSong" w:cs="FangSong"/>
                <w:color w:val="000000"/>
                <w:sz w:val="24"/>
              </w:rPr>
              <w:t xml:space="preserve">（CTRL+鼠标左键）。</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有关本次招标的事项若存在变动或修改，请及时关注“江苏政府采购网（南京公共采购信息网）”更正公告。</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响应截止时间后六十天。</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0"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合同签订前，成交人应向招标代理机构缴纳招标代理服务费。由成交人领取《成交通知书》时向招标代理机构缴纳，成交人凭《成交通知书》与采购方签订合同。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付款形式：网上银行转账或银行电汇（不接受其他形式）。</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并在转账或电汇时，备注“项目编号+代理费”字样。</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开户行信息：</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单位名称：江苏柒采招标代理有限公司</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 户 行：中国银行股份有限公司南京万达广场支行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    号：515769533053</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收费标准：参照国家计委颁布的《招标代理服务收费管理暂行办法》（计价格〔2002〕1980号）以及国家发改委办公厅发布的《国家发展改革委办公厅关于招标代理服务收费有关问题的通知》（发改办价格〔2003〕857号）规定的计算。此项费用不单独开列而应计入报价。</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1785"/>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（参加竞争性磋商的供应商以下简称“磋商供应商”）</w:t>
      </w:r>
      <w:r/>
    </w:p>
    <w:p>
      <w:pPr>
        <w:pStyle w:val="777"/>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一、总则</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1.采购方式</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 本次采取竞争性磋商的方式，本竞争性磋商文件（以下简称磋商文件）仅适用此项目。</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2.合格的磋商供应商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2.1满足本磋商文件“磋商邀请”中供应商资格要求的规定。</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2.2 满足本磋商文件实质性要求和条件的规定。</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3.适用法律</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3.1《中华人民共和国政府采购法》、《中华人民共和国政府采购法实施条例》、《政府采购竞争性磋商采购方式管理暂行办法》等有关法律、规章和规定等。</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4.政策功能</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4.1 政府采购促进中小企业发展，在政府采购活动中，供应商提供的服务符合下列情形的，享受中小企业扶持政策：</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（1）在服务采购项目中，服务由中小企业承接，即提供服务的人员为中小企业依照《中华人民共和国劳动合同法》订立劳动合同的从业人员。</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（2）以联合体形式参加政府采购活动，联合体各方均为中小企业的，联合体视同中小企业。其中，联合体各方均为小微企业的，联合体视同小微企业。</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（3）中小企业供应商参加政府采购活动，应当出具《中小企业声明函》（格式见后附件），否则不得享受相关中小企业扶持政策。</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 大企业存在直接控股、管理关系的除外。符合中小企业划分标准的个体工商户，在政府采购活动中视同中小企业。</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4.2 政府采购支持监狱和戒毒企业发展政策，监狱和戒毒企业提供的产品和服务在评审时 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4.3 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4.5 提供的产品属于信息安全产品的，供应商应当选择经国家认证的信息安全产品投标，并提供由中国信息安全认证中心按国家标准认证颁发的有效认证证书复印件。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4.6 提供的产品属于政府强制采购节能产品的，供应商应当选择依据国家标准中二级能效 （水效）指标认证的节能产品投标，并提供有效的节能产品认证证书复印件。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4.7 提供的产品属于环境标志产品的，供应商应当选择依据相关标准的最新版本认证的环境标志产品投标，并提供有效的环境标志产品认证证书复印件。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4.8未按要求提供相关材料的，不享受相关政策。</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5.磋商费用</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5.1 供应商应承担所有与准备和参加磋商有关的费用，无论磋商结果如何，江苏柒采招标代理有限公司（以下简称招标代理）和采购人在任何情况下均无义务和责任承担这些费用。</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5.2本次招标代理收取标书工本费与成交服务费，具体详见第一章 磋商邀请及第二章 供应商须知前附表。 </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5.3本次采购专家评审费按实际发生收取。</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6.磋商文件的约束力</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6.1 供应商一旦参加本项目采购活动，即被认为接受了本磋商文件的规定和约束。</w:t>
      </w:r>
      <w:r/>
    </w:p>
    <w:p>
      <w:pPr>
        <w:pStyle w:val="777"/>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二、磋商文件</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7.磋商文件构成</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7.1 磋商文件由以下部分组成：</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（1）磋商邀请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（2）供应商须知</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（3）合同文本</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（4）项目需求</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（5）评审方法与评审标准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（6）响应文件格式</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请仔细检查磋商文件是否齐全，如有缺漏请立即与招标代理联系解决。</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8.磋商文件的澄清及修改</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江苏政府采购网（南京公共采购信息网）”上发布书面更正公告形式通知所有获取磋商文件的供应商。不足5日的，招标代理应当顺延提交首次响应文件截止时间。</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8.2招标代理可以视采购项目的具体情况，组织供应商进行现场考察或召开磋商前答疑会，但不单独或分别组织只有一个供应商参加的现场 考察和答疑会。</w:t>
      </w:r>
      <w:r/>
    </w:p>
    <w:p>
      <w:pPr>
        <w:pStyle w:val="777"/>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三、响应文件的编制</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9.磋商响应文件份数和签署</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9.1磋商供应商应严格按照磋商邀请要求准备磋商响应文件（以下简称响应文件），每份响应文件须清楚地标明“正本”、“副本”或“电子版响应文件”字样。一旦正本和副本不符，以正本为准。电子版与纸质版文件不符，以纸质版为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响应文件的正本和所有的副本均需打印或复印。响应文件正本中，除磋商文件规定的可提交复印件外，其他文件均须提交原件，文字材料需打印或用不褪色墨水书写，响应文件正本须经法定代表人或授权代表签字和加盖磋商供应商公章。本磋商文件所表述（指定）的公章是指刻有供应商法定名称的印章，不包括合同、财务、税务、发票等形式的业务专用章。</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9.2 除磋商供应商对错处做必要修改外，响应文件不得行间插字、涂改或增删。如有修改错漏处，必须由响应文件签署人签字或盖章。</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10.响应文件编制要求</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10.1磋商供应商提交的响应文件以及磋商供应商与招标代理及采购人就有关磋商的所有来往函电均应使用简体中文。磋商文件中既有中文也有外文的，以中文意义为准。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10.2 除技术性能另有规定外，响应文件所使用的度量衡单位，均须采用国家法定计量单位。</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11.参加磋商供应商资格的文件证明</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11.1磋商供应商应提交证明其有资格参加磋商和成交后有能力独立履行合同的文件，并作为其响应文件的一部分。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11.2磋商供应商除必须具有履行合同所需提供的设备以及服务的能力外，还必须具备相应的财务、技术方面的能力。</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11.3磋商供应商应填写并提交磋商文件所附的“资格证明文件”。</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12.磋商响应报价表</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12.1 磋商供应商应按照磋商文件规定格式填报磋商响应报价表（含分项报价）。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12.2标的物</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详见项目需求。</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12.3有关费用处理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本次采购磋商供应商的报价应包括为完成本项目发生的所有费用，本磋商文件中另有规定的除外。</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12.4其它费用处理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磋商文件未列明，而磋商供应商认为必须的费用也须列入报价。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12.5报价采用的货币</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响应文件中的单价和总价，无特殊规定的采用人民币报价，以元为单位标注。磋商文件中另有规定的按规定执行。</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12.6 磋商响应报价表上的价格应按磋商文件规定填写。</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13.项目需求响应方案</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13.1提供为完成本项目的总体实施方案。</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13.2对磋商文件中项目需求的技术与商务条款要求逐项作出应答，并提供依据或说明。</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13.3磋商供应商认为需要的其他技术文件或说明。</w:t>
      </w:r>
      <w:r/>
    </w:p>
    <w:p>
      <w:pPr>
        <w:pStyle w:val="777"/>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四、响应文件的递交</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14.响应文件的密封和标记</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14.1磋商供应商应将响应文件正本和所有副本密封。</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14.2密封的响应文件应：</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（1）按磋商邀请中注明的地址送达规定地点；</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（2）注明参加磋商项目名称、项目编号及参加的分包号；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（3）密封包装上应写明磋商供应商名称和地址。</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14.3如果密封包装未按要求密封和加写标记，招标代理对误投或过早启封概不负责。对由此造成提前开封的响应文件，招标代理将予以拒绝，作无效响应处理。</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15.响应文件开启时间</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15.1招标代理收到响应文件的时间不得迟于本磋商文件规定的响应文件接收截止时间。</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15.2招标代理可通过修改磋商文件自行决定酌情推迟响应文件接收截止时间，在此情况下，磋商供应商的所有权利和义务以及受制的响应文件接收截止时间均应以延长后新的响应文件接收截止时间为准。</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16.迟交的响应文件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16.1招标代理将拒绝在规定的响应文件接收截止时间后接收响应文件。</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17.响应文件的修改和撤回</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17.1磋商供应商在递交响应文件后，可以修改或撤回其磋商响应文件，但这种修改和撤回，必须在规定的响应文件接收截止时间前，以书面形式送达指定地点。</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17.2磋商供应商的修改或撤回通知书，应按本文件规定进行编制、密封、标记和发送，并应在封套上加注“修改”和“撤回”字样。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17.3 磋商供应商在提交最后报价之前，可以根据磋商情况退出磋商。</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18.磋商响应有效期</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18.1 磋商响应有效期为招标代理规定的响应文件接收截止时间后六十（60）天。磋商响应有效期比规定短的将被视为非实质性响应性而予以拒绝。</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18.2 在特殊情况下，招标代理于原磋商响应有效期满之前，可向磋商供应商提出延长磋商响应有效期的要求。这种要求与答复均应采用书面形式。磋商供应商可以拒绝招标代理的这一要求而放弃磋商响应，同意延长磋商响应有效期的磋商供应商既不能要求也不允许修改其响应文件，同时受磋商响应有效期约束的所有权利与义务均延长至新的有效期。</w:t>
      </w:r>
      <w:r/>
    </w:p>
    <w:p>
      <w:pPr>
        <w:pStyle w:val="777"/>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五、磋商与评审</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19.磋商仪式</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19.1招标代理将在磋商邀请中规定的时间和地点组织磋商开始仪式，仪式由招标代理主持，磋商供应商应委派携带有效证件的代表准时参加，参加仪式的代表需签名以证明其出席。</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20.磋商小组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20.1 磋商开始仪式结束后，招标代理将立即组织磋商小组进行评审。</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20.2 磋商小组由政府采购评审专家、采购人代表组成，且人员构成符合政府采购有关规定。</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21.磋商评审过程的保密与公正</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21.1磋商小组、采购人和招标代理工作人员、相关监督人员等与评审工作有关的人员，对评审情况以及在评审过程中获悉的国家秘密、商业秘密负有保密责任。</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21.2在磋商评审过程中，磋商供应商不得以任何行为影响磋商评审过程，否则其响应文件将被作为无效响应文件。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21.3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22.评审过程的澄清、说明和更正</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22.2接到磋商小组要求的供应商应派人按磋商小组通知的时间和地点做出书面澄清、说明或更正。供应商的澄清、说明或者更正应当由法定代表人或授权代表签字或者加盖公章。由授权代表签字的，应当附法人授权书。供应商为自然人的，应当由本人签字并附身份证明。</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22.3 接到磋商小组澄清要求的供应商如未按规定做出澄清，其风险由供应商自行承担。</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23.对响应文件的初审</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23.1响应文件初审分为资格性检查和符合性检查。</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资格性检查：依据法律法规和磋商文件的规定，对响应文件中的资格证明文件进行审查，以确定供应商是否具备参加磋商的资格。</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磋商小组在进行资格性审查的同时，将在“信用中国”网站（www.creditchina.gov.cn）和“中国政府采购网”（www.ccgp.gov.cn）查询供应商的信用记录，以确定供应商是否具备参加磋商的资格。查询结果将以网页打印的形式留存并归档。</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符合性检查：依据磋商文件的规定，从响应文件的有效性、完整性和对磋商文件的响应程度进行审查，以确定是否对磋商文件的实质性要求作出响应。</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23.2在正式磋商之前，磋商小组将首先审查每份响应文件是否实质性响应了磋商文件的要求。实质性响应的响应文件应该是与磋商文件要求的条款、条件和规格相符，没有重大负偏离或保留。</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23.3 被认定为未实质性响应磋商文件的响应文件的情形</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（1）未按照磋商文件规定要求密封、签署、盖章的；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（2）同一供应商提交两个以上（含两个）不同的响应文件或者磋商响应报价的；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（3）供应商不符合磋商文件中规定的合格磋商供应商资格要求的；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（4）不符合法律、法规和磋商文件中规定的其他实质性要求和条件的（本磋商文件中斜体且有下划线部分为实质性要求和条件）；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（5）其他法律、法规及本磋商文件规定的属于未实质性响应的响应文件的情形；</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（6）供应商被 “信用中国”网站（www.creditchina.gov.cn）列入失信被执行人或重大税收违法案件当事人名单或政府采购严重失信行为记录名单。或查询“信用中国”网站后发现供应商存在不符合《中华人民共和国政府采购法》第二十二条规定条件的情形。</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（7）本项目采购产品被财政部、国家发改委、生态环境部等列入“节能产品目录清单”、“环境标志产品目录清单”强制采购范围，而供应商所响应的产品不在强制采购范围内的。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23.4 未实质性响应磋商文件的响应文件按无效响应处理，磋商小组将予以拒绝，供应商不得通过修改或撤销不合要求的偏离或保留而使其响应文件成为实质性响应的文件。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23.5 磋商小组将允许修正响应文件中不构成重大负偏离的、微小的、非正规的、不一致的或不规则的地方，但这些修改不能影响任何供应商相应的名次排列。</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24.磋商程序及评审方法和标准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24.1磋商程序</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24.1.1 对于通过资格性和符合性审查的供应商，磋商小组所有成员将集中与单一供应商分别进行磋商。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24.1.2 磋商文件能够详细列明采购标的的技术、服务要求的，磋商结束后，磋商小组将要求所有实质性响应的供应商在规定时间内提交最后报价。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24.1.3 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24.2 评审方法和标准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24.2.1评审方法。经磋商确定最终采购需求和提交最后报价的供应商后，由磋商小组采用综合评分法对提交最后报价的供应商的响应文件和最后报价进行综合评分。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24.2.2评审标准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见本磋商文件第五章规定。</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24.3采购活动终止的情况</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出现下列情形之一的，本次竞争性磋商采购活动将被终止：</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（1）因情况变化，不再符合规定的竞争性磋商采购方式适用情形的；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（2）出现影响采购公正的违法、违规行为的；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（3）除本磋商文件第24.1.2条第三款规定的情形外，在采购过程中符合要求的供应商或者报价未超过采购预算的供应商不足3家的。</w:t>
      </w:r>
      <w:r/>
    </w:p>
    <w:p>
      <w:pPr>
        <w:pStyle w:val="777"/>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六、成交</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25.确定成交单位</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25.1 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25.2采购人从评审报告提出的成交候选供应商中，按照排序由高到低的原则确定成交供应商。采购人确定成交供应商后，招标代理将在“江苏政府采购网（南京公共采购信息网）”发布成交结果公告，公告期限为1个工作日。</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成交结果确定后，招标代理将向成交供应商发出成交通知书。招标代理将以中国邮政EMS的形式向成交供应商寄送成交通知书，请供应商务必准确填写《法人授权书》，如因相关信息错误导致成交通知书无法寄达，招标代理将不再寄送成交通知书，由此造成的不利后果由供应商自行承担。</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25.3若有充分证据证明，成交供应商出现下列情况之一的，一经查实，将被取消成交资格：</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（1）提供虚假材料谋取成交的；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（2）与评审专家、采购人、其他供应商或者招标代理工作人员恶意串通的；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（3）向评审专家、采购人或招标代理工作人员行贿或者提供其他不正当利益的；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（4）恶意竞争，最后报价明显低于其自身合理成本且又无法提供证明的；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（5）不满足本磋商文件规定的实质性要求，但在评审过程中又未被磋商小组发现的；</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（6）成交后无正当理由拒不与采购人签订政府采购合同或者未按照磋商文件确定的事项签订政府采购合同；</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（7）将政府采购合同转包。</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26.质疑处理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26.1 提出质疑的供应商应当是参与所质疑项目采购活动的供应商。潜在供应商依法获取其可质疑的磋商文件的，可以对磋商文件提出质疑。</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对项目需求部分的质疑，潜在供应商应向采购人提出，由采购人负责答复。</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对项目需求部分以外内容的质疑，潜在供应商应向招标代理提出，由招标代理负责答复。</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26.2供应商认为磋商文件、采购过程和采购结果使自己的权益受到损害的，可以在知道或应知其权益受到损害之日起七个工作日内，以书面形式向招标代理或采购人提出质疑。上述应知其权益受到损害之日，是指：</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（1）对可以质疑的磋商文件提出质疑的，为收到磋商文件之日或者磋商文件公告期限届满之日；</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（2）对采购过程提出质疑的，为各采购程序环节结束之日；</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（3）对成交结果提出质疑的，为成交结果公告期限届满之日。</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供应商应当在法定质疑期内一次性提出针对同一采购程序环节的质疑。供应商如在法定期限内对同一采购程序环节提出多次质疑的，招标代理、采购人将只对供应商第一次质疑作出答复。</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26.3质疑必须以参加磋商的法定代表人或授权代表（响应文件中所确定的）原件送达的方式提交。</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26.4未参加磋商活动的供应商或在磋商活动中自身权益未受到损害的供应商所提出的质疑不予受理。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26.5质疑函应当包括下列内容：</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（1）质疑供应商的名称、地址、邮编、联系人、联系电话；</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（2）具体的质疑事项及明确的请求；</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（3）认为自己合法权益受到损害或可能受到损害的相关证据材料；</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（4）提起质疑的日期；</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26.6招标代理机构收到质疑函后，将对质疑的形式和内容进行审查，如质疑函内容、格式不符合规定，招标代理机构将告知质疑人进行补正。</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26.7质疑人应当在法定质疑期限内进行补正并重新提交质疑函，拒不补正或者在法定期限内未重新提交质疑函的，为无效质疑，招标代理机构有权不予受理。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26.8 以下情形的质疑不予受理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26.8.1 内容不符合《政府采购质疑和投诉办法》第十二条规定的质疑。</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26.8.2 超出政府采购法定期限的质疑。</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26.8.3 以传真、电子邮件等方式递交的非原件形式的质疑。</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26.8.4 未参加磋商活动的供应商或在磋商活动中自身权益未受到损害的供应商所提出的质疑。</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26.8.5供应商组成联合体参加磋商，联合体中任何一方或多方未按要求签字、盖章、加盖公章的质疑。</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26.9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p>
    <w:p>
      <w:pPr>
        <w:pStyle w:val="777"/>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七、合同签订相关事项</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27.成交通知书</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27.l 成交结果确定后，招标代理将向成交人发出成交通知书。请成交人在成交结果公示期满后，主动与项目负责人联系领取成交通知书。</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28.2成交通知书将是合同的一个组成部分。对采购人和成交人均具有法律效力。成交通知书发出后，采购人改变成交结果的，或者成交人放弃成交项目的，应当依法承担法律责任。</w:t>
      </w:r>
      <w:r/>
    </w:p>
    <w:p>
      <w:pPr>
        <w:pStyle w:val="779"/>
        <w:ind w:left="0" w:right="0" w:firstLine="36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28.签订合同</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28.l成交供应商应当在成交通知书发出之日起三十日内，按照磋商文件确定的事项与采购人签订政府采购合同。</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28.2 磋商文件、成交供应商的响应文件及磋商采购过程中有关澄清、承诺文件均应作为合同附件。</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28.3 签订合同后，</w:t>
      </w:r>
      <w:r>
        <w:rPr>
          <w:rFonts w:ascii="FangSong" w:hAnsi="FangSong" w:eastAsia="FangSong" w:cs="FangSong"/>
          <w:i/>
          <w:color w:val="000000"/>
          <w:sz w:val="22"/>
          <w:u w:val="single"/>
        </w:rPr>
        <w:t xml:space="preserve">成交供应商不得将成交产品或服务进行转包</w:t>
      </w:r>
      <w:r>
        <w:rPr>
          <w:rFonts w:ascii="FangSong" w:hAnsi="FangSong" w:eastAsia="FangSong" w:cs="FangSong"/>
          <w:color w:val="000000"/>
          <w:sz w:val="22"/>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pStyle w:val="773"/>
        <w:ind w:left="0" w:right="0" w:firstLine="0"/>
        <w:jc w:val="center"/>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第三章  合同文本（服务）</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以下为成交后签定本项目合同的通用条款，成交人不得提出实质性的修改。</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项目编号：QC-2024082239X</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项目名称：《南京市加氢站布局专项规划》编制 </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甲方（采购方）：</w:t>
      </w:r>
      <w:r>
        <w:rPr>
          <w:rFonts w:ascii="FangSong" w:hAnsi="FangSong" w:eastAsia="FangSong" w:cs="FangSong"/>
          <w:color w:val="000000"/>
          <w:sz w:val="24"/>
          <w:u w:val="single"/>
        </w:rPr>
        <w:t xml:space="preserve">南京市应急管理局</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南京市玄武区双龙巷22号</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乙方（成交人）：</w:t>
      </w:r>
      <w:r>
        <w:rPr>
          <w:rFonts w:ascii="FangSong" w:hAnsi="FangSong" w:eastAsia="FangSong" w:cs="FangSong"/>
          <w:color w:val="000000"/>
          <w:sz w:val="24"/>
          <w:u w:val="single"/>
        </w:rPr>
        <w:t xml:space="preserve">             </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             </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甲、乙双方根据江苏柒采招标代理有限公司</w:t>
      </w:r>
      <w:r>
        <w:rPr>
          <w:rFonts w:ascii="FangSong" w:hAnsi="FangSong" w:eastAsia="FangSong" w:cs="FangSong"/>
          <w:color w:val="000000"/>
          <w:sz w:val="24"/>
          <w:u w:val="single"/>
        </w:rPr>
        <w:t xml:space="preserve">《南京市加氢站布局专项规划》编制 </w:t>
      </w:r>
      <w:r>
        <w:rPr>
          <w:rFonts w:ascii="FangSong" w:hAnsi="FangSong" w:eastAsia="FangSong" w:cs="FangSong"/>
          <w:color w:val="000000"/>
          <w:sz w:val="24"/>
        </w:rPr>
        <w:t xml:space="preserve">竞争性磋商的结果，签署本合同。</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一、合同内容</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服务内容：以氢能产业发展为基础，为了从市级层面尽快形成统一氢能战略规划，打造国内重要的氢能产业基地，拟启动《南京市加氢站布局专项规划》。</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 服务时间（期限）：2025年12月31日前完成整个项目的评审报批。</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 服务地点：甲方指定。</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注：具体服务内容详见乙方响应文件。</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二、合同金额</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本合同项下总价款为（大写）人民币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 ，分项价款详见乙方响应文件。</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本合同总价款包含以下内容：</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完成本服务项目发生的所有含税费用；</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支付给员工的工资和国家强制缴纳的各种社会保障资金；</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乙方应当提供的伴随服务/售后服务费用；</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 供应商所需要的其他费用。</w:t>
      </w:r>
      <w:r/>
    </w:p>
    <w:p>
      <w:pPr>
        <w:ind w:left="0" w:right="0" w:firstLine="482"/>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本合同为总价，合同执行期间总价不变</w:t>
      </w:r>
      <w:r>
        <w:rPr>
          <w:rFonts w:ascii="FangSong" w:hAnsi="FangSong" w:eastAsia="FangSong" w:cs="FangSong"/>
          <w:b/>
          <w:color w:val="000000"/>
          <w:sz w:val="24"/>
        </w:rPr>
        <w:t xml:space="preserve">。</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三、技术资料</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3.1乙方应按磋商文件规定的时间向甲方提供服务（包含与服务相关的产品）的有关技术资料。</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四、权利和义务</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 甲方权利</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4.1.1甲方有权对乙方依照合同提供的服务进行监督和检查。</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4.1.2甲方有权对所发现的问题进行调查和处理，若发现乙方完成的服务内容与合同约定不符的，甲方有权要求乙方限期整改，若造成甲方损失，还应承担违约责任。</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 甲方义务</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4.2.1 在能力范围内，配合乙方履行本合同，尽量为乙方的履约提供必要的支持。</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4.2.2 按照合同约定向乙方支付款项。</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4.2.3 合同履行完毕后，及时组织验收。</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4.3 乙方权利</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4.3.1 乙方有权依约收取费用。</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4.3.2 乙方有权拒绝甲方提出的除合同约定和乙方承诺以外的其他要求。</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4.3.3 乙方有权拒绝甲方在服务过程中的不正当要求和违规行为，并可以依法主张其合法权利。</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4.4 乙方义务</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4.4.1 严格执行国家的法律、法规，守法经营，按章办事，自觉维护甲方的利益。</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4.4.2 接受甲方的检查、监督，严格履行服务承诺，做到诚实、守信。</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4.4.3按照响应文件的承诺以服务进程进行管理与控制，包括制定方案、合理配备工作人员、设施设备，按期组织实施，交付项目成果，保证服务项目质量。</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4.4.4乙方应严格按照安全标准进行本项目服务，并采取必要的安全防护措施。</w:t>
      </w:r>
      <w:r/>
    </w:p>
    <w:p>
      <w:pPr>
        <w:ind w:left="412" w:right="0" w:hanging="412"/>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五、知识产权及产权担保</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5.1乙方应保证甲方在使用、接受本合同服务（包含与服务相关的产品）或其任何一部分时不受第三方提出侵犯其专利权、版权、商标权和工业设计权等知识产权的起诉。一旦出现侵权，由乙方负全部责任。</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乙方保证所交付的服务（包含与服务相关的产品）的所有权完全属于乙方且无任何抵押、查封等产权瑕疵。都是乙方的自主知识产权，不存在任何法律纠纷。本合同项下一切工作成果，包括但不限于所有权、知识产权等归甲方所有，未经甲方书面同意，乙方不得复制、不得泄露、不得擅自修改、传送或向第三人转让或用于本合同外的项目。</w:t>
      </w:r>
      <w:r/>
    </w:p>
    <w:p>
      <w:pPr>
        <w:ind w:left="0" w:right="0" w:firstLine="0"/>
        <w:jc w:val="both"/>
        <w:spacing w:before="156" w:after="156"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六、合同转包或分包</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6.1乙方不得将合同标的转包给他人履行。</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6.2除非得到甲方的书面同意，乙方不得将合同标的分包给他人履行。</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七、合同款项支付</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7.1本合同项下所有款项均以人民币支付。</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7.2本合同项下的采购资金由乙方开具发票，甲方按照本条第8.3款的约定支付。</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7.3付款条件：</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（1）合同签订后，财政资金下达且支付申请手续获批后支付合同总额的30%；</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（2）最终成果经专家评审、成果批复后，支付合同总额的70%。</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八、项目验收</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 甲方依法组织履约验收工作。</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 对于实际使用人和甲方分离的项目，甲方邀请实际使用人参与验收。</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8.4 如有必要，甲方邀请参加本项目的其他供应商或第三方专业机构及专家参与验收，相关意见将作为验收书的参考资料。</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返还条件挂钩。履约验收的各项资料存档备查。</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九、违约责任</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9.1甲方无正当理由拒收服务、拒付服务款的，甲方向乙方偿付合同总价的5%违约金。</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9.2甲方未按合同规定的期限向乙方支付服务款的，每逾期1天甲方向乙方偿付欠款总额的1‰滞纳金，但累计违约金总额不超过欠款总额的5%。</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9.3乙方逾期交付服务成果的，每逾期1天，乙方向甲方支付合同总额的5‰的违约金。如乙方逾期交付达10天，甲方有权解除合同，解除合同的通知自到达乙方时生效。</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9.4乙方所交付的服成果务不符合合同约定或未通过专家评审的，甲方有权拒收。甲方拒收的，乙方应向甲方支付合同总款5%的违约金。</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9.5在乙方承诺的或国家规定的质量保证期内（取两者中最长的期限），如经乙方2次整改仍不能达到合同约定的质量标准，乙方应退回全部合同价款，同时向甲方支付合同总额的</w:t>
      </w:r>
      <w:r>
        <w:rPr>
          <w:rFonts w:ascii="FangSong" w:hAnsi="FangSong" w:eastAsia="FangSong" w:cs="FangSong"/>
          <w:color w:val="000000"/>
          <w:sz w:val="24"/>
          <w:u w:val="single"/>
        </w:rPr>
        <w:t xml:space="preserve">10</w:t>
      </w:r>
      <w:r>
        <w:rPr>
          <w:rFonts w:ascii="FangSong" w:hAnsi="FangSong" w:eastAsia="FangSong" w:cs="FangSong"/>
          <w:color w:val="000000"/>
          <w:sz w:val="24"/>
        </w:rPr>
        <w:t xml:space="preserve">%的违约金，给甲方造成损失的，乙方还须赔偿甲方因此遭受的损失。</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9.6乙方未按本合同的规定和服务承诺提供伴随服务/售后服务的，应按合同总价款的5%向甲方承担违约责任。</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9.7乙方在承担上述10.4-10.7款一项或多项违约责任后，仍应继续履行合同规定的义务（甲方解除合同的除外）。甲方未能及时追究乙方的任何一项违约责任并不表明甲方放弃追究乙方该项或其他违约责任。</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9.8乙方响应属虚假承诺，或经权威部门检测提供的服务不能满足响应文件要求，或是由于乙方的过错造成合同无法继续履行的，乙方应退回全部合同价款，还应向甲方支付不少于合同总价30%赔偿金。</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9.9除本合同另有约定外，乙方有下列情形之一的，甲方有权单方解除合同：</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（1）未经甲方书面同意，将合同权利义务部分或全部转让给第三人；</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（2）乙方拒不提供服务或所提供服务不符合甲方要求的，经甲方 次以上催告整改，仍无法通过的；</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（3）未履行合同信息保密和使用约定的；</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（4）侵犯第三人合法权益的；</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（5）未履行本合同约定其他义务，经甲方催告后_____日内，仍未整改的。</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9.10甲方依法律规定或本合同约定单方解除合同的或合同终止后，乙方应退还已收取的全部款项，同时应按合同总价款的_____%向甲方支付违约金，给甲方造成损失的，还应赔偿全部损失，包括但不限于赔偿金、罚款、诉讼费、保全费、评估费、调查费、律师费等。</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十、不可抗力事件处理</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 在合同有效期内，任何一方因不可抗力事件导致不能履行合同，则合同履行期可延长，其延长期与不可抗力影响期相同。</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 不可抗力事件发生后，应立即通知对方，并寄送有关权威机构出具的证明。</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 不可抗力事件延续120天以上，双方应通过友好协商，确定是否继续履行合同。</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十一、诉讼</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 双方在执行合同中所发生的一切争议，应通过协商解决。如协商不成，可向甲方所在地法院起诉。</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十二、组成本合同的文件</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12.1合同及附件；</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12.2成交通知书；</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12.3磋商文件和乙方的响应文件；</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12.4磋商过程中有关补充资料和澄清文件等（如有）；</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12.5 甲乙双方商定的其他必要文件。</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12.6.合同文件的优先次序：</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组成合同的各个文件应该认为是一个整体，互为补充和解释，如果有互相矛盾处，以本条所列先后顺序为准：</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12.6.1合同及附件；</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12.6.2成交通知书；</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12.6.3磋商文件和乙方的响应文件；</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12.6.4磋商过程中有关补充资料和澄清文件等（如有）；</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12.6.5 甲乙双方商定的其他必要文件。</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双方在本合同履行过程中，可以签定补充或修正文件，补充或修正文件与本合同具有同等法律效力，内容不一致的，以时间在后的文件为准。</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十三、合同生效及其它</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 合同经双方法定代表人或授权委托代表人签字并加盖单位公章后生效。</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13.2本合同未尽事宜，遵照《民法典》有关条文执行。</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 本合同正本一式伍份，具有同等法律效力，甲方、乙方各执贰份，招标代理机构留存壹份备案。</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十四、其他</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所需或所确定的所有通知、要求或其他通讯应以书面形式，通过亲自派送、特快专递、电子邮箱可按合同约定或签署盖章信息中所列（或此后重新书面指定）的信息传送，签署栏的信息也是法院送达邮寄法律文书的法定送达地址。一方若需变更通讯地址，应当及时通知对方。因接受方或其签收人原因导致接受方没有收到送达文件的，视为已送达。任何通知、要求或通讯若以传真方式或电子邮件传送，将视为立即送达，若以邮寄方式传送，在寄出的七日后视为送达。</w:t>
      </w:r>
      <w:r/>
    </w:p>
    <w:p>
      <w:pPr>
        <w:ind w:left="480" w:right="0" w:hanging="48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                                 乙方： </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                                地址： </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                 法定代表人或授权代表：</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                             联系电话：          </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120" w:after="12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签订日期：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pStyle w:val="773"/>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第四章 项目需求</w:t>
      </w:r>
      <w:r/>
    </w:p>
    <w:p>
      <w:pPr>
        <w:pStyle w:val="775"/>
        <w:ind w:left="0" w:right="0" w:firstLine="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一、项目概况</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氢能是一种来源丰富、绿色低碳、应用广泛的二次能源，正逐步成为全球能源转型发展的重要载体之一。在国家碳达峰、碳中和战略目标指引下，发展氢能源是促进城市能源转型、保障能源安全、提升城市品质的重要路径。</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国家发改委、国家能源局联合印发《氢能产业发展中长期规划（2021—2035年）》，提出要系统构建支撑氢能产业高质量发展创新体系，统筹推进氢能基础设施建设，稳步推进氢能多元化示范应用。南京具有一定的氢能产业发展基础，为了从市级层面尽快形成统一氢能战略规划，打造国内重要的氢能产业基地，南京市应急管理局拟启动《南京市加氢站布局专项规划》。</w:t>
      </w:r>
      <w:r/>
    </w:p>
    <w:p>
      <w:pPr>
        <w:pStyle w:val="775"/>
        <w:ind w:left="0" w:right="0" w:firstLine="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二、项目范围</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本次项目的规划范围为南京市行政辖区范围，包含鼓楼区、玄武区、建邺区、秦淮区、栖霞区、雨花台区、浦口区、六合区、江宁区、溧水区、高淳区11个市辖区，总面积约6587平方千米。</w:t>
      </w:r>
      <w:r/>
    </w:p>
    <w:p>
      <w:pPr>
        <w:pStyle w:val="775"/>
        <w:ind w:left="0" w:right="0" w:firstLine="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三、项目目标</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1、项目概况：规划背景和规划目标等内容；</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2、现状分析与评价：梳理区位、社会经济情况、加氢站现状布局情况和评价等；</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3、规划解读政策研究：梳理规划依据和规划标准制定；</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4、需求预测：对加氢站的需求进行预测；</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5、加氢站规划布局：布局原则、规划方案和近期建设计划等内容；</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6、规划展望和设施保障：对规划的落地实施提出保障措施；</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7、项目负责人需参加现状调查、方案制定、到场汇报、跟踪项目服务。</w:t>
      </w:r>
      <w:r/>
    </w:p>
    <w:p>
      <w:pPr>
        <w:pStyle w:val="775"/>
        <w:ind w:left="0" w:right="0" w:firstLine="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四、成果主要内容</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（一）项目规划背景和规划目标等内容</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1、规划背景；</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2、重点应用；</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3、政策环境；</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4、发展态势。</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（二）现状分析与评价</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1、南京市现状加氢站建设情况；</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2、单个站址建设情况；</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3、现状分析小结；</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4.其他城市对接借鉴。</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（三）规划解读</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1、长三角层面；</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2、江苏省层面；</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3、南京市层面；</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4、区级层面。</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（四）发展优势与潜力</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1、氢源供给分析；</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2、消纳市场分析；</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3、政策支持分析；</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4、其他优势分析。</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（五）发展目标与战略</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1、发展战略；</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2、发展目标；</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3、规模预测；</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4、指标体系。</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（六）系统方案研究</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1、氢源规划；</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2、储运规划；</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3、建站模式；</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4、重要指标。</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（七）加氢站布局规划</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1、空间布局；</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2、站点选址；</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3、远期方案；</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4、近期方案。</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（八）站址设计引导</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1、平面布局；</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2、安全防护；</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3、节能环保；</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4、外观设计。</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（九）保障及相关建议</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1、开发建议；</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2、运营模式；</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3、管理防控；</w:t>
      </w:r>
      <w:r/>
    </w:p>
    <w:p>
      <w:pPr>
        <w:ind w:left="1140" w:right="0" w:hanging="42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4、实施保障。</w:t>
      </w:r>
      <w:r/>
    </w:p>
    <w:p>
      <w:pPr>
        <w:pStyle w:val="775"/>
        <w:ind w:left="0" w:right="0" w:firstLine="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五、计划安排</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项目整体编制时间为12个月（2025年12月31日前完成整个项目的评审报批），分为五个阶段，具体安排如下：</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第一阶段，前期调研，2024年12月前，完成资料收集，并分析资料数据，结合加氢站规划背景、现状和政策等情况，形成系统完善的初步概念方案；</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第二阶段，专题研究，2025年01月前，完成政策、预测等规划布局的专题支撑研究工作；</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第三阶段，形成初步成果，2025年02月前，完成章节基本完善，内容深度满足专项规划要求的初步成果；</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第四阶段，形成最终成果，2025年03月前，通过多部门沟通和对接，完善专项规划各个章节，形成满足专家评审的最终成果； </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第五阶段，评审报批，2025年12月前，组织评审专家评审，开展市政府报批程序。</w:t>
      </w:r>
      <w:r/>
    </w:p>
    <w:p>
      <w:pPr>
        <w:pStyle w:val="775"/>
        <w:ind w:left="0" w:right="0" w:firstLine="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六、成果形成</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成果包括文本、图件及汇报材料的打印本及对应的电子文件（文字部分为DOC格式文件，图件为DWG格式文件）。</w:t>
      </w:r>
      <w:r/>
    </w:p>
    <w:p>
      <w:pPr>
        <w:pStyle w:val="775"/>
        <w:ind w:left="0" w:right="0" w:firstLine="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七、付款方式</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1、合同签订后，支付合同总额的30%；</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2、最终成果经专家评审、成果批复后，支付合同总额的70%。</w:t>
      </w:r>
      <w:r/>
    </w:p>
    <w:p>
      <w:pPr>
        <w:ind w:left="0" w:right="0" w:firstLine="0"/>
        <w:jc w:val="both"/>
        <w:spacing w:before="0" w:after="0"/>
        <w:tabs>
          <w:tab w:val="left" w:pos="62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pStyle w:val="773"/>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0"/>
        </w:rPr>
        <w:t xml:space="preserve">第五章  评审方法与评审标准</w:t>
      </w:r>
      <w:r/>
    </w:p>
    <w:p>
      <w:pPr>
        <w:ind w:left="0" w:right="0" w:firstLine="441"/>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一、定标办法</w:t>
      </w:r>
      <w:r/>
    </w:p>
    <w:p>
      <w:pPr>
        <w:ind w:left="0" w:right="0" w:firstLine="44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采用综合评分法的，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r/>
    </w:p>
    <w:p>
      <w:pPr>
        <w:ind w:left="0" w:right="0" w:firstLine="441"/>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二、政府采购政策功能落实</w:t>
      </w:r>
      <w:r/>
    </w:p>
    <w:p>
      <w:pPr>
        <w:ind w:left="0" w:right="0" w:firstLine="44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none"/>
        </w:rPr>
        <w:t xml:space="preserve">1.</w:t>
      </w:r>
      <w:r>
        <w:rPr>
          <w:rFonts w:ascii="FangSong" w:hAnsi="FangSong" w:eastAsia="FangSong" w:cs="FangSong"/>
          <w:color w:val="000000"/>
          <w:sz w:val="22"/>
        </w:rPr>
        <w:t xml:space="preserve">小微型企业价格扣除</w:t>
      </w:r>
      <w:r/>
    </w:p>
    <w:p>
      <w:pPr>
        <w:ind w:left="437"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（1）本项目对小型和微型企业提供的服务给予10%的扣除价格，用扣除后的价格参与评审。（2）供应商需按照磋商文件的要求提供相应的《小微企业声明函》。</w:t>
      </w:r>
      <w:r/>
    </w:p>
    <w:p>
      <w:pPr>
        <w:ind w:left="0" w:right="0" w:firstLine="44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（3）企业标准请参照《关于印发中小企业划型标准规定的通知》（工信部联企业[2011]300号）文件规定自行填写。</w:t>
      </w:r>
      <w:r/>
    </w:p>
    <w:p>
      <w:pPr>
        <w:ind w:left="0" w:right="0" w:firstLine="44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none"/>
        </w:rPr>
        <w:t xml:space="preserve">2.</w:t>
      </w:r>
      <w:r>
        <w:rPr>
          <w:rFonts w:ascii="FangSong" w:hAnsi="FangSong" w:eastAsia="FangSong" w:cs="FangSong"/>
          <w:color w:val="000000"/>
          <w:sz w:val="22"/>
        </w:rPr>
        <w:t xml:space="preserve">残疾人福利单位价格扣除</w:t>
      </w:r>
      <w:r/>
    </w:p>
    <w:p>
      <w:pPr>
        <w:ind w:left="0" w:right="0" w:firstLine="44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（1）本项目对残疾人福利性单位视同小型、微型企业，给予10%的价格扣除，用扣除后的价格参与评审。</w:t>
      </w:r>
      <w:r/>
    </w:p>
    <w:p>
      <w:pPr>
        <w:ind w:left="0" w:right="0" w:firstLine="44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（2）残疾人福利单位需按照磋商文件的要求提供《残疾人福利性单位声明函》。</w:t>
      </w:r>
      <w:r/>
    </w:p>
    <w:p>
      <w:pPr>
        <w:ind w:left="0" w:right="0" w:firstLine="44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（3）残疾人福利单位标准请参照《关于促进残疾人就业政府采购政策的通知》（财库〔2017〕141号）。</w:t>
      </w:r>
      <w:r/>
    </w:p>
    <w:p>
      <w:pPr>
        <w:ind w:left="0" w:right="0" w:firstLine="44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none"/>
        </w:rPr>
        <w:t xml:space="preserve">3.</w:t>
      </w:r>
      <w:r>
        <w:rPr>
          <w:rFonts w:ascii="FangSong" w:hAnsi="FangSong" w:eastAsia="FangSong" w:cs="FangSong"/>
          <w:color w:val="000000"/>
          <w:sz w:val="22"/>
        </w:rPr>
        <w:t xml:space="preserve">监狱和戒毒企业价格扣除</w:t>
      </w:r>
      <w:r/>
    </w:p>
    <w:p>
      <w:pPr>
        <w:ind w:left="0" w:right="0" w:firstLine="44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（1）本项目对监狱和戒毒企业（简称监狱企业）视同小型、微型企业，给予10%的价格扣除，用扣除后的价格参与评审。</w:t>
      </w:r>
      <w:r/>
    </w:p>
    <w:p>
      <w:pPr>
        <w:ind w:left="0" w:right="0" w:firstLine="44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4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（3）监狱企业标准请参照《关于政府采购支持监狱企业发展有关问题的通知》（财库〔2014〕68号）。</w:t>
      </w:r>
      <w:r/>
    </w:p>
    <w:p>
      <w:pPr>
        <w:ind w:left="0" w:right="0" w:firstLine="44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4.残疾人福利单位、监狱企业属于小型、微型企业的，不重复享受政策。</w:t>
      </w:r>
      <w:r/>
    </w:p>
    <w:p>
      <w:pPr>
        <w:ind w:left="0" w:right="0" w:firstLine="44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0" w:right="0" w:firstLine="44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6、联合体各方均为小型、微型企业（残疾人福利单位、监狱企业）的，联合体享受10%价格扣除，用扣除后的价格参与评审。</w:t>
      </w:r>
      <w:r/>
    </w:p>
    <w:p>
      <w:pPr>
        <w:ind w:left="0" w:right="0" w:firstLine="441"/>
        <w:spacing w:before="120" w:after="12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三、评审办法和评审标准</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
        <w:gridCol w:w="216"/>
        <w:gridCol w:w="631"/>
        <w:gridCol w:w="8099"/>
        <w:gridCol w:w="193"/>
      </w:tblGrid>
      <w:tr>
        <w:trPr>
          <w:trHeight w:val="568"/>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9"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分值</w:t>
            </w:r>
            <w:r/>
          </w:p>
        </w:tc>
      </w:tr>
      <w:tr>
        <w:trPr>
          <w:trHeight w:val="579"/>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9" w:type="dxa"/>
            <w:vAlign w:val="center"/>
            <w:textDirection w:val="lrTb"/>
            <w:noWrap/>
          </w:tcPr>
          <w:p>
            <w:pPr>
              <w:ind w:left="0" w:right="0" w:firstLine="0"/>
              <w:jc w:val="both"/>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一、价格分（10分）</w:t>
            </w:r>
            <w:r/>
          </w:p>
        </w:tc>
      </w:tr>
      <w:tr>
        <w:trPr>
          <w:trHeight w:val="1059"/>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center"/>
            <w:textDirection w:val="lrTb"/>
            <w:noWrap/>
          </w:tcPr>
          <w:p>
            <w:pPr>
              <w:ind w:left="0" w:right="0" w:firstLine="480"/>
              <w:jc w:val="both"/>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低价优先法计算，即满足磋商文件要求且响应报价最低的响应报价为评标基准价，其价格分为满分。其他供应商的价格分统一按照下列公式计算：响应报价得分=(评标基准价/响应报价)×10，满分10分（分值保留小数点后2位）。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10分</w:t>
            </w:r>
            <w:r/>
          </w:p>
        </w:tc>
      </w:tr>
      <w:tr>
        <w:trPr>
          <w:trHeight w:val="203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9" w:type="dxa"/>
            <w:vAlign w:val="center"/>
            <w:textDirection w:val="lrTb"/>
            <w:noWrap/>
          </w:tcPr>
          <w:p>
            <w:pPr>
              <w:ind w:left="0" w:right="0" w:firstLine="720"/>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磋商小组认为供应商的报价明显低于其他通过符合性审查供应商的报价，有可能影响产品质量或者不能诚信履约的，磋商小组有权要求其在开标现场合理的时间内提供书面说明，必要时提交相关证明材料；供应商不能证明其报价合理性的，磋商小组将其作为无效投标处理。</w:t>
            </w:r>
            <w:r/>
          </w:p>
        </w:tc>
      </w:tr>
      <w:tr>
        <w:trPr>
          <w:trHeight w:val="64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9" w:type="dxa"/>
            <w:vAlign w:val="center"/>
            <w:textDirection w:val="lrTb"/>
            <w:noWrap/>
          </w:tcPr>
          <w:p>
            <w:pPr>
              <w:ind w:left="0" w:right="0" w:firstLine="0"/>
              <w:jc w:val="both"/>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二、技术部分（55分）</w:t>
            </w:r>
            <w:r/>
          </w:p>
        </w:tc>
      </w:tr>
      <w:tr>
        <w:trPr>
          <w:trHeight w:val="6223"/>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tcPr>
          <w:p>
            <w:pPr>
              <w:ind w:left="0" w:right="0" w:firstLine="0"/>
              <w:jc w:val="center"/>
              <w:spacing w:before="62" w:after="31"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需求理解方案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top"/>
            <w:textDirection w:val="lrTb"/>
            <w:noWrap/>
          </w:tcPr>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根据供应商提供的</w:t>
            </w:r>
            <w:r>
              <w:rPr>
                <w:rFonts w:ascii="FangSong" w:hAnsi="FangSong" w:eastAsia="FangSong" w:cs="FangSong"/>
                <w:b/>
                <w:color w:val="000000"/>
                <w:sz w:val="24"/>
                <w:u w:val="single"/>
              </w:rPr>
              <w:t xml:space="preserve">需求理解方案</w:t>
            </w:r>
            <w:r>
              <w:rPr>
                <w:rFonts w:ascii="FangSong" w:hAnsi="FangSong" w:eastAsia="FangSong" w:cs="FangSong"/>
                <w:color w:val="000000"/>
                <w:sz w:val="24"/>
              </w:rPr>
              <w:t xml:space="preserve">，不限于调研安排、工作原则、工作内容、技术方法、具体实施内容等，进行综合评分：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（1）方案内容完整全面、科学合理、可操作性强的，得12分；      </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（2）方案内容较完整全面、科学合理、可操作性较强的，得9分；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（3）方案内容一般、合理性一般、可操作性一般的，得6分；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（4）方案内容不全、合理性较弱、可操作性较强的，得3分；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（5）方案内容缺失、无合理性、无可操作性的，得0分。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12分</w:t>
            </w:r>
            <w:r/>
          </w:p>
        </w:tc>
      </w:tr>
      <w:tr>
        <w:trPr>
          <w:trHeight w:val="406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质量保障措施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center"/>
            <w:textDirection w:val="lrTb"/>
            <w:noWrap/>
          </w:tcPr>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根据供应商提供的</w:t>
            </w:r>
            <w:r>
              <w:rPr>
                <w:rFonts w:ascii="FangSong" w:hAnsi="FangSong" w:eastAsia="FangSong" w:cs="FangSong"/>
                <w:b/>
                <w:color w:val="000000"/>
                <w:sz w:val="24"/>
                <w:u w:val="single"/>
              </w:rPr>
              <w:t xml:space="preserve">质量保障措</w:t>
            </w:r>
            <w:r>
              <w:rPr>
                <w:rFonts w:ascii="FangSong" w:hAnsi="FangSong" w:eastAsia="FangSong" w:cs="FangSong"/>
                <w:color w:val="000000"/>
                <w:sz w:val="24"/>
              </w:rPr>
              <w:t xml:space="preserve">施进行综合评分：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（1）质量保障措施内容非常全面、科学合理、针对性非常强的，得12分；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（2）质量保障措施内容完整全面、科学合理、针对性较强的，得9分；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（3）质量保障措施内容基本全面、基本科学合理、针对性一般的，得6分；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（4）质量保障措施内容不科学不合理、内容不完整不全面、针对性差的，得3分；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（5）未提供质量保障措施的，得0分。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12分</w:t>
            </w:r>
            <w:r/>
          </w:p>
        </w:tc>
      </w:tr>
      <w:tr>
        <w:trPr>
          <w:trHeight w:val="9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重点难点分析及合理化建议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top"/>
            <w:textDirection w:val="lrTb"/>
            <w:noWrap/>
          </w:tcPr>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根据供应商提供的</w:t>
            </w:r>
            <w:r>
              <w:rPr>
                <w:rFonts w:ascii="FangSong" w:hAnsi="FangSong" w:eastAsia="FangSong" w:cs="FangSong"/>
                <w:b/>
                <w:color w:val="000000"/>
                <w:sz w:val="24"/>
                <w:u w:val="single"/>
              </w:rPr>
              <w:t xml:space="preserve">重点难点分析及合理化建议</w:t>
            </w:r>
            <w:r>
              <w:rPr>
                <w:rFonts w:ascii="FangSong" w:hAnsi="FangSong" w:eastAsia="FangSong" w:cs="FangSong"/>
                <w:color w:val="000000"/>
                <w:sz w:val="24"/>
              </w:rPr>
              <w:t xml:space="preserve">，内容不限于对本项目的重点及难点的认识、关键过程分析、解决思路及合理化建议等方面进行综合评分：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（1）重难点分析建议非常准确，很有针对性，解决方案更加科学合理的，得12分；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（2）重难点分析建议准确，很有针对性，解决方案科学合理的，得9分；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（3）重难点分析建议较准确，比较有针对性，解决方案较科学合理的，得6分；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（4）重难点分析建议不够准确，有一定的针对性，解决方案基本合理，得3分；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（5）未提供重点及难点分析及合理化建议的，得0分。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12分</w:t>
            </w:r>
            <w:r/>
          </w:p>
        </w:tc>
      </w:tr>
      <w:tr>
        <w:trPr>
          <w:trHeight w:val="427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进度计划及计划  保证措施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top"/>
            <w:textDirection w:val="lrTb"/>
            <w:noWrap/>
          </w:tcPr>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根据供应商提供的</w:t>
            </w:r>
            <w:r>
              <w:rPr>
                <w:rFonts w:ascii="FangSong" w:hAnsi="FangSong" w:eastAsia="FangSong" w:cs="FangSong"/>
                <w:b/>
                <w:color w:val="000000"/>
                <w:sz w:val="24"/>
                <w:u w:val="single"/>
              </w:rPr>
              <w:t xml:space="preserve">进度计划及计划保证措施</w:t>
            </w:r>
            <w:r>
              <w:rPr>
                <w:rFonts w:ascii="FangSong" w:hAnsi="FangSong" w:eastAsia="FangSong" w:cs="FangSong"/>
                <w:color w:val="000000"/>
                <w:sz w:val="24"/>
              </w:rPr>
              <w:t xml:space="preserve">，内容不限于的阶段性安排、时间进度以及各阶段内的主要工作目标，拟完成的工作任务，阶段成果、人员安排、文件编制质量的保证措施等是否合理，是否具有可操作性进行综合评分：</w:t>
            </w:r>
            <w:r/>
          </w:p>
          <w:p>
            <w:pPr>
              <w:numPr>
                <w:ilvl w:val="0"/>
                <w:numId w:val="6"/>
              </w:numPr>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对本项目的安排非常合理、可操作性非常强，分析深刻透彻，人员配备非常合理的，得10分；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（2）对本项目的安排合理、可操作性强，分析深刻透彻，人员配备合理的，得7分；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（3）对本项目的安排相对合理、具有一定可操作性，分析较为深刻，人员配备较合理的，得4分；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（4）对本项目的安排不够合理、具有一定可操作性，分析及人员配备不够合理的，得1分；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（5）未提供重点及难点分析及合理化建议的，得0分。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line="519" w:lineRule="atLeast"/>
              <w:tabs>
                <w:tab w:val="left" w:pos="464" w:leader="none"/>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10分</w:t>
            </w:r>
            <w:r/>
          </w:p>
        </w:tc>
      </w:tr>
      <w:tr>
        <w:trPr>
          <w:trHeight w:val="983"/>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top"/>
            <w:textDirection w:val="lrTb"/>
            <w:noWrap/>
          </w:tcPr>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根据供应商提供的</w:t>
            </w:r>
            <w:r>
              <w:rPr>
                <w:rFonts w:ascii="FangSong" w:hAnsi="FangSong" w:eastAsia="FangSong" w:cs="FangSong"/>
                <w:b/>
                <w:color w:val="000000"/>
                <w:sz w:val="24"/>
                <w:u w:val="single"/>
              </w:rPr>
              <w:t xml:space="preserve">服务承诺</w:t>
            </w:r>
            <w:r>
              <w:rPr>
                <w:rFonts w:ascii="FangSong" w:hAnsi="FangSong" w:eastAsia="FangSong" w:cs="FangSong"/>
                <w:color w:val="000000"/>
                <w:sz w:val="24"/>
              </w:rPr>
              <w:t xml:space="preserve">，内容不限于规划服务期、工作质量、工作成果等方面全面、可行进行综合打分：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（1）完全满足磋商文件要求、与本项目匹配度高的，得9分；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（2）基本满足磋商文件要求的，得6分；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（3）与本项目匹配一般的，得3分；</w:t>
            </w:r>
            <w:r/>
          </w:p>
          <w:p>
            <w:pPr>
              <w:ind w:left="0" w:right="0" w:firstLine="480"/>
              <w:jc w:val="both"/>
              <w:spacing w:before="0" w:after="0" w:line="519" w:lineRule="atLeast"/>
              <w:tabs>
                <w:tab w:val="left" w:pos="35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（4）未提供服务承诺的，得0分。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line="519" w:lineRule="atLeast"/>
              <w:tabs>
                <w:tab w:val="left" w:pos="464" w:leader="none"/>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9分</w:t>
            </w:r>
            <w:r/>
          </w:p>
        </w:tc>
      </w:tr>
      <w:tr>
        <w:trPr>
          <w:trHeight w:val="60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6" w:type="dxa"/>
            <w:vAlign w:val="center"/>
            <w:textDirection w:val="lrTb"/>
            <w:noWrap/>
          </w:tcPr>
          <w:p>
            <w:pPr>
              <w:ind w:left="0" w:right="0" w:firstLine="0"/>
              <w:jc w:val="both"/>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三、商务部分（35分）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both"/>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07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  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center"/>
            <w:textDirection w:val="lrTb"/>
            <w:noWrap/>
          </w:tcPr>
          <w:p>
            <w:pPr>
              <w:ind w:left="0" w:right="0" w:firstLine="480"/>
              <w:jc w:val="both"/>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近3年以来（以开标当天的日期计算），承担过类似项目业绩，每提供有一个的，得3分，最高得9分</w:t>
            </w:r>
            <w:r>
              <w:rPr>
                <w:rFonts w:ascii="FangSong" w:hAnsi="FangSong" w:eastAsia="FangSong" w:cs="FangSong"/>
                <w:b/>
                <w:color w:val="000000"/>
                <w:sz w:val="24"/>
                <w:u w:val="single"/>
              </w:rPr>
              <w:t xml:space="preserve">（须提供合同复印件并加盖公章，合同须能反映项目名称、主要标的物，签订时间和签章清晰可见，未按要求提供或未提供的，得0分）</w:t>
            </w: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9分</w:t>
            </w:r>
            <w:r/>
          </w:p>
        </w:tc>
      </w:tr>
      <w:tr>
        <w:trPr>
          <w:trHeight w:val="2479"/>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 w:type="dxa"/>
            <w:vAlign w:val="center"/>
            <w:textDirection w:val="lrTb"/>
            <w:noWrap/>
          </w:tcPr>
          <w:p>
            <w:pPr>
              <w:ind w:left="0" w:right="0" w:firstLine="0"/>
              <w:jc w:val="center"/>
              <w:spacing w:before="0" w:after="0" w:line="519" w:lineRule="atLeast"/>
              <w:tabs>
                <w:tab w:val="left" w:pos="287" w:leader="none"/>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vMerge w:val="restart"/>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拟投入  人员资质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center"/>
            <w:textDirection w:val="lrTb"/>
            <w:noWrap/>
          </w:tcPr>
          <w:p>
            <w:pPr>
              <w:ind w:left="0" w:right="0" w:firstLine="480"/>
              <w:jc w:val="both"/>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1、项目负责人</w:t>
            </w:r>
            <w:r/>
          </w:p>
          <w:p>
            <w:pPr>
              <w:ind w:left="0" w:right="0" w:firstLine="480"/>
              <w:jc w:val="both"/>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（1）具备副高级专业技术职称的，得3分；具备正高级专业技术职称的得5分，本项最多得5分</w:t>
            </w:r>
            <w:r>
              <w:rPr>
                <w:rFonts w:ascii="FangSong" w:hAnsi="FangSong" w:eastAsia="FangSong" w:cs="FangSong"/>
                <w:b/>
                <w:color w:val="000000"/>
                <w:sz w:val="24"/>
                <w:u w:val="single"/>
              </w:rPr>
              <w:t xml:space="preserve">（须提供相关证明材料并加盖公章）</w:t>
            </w:r>
            <w:r>
              <w:rPr>
                <w:rFonts w:ascii="FangSong" w:hAnsi="FangSong" w:eastAsia="FangSong" w:cs="FangSong"/>
                <w:color w:val="000000"/>
                <w:sz w:val="24"/>
              </w:rPr>
              <w:t xml:space="preserve">；</w:t>
            </w:r>
            <w:r/>
          </w:p>
          <w:p>
            <w:pPr>
              <w:ind w:left="0" w:right="0" w:firstLine="480"/>
              <w:jc w:val="both"/>
              <w:spacing w:before="0" w:after="0" w:line="519" w:lineRule="atLeast"/>
              <w:tabs>
                <w:tab w:val="left" w:pos="177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（2）近3年以来（以开标当天的日期计算），项目负责人具有城市专项规划、交通规划、市政专项规划、排水专项规划、管线规划等项目业绩，每提供一个的，得1分，本项最多得5分</w:t>
            </w:r>
            <w:r>
              <w:rPr>
                <w:rFonts w:ascii="FangSong" w:hAnsi="FangSong" w:eastAsia="FangSong" w:cs="FangSong"/>
                <w:b/>
                <w:color w:val="000000"/>
                <w:sz w:val="24"/>
                <w:u w:val="single"/>
              </w:rPr>
              <w:t xml:space="preserve">（须提供合同或中标（成交）通知书复印件并加盖公章，合同或中标（成交）通知书须能反映相关信息内容，否则提供甲方出具的证明材料并加盖合同甲方公章）</w:t>
            </w:r>
            <w:r>
              <w:rPr>
                <w:rFonts w:ascii="FangSong" w:hAnsi="FangSong" w:eastAsia="FangSong" w:cs="FangSong"/>
                <w:color w:val="000000"/>
                <w:sz w:val="24"/>
                <w:u w:val="single"/>
              </w:rPr>
              <w:t xml:space="preserve">。</w:t>
            </w:r>
            <w:r/>
          </w:p>
          <w:p>
            <w:pPr>
              <w:ind w:left="0" w:right="0" w:firstLine="482"/>
              <w:jc w:val="both"/>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（以上（1）-（2）项须提供开标之日起前3个月内任意一个月的供应商为其缴纳的社保缴费证明材料复印件并加盖公章）</w:t>
            </w: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10分</w:t>
            </w:r>
            <w:r/>
          </w:p>
        </w:tc>
      </w:tr>
      <w:tr>
        <w:trPr>
          <w:trHeight w:val="64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center"/>
            <w:textDirection w:val="lrTb"/>
            <w:noWrap/>
          </w:tcPr>
          <w:p>
            <w:pPr>
              <w:ind w:left="0" w:right="0" w:firstLine="480"/>
              <w:jc w:val="both"/>
              <w:spacing w:before="0" w:after="0" w:line="519" w:lineRule="atLeast"/>
              <w:tabs>
                <w:tab w:val="left" w:pos="177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2、技术负责人</w:t>
            </w:r>
            <w:r/>
          </w:p>
          <w:p>
            <w:pPr>
              <w:ind w:left="0" w:right="0" w:firstLine="480"/>
              <w:jc w:val="both"/>
              <w:spacing w:before="0" w:after="0" w:line="519" w:lineRule="atLeast"/>
              <w:tabs>
                <w:tab w:val="left" w:pos="177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（1）具备中级专业技术职称的，得1分；具备副高级专业技术职称的，得3分。同时具有注册城乡规划师证书的得2分。本项最高得5分</w:t>
            </w:r>
            <w:r>
              <w:rPr>
                <w:rFonts w:ascii="FangSong" w:hAnsi="FangSong" w:eastAsia="FangSong" w:cs="FangSong"/>
                <w:b/>
                <w:color w:val="000000"/>
                <w:sz w:val="24"/>
                <w:u w:val="single"/>
              </w:rPr>
              <w:t xml:space="preserve">（须提供相关证明材料并加盖公章）</w:t>
            </w:r>
            <w:r>
              <w:rPr>
                <w:rFonts w:ascii="FangSong" w:hAnsi="FangSong" w:eastAsia="FangSong" w:cs="FangSong"/>
                <w:color w:val="000000"/>
                <w:sz w:val="24"/>
              </w:rPr>
              <w:t xml:space="preserve">；</w:t>
            </w:r>
            <w:r/>
          </w:p>
          <w:p>
            <w:pPr>
              <w:ind w:left="0" w:right="0" w:firstLine="480"/>
              <w:jc w:val="both"/>
              <w:spacing w:before="0" w:after="0" w:line="519" w:lineRule="atLeast"/>
              <w:tabs>
                <w:tab w:val="left" w:pos="177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（2）技术负责人具有市政专项规划或城市专项规划或交通规划经验的，得2分，本项最高得4分</w:t>
            </w:r>
            <w:r>
              <w:rPr>
                <w:rFonts w:ascii="FangSong" w:hAnsi="FangSong" w:eastAsia="FangSong" w:cs="FangSong"/>
                <w:b/>
                <w:color w:val="000000"/>
                <w:sz w:val="24"/>
                <w:u w:val="single"/>
              </w:rPr>
              <w:t xml:space="preserve">（须提供合同或中标（成交）通知书复印件并加盖公章，合同或中标（成交）通知书须能反映相关信息内容，否则提供甲方出具的证明材料并加盖合同甲方公章）</w:t>
            </w:r>
            <w:r>
              <w:rPr>
                <w:rFonts w:ascii="FangSong" w:hAnsi="FangSong" w:eastAsia="FangSong" w:cs="FangSong"/>
                <w:color w:val="000000"/>
                <w:sz w:val="24"/>
                <w:u w:val="single"/>
              </w:rPr>
              <w:t xml:space="preserve">。</w:t>
            </w:r>
            <w:r/>
          </w:p>
          <w:p>
            <w:pPr>
              <w:ind w:left="0" w:right="0" w:firstLine="482"/>
              <w:jc w:val="both"/>
              <w:spacing w:before="0" w:after="0" w:line="519" w:lineRule="atLeast"/>
              <w:tabs>
                <w:tab w:val="left" w:pos="177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（以上（1）-（2）项须提供开标之日起前3个月内任意一个月的供应商为其缴纳的社保缴费证明材料复印件并加盖公章）</w:t>
            </w: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9分</w:t>
            </w:r>
            <w:r/>
          </w:p>
        </w:tc>
      </w:tr>
      <w:tr>
        <w:trPr>
          <w:trHeight w:val="560"/>
        </w:trPr>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9" w:type="dxa"/>
            <w:vAlign w:val="center"/>
            <w:textDirection w:val="lrTb"/>
            <w:noWrap/>
          </w:tcPr>
          <w:p>
            <w:pPr>
              <w:ind w:left="0" w:right="0" w:firstLine="480"/>
              <w:jc w:val="both"/>
              <w:spacing w:before="0" w:after="0" w:line="519" w:lineRule="atLeast"/>
              <w:tabs>
                <w:tab w:val="left" w:pos="177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3、团队其他人员（除项目负责人、技术负责人外）</w:t>
            </w:r>
            <w:r/>
          </w:p>
          <w:p>
            <w:pPr>
              <w:ind w:left="0" w:right="0" w:firstLine="480"/>
              <w:jc w:val="both"/>
              <w:spacing w:before="0" w:after="0" w:line="519" w:lineRule="atLeast"/>
              <w:tabs>
                <w:tab w:val="left" w:pos="177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团队构成人员应具备规划、交通、给排水、建筑等专业人员，每个专业具备相应专业的副高级及以上专业技术职称，每提供一个的，得1分；同时具有相应专业注册证书的，每提供一个的，得1分，本项最高得7分</w:t>
            </w:r>
            <w:r>
              <w:rPr>
                <w:rFonts w:ascii="FangSong" w:hAnsi="FangSong" w:eastAsia="FangSong" w:cs="FangSong"/>
                <w:b/>
                <w:color w:val="000000"/>
                <w:sz w:val="24"/>
                <w:u w:val="single"/>
              </w:rPr>
              <w:t xml:space="preserve">（须提供证书复印件和开标之日起前3个月内任意一个月的供应商为其缴纳的社保缴费证明材料复印件并加盖公章</w:t>
            </w: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7分</w:t>
            </w:r>
            <w:r/>
          </w:p>
        </w:tc>
      </w:tr>
      <w:tr>
        <w:trPr>
          <w:trHeight w:val="78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8" w:type="dxa"/>
            <w:vAlign w:val="center"/>
            <w:textDirection w:val="lrTb"/>
            <w:noWrap w:val="false"/>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 w:type="dxa"/>
            <w:vAlign w:val="center"/>
            <w:textDirection w:val="lrTb"/>
            <w:noWrap w:val="false"/>
          </w:tcPr>
          <w:p>
            <w:pPr>
              <w:ind w:left="0" w:right="0" w:firstLine="0"/>
              <w:jc w:val="center"/>
              <w:spacing w:before="0" w:after="0" w:line="519" w:lineRule="atLeast"/>
              <w:tabs>
                <w:tab w:val="left" w:pos="54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分</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3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9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3" w:type="dxa"/>
            <w:vAlign w:val="center"/>
            <w:textDirection w:val="lrTb"/>
            <w:noWrap w:val="false"/>
          </w:tcPr>
          <w:p>
            <w:pPr>
              <w:spacing w:before="0" w:after="0" w:line="57" w:lineRule="atLeast"/>
            </w:pP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pStyle w:val="773"/>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第六章  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56"/>
        </w:rPr>
        <w:t xml:space="preserve">【正/副本】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名 称：</w:t>
      </w:r>
      <w:r>
        <w:rPr>
          <w:rFonts w:ascii="FangSong" w:hAnsi="FangSong" w:eastAsia="FangSong" w:cs="FangSong"/>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编 号：</w:t>
      </w:r>
      <w:r>
        <w:rPr>
          <w:rFonts w:ascii="FangSong" w:hAnsi="FangSong" w:eastAsia="FangSong" w:cs="FangSong"/>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供应商名称 ：</w:t>
      </w:r>
      <w:r>
        <w:rPr>
          <w:rFonts w:ascii="FangSong" w:hAnsi="FangSong" w:eastAsia="FangSong" w:cs="FangSong"/>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授权代表签字：</w:t>
      </w:r>
      <w:r>
        <w:rPr>
          <w:rFonts w:ascii="FangSong" w:hAnsi="FangSong" w:eastAsia="FangSong" w:cs="FangSong"/>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日      期 ：</w:t>
      </w:r>
      <w:r>
        <w:rPr>
          <w:rFonts w:ascii="FangSong" w:hAnsi="FangSong" w:eastAsia="FangSong" w:cs="FangSong"/>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（注：供应商应根据附件顺序编制响应文件并制作目录（须生成页码））</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资格审查索引表</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8"/>
        <w:gridCol w:w="5064"/>
        <w:gridCol w:w="3172"/>
      </w:tblGrid>
      <w:tr>
        <w:trPr>
          <w:trHeight w:val="8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资格要求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在响应文件中的页码位置</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注：此表为表样，行数可自行添加，但表式不变。</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评分索引表</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0"/>
        <w:gridCol w:w="5273"/>
        <w:gridCol w:w="3151"/>
      </w:tblGrid>
      <w:tr>
        <w:trPr>
          <w:trHeight w:val="6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在响应文件中的页码位置</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3"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3"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3"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3"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3"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3"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3"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3"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u w:val="single"/>
        </w:rPr>
        <w:t xml:space="preserve"> </w:t>
      </w:r>
      <w:r/>
    </w:p>
    <w:p>
      <w:pPr>
        <w:ind w:left="0" w:right="0" w:firstLine="1084"/>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响应文件主要目录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一、法人或者其他组织的营业执照等证明文件，自然人的身份证明</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二、响应文件截止时间前一年的财务状况报告（供应商成立不满一个月无需提供）</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三、依法缴纳税收和社会保障资金的相关材料（提供提交响应文件截止时间前一年内至少一个月依法缴纳税收及缴纳社会保障资金的证明材料。供应商依法享受缓缴、免缴税收、社会保障资金的提供证明材料）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四、具备履行合同所必需的设备和专业技术能力的书面声明</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五、参加政府采购活动前3年内在经营活动中没有重大违法记录的书面声明</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六、特定资格要求的证明文件（如果本项目设置特定资格要求，则需要提供）</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七、承诺函</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八、法人授权书</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九、投标函</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十、小微企业声明函</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十一、残疾人福利性单位声明函</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十二、监狱企业声明函</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十三、报价表</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十四、分项报价表</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十五、技术要求响应及偏离表</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十六、商务要求响应及偏离表</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十七、其他证明文件</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775"/>
        <w:ind w:left="0" w:right="0" w:firstLine="0"/>
        <w:jc w:val="center"/>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i/>
          <w:color w:val="000000"/>
          <w:sz w:val="36"/>
          <w:u w:val="single"/>
        </w:rPr>
        <w:t xml:space="preserve">资格证明文件（第一项-第七项）</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一、法人或其他组织的营业执照等证明文件，自然人的身份证明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二、响应文件截止时间前一年的财务状况报告或银行出具的资信证明或其他会计报表等</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供应商成立不满一个月不需提供。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三、依法缴纳税收和社会保障资金的相关材料</w:t>
      </w:r>
      <w:r/>
    </w:p>
    <w:p>
      <w:pPr>
        <w:ind w:left="0" w:right="0" w:firstLine="44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none"/>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四、具备履行合同所必需的设备和专业技术能力的书面声明</w:t>
      </w:r>
      <w:r/>
    </w:p>
    <w:p>
      <w:pPr>
        <w:ind w:left="0" w:right="0" w:firstLine="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致：江苏柒采招标代理有限公司</w:t>
      </w:r>
      <w:r/>
    </w:p>
    <w:p>
      <w:pPr>
        <w:ind w:left="0" w:right="0" w:firstLine="492"/>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主要设备有：</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92"/>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主要专业技术能力有：</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180" w:firstLine="360"/>
        <w:jc w:val="center"/>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80" w:firstLine="360"/>
        <w:jc w:val="center"/>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80" w:firstLine="360"/>
        <w:jc w:val="center"/>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供应商（加盖公章）：</w:t>
      </w:r>
      <w:r/>
    </w:p>
    <w:p>
      <w:pPr>
        <w:ind w:left="0" w:right="180" w:firstLine="360"/>
        <w:jc w:val="center"/>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法人或授权代表（签字）：</w:t>
      </w:r>
      <w:r/>
    </w:p>
    <w:p>
      <w:pPr>
        <w:ind w:left="0" w:right="480" w:firstLine="0"/>
        <w:jc w:val="center"/>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 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五、参加政府采购活动前</w:t>
      </w:r>
      <w:r>
        <w:rPr>
          <w:rFonts w:ascii="FangSong" w:hAnsi="FangSong" w:eastAsia="FangSong" w:cs="FangSong"/>
          <w:b/>
          <w:color w:val="000000"/>
          <w:sz w:val="32"/>
        </w:rPr>
        <w:t xml:space="preserve">3</w:t>
      </w:r>
      <w:r>
        <w:rPr>
          <w:rFonts w:ascii="FangSong" w:hAnsi="FangSong" w:eastAsia="FangSong" w:cs="FangSong"/>
          <w:b/>
          <w:color w:val="000000"/>
          <w:sz w:val="32"/>
          <w:u w:val="none"/>
        </w:rPr>
        <w:t xml:space="preserve">年内在经营活动中没有重大违法记录的书面声明</w:t>
      </w:r>
      <w:r>
        <w:rPr>
          <w:rFonts w:ascii="FangSong" w:hAnsi="FangSong" w:eastAsia="FangSong" w:cs="FangSong"/>
          <w:color w:val="000000"/>
          <w:sz w:val="44"/>
        </w:rPr>
        <w:t xml:space="preserve">       </w:t>
      </w:r>
      <w:r>
        <w:rPr>
          <w:rFonts w:ascii="FangSong" w:hAnsi="FangSong" w:eastAsia="FangSong" w:cs="FangSong"/>
          <w:color w:val="000000"/>
          <w:sz w:val="36"/>
        </w:rPr>
        <w:t xml:space="preserve">    </w:t>
      </w:r>
      <w:r/>
    </w:p>
    <w:p>
      <w:pPr>
        <w:ind w:left="0" w:right="0" w:firstLine="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致：江苏柒采招标代理有限公司</w:t>
      </w:r>
      <w:r/>
    </w:p>
    <w:p>
      <w:pPr>
        <w:ind w:left="0" w:right="0" w:firstLine="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rPr>
          <w:rFonts w:ascii="FangSong" w:hAnsi="FangSong" w:eastAsia="FangSong" w:cs="FangSong"/>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180" w:firstLine="360"/>
        <w:jc w:val="center"/>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80" w:firstLine="360"/>
        <w:jc w:val="center"/>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80" w:firstLine="360"/>
        <w:jc w:val="center"/>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供应商（加盖公章）：</w:t>
      </w:r>
      <w:r/>
    </w:p>
    <w:p>
      <w:pPr>
        <w:ind w:left="0" w:right="180" w:firstLine="360"/>
        <w:jc w:val="center"/>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法人或授权代表（签字）：</w:t>
      </w:r>
      <w:r/>
    </w:p>
    <w:p>
      <w:pPr>
        <w:ind w:left="0" w:right="480" w:firstLine="0"/>
        <w:jc w:val="center"/>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如果本项目申请人的特定资格要求中要求提供的，必须提供。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七、承诺函</w:t>
      </w:r>
      <w:r/>
    </w:p>
    <w:p>
      <w:pPr>
        <w:ind w:left="0" w:right="0" w:firstLine="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致：江苏柒采招标代理有限公司</w:t>
      </w:r>
      <w:r/>
    </w:p>
    <w:p>
      <w:pPr>
        <w:ind w:left="0" w:right="0" w:firstLine="44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根据贵方</w:t>
      </w:r>
      <w:r>
        <w:rPr>
          <w:rFonts w:ascii="FangSong" w:hAnsi="FangSong" w:eastAsia="FangSong" w:cs="FangSong"/>
          <w:color w:val="000000"/>
          <w:sz w:val="22"/>
          <w:u w:val="single"/>
        </w:rPr>
        <w:t xml:space="preserve">（项目名称）（项目编号）</w:t>
      </w:r>
      <w:r>
        <w:rPr>
          <w:rFonts w:ascii="FangSong" w:hAnsi="FangSong" w:eastAsia="FangSong" w:cs="FangSong"/>
          <w:color w:val="000000"/>
          <w:sz w:val="22"/>
        </w:rPr>
        <w:t xml:space="preserve">竞争性磋商公告，我公司郑重承诺：在参加本次政府采购活动不存在（1）负责人为同一人或者存在直接控股、管理关系的不同供应商，不得参加同一合同项下的政府采购活动。（2）供应商被“信用中国”（www.creditchina.gov.cn）、“中国政府采购网”（www.ccgp.gov.cn）等网站列入失信被执行人、重大税收违法案件当事人名单、政府采购严重违法失信行为记录名单。（3）为采购项目提供整体设计、规范编制或者项目管理、监理、检测等服务的供应商参加本项目的采购活动。</w:t>
      </w:r>
      <w:r/>
    </w:p>
    <w:p>
      <w:pPr>
        <w:ind w:left="0" w:right="0" w:firstLine="44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特此承诺！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供应商（加盖公章）：</w:t>
      </w:r>
      <w:r/>
    </w:p>
    <w:p>
      <w:pPr>
        <w:ind w:left="0" w:right="180" w:firstLine="360"/>
        <w:jc w:val="center"/>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法人或授权代表（签字）：</w:t>
      </w:r>
      <w:r/>
    </w:p>
    <w:p>
      <w:pPr>
        <w:ind w:left="0" w:right="480" w:firstLine="0"/>
        <w:jc w:val="center"/>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八、法人授权书</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本授权书声明：____________（供应商名称）授权________________（被授权人的姓名）为我方就</w:t>
      </w:r>
      <w:r>
        <w:rPr>
          <w:rFonts w:ascii="FangSong" w:hAnsi="FangSong" w:eastAsia="FangSong" w:cs="FangSong"/>
          <w:color w:val="000000"/>
          <w:sz w:val="24"/>
          <w:u w:val="single"/>
        </w:rPr>
        <w:t xml:space="preserve">项目编号为        </w:t>
      </w:r>
      <w:r>
        <w:rPr>
          <w:rFonts w:ascii="FangSong" w:hAnsi="FangSong" w:eastAsia="FangSong" w:cs="FangSong"/>
          <w:color w:val="000000"/>
          <w:sz w:val="24"/>
        </w:rPr>
        <w:t xml:space="preserve">号的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项目采购活动的合法代理人，以本单位名义全权处理一切与该项目采购有关的事务。</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本授权书于______年____月____日起生效，特此声明。</w:t>
      </w:r>
      <w:r/>
    </w:p>
    <w:p>
      <w:pPr>
        <w:ind w:left="0" w:right="0" w:firstLine="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被授权人身份证号码：</w:t>
      </w:r>
      <w:r>
        <w:rPr>
          <w:rFonts w:ascii="FangSong" w:hAnsi="FangSong" w:eastAsia="FangSong" w:cs="FangSong"/>
          <w:color w:val="000000"/>
          <w:sz w:val="24"/>
          <w:u w:val="single"/>
        </w:rPr>
        <w:t xml:space="preserve">                             </w:t>
      </w:r>
      <w:r/>
    </w:p>
    <w:p>
      <w:pPr>
        <w:ind w:left="0" w:right="0" w:firstLine="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被授权人联系电话：（手机）</w:t>
      </w:r>
      <w:r>
        <w:rPr>
          <w:rFonts w:ascii="FangSong" w:hAnsi="FangSong" w:eastAsia="FangSong" w:cs="FangSong"/>
          <w:color w:val="000000"/>
          <w:sz w:val="24"/>
          <w:u w:val="single"/>
        </w:rPr>
        <w:t xml:space="preserve">                       </w:t>
      </w:r>
      <w:r/>
    </w:p>
    <w:p>
      <w:pPr>
        <w:ind w:left="0" w:right="0" w:firstLine="120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授权单位名称：</w:t>
      </w:r>
      <w:r>
        <w:rPr>
          <w:rFonts w:ascii="FangSong" w:hAnsi="FangSong" w:eastAsia="FangSong" w:cs="FangSong"/>
          <w:color w:val="000000"/>
          <w:sz w:val="24"/>
          <w:u w:val="single"/>
        </w:rPr>
        <w:t xml:space="preserve">（加盖公章）</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单位地址：</w:t>
      </w:r>
      <w:r>
        <w:rPr>
          <w:rFonts w:ascii="FangSong" w:hAnsi="FangSong" w:eastAsia="FangSong" w:cs="FangSong"/>
          <w:color w:val="000000"/>
          <w:sz w:val="24"/>
          <w:u w:val="single"/>
        </w:rPr>
        <w:t xml:space="preserve">                                        </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rPr>
          <w:rFonts w:ascii="FangSong" w:hAnsi="FangSong" w:eastAsia="FangSong" w:cs="FangSong"/>
          <w:color w:val="000000"/>
          <w:sz w:val="24"/>
          <w:u w:val="single"/>
        </w:rPr>
        <w:t xml:space="preserve">               </w:t>
      </w:r>
      <w:r/>
    </w:p>
    <w:p>
      <w:pPr>
        <w:ind w:left="0" w:right="0" w:firstLine="482"/>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附：法定代表人、供应商授权代表的身份证复印件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九、响应函</w:t>
      </w:r>
      <w:r/>
    </w:p>
    <w:p>
      <w:pPr>
        <w:ind w:left="0" w:right="0" w:firstLine="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致：江苏柒采招标代理有限公司</w:t>
      </w:r>
      <w:r/>
    </w:p>
    <w:p>
      <w:pPr>
        <w:ind w:left="0" w:right="0" w:firstLine="48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根据贵方的</w:t>
      </w:r>
      <w:r>
        <w:rPr>
          <w:rFonts w:ascii="FangSong" w:hAnsi="FangSong" w:eastAsia="FangSong" w:cs="FangSong"/>
          <w:color w:val="000000"/>
          <w:sz w:val="24"/>
          <w:u w:val="single"/>
        </w:rPr>
        <w:t xml:space="preserve">项目编号为        </w:t>
      </w:r>
      <w:r>
        <w:rPr>
          <w:rFonts w:ascii="FangSong" w:hAnsi="FangSong" w:eastAsia="FangSong" w:cs="FangSong"/>
          <w:color w:val="000000"/>
          <w:sz w:val="24"/>
        </w:rPr>
        <w:t xml:space="preserve">号的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项目磋商文件，正式授权下述签字人_________________（姓名）代表我方______________（供应商的名称），全权处理本次项目磋商的有关事宜。</w:t>
      </w:r>
      <w:r/>
    </w:p>
    <w:p>
      <w:pPr>
        <w:ind w:left="0" w:right="0" w:firstLine="48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据此函，__________签字人兹宣布同意如下：</w:t>
      </w:r>
      <w:r/>
    </w:p>
    <w:p>
      <w:pPr>
        <w:ind w:left="0" w:right="0" w:firstLine="48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1.按磋商文件规定的各项要求，向买方提供所需服务（包含于服务相关的产品）。</w:t>
      </w:r>
      <w:r/>
    </w:p>
    <w:p>
      <w:pPr>
        <w:ind w:left="0" w:right="0" w:firstLine="48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2.我们完全理解贵方不一定将合同授予最低报价的供应商。</w:t>
      </w:r>
      <w:r/>
    </w:p>
    <w:p>
      <w:pPr>
        <w:ind w:left="0" w:right="0" w:firstLine="48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3.我们已详细审核全部磋商文件及其有效补充文件，我们知道必须放弃提出含糊不清或误解问题的权利。</w:t>
      </w:r>
      <w:r/>
    </w:p>
    <w:p>
      <w:pPr>
        <w:ind w:left="0" w:right="0" w:firstLine="48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4.我们同意从规定的开标日期起遵循本响应文件，并在规定的磋商有效期期满之前均具有约束力。</w:t>
      </w:r>
      <w:r/>
    </w:p>
    <w:p>
      <w:pPr>
        <w:ind w:left="0" w:right="0" w:firstLine="48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6.一旦我方成交，我方将根据磋商文件的规定，严格履行合同的责任和义务，并保证在磋商文件规定的时间完成项目，交付买方验收、使用。</w:t>
      </w:r>
      <w:r/>
    </w:p>
    <w:p>
      <w:pPr>
        <w:ind w:left="0" w:right="0" w:firstLine="48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7.与本磋商有关的正式通讯地址为：</w:t>
      </w:r>
      <w:r/>
    </w:p>
    <w:p>
      <w:pPr>
        <w:ind w:left="420" w:right="0" w:firstLine="48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w:t>
      </w:r>
      <w:r/>
    </w:p>
    <w:p>
      <w:pPr>
        <w:ind w:left="420" w:right="0" w:firstLine="48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          编：</w:t>
      </w:r>
      <w:r/>
    </w:p>
    <w:p>
      <w:pPr>
        <w:ind w:left="420" w:right="0" w:firstLine="48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          话：</w:t>
      </w:r>
      <w:r/>
    </w:p>
    <w:p>
      <w:pPr>
        <w:ind w:left="420" w:right="0" w:firstLine="48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传          真：</w:t>
      </w:r>
      <w:r/>
    </w:p>
    <w:p>
      <w:pPr>
        <w:ind w:left="420" w:right="0" w:firstLine="48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供应商开户行：</w:t>
      </w:r>
      <w:r/>
    </w:p>
    <w:p>
      <w:pPr>
        <w:ind w:left="420" w:right="0" w:firstLine="48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          户： </w:t>
      </w:r>
      <w:r/>
    </w:p>
    <w:p>
      <w:pPr>
        <w:ind w:left="420" w:right="0" w:firstLine="480"/>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十、小微企业声明函（服务）</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本公司郑重声明，根据《政府采购促进中小企业发展管理办法》（财库〔2020〕46号）的规定，本公司参加江苏柒采招标代理有限公司组织的项目编号为</w:t>
      </w:r>
      <w:r>
        <w:rPr>
          <w:rFonts w:ascii="FangSong" w:hAnsi="FangSong" w:eastAsia="FangSong" w:cs="FangSong"/>
          <w:color w:val="000000"/>
          <w:sz w:val="24"/>
          <w:u w:val="single"/>
        </w:rPr>
        <w:t xml:space="preserve">***</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（项目名称）</w:t>
      </w:r>
      <w:r>
        <w:rPr>
          <w:rFonts w:ascii="FangSong" w:hAnsi="FangSong" w:eastAsia="FangSong" w:cs="FangSong"/>
          <w:color w:val="000000"/>
          <w:sz w:val="24"/>
        </w:rPr>
        <w:t xml:space="preserve">的磋商活动，服务全部由符合政策的小微企业承接。根据《工业和信息化部、国家统计局、国家发展和改革委员会、财政部关于印发中小企业划型标准规定的通知》（工信部联企业〔2011〕300号）的规定，相关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w:t>
      </w:r>
      <w:r>
        <w:rPr>
          <w:rFonts w:ascii="FangSong" w:hAnsi="FangSong" w:eastAsia="FangSong" w:cs="FangSong"/>
          <w:color w:val="000000"/>
          <w:sz w:val="20"/>
          <w:vertAlign w:val="superscript"/>
        </w:rPr>
        <w:t xml:space="preserve">1</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企业名称（加盖公章）：</w:t>
      </w:r>
      <w:r/>
    </w:p>
    <w:p>
      <w:pPr>
        <w:ind w:left="0" w:right="480" w:firstLine="6938"/>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备注1：从业人员、营业收入、资产总额填报上一年度数据，无上一年度数据的新成立企业可不填报。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备注2：供应商如不提供此声明函，价格将不做相应扣除。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十一、残疾人福利性单位声明函</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（备注：1、供应商如不提供此声明函，价格将不做相应扣除。2、成交人为残疾人福利单位的，此声明函将随成交结果同时公告，接受社会监督）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FangSong" w:hAnsi="FangSong" w:eastAsia="FangSong" w:cs="FangSong"/>
          <w:color w:val="000000"/>
          <w:sz w:val="24"/>
        </w:rPr>
        <w:t xml:space="preserve">          供应商全称（加盖公章）：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  期：</w:t>
      </w:r>
      <w:r/>
    </w:p>
    <w:p>
      <w:pPr>
        <w:ind w:left="0" w:right="0" w:firstLine="480"/>
        <w:jc w:val="both"/>
        <w:spacing w:before="0" w:after="0" w:line="10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10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证明材料：本单位在职职工人数和安置残疾人人数、与安置的每位残疾人签订了一年以上（含一年）的劳动合同或服务协议、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安置的残疾人在法定劳动年龄内且持有《中华人民共和国残疾人证》或者《中华人民共和国残疾军人证（1至8级）》，包括具有劳动条件和劳动意愿的精神残疾人（未提供证明或材料不全的不予折扣）。</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十二、监狱企业声明函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关于政府采购支持监狱企业发展有关问题的通知》（财库〔2014〕68号）规定，本单位为符合条件的监狱企业，且本单位参加______单位的______项目采购活动提供本单位制造的货物（由本单位承担工程/提供服务），或者提供其他监狱企业制造的货物（不包括使用非监狱企业注册商标的货物）。</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单位名称（盖章）：</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w:t>
      </w:r>
      <w:r/>
    </w:p>
    <w:p>
      <w:pPr>
        <w:ind w:left="0" w:right="0" w:firstLine="480"/>
        <w:jc w:val="both"/>
        <w:spacing w:before="0" w:after="0" w:line="53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注：成交供应商为监狱企业且评审中享受了监狱企业相关政府采购支持政策的，其《监狱企业声明函》将在中标、成交公示中公告，接受社会监督。</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十三、报价表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（格式可根据项目情况自行调整）</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389"/>
        <w:gridCol w:w="5843"/>
      </w:tblGrid>
      <w:tr>
        <w:trPr>
          <w:trHeight w:val="10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0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元（大写）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元（小写）</w:t>
            </w:r>
            <w:r/>
          </w:p>
        </w:tc>
      </w:tr>
      <w:tr>
        <w:trPr>
          <w:trHeight w:val="11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满足磋商文件要求。</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供应商是否为小微企业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bl>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FangSong" w:hAnsi="FangSong" w:eastAsia="FangSong" w:cs="FangSong"/>
          <w:color w:val="000000"/>
          <w:sz w:val="21"/>
        </w:rPr>
        <w:t xml:space="preserve">说明：</w:t>
      </w:r>
      <w:r/>
    </w:p>
    <w:p>
      <w:pPr>
        <w:ind w:left="0" w:right="0" w:firstLine="42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1、本项目仅接受一个价格，不得填报有选择性报价方案。</w:t>
      </w:r>
      <w:r/>
    </w:p>
    <w:p>
      <w:pPr>
        <w:ind w:left="0" w:right="0" w:firstLine="42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2、响应文件所报的响应价格（首次报价）不得超过磋商文件规定的预算价、限价，超过磋商文件规定的，按无效响应处理。</w:t>
      </w:r>
      <w:r/>
    </w:p>
    <w:p>
      <w:pPr>
        <w:ind w:left="0" w:right="0" w:firstLine="42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3、磋商结束后，磋商小组将要求所有实质性响应的供应商在规定时间内提交最后报价（二次或多次报价）。 </w:t>
      </w:r>
      <w:r/>
    </w:p>
    <w:p>
      <w:pPr>
        <w:ind w:left="0" w:right="0" w:firstLine="42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4、供应商须根据企业自身实际情况，在“供应商是否为小微企业”栏后“是”或“否”上打“√”。</w:t>
      </w:r>
      <w:r/>
    </w:p>
    <w:p>
      <w:pPr>
        <w:ind w:left="0" w:right="0" w:firstLine="480"/>
        <w:jc w:val="right"/>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right"/>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供应商全称（加盖公章）：</w:t>
      </w:r>
      <w:r/>
    </w:p>
    <w:p>
      <w:pPr>
        <w:ind w:left="0" w:right="0" w:firstLine="0"/>
        <w:jc w:val="right"/>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法人或授权代表（签字）：</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十四、分项报价表</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2052"/>
        <w:gridCol w:w="1199"/>
        <w:gridCol w:w="1120"/>
        <w:gridCol w:w="785"/>
        <w:gridCol w:w="1136"/>
        <w:gridCol w:w="129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分项服务名称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分项总价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w:t>
      </w:r>
      <w:r/>
    </w:p>
    <w:p>
      <w:pPr>
        <w:ind w:left="105"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1、行数不够，可自行添加。</w:t>
      </w:r>
      <w:r/>
    </w:p>
    <w:p>
      <w:pPr>
        <w:ind w:left="105"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2、供应商的报价应包括采购人需求的服务（包含与服务相关的产品）价格、质量保证费用、售后服务费用、验收所需费用和所有相关税金费用及为完成整个项目所产生的其他所有费用。</w:t>
      </w:r>
      <w:r/>
    </w:p>
    <w:p>
      <w:pPr>
        <w:ind w:left="105"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3、经磋商后，如果成交价高于或低于供应商在响应文件所报响应价格（首次报价）的，分项报价同比例调整。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126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十五、技术要求响应及偏离表</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1"/>
        <w:gridCol w:w="2122"/>
        <w:gridCol w:w="1844"/>
        <w:gridCol w:w="2294"/>
        <w:gridCol w:w="2374"/>
      </w:tblGrid>
      <w:tr>
        <w:trPr>
          <w:trHeight w:val="5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满足、正或负偏离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证明材料</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注： 行数不够，可自行添加。请供应商针对磋商文件第四章技术/服务条款，逐条进行响应。</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供应商全称（加盖公章）：</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法人或授权代表（签字）：</w:t>
      </w:r>
      <w:r/>
    </w:p>
    <w:p>
      <w:pPr>
        <w:ind w:left="0" w:right="0" w:firstLine="0"/>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十六、商务要求响应及偏离表</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8"/>
        <w:gridCol w:w="2089"/>
        <w:gridCol w:w="2176"/>
        <w:gridCol w:w="2085"/>
        <w:gridCol w:w="1947"/>
      </w:tblGrid>
      <w:tr>
        <w:trPr>
          <w:trHeight w:val="5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满足、正或负偏离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证明材料</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注： 行数不够，可自行添加。请供应商针对磋商文件中的商务条款进行响应。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供应商全称（加盖公章）：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法人或授权代表（签字）：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十七、其他证明文件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（请按照磋商文件要求进行响应，如企业资质、人员资质、服务方案、业绩等）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人员配备一览表（参考格式）</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1"/>
        <w:gridCol w:w="760"/>
        <w:gridCol w:w="2683"/>
        <w:gridCol w:w="1188"/>
        <w:gridCol w:w="880"/>
        <w:gridCol w:w="2984"/>
      </w:tblGrid>
      <w:tr>
        <w:trPr>
          <w:trHeight w:val="6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在本项目中担任的职务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岗位职称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主要资历、经验</w:t>
            </w:r>
            <w:r/>
          </w:p>
        </w:tc>
      </w:tr>
      <w:tr>
        <w:trPr>
          <w:trHeight w:val="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注：此表为表样，行数可自行添加，但表式不变。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供应商全称（加盖公章）：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法人或授权代表（签字）：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经营业绩（参考格式）</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8"/>
        <w:gridCol w:w="1426"/>
        <w:gridCol w:w="1435"/>
        <w:gridCol w:w="1311"/>
        <w:gridCol w:w="1383"/>
        <w:gridCol w:w="3012"/>
      </w:tblGrid>
      <w:tr>
        <w:trPr>
          <w:trHeight w:val="4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签订时间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证明材料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（第几页—第几页）</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注：此表为表样，行数可自行添加，但表式不变。根据评分标准要求，附上业绩证明材料。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供应商全称（加盖公章）：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法人或授权代表（签字）：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pStyle w:val="775"/>
        <w:ind w:left="0" w:right="0" w:firstLine="0"/>
        <w:jc w:val="both"/>
        <w:spacing w:before="0" w:after="10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十八、发票信息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发票信息登记表</w:t>
      </w:r>
      <w:r/>
    </w:p>
    <w:p>
      <w:pPr>
        <w:ind w:left="0" w:right="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填写日期：2024年  月   日</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83"/>
        <w:gridCol w:w="3643"/>
        <w:gridCol w:w="22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项目名称及编号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公司（单位）全称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税   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*开票地址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8" w:type="dxa"/>
            <w:vAlign w:val="center"/>
            <w:vMerge w:val="restart"/>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如需开具专票，请填写完整。</w:t>
            </w:r>
            <w:r>
              <w:rPr>
                <w:rFonts w:ascii="FangSong" w:hAnsi="FangSong" w:eastAsia="FangSong" w:cs="FangSong"/>
                <w:b/>
                <w:color w:val="ff0000"/>
                <w:sz w:val="28"/>
                <w:highlight w:val="yellow"/>
                <w:u w:val="single"/>
              </w:rPr>
              <w:t xml:space="preserve">如需开具普票此处无需填写。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*开票电话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*开户行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vMerge w:val="continue"/>
            <w:textDirection w:val="lrTb"/>
            <w:noWrap w:val="false"/>
          </w:tcPr>
          <w:p>
            <w:r/>
            <w:r/>
          </w:p>
        </w:tc>
      </w:tr>
      <w:tr>
        <w:trPr>
          <w:trHeight w:val="4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*账   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联系人及联系电话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发票类型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8"/>
              </w:rPr>
              <w:t xml:space="preserve">£</w:t>
            </w:r>
            <w:r>
              <w:rPr>
                <w:rFonts w:ascii="FangSong" w:hAnsi="FangSong" w:eastAsia="FangSong" w:cs="FangSong"/>
                <w:color w:val="000000"/>
                <w:sz w:val="28"/>
              </w:rPr>
              <w:t xml:space="preserve"> 专用发票      </w:t>
            </w:r>
            <w:r>
              <w:rPr>
                <w:rFonts w:ascii="Wingdings 2" w:hAnsi="Wingdings 2" w:eastAsia="Wingdings 2" w:cs="Wingdings 2"/>
                <w:color w:val="000000"/>
                <w:sz w:val="28"/>
              </w:rPr>
              <w:t xml:space="preserve">£</w:t>
            </w:r>
            <w:r>
              <w:rPr>
                <w:rFonts w:ascii="FangSong" w:hAnsi="FangSong" w:eastAsia="FangSong" w:cs="FangSong"/>
                <w:color w:val="000000"/>
                <w:sz w:val="28"/>
              </w:rPr>
              <w:t xml:space="preserve"> 普通发票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开具内容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rPr>
                <w:rFonts w:ascii="Wingdings 2" w:hAnsi="Wingdings 2" w:eastAsia="Wingdings 2" w:cs="Wingdings 2"/>
                <w:color w:val="000000"/>
                <w:sz w:val="28"/>
              </w:rPr>
              <w:t xml:space="preserve">£</w:t>
            </w:r>
            <w:r>
              <w:rPr>
                <w:rFonts w:ascii="FangSong" w:hAnsi="FangSong" w:eastAsia="FangSong" w:cs="FangSong"/>
                <w:color w:val="000000"/>
                <w:sz w:val="28"/>
              </w:rPr>
              <w:t xml:space="preserve"> 标书费        </w:t>
            </w:r>
            <w:r>
              <w:rPr>
                <w:rFonts w:ascii="Wingdings 2" w:hAnsi="Wingdings 2" w:eastAsia="Wingdings 2" w:cs="Wingdings 2"/>
                <w:color w:val="000000"/>
                <w:sz w:val="28"/>
              </w:rPr>
              <w:t xml:space="preserve">£</w:t>
            </w:r>
            <w:r>
              <w:rPr>
                <w:rFonts w:ascii="FangSong" w:hAnsi="FangSong" w:eastAsia="FangSong" w:cs="FangSong"/>
                <w:color w:val="000000"/>
                <w:sz w:val="28"/>
              </w:rPr>
              <w:t xml:space="preserve"> 代理服务费</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发票数量               </w:t>
            </w:r>
            <w:r>
              <w:rPr>
                <w:rFonts w:ascii="FangSong" w:hAnsi="FangSong" w:eastAsia="FangSong" w:cs="FangSong"/>
                <w:b/>
                <w:color w:val="ff0000"/>
                <w:sz w:val="28"/>
                <w:highlight w:val="yellow"/>
                <w:u w:val="single"/>
              </w:rPr>
              <w:t xml:space="preserve">（如只需开具报名费此项  无需填写！）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8"/>
              </w:rPr>
              <w:t xml:space="preserve">£</w:t>
            </w:r>
            <w:r>
              <w:rPr>
                <w:rFonts w:ascii="FangSong" w:hAnsi="FangSong" w:eastAsia="FangSong" w:cs="FangSong"/>
                <w:color w:val="000000"/>
                <w:sz w:val="28"/>
              </w:rPr>
              <w:t xml:space="preserve"> 标书费和代理服务费开在1张发票；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8"/>
              </w:rPr>
              <w:t xml:space="preserve">£</w:t>
            </w:r>
            <w:r>
              <w:rPr>
                <w:rFonts w:ascii="FangSong" w:hAnsi="FangSong" w:eastAsia="FangSong" w:cs="FangSong"/>
                <w:color w:val="000000"/>
                <w:sz w:val="28"/>
              </w:rPr>
              <w:t xml:space="preserve"> 标书费和代理服务费分2张发票开。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标书费金额（小写/元）</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代理服务费（小写/元）</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电子邮箱</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说   明</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ff0000"/>
                <w:sz w:val="28"/>
                <w:u w:val="single"/>
              </w:rPr>
              <w:t xml:space="preserve">请按以上文件格式（word版本）填写保存后发送至项目负责人邮箱（jsqczb@qq.com）。所开具发票为数电票，一经开出，不可修改或作废，须在开票前，确认信息，务必再核实一遍！如因信息填写错误而导致发票问题，我司概不负责。</w:t>
            </w:r>
            <w:r/>
          </w:p>
        </w:tc>
      </w:tr>
    </w:tbl>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注：需项目开评标结束后，将此表格发送项目负责人邮箱申请开具发票。</w:t>
      </w:r>
      <w:r/>
    </w:p>
    <w:p>
      <w:pPr>
        <w:pStyle w:val="951"/>
        <w:ind w:firstLine="211"/>
        <w:spacing w:line="360" w:lineRule="auto"/>
        <w:rPr>
          <w:rFonts w:hint="eastAsia"/>
          <w:b/>
          <w:bCs/>
          <w:sz w:val="21"/>
          <w:szCs w:val="24"/>
          <w:u w:val="single"/>
          <w:lang w:val="en-US" w:eastAsia="zh-CN"/>
        </w:rPr>
      </w:pPr>
      <w:r>
        <w:rPr>
          <w:rFonts w:hint="eastAsia"/>
          <w:b/>
          <w:bCs/>
          <w:sz w:val="21"/>
          <w:szCs w:val="24"/>
          <w:u w:val="single"/>
          <w:lang w:val="en-US" w:eastAsia="zh-CN"/>
        </w:rPr>
      </w:r>
      <w:r/>
    </w:p>
    <w:sectPr>
      <w:footerReference w:type="default" r:id="rId9"/>
      <w:footerReference w:type="first" r:id="rId10"/>
      <w:footnotePr/>
      <w:endnotePr/>
      <w:type w:val="nextPage"/>
      <w:pgSz w:w="11906" w:h="16838" w:orient="portrait"/>
      <w:pgMar w:top="1440" w:right="1080" w:bottom="1440" w:left="108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imHei">
    <w:panose1 w:val="02010609060101010101"/>
  </w:font>
  <w:font w:name="FangSong">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w:t>
                          </w:r>
                          <w:r/>
                        </w:p>
                        <w:p>
                          <w:pPr>
                            <w:pStyle w:val="951"/>
                          </w:pPr>
                          <w:r/>
                          <w:r/>
                        </w:p>
                      </w:txbxContent>
                    </wps:txbx>
                    <wps:bodyPr wrap="none" lIns="0" tIns="0" rIns="0" bIns="0" upright="1">
                      <a:spAutoFit/>
                    </wps:bodyPr>
                  </wps:wsp>
                </a:graphicData>
              </a:graphic>
            </wp:anchor>
          </w:drawing>
        </mc:Choice>
        <mc:Fallback>
          <w:pict>
            <v:shape id="shape 0" o:spid="_x0000_s0"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w:t>
                    </w:r>
                    <w:r/>
                  </w:p>
                  <w:p>
                    <w:pPr>
                      <w:pStyle w:val="951"/>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r/>
                        </w:p>
                        <w:p>
                          <w:pPr>
                            <w:pStyle w:val="95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r/>
                  </w:p>
                  <w:p>
                    <w:pPr>
                      <w:pStyle w:val="951"/>
                    </w:pPr>
                    <w:r/>
                    <w:r/>
                  </w:p>
                </w:txbxContent>
              </v:textbox>
            </v:shape>
          </w:pict>
        </mc:Fallback>
      </mc:AlternateConten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1"/>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r/>
                        </w:p>
                        <w:p>
                          <w:pPr>
                            <w:pStyle w:val="95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r/>
                  </w:p>
                  <w:p>
                    <w:pPr>
                      <w:pStyle w:val="95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0"/>
      <w:isLgl w:val="false"/>
      <w:suff w:val="tab"/>
      <w:lvlText w:val="附录%1."/>
      <w:lvlJc w:val="left"/>
      <w:pPr>
        <w:pStyle w:val="9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7"/>
      <w:isLgl w:val="false"/>
      <w:suff w:val="tab"/>
      <w:lvlText w:val="%1."/>
      <w:lvlJc w:val="left"/>
      <w:pPr>
        <w:pStyle w:val="951"/>
        <w:ind w:left="709" w:hanging="709"/>
        <w:tabs>
          <w:tab w:val="num" w:pos="709" w:leader="none"/>
        </w:tabs>
      </w:pPr>
      <w:rPr>
        <w:rFonts w:hint="eastAsia"/>
      </w:rPr>
    </w:lvl>
    <w:lvl w:ilvl="1">
      <w:start w:val="1"/>
      <w:numFmt w:val="decimal"/>
      <w:isLgl w:val="false"/>
      <w:suff w:val="tab"/>
      <w:lvlText w:val="%1.%2"/>
      <w:lvlJc w:val="left"/>
      <w:pPr>
        <w:pStyle w:val="951"/>
        <w:ind w:left="709" w:hanging="709"/>
        <w:tabs>
          <w:tab w:val="num" w:pos="709" w:leader="none"/>
        </w:tabs>
      </w:pPr>
      <w:rPr>
        <w:rFonts w:hint="eastAsia"/>
      </w:rPr>
    </w:lvl>
    <w:lvl w:ilvl="2">
      <w:start w:val="1"/>
      <w:numFmt w:val="decimal"/>
      <w:isLgl w:val="false"/>
      <w:suff w:val="tab"/>
      <w:lvlText w:val="%1.%2.%3."/>
      <w:lvlJc w:val="left"/>
      <w:pPr>
        <w:pStyle w:val="951"/>
        <w:ind w:left="425" w:hanging="425"/>
        <w:tabs>
          <w:tab w:val="num" w:pos="425" w:leader="none"/>
        </w:tabs>
      </w:pPr>
      <w:rPr>
        <w:rFonts w:hint="eastAsia"/>
      </w:rPr>
    </w:lvl>
    <w:lvl w:ilvl="3">
      <w:start w:val="1"/>
      <w:numFmt w:val="decimal"/>
      <w:isLgl w:val="false"/>
      <w:suff w:val="tab"/>
      <w:lvlText w:val="%1.%2.%3.%4."/>
      <w:lvlJc w:val="left"/>
      <w:pPr>
        <w:pStyle w:val="951"/>
        <w:ind w:left="851" w:hanging="851"/>
        <w:tabs>
          <w:tab w:val="num" w:pos="851" w:leader="none"/>
        </w:tabs>
      </w:pPr>
      <w:rPr>
        <w:rFonts w:hint="eastAsia"/>
      </w:rPr>
    </w:lvl>
    <w:lvl w:ilvl="4">
      <w:start w:val="1"/>
      <w:numFmt w:val="decimal"/>
      <w:isLgl w:val="false"/>
      <w:suff w:val="tab"/>
      <w:lvlText w:val="%1.%2.%3.%4.%5."/>
      <w:lvlJc w:val="left"/>
      <w:pPr>
        <w:pStyle w:val="951"/>
        <w:ind w:left="992" w:hanging="992"/>
        <w:tabs>
          <w:tab w:val="num" w:pos="992" w:leader="none"/>
        </w:tabs>
      </w:pPr>
      <w:rPr>
        <w:rFonts w:hint="eastAsia"/>
      </w:rPr>
    </w:lvl>
    <w:lvl w:ilvl="5">
      <w:start w:val="1"/>
      <w:numFmt w:val="decimal"/>
      <w:isLgl w:val="false"/>
      <w:suff w:val="tab"/>
      <w:lvlText w:val="%1.%2.%3.%4.%5.%6."/>
      <w:lvlJc w:val="left"/>
      <w:pPr>
        <w:pStyle w:val="951"/>
        <w:ind w:left="1134" w:hanging="1134"/>
        <w:tabs>
          <w:tab w:val="num" w:pos="1134" w:leader="none"/>
        </w:tabs>
      </w:pPr>
      <w:rPr>
        <w:rFonts w:hint="eastAsia"/>
      </w:rPr>
    </w:lvl>
    <w:lvl w:ilvl="6">
      <w:start w:val="1"/>
      <w:numFmt w:val="decimal"/>
      <w:isLgl w:val="false"/>
      <w:suff w:val="tab"/>
      <w:lvlText w:val="%1.%2.%3.%4.%5.%6.%7."/>
      <w:lvlJc w:val="left"/>
      <w:pPr>
        <w:pStyle w:val="951"/>
        <w:ind w:left="1276" w:hanging="1276"/>
        <w:tabs>
          <w:tab w:val="num" w:pos="1276" w:leader="none"/>
        </w:tabs>
      </w:pPr>
      <w:rPr>
        <w:rFonts w:hint="eastAsia"/>
      </w:rPr>
    </w:lvl>
    <w:lvl w:ilvl="7">
      <w:start w:val="1"/>
      <w:numFmt w:val="decimal"/>
      <w:isLgl w:val="false"/>
      <w:suff w:val="tab"/>
      <w:lvlText w:val="%1.%2.%3.%4.%5.%6.%7.%8."/>
      <w:lvlJc w:val="left"/>
      <w:pPr>
        <w:pStyle w:val="951"/>
        <w:ind w:left="1418" w:hanging="1418"/>
        <w:tabs>
          <w:tab w:val="num" w:pos="1418" w:leader="none"/>
        </w:tabs>
      </w:pPr>
      <w:rPr>
        <w:rFonts w:hint="eastAsia"/>
      </w:rPr>
    </w:lvl>
    <w:lvl w:ilvl="8">
      <w:start w:val="1"/>
      <w:numFmt w:val="decimal"/>
      <w:isLgl w:val="false"/>
      <w:suff w:val="tab"/>
      <w:lvlText w:val="%1.%2.%3.%4.%5.%6.%7.%8.%9."/>
      <w:lvlJc w:val="left"/>
      <w:pPr>
        <w:pStyle w:val="95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51"/>
        <w:ind w:left="0" w:firstLine="0"/>
      </w:pPr>
      <w:rPr>
        <w:rFonts w:hint="eastAsia"/>
      </w:rPr>
    </w:lvl>
    <w:lvl w:ilvl="1">
      <w:start w:val="1"/>
      <w:numFmt w:val="decimal"/>
      <w:isLgl w:val="false"/>
      <w:suff w:val="nothing"/>
      <w:lvlText w:val="%2、"/>
      <w:lvlJc w:val="left"/>
      <w:pPr>
        <w:pStyle w:val="951"/>
        <w:ind w:left="0" w:firstLine="0"/>
      </w:pPr>
      <w:rPr>
        <w:rFonts w:hint="eastAsia"/>
      </w:rPr>
    </w:lvl>
    <w:lvl w:ilvl="2">
      <w:start w:val="1"/>
      <w:numFmt w:val="decimal"/>
      <w:isLgl w:val="false"/>
      <w:suff w:val="nothing"/>
      <w:lvlText w:val="%2.%3 "/>
      <w:lvlJc w:val="left"/>
      <w:pPr>
        <w:pStyle w:val="951"/>
        <w:ind w:left="0" w:firstLine="0"/>
      </w:pPr>
      <w:rPr>
        <w:rFonts w:hint="eastAsia"/>
      </w:rPr>
    </w:lvl>
    <w:lvl w:ilvl="3">
      <w:start w:val="1"/>
      <w:numFmt w:val="decimal"/>
      <w:isLgl w:val="false"/>
      <w:suff w:val="nothing"/>
      <w:lvlText w:val="%2.%3.%4 "/>
      <w:lvlJc w:val="left"/>
      <w:pPr>
        <w:pStyle w:val="951"/>
        <w:ind w:left="0" w:firstLine="0"/>
      </w:pPr>
      <w:rPr>
        <w:rFonts w:hint="eastAsia"/>
      </w:rPr>
    </w:lvl>
    <w:lvl w:ilvl="4">
      <w:start w:val="1"/>
      <w:numFmt w:val="decimal"/>
      <w:isLgl w:val="false"/>
      <w:suff w:val="nothing"/>
      <w:lvlText w:val="%2.%3.%4.%5 "/>
      <w:lvlJc w:val="left"/>
      <w:pPr>
        <w:pStyle w:val="951"/>
        <w:ind w:left="0" w:firstLine="0"/>
      </w:pPr>
      <w:rPr>
        <w:rFonts w:hint="eastAsia"/>
      </w:rPr>
    </w:lvl>
    <w:lvl w:ilvl="5">
      <w:start w:val="1"/>
      <w:numFmt w:val="decimal"/>
      <w:pStyle w:val="957"/>
      <w:isLgl w:val="false"/>
      <w:suff w:val="nothing"/>
      <w:lvlText w:val=""/>
      <w:lvlJc w:val="left"/>
      <w:pPr>
        <w:pStyle w:val="951"/>
        <w:ind w:left="0" w:firstLine="0"/>
      </w:pPr>
      <w:rPr>
        <w:rFonts w:hint="eastAsia"/>
      </w:rPr>
    </w:lvl>
    <w:lvl w:ilvl="6">
      <w:start w:val="1"/>
      <w:numFmt w:val="decimal"/>
      <w:pStyle w:val="958"/>
      <w:isLgl w:val="false"/>
      <w:suff w:val="nothing"/>
      <w:lvlText w:val=""/>
      <w:lvlJc w:val="left"/>
      <w:pPr>
        <w:pStyle w:val="951"/>
        <w:ind w:left="0" w:firstLine="0"/>
      </w:pPr>
      <w:rPr>
        <w:rFonts w:hint="eastAsia"/>
      </w:rPr>
    </w:lvl>
    <w:lvl w:ilvl="7">
      <w:start w:val="1"/>
      <w:numFmt w:val="decimal"/>
      <w:pStyle w:val="959"/>
      <w:isLgl w:val="false"/>
      <w:suff w:val="nothing"/>
      <w:lvlText w:val=""/>
      <w:lvlJc w:val="left"/>
      <w:pPr>
        <w:pStyle w:val="951"/>
        <w:ind w:left="0" w:firstLine="0"/>
      </w:pPr>
      <w:rPr>
        <w:rFonts w:hint="eastAsia"/>
      </w:rPr>
    </w:lvl>
    <w:lvl w:ilvl="8">
      <w:start w:val="1"/>
      <w:numFmt w:val="decimal"/>
      <w:pStyle w:val="960"/>
      <w:isLgl w:val="false"/>
      <w:suff w:val="nothing"/>
      <w:lvlText w:val=""/>
      <w:lvlJc w:val="left"/>
      <w:pPr>
        <w:pStyle w:val="951"/>
        <w:ind w:left="0" w:firstLine="0"/>
      </w:pPr>
      <w:rPr>
        <w:rFonts w:hint="eastAsia"/>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51"/>
    <w:next w:val="951"/>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51"/>
    <w:next w:val="951"/>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51"/>
    <w:next w:val="951"/>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51"/>
    <w:next w:val="951"/>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51"/>
    <w:next w:val="951"/>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51"/>
    <w:next w:val="951"/>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51"/>
    <w:next w:val="951"/>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51"/>
    <w:next w:val="951"/>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51"/>
    <w:next w:val="951"/>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List Paragraph"/>
    <w:basedOn w:val="951"/>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951"/>
    <w:next w:val="951"/>
    <w:link w:val="794"/>
    <w:uiPriority w:val="10"/>
    <w:qFormat/>
    <w:pPr>
      <w:contextualSpacing/>
      <w:spacing w:before="300" w:after="200"/>
    </w:pPr>
    <w:rPr>
      <w:sz w:val="48"/>
      <w:szCs w:val="48"/>
    </w:rPr>
  </w:style>
  <w:style w:type="character" w:styleId="794">
    <w:name w:val="Title Char"/>
    <w:link w:val="793"/>
    <w:uiPriority w:val="10"/>
    <w:rPr>
      <w:sz w:val="48"/>
      <w:szCs w:val="48"/>
    </w:rPr>
  </w:style>
  <w:style w:type="paragraph" w:styleId="795">
    <w:name w:val="Subtitle"/>
    <w:basedOn w:val="951"/>
    <w:next w:val="951"/>
    <w:link w:val="796"/>
    <w:uiPriority w:val="11"/>
    <w:qFormat/>
    <w:pPr>
      <w:spacing w:before="200" w:after="200"/>
    </w:pPr>
    <w:rPr>
      <w:sz w:val="24"/>
      <w:szCs w:val="24"/>
    </w:rPr>
  </w:style>
  <w:style w:type="character" w:styleId="796">
    <w:name w:val="Subtitle Char"/>
    <w:link w:val="795"/>
    <w:uiPriority w:val="11"/>
    <w:rPr>
      <w:sz w:val="24"/>
      <w:szCs w:val="24"/>
    </w:rPr>
  </w:style>
  <w:style w:type="paragraph" w:styleId="797">
    <w:name w:val="Quote"/>
    <w:basedOn w:val="951"/>
    <w:next w:val="951"/>
    <w:link w:val="798"/>
    <w:uiPriority w:val="29"/>
    <w:qFormat/>
    <w:pPr>
      <w:ind w:left="720" w:right="720"/>
    </w:pPr>
    <w:rPr>
      <w:i/>
    </w:rPr>
  </w:style>
  <w:style w:type="character" w:styleId="798">
    <w:name w:val="Quote Char"/>
    <w:link w:val="797"/>
    <w:uiPriority w:val="29"/>
    <w:rPr>
      <w:i/>
    </w:rPr>
  </w:style>
  <w:style w:type="paragraph" w:styleId="799">
    <w:name w:val="Intense Quote"/>
    <w:basedOn w:val="951"/>
    <w:next w:val="951"/>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paragraph" w:styleId="801">
    <w:name w:val="Header"/>
    <w:basedOn w:val="951"/>
    <w:link w:val="802"/>
    <w:uiPriority w:val="99"/>
    <w:unhideWhenUsed/>
    <w:pPr>
      <w:spacing w:after="0" w:line="240" w:lineRule="auto"/>
      <w:tabs>
        <w:tab w:val="center" w:pos="7143" w:leader="none"/>
        <w:tab w:val="right" w:pos="14287" w:leader="none"/>
      </w:tabs>
    </w:pPr>
  </w:style>
  <w:style w:type="character" w:styleId="802">
    <w:name w:val="Header Char"/>
    <w:link w:val="801"/>
    <w:uiPriority w:val="99"/>
  </w:style>
  <w:style w:type="paragraph" w:styleId="803">
    <w:name w:val="Footer"/>
    <w:basedOn w:val="951"/>
    <w:link w:val="806"/>
    <w:uiPriority w:val="99"/>
    <w:unhideWhenUsed/>
    <w:pPr>
      <w:spacing w:after="0" w:line="240" w:lineRule="auto"/>
      <w:tabs>
        <w:tab w:val="center" w:pos="7143" w:leader="none"/>
        <w:tab w:val="right" w:pos="14287" w:leader="none"/>
      </w:tabs>
    </w:pPr>
  </w:style>
  <w:style w:type="character" w:styleId="804">
    <w:name w:val="Footer Char"/>
    <w:link w:val="803"/>
    <w:uiPriority w:val="99"/>
  </w:style>
  <w:style w:type="paragraph" w:styleId="805">
    <w:name w:val="Caption"/>
    <w:basedOn w:val="951"/>
    <w:next w:val="951"/>
    <w:uiPriority w:val="35"/>
    <w:semiHidden/>
    <w:unhideWhenUsed/>
    <w:qFormat/>
    <w:pPr>
      <w:spacing w:line="276" w:lineRule="auto"/>
    </w:pPr>
    <w:rPr>
      <w:b/>
      <w:bCs/>
      <w:color w:val="4f81bd" w:themeColor="accent1"/>
      <w:sz w:val="18"/>
      <w:szCs w:val="18"/>
    </w:rPr>
  </w:style>
  <w:style w:type="character" w:styleId="806">
    <w:name w:val="Caption Char"/>
    <w:basedOn w:val="805"/>
    <w:link w:val="803"/>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51"/>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uiPriority w:val="99"/>
    <w:unhideWhenUsed/>
    <w:rPr>
      <w:vertAlign w:val="superscript"/>
    </w:rPr>
  </w:style>
  <w:style w:type="paragraph" w:styleId="937">
    <w:name w:val="endnote text"/>
    <w:basedOn w:val="951"/>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1"/>
    <w:basedOn w:val="951"/>
    <w:next w:val="951"/>
    <w:uiPriority w:val="39"/>
    <w:unhideWhenUsed/>
    <w:pPr>
      <w:ind w:left="0" w:right="0" w:firstLine="0"/>
      <w:spacing w:after="57"/>
    </w:pPr>
  </w:style>
  <w:style w:type="paragraph" w:styleId="941">
    <w:name w:val="toc 2"/>
    <w:basedOn w:val="951"/>
    <w:next w:val="951"/>
    <w:uiPriority w:val="39"/>
    <w:unhideWhenUsed/>
    <w:pPr>
      <w:ind w:left="283" w:right="0" w:firstLine="0"/>
      <w:spacing w:after="57"/>
    </w:pPr>
  </w:style>
  <w:style w:type="paragraph" w:styleId="942">
    <w:name w:val="toc 3"/>
    <w:basedOn w:val="951"/>
    <w:next w:val="951"/>
    <w:uiPriority w:val="39"/>
    <w:unhideWhenUsed/>
    <w:pPr>
      <w:ind w:left="567" w:right="0" w:firstLine="0"/>
      <w:spacing w:after="57"/>
    </w:pPr>
  </w:style>
  <w:style w:type="paragraph" w:styleId="943">
    <w:name w:val="toc 4"/>
    <w:basedOn w:val="951"/>
    <w:next w:val="951"/>
    <w:uiPriority w:val="39"/>
    <w:unhideWhenUsed/>
    <w:pPr>
      <w:ind w:left="850"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next w:val="951"/>
    <w:link w:val="951"/>
    <w:qFormat/>
    <w:pPr>
      <w:jc w:val="both"/>
      <w:widowControl w:val="off"/>
    </w:pPr>
    <w:rPr>
      <w:sz w:val="21"/>
      <w:szCs w:val="21"/>
      <w:lang w:val="en-US" w:eastAsia="zh-CN" w:bidi="ar-SA"/>
    </w:rPr>
  </w:style>
  <w:style w:type="paragraph" w:styleId="952">
    <w:name w:val="标题 1"/>
    <w:basedOn w:val="951"/>
    <w:next w:val="951"/>
    <w:link w:val="951"/>
    <w:qFormat/>
    <w:pPr>
      <w:jc w:val="center"/>
      <w:keepNext/>
      <w:outlineLvl w:val="0"/>
    </w:pPr>
    <w:rPr>
      <w:rFonts w:ascii="楷体_GB2312" w:eastAsia="楷体_GB2312"/>
      <w:sz w:val="28"/>
      <w:szCs w:val="28"/>
    </w:rPr>
  </w:style>
  <w:style w:type="paragraph" w:styleId="953">
    <w:name w:val="标题 2"/>
    <w:basedOn w:val="951"/>
    <w:next w:val="951"/>
    <w:link w:val="951"/>
    <w:qFormat/>
    <w:pPr>
      <w:jc w:val="center"/>
      <w:keepLines/>
      <w:keepNext/>
      <w:spacing w:before="260" w:after="260" w:line="416" w:lineRule="auto"/>
      <w:outlineLvl w:val="1"/>
    </w:pPr>
    <w:rPr>
      <w:rFonts w:ascii="Arial" w:hAnsi="Arial" w:eastAsia="幼圆" w:cs="Arial"/>
      <w:b/>
      <w:bCs/>
      <w:sz w:val="44"/>
      <w:szCs w:val="44"/>
    </w:rPr>
  </w:style>
  <w:style w:type="paragraph" w:styleId="954">
    <w:name w:val="标题 3"/>
    <w:basedOn w:val="951"/>
    <w:next w:val="963"/>
    <w:link w:val="951"/>
    <w:qFormat/>
    <w:pPr>
      <w:keepLines/>
      <w:keepNext/>
      <w:spacing w:before="260" w:after="260" w:line="416" w:lineRule="auto"/>
      <w:outlineLvl w:val="2"/>
    </w:pPr>
    <w:rPr>
      <w:b/>
      <w:bCs/>
      <w:sz w:val="32"/>
      <w:szCs w:val="32"/>
    </w:rPr>
  </w:style>
  <w:style w:type="paragraph" w:styleId="955">
    <w:name w:val="标题 4"/>
    <w:basedOn w:val="951"/>
    <w:next w:val="951"/>
    <w:link w:val="951"/>
    <w:qFormat/>
    <w:pPr>
      <w:keepLines/>
      <w:keepNext/>
      <w:spacing w:before="280" w:after="290" w:line="376" w:lineRule="auto"/>
      <w:outlineLvl w:val="3"/>
    </w:pPr>
    <w:rPr>
      <w:rFonts w:ascii="Arial" w:hAnsi="Arial" w:eastAsia="黑体" w:cs="Arial"/>
      <w:b/>
      <w:bCs/>
      <w:sz w:val="28"/>
      <w:szCs w:val="28"/>
    </w:rPr>
  </w:style>
  <w:style w:type="paragraph" w:styleId="956">
    <w:name w:val="标题 5"/>
    <w:basedOn w:val="951"/>
    <w:next w:val="963"/>
    <w:link w:val="951"/>
    <w:qFormat/>
    <w:pPr>
      <w:keepNext/>
      <w:outlineLvl w:val="4"/>
    </w:pPr>
    <w:rPr>
      <w:rFonts w:ascii="宋体"/>
      <w:color w:val="000000"/>
      <w:sz w:val="28"/>
      <w:szCs w:val="28"/>
    </w:rPr>
  </w:style>
  <w:style w:type="paragraph" w:styleId="957">
    <w:name w:val="标题 6"/>
    <w:basedOn w:val="951"/>
    <w:next w:val="951"/>
    <w:link w:val="951"/>
    <w:qFormat/>
    <w:pPr>
      <w:numPr>
        <w:ilvl w:val="5"/>
        <w:numId w:val="1"/>
      </w:numPr>
      <w:keepLines/>
      <w:keepNext/>
      <w:spacing w:before="240" w:after="64" w:line="320" w:lineRule="auto"/>
      <w:outlineLvl w:val="5"/>
    </w:pPr>
    <w:rPr>
      <w:rFonts w:ascii="Arial" w:hAnsi="Arial" w:eastAsia="黑体"/>
      <w:b/>
      <w:bCs/>
      <w:sz w:val="24"/>
      <w:szCs w:val="24"/>
    </w:rPr>
  </w:style>
  <w:style w:type="paragraph" w:styleId="958">
    <w:name w:val="标题 7"/>
    <w:basedOn w:val="951"/>
    <w:next w:val="951"/>
    <w:link w:val="951"/>
    <w:qFormat/>
    <w:pPr>
      <w:numPr>
        <w:ilvl w:val="6"/>
        <w:numId w:val="1"/>
      </w:numPr>
      <w:keepLines/>
      <w:keepNext/>
      <w:spacing w:before="240" w:after="64" w:line="320" w:lineRule="auto"/>
      <w:outlineLvl w:val="6"/>
    </w:pPr>
    <w:rPr>
      <w:b/>
      <w:bCs/>
      <w:sz w:val="24"/>
      <w:szCs w:val="24"/>
    </w:rPr>
  </w:style>
  <w:style w:type="paragraph" w:styleId="959">
    <w:name w:val="标题 8"/>
    <w:basedOn w:val="951"/>
    <w:next w:val="951"/>
    <w:link w:val="951"/>
    <w:qFormat/>
    <w:pPr>
      <w:numPr>
        <w:ilvl w:val="7"/>
        <w:numId w:val="1"/>
      </w:numPr>
      <w:keepLines/>
      <w:keepNext/>
      <w:spacing w:before="240" w:after="64" w:line="320" w:lineRule="auto"/>
      <w:outlineLvl w:val="7"/>
    </w:pPr>
    <w:rPr>
      <w:rFonts w:ascii="Arial" w:hAnsi="Arial" w:eastAsia="黑体"/>
      <w:sz w:val="24"/>
      <w:szCs w:val="24"/>
    </w:rPr>
  </w:style>
  <w:style w:type="paragraph" w:styleId="960">
    <w:name w:val="标题 9"/>
    <w:basedOn w:val="951"/>
    <w:next w:val="951"/>
    <w:link w:val="951"/>
    <w:qFormat/>
    <w:pPr>
      <w:numPr>
        <w:ilvl w:val="8"/>
        <w:numId w:val="1"/>
      </w:numPr>
      <w:keepLines/>
      <w:keepNext/>
      <w:spacing w:before="240" w:after="64" w:line="320" w:lineRule="auto"/>
      <w:outlineLvl w:val="8"/>
    </w:pPr>
    <w:rPr>
      <w:rFonts w:ascii="Arial" w:hAnsi="Arial" w:eastAsia="黑体"/>
    </w:rPr>
  </w:style>
  <w:style w:type="character" w:styleId="961">
    <w:name w:val="默认段落字体"/>
    <w:next w:val="961"/>
    <w:link w:val="951"/>
    <w:semiHidden/>
  </w:style>
  <w:style w:type="table" w:styleId="962">
    <w:name w:val="普通表格"/>
    <w:next w:val="962"/>
    <w:link w:val="951"/>
    <w:semiHidden/>
    <w:tblPr/>
  </w:style>
  <w:style w:type="paragraph" w:styleId="963">
    <w:name w:val="正文缩进"/>
    <w:basedOn w:val="951"/>
    <w:next w:val="963"/>
    <w:link w:val="964"/>
    <w:pPr>
      <w:ind w:firstLine="420"/>
    </w:pPr>
  </w:style>
  <w:style w:type="character" w:styleId="964">
    <w:name w:val="正文缩进 Char"/>
    <w:next w:val="964"/>
    <w:link w:val="963"/>
    <w:rPr>
      <w:sz w:val="21"/>
      <w:szCs w:val="21"/>
    </w:rPr>
  </w:style>
  <w:style w:type="paragraph" w:styleId="965">
    <w:name w:val="列表 3"/>
    <w:basedOn w:val="951"/>
    <w:next w:val="965"/>
    <w:link w:val="951"/>
    <w:pPr>
      <w:ind w:left="100" w:hanging="200"/>
    </w:pPr>
  </w:style>
  <w:style w:type="paragraph" w:styleId="966">
    <w:name w:val="目录 7"/>
    <w:basedOn w:val="951"/>
    <w:next w:val="951"/>
    <w:link w:val="951"/>
    <w:semiHidden/>
    <w:pPr>
      <w:ind w:left="1260"/>
      <w:jc w:val="left"/>
    </w:pPr>
  </w:style>
  <w:style w:type="paragraph" w:styleId="967">
    <w:name w:val="文档结构图"/>
    <w:basedOn w:val="951"/>
    <w:next w:val="967"/>
    <w:link w:val="951"/>
    <w:semiHidden/>
    <w:pPr>
      <w:shd w:val="clear" w:color="auto" w:fill="000080"/>
    </w:pPr>
  </w:style>
  <w:style w:type="paragraph" w:styleId="968">
    <w:name w:val="批注文字"/>
    <w:basedOn w:val="951"/>
    <w:next w:val="968"/>
    <w:link w:val="951"/>
    <w:semiHidden/>
    <w:pPr>
      <w:jc w:val="left"/>
    </w:pPr>
  </w:style>
  <w:style w:type="paragraph" w:styleId="969">
    <w:name w:val="正文文本 3"/>
    <w:basedOn w:val="951"/>
    <w:next w:val="969"/>
    <w:link w:val="951"/>
    <w:rPr>
      <w:rFonts w:ascii="仿宋_GB2312" w:hAnsi="Arial" w:eastAsia="仿宋_GB2312"/>
      <w:sz w:val="32"/>
      <w:szCs w:val="32"/>
    </w:rPr>
  </w:style>
  <w:style w:type="paragraph" w:styleId="970">
    <w:name w:val="正文文本"/>
    <w:basedOn w:val="951"/>
    <w:next w:val="970"/>
    <w:link w:val="971"/>
    <w:rPr>
      <w:rFonts w:ascii="楷体_GB2312" w:hAnsi="Arial" w:eastAsia="楷体_GB2312"/>
      <w:sz w:val="28"/>
      <w:szCs w:val="28"/>
    </w:rPr>
  </w:style>
  <w:style w:type="character" w:styleId="971">
    <w:name w:val="正文文本 字符"/>
    <w:next w:val="971"/>
    <w:link w:val="970"/>
    <w:uiPriority w:val="99"/>
    <w:unhideWhenUsed/>
    <w:rPr>
      <w:rFonts w:cs="Times New Roman"/>
      <w:sz w:val="22"/>
      <w:szCs w:val="22"/>
    </w:rPr>
  </w:style>
  <w:style w:type="paragraph" w:styleId="972">
    <w:name w:val="正文文本缩进"/>
    <w:basedOn w:val="951"/>
    <w:next w:val="972"/>
    <w:link w:val="951"/>
    <w:pPr>
      <w:ind w:firstLine="645"/>
    </w:pPr>
    <w:rPr>
      <w:rFonts w:ascii="楷体_GB2312" w:eastAsia="楷体_GB2312"/>
      <w:sz w:val="32"/>
      <w:szCs w:val="32"/>
    </w:rPr>
  </w:style>
  <w:style w:type="paragraph" w:styleId="973">
    <w:name w:val="列表 2"/>
    <w:basedOn w:val="951"/>
    <w:next w:val="973"/>
    <w:link w:val="951"/>
    <w:pPr>
      <w:ind w:left="100" w:hanging="200"/>
    </w:pPr>
  </w:style>
  <w:style w:type="paragraph" w:styleId="974">
    <w:name w:val="文本块"/>
    <w:basedOn w:val="951"/>
    <w:next w:val="974"/>
    <w:link w:val="951"/>
    <w:uiPriority w:val="99"/>
    <w:unhideWhenUsed/>
    <w:qFormat/>
    <w:pPr>
      <w:ind w:left="1440" w:right="1440"/>
      <w:spacing w:after="120"/>
    </w:pPr>
  </w:style>
  <w:style w:type="paragraph" w:styleId="975">
    <w:name w:val="索引 4"/>
    <w:basedOn w:val="951"/>
    <w:next w:val="951"/>
    <w:link w:val="951"/>
    <w:uiPriority w:val="99"/>
    <w:unhideWhenUsed/>
    <w:qFormat/>
    <w:pPr>
      <w:ind w:left="600"/>
    </w:pPr>
  </w:style>
  <w:style w:type="paragraph" w:styleId="976">
    <w:name w:val="目录 5"/>
    <w:basedOn w:val="951"/>
    <w:next w:val="951"/>
    <w:link w:val="951"/>
    <w:semiHidden/>
    <w:pPr>
      <w:ind w:left="840"/>
      <w:jc w:val="left"/>
    </w:pPr>
  </w:style>
  <w:style w:type="paragraph" w:styleId="977">
    <w:name w:val="目录 3"/>
    <w:basedOn w:val="951"/>
    <w:next w:val="951"/>
    <w:link w:val="951"/>
    <w:semiHidden/>
    <w:pPr>
      <w:ind w:left="420"/>
      <w:jc w:val="left"/>
    </w:pPr>
    <w:rPr>
      <w:i/>
      <w:iCs/>
      <w:szCs w:val="24"/>
    </w:rPr>
  </w:style>
  <w:style w:type="paragraph" w:styleId="978">
    <w:name w:val="纯文本"/>
    <w:basedOn w:val="951"/>
    <w:next w:val="951"/>
    <w:link w:val="951"/>
    <w:rPr>
      <w:rFonts w:ascii="宋体" w:hAnsi="Courier New" w:cs="Courier New"/>
    </w:rPr>
  </w:style>
  <w:style w:type="paragraph" w:styleId="979">
    <w:name w:val="目录 8"/>
    <w:basedOn w:val="951"/>
    <w:next w:val="951"/>
    <w:link w:val="951"/>
    <w:semiHidden/>
    <w:pPr>
      <w:ind w:left="1470"/>
      <w:jc w:val="left"/>
    </w:pPr>
  </w:style>
  <w:style w:type="paragraph" w:styleId="980">
    <w:name w:val="日期"/>
    <w:basedOn w:val="951"/>
    <w:next w:val="951"/>
    <w:link w:val="951"/>
    <w:rPr>
      <w:sz w:val="24"/>
      <w:szCs w:val="24"/>
    </w:rPr>
  </w:style>
  <w:style w:type="paragraph" w:styleId="981">
    <w:name w:val="正文文本缩进 2"/>
    <w:basedOn w:val="951"/>
    <w:next w:val="981"/>
    <w:link w:val="951"/>
    <w:pPr>
      <w:ind w:left="630" w:firstLine="645"/>
    </w:pPr>
    <w:rPr>
      <w:rFonts w:ascii="Arial" w:hAnsi="Arial" w:eastAsia="仿宋_GB2312" w:cs="Arial"/>
      <w:sz w:val="32"/>
      <w:szCs w:val="32"/>
    </w:rPr>
  </w:style>
  <w:style w:type="paragraph" w:styleId="982">
    <w:name w:val="批注框文本"/>
    <w:basedOn w:val="951"/>
    <w:next w:val="982"/>
    <w:link w:val="951"/>
    <w:semiHidden/>
    <w:rPr>
      <w:sz w:val="18"/>
      <w:szCs w:val="18"/>
    </w:rPr>
  </w:style>
  <w:style w:type="paragraph" w:styleId="983">
    <w:name w:val="页脚"/>
    <w:basedOn w:val="951"/>
    <w:next w:val="983"/>
    <w:link w:val="984"/>
    <w:pPr>
      <w:jc w:val="left"/>
      <w:tabs>
        <w:tab w:val="center" w:pos="4153" w:leader="none"/>
        <w:tab w:val="right" w:pos="8306" w:leader="none"/>
      </w:tabs>
    </w:pPr>
    <w:rPr>
      <w:sz w:val="18"/>
      <w:szCs w:val="18"/>
    </w:rPr>
  </w:style>
  <w:style w:type="character" w:styleId="984">
    <w:name w:val="页脚 Char"/>
    <w:next w:val="984"/>
    <w:link w:val="983"/>
    <w:uiPriority w:val="99"/>
    <w:unhideWhenUsed/>
    <w:rPr>
      <w:sz w:val="18"/>
      <w:szCs w:val="24"/>
    </w:rPr>
  </w:style>
  <w:style w:type="paragraph" w:styleId="985">
    <w:name w:val="页眉"/>
    <w:basedOn w:val="951"/>
    <w:next w:val="985"/>
    <w:link w:val="986"/>
    <w:pPr>
      <w:jc w:val="center"/>
      <w:tabs>
        <w:tab w:val="center" w:pos="4153" w:leader="none"/>
        <w:tab w:val="right" w:pos="8306" w:leader="none"/>
      </w:tabs>
      <w:pBdr>
        <w:bottom w:val="single" w:color="000000" w:sz="6" w:space="1"/>
      </w:pBdr>
    </w:pPr>
    <w:rPr>
      <w:sz w:val="18"/>
      <w:szCs w:val="18"/>
    </w:rPr>
  </w:style>
  <w:style w:type="character" w:styleId="986">
    <w:name w:val="页眉 Char"/>
    <w:next w:val="986"/>
    <w:link w:val="985"/>
    <w:uiPriority w:val="99"/>
    <w:unhideWhenUsed/>
    <w:rPr>
      <w:sz w:val="18"/>
      <w:szCs w:val="24"/>
    </w:rPr>
  </w:style>
  <w:style w:type="paragraph" w:styleId="987">
    <w:name w:val="目录 1"/>
    <w:basedOn w:val="951"/>
    <w:next w:val="951"/>
    <w:link w:val="951"/>
    <w:semiHidden/>
    <w:pPr>
      <w:jc w:val="left"/>
      <w:spacing w:before="120" w:after="120" w:line="400" w:lineRule="exact"/>
      <w:tabs>
        <w:tab w:val="right" w:pos="8720" w:leader="dot"/>
      </w:tabs>
    </w:pPr>
    <w:rPr>
      <w:rFonts w:ascii="宋体" w:hAnsi="宋体"/>
      <w:caps/>
      <w:sz w:val="24"/>
      <w:szCs w:val="24"/>
    </w:rPr>
  </w:style>
  <w:style w:type="paragraph" w:styleId="988">
    <w:name w:val="目录 4"/>
    <w:basedOn w:val="951"/>
    <w:next w:val="951"/>
    <w:link w:val="951"/>
    <w:semiHidden/>
    <w:pPr>
      <w:ind w:left="630"/>
      <w:jc w:val="left"/>
    </w:pPr>
  </w:style>
  <w:style w:type="paragraph" w:styleId="989">
    <w:name w:val="列表"/>
    <w:basedOn w:val="951"/>
    <w:next w:val="989"/>
    <w:link w:val="951"/>
    <w:pPr>
      <w:ind w:left="200" w:hanging="200"/>
    </w:pPr>
  </w:style>
  <w:style w:type="paragraph" w:styleId="990">
    <w:name w:val="目录 6"/>
    <w:basedOn w:val="951"/>
    <w:next w:val="951"/>
    <w:link w:val="951"/>
    <w:semiHidden/>
    <w:pPr>
      <w:ind w:left="1050"/>
      <w:jc w:val="left"/>
    </w:pPr>
  </w:style>
  <w:style w:type="paragraph" w:styleId="991">
    <w:name w:val="正文文本缩进 3"/>
    <w:basedOn w:val="951"/>
    <w:next w:val="991"/>
    <w:link w:val="951"/>
    <w:pPr>
      <w:ind w:left="645" w:firstLine="645"/>
    </w:pPr>
    <w:rPr>
      <w:rFonts w:ascii="Arial" w:hAnsi="Arial" w:eastAsia="仿宋_GB2312" w:cs="Arial"/>
      <w:color w:val="ffff00"/>
      <w:sz w:val="32"/>
      <w:szCs w:val="32"/>
    </w:rPr>
  </w:style>
  <w:style w:type="paragraph" w:styleId="992">
    <w:name w:val="图表目录"/>
    <w:basedOn w:val="951"/>
    <w:next w:val="951"/>
    <w:link w:val="951"/>
    <w:semiHidden/>
    <w:pPr>
      <w:ind w:left="840" w:hanging="420"/>
    </w:pPr>
  </w:style>
  <w:style w:type="paragraph" w:styleId="993">
    <w:name w:val="目录 2"/>
    <w:basedOn w:val="951"/>
    <w:next w:val="951"/>
    <w:link w:val="951"/>
    <w:semiHidden/>
    <w:pPr>
      <w:ind w:left="210"/>
      <w:jc w:val="left"/>
    </w:pPr>
    <w:rPr>
      <w:smallCaps/>
      <w:szCs w:val="24"/>
    </w:rPr>
  </w:style>
  <w:style w:type="paragraph" w:styleId="994">
    <w:name w:val="目录 9"/>
    <w:basedOn w:val="951"/>
    <w:next w:val="951"/>
    <w:link w:val="951"/>
    <w:semiHidden/>
    <w:pPr>
      <w:ind w:left="1680"/>
      <w:jc w:val="left"/>
    </w:pPr>
  </w:style>
  <w:style w:type="paragraph" w:styleId="995">
    <w:name w:val="正文文本 2"/>
    <w:basedOn w:val="951"/>
    <w:next w:val="995"/>
    <w:link w:val="951"/>
    <w:pPr>
      <w:jc w:val="center"/>
      <w:widowControl/>
    </w:pPr>
    <w:rPr>
      <w:rFonts w:ascii="楷体_GB2312" w:eastAsia="楷体_GB2312"/>
      <w:sz w:val="28"/>
      <w:szCs w:val="28"/>
    </w:rPr>
  </w:style>
  <w:style w:type="paragraph" w:styleId="996">
    <w:name w:val="普通(网站)"/>
    <w:basedOn w:val="951"/>
    <w:next w:val="996"/>
    <w:link w:val="951"/>
    <w:uiPriority w:val="99"/>
    <w:pPr>
      <w:jc w:val="left"/>
      <w:spacing w:before="100" w:beforeAutospacing="1" w:after="100" w:afterAutospacing="1"/>
      <w:widowControl/>
    </w:pPr>
    <w:rPr>
      <w:rFonts w:ascii="宋体" w:hAnsi="宋体" w:cs="宋体"/>
      <w:sz w:val="24"/>
      <w:szCs w:val="24"/>
    </w:rPr>
  </w:style>
  <w:style w:type="paragraph" w:styleId="997">
    <w:name w:val="索引 1"/>
    <w:basedOn w:val="951"/>
    <w:next w:val="951"/>
    <w:link w:val="951"/>
    <w:semiHidden/>
    <w:pPr>
      <w:spacing w:line="240" w:lineRule="atLeast"/>
    </w:pPr>
    <w:rPr>
      <w:b/>
      <w:bCs/>
    </w:rPr>
  </w:style>
  <w:style w:type="paragraph" w:styleId="998">
    <w:name w:val="批注主题"/>
    <w:basedOn w:val="968"/>
    <w:next w:val="968"/>
    <w:link w:val="951"/>
    <w:semiHidden/>
    <w:rPr>
      <w:b/>
      <w:bCs/>
    </w:rPr>
  </w:style>
  <w:style w:type="paragraph" w:styleId="999">
    <w:name w:val="正文首行缩进"/>
    <w:basedOn w:val="970"/>
    <w:next w:val="999"/>
    <w:link w:val="951"/>
    <w:pPr>
      <w:ind w:firstLine="200"/>
      <w:spacing w:line="360" w:lineRule="auto"/>
    </w:pPr>
    <w:rPr>
      <w:rFonts w:ascii="仿宋_GB2312" w:eastAsia="仿宋_GB2312"/>
      <w:sz w:val="30"/>
      <w:szCs w:val="30"/>
    </w:rPr>
  </w:style>
  <w:style w:type="paragraph" w:styleId="1000">
    <w:name w:val="正文首行缩进 2"/>
    <w:basedOn w:val="972"/>
    <w:next w:val="1000"/>
    <w:link w:val="951"/>
    <w:pPr>
      <w:ind w:firstLine="420"/>
      <w:spacing w:line="360" w:lineRule="auto"/>
    </w:pPr>
    <w:rPr>
      <w:rFonts w:ascii="宋体" w:hAnsi="宋体" w:eastAsia="宋体"/>
      <w:sz w:val="21"/>
      <w:szCs w:val="20"/>
    </w:rPr>
  </w:style>
  <w:style w:type="table" w:styleId="1001">
    <w:name w:val="网格型"/>
    <w:basedOn w:val="962"/>
    <w:next w:val="1001"/>
    <w:link w:val="951"/>
    <w:pPr>
      <w:jc w:val="both"/>
      <w:widowControl w:val="off"/>
    </w:pPr>
    <w:tblPr/>
  </w:style>
  <w:style w:type="character" w:styleId="1002">
    <w:name w:val="要点"/>
    <w:next w:val="1002"/>
    <w:link w:val="951"/>
    <w:qFormat/>
    <w:rPr>
      <w:b/>
      <w:bCs/>
    </w:rPr>
  </w:style>
  <w:style w:type="character" w:styleId="1003">
    <w:name w:val="页码"/>
    <w:next w:val="1003"/>
    <w:link w:val="951"/>
  </w:style>
  <w:style w:type="character" w:styleId="1004">
    <w:name w:val="已访问的超链接"/>
    <w:next w:val="1004"/>
    <w:link w:val="951"/>
    <w:rPr>
      <w:color w:val="800080"/>
      <w:u w:val="single"/>
    </w:rPr>
  </w:style>
  <w:style w:type="character" w:styleId="1005">
    <w:name w:val="超链接"/>
    <w:next w:val="1005"/>
    <w:link w:val="951"/>
    <w:rPr>
      <w:color w:val="0000ff"/>
      <w:u w:val="single"/>
    </w:rPr>
  </w:style>
  <w:style w:type="character" w:styleId="1006">
    <w:name w:val="批注引用"/>
    <w:next w:val="1006"/>
    <w:link w:val="951"/>
    <w:semiHidden/>
    <w:rPr>
      <w:sz w:val="21"/>
      <w:szCs w:val="21"/>
    </w:rPr>
  </w:style>
  <w:style w:type="character" w:styleId="1007">
    <w:name w:val="正文文本 Char"/>
    <w:next w:val="1007"/>
    <w:link w:val="970"/>
    <w:unhideWhenUsed/>
    <w:rPr>
      <w:rFonts w:hint="eastAsia" w:ascii="楷体_GB2312" w:hAnsi="Arial" w:eastAsia="楷体_GB2312" w:cs="Times New Roman"/>
      <w:sz w:val="28"/>
      <w:szCs w:val="28"/>
    </w:rPr>
  </w:style>
  <w:style w:type="character" w:styleId="1008">
    <w:name w:val="font5 Char"/>
    <w:next w:val="1008"/>
    <w:link w:val="951"/>
    <w:rPr>
      <w:rFonts w:ascii="宋体" w:hAnsi="宋体" w:eastAsia="宋体"/>
      <w:sz w:val="28"/>
      <w:szCs w:val="28"/>
      <w:lang w:val="en-US" w:eastAsia="zh-CN" w:bidi="ar-SA"/>
    </w:rPr>
  </w:style>
  <w:style w:type="character" w:styleId="1009">
    <w:name w:val="二级目录 Char"/>
    <w:next w:val="1009"/>
    <w:link w:val="1010"/>
    <w:rPr>
      <w:b/>
      <w:sz w:val="30"/>
      <w:szCs w:val="28"/>
      <w:lang w:val="en-US" w:eastAsia="zh-CN" w:bidi="ar-SA"/>
    </w:rPr>
  </w:style>
  <w:style w:type="paragraph" w:styleId="1010">
    <w:name w:val="二级目录"/>
    <w:next w:val="951"/>
    <w:link w:val="1009"/>
    <w:pPr>
      <w:numPr>
        <w:ilvl w:val="0"/>
        <w:numId w:val="2"/>
      </w:numPr>
      <w:tabs>
        <w:tab w:val="left" w:pos="907" w:leader="none"/>
        <w:tab w:val="left" w:pos="1145" w:leader="none"/>
      </w:tabs>
      <w:outlineLvl w:val="1"/>
    </w:pPr>
    <w:rPr>
      <w:b/>
      <w:sz w:val="30"/>
      <w:szCs w:val="28"/>
      <w:lang w:val="en-US" w:eastAsia="zh-CN" w:bidi="ar-SA"/>
    </w:rPr>
  </w:style>
  <w:style w:type="character" w:styleId="1011">
    <w:name w:val="列出段落 Char,Bullet List Char,numbered Char,FooterText Char,List Paragraph1 Char,Paragraphe de liste1 Char"/>
    <w:next w:val="1011"/>
    <w:link w:val="1012"/>
    <w:rPr>
      <w:rFonts w:ascii="Calibri" w:hAnsi="Calibri"/>
      <w:sz w:val="24"/>
      <w:szCs w:val="24"/>
      <w:lang w:eastAsia="en-US" w:bidi="en-US"/>
    </w:rPr>
  </w:style>
  <w:style w:type="paragraph" w:styleId="1012">
    <w:name w:val="列出段落1"/>
    <w:basedOn w:val="951"/>
    <w:next w:val="1012"/>
    <w:link w:val="1011"/>
    <w:qFormat/>
    <w:pPr>
      <w:contextualSpacing/>
      <w:ind w:left="720"/>
      <w:jc w:val="left"/>
      <w:widowControl/>
    </w:pPr>
    <w:rPr>
      <w:rFonts w:ascii="Calibri" w:hAnsi="Calibri"/>
      <w:sz w:val="24"/>
      <w:szCs w:val="24"/>
      <w:lang w:eastAsia="en-US" w:bidi="en-US"/>
    </w:rPr>
  </w:style>
  <w:style w:type="paragraph" w:styleId="1013">
    <w:name w:val="Body Text(ch)"/>
    <w:basedOn w:val="951"/>
    <w:next w:val="970"/>
    <w:link w:val="951"/>
    <w:pPr>
      <w:spacing w:after="120"/>
    </w:pPr>
    <w:rPr>
      <w:rFonts w:ascii="宋体" w:hAnsi="Arial"/>
      <w:bCs/>
      <w:iCs/>
      <w:szCs w:val="24"/>
    </w:rPr>
  </w:style>
  <w:style w:type="paragraph" w:styleId="1014">
    <w:name w:val="xl27"/>
    <w:basedOn w:val="951"/>
    <w:next w:val="1014"/>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name w:val="xl26"/>
    <w:basedOn w:val="951"/>
    <w:next w:val="1015"/>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6">
    <w:name w:val="Char"/>
    <w:basedOn w:val="951"/>
    <w:next w:val="1016"/>
    <w:link w:val="951"/>
    <w:pPr>
      <w:ind w:firstLine="200"/>
      <w:tabs>
        <w:tab w:val="left" w:pos="360" w:leader="none"/>
      </w:tabs>
    </w:pPr>
    <w:rPr>
      <w:sz w:val="28"/>
      <w:szCs w:val="30"/>
    </w:rPr>
  </w:style>
  <w:style w:type="paragraph" w:styleId="1017">
    <w:name w:val=" Char"/>
    <w:basedOn w:val="967"/>
    <w:next w:val="1017"/>
    <w:link w:val="951"/>
    <w:rPr>
      <w:rFonts w:ascii="Tahoma" w:hAnsi="Tahoma"/>
      <w:sz w:val="24"/>
      <w:szCs w:val="24"/>
    </w:rPr>
  </w:style>
  <w:style w:type="paragraph" w:styleId="1018">
    <w:name w:val="普通正文"/>
    <w:basedOn w:val="951"/>
    <w:next w:val="1018"/>
    <w:link w:val="951"/>
    <w:pPr>
      <w:ind w:firstLine="480"/>
      <w:jc w:val="left"/>
      <w:spacing w:before="120" w:after="120" w:line="360" w:lineRule="auto"/>
    </w:pPr>
    <w:rPr>
      <w:rFonts w:ascii="Arial" w:hAnsi="Arial"/>
      <w:sz w:val="24"/>
      <w:szCs w:val="24"/>
    </w:rPr>
  </w:style>
  <w:style w:type="paragraph" w:styleId="1019">
    <w:name w:val="table_lines"/>
    <w:basedOn w:val="951"/>
    <w:next w:val="1019"/>
    <w:link w:val="951"/>
    <w:pPr>
      <w:jc w:val="left"/>
      <w:widowControl/>
    </w:pPr>
    <w:rPr>
      <w:sz w:val="20"/>
      <w:szCs w:val="20"/>
      <w:lang w:val="de-DE" w:eastAsia="de-DE"/>
    </w:rPr>
  </w:style>
  <w:style w:type="paragraph" w:styleId="1020">
    <w:name w:val="附录1"/>
    <w:next w:val="1020"/>
    <w:link w:val="951"/>
    <w:pPr>
      <w:numPr>
        <w:ilvl w:val="0"/>
        <w:numId w:val="2"/>
      </w:numPr>
      <w:spacing w:before="240" w:line="600" w:lineRule="atLeast"/>
      <w:tabs>
        <w:tab w:val="left" w:pos="907" w:leader="none"/>
      </w:tabs>
    </w:pPr>
    <w:rPr>
      <w:b/>
      <w:i/>
      <w:sz w:val="28"/>
      <w:lang w:val="en-US" w:eastAsia="zh-CN" w:bidi="ar-SA"/>
    </w:rPr>
  </w:style>
  <w:style w:type="paragraph" w:styleId="1021">
    <w:name w:val="font7"/>
    <w:basedOn w:val="951"/>
    <w:next w:val="1021"/>
    <w:link w:val="951"/>
    <w:pPr>
      <w:jc w:val="left"/>
      <w:spacing w:before="100" w:beforeAutospacing="1" w:after="100" w:afterAutospacing="1"/>
      <w:widowControl/>
    </w:pPr>
    <w:rPr>
      <w:rFonts w:hint="eastAsia" w:ascii="宋体" w:hAnsi="宋体"/>
      <w:sz w:val="18"/>
      <w:szCs w:val="18"/>
    </w:rPr>
  </w:style>
  <w:style w:type="paragraph" w:styleId="1022">
    <w:name w:val=" Char Char Char Char"/>
    <w:basedOn w:val="967"/>
    <w:next w:val="1022"/>
    <w:link w:val="951"/>
    <w:pPr>
      <w:spacing w:line="360" w:lineRule="auto"/>
    </w:pPr>
    <w:rPr>
      <w:rFonts w:ascii="Tahoma" w:hAnsi="Tahoma"/>
      <w:sz w:val="24"/>
      <w:szCs w:val="24"/>
    </w:rPr>
  </w:style>
  <w:style w:type="paragraph" w:styleId="1023">
    <w:name w:val="列出段落"/>
    <w:basedOn w:val="951"/>
    <w:next w:val="1023"/>
    <w:link w:val="951"/>
    <w:qFormat/>
    <w:pPr>
      <w:contextualSpacing/>
      <w:ind w:left="720"/>
      <w:jc w:val="left"/>
      <w:widowControl/>
    </w:pPr>
    <w:rPr>
      <w:rFonts w:ascii="Calibri" w:hAnsi="Calibri"/>
      <w:sz w:val="24"/>
      <w:szCs w:val="24"/>
      <w:lang w:eastAsia="en-US" w:bidi="en-US"/>
    </w:rPr>
  </w:style>
  <w:style w:type="paragraph" w:styleId="1024">
    <w:name w:val="4"/>
    <w:basedOn w:val="951"/>
    <w:next w:val="991"/>
    <w:link w:val="951"/>
    <w:pPr>
      <w:ind w:firstLine="420"/>
      <w:spacing w:line="360" w:lineRule="auto"/>
    </w:pPr>
    <w:rPr>
      <w:color w:val="ff0000"/>
      <w:sz w:val="24"/>
      <w:szCs w:val="24"/>
    </w:rPr>
  </w:style>
  <w:style w:type="paragraph" w:styleId="1025">
    <w:name w:val="普通 (Web)"/>
    <w:basedOn w:val="951"/>
    <w:next w:val="1025"/>
    <w:link w:val="951"/>
    <w:pPr>
      <w:jc w:val="left"/>
      <w:spacing w:before="100" w:beforeAutospacing="1" w:after="100" w:afterAutospacing="1"/>
      <w:widowControl/>
    </w:pPr>
    <w:rPr>
      <w:rFonts w:ascii="宋体" w:hAnsi="宋体"/>
      <w:sz w:val="24"/>
      <w:szCs w:val="24"/>
    </w:rPr>
  </w:style>
  <w:style w:type="paragraph" w:styleId="1026">
    <w:name w:val=" Char Char Char Char Char Char Char Char Char Char"/>
    <w:basedOn w:val="951"/>
    <w:next w:val="1026"/>
    <w:link w:val="951"/>
    <w:pPr>
      <w:spacing w:line="360" w:lineRule="auto"/>
    </w:pPr>
    <w:rPr>
      <w:sz w:val="24"/>
      <w:szCs w:val="20"/>
    </w:rPr>
  </w:style>
  <w:style w:type="paragraph" w:styleId="1027">
    <w:name w:val="样式1"/>
    <w:basedOn w:val="951"/>
    <w:next w:val="1027"/>
    <w:link w:val="951"/>
    <w:pPr>
      <w:numPr>
        <w:ilvl w:val="0"/>
        <w:numId w:val="3"/>
      </w:numPr>
      <w:tabs>
        <w:tab w:val="left" w:pos="709" w:leader="none"/>
      </w:tabs>
    </w:pPr>
    <w:rPr>
      <w:rFonts w:ascii="宋体" w:hAnsi="宋体"/>
    </w:rPr>
  </w:style>
  <w:style w:type="paragraph" w:styleId="1028">
    <w:name w:val="font6"/>
    <w:basedOn w:val="951"/>
    <w:next w:val="1028"/>
    <w:link w:val="951"/>
    <w:pPr>
      <w:jc w:val="left"/>
      <w:spacing w:before="100" w:beforeAutospacing="1" w:after="100" w:afterAutospacing="1"/>
      <w:widowControl/>
    </w:pPr>
    <w:rPr>
      <w:rFonts w:hint="eastAsia" w:ascii="宋体" w:hAnsi="宋体"/>
      <w:sz w:val="28"/>
      <w:szCs w:val="28"/>
      <w:u w:val="single"/>
    </w:rPr>
  </w:style>
  <w:style w:type="paragraph" w:styleId="1029">
    <w:name w:val="xl25"/>
    <w:basedOn w:val="951"/>
    <w:next w:val="1029"/>
    <w:link w:val="95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name w:val="图标"/>
    <w:basedOn w:val="951"/>
    <w:next w:val="951"/>
    <w:link w:val="95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name w:val="标题3"/>
    <w:basedOn w:val="951"/>
    <w:next w:val="951"/>
    <w:link w:val="951"/>
    <w:pPr>
      <w:ind w:firstLine="624"/>
      <w:spacing w:line="590" w:lineRule="atLeast"/>
    </w:pPr>
    <w:rPr>
      <w:rFonts w:ascii="方正黑体_GBK" w:eastAsia="方正黑体_GBK"/>
      <w:sz w:val="32"/>
      <w:szCs w:val="32"/>
    </w:rPr>
  </w:style>
  <w:style w:type="paragraph" w:styleId="1032">
    <w:name w:val="xl24"/>
    <w:basedOn w:val="951"/>
    <w:next w:val="1032"/>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name w:val="xl29"/>
    <w:basedOn w:val="951"/>
    <w:next w:val="1033"/>
    <w:link w:val="95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4">
    <w:name w:val="Char Char Char Char Char Char Char Char"/>
    <w:basedOn w:val="951"/>
    <w:next w:val="1034"/>
    <w:link w:val="951"/>
    <w:pPr>
      <w:jc w:val="left"/>
      <w:spacing w:after="160" w:line="240" w:lineRule="exact"/>
      <w:widowControl/>
    </w:pPr>
    <w:rPr>
      <w:rFonts w:ascii="Verdana" w:hAnsi="Verdana"/>
      <w:sz w:val="20"/>
      <w:szCs w:val="20"/>
      <w:lang w:eastAsia="en-US"/>
    </w:rPr>
  </w:style>
  <w:style w:type="paragraph" w:styleId="1035">
    <w:name w:val="xl28"/>
    <w:basedOn w:val="951"/>
    <w:next w:val="1035"/>
    <w:link w:val="95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6">
    <w:name w:val=" Char Char Char Char Char Char Char Char"/>
    <w:basedOn w:val="951"/>
    <w:next w:val="1036"/>
    <w:link w:val="951"/>
    <w:pPr>
      <w:jc w:val="left"/>
      <w:spacing w:after="160" w:line="240" w:lineRule="exact"/>
      <w:widowControl/>
    </w:pPr>
    <w:rPr>
      <w:rFonts w:ascii="Verdana" w:hAnsi="Verdana"/>
      <w:sz w:val="20"/>
      <w:szCs w:val="20"/>
      <w:lang w:eastAsia="en-US"/>
    </w:rPr>
  </w:style>
  <w:style w:type="paragraph" w:styleId="1037">
    <w:name w:val="xl30"/>
    <w:basedOn w:val="951"/>
    <w:next w:val="1037"/>
    <w:link w:val="951"/>
    <w:pPr>
      <w:jc w:val="center"/>
      <w:spacing w:before="100" w:beforeAutospacing="1" w:after="100" w:afterAutospacing="1"/>
      <w:widowControl/>
    </w:pPr>
    <w:rPr>
      <w:rFonts w:ascii="宋体" w:hAnsi="宋体"/>
      <w:b/>
      <w:bCs/>
      <w:sz w:val="36"/>
      <w:szCs w:val="36"/>
    </w:rPr>
  </w:style>
  <w:style w:type="paragraph" w:styleId="1038">
    <w:name w:val="Char Char Char Char"/>
    <w:basedOn w:val="967"/>
    <w:next w:val="1038"/>
    <w:link w:val="951"/>
    <w:pPr>
      <w:spacing w:line="360" w:lineRule="auto"/>
    </w:pPr>
    <w:rPr>
      <w:rFonts w:ascii="Tahoma" w:hAnsi="Tahoma"/>
      <w:sz w:val="24"/>
      <w:szCs w:val="24"/>
    </w:rPr>
  </w:style>
  <w:style w:type="paragraph" w:styleId="1039">
    <w:name w:val="table_1stline"/>
    <w:basedOn w:val="951"/>
    <w:next w:val="1039"/>
    <w:link w:val="951"/>
    <w:pPr>
      <w:jc w:val="left"/>
      <w:spacing w:before="120"/>
      <w:widowControl/>
    </w:pPr>
    <w:rPr>
      <w:bCs/>
      <w:sz w:val="20"/>
      <w:szCs w:val="20"/>
      <w:lang w:val="de-DE" w:eastAsia="de-DE"/>
    </w:rPr>
  </w:style>
  <w:style w:type="paragraph" w:styleId="1040">
    <w:name w:val="font5"/>
    <w:basedOn w:val="951"/>
    <w:next w:val="1040"/>
    <w:link w:val="951"/>
    <w:pPr>
      <w:jc w:val="left"/>
      <w:spacing w:before="100" w:beforeAutospacing="1" w:after="100" w:afterAutospacing="1"/>
      <w:widowControl/>
    </w:pPr>
    <w:rPr>
      <w:rFonts w:hint="eastAsia" w:ascii="宋体" w:hAnsi="宋体"/>
      <w:sz w:val="28"/>
      <w:szCs w:val="28"/>
    </w:rPr>
  </w:style>
  <w:style w:type="paragraph" w:styleId="1041">
    <w:name w:val="标题1"/>
    <w:basedOn w:val="951"/>
    <w:next w:val="951"/>
    <w:link w:val="95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name w:val="修订"/>
    <w:next w:val="1042"/>
    <w:link w:val="951"/>
    <w:uiPriority w:val="99"/>
    <w:semiHidden/>
    <w:rPr>
      <w:sz w:val="21"/>
      <w:szCs w:val="21"/>
      <w:lang w:val="en-US" w:eastAsia="zh-CN" w:bidi="ar-SA"/>
    </w:rPr>
  </w:style>
  <w:style w:type="paragraph" w:styleId="1043">
    <w:name w:val="无间隔"/>
    <w:next w:val="1043"/>
    <w:link w:val="951"/>
    <w:uiPriority w:val="99"/>
    <w:qFormat/>
    <w:pPr>
      <w:jc w:val="both"/>
      <w:widowControl w:val="off"/>
    </w:pPr>
    <w:rPr>
      <w:sz w:val="21"/>
      <w:szCs w:val="21"/>
      <w:lang w:val="en-US" w:eastAsia="zh-CN" w:bidi="ar-SA"/>
    </w:rPr>
  </w:style>
  <w:style w:type="paragraph" w:styleId="1044">
    <w:name w:val="项目需求正文文本"/>
    <w:basedOn w:val="951"/>
    <w:next w:val="1044"/>
    <w:link w:val="951"/>
    <w:qFormat/>
    <w:pPr>
      <w:ind w:firstLine="1682"/>
      <w:spacing w:line="360" w:lineRule="auto"/>
    </w:pPr>
    <w:rPr>
      <w:sz w:val="24"/>
      <w:szCs w:val="20"/>
    </w:rPr>
  </w:style>
  <w:style w:type="paragraph" w:styleId="1045">
    <w:name w:val="表格字体"/>
    <w:basedOn w:val="951"/>
    <w:next w:val="1045"/>
    <w:link w:val="951"/>
    <w:qFormat/>
    <w:pPr>
      <w:spacing w:line="360" w:lineRule="auto"/>
    </w:pPr>
  </w:style>
  <w:style w:type="paragraph" w:styleId="1046">
    <w:name w:val="H正文"/>
    <w:basedOn w:val="951"/>
    <w:next w:val="1046"/>
    <w:link w:val="951"/>
    <w:qFormat/>
    <w:pPr>
      <w:ind w:firstLine="200"/>
    </w:pPr>
    <w:rPr>
      <w:rFonts w:ascii="宋体"/>
      <w:sz w:val="24"/>
      <w:szCs w:val="20"/>
    </w:rPr>
  </w:style>
  <w:style w:type="paragraph" w:styleId="1047">
    <w:name w:val="WPSOffice手动目录 1"/>
    <w:next w:val="1047"/>
    <w:link w:val="951"/>
    <w:rPr>
      <w:lang w:val="en-US" w:eastAsia="zh-CN" w:bidi="ar-SA"/>
    </w:rPr>
  </w:style>
  <w:style w:type="paragraph" w:styleId="1048">
    <w:name w:val="WPSOffice手动目录 2"/>
    <w:next w:val="1048"/>
    <w:link w:val="951"/>
    <w:rPr>
      <w:lang w:val="en-US" w:eastAsia="zh-CN" w:bidi="ar-SA"/>
    </w:rPr>
  </w:style>
  <w:style w:type="paragraph" w:styleId="1049">
    <w:name w:val="首行缩进"/>
    <w:basedOn w:val="951"/>
    <w:next w:val="1049"/>
    <w:link w:val="951"/>
    <w:qFormat/>
    <w:pPr>
      <w:ind w:firstLine="420"/>
      <w:spacing w:line="360" w:lineRule="auto"/>
    </w:pPr>
    <w:rPr>
      <w:sz w:val="20"/>
    </w:rPr>
  </w:style>
  <w:style w:type="character" w:styleId="1050">
    <w:name w:val="页脚 Char1"/>
    <w:next w:val="1050"/>
    <w:link w:val="951"/>
    <w:uiPriority w:val="99"/>
    <w:unhideWhenUsed/>
    <w:rPr>
      <w:rFonts w:cs="Times New Roman"/>
      <w:sz w:val="18"/>
      <w:szCs w:val="18"/>
    </w:rPr>
  </w:style>
  <w:style w:type="character" w:styleId="1051">
    <w:name w:val="页眉 Char1"/>
    <w:next w:val="1051"/>
    <w:link w:val="951"/>
    <w:uiPriority w:val="99"/>
    <w:unhideWhenUsed/>
    <w:rPr>
      <w:rFonts w:cs="Times New Roman"/>
      <w:sz w:val="18"/>
      <w:szCs w:val="18"/>
    </w:rPr>
  </w:style>
  <w:style w:type="character" w:styleId="1052">
    <w:name w:val="NormalCharacter1"/>
    <w:next w:val="1052"/>
    <w:link w:val="951"/>
    <w:qFormat/>
  </w:style>
  <w:style w:type="paragraph" w:styleId="1053">
    <w:name w:val="Default"/>
    <w:next w:val="1053"/>
    <w:link w:val="951"/>
    <w:unhideWhenUsed/>
    <w:pPr>
      <w:widowControl w:val="off"/>
    </w:pPr>
    <w:rPr>
      <w:rFonts w:hint="eastAsia" w:ascii="宋体" w:cs="宋体"/>
      <w:color w:val="000000"/>
      <w:sz w:val="24"/>
      <w:szCs w:val="24"/>
      <w:lang w:val="en-US" w:eastAsia="zh-CN" w:bidi="ar-SA"/>
    </w:rPr>
  </w:style>
  <w:style w:type="paragraph" w:styleId="1054">
    <w:name w:val="（RZM政采）正文-首行缩进2"/>
    <w:basedOn w:val="951"/>
    <w:next w:val="1054"/>
    <w:link w:val="951"/>
    <w:qFormat/>
    <w:pPr>
      <w:ind w:firstLine="200"/>
      <w:spacing w:line="360" w:lineRule="auto"/>
    </w:pPr>
    <w:rPr>
      <w:rFonts w:ascii="宋体" w:hAnsi="宋体"/>
      <w:szCs w:val="21"/>
      <w:lang w:val="zh-CN"/>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98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105"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22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132"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19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73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600"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623"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23"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427"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094"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442"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562"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534"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23"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23"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272"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752"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048"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834"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378"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807"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774"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06"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657"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687"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55"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548"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792" TargetMode="External"/><Relationship Id="rId4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029"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934"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479" TargetMode="External"/><Relationship Id="rId4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52"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117"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947" TargetMode="External"/><Relationship Id="rId4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118" TargetMode="External"/><Relationship Id="rId4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604" TargetMode="External"/><Relationship Id="rId5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577" TargetMode="External"/><Relationship Id="rId5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902" TargetMode="External"/><Relationship Id="rId5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98" TargetMode="External"/><Relationship Id="rId5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734" TargetMode="External"/><Relationship Id="rId5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627" TargetMode="External"/><Relationship Id="rId5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97" TargetMode="External"/><Relationship Id="rId5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715" TargetMode="External"/><Relationship Id="rId5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283" TargetMode="External"/><Relationship Id="rId5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317" TargetMode="External"/><Relationship Id="rId5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697" TargetMode="External"/><Relationship Id="rId60"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李欣</cp:lastModifiedBy>
  <cp:revision>6</cp:revision>
  <dcterms:created xsi:type="dcterms:W3CDTF">2024-08-26T06:58:00Z</dcterms:created>
  <dcterms:modified xsi:type="dcterms:W3CDTF">2024-11-11T03:18:54Z</dcterms:modified>
</cp:coreProperties>
</file>