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390AE">
      <w:pPr>
        <w:pStyle w:val="21"/>
        <w:rPr>
          <w:rFonts w:hint="eastAsia" w:ascii="宋体" w:hAnsi="宋体"/>
          <w:b/>
          <w:bCs/>
          <w:spacing w:val="80"/>
          <w:sz w:val="52"/>
          <w:szCs w:val="52"/>
        </w:rPr>
      </w:pPr>
    </w:p>
    <w:p w14:paraId="694231E2">
      <w:pPr>
        <w:pStyle w:val="21"/>
        <w:ind w:firstLine="2387"/>
        <w:rPr>
          <w:rFonts w:hint="eastAsia" w:ascii="宋体"/>
          <w:b/>
          <w:bCs/>
          <w:spacing w:val="80"/>
          <w:sz w:val="52"/>
          <w:szCs w:val="52"/>
        </w:rPr>
      </w:pPr>
      <w:r>
        <w:rPr>
          <w:rFonts w:hint="eastAsia" w:ascii="宋体" w:hAnsi="宋体"/>
          <w:b/>
          <w:bCs/>
          <w:spacing w:val="80"/>
          <w:sz w:val="52"/>
          <w:szCs w:val="52"/>
        </w:rPr>
        <w:t>连云港市政府采购</w:t>
      </w:r>
    </w:p>
    <w:p w14:paraId="2B80A0AA">
      <w:pPr>
        <w:pStyle w:val="21"/>
        <w:jc w:val="center"/>
        <w:rPr>
          <w:rFonts w:hint="eastAsia" w:asciiTheme="minorEastAsia" w:hAnsiTheme="minorEastAsia" w:eastAsiaTheme="minorEastAsia"/>
          <w:b/>
          <w:bCs/>
          <w:sz w:val="30"/>
          <w:szCs w:val="30"/>
        </w:rPr>
      </w:pPr>
    </w:p>
    <w:p w14:paraId="00A07360">
      <w:pPr>
        <w:pStyle w:val="21"/>
        <w:rPr>
          <w:rFonts w:hint="eastAsia"/>
        </w:rPr>
      </w:pPr>
    </w:p>
    <w:p w14:paraId="2676E6A5">
      <w:pPr>
        <w:pStyle w:val="21"/>
        <w:rPr>
          <w:rFonts w:hint="eastAsia"/>
        </w:rPr>
      </w:pPr>
    </w:p>
    <w:p w14:paraId="3A7B0755">
      <w:pPr>
        <w:pStyle w:val="21"/>
        <w:tabs>
          <w:tab w:val="left" w:pos="7980"/>
        </w:tabs>
        <w:rPr>
          <w:rFonts w:hint="eastAsia"/>
        </w:rPr>
      </w:pPr>
    </w:p>
    <w:p w14:paraId="1CD5207C">
      <w:pPr>
        <w:pStyle w:val="21"/>
        <w:rPr>
          <w:rFonts w:hint="eastAsia"/>
        </w:rPr>
      </w:pPr>
    </w:p>
    <w:p w14:paraId="374BF3B0">
      <w:pPr>
        <w:pStyle w:val="21"/>
        <w:rPr>
          <w:rFonts w:hint="eastAsia"/>
        </w:rPr>
      </w:pPr>
      <w:r>
        <mc:AlternateContent>
          <mc:Choice Requires="wps">
            <w:drawing>
              <wp:anchor distT="0" distB="0" distL="114300" distR="114300" simplePos="0" relativeHeight="251661312" behindDoc="0" locked="0" layoutInCell="1" allowOverlap="1">
                <wp:simplePos x="0" y="0"/>
                <wp:positionH relativeFrom="column">
                  <wp:posOffset>774700</wp:posOffset>
                </wp:positionH>
                <wp:positionV relativeFrom="paragraph">
                  <wp:posOffset>53975</wp:posOffset>
                </wp:positionV>
                <wp:extent cx="4958080" cy="734695"/>
                <wp:effectExtent l="0" t="0" r="0" b="0"/>
                <wp:wrapNone/>
                <wp:docPr id="4" name="矩形 4"/>
                <wp:cNvGraphicFramePr/>
                <a:graphic xmlns:a="http://schemas.openxmlformats.org/drawingml/2006/main">
                  <a:graphicData uri="http://schemas.microsoft.com/office/word/2010/wordprocessingShape">
                    <wps:wsp>
                      <wps:cNvSpPr/>
                      <wps:spPr bwMode="auto">
                        <a:xfrm>
                          <a:off x="0" y="0"/>
                          <a:ext cx="4958080" cy="734695"/>
                        </a:xfrm>
                        <a:prstGeom prst="rect">
                          <a:avLst/>
                        </a:prstGeom>
                        <a:noFill/>
                        <a:ln>
                          <a:noFill/>
                        </a:ln>
                      </wps:spPr>
                      <wps:txbx>
                        <w:txbxContent>
                          <w:p w14:paraId="3857457D">
                            <w:pPr>
                              <w:rPr>
                                <w:rFonts w:hint="eastAsia" w:ascii="华康简魏碑" w:hAnsi="华康简魏碑"/>
                                <w:color w:val="000000"/>
                                <w:sz w:val="108"/>
                                <w:szCs w:val="108"/>
                              </w:rPr>
                            </w:pPr>
                            <w:r>
                              <w:rPr>
                                <w:rFonts w:ascii="华康简魏碑" w:hAnsi="华康简魏碑"/>
                                <w:color w:val="000000"/>
                                <w:sz w:val="96"/>
                                <w:szCs w:val="96"/>
                              </w:rPr>
                              <w:t>公开招标采购文件</w:t>
                            </w:r>
                          </w:p>
                        </w:txbxContent>
                      </wps:txbx>
                      <wps:bodyPr vertOverflow="overflow" horzOverflow="overflow" vert="horz" wrap="square" lIns="0" tIns="0" rIns="0" bIns="0" numCol="1" spcCol="0" rtlCol="0" fromWordArt="1" anchor="t" anchorCtr="0" forceAA="0" compatLnSpc="0">
                        <a:prstTxWarp prst="textPlain">
                          <a:avLst>
                            <a:gd name="adj" fmla="val 50000"/>
                          </a:avLst>
                        </a:prstTxWarp>
                        <a:normAutofit fontScale="25000" lnSpcReduction="15000"/>
                      </wps:bodyPr>
                    </wps:wsp>
                  </a:graphicData>
                </a:graphic>
              </wp:anchor>
            </w:drawing>
          </mc:Choice>
          <mc:Fallback>
            <w:pict>
              <v:shape id="_x0000_s1026" o:spid="_x0000_s1026" o:spt="136" type="#_x0000_t136" style="position:absolute;left:0pt;margin-left:61pt;margin-top:4.25pt;height:57.85pt;width:390.4pt;z-index:251661312;mso-width-relative:page;mso-height-relative:page;" filled="f" stroked="f" coordsize="21600,21600" o:gfxdata="UEsDBAoAAAAAAIdO4kAAAAAAAAAAAAAAAAAEAAAAZHJzL1BLAwQUAAAACACHTuJA6enV+NUAAAAJ&#10;AQAADwAAAGRycy9kb3ducmV2LnhtbE2PwU7DMBBE70j8g7VI3Khdq6A2jVMJRG+oEgHE1Y2XJGq8&#10;DrbblL9ne4LjaFaz75Wbsx/ECWPqAxmYzxQIpCa4nloD72/buyWIlC05OwRCAz+YYFNdX5W2cGGi&#10;VzzVuRU8QqmwBrqcx0LK1HTobZqFEYm7rxC9zRxjK120E4/7QWqlHqS3PfGHzo741GFzqI/ewLev&#10;d5Pe1lHaw8fzY79I+Ll7Meb2Zq7WIDKe898xXPAZHSpm2ocjuSQGzlqzSzawvAfB/UppVtlfioUG&#10;WZXyv0H1C1BLAwQUAAAACACHTuJAVLYAFmICAADABAAADgAAAGRycy9lMm9Eb2MueG1srVTNbhMx&#10;EL4j8Q6W72Q3IS3pqpsqalWEVGhEinqeeO3sIv9hO9ktL4PEjYfgcRCvwdi720Lh0AM5rMbj8Tfz&#10;fTOT07NOSXLgzjdGl3Q6ySnhmpmq0buSfri5fLGgxAfQFUijeUnvuKdny+fPTltb8Jmpjay4Iwii&#10;fdHaktYh2CLLPKu5Aj8xlmu8FMYpCHh0u6xy0CK6ktksz4+z1rjKOsO49+i96C/pgOieAmiEaBi/&#10;MGyvuA49quMSAlLydWM9XaZqheAsXAvheSCypMg0pC8mQXsbv9nyFIqdA1s3bCgBnlLCI04KGo1J&#10;76EuIADZu+YvKNUwZ7wRYcKMynoiSRFkMc0fabOpwfLEBaX29l50//9g2bvD2pGmKumcEg0KG/7z&#10;y7cf37+SedSmtb7AkI1du+Hk0STb9q2pMBT2wSTanXAq0kdCpEvq3t2ry7tAGDrnJ0eLfIHCM7x7&#10;9XJ+fHIUU2RQjK+t8+E1N4pEo6QOu5fQ4XDlQx86hsRk2lw2UqIfCqn/cCBm9GSx/FhwTyR0225g&#10;sTXVHfLANQjX+BHStCU1g0VJbdznf/ljPGqPt5S0ODQl9Z/24Dgl8o3GrsQJGw03GtvR0Ht1bnAO&#10;p7hgliUTH7ggR1M4o25xO1YxC0aBZpirpGE0z0M/urhdjK9WKSHOkYVwpTeWxXPUIYp0092Cs4OS&#10;AXuwluOMJjlj3K4aWg7VR0qEkjj6B5DkKMff0JshGBV9QO21dmqF7RdNIMLosGEgcSJm8S3KEct5&#10;z6s9izuJZJI7tjC2pFd/OOBgpyEYljBuzu/nFPXwx7P8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np1fjVAAAACQEAAA8AAAAAAAAAAQAgAAAAIgAAAGRycy9kb3ducmV2LnhtbFBLAQIUABQAAAAI&#10;AIdO4kBUtgAWYgIAAMAEAAAOAAAAAAAAAAEAIAAAACQBAABkcnMvZTJvRG9jLnhtbFBLBQYAAAAA&#10;BgAGAFkBAAD4BQAAAAA=&#10;" adj="10800">
                <v:fill on="f" focussize="0,0"/>
                <v:stroke on="f"/>
                <v:imagedata o:title=""/>
                <o:lock v:ext="edit" aspectratio="f"/>
                <v:textpath on="f" fitpath="t" trim="t" xscale="f" string="" style="font-size:36pt;v-text-align:center;"/>
                <v:textbox inset="0mm,0mm,0mm,0mm">
                  <w:txbxContent>
                    <w:p w14:paraId="3857457D">
                      <w:pPr>
                        <w:rPr>
                          <w:rFonts w:hint="eastAsia" w:ascii="华康简魏碑" w:hAnsi="华康简魏碑"/>
                          <w:color w:val="000000"/>
                          <w:sz w:val="108"/>
                          <w:szCs w:val="108"/>
                        </w:rPr>
                      </w:pPr>
                      <w:r>
                        <w:rPr>
                          <w:rFonts w:ascii="华康简魏碑" w:hAnsi="华康简魏碑"/>
                          <w:color w:val="000000"/>
                          <w:sz w:val="96"/>
                          <w:szCs w:val="96"/>
                        </w:rPr>
                        <w:t>公开招标采购文件</w:t>
                      </w:r>
                    </w:p>
                  </w:txbxContent>
                </v:textbox>
              </v:shape>
            </w:pict>
          </mc:Fallback>
        </mc:AlternateContent>
      </w:r>
    </w:p>
    <w:p w14:paraId="77D07B14">
      <w:pPr>
        <w:pStyle w:val="21"/>
        <w:rPr>
          <w:rFonts w:hint="eastAsia"/>
        </w:rPr>
      </w:pPr>
    </w:p>
    <w:p w14:paraId="140EADCC">
      <w:pPr>
        <w:pStyle w:val="21"/>
        <w:rPr>
          <w:rFonts w:hint="eastAsia"/>
        </w:rPr>
      </w:pPr>
    </w:p>
    <w:p w14:paraId="122E2495">
      <w:pPr>
        <w:pStyle w:val="21"/>
        <w:rPr>
          <w:rFonts w:hint="eastAsia"/>
        </w:rPr>
      </w:pPr>
    </w:p>
    <w:p w14:paraId="0F3E27D2">
      <w:pPr>
        <w:pStyle w:val="21"/>
        <w:rPr>
          <w:rFonts w:hint="eastAsia"/>
        </w:rPr>
      </w:pPr>
    </w:p>
    <w:p w14:paraId="5E8A65E6">
      <w:pPr>
        <w:pStyle w:val="21"/>
        <w:rPr>
          <w:rFonts w:hint="eastAsia"/>
        </w:rPr>
      </w:pPr>
    </w:p>
    <w:p w14:paraId="7E7414BF">
      <w:pPr>
        <w:pStyle w:val="21"/>
        <w:rPr>
          <w:rFonts w:hint="eastAsia"/>
        </w:rPr>
      </w:pPr>
    </w:p>
    <w:p w14:paraId="464CEEAE">
      <w:pPr>
        <w:pStyle w:val="21"/>
        <w:rPr>
          <w:rFonts w:hint="eastAsia"/>
        </w:rPr>
      </w:pPr>
    </w:p>
    <w:p w14:paraId="106D5677">
      <w:pPr>
        <w:pStyle w:val="21"/>
        <w:rPr>
          <w:rFonts w:hint="eastAsia"/>
        </w:rPr>
      </w:pPr>
    </w:p>
    <w:p w14:paraId="4D9AD11F">
      <w:pPr>
        <w:pStyle w:val="21"/>
        <w:rPr>
          <w:rFonts w:hint="eastAsia"/>
        </w:rPr>
      </w:pPr>
    </w:p>
    <w:tbl>
      <w:tblPr>
        <w:tblStyle w:val="40"/>
        <w:tblpPr w:leftFromText="180" w:rightFromText="180" w:vertAnchor="text" w:horzAnchor="page" w:tblpX="1796" w:tblpY="300"/>
        <w:tblW w:w="8966" w:type="dxa"/>
        <w:tblInd w:w="0" w:type="dxa"/>
        <w:tblLayout w:type="fixed"/>
        <w:tblCellMar>
          <w:top w:w="0" w:type="dxa"/>
          <w:left w:w="108" w:type="dxa"/>
          <w:bottom w:w="0" w:type="dxa"/>
          <w:right w:w="108" w:type="dxa"/>
        </w:tblCellMar>
      </w:tblPr>
      <w:tblGrid>
        <w:gridCol w:w="8966"/>
      </w:tblGrid>
      <w:tr w14:paraId="530F1152">
        <w:tblPrEx>
          <w:tblCellMar>
            <w:top w:w="0" w:type="dxa"/>
            <w:left w:w="108" w:type="dxa"/>
            <w:bottom w:w="0" w:type="dxa"/>
            <w:right w:w="108" w:type="dxa"/>
          </w:tblCellMar>
        </w:tblPrEx>
        <w:trPr>
          <w:trHeight w:val="2376" w:hRule="atLeast"/>
        </w:trPr>
        <w:tc>
          <w:tcPr>
            <w:tcW w:w="8966" w:type="dxa"/>
            <w:vAlign w:val="center"/>
          </w:tcPr>
          <w:p w14:paraId="47556D73">
            <w:pPr>
              <w:spacing w:line="480" w:lineRule="auto"/>
              <w:rPr>
                <w:rFonts w:hint="eastAsia" w:ascii="宋体" w:hAnsi="宋体"/>
                <w:b/>
                <w:bCs/>
                <w:spacing w:val="16"/>
                <w:sz w:val="30"/>
                <w:szCs w:val="30"/>
              </w:rPr>
            </w:pPr>
            <w:r>
              <w:rPr>
                <w:rFonts w:hint="eastAsia" w:ascii="宋体" w:hAnsi="宋体"/>
                <w:b/>
                <w:bCs/>
                <w:spacing w:val="16"/>
                <w:sz w:val="30"/>
                <w:szCs w:val="30"/>
              </w:rPr>
              <w:t>项目名称：</w:t>
            </w:r>
            <w:r>
              <w:rPr>
                <w:rFonts w:hint="eastAsia" w:ascii="宋体" w:hAnsi="宋体" w:cs="宋体"/>
                <w:b/>
                <w:bCs/>
                <w:sz w:val="30"/>
                <w:szCs w:val="30"/>
              </w:rPr>
              <w:t>灌南县农机化技术推广服务站智能化稻麦轮作农机装备与技术集成示范项目</w:t>
            </w:r>
          </w:p>
          <w:p w14:paraId="3354B0CA">
            <w:pPr>
              <w:spacing w:line="480" w:lineRule="auto"/>
              <w:rPr>
                <w:rFonts w:ascii="宋体"/>
                <w:b/>
                <w:bCs/>
                <w:spacing w:val="16"/>
                <w:sz w:val="30"/>
                <w:szCs w:val="30"/>
              </w:rPr>
            </w:pPr>
            <w:r>
              <w:rPr>
                <w:rFonts w:hint="eastAsia" w:ascii="宋体" w:hAnsi="宋体"/>
                <w:b/>
                <w:bCs/>
                <w:spacing w:val="16"/>
                <w:sz w:val="30"/>
                <w:szCs w:val="30"/>
              </w:rPr>
              <w:t xml:space="preserve">项目编号：JSZC-320724-RBGS-G2025-0001 </w:t>
            </w:r>
          </w:p>
        </w:tc>
      </w:tr>
    </w:tbl>
    <w:p w14:paraId="04184BC3">
      <w:pPr>
        <w:pStyle w:val="21"/>
        <w:rPr>
          <w:rFonts w:hint="eastAsia"/>
          <w:sz w:val="30"/>
          <w:szCs w:val="30"/>
        </w:rPr>
      </w:pPr>
    </w:p>
    <w:p w14:paraId="331F2A91">
      <w:pPr>
        <w:spacing w:line="360" w:lineRule="auto"/>
        <w:ind w:left="-2"/>
        <w:rPr>
          <w:sz w:val="30"/>
          <w:szCs w:val="30"/>
        </w:rPr>
      </w:pPr>
    </w:p>
    <w:p w14:paraId="4DB0D564">
      <w:pPr>
        <w:spacing w:line="360" w:lineRule="auto"/>
        <w:ind w:left="-2"/>
        <w:rPr>
          <w:sz w:val="30"/>
          <w:szCs w:val="30"/>
        </w:rPr>
      </w:pPr>
    </w:p>
    <w:p w14:paraId="13F73991">
      <w:pPr>
        <w:spacing w:line="360" w:lineRule="auto"/>
      </w:pPr>
    </w:p>
    <w:p w14:paraId="0E683A28">
      <w:pPr>
        <w:pStyle w:val="15"/>
        <w:rPr>
          <w:rFonts w:hint="eastAsia"/>
        </w:rPr>
      </w:pPr>
    </w:p>
    <w:p w14:paraId="4F8BD923">
      <w:pPr>
        <w:spacing w:line="360" w:lineRule="auto"/>
      </w:pPr>
    </w:p>
    <w:p w14:paraId="4315EDEE">
      <w:pPr>
        <w:pStyle w:val="17"/>
        <w:rPr>
          <w:rFonts w:hint="eastAsia"/>
        </w:rPr>
      </w:pPr>
    </w:p>
    <w:p w14:paraId="3B55919D">
      <w:pPr>
        <w:pStyle w:val="18"/>
      </w:pPr>
    </w:p>
    <w:p w14:paraId="5CBFF8D1">
      <w:pPr>
        <w:pStyle w:val="18"/>
      </w:pPr>
    </w:p>
    <w:p w14:paraId="4BB96063">
      <w:pPr>
        <w:pStyle w:val="17"/>
        <w:ind w:firstLine="0"/>
        <w:rPr>
          <w:rFonts w:hint="eastAsia"/>
        </w:rPr>
      </w:pPr>
    </w:p>
    <w:p w14:paraId="21B3967A">
      <w:pPr>
        <w:pStyle w:val="18"/>
      </w:pPr>
    </w:p>
    <w:tbl>
      <w:tblPr>
        <w:tblStyle w:val="40"/>
        <w:tblpPr w:leftFromText="180" w:rightFromText="180" w:vertAnchor="text" w:horzAnchor="page" w:tblpX="1855" w:tblpY="246"/>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760"/>
      </w:tblGrid>
      <w:tr w14:paraId="61738337">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trPr>
        <w:tc>
          <w:tcPr>
            <w:tcW w:w="8760" w:type="dxa"/>
            <w:tcBorders>
              <w:top w:val="single" w:color="auto" w:sz="18" w:space="0"/>
            </w:tcBorders>
            <w:vAlign w:val="center"/>
          </w:tcPr>
          <w:p w14:paraId="01A07800">
            <w:pPr>
              <w:spacing w:line="480" w:lineRule="auto"/>
              <w:rPr>
                <w:rFonts w:hint="eastAsia" w:ascii="宋体" w:hAnsi="宋体" w:cs="宋体"/>
                <w:b/>
                <w:bCs/>
                <w:sz w:val="32"/>
              </w:rPr>
            </w:pPr>
          </w:p>
          <w:p w14:paraId="04285BE4">
            <w:pPr>
              <w:spacing w:line="480" w:lineRule="auto"/>
              <w:rPr>
                <w:rFonts w:hint="eastAsia" w:ascii="宋体" w:hAnsi="宋体" w:cs="宋体"/>
                <w:b/>
                <w:bCs/>
                <w:sz w:val="32"/>
              </w:rPr>
            </w:pPr>
            <w:r>
              <w:rPr>
                <w:rFonts w:hint="eastAsia" w:ascii="宋体" w:hAnsi="宋体" w:cs="宋体"/>
                <w:b/>
                <w:bCs/>
                <w:sz w:val="32"/>
              </w:rPr>
              <w:t>采   购   人：灌南县农机化技术推广服务站</w:t>
            </w:r>
          </w:p>
          <w:p w14:paraId="1B59DCAC">
            <w:pPr>
              <w:spacing w:line="480" w:lineRule="auto"/>
              <w:rPr>
                <w:rFonts w:hint="eastAsia" w:ascii="宋体" w:hAnsi="宋体" w:cs="宋体"/>
                <w:b/>
                <w:bCs/>
                <w:sz w:val="32"/>
              </w:rPr>
            </w:pPr>
            <w:r>
              <w:rPr>
                <w:rFonts w:hint="eastAsia" w:ascii="宋体" w:hAnsi="宋体" w:cs="宋体"/>
                <w:b/>
                <w:bCs/>
                <w:sz w:val="32"/>
              </w:rPr>
              <w:t>采购代理机构：江苏润博建设项目管理有限公司</w:t>
            </w:r>
          </w:p>
        </w:tc>
      </w:tr>
    </w:tbl>
    <w:p w14:paraId="277DAF88">
      <w:pPr>
        <w:pStyle w:val="21"/>
        <w:rPr>
          <w:rFonts w:hint="eastAsia" w:ascii="宋体" w:hAnsi="宋体"/>
          <w:b/>
          <w:bCs/>
          <w:sz w:val="32"/>
          <w:szCs w:val="32"/>
        </w:rPr>
      </w:pPr>
    </w:p>
    <w:p w14:paraId="1BC3CEC6">
      <w:pPr>
        <w:pStyle w:val="21"/>
        <w:jc w:val="center"/>
        <w:rPr>
          <w:rFonts w:hint="eastAsia" w:ascii="宋体" w:hAnsi="宋体"/>
          <w:b/>
          <w:bCs/>
          <w:sz w:val="32"/>
          <w:szCs w:val="32"/>
        </w:rPr>
      </w:pPr>
    </w:p>
    <w:p w14:paraId="41E037A7">
      <w:pPr>
        <w:pStyle w:val="21"/>
        <w:jc w:val="center"/>
        <w:rPr>
          <w:rFonts w:hint="eastAsia" w:ascii="宋体" w:hAnsi="宋体"/>
          <w:b/>
          <w:bCs/>
          <w:sz w:val="32"/>
          <w:szCs w:val="32"/>
        </w:rPr>
      </w:pPr>
    </w:p>
    <w:p w14:paraId="51C3E493">
      <w:pPr>
        <w:pStyle w:val="21"/>
        <w:jc w:val="center"/>
        <w:rPr>
          <w:rFonts w:hint="eastAsia" w:ascii="宋体" w:hAnsi="宋体"/>
          <w:b/>
          <w:bCs/>
          <w:sz w:val="32"/>
          <w:szCs w:val="32"/>
        </w:rPr>
      </w:pPr>
    </w:p>
    <w:p w14:paraId="6324AC40">
      <w:pPr>
        <w:pStyle w:val="21"/>
        <w:ind w:firstLine="3968"/>
        <w:rPr>
          <w:rFonts w:hint="eastAsia" w:ascii="宋体" w:hAnsi="宋体"/>
          <w:b/>
          <w:bCs/>
          <w:sz w:val="32"/>
          <w:szCs w:val="32"/>
        </w:rPr>
      </w:pPr>
    </w:p>
    <w:p w14:paraId="10F0ECB8">
      <w:pPr>
        <w:jc w:val="center"/>
        <w:rPr>
          <w:rFonts w:hint="eastAsia" w:ascii="宋体" w:hAnsi="宋体" w:cs="宋体"/>
          <w:b/>
          <w:bCs/>
          <w:sz w:val="32"/>
        </w:rPr>
      </w:pPr>
    </w:p>
    <w:p w14:paraId="05B5FDAE">
      <w:pPr>
        <w:jc w:val="center"/>
        <w:rPr>
          <w:rFonts w:hint="eastAsia" w:ascii="宋体" w:hAnsi="宋体" w:cs="宋体"/>
          <w:b/>
          <w:bCs/>
          <w:sz w:val="32"/>
        </w:rPr>
      </w:pPr>
    </w:p>
    <w:p w14:paraId="31D19D7B">
      <w:pPr>
        <w:jc w:val="center"/>
        <w:rPr>
          <w:rFonts w:hint="eastAsia" w:ascii="宋体" w:hAnsi="宋体" w:cs="宋体"/>
          <w:b/>
          <w:bCs/>
          <w:sz w:val="32"/>
        </w:rPr>
      </w:pPr>
      <w:r>
        <w:rPr>
          <w:rFonts w:hint="eastAsia" w:ascii="宋体" w:hAnsi="宋体" w:cs="宋体"/>
          <w:b/>
          <w:bCs/>
          <w:sz w:val="32"/>
        </w:rPr>
        <w:t>2025年0</w:t>
      </w:r>
      <w:r>
        <w:rPr>
          <w:rFonts w:hint="eastAsia" w:ascii="宋体" w:hAnsi="宋体" w:cs="宋体"/>
          <w:b/>
          <w:bCs/>
          <w:sz w:val="32"/>
          <w:lang w:val="en-US" w:eastAsia="zh-CN"/>
        </w:rPr>
        <w:t>2</w:t>
      </w:r>
      <w:r>
        <w:rPr>
          <w:rFonts w:hint="eastAsia" w:ascii="宋体" w:hAnsi="宋体" w:cs="宋体"/>
          <w:b/>
          <w:bCs/>
          <w:sz w:val="32"/>
        </w:rPr>
        <w:t>月</w:t>
      </w:r>
    </w:p>
    <w:p w14:paraId="51934409"/>
    <w:p w14:paraId="19A5EAA2">
      <w:pPr>
        <w:pStyle w:val="21"/>
        <w:rPr>
          <w:rFonts w:hint="eastAsia"/>
        </w:rPr>
      </w:pPr>
    </w:p>
    <w:p w14:paraId="53404CA4">
      <w:pPr>
        <w:pStyle w:val="21"/>
        <w:rPr>
          <w:rFonts w:hint="eastAsia"/>
        </w:rPr>
        <w:sectPr>
          <w:headerReference r:id="rId4" w:type="first"/>
          <w:footerReference r:id="rId6" w:type="first"/>
          <w:headerReference r:id="rId3" w:type="default"/>
          <w:footerReference r:id="rId5" w:type="default"/>
          <w:pgSz w:w="11907" w:h="16840"/>
          <w:pgMar w:top="1440" w:right="1080" w:bottom="1440" w:left="1080" w:header="851" w:footer="737" w:gutter="0"/>
          <w:pgNumType w:start="1"/>
          <w:cols w:space="425" w:num="1"/>
          <w:titlePg/>
          <w:docGrid w:linePitch="360" w:charSpace="0"/>
        </w:sectPr>
      </w:pPr>
    </w:p>
    <w:sdt>
      <w:sdtPr>
        <w:rPr>
          <w:rFonts w:ascii="宋体" w:hAnsi="宋体" w:eastAsia="楷体_GB2312"/>
          <w:sz w:val="24"/>
          <w:szCs w:val="20"/>
        </w:rPr>
        <w:id w:val="147461951"/>
        <w15:color w:val="DBDBDB"/>
        <w:docPartObj>
          <w:docPartGallery w:val="Table of Contents"/>
          <w:docPartUnique/>
        </w:docPartObj>
      </w:sdtPr>
      <w:sdtEndPr>
        <w:rPr>
          <w:rFonts w:ascii="宋体" w:hAnsi="宋体" w:eastAsia="楷体_GB2312"/>
          <w:sz w:val="24"/>
          <w:szCs w:val="20"/>
        </w:rPr>
      </w:sdtEndPr>
      <w:sdtContent>
        <w:p w14:paraId="2D881EB9">
          <w:pPr>
            <w:spacing w:line="480" w:lineRule="auto"/>
            <w:jc w:val="center"/>
            <w:rPr>
              <w:b/>
              <w:bCs/>
              <w:sz w:val="40"/>
              <w:szCs w:val="48"/>
            </w:rPr>
          </w:pPr>
          <w:r>
            <w:rPr>
              <w:rFonts w:ascii="宋体" w:hAnsi="宋体"/>
              <w:b/>
              <w:bCs/>
              <w:sz w:val="40"/>
              <w:szCs w:val="48"/>
            </w:rPr>
            <w:t>目</w:t>
          </w:r>
          <w:r>
            <w:rPr>
              <w:rFonts w:hint="eastAsia" w:ascii="宋体" w:hAnsi="宋体"/>
              <w:b/>
              <w:bCs/>
              <w:sz w:val="40"/>
              <w:szCs w:val="48"/>
            </w:rPr>
            <w:t xml:space="preserve">  </w:t>
          </w:r>
          <w:r>
            <w:rPr>
              <w:rFonts w:ascii="宋体" w:hAnsi="宋体"/>
              <w:b/>
              <w:bCs/>
              <w:sz w:val="40"/>
              <w:szCs w:val="48"/>
            </w:rPr>
            <w:t>录</w:t>
          </w:r>
        </w:p>
        <w:p w14:paraId="5A0F58AD">
          <w:pPr>
            <w:pStyle w:val="202"/>
            <w:widowControl w:val="0"/>
            <w:tabs>
              <w:tab w:val="right" w:leader="dot" w:pos="9747"/>
            </w:tabs>
            <w:spacing w:line="480" w:lineRule="auto"/>
            <w:rPr>
              <w:b/>
              <w:sz w:val="24"/>
              <w:szCs w:val="24"/>
            </w:rPr>
          </w:pPr>
          <w:r>
            <w:rPr>
              <w:rFonts w:hint="eastAsia"/>
              <w:sz w:val="24"/>
              <w:szCs w:val="24"/>
            </w:rPr>
            <w:fldChar w:fldCharType="begin"/>
          </w:r>
          <w:r>
            <w:rPr>
              <w:rFonts w:hint="eastAsia"/>
              <w:sz w:val="24"/>
              <w:szCs w:val="24"/>
            </w:rPr>
            <w:instrText xml:space="preserve">TOC \o "1-2" \h \u </w:instrText>
          </w:r>
          <w:r>
            <w:rPr>
              <w:rFonts w:hint="eastAsia"/>
              <w:sz w:val="24"/>
              <w:szCs w:val="24"/>
            </w:rPr>
            <w:fldChar w:fldCharType="separate"/>
          </w:r>
          <w:r>
            <w:fldChar w:fldCharType="begin"/>
          </w:r>
          <w:r>
            <w:instrText xml:space="preserve"> HYPERLINK \l "_Toc6935" </w:instrText>
          </w:r>
          <w:r>
            <w:fldChar w:fldCharType="separate"/>
          </w:r>
          <w:r>
            <w:rPr>
              <w:rFonts w:hint="eastAsia" w:ascii="宋体" w:hAnsi="宋体" w:cs="宋体"/>
              <w:b/>
              <w:sz w:val="24"/>
              <w:szCs w:val="56"/>
            </w:rPr>
            <w:t>第一章 采购公告</w:t>
          </w:r>
          <w:r>
            <w:rPr>
              <w:b/>
              <w:sz w:val="24"/>
              <w:szCs w:val="24"/>
            </w:rPr>
            <w:tab/>
          </w:r>
          <w:r>
            <w:rPr>
              <w:b/>
              <w:sz w:val="24"/>
              <w:szCs w:val="24"/>
            </w:rPr>
            <w:fldChar w:fldCharType="end"/>
          </w:r>
        </w:p>
        <w:p w14:paraId="19C9CAE7">
          <w:pPr>
            <w:pStyle w:val="202"/>
            <w:widowControl w:val="0"/>
            <w:tabs>
              <w:tab w:val="right" w:leader="dot" w:pos="9747"/>
            </w:tabs>
            <w:spacing w:line="480" w:lineRule="auto"/>
            <w:rPr>
              <w:b/>
              <w:sz w:val="24"/>
              <w:szCs w:val="24"/>
            </w:rPr>
          </w:pPr>
          <w:r>
            <w:fldChar w:fldCharType="begin"/>
          </w:r>
          <w:r>
            <w:instrText xml:space="preserve"> HYPERLINK \l "_Toc19027" </w:instrText>
          </w:r>
          <w:r>
            <w:fldChar w:fldCharType="separate"/>
          </w:r>
          <w:r>
            <w:rPr>
              <w:rFonts w:hint="eastAsia" w:ascii="宋体" w:hAnsi="宋体" w:cs="宋体"/>
              <w:b/>
              <w:sz w:val="24"/>
              <w:szCs w:val="56"/>
            </w:rPr>
            <w:t>第二章 投标人须知</w:t>
          </w:r>
          <w:r>
            <w:rPr>
              <w:b/>
              <w:sz w:val="24"/>
              <w:szCs w:val="24"/>
            </w:rPr>
            <w:tab/>
          </w:r>
          <w:r>
            <w:rPr>
              <w:b/>
              <w:sz w:val="24"/>
              <w:szCs w:val="24"/>
            </w:rPr>
            <w:fldChar w:fldCharType="end"/>
          </w:r>
        </w:p>
        <w:p w14:paraId="6D79C287">
          <w:pPr>
            <w:pStyle w:val="202"/>
            <w:widowControl w:val="0"/>
            <w:tabs>
              <w:tab w:val="right" w:leader="dot" w:pos="9747"/>
            </w:tabs>
            <w:spacing w:line="480" w:lineRule="auto"/>
            <w:rPr>
              <w:b/>
              <w:sz w:val="24"/>
              <w:szCs w:val="24"/>
            </w:rPr>
          </w:pPr>
          <w:r>
            <w:fldChar w:fldCharType="begin"/>
          </w:r>
          <w:r>
            <w:instrText xml:space="preserve"> HYPERLINK \l "_Toc17511" </w:instrText>
          </w:r>
          <w:r>
            <w:fldChar w:fldCharType="separate"/>
          </w:r>
          <w:r>
            <w:rPr>
              <w:rFonts w:hint="eastAsia" w:ascii="宋体" w:hAnsi="宋体" w:cs="宋体"/>
              <w:b/>
              <w:sz w:val="24"/>
              <w:szCs w:val="56"/>
            </w:rPr>
            <w:t>第三章 政府采购合同格式</w:t>
          </w:r>
          <w:r>
            <w:rPr>
              <w:b/>
              <w:sz w:val="24"/>
              <w:szCs w:val="24"/>
            </w:rPr>
            <w:tab/>
          </w:r>
          <w:r>
            <w:rPr>
              <w:b/>
              <w:sz w:val="24"/>
              <w:szCs w:val="24"/>
            </w:rPr>
            <w:fldChar w:fldCharType="begin"/>
          </w:r>
          <w:r>
            <w:rPr>
              <w:b/>
              <w:sz w:val="24"/>
              <w:szCs w:val="24"/>
            </w:rPr>
            <w:instrText xml:space="preserve"> PAGEREF _Toc17511 \h </w:instrText>
          </w:r>
          <w:r>
            <w:rPr>
              <w:b/>
              <w:sz w:val="24"/>
              <w:szCs w:val="24"/>
            </w:rPr>
            <w:fldChar w:fldCharType="separate"/>
          </w:r>
          <w:r>
            <w:rPr>
              <w:b/>
              <w:sz w:val="24"/>
              <w:szCs w:val="24"/>
            </w:rPr>
            <w:fldChar w:fldCharType="end"/>
          </w:r>
          <w:r>
            <w:rPr>
              <w:b/>
              <w:sz w:val="24"/>
              <w:szCs w:val="24"/>
            </w:rPr>
            <w:fldChar w:fldCharType="end"/>
          </w:r>
        </w:p>
        <w:p w14:paraId="7328A13D">
          <w:pPr>
            <w:pStyle w:val="202"/>
            <w:widowControl w:val="0"/>
            <w:tabs>
              <w:tab w:val="right" w:leader="dot" w:pos="9747"/>
            </w:tabs>
            <w:spacing w:line="480" w:lineRule="auto"/>
            <w:rPr>
              <w:b/>
              <w:sz w:val="24"/>
              <w:szCs w:val="24"/>
            </w:rPr>
          </w:pPr>
          <w:r>
            <w:fldChar w:fldCharType="begin"/>
          </w:r>
          <w:r>
            <w:instrText xml:space="preserve"> HYPERLINK \l "_Toc8984" </w:instrText>
          </w:r>
          <w:r>
            <w:fldChar w:fldCharType="separate"/>
          </w:r>
          <w:r>
            <w:rPr>
              <w:rFonts w:hint="eastAsia" w:ascii="宋体" w:hAnsi="宋体" w:cs="宋体"/>
              <w:b/>
              <w:sz w:val="24"/>
              <w:szCs w:val="56"/>
            </w:rPr>
            <w:t>第四章 投标文件格式</w:t>
          </w:r>
          <w:r>
            <w:rPr>
              <w:b/>
              <w:sz w:val="24"/>
              <w:szCs w:val="24"/>
            </w:rPr>
            <w:tab/>
          </w:r>
          <w:r>
            <w:rPr>
              <w:b/>
              <w:sz w:val="24"/>
              <w:szCs w:val="24"/>
            </w:rPr>
            <w:fldChar w:fldCharType="begin"/>
          </w:r>
          <w:r>
            <w:rPr>
              <w:b/>
              <w:sz w:val="24"/>
              <w:szCs w:val="24"/>
            </w:rPr>
            <w:instrText xml:space="preserve"> PAGEREF _Toc8984 \h </w:instrText>
          </w:r>
          <w:r>
            <w:rPr>
              <w:b/>
              <w:sz w:val="24"/>
              <w:szCs w:val="24"/>
            </w:rPr>
            <w:fldChar w:fldCharType="separate"/>
          </w:r>
          <w:r>
            <w:rPr>
              <w:b/>
              <w:sz w:val="24"/>
              <w:szCs w:val="24"/>
            </w:rPr>
            <w:fldChar w:fldCharType="end"/>
          </w:r>
          <w:r>
            <w:rPr>
              <w:b/>
              <w:sz w:val="24"/>
              <w:szCs w:val="24"/>
            </w:rPr>
            <w:fldChar w:fldCharType="end"/>
          </w:r>
        </w:p>
        <w:p w14:paraId="78BE8616">
          <w:pPr>
            <w:pStyle w:val="202"/>
            <w:widowControl w:val="0"/>
            <w:tabs>
              <w:tab w:val="right" w:leader="dot" w:pos="9747"/>
            </w:tabs>
            <w:spacing w:line="480" w:lineRule="auto"/>
            <w:rPr>
              <w:b/>
              <w:sz w:val="24"/>
              <w:szCs w:val="24"/>
            </w:rPr>
          </w:pPr>
          <w:r>
            <w:fldChar w:fldCharType="begin"/>
          </w:r>
          <w:r>
            <w:instrText xml:space="preserve"> HYPERLINK \l "_Toc17165" </w:instrText>
          </w:r>
          <w:r>
            <w:fldChar w:fldCharType="separate"/>
          </w:r>
          <w:r>
            <w:rPr>
              <w:rFonts w:hint="eastAsia" w:ascii="宋体" w:hAnsi="宋体" w:cs="宋体"/>
              <w:b/>
              <w:sz w:val="24"/>
              <w:szCs w:val="56"/>
            </w:rPr>
            <w:t>第五章 项目需求</w:t>
          </w:r>
          <w:r>
            <w:rPr>
              <w:b/>
              <w:sz w:val="24"/>
              <w:szCs w:val="24"/>
            </w:rPr>
            <w:tab/>
          </w:r>
          <w:r>
            <w:rPr>
              <w:b/>
              <w:sz w:val="24"/>
              <w:szCs w:val="24"/>
            </w:rPr>
            <w:fldChar w:fldCharType="begin"/>
          </w:r>
          <w:r>
            <w:rPr>
              <w:b/>
              <w:sz w:val="24"/>
              <w:szCs w:val="24"/>
            </w:rPr>
            <w:instrText xml:space="preserve"> PAGEREF _Toc17165 \h </w:instrText>
          </w:r>
          <w:r>
            <w:rPr>
              <w:b/>
              <w:sz w:val="24"/>
              <w:szCs w:val="24"/>
            </w:rPr>
            <w:fldChar w:fldCharType="separate"/>
          </w:r>
          <w:r>
            <w:rPr>
              <w:b/>
              <w:sz w:val="24"/>
              <w:szCs w:val="24"/>
            </w:rPr>
            <w:fldChar w:fldCharType="end"/>
          </w:r>
          <w:r>
            <w:rPr>
              <w:b/>
              <w:sz w:val="24"/>
              <w:szCs w:val="24"/>
            </w:rPr>
            <w:fldChar w:fldCharType="end"/>
          </w:r>
        </w:p>
        <w:p w14:paraId="402AED9B">
          <w:pPr>
            <w:pStyle w:val="202"/>
            <w:widowControl w:val="0"/>
            <w:tabs>
              <w:tab w:val="right" w:leader="dot" w:pos="9747"/>
            </w:tabs>
            <w:spacing w:line="480" w:lineRule="auto"/>
            <w:rPr>
              <w:b/>
              <w:sz w:val="24"/>
              <w:szCs w:val="24"/>
            </w:rPr>
          </w:pPr>
          <w:r>
            <w:fldChar w:fldCharType="begin"/>
          </w:r>
          <w:r>
            <w:instrText xml:space="preserve"> HYPERLINK \l "_Toc27538" </w:instrText>
          </w:r>
          <w:r>
            <w:fldChar w:fldCharType="separate"/>
          </w:r>
          <w:r>
            <w:rPr>
              <w:rFonts w:hint="eastAsia" w:ascii="宋体" w:hAnsi="宋体" w:cs="宋体"/>
              <w:b/>
              <w:sz w:val="24"/>
              <w:szCs w:val="56"/>
            </w:rPr>
            <w:t>第六章 评审方法和评审标准</w:t>
          </w:r>
          <w:r>
            <w:rPr>
              <w:b/>
              <w:sz w:val="24"/>
              <w:szCs w:val="24"/>
            </w:rPr>
            <w:tab/>
          </w:r>
          <w:r>
            <w:rPr>
              <w:b/>
              <w:sz w:val="24"/>
              <w:szCs w:val="24"/>
            </w:rPr>
            <w:fldChar w:fldCharType="begin"/>
          </w:r>
          <w:r>
            <w:rPr>
              <w:b/>
              <w:sz w:val="24"/>
              <w:szCs w:val="24"/>
            </w:rPr>
            <w:instrText xml:space="preserve"> PAGEREF _Toc27538 \h </w:instrText>
          </w:r>
          <w:r>
            <w:rPr>
              <w:b/>
              <w:sz w:val="24"/>
              <w:szCs w:val="24"/>
            </w:rPr>
            <w:fldChar w:fldCharType="separate"/>
          </w:r>
          <w:r>
            <w:rPr>
              <w:b/>
              <w:sz w:val="24"/>
              <w:szCs w:val="24"/>
            </w:rPr>
            <w:fldChar w:fldCharType="end"/>
          </w:r>
          <w:r>
            <w:rPr>
              <w:b/>
              <w:sz w:val="24"/>
              <w:szCs w:val="24"/>
            </w:rPr>
            <w:fldChar w:fldCharType="end"/>
          </w:r>
        </w:p>
        <w:p w14:paraId="49EA37A3">
          <w:pPr>
            <w:pStyle w:val="198"/>
            <w:spacing w:line="480" w:lineRule="auto"/>
            <w:rPr>
              <w:rFonts w:hint="eastAsia"/>
              <w:sz w:val="36"/>
              <w:szCs w:val="24"/>
            </w:rPr>
          </w:pPr>
          <w:r>
            <w:rPr>
              <w:rFonts w:hint="eastAsia"/>
              <w:b/>
              <w:sz w:val="36"/>
              <w:szCs w:val="24"/>
            </w:rPr>
            <w:fldChar w:fldCharType="end"/>
          </w:r>
        </w:p>
      </w:sdtContent>
    </w:sdt>
    <w:p w14:paraId="39654A5F">
      <w:pPr>
        <w:pStyle w:val="21"/>
        <w:tabs>
          <w:tab w:val="left" w:pos="6630"/>
        </w:tabs>
        <w:spacing w:line="360" w:lineRule="auto"/>
        <w:ind w:firstLine="576"/>
        <w:jc w:val="left"/>
        <w:rPr>
          <w:rFonts w:hint="eastAsia" w:ascii="宋体" w:cs="宋体"/>
          <w:sz w:val="24"/>
          <w:szCs w:val="24"/>
        </w:rPr>
      </w:pPr>
      <w:r>
        <w:rPr>
          <w:rFonts w:ascii="宋体" w:cs="宋体"/>
          <w:sz w:val="24"/>
          <w:szCs w:val="24"/>
        </w:rPr>
        <w:tab/>
      </w:r>
    </w:p>
    <w:p w14:paraId="0DEF80BD">
      <w:pPr>
        <w:pStyle w:val="21"/>
        <w:spacing w:line="440" w:lineRule="exact"/>
        <w:jc w:val="center"/>
        <w:rPr>
          <w:rFonts w:hint="eastAsia" w:ascii="宋体" w:hAnsi="宋体" w:cs="宋体"/>
          <w:b/>
          <w:sz w:val="28"/>
          <w:szCs w:val="28"/>
        </w:rPr>
        <w:sectPr>
          <w:footerReference r:id="rId8" w:type="first"/>
          <w:footerReference r:id="rId7" w:type="default"/>
          <w:pgSz w:w="11907" w:h="16840"/>
          <w:pgMar w:top="1440" w:right="1080" w:bottom="1440" w:left="1080" w:header="851" w:footer="737" w:gutter="0"/>
          <w:pgNumType w:start="1"/>
          <w:cols w:space="425" w:num="1"/>
          <w:docGrid w:linePitch="360" w:charSpace="0"/>
        </w:sectPr>
      </w:pPr>
      <w:bookmarkStart w:id="0" w:name="_Toc487187745"/>
      <w:bookmarkStart w:id="1" w:name="_Toc139966433"/>
      <w:bookmarkStart w:id="2" w:name="_Toc487187731"/>
      <w:bookmarkStart w:id="3" w:name="_Toc139966426"/>
    </w:p>
    <w:p w14:paraId="0713A9BC">
      <w:pPr>
        <w:pStyle w:val="21"/>
        <w:numPr>
          <w:ilvl w:val="0"/>
          <w:numId w:val="1"/>
        </w:numPr>
        <w:spacing w:line="360" w:lineRule="auto"/>
        <w:jc w:val="center"/>
        <w:outlineLvl w:val="0"/>
        <w:rPr>
          <w:rFonts w:hint="eastAsia" w:ascii="宋体" w:hAnsi="宋体" w:cs="宋体"/>
          <w:b/>
          <w:sz w:val="44"/>
          <w:szCs w:val="44"/>
        </w:rPr>
      </w:pPr>
      <w:bookmarkStart w:id="4" w:name="_Toc4137"/>
      <w:bookmarkStart w:id="5" w:name="_Toc6935"/>
      <w:r>
        <w:rPr>
          <w:rFonts w:hint="eastAsia" w:ascii="宋体" w:hAnsi="宋体" w:cs="宋体"/>
          <w:b/>
          <w:sz w:val="44"/>
          <w:szCs w:val="44"/>
        </w:rPr>
        <w:t>采购公告</w:t>
      </w:r>
      <w:bookmarkEnd w:id="0"/>
      <w:bookmarkEnd w:id="1"/>
      <w:bookmarkEnd w:id="4"/>
      <w:bookmarkEnd w:id="5"/>
    </w:p>
    <w:p w14:paraId="18633C62">
      <w:pPr>
        <w:pBdr>
          <w:top w:val="single" w:color="auto" w:sz="4" w:space="1"/>
          <w:left w:val="single" w:color="auto" w:sz="4" w:space="4"/>
          <w:bottom w:val="single" w:color="auto" w:sz="4" w:space="0"/>
          <w:right w:val="single" w:color="auto" w:sz="4" w:space="4"/>
        </w:pBdr>
        <w:spacing w:line="360" w:lineRule="auto"/>
        <w:ind w:firstLine="480"/>
        <w:jc w:val="left"/>
        <w:rPr>
          <w:rFonts w:hint="eastAsia" w:ascii="宋体" w:hAnsi="宋体" w:cs="宋体"/>
          <w:szCs w:val="21"/>
          <w:u w:val="single"/>
        </w:rPr>
      </w:pPr>
      <w:bookmarkStart w:id="6" w:name="_Toc28910"/>
      <w:r>
        <w:rPr>
          <w:rFonts w:hint="eastAsia" w:ascii="宋体" w:hAnsi="宋体" w:cs="宋体"/>
          <w:szCs w:val="21"/>
        </w:rPr>
        <w:t>项目概况：</w:t>
      </w:r>
      <w:r>
        <w:rPr>
          <w:rFonts w:hint="eastAsia" w:ascii="宋体" w:hAnsi="宋体" w:cs="宋体"/>
          <w:szCs w:val="21"/>
          <w:u w:val="single"/>
        </w:rPr>
        <w:t>灌南县农机化技术推广服务站智能化稻麦轮作农机装备与技术集成示范项目</w:t>
      </w:r>
      <w:r>
        <w:rPr>
          <w:rFonts w:hint="eastAsia" w:ascii="宋体" w:hAnsi="宋体" w:cs="宋体"/>
          <w:szCs w:val="21"/>
        </w:rPr>
        <w:t>的潜在投标人应在</w:t>
      </w:r>
      <w:r>
        <w:rPr>
          <w:rFonts w:hint="eastAsia" w:ascii="宋体" w:hAnsi="宋体" w:cs="宋体"/>
          <w:szCs w:val="21"/>
          <w:u w:val="single"/>
        </w:rPr>
        <w:t>“江苏政府采购网”自行免费下载</w:t>
      </w:r>
      <w:r>
        <w:rPr>
          <w:rFonts w:hint="eastAsia" w:ascii="宋体" w:hAnsi="宋体" w:cs="宋体"/>
          <w:szCs w:val="21"/>
        </w:rPr>
        <w:t>采购文件，并于</w:t>
      </w:r>
      <w:r>
        <w:rPr>
          <w:rFonts w:hint="eastAsia" w:ascii="宋体" w:hAnsi="宋体" w:cs="宋体"/>
          <w:b/>
          <w:bCs/>
          <w:szCs w:val="21"/>
          <w:u w:val="single"/>
        </w:rPr>
        <w:t>2025年0</w:t>
      </w:r>
      <w:r>
        <w:rPr>
          <w:rFonts w:hint="eastAsia" w:ascii="宋体" w:hAnsi="宋体" w:cs="宋体"/>
          <w:b/>
          <w:bCs/>
          <w:szCs w:val="21"/>
          <w:u w:val="single"/>
          <w:lang w:val="en-US" w:eastAsia="zh-CN"/>
        </w:rPr>
        <w:t>3</w:t>
      </w:r>
      <w:r>
        <w:rPr>
          <w:rFonts w:hint="eastAsia" w:ascii="宋体" w:hAnsi="宋体" w:cs="宋体"/>
          <w:b/>
          <w:bCs/>
          <w:szCs w:val="21"/>
          <w:u w:val="single"/>
        </w:rPr>
        <w:t>月</w:t>
      </w:r>
      <w:r>
        <w:rPr>
          <w:rFonts w:hint="eastAsia" w:ascii="宋体" w:hAnsi="宋体" w:cs="宋体"/>
          <w:b/>
          <w:bCs/>
          <w:szCs w:val="21"/>
          <w:u w:val="single"/>
          <w:lang w:val="en-US" w:eastAsia="zh-CN"/>
        </w:rPr>
        <w:t>04</w:t>
      </w:r>
      <w:r>
        <w:rPr>
          <w:rFonts w:hint="eastAsia" w:ascii="宋体" w:hAnsi="宋体" w:cs="宋体"/>
          <w:b/>
          <w:bCs/>
          <w:szCs w:val="21"/>
          <w:u w:val="single"/>
        </w:rPr>
        <w:t>日09时00分00秒</w:t>
      </w:r>
      <w:r>
        <w:rPr>
          <w:rFonts w:hint="eastAsia" w:ascii="宋体" w:hAnsi="宋体" w:cs="宋体"/>
          <w:szCs w:val="21"/>
        </w:rPr>
        <w:t>（北京时间）前上传电子投标文件并完成签到。</w:t>
      </w:r>
    </w:p>
    <w:p w14:paraId="32104016">
      <w:pPr>
        <w:spacing w:line="360" w:lineRule="auto"/>
        <w:ind w:firstLine="422" w:firstLineChars="200"/>
        <w:jc w:val="left"/>
        <w:outlineLvl w:val="1"/>
        <w:rPr>
          <w:rFonts w:hint="eastAsia" w:ascii="宋体" w:hAnsi="宋体" w:cs="宋体"/>
          <w:b/>
          <w:szCs w:val="21"/>
        </w:rPr>
      </w:pPr>
      <w:bookmarkStart w:id="7" w:name="_Toc3228"/>
      <w:bookmarkStart w:id="8" w:name="_Toc28359012"/>
      <w:bookmarkStart w:id="9" w:name="_Toc35393798"/>
      <w:bookmarkStart w:id="10" w:name="_Toc35393629"/>
      <w:bookmarkStart w:id="11" w:name="_Toc28359089"/>
      <w:r>
        <w:rPr>
          <w:rFonts w:hint="eastAsia" w:ascii="宋体" w:hAnsi="宋体" w:cs="宋体"/>
          <w:b/>
          <w:szCs w:val="21"/>
        </w:rPr>
        <w:t>一、项目基本情况</w:t>
      </w:r>
      <w:bookmarkEnd w:id="7"/>
      <w:bookmarkEnd w:id="8"/>
      <w:bookmarkEnd w:id="9"/>
      <w:bookmarkEnd w:id="10"/>
      <w:bookmarkEnd w:id="11"/>
    </w:p>
    <w:p w14:paraId="34776695">
      <w:pPr>
        <w:spacing w:line="360" w:lineRule="auto"/>
        <w:ind w:firstLine="420" w:firstLineChars="200"/>
        <w:jc w:val="left"/>
        <w:rPr>
          <w:rFonts w:hint="eastAsia" w:ascii="宋体" w:hAnsi="宋体" w:cs="宋体"/>
          <w:b/>
          <w:bCs/>
          <w:szCs w:val="21"/>
        </w:rPr>
      </w:pPr>
      <w:r>
        <w:rPr>
          <w:rFonts w:hint="eastAsia" w:ascii="宋体" w:hAnsi="宋体" w:cs="宋体"/>
          <w:szCs w:val="21"/>
        </w:rPr>
        <w:t>1、项目编号：JSZC-320724-RBGS-G2025-0001</w:t>
      </w:r>
    </w:p>
    <w:p w14:paraId="63A72CC1">
      <w:pPr>
        <w:spacing w:line="360" w:lineRule="auto"/>
        <w:ind w:firstLine="420" w:firstLineChars="200"/>
        <w:jc w:val="left"/>
        <w:rPr>
          <w:rFonts w:hint="eastAsia" w:ascii="宋体" w:hAnsi="宋体" w:cs="宋体"/>
          <w:szCs w:val="21"/>
        </w:rPr>
      </w:pPr>
      <w:r>
        <w:rPr>
          <w:rFonts w:hint="eastAsia" w:ascii="宋体" w:hAnsi="宋体" w:cs="宋体"/>
          <w:szCs w:val="21"/>
        </w:rPr>
        <w:t>2、项目名称：灌南县农机化技术推广服务站智能化稻麦轮作农机装备与技术集成示范项目；</w:t>
      </w:r>
    </w:p>
    <w:p w14:paraId="1F6CE505">
      <w:pPr>
        <w:spacing w:line="360" w:lineRule="auto"/>
        <w:ind w:firstLine="420" w:firstLineChars="200"/>
        <w:jc w:val="left"/>
        <w:rPr>
          <w:rFonts w:hint="eastAsia" w:ascii="宋体" w:hAnsi="宋体" w:cs="宋体"/>
          <w:szCs w:val="21"/>
        </w:rPr>
      </w:pPr>
      <w:r>
        <w:rPr>
          <w:rFonts w:hint="eastAsia" w:ascii="宋体" w:hAnsi="宋体" w:cs="宋体"/>
          <w:szCs w:val="21"/>
        </w:rPr>
        <w:t>3、采购方式：公开招标；</w:t>
      </w:r>
    </w:p>
    <w:p w14:paraId="2F9AC2CA">
      <w:pPr>
        <w:spacing w:line="360" w:lineRule="auto"/>
        <w:ind w:firstLine="420" w:firstLineChars="200"/>
        <w:jc w:val="left"/>
        <w:rPr>
          <w:rFonts w:hint="eastAsia" w:ascii="宋体" w:hAnsi="宋体" w:cs="宋体"/>
          <w:szCs w:val="21"/>
        </w:rPr>
      </w:pPr>
      <w:r>
        <w:rPr>
          <w:rFonts w:hint="eastAsia" w:ascii="宋体" w:hAnsi="宋体" w:cs="宋体"/>
          <w:szCs w:val="21"/>
        </w:rPr>
        <w:t>4、预算金额：人民币225万元，报价超出各标段控制价的按无效标响应处理。</w:t>
      </w:r>
    </w:p>
    <w:p w14:paraId="353ACD2A">
      <w:pPr>
        <w:spacing w:line="360" w:lineRule="auto"/>
        <w:ind w:firstLine="420" w:firstLineChars="200"/>
        <w:jc w:val="left"/>
        <w:rPr>
          <w:rFonts w:hint="eastAsia" w:ascii="宋体" w:hAnsi="宋体" w:cs="宋体"/>
          <w:b/>
          <w:bCs/>
          <w:szCs w:val="21"/>
        </w:rPr>
      </w:pPr>
      <w:r>
        <w:rPr>
          <w:rFonts w:hint="eastAsia" w:ascii="宋体" w:hAnsi="宋体" w:cs="宋体"/>
          <w:szCs w:val="21"/>
        </w:rPr>
        <w:t>5、采购需求：</w:t>
      </w:r>
      <w:bookmarkStart w:id="12" w:name="_Hlk162349912"/>
      <w:r>
        <w:rPr>
          <w:rFonts w:hint="eastAsia" w:ascii="宋体" w:hAnsi="宋体" w:cs="宋体"/>
          <w:szCs w:val="21"/>
        </w:rPr>
        <w:t>主要采购智能化稻麦轮作农机装备与技术集成装备，详见项目需求</w:t>
      </w:r>
      <w:r>
        <w:rPr>
          <w:rFonts w:hint="eastAsia" w:ascii="宋体" w:hAnsi="宋体" w:cs="宋体"/>
          <w:b/>
          <w:bCs/>
          <w:szCs w:val="21"/>
        </w:rPr>
        <w:t>。</w:t>
      </w:r>
      <w:bookmarkEnd w:id="12"/>
    </w:p>
    <w:p w14:paraId="3A38E41C">
      <w:pPr>
        <w:spacing w:line="360" w:lineRule="auto"/>
        <w:ind w:firstLine="420" w:firstLineChars="200"/>
        <w:jc w:val="left"/>
        <w:rPr>
          <w:rFonts w:hint="eastAsia" w:ascii="宋体" w:hAnsi="宋体" w:cs="宋体"/>
          <w:szCs w:val="21"/>
        </w:rPr>
      </w:pPr>
      <w:bookmarkStart w:id="13" w:name="_Toc35393799"/>
      <w:bookmarkStart w:id="14" w:name="_Toc28359013"/>
      <w:bookmarkStart w:id="15" w:name="_Toc28359090"/>
      <w:bookmarkStart w:id="16" w:name="_Toc35393630"/>
      <w:bookmarkStart w:id="17" w:name="_Toc19067"/>
      <w:r>
        <w:rPr>
          <w:rFonts w:hint="eastAsia" w:ascii="宋体" w:hAnsi="宋体" w:cs="宋体"/>
          <w:szCs w:val="21"/>
        </w:rPr>
        <w:t>6、合同履行期限：合同签订之日起100日内完成安装调试，并验收合格。</w:t>
      </w:r>
    </w:p>
    <w:p w14:paraId="7645041B">
      <w:pPr>
        <w:spacing w:line="360" w:lineRule="auto"/>
        <w:ind w:firstLine="420" w:firstLineChars="200"/>
        <w:jc w:val="left"/>
        <w:rPr>
          <w:rFonts w:hint="eastAsia" w:ascii="宋体" w:hAnsi="宋体" w:cs="宋体"/>
          <w:szCs w:val="21"/>
        </w:rPr>
      </w:pPr>
      <w:r>
        <w:rPr>
          <w:rFonts w:hint="eastAsia" w:ascii="宋体" w:hAnsi="宋体" w:cs="宋体"/>
          <w:szCs w:val="21"/>
        </w:rPr>
        <w:t>7、质保期：两年。 </w:t>
      </w:r>
    </w:p>
    <w:p w14:paraId="50BB815C">
      <w:pPr>
        <w:spacing w:line="360" w:lineRule="auto"/>
        <w:ind w:firstLine="422" w:firstLineChars="200"/>
        <w:jc w:val="left"/>
        <w:rPr>
          <w:rFonts w:hint="eastAsia" w:ascii="宋体" w:hAnsi="宋体" w:cs="宋体"/>
          <w:b/>
          <w:bCs/>
          <w:szCs w:val="21"/>
        </w:rPr>
      </w:pPr>
      <w:r>
        <w:rPr>
          <w:rFonts w:hint="eastAsia" w:ascii="宋体" w:hAnsi="宋体" w:cs="宋体"/>
          <w:b/>
          <w:bCs/>
          <w:szCs w:val="21"/>
        </w:rPr>
        <w:t>二、申请人的资格要求</w:t>
      </w:r>
      <w:bookmarkEnd w:id="13"/>
      <w:bookmarkEnd w:id="14"/>
      <w:bookmarkEnd w:id="15"/>
      <w:bookmarkEnd w:id="16"/>
      <w:bookmarkEnd w:id="17"/>
    </w:p>
    <w:p w14:paraId="445E8282">
      <w:pPr>
        <w:spacing w:line="360" w:lineRule="auto"/>
        <w:ind w:firstLine="420" w:firstLineChars="200"/>
        <w:jc w:val="left"/>
        <w:rPr>
          <w:rFonts w:hint="eastAsia" w:ascii="宋体" w:hAnsi="宋体" w:cs="宋体"/>
          <w:szCs w:val="21"/>
        </w:rPr>
      </w:pPr>
      <w:bookmarkStart w:id="18" w:name="_Toc35393631"/>
      <w:bookmarkStart w:id="19" w:name="_Toc35393800"/>
      <w:bookmarkStart w:id="20" w:name="_Toc28359091"/>
      <w:bookmarkStart w:id="21" w:name="_Toc28359014"/>
      <w:r>
        <w:rPr>
          <w:rFonts w:hint="eastAsia" w:ascii="宋体" w:hAnsi="宋体" w:cs="宋体"/>
          <w:szCs w:val="21"/>
        </w:rPr>
        <w:t>1、满足《中华人民共和国政府采购法》第二十二条规定，并提供以下材料：</w:t>
      </w:r>
    </w:p>
    <w:p w14:paraId="78C19821">
      <w:pPr>
        <w:spacing w:line="360" w:lineRule="auto"/>
        <w:ind w:firstLine="420" w:firstLineChars="200"/>
        <w:jc w:val="left"/>
        <w:rPr>
          <w:rFonts w:hint="eastAsia" w:ascii="宋体" w:hAnsi="宋体"/>
          <w:szCs w:val="21"/>
        </w:rPr>
      </w:pPr>
      <w:r>
        <w:rPr>
          <w:rFonts w:hint="eastAsia" w:ascii="宋体" w:hAnsi="宋体" w:cs="宋体"/>
          <w:szCs w:val="21"/>
        </w:rPr>
        <w:t>（1）法人或者其他组织的营业执照等证明文件，自然人的身份证明；</w:t>
      </w:r>
    </w:p>
    <w:p w14:paraId="35F62133">
      <w:pPr>
        <w:spacing w:line="360" w:lineRule="auto"/>
        <w:ind w:firstLine="420" w:firstLineChars="200"/>
        <w:jc w:val="left"/>
        <w:rPr>
          <w:rFonts w:hint="eastAsia" w:ascii="宋体" w:hAnsi="宋体" w:cs="宋体"/>
          <w:szCs w:val="21"/>
        </w:rPr>
      </w:pPr>
      <w:r>
        <w:rPr>
          <w:rFonts w:hint="eastAsia" w:ascii="宋体" w:hAnsi="宋体" w:cs="宋体"/>
          <w:szCs w:val="21"/>
        </w:rPr>
        <w:t>（2）</w:t>
      </w:r>
      <w:bookmarkStart w:id="22" w:name="OLE_LINK2"/>
      <w:r>
        <w:rPr>
          <w:rFonts w:hint="eastAsia" w:ascii="宋体" w:hAnsi="宋体" w:cs="宋体"/>
          <w:szCs w:val="21"/>
        </w:rPr>
        <w:t>具有良好的商业信誉和健全的财务会计制度（成立不满一年不需提供）；</w:t>
      </w:r>
      <w:bookmarkEnd w:id="22"/>
    </w:p>
    <w:p w14:paraId="3E647B11">
      <w:pPr>
        <w:spacing w:line="360" w:lineRule="auto"/>
        <w:ind w:firstLine="420" w:firstLineChars="200"/>
        <w:jc w:val="left"/>
        <w:rPr>
          <w:rFonts w:hint="eastAsia" w:ascii="宋体" w:hAnsi="宋体" w:cs="宋体"/>
          <w:szCs w:val="21"/>
        </w:rPr>
      </w:pPr>
      <w:r>
        <w:rPr>
          <w:rFonts w:hint="eastAsia" w:ascii="宋体" w:hAnsi="宋体" w:cs="宋体"/>
          <w:szCs w:val="21"/>
        </w:rPr>
        <w:t>（3）依法缴纳税收和社会保障资金的相关材料；</w:t>
      </w:r>
    </w:p>
    <w:p w14:paraId="2FD21757">
      <w:pPr>
        <w:spacing w:line="360" w:lineRule="auto"/>
        <w:ind w:firstLine="420" w:firstLineChars="200"/>
        <w:jc w:val="left"/>
        <w:rPr>
          <w:rFonts w:hint="eastAsia" w:ascii="宋体" w:hAnsi="宋体"/>
          <w:szCs w:val="21"/>
        </w:rPr>
      </w:pPr>
      <w:r>
        <w:rPr>
          <w:rFonts w:hint="eastAsia" w:ascii="宋体" w:hAnsi="宋体" w:cs="宋体"/>
          <w:szCs w:val="21"/>
        </w:rPr>
        <w:t>（4）</w:t>
      </w:r>
      <w:bookmarkStart w:id="23" w:name="_Hlk179556303"/>
      <w:r>
        <w:rPr>
          <w:rFonts w:hint="eastAsia" w:ascii="宋体" w:hAnsi="宋体" w:cs="宋体"/>
          <w:szCs w:val="21"/>
        </w:rPr>
        <w:t>具备履行合同所必需的设备和专业技术能力的声明及证明材料；</w:t>
      </w:r>
      <w:bookmarkEnd w:id="23"/>
    </w:p>
    <w:p w14:paraId="29D6281E">
      <w:pPr>
        <w:spacing w:line="360" w:lineRule="auto"/>
        <w:ind w:firstLine="420" w:firstLineChars="200"/>
        <w:jc w:val="left"/>
        <w:rPr>
          <w:rFonts w:hint="eastAsia" w:ascii="宋体" w:hAnsi="宋体" w:cs="宋体"/>
          <w:szCs w:val="21"/>
        </w:rPr>
      </w:pPr>
      <w:r>
        <w:rPr>
          <w:rFonts w:hint="eastAsia" w:ascii="宋体" w:hAnsi="宋体" w:cs="宋体"/>
          <w:szCs w:val="21"/>
        </w:rPr>
        <w:t>（5）参加政府采购活动前三年内在经营活动中没有重大违法记录的书面声明；</w:t>
      </w:r>
    </w:p>
    <w:p w14:paraId="17CDD3A1">
      <w:pPr>
        <w:spacing w:line="360" w:lineRule="auto"/>
        <w:ind w:firstLine="422" w:firstLineChars="200"/>
        <w:jc w:val="left"/>
        <w:rPr>
          <w:rFonts w:hint="eastAsia" w:ascii="宋体" w:hAnsi="宋体" w:cs="宋体"/>
          <w:b/>
          <w:bCs/>
          <w:szCs w:val="21"/>
        </w:rPr>
      </w:pPr>
      <w:r>
        <w:rPr>
          <w:rFonts w:hint="eastAsia" w:ascii="宋体" w:hAnsi="宋体" w:cs="宋体"/>
          <w:b/>
          <w:bCs/>
          <w:szCs w:val="21"/>
        </w:rPr>
        <w:t>注：根据连财购〔2023〕4号文件精神，第（2）、（3）项可以提供《财务状况报告及税收、社会保障资金缴纳情况承诺函》详见第四章投标文件格式；</w:t>
      </w:r>
    </w:p>
    <w:p w14:paraId="4E3C7AF7">
      <w:pPr>
        <w:spacing w:line="360" w:lineRule="auto"/>
        <w:ind w:firstLine="420" w:firstLineChars="200"/>
        <w:jc w:val="left"/>
        <w:rPr>
          <w:rFonts w:hint="eastAsia" w:ascii="宋体" w:hAnsi="宋体" w:cs="宋体"/>
          <w:b/>
          <w:bCs/>
          <w:szCs w:val="21"/>
        </w:rPr>
      </w:pPr>
      <w:r>
        <w:rPr>
          <w:rFonts w:hint="eastAsia" w:ascii="宋体" w:hAnsi="宋体" w:cs="宋体"/>
          <w:szCs w:val="21"/>
        </w:rPr>
        <w:t>2、落实政府采购政策需满足的资格要求：无</w:t>
      </w:r>
      <w:r>
        <w:rPr>
          <w:rFonts w:hint="eastAsia" w:ascii="宋体" w:hAnsi="宋体" w:cs="宋体"/>
          <w:b/>
          <w:bCs/>
          <w:szCs w:val="21"/>
        </w:rPr>
        <w:t xml:space="preserve"> </w:t>
      </w:r>
    </w:p>
    <w:p w14:paraId="01462768">
      <w:pPr>
        <w:spacing w:line="360" w:lineRule="auto"/>
        <w:ind w:firstLine="420" w:firstLineChars="200"/>
        <w:jc w:val="left"/>
        <w:rPr>
          <w:rFonts w:hint="eastAsia" w:ascii="宋体" w:hAnsi="宋体" w:cs="宋体"/>
          <w:szCs w:val="21"/>
        </w:rPr>
      </w:pPr>
      <w:r>
        <w:rPr>
          <w:rFonts w:hint="eastAsia" w:ascii="宋体" w:hAnsi="宋体" w:cs="宋体"/>
          <w:szCs w:val="21"/>
        </w:rPr>
        <w:t>3、本项目的特定资格要求：无。</w:t>
      </w:r>
    </w:p>
    <w:p w14:paraId="7B6273CE">
      <w:pPr>
        <w:spacing w:line="360" w:lineRule="auto"/>
        <w:ind w:firstLine="420" w:firstLineChars="200"/>
        <w:jc w:val="left"/>
        <w:rPr>
          <w:rFonts w:hint="eastAsia" w:ascii="宋体" w:hAnsi="宋体" w:cs="宋体"/>
          <w:szCs w:val="21"/>
        </w:rPr>
      </w:pPr>
      <w:r>
        <w:rPr>
          <w:rFonts w:hint="eastAsia" w:ascii="宋体" w:hAnsi="宋体" w:cs="宋体"/>
          <w:szCs w:val="21"/>
        </w:rPr>
        <w:t>4、本项目的其他资格要求：</w:t>
      </w:r>
    </w:p>
    <w:p w14:paraId="0B019A6E">
      <w:pPr>
        <w:spacing w:line="360" w:lineRule="auto"/>
        <w:ind w:firstLine="420" w:firstLineChars="200"/>
        <w:jc w:val="left"/>
        <w:rPr>
          <w:rFonts w:hint="eastAsia" w:ascii="宋体" w:hAnsi="宋体" w:cs="宋体"/>
          <w:szCs w:val="21"/>
        </w:rPr>
      </w:pPr>
      <w:r>
        <w:rPr>
          <w:rFonts w:hint="eastAsia" w:ascii="宋体" w:hAnsi="宋体" w:cs="宋体"/>
          <w:szCs w:val="21"/>
        </w:rPr>
        <w:t>（1）响应文件递交截止前，被信用中国、中国政府采购网列入失信被执行人、重大税收违法案件当事人名单、政府采购严重违法失信行为记录名单的供应商，拒绝其参与政府采购活动。</w:t>
      </w:r>
    </w:p>
    <w:p w14:paraId="578E1EE3">
      <w:pPr>
        <w:spacing w:line="360" w:lineRule="auto"/>
        <w:ind w:firstLine="420" w:firstLineChars="200"/>
        <w:jc w:val="left"/>
        <w:rPr>
          <w:rFonts w:hint="eastAsia" w:ascii="宋体" w:hAnsi="宋体" w:cs="宋体"/>
          <w:szCs w:val="21"/>
        </w:rPr>
      </w:pPr>
      <w:r>
        <w:rPr>
          <w:rFonts w:hint="eastAsia" w:ascii="宋体" w:hAnsi="宋体" w:cs="宋体"/>
          <w:szCs w:val="21"/>
        </w:rPr>
        <w:t>备注：采购人或采购代理机构通过信用中国网站（www.creditchina.gov.cn）、中国政府采购网（www.ccgp.gov.cn），对投标人信用记录情况进行查询，查询结果页面打印留存。</w:t>
      </w:r>
    </w:p>
    <w:p w14:paraId="0243DBC3">
      <w:pPr>
        <w:spacing w:line="360" w:lineRule="auto"/>
        <w:ind w:firstLine="420" w:firstLineChars="200"/>
        <w:jc w:val="left"/>
        <w:rPr>
          <w:rFonts w:hint="eastAsia" w:ascii="宋体" w:hAnsi="宋体" w:cs="宋体"/>
          <w:szCs w:val="21"/>
        </w:rPr>
      </w:pPr>
      <w:r>
        <w:rPr>
          <w:rFonts w:hint="eastAsia" w:ascii="宋体" w:hAnsi="宋体" w:cs="宋体"/>
          <w:szCs w:val="21"/>
        </w:rPr>
        <w:t>（2）若投标人法定代表人参与投标，则仅需提供法定代表人身份证；若授权代理人参与投标，则需提供企业法人委托书、授权人身份证、被授权人身份证。</w:t>
      </w:r>
    </w:p>
    <w:p w14:paraId="00526D88">
      <w:pPr>
        <w:spacing w:line="360" w:lineRule="auto"/>
        <w:ind w:firstLine="420" w:firstLineChars="200"/>
        <w:jc w:val="left"/>
        <w:rPr>
          <w:rFonts w:hint="eastAsia" w:ascii="宋体" w:hAnsi="宋体" w:cs="宋体"/>
          <w:szCs w:val="21"/>
        </w:rPr>
      </w:pPr>
      <w:r>
        <w:rPr>
          <w:rFonts w:hint="eastAsia" w:ascii="宋体" w:hAnsi="宋体" w:cs="宋体"/>
          <w:szCs w:val="21"/>
        </w:rPr>
        <w:t>（3）本项目中标后不允许转包或分包。</w:t>
      </w:r>
    </w:p>
    <w:p w14:paraId="7540BBE5">
      <w:pPr>
        <w:spacing w:line="360" w:lineRule="auto"/>
        <w:ind w:firstLine="420" w:firstLineChars="200"/>
        <w:jc w:val="left"/>
        <w:rPr>
          <w:rFonts w:hint="eastAsia" w:ascii="宋体" w:hAnsi="宋体" w:cs="宋体"/>
          <w:szCs w:val="21"/>
        </w:rPr>
      </w:pPr>
      <w:r>
        <w:rPr>
          <w:rFonts w:hint="eastAsia" w:ascii="宋体" w:hAnsi="宋体" w:cs="宋体"/>
          <w:szCs w:val="21"/>
        </w:rPr>
        <w:t>5、本项目</w:t>
      </w:r>
      <w:r>
        <w:rPr>
          <w:rFonts w:hint="eastAsia" w:ascii="宋体" w:hAnsi="宋体" w:cs="宋体"/>
          <w:szCs w:val="21"/>
          <w:u w:val="single"/>
        </w:rPr>
        <w:t>不接受</w:t>
      </w:r>
      <w:r>
        <w:rPr>
          <w:rFonts w:hint="eastAsia" w:ascii="宋体" w:hAnsi="宋体" w:cs="宋体"/>
          <w:szCs w:val="21"/>
        </w:rPr>
        <w:t>联合体参与投标。</w:t>
      </w:r>
    </w:p>
    <w:p w14:paraId="4F752796">
      <w:pPr>
        <w:spacing w:line="360" w:lineRule="auto"/>
        <w:ind w:firstLine="420" w:firstLineChars="200"/>
        <w:jc w:val="left"/>
        <w:rPr>
          <w:rFonts w:hint="eastAsia" w:ascii="宋体" w:hAnsi="宋体" w:cs="宋体"/>
          <w:szCs w:val="21"/>
        </w:rPr>
      </w:pPr>
      <w:r>
        <w:rPr>
          <w:rFonts w:hint="eastAsia" w:ascii="宋体" w:hAnsi="宋体" w:cs="宋体"/>
          <w:szCs w:val="21"/>
        </w:rPr>
        <w:t>6、法律、法规规定的其他条件。</w:t>
      </w:r>
    </w:p>
    <w:p w14:paraId="5C7C889F">
      <w:pPr>
        <w:spacing w:line="360" w:lineRule="auto"/>
        <w:ind w:firstLine="422" w:firstLineChars="200"/>
        <w:jc w:val="left"/>
        <w:outlineLvl w:val="1"/>
        <w:rPr>
          <w:rFonts w:hint="eastAsia" w:ascii="宋体" w:hAnsi="宋体" w:cs="宋体"/>
          <w:b/>
          <w:szCs w:val="21"/>
        </w:rPr>
      </w:pPr>
      <w:bookmarkStart w:id="24" w:name="_Toc22536"/>
      <w:r>
        <w:rPr>
          <w:rFonts w:hint="eastAsia" w:ascii="宋体" w:hAnsi="宋体" w:cs="宋体"/>
          <w:b/>
          <w:szCs w:val="21"/>
        </w:rPr>
        <w:t>三、获取</w:t>
      </w:r>
      <w:bookmarkEnd w:id="18"/>
      <w:bookmarkEnd w:id="19"/>
      <w:bookmarkEnd w:id="20"/>
      <w:bookmarkEnd w:id="21"/>
      <w:r>
        <w:rPr>
          <w:rFonts w:hint="eastAsia" w:ascii="宋体" w:hAnsi="宋体" w:cs="宋体"/>
          <w:b/>
          <w:szCs w:val="21"/>
        </w:rPr>
        <w:t>采购文件</w:t>
      </w:r>
      <w:bookmarkEnd w:id="24"/>
    </w:p>
    <w:p w14:paraId="30922184">
      <w:pPr>
        <w:spacing w:line="360" w:lineRule="auto"/>
        <w:ind w:firstLine="420" w:firstLineChars="200"/>
        <w:jc w:val="left"/>
        <w:rPr>
          <w:rFonts w:hint="eastAsia" w:ascii="宋体" w:hAnsi="宋体" w:cs="宋体"/>
          <w:szCs w:val="21"/>
        </w:rPr>
      </w:pPr>
      <w:bookmarkStart w:id="25" w:name="_Toc28359015"/>
      <w:bookmarkStart w:id="26" w:name="_Toc28359092"/>
      <w:bookmarkStart w:id="27" w:name="_Toc35393801"/>
      <w:bookmarkStart w:id="28" w:name="_Toc35393632"/>
      <w:r>
        <w:rPr>
          <w:rFonts w:hint="eastAsia" w:ascii="宋体" w:hAnsi="宋体" w:cs="宋体"/>
          <w:szCs w:val="21"/>
        </w:rPr>
        <w:t>1、时间：2025年0</w:t>
      </w:r>
      <w:r>
        <w:rPr>
          <w:rFonts w:hint="eastAsia" w:ascii="宋体" w:hAnsi="宋体" w:cs="宋体"/>
          <w:szCs w:val="21"/>
          <w:lang w:val="en-US" w:eastAsia="zh-CN"/>
        </w:rPr>
        <w:t>2</w:t>
      </w:r>
      <w:r>
        <w:rPr>
          <w:rFonts w:hint="eastAsia" w:ascii="宋体" w:hAnsi="宋体" w:cs="宋体"/>
          <w:szCs w:val="21"/>
        </w:rPr>
        <w:t>月</w:t>
      </w:r>
      <w:r>
        <w:rPr>
          <w:rFonts w:hint="eastAsia" w:ascii="宋体" w:hAnsi="宋体" w:cs="宋体"/>
          <w:szCs w:val="21"/>
          <w:lang w:val="en-US" w:eastAsia="zh-CN"/>
        </w:rPr>
        <w:t>10</w:t>
      </w:r>
      <w:r>
        <w:rPr>
          <w:rFonts w:hint="eastAsia" w:ascii="宋体" w:hAnsi="宋体" w:cs="宋体"/>
          <w:szCs w:val="21"/>
        </w:rPr>
        <w:t>日至2025年0</w:t>
      </w:r>
      <w:r>
        <w:rPr>
          <w:rFonts w:hint="eastAsia" w:ascii="宋体" w:hAnsi="宋体" w:cs="宋体"/>
          <w:szCs w:val="21"/>
          <w:lang w:val="en-US" w:eastAsia="zh-CN"/>
        </w:rPr>
        <w:t>2</w:t>
      </w:r>
      <w:r>
        <w:rPr>
          <w:rFonts w:hint="eastAsia" w:ascii="宋体" w:hAnsi="宋体" w:cs="宋体"/>
          <w:szCs w:val="21"/>
        </w:rPr>
        <w:t>月</w:t>
      </w:r>
      <w:r>
        <w:rPr>
          <w:rFonts w:hint="eastAsia" w:ascii="宋体" w:hAnsi="宋体" w:cs="宋体"/>
          <w:szCs w:val="21"/>
          <w:lang w:val="en-US" w:eastAsia="zh-CN"/>
        </w:rPr>
        <w:t>17</w:t>
      </w:r>
      <w:r>
        <w:rPr>
          <w:rFonts w:hint="eastAsia" w:ascii="宋体" w:hAnsi="宋体" w:cs="宋体"/>
          <w:szCs w:val="21"/>
        </w:rPr>
        <w:t>日23时59分止（北京时间）；</w:t>
      </w:r>
    </w:p>
    <w:p w14:paraId="711C920D">
      <w:pPr>
        <w:spacing w:line="360" w:lineRule="auto"/>
        <w:ind w:firstLine="420" w:firstLineChars="200"/>
        <w:jc w:val="left"/>
        <w:rPr>
          <w:rFonts w:hint="eastAsia" w:ascii="宋体" w:hAnsi="宋体" w:cs="宋体"/>
          <w:szCs w:val="21"/>
        </w:rPr>
      </w:pPr>
      <w:r>
        <w:rPr>
          <w:rFonts w:hint="eastAsia" w:ascii="宋体" w:hAnsi="宋体" w:cs="宋体"/>
          <w:szCs w:val="21"/>
        </w:rPr>
        <w:t>2、方式：在“江苏政府采购网”自行免费下载招标文件；</w:t>
      </w:r>
    </w:p>
    <w:p w14:paraId="701BF967">
      <w:pPr>
        <w:pStyle w:val="37"/>
        <w:spacing w:before="0" w:beforeAutospacing="0" w:after="0" w:afterAutospacing="0" w:line="360" w:lineRule="auto"/>
        <w:ind w:firstLine="422" w:firstLineChars="200"/>
        <w:contextualSpacing/>
        <w:rPr>
          <w:b/>
          <w:bCs/>
          <w:sz w:val="21"/>
          <w:szCs w:val="21"/>
        </w:rPr>
      </w:pPr>
      <w:r>
        <w:rPr>
          <w:rFonts w:hint="eastAsia"/>
          <w:b/>
          <w:bCs/>
          <w:sz w:val="21"/>
          <w:szCs w:val="21"/>
        </w:rPr>
        <w:t>方法及步骤如下（可参考）：</w:t>
      </w:r>
    </w:p>
    <w:p w14:paraId="7C3BC7D8">
      <w:pPr>
        <w:pStyle w:val="37"/>
        <w:spacing w:before="0" w:beforeAutospacing="0" w:after="0" w:afterAutospacing="0" w:line="360" w:lineRule="auto"/>
        <w:ind w:firstLine="420" w:firstLineChars="200"/>
        <w:contextualSpacing/>
        <w:rPr>
          <w:sz w:val="21"/>
          <w:szCs w:val="21"/>
        </w:rPr>
      </w:pPr>
      <w:r>
        <w:rPr>
          <w:rFonts w:hint="eastAsia"/>
          <w:sz w:val="21"/>
          <w:szCs w:val="21"/>
        </w:rPr>
        <w:t>① 登录http://jszfcg.jsczt.cn/ ，或进入江苏政府采购网，点击“苏采云”进入系统。</w:t>
      </w:r>
    </w:p>
    <w:p w14:paraId="1C6EAB2C">
      <w:pPr>
        <w:pStyle w:val="37"/>
        <w:spacing w:before="0" w:beforeAutospacing="0" w:after="0" w:afterAutospacing="0" w:line="360" w:lineRule="auto"/>
        <w:ind w:firstLine="420" w:firstLineChars="200"/>
        <w:contextualSpacing/>
        <w:rPr>
          <w:b/>
          <w:bCs/>
          <w:sz w:val="21"/>
          <w:szCs w:val="21"/>
        </w:rPr>
      </w:pPr>
      <w:r>
        <w:rPr>
          <w:rFonts w:hint="eastAsia"/>
          <w:sz w:val="21"/>
          <w:szCs w:val="21"/>
        </w:rPr>
        <w:t>②“苏采云”系统用户注册-获取“CA数字证书”-CA绑定与登录-网上报名-下载采购文件(后缀名为“.kedt”)-将后缀名为“.kedt”的采购文件导入政府采购客户端工具-制作响应文件--导出加密的响应文件(后缀名为zip)--通过“苏采云”系统上传投标文件。</w:t>
      </w:r>
      <w:r>
        <w:rPr>
          <w:rFonts w:hint="eastAsia"/>
          <w:b/>
          <w:bCs/>
          <w:sz w:val="21"/>
          <w:szCs w:val="21"/>
        </w:rPr>
        <w:t>具体见《江苏省政府采购管理交易系统(苏采云)供应商操作手册》。</w:t>
      </w:r>
    </w:p>
    <w:p w14:paraId="5CA97AA5">
      <w:pPr>
        <w:pStyle w:val="37"/>
        <w:spacing w:before="0" w:beforeAutospacing="0" w:after="0" w:afterAutospacing="0" w:line="360" w:lineRule="auto"/>
        <w:ind w:firstLine="420" w:firstLineChars="200"/>
        <w:contextualSpacing/>
        <w:rPr>
          <w:sz w:val="21"/>
          <w:szCs w:val="21"/>
        </w:rPr>
      </w:pPr>
      <w:r>
        <w:rPr>
          <w:rFonts w:hint="eastAsia"/>
          <w:sz w:val="21"/>
          <w:szCs w:val="21"/>
        </w:rPr>
        <w:t>③潜在供应商访问“苏采云”系统的网络地址和方法:“苏采云”系统的网址:http://jszfcg.jsczt.cn/。</w:t>
      </w:r>
    </w:p>
    <w:p w14:paraId="6CD2E69A">
      <w:pPr>
        <w:pStyle w:val="37"/>
        <w:spacing w:before="0" w:beforeAutospacing="0" w:after="0" w:afterAutospacing="0" w:line="360" w:lineRule="auto"/>
        <w:ind w:firstLine="420" w:firstLineChars="200"/>
        <w:contextualSpacing/>
        <w:rPr>
          <w:sz w:val="21"/>
          <w:szCs w:val="21"/>
        </w:rPr>
      </w:pPr>
      <w:r>
        <w:rPr>
          <w:rFonts w:hint="eastAsia"/>
          <w:sz w:val="21"/>
          <w:szCs w:val="21"/>
        </w:rPr>
        <w:t>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71E599E7">
      <w:pPr>
        <w:pStyle w:val="37"/>
        <w:spacing w:before="0" w:beforeAutospacing="0" w:after="0" w:afterAutospacing="0" w:line="360" w:lineRule="auto"/>
        <w:ind w:firstLine="420" w:firstLineChars="200"/>
        <w:contextualSpacing/>
        <w:rPr>
          <w:sz w:val="21"/>
          <w:szCs w:val="21"/>
        </w:rPr>
      </w:pPr>
      <w:r>
        <w:rPr>
          <w:rFonts w:hint="eastAsia"/>
          <w:sz w:val="21"/>
          <w:szCs w:val="21"/>
        </w:rPr>
        <w:t>⑤采购文件(后缀名为“.kedt”)、供应商操作手册及政府采购客户端工具可通过“苏采云”系统--已报名项目--报名详情页面内相应链接进行下载。</w:t>
      </w:r>
    </w:p>
    <w:p w14:paraId="104E2BC8">
      <w:pPr>
        <w:pStyle w:val="37"/>
        <w:spacing w:before="0" w:beforeAutospacing="0" w:after="0" w:afterAutospacing="0" w:line="360" w:lineRule="auto"/>
        <w:ind w:firstLine="420" w:firstLineChars="200"/>
        <w:contextualSpacing/>
        <w:rPr>
          <w:sz w:val="21"/>
          <w:szCs w:val="21"/>
        </w:rPr>
      </w:pPr>
      <w:r>
        <w:rPr>
          <w:rFonts w:hint="eastAsia"/>
          <w:sz w:val="21"/>
          <w:szCs w:val="21"/>
        </w:rPr>
        <w:t>⑥招标代理机构(采购代理机构)将数据电文形式的采购文件加载至“苏采云”系统，供潜在供应商下载或者查阅。</w:t>
      </w:r>
    </w:p>
    <w:p w14:paraId="21F24AAF">
      <w:pPr>
        <w:pStyle w:val="37"/>
        <w:spacing w:before="0" w:beforeAutospacing="0" w:after="0" w:afterAutospacing="0" w:line="360" w:lineRule="auto"/>
        <w:ind w:firstLine="420" w:firstLineChars="200"/>
        <w:contextualSpacing/>
        <w:rPr>
          <w:sz w:val="21"/>
          <w:szCs w:val="21"/>
        </w:rPr>
      </w:pPr>
      <w:r>
        <w:rPr>
          <w:rFonts w:hint="eastAsia"/>
          <w:sz w:val="21"/>
          <w:szCs w:val="21"/>
        </w:rPr>
        <w:t>⑦请潜在投标单位提前安装相应的控件(详见《江苏省政府采购管理交易系统(苏采云)供应商操作手册&gt;)并使用谷歌浏览器登录“苏采云”系统参与不见面开评标。</w:t>
      </w:r>
    </w:p>
    <w:p w14:paraId="6727E9CC">
      <w:pPr>
        <w:spacing w:line="360" w:lineRule="auto"/>
        <w:ind w:firstLine="422" w:firstLineChars="200"/>
        <w:jc w:val="left"/>
        <w:outlineLvl w:val="1"/>
        <w:rPr>
          <w:rFonts w:hint="eastAsia" w:ascii="宋体" w:hAnsi="宋体" w:cs="宋体"/>
          <w:b/>
          <w:szCs w:val="21"/>
        </w:rPr>
      </w:pPr>
      <w:r>
        <w:rPr>
          <w:rFonts w:hint="eastAsia" w:ascii="宋体" w:hAnsi="宋体" w:cs="宋体"/>
          <w:b/>
          <w:szCs w:val="21"/>
        </w:rPr>
        <w:t>注：如潜在供应商未按上述要求操作，将自行承担所产生的风险。</w:t>
      </w:r>
    </w:p>
    <w:p w14:paraId="0141293B">
      <w:pPr>
        <w:spacing w:line="360" w:lineRule="auto"/>
        <w:ind w:firstLine="422" w:firstLineChars="200"/>
        <w:jc w:val="left"/>
        <w:outlineLvl w:val="1"/>
        <w:rPr>
          <w:rFonts w:hint="eastAsia" w:ascii="宋体" w:hAnsi="宋体" w:cs="宋体"/>
          <w:b/>
          <w:szCs w:val="21"/>
        </w:rPr>
      </w:pPr>
      <w:bookmarkStart w:id="29" w:name="_Toc7830"/>
      <w:r>
        <w:rPr>
          <w:rFonts w:hint="eastAsia" w:ascii="宋体" w:hAnsi="宋体" w:cs="宋体"/>
          <w:b/>
          <w:szCs w:val="21"/>
        </w:rPr>
        <w:t>四、</w:t>
      </w:r>
      <w:bookmarkEnd w:id="25"/>
      <w:bookmarkEnd w:id="26"/>
      <w:bookmarkEnd w:id="27"/>
      <w:bookmarkEnd w:id="28"/>
      <w:bookmarkEnd w:id="29"/>
      <w:bookmarkStart w:id="30" w:name="_Toc20177"/>
      <w:bookmarkStart w:id="31" w:name="_Toc28359094"/>
      <w:bookmarkStart w:id="32" w:name="_Toc28359017"/>
      <w:bookmarkStart w:id="33" w:name="_Toc35393803"/>
      <w:bookmarkStart w:id="34" w:name="_Toc35393634"/>
      <w:r>
        <w:rPr>
          <w:rFonts w:hint="eastAsia" w:ascii="宋体" w:hAnsi="宋体" w:cs="宋体"/>
          <w:b/>
          <w:szCs w:val="21"/>
        </w:rPr>
        <w:t>提交投标文件截止时间、开标时间和地点</w:t>
      </w:r>
    </w:p>
    <w:bookmarkEnd w:id="30"/>
    <w:p w14:paraId="3BD7620C">
      <w:pPr>
        <w:spacing w:line="360" w:lineRule="auto"/>
        <w:ind w:firstLine="480" w:firstLineChars="200"/>
        <w:jc w:val="left"/>
        <w:rPr>
          <w:rFonts w:hint="eastAsia" w:ascii="宋体" w:hAnsi="宋体"/>
          <w:sz w:val="24"/>
        </w:rPr>
      </w:pPr>
      <w:bookmarkStart w:id="35" w:name="_Toc28479"/>
      <w:r>
        <w:rPr>
          <w:rFonts w:hint="eastAsia" w:ascii="宋体" w:hAnsi="宋体"/>
          <w:sz w:val="24"/>
        </w:rPr>
        <w:t>1.投标文件接收时间与地点</w:t>
      </w:r>
    </w:p>
    <w:p w14:paraId="50D9473E">
      <w:pPr>
        <w:snapToGrid w:val="0"/>
        <w:spacing w:line="360" w:lineRule="auto"/>
        <w:ind w:firstLine="420" w:firstLineChars="200"/>
        <w:jc w:val="left"/>
        <w:rPr>
          <w:rFonts w:hint="eastAsia" w:ascii="宋体" w:hAnsi="宋体" w:cs="宋体"/>
          <w:bCs/>
          <w:szCs w:val="21"/>
        </w:rPr>
      </w:pPr>
      <w:r>
        <w:rPr>
          <w:rFonts w:hint="eastAsia" w:ascii="宋体" w:hAnsi="宋体" w:cs="宋体"/>
          <w:bCs/>
          <w:szCs w:val="21"/>
        </w:rPr>
        <w:t>投标文件接收截止时间：2025年0</w:t>
      </w:r>
      <w:r>
        <w:rPr>
          <w:rFonts w:hint="eastAsia" w:ascii="宋体" w:hAnsi="宋体" w:cs="宋体"/>
          <w:bCs/>
          <w:szCs w:val="21"/>
          <w:lang w:val="en-US" w:eastAsia="zh-CN"/>
        </w:rPr>
        <w:t>3</w:t>
      </w:r>
      <w:r>
        <w:rPr>
          <w:rFonts w:hint="eastAsia" w:ascii="宋体" w:hAnsi="宋体" w:cs="宋体"/>
          <w:bCs/>
          <w:szCs w:val="21"/>
        </w:rPr>
        <w:t>月</w:t>
      </w:r>
      <w:r>
        <w:rPr>
          <w:rFonts w:hint="eastAsia" w:ascii="宋体" w:hAnsi="宋体" w:cs="宋体"/>
          <w:bCs/>
          <w:szCs w:val="21"/>
          <w:lang w:val="en-US" w:eastAsia="zh-CN"/>
        </w:rPr>
        <w:t>04</w:t>
      </w:r>
      <w:r>
        <w:rPr>
          <w:rFonts w:hint="eastAsia" w:ascii="宋体" w:hAnsi="宋体" w:cs="宋体"/>
          <w:bCs/>
          <w:szCs w:val="21"/>
        </w:rPr>
        <w:t>日上午09:00:00（北京时间）</w:t>
      </w:r>
    </w:p>
    <w:p w14:paraId="3A8EF582">
      <w:pPr>
        <w:snapToGrid w:val="0"/>
        <w:spacing w:line="360" w:lineRule="auto"/>
        <w:ind w:firstLine="420" w:firstLineChars="200"/>
        <w:jc w:val="left"/>
        <w:rPr>
          <w:rFonts w:hint="eastAsia" w:ascii="宋体" w:hAnsi="宋体" w:cs="宋体"/>
          <w:bCs/>
          <w:szCs w:val="21"/>
        </w:rPr>
      </w:pPr>
      <w:r>
        <w:rPr>
          <w:rFonts w:hint="eastAsia" w:ascii="宋体" w:hAnsi="宋体" w:cs="宋体"/>
          <w:bCs/>
          <w:szCs w:val="21"/>
        </w:rPr>
        <w:t>电子投标文件上传地址：“苏采云”政府采购交易系统网上开标大厅。</w:t>
      </w:r>
    </w:p>
    <w:p w14:paraId="196D49DB">
      <w:pPr>
        <w:snapToGrid w:val="0"/>
        <w:spacing w:line="360" w:lineRule="auto"/>
        <w:ind w:firstLine="420" w:firstLineChars="200"/>
        <w:jc w:val="left"/>
        <w:rPr>
          <w:rFonts w:hint="eastAsia" w:ascii="宋体" w:hAnsi="宋体" w:cs="宋体"/>
          <w:bCs/>
          <w:szCs w:val="21"/>
        </w:rPr>
      </w:pPr>
      <w:r>
        <w:rPr>
          <w:rFonts w:hint="eastAsia" w:ascii="宋体" w:hAnsi="宋体" w:cs="宋体"/>
          <w:bCs/>
          <w:szCs w:val="21"/>
        </w:rPr>
        <w:t>2.开标时间与地点</w:t>
      </w:r>
    </w:p>
    <w:p w14:paraId="10B710EE">
      <w:pPr>
        <w:snapToGrid w:val="0"/>
        <w:spacing w:line="360" w:lineRule="auto"/>
        <w:ind w:firstLine="420" w:firstLineChars="200"/>
        <w:jc w:val="left"/>
        <w:rPr>
          <w:rFonts w:hint="eastAsia" w:ascii="宋体" w:hAnsi="宋体" w:cs="宋体"/>
          <w:bCs/>
          <w:szCs w:val="21"/>
        </w:rPr>
      </w:pPr>
      <w:r>
        <w:rPr>
          <w:rFonts w:hint="eastAsia" w:ascii="宋体" w:hAnsi="宋体" w:cs="宋体"/>
          <w:bCs/>
          <w:szCs w:val="21"/>
        </w:rPr>
        <w:t>开标时间：2025年0</w:t>
      </w:r>
      <w:r>
        <w:rPr>
          <w:rFonts w:hint="eastAsia" w:ascii="宋体" w:hAnsi="宋体" w:cs="宋体"/>
          <w:bCs/>
          <w:szCs w:val="21"/>
          <w:lang w:val="en-US" w:eastAsia="zh-CN"/>
        </w:rPr>
        <w:t>3</w:t>
      </w:r>
      <w:r>
        <w:rPr>
          <w:rFonts w:hint="eastAsia" w:ascii="宋体" w:hAnsi="宋体" w:cs="宋体"/>
          <w:bCs/>
          <w:szCs w:val="21"/>
        </w:rPr>
        <w:t>月</w:t>
      </w:r>
      <w:r>
        <w:rPr>
          <w:rFonts w:hint="eastAsia" w:ascii="宋体" w:hAnsi="宋体" w:cs="宋体"/>
          <w:bCs/>
          <w:szCs w:val="21"/>
          <w:lang w:val="en-US" w:eastAsia="zh-CN"/>
        </w:rPr>
        <w:t>04</w:t>
      </w:r>
      <w:r>
        <w:rPr>
          <w:rFonts w:hint="eastAsia" w:ascii="宋体" w:hAnsi="宋体" w:cs="宋体"/>
          <w:bCs/>
          <w:szCs w:val="21"/>
        </w:rPr>
        <w:t>日上午09:00:00（北京时间）</w:t>
      </w:r>
    </w:p>
    <w:p w14:paraId="5A11410B">
      <w:pPr>
        <w:snapToGrid w:val="0"/>
        <w:spacing w:line="360" w:lineRule="auto"/>
        <w:ind w:firstLine="420" w:firstLineChars="200"/>
        <w:jc w:val="left"/>
        <w:rPr>
          <w:rFonts w:hint="eastAsia" w:ascii="宋体" w:hAnsi="宋体" w:cs="宋体"/>
          <w:bCs/>
          <w:szCs w:val="21"/>
        </w:rPr>
      </w:pPr>
      <w:r>
        <w:rPr>
          <w:rFonts w:hint="eastAsia" w:ascii="宋体" w:hAnsi="宋体" w:cs="宋体"/>
          <w:bCs/>
          <w:szCs w:val="21"/>
        </w:rPr>
        <w:t>开标地点：“苏采云”政府采购交易系统网上开标大厅</w:t>
      </w:r>
    </w:p>
    <w:p w14:paraId="62F920E1">
      <w:pPr>
        <w:spacing w:line="360" w:lineRule="auto"/>
        <w:ind w:firstLine="422" w:firstLineChars="200"/>
        <w:jc w:val="left"/>
        <w:outlineLvl w:val="1"/>
        <w:rPr>
          <w:rFonts w:hint="eastAsia" w:ascii="宋体" w:hAnsi="宋体" w:cs="宋体"/>
          <w:b/>
          <w:szCs w:val="21"/>
        </w:rPr>
      </w:pPr>
      <w:r>
        <w:rPr>
          <w:rFonts w:hint="eastAsia" w:ascii="宋体" w:hAnsi="宋体" w:cs="宋体"/>
          <w:b/>
          <w:szCs w:val="21"/>
        </w:rPr>
        <w:t>五、</w:t>
      </w:r>
      <w:bookmarkEnd w:id="31"/>
      <w:bookmarkEnd w:id="32"/>
      <w:bookmarkEnd w:id="33"/>
      <w:bookmarkEnd w:id="34"/>
      <w:r>
        <w:rPr>
          <w:rFonts w:hint="eastAsia" w:ascii="宋体" w:hAnsi="宋体" w:cs="宋体"/>
          <w:b/>
          <w:szCs w:val="21"/>
        </w:rPr>
        <w:t>公告期限及媒介</w:t>
      </w:r>
      <w:bookmarkEnd w:id="35"/>
    </w:p>
    <w:p w14:paraId="0A6F486F">
      <w:pPr>
        <w:spacing w:line="360" w:lineRule="auto"/>
        <w:ind w:firstLine="420" w:firstLineChars="200"/>
        <w:jc w:val="left"/>
        <w:rPr>
          <w:rFonts w:hint="eastAsia" w:ascii="宋体" w:hAnsi="宋体" w:cs="宋体"/>
          <w:szCs w:val="21"/>
        </w:rPr>
      </w:pPr>
      <w:bookmarkStart w:id="36" w:name="_Toc35393795"/>
      <w:bookmarkStart w:id="37" w:name="_Toc38985268"/>
      <w:bookmarkStart w:id="38" w:name="_Toc35393626"/>
      <w:r>
        <w:rPr>
          <w:rFonts w:hint="eastAsia" w:ascii="宋体" w:hAnsi="宋体" w:cs="宋体"/>
          <w:szCs w:val="21"/>
        </w:rPr>
        <w:t>1、公告期限为自本公告发布之日起5个工作日</w:t>
      </w:r>
      <w:bookmarkEnd w:id="36"/>
      <w:bookmarkEnd w:id="37"/>
      <w:bookmarkEnd w:id="38"/>
      <w:r>
        <w:rPr>
          <w:rFonts w:hint="eastAsia" w:ascii="宋体" w:hAnsi="宋体" w:cs="宋体"/>
          <w:szCs w:val="21"/>
        </w:rPr>
        <w:t>；</w:t>
      </w:r>
    </w:p>
    <w:p w14:paraId="6A3A84FE">
      <w:pPr>
        <w:spacing w:line="360" w:lineRule="auto"/>
        <w:ind w:firstLine="420" w:firstLineChars="200"/>
        <w:jc w:val="left"/>
        <w:rPr>
          <w:rFonts w:hint="eastAsia" w:ascii="宋体" w:hAnsi="宋体" w:cs="宋体"/>
          <w:szCs w:val="21"/>
        </w:rPr>
      </w:pPr>
      <w:r>
        <w:rPr>
          <w:rFonts w:hint="eastAsia" w:ascii="宋体" w:hAnsi="宋体" w:cs="宋体"/>
          <w:szCs w:val="21"/>
        </w:rPr>
        <w:t>2、发布媒介：江苏政府采购网。</w:t>
      </w:r>
    </w:p>
    <w:p w14:paraId="620CE6BA">
      <w:pPr>
        <w:spacing w:line="360" w:lineRule="auto"/>
        <w:ind w:firstLine="422" w:firstLineChars="200"/>
        <w:jc w:val="left"/>
        <w:outlineLvl w:val="1"/>
        <w:rPr>
          <w:rFonts w:hint="eastAsia" w:ascii="宋体" w:hAnsi="宋体" w:cs="宋体"/>
          <w:szCs w:val="21"/>
        </w:rPr>
      </w:pPr>
      <w:bookmarkStart w:id="39" w:name="_Toc35393635"/>
      <w:bookmarkStart w:id="40" w:name="_Toc35393804"/>
      <w:bookmarkStart w:id="41" w:name="_Toc31350"/>
      <w:r>
        <w:rPr>
          <w:rFonts w:hint="eastAsia" w:ascii="宋体" w:hAnsi="宋体" w:cs="宋体"/>
          <w:b/>
          <w:szCs w:val="21"/>
        </w:rPr>
        <w:t>六、补充事宜</w:t>
      </w:r>
      <w:bookmarkEnd w:id="39"/>
      <w:bookmarkEnd w:id="40"/>
      <w:bookmarkEnd w:id="41"/>
      <w:r>
        <w:rPr>
          <w:rFonts w:ascii="宋体" w:hAnsi="宋体"/>
          <w:szCs w:val="21"/>
        </w:rPr>
        <w:t>：</w:t>
      </w:r>
      <w:bookmarkStart w:id="42" w:name="_Toc28359018"/>
      <w:bookmarkStart w:id="43" w:name="_Toc28359095"/>
      <w:bookmarkStart w:id="44" w:name="_Toc35393636"/>
      <w:bookmarkStart w:id="45" w:name="_Toc35393805"/>
    </w:p>
    <w:p w14:paraId="23FC6156">
      <w:pPr>
        <w:snapToGrid w:val="0"/>
        <w:spacing w:line="360" w:lineRule="auto"/>
        <w:ind w:firstLine="420" w:firstLineChars="200"/>
        <w:jc w:val="left"/>
        <w:rPr>
          <w:rFonts w:hint="eastAsia" w:ascii="宋体" w:hAnsi="宋体" w:cs="宋体"/>
          <w:szCs w:val="21"/>
        </w:rPr>
      </w:pPr>
      <w:r>
        <w:rPr>
          <w:rFonts w:hint="eastAsia" w:ascii="宋体" w:hAnsi="宋体" w:cs="宋体"/>
          <w:szCs w:val="21"/>
        </w:rPr>
        <w:t>（1）本项目不收取投标保证金。</w:t>
      </w:r>
    </w:p>
    <w:p w14:paraId="242EEC12">
      <w:pPr>
        <w:snapToGrid w:val="0"/>
        <w:spacing w:line="360" w:lineRule="auto"/>
        <w:ind w:firstLine="420" w:firstLineChars="200"/>
        <w:jc w:val="left"/>
        <w:rPr>
          <w:rFonts w:hint="eastAsia" w:ascii="宋体" w:hAnsi="宋体" w:cs="宋体"/>
          <w:szCs w:val="21"/>
        </w:rPr>
      </w:pPr>
      <w:r>
        <w:rPr>
          <w:rFonts w:hint="eastAsia" w:ascii="宋体" w:hAnsi="宋体" w:cs="宋体"/>
          <w:szCs w:val="21"/>
        </w:rPr>
        <w:t>（2）投标人开标前完成网上投标文件上传。</w:t>
      </w:r>
    </w:p>
    <w:p w14:paraId="3723417C">
      <w:pPr>
        <w:snapToGrid w:val="0"/>
        <w:spacing w:line="360" w:lineRule="auto"/>
        <w:ind w:firstLine="420" w:firstLineChars="200"/>
        <w:jc w:val="left"/>
        <w:rPr>
          <w:rFonts w:hint="eastAsia" w:ascii="宋体" w:hAnsi="宋体" w:cs="宋体"/>
          <w:szCs w:val="21"/>
        </w:rPr>
      </w:pPr>
      <w:r>
        <w:rPr>
          <w:rFonts w:hint="eastAsia" w:ascii="宋体" w:hAnsi="宋体" w:cs="宋体"/>
          <w:szCs w:val="21"/>
        </w:rPr>
        <w:t>（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p>
    <w:p w14:paraId="5E940ECE">
      <w:pPr>
        <w:snapToGrid w:val="0"/>
        <w:spacing w:line="360" w:lineRule="auto"/>
        <w:ind w:firstLine="420" w:firstLineChars="200"/>
        <w:jc w:val="left"/>
        <w:rPr>
          <w:rFonts w:hint="eastAsia" w:ascii="宋体" w:hAnsi="宋体" w:cs="宋体"/>
          <w:szCs w:val="21"/>
        </w:rPr>
      </w:pPr>
      <w:r>
        <w:rPr>
          <w:rFonts w:hint="eastAsia" w:ascii="宋体" w:hAnsi="宋体" w:cs="宋体"/>
          <w:szCs w:val="21"/>
        </w:rPr>
        <w:t>（4）投标单位制作投标文件时如遇投标工具中投标格式与采购文件不一致，请投标单位按照采购文件中投标格式要求编制一份投标文件资料添加在投标工具其他材料中。</w:t>
      </w:r>
    </w:p>
    <w:p w14:paraId="7108F017">
      <w:pPr>
        <w:spacing w:line="360" w:lineRule="auto"/>
        <w:ind w:firstLine="422" w:firstLineChars="200"/>
        <w:jc w:val="left"/>
        <w:outlineLvl w:val="1"/>
        <w:rPr>
          <w:rFonts w:hint="eastAsia" w:ascii="宋体" w:hAnsi="宋体" w:cs="宋体"/>
          <w:b/>
          <w:szCs w:val="21"/>
        </w:rPr>
      </w:pPr>
      <w:bookmarkStart w:id="46" w:name="_Toc25261"/>
      <w:r>
        <w:rPr>
          <w:rFonts w:hint="eastAsia" w:ascii="宋体" w:hAnsi="宋体" w:cs="宋体"/>
          <w:b/>
          <w:szCs w:val="21"/>
        </w:rPr>
        <w:t>七、对本次采购提出询问，请按以下方式联系</w:t>
      </w:r>
      <w:bookmarkEnd w:id="42"/>
      <w:bookmarkEnd w:id="43"/>
      <w:bookmarkEnd w:id="44"/>
      <w:bookmarkEnd w:id="45"/>
      <w:bookmarkEnd w:id="46"/>
    </w:p>
    <w:p w14:paraId="7EEF9AD6">
      <w:pPr>
        <w:spacing w:line="360" w:lineRule="auto"/>
        <w:ind w:firstLine="420" w:firstLineChars="200"/>
        <w:jc w:val="left"/>
        <w:rPr>
          <w:rFonts w:hint="eastAsia" w:ascii="宋体" w:hAnsi="宋体" w:cs="宋体"/>
          <w:szCs w:val="21"/>
        </w:rPr>
      </w:pPr>
      <w:bookmarkStart w:id="47" w:name="_Toc28359096"/>
      <w:bookmarkStart w:id="48" w:name="_Toc35393637"/>
      <w:bookmarkStart w:id="49" w:name="_Toc28359019"/>
      <w:bookmarkStart w:id="50" w:name="_Toc35393806"/>
      <w:bookmarkStart w:id="51" w:name="_Toc18469"/>
      <w:r>
        <w:rPr>
          <w:rFonts w:hint="eastAsia" w:ascii="宋体" w:hAnsi="宋体" w:cs="宋体"/>
          <w:szCs w:val="21"/>
        </w:rPr>
        <w:t>1.采购人信息</w:t>
      </w:r>
      <w:bookmarkEnd w:id="47"/>
      <w:bookmarkEnd w:id="48"/>
      <w:bookmarkEnd w:id="49"/>
      <w:bookmarkEnd w:id="50"/>
    </w:p>
    <w:p w14:paraId="491406F1">
      <w:pPr>
        <w:spacing w:line="360" w:lineRule="auto"/>
        <w:ind w:firstLine="420" w:firstLineChars="200"/>
        <w:jc w:val="left"/>
        <w:rPr>
          <w:rFonts w:hint="eastAsia" w:ascii="宋体" w:hAnsi="宋体" w:cs="宋体"/>
          <w:szCs w:val="21"/>
        </w:rPr>
      </w:pPr>
      <w:r>
        <w:rPr>
          <w:rFonts w:hint="eastAsia" w:ascii="宋体" w:hAnsi="宋体" w:cs="宋体"/>
          <w:szCs w:val="21"/>
        </w:rPr>
        <w:t>名    称：灌南县农机化技术推广服务站</w:t>
      </w:r>
    </w:p>
    <w:p w14:paraId="205B277D">
      <w:pPr>
        <w:spacing w:line="360" w:lineRule="auto"/>
        <w:ind w:firstLine="420" w:firstLineChars="200"/>
        <w:jc w:val="left"/>
        <w:rPr>
          <w:rFonts w:hint="eastAsia" w:ascii="宋体" w:hAnsi="宋体" w:cs="宋体"/>
          <w:szCs w:val="21"/>
        </w:rPr>
      </w:pPr>
      <w:r>
        <w:rPr>
          <w:rFonts w:hint="eastAsia" w:ascii="宋体" w:hAnsi="宋体" w:cs="宋体"/>
          <w:szCs w:val="21"/>
        </w:rPr>
        <w:t>地    址：灌南县人民中路</w:t>
      </w:r>
    </w:p>
    <w:p w14:paraId="6406BB61">
      <w:pPr>
        <w:spacing w:line="360" w:lineRule="auto"/>
        <w:ind w:firstLine="420" w:firstLineChars="200"/>
        <w:jc w:val="left"/>
        <w:rPr>
          <w:rFonts w:hint="eastAsia" w:ascii="宋体" w:hAnsi="宋体" w:cs="宋体"/>
          <w:szCs w:val="21"/>
        </w:rPr>
      </w:pPr>
      <w:r>
        <w:rPr>
          <w:rFonts w:hint="eastAsia" w:ascii="宋体" w:hAnsi="宋体" w:cs="宋体"/>
          <w:szCs w:val="21"/>
        </w:rPr>
        <w:t>联系方式：</w:t>
      </w:r>
      <w:bookmarkStart w:id="52" w:name="_Toc35393638"/>
      <w:bookmarkStart w:id="53" w:name="_Toc35393807"/>
      <w:bookmarkStart w:id="54" w:name="_Toc28359097"/>
      <w:bookmarkStart w:id="55" w:name="_Toc28359020"/>
      <w:r>
        <w:rPr>
          <w:rFonts w:hint="eastAsia" w:ascii="宋体" w:hAnsi="宋体" w:cs="宋体"/>
          <w:szCs w:val="21"/>
        </w:rPr>
        <w:t xml:space="preserve">张文文  </w:t>
      </w:r>
      <w:r>
        <w:rPr>
          <w:rFonts w:ascii="宋体" w:hAnsi="宋体" w:cs="宋体"/>
          <w:szCs w:val="21"/>
        </w:rPr>
        <w:t>15161387691</w:t>
      </w:r>
    </w:p>
    <w:p w14:paraId="714F5153">
      <w:pPr>
        <w:spacing w:line="360" w:lineRule="auto"/>
        <w:ind w:firstLine="420" w:firstLineChars="200"/>
        <w:jc w:val="left"/>
        <w:rPr>
          <w:rFonts w:hint="eastAsia" w:ascii="宋体" w:hAnsi="宋体" w:cs="宋体"/>
          <w:szCs w:val="21"/>
        </w:rPr>
      </w:pPr>
      <w:r>
        <w:rPr>
          <w:rFonts w:hint="eastAsia" w:ascii="宋体" w:hAnsi="宋体" w:cs="宋体"/>
          <w:szCs w:val="21"/>
        </w:rPr>
        <w:t>2.采购代理机构信息</w:t>
      </w:r>
      <w:bookmarkEnd w:id="52"/>
      <w:bookmarkEnd w:id="53"/>
      <w:bookmarkEnd w:id="54"/>
      <w:bookmarkEnd w:id="55"/>
    </w:p>
    <w:p w14:paraId="0AEFDC3C">
      <w:pPr>
        <w:spacing w:line="360" w:lineRule="auto"/>
        <w:ind w:firstLine="420" w:firstLineChars="200"/>
        <w:jc w:val="left"/>
        <w:rPr>
          <w:rFonts w:hint="eastAsia" w:ascii="宋体" w:hAnsi="宋体" w:cs="宋体"/>
          <w:szCs w:val="21"/>
        </w:rPr>
      </w:pPr>
      <w:r>
        <w:rPr>
          <w:rFonts w:hint="eastAsia" w:ascii="宋体" w:hAnsi="宋体" w:cs="宋体"/>
          <w:szCs w:val="21"/>
        </w:rPr>
        <w:t>名    称：江苏润博建设项目管理有限公司</w:t>
      </w:r>
    </w:p>
    <w:p w14:paraId="30CEB996">
      <w:pPr>
        <w:spacing w:line="360" w:lineRule="auto"/>
        <w:ind w:firstLine="420" w:firstLineChars="200"/>
        <w:jc w:val="left"/>
        <w:rPr>
          <w:rFonts w:hint="eastAsia" w:ascii="宋体" w:hAnsi="宋体" w:cs="宋体"/>
          <w:color w:val="000000"/>
          <w:szCs w:val="21"/>
        </w:rPr>
      </w:pPr>
      <w:bookmarkStart w:id="56" w:name="_Toc28359098"/>
      <w:bookmarkStart w:id="57" w:name="_Toc35393808"/>
      <w:bookmarkStart w:id="58" w:name="_Toc28359021"/>
      <w:bookmarkStart w:id="59" w:name="_Toc35393639"/>
      <w:r>
        <w:rPr>
          <w:rFonts w:hint="eastAsia" w:ascii="宋体" w:hAnsi="宋体" w:cs="宋体"/>
          <w:color w:val="000000"/>
          <w:szCs w:val="21"/>
        </w:rPr>
        <w:t>地址： 连云港市海州区海连东路40号金茂大厦八楼</w:t>
      </w:r>
    </w:p>
    <w:p w14:paraId="05B28417">
      <w:pPr>
        <w:spacing w:line="360" w:lineRule="auto"/>
        <w:ind w:firstLine="420" w:firstLineChars="200"/>
        <w:jc w:val="left"/>
        <w:rPr>
          <w:rFonts w:hint="eastAsia" w:ascii="宋体" w:hAnsi="宋体" w:cs="宋体"/>
          <w:color w:val="000000"/>
          <w:szCs w:val="21"/>
        </w:rPr>
      </w:pPr>
      <w:r>
        <w:rPr>
          <w:rFonts w:hint="eastAsia" w:ascii="宋体" w:hAnsi="宋体" w:cs="宋体"/>
          <w:color w:val="000000"/>
          <w:szCs w:val="21"/>
        </w:rPr>
        <w:t>联系方式：赵工  0518-85106903</w:t>
      </w:r>
    </w:p>
    <w:bookmarkEnd w:id="56"/>
    <w:bookmarkEnd w:id="57"/>
    <w:bookmarkEnd w:id="58"/>
    <w:bookmarkEnd w:id="59"/>
    <w:p w14:paraId="5D729D93">
      <w:pPr>
        <w:spacing w:line="360" w:lineRule="auto"/>
        <w:ind w:firstLine="422" w:firstLineChars="200"/>
        <w:jc w:val="left"/>
        <w:outlineLvl w:val="1"/>
        <w:rPr>
          <w:rFonts w:hint="eastAsia" w:ascii="宋体" w:hAnsi="宋体" w:cs="宋体"/>
          <w:b/>
          <w:bCs/>
          <w:szCs w:val="21"/>
        </w:rPr>
      </w:pPr>
      <w:r>
        <w:rPr>
          <w:rFonts w:hint="eastAsia" w:ascii="宋体" w:hAnsi="宋体" w:cs="宋体"/>
          <w:b/>
          <w:bCs/>
          <w:szCs w:val="21"/>
        </w:rPr>
        <w:t>八、其他</w:t>
      </w:r>
      <w:bookmarkEnd w:id="51"/>
    </w:p>
    <w:p w14:paraId="1114031F">
      <w:pPr>
        <w:snapToGrid w:val="0"/>
        <w:spacing w:line="360" w:lineRule="auto"/>
        <w:ind w:firstLine="420" w:firstLineChars="200"/>
        <w:jc w:val="left"/>
        <w:rPr>
          <w:rFonts w:hint="eastAsia" w:ascii="宋体" w:hAnsi="宋体" w:cs="宋体"/>
          <w:szCs w:val="21"/>
        </w:rPr>
      </w:pPr>
      <w:r>
        <w:rPr>
          <w:rFonts w:hint="eastAsia" w:ascii="宋体" w:hAnsi="宋体" w:cs="宋体"/>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47C87342">
      <w:pPr>
        <w:pStyle w:val="210"/>
        <w:snapToGrid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领取CA和办理电子签章（请至连云港市财政局(海州区海连中路66号)西门向南约20米办理，具体联系方式见《苏采云系统供应商操作手册》（以下简称《操作手册》））、进行注册并按《操作手册》要求制作、上传电子投标文件。</w:t>
      </w:r>
    </w:p>
    <w:p w14:paraId="6FFA9140">
      <w:pPr>
        <w:pStyle w:val="37"/>
        <w:widowControl w:val="0"/>
        <w:tabs>
          <w:tab w:val="left" w:pos="901"/>
        </w:tabs>
        <w:snapToGrid w:val="0"/>
        <w:spacing w:before="0" w:beforeAutospacing="0" w:after="0" w:afterAutospacing="0" w:line="360" w:lineRule="auto"/>
        <w:ind w:firstLine="420" w:firstLineChars="200"/>
        <w:rPr>
          <w:sz w:val="21"/>
          <w:szCs w:val="21"/>
        </w:rPr>
      </w:pPr>
      <w:r>
        <w:rPr>
          <w:rFonts w:hint="eastAsia"/>
          <w:sz w:val="21"/>
          <w:szCs w:val="21"/>
        </w:rPr>
        <w:t>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307A0231">
      <w:pPr>
        <w:pStyle w:val="21"/>
        <w:spacing w:line="360" w:lineRule="auto"/>
        <w:jc w:val="center"/>
        <w:outlineLvl w:val="0"/>
        <w:rPr>
          <w:rStyle w:val="203"/>
          <w:rFonts w:hint="eastAsia" w:ascii="宋体" w:hAnsi="宋体" w:cs="宋体"/>
          <w:sz w:val="44"/>
          <w:szCs w:val="44"/>
        </w:rPr>
      </w:pPr>
      <w:bookmarkStart w:id="60" w:name="_Toc19027"/>
    </w:p>
    <w:p w14:paraId="1068D6E0">
      <w:pPr>
        <w:pStyle w:val="21"/>
        <w:spacing w:line="360" w:lineRule="auto"/>
        <w:jc w:val="center"/>
        <w:outlineLvl w:val="0"/>
        <w:rPr>
          <w:rStyle w:val="203"/>
          <w:rFonts w:hint="eastAsia" w:ascii="宋体" w:hAnsi="宋体" w:cs="宋体"/>
          <w:sz w:val="44"/>
          <w:szCs w:val="44"/>
        </w:rPr>
      </w:pPr>
    </w:p>
    <w:p w14:paraId="2B233D7A">
      <w:pPr>
        <w:pStyle w:val="21"/>
        <w:spacing w:line="360" w:lineRule="auto"/>
        <w:outlineLvl w:val="0"/>
        <w:rPr>
          <w:rStyle w:val="203"/>
          <w:rFonts w:ascii="宋体" w:hAnsi="宋体" w:cs="宋体"/>
          <w:sz w:val="44"/>
          <w:szCs w:val="44"/>
        </w:rPr>
      </w:pPr>
    </w:p>
    <w:p w14:paraId="1392DEEE">
      <w:pPr>
        <w:pStyle w:val="21"/>
        <w:spacing w:line="360" w:lineRule="auto"/>
        <w:outlineLvl w:val="0"/>
        <w:rPr>
          <w:rStyle w:val="203"/>
          <w:rFonts w:hint="eastAsia" w:ascii="宋体" w:hAnsi="宋体" w:cs="宋体"/>
          <w:sz w:val="44"/>
          <w:szCs w:val="44"/>
        </w:rPr>
      </w:pPr>
    </w:p>
    <w:p w14:paraId="7AA34220">
      <w:pPr>
        <w:pStyle w:val="21"/>
        <w:spacing w:line="360" w:lineRule="auto"/>
        <w:jc w:val="center"/>
        <w:outlineLvl w:val="0"/>
        <w:rPr>
          <w:rStyle w:val="204"/>
          <w:rFonts w:hint="eastAsia" w:ascii="宋体" w:cs="宋体"/>
          <w:sz w:val="44"/>
          <w:szCs w:val="44"/>
        </w:rPr>
      </w:pPr>
      <w:r>
        <w:rPr>
          <w:rStyle w:val="203"/>
          <w:rFonts w:hint="eastAsia" w:ascii="宋体" w:hAnsi="宋体" w:cs="宋体"/>
          <w:sz w:val="44"/>
          <w:szCs w:val="44"/>
        </w:rPr>
        <w:t>第二章 投标人须知</w:t>
      </w:r>
      <w:bookmarkEnd w:id="2"/>
      <w:bookmarkEnd w:id="3"/>
      <w:bookmarkEnd w:id="6"/>
      <w:bookmarkEnd w:id="60"/>
    </w:p>
    <w:p w14:paraId="642CCBD2">
      <w:pPr>
        <w:pStyle w:val="37"/>
        <w:widowControl w:val="0"/>
        <w:spacing w:before="0" w:beforeAutospacing="0" w:after="0" w:afterAutospacing="0" w:line="360" w:lineRule="auto"/>
        <w:ind w:firstLine="482"/>
        <w:outlineLvl w:val="1"/>
        <w:rPr>
          <w:rFonts w:hint="eastAsia" w:ascii="宋体" w:hAnsi="宋体" w:cs="宋体"/>
        </w:rPr>
      </w:pPr>
      <w:bookmarkStart w:id="61" w:name="_Toc513029203"/>
      <w:bookmarkStart w:id="62" w:name="_Toc17724"/>
      <w:bookmarkStart w:id="63" w:name="_Toc120614214"/>
      <w:bookmarkStart w:id="64" w:name="_Toc16938519"/>
      <w:bookmarkStart w:id="65" w:name="_Toc20823275"/>
      <w:bookmarkStart w:id="66" w:name="_Toc487187739"/>
      <w:bookmarkStart w:id="67" w:name="_Toc139966427"/>
      <w:r>
        <w:rPr>
          <w:rFonts w:hint="eastAsia" w:ascii="宋体" w:hAnsi="宋体" w:cs="宋体"/>
          <w:b/>
          <w:bCs/>
        </w:rPr>
        <w:t>一、总则</w:t>
      </w:r>
      <w:bookmarkEnd w:id="61"/>
      <w:bookmarkEnd w:id="62"/>
      <w:bookmarkEnd w:id="63"/>
      <w:bookmarkEnd w:id="64"/>
      <w:bookmarkEnd w:id="65"/>
    </w:p>
    <w:p w14:paraId="25941D6B">
      <w:pPr>
        <w:pStyle w:val="37"/>
        <w:widowControl w:val="0"/>
        <w:spacing w:before="0" w:beforeAutospacing="0" w:after="0" w:afterAutospacing="0" w:line="360" w:lineRule="auto"/>
        <w:ind w:firstLine="480"/>
        <w:rPr>
          <w:rFonts w:hint="eastAsia" w:ascii="宋体" w:hAnsi="宋体" w:cs="宋体"/>
        </w:rPr>
      </w:pPr>
      <w:bookmarkStart w:id="68" w:name="_Toc20823276"/>
      <w:bookmarkStart w:id="69" w:name="_Toc458694821"/>
      <w:bookmarkStart w:id="70" w:name="_Toc513029204"/>
      <w:bookmarkStart w:id="71" w:name="_Toc16938520"/>
      <w:r>
        <w:rPr>
          <w:rFonts w:hint="eastAsia" w:ascii="宋体" w:hAnsi="宋体" w:cs="宋体"/>
        </w:rPr>
        <w:t>1</w:t>
      </w:r>
      <w:bookmarkEnd w:id="68"/>
      <w:r>
        <w:rPr>
          <w:rFonts w:hint="eastAsia" w:ascii="宋体" w:hAnsi="宋体" w:cs="宋体"/>
        </w:rPr>
        <w:t>、招标方式</w:t>
      </w:r>
      <w:bookmarkEnd w:id="69"/>
      <w:bookmarkEnd w:id="70"/>
      <w:bookmarkEnd w:id="71"/>
    </w:p>
    <w:p w14:paraId="3E395B7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1.1 本次招标采取公开招标方式，本招标文件仅适用于招标公告中所述项目。</w:t>
      </w:r>
    </w:p>
    <w:p w14:paraId="397632DA">
      <w:pPr>
        <w:pStyle w:val="37"/>
        <w:widowControl w:val="0"/>
        <w:spacing w:before="0" w:beforeAutospacing="0" w:after="0" w:afterAutospacing="0" w:line="360" w:lineRule="auto"/>
        <w:ind w:firstLine="480"/>
        <w:rPr>
          <w:rFonts w:hint="eastAsia" w:ascii="宋体" w:hAnsi="宋体" w:cs="宋体"/>
        </w:rPr>
      </w:pPr>
      <w:bookmarkStart w:id="72" w:name="_Toc20823277"/>
      <w:bookmarkStart w:id="73" w:name="_Toc513029205"/>
      <w:bookmarkStart w:id="74" w:name="_Toc16938521"/>
      <w:r>
        <w:rPr>
          <w:rFonts w:hint="eastAsia" w:ascii="宋体" w:hAnsi="宋体" w:cs="宋体"/>
        </w:rPr>
        <w:t>2、合格的投标人</w:t>
      </w:r>
      <w:bookmarkEnd w:id="72"/>
      <w:bookmarkEnd w:id="73"/>
      <w:bookmarkEnd w:id="74"/>
    </w:p>
    <w:p w14:paraId="0689BA8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2.1满足招标公告中投标人的资格要求的规定。</w:t>
      </w:r>
    </w:p>
    <w:p w14:paraId="6CC48A27">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2.2 满足本采购文件实质性要求和条件的规定。</w:t>
      </w:r>
    </w:p>
    <w:p w14:paraId="4AF4E936">
      <w:pPr>
        <w:pStyle w:val="37"/>
        <w:widowControl w:val="0"/>
        <w:spacing w:before="0" w:beforeAutospacing="0" w:after="0" w:afterAutospacing="0" w:line="360" w:lineRule="auto"/>
        <w:ind w:firstLine="480"/>
        <w:rPr>
          <w:rFonts w:hint="eastAsia" w:ascii="宋体" w:hAnsi="宋体" w:cs="宋体"/>
        </w:rPr>
      </w:pPr>
      <w:bookmarkStart w:id="75" w:name="_Toc20823278"/>
      <w:bookmarkStart w:id="76" w:name="_Toc513029206"/>
      <w:bookmarkStart w:id="77" w:name="_Toc16938522"/>
      <w:r>
        <w:rPr>
          <w:rFonts w:hint="eastAsia" w:ascii="宋体" w:hAnsi="宋体" w:cs="宋体"/>
        </w:rPr>
        <w:t>3、适用法律</w:t>
      </w:r>
      <w:bookmarkEnd w:id="75"/>
      <w:bookmarkEnd w:id="76"/>
      <w:bookmarkEnd w:id="77"/>
    </w:p>
    <w:p w14:paraId="30A39DF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3.1 本次招标及由此产生的合同受中华人民共和国有关的法律法规制约和保护。</w:t>
      </w:r>
    </w:p>
    <w:p w14:paraId="0FEF4B3F">
      <w:pPr>
        <w:pStyle w:val="37"/>
        <w:widowControl w:val="0"/>
        <w:spacing w:before="0" w:beforeAutospacing="0" w:after="0" w:afterAutospacing="0" w:line="360" w:lineRule="auto"/>
        <w:ind w:firstLine="480"/>
        <w:rPr>
          <w:rFonts w:hint="eastAsia" w:ascii="宋体" w:hAnsi="宋体" w:cs="宋体"/>
        </w:rPr>
      </w:pPr>
      <w:bookmarkStart w:id="78" w:name="_Toc462564067"/>
      <w:bookmarkStart w:id="79" w:name="_Toc20823279"/>
      <w:bookmarkStart w:id="80" w:name="_Toc16938523"/>
      <w:bookmarkStart w:id="81" w:name="_Toc513029207"/>
      <w:r>
        <w:rPr>
          <w:rFonts w:hint="eastAsia" w:ascii="宋体" w:hAnsi="宋体" w:cs="宋体"/>
        </w:rPr>
        <w:t>4、投标费用</w:t>
      </w:r>
      <w:bookmarkEnd w:id="78"/>
      <w:bookmarkEnd w:id="79"/>
      <w:bookmarkEnd w:id="80"/>
      <w:bookmarkEnd w:id="81"/>
    </w:p>
    <w:p w14:paraId="6A266CCD">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4.1 投标人应自行承担所有与参加投标有关的费用，无论投标过程中的做法和结果如何，江苏润博建设项目管理有限公司（以下简称采购代理机构）及采购人在任何情况下均无义务和责任承担这些费用。</w:t>
      </w:r>
    </w:p>
    <w:p w14:paraId="5F28E829">
      <w:pPr>
        <w:snapToGrid w:val="0"/>
        <w:spacing w:line="360" w:lineRule="auto"/>
        <w:ind w:firstLine="420" w:firstLineChars="200"/>
        <w:jc w:val="left"/>
        <w:rPr>
          <w:rFonts w:hint="eastAsia" w:ascii="宋体" w:hAnsi="宋体" w:cs="宋体"/>
          <w:szCs w:val="21"/>
        </w:rPr>
      </w:pPr>
      <w:r>
        <w:rPr>
          <w:rFonts w:hint="eastAsia" w:ascii="宋体" w:hAnsi="宋体" w:cs="宋体"/>
          <w:szCs w:val="21"/>
        </w:rPr>
        <w:t>4.</w:t>
      </w:r>
      <w:r>
        <w:rPr>
          <w:rFonts w:hint="eastAsia" w:ascii="宋体" w:hAnsi="宋体" w:cs="宋体"/>
          <w:sz w:val="24"/>
        </w:rPr>
        <w:t>2代理服务费：(按计价格（2002）1980号文货物招标收费标准计取)由中标单位支付。投标人综合考虑在投标报价中，不得单列。</w:t>
      </w:r>
    </w:p>
    <w:p w14:paraId="3F5F581E">
      <w:pPr>
        <w:pStyle w:val="37"/>
        <w:widowControl w:val="0"/>
        <w:spacing w:before="0" w:beforeAutospacing="0" w:after="0" w:afterAutospacing="0" w:line="360" w:lineRule="auto"/>
        <w:ind w:firstLine="482"/>
        <w:rPr>
          <w:rFonts w:hint="eastAsia" w:ascii="宋体" w:hAnsi="宋体" w:cs="宋体"/>
        </w:rPr>
      </w:pPr>
      <w:r>
        <w:rPr>
          <w:rFonts w:hint="eastAsia" w:ascii="宋体" w:hAnsi="宋体" w:cs="宋体"/>
          <w:b/>
          <w:bCs/>
        </w:rPr>
        <w:t>5、</w:t>
      </w:r>
      <w:r>
        <w:rPr>
          <w:rFonts w:hint="eastAsia" w:ascii="宋体" w:hAnsi="宋体" w:cs="宋体"/>
        </w:rPr>
        <w:t>招标文件的约束力</w:t>
      </w:r>
    </w:p>
    <w:p w14:paraId="47C44DF7">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5.1 投标人一旦参加本项目采购活动，即被认为接受了本招标采购文件的规定和约束。</w:t>
      </w:r>
    </w:p>
    <w:p w14:paraId="50EFD91E">
      <w:pPr>
        <w:pStyle w:val="37"/>
        <w:widowControl w:val="0"/>
        <w:spacing w:before="0" w:beforeAutospacing="0" w:after="0" w:afterAutospacing="0" w:line="360" w:lineRule="auto"/>
        <w:ind w:firstLine="482"/>
        <w:outlineLvl w:val="1"/>
        <w:rPr>
          <w:rFonts w:hint="eastAsia" w:ascii="宋体" w:hAnsi="宋体" w:cs="宋体"/>
        </w:rPr>
      </w:pPr>
      <w:bookmarkStart w:id="82" w:name="_Toc17561"/>
      <w:bookmarkStart w:id="83" w:name="_Toc20823281"/>
      <w:bookmarkStart w:id="84" w:name="_Toc513029209"/>
      <w:bookmarkStart w:id="85" w:name="_Toc120614215"/>
      <w:bookmarkStart w:id="86" w:name="_Toc16938525"/>
      <w:r>
        <w:rPr>
          <w:rFonts w:hint="eastAsia" w:ascii="宋体" w:hAnsi="宋体" w:cs="宋体"/>
          <w:b/>
          <w:bCs/>
        </w:rPr>
        <w:t>二、招标文件</w:t>
      </w:r>
      <w:bookmarkEnd w:id="82"/>
      <w:bookmarkEnd w:id="83"/>
      <w:bookmarkEnd w:id="84"/>
      <w:bookmarkEnd w:id="85"/>
      <w:bookmarkEnd w:id="86"/>
    </w:p>
    <w:p w14:paraId="1C692C51">
      <w:pPr>
        <w:pStyle w:val="37"/>
        <w:widowControl w:val="0"/>
        <w:spacing w:before="0" w:beforeAutospacing="0" w:after="0" w:afterAutospacing="0" w:line="360" w:lineRule="auto"/>
        <w:ind w:firstLine="480"/>
        <w:rPr>
          <w:rFonts w:hint="eastAsia" w:ascii="宋体" w:hAnsi="宋体" w:cs="宋体"/>
        </w:rPr>
      </w:pPr>
      <w:bookmarkStart w:id="87" w:name="_Toc513029210"/>
      <w:bookmarkStart w:id="88" w:name="_Toc20823282"/>
      <w:bookmarkStart w:id="89" w:name="_Toc16938526"/>
      <w:r>
        <w:rPr>
          <w:rFonts w:hint="eastAsia" w:ascii="宋体" w:hAnsi="宋体" w:cs="宋体"/>
        </w:rPr>
        <w:t>6、招标文件构成</w:t>
      </w:r>
      <w:bookmarkEnd w:id="87"/>
      <w:bookmarkEnd w:id="88"/>
      <w:bookmarkEnd w:id="89"/>
    </w:p>
    <w:p w14:paraId="09D5DFC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6.1 招标文件由以下部分组成：</w:t>
      </w:r>
    </w:p>
    <w:p w14:paraId="6CF72358">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第一章 采购公告</w:t>
      </w:r>
    </w:p>
    <w:p w14:paraId="6013D47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第二章 投标人须知</w:t>
      </w:r>
    </w:p>
    <w:p w14:paraId="73C9B50F">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第三章 政府采购合同格式</w:t>
      </w:r>
    </w:p>
    <w:p w14:paraId="1C3401A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第四章 投标文件格式</w:t>
      </w:r>
    </w:p>
    <w:p w14:paraId="122F36A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第五章 项目需求</w:t>
      </w:r>
    </w:p>
    <w:p w14:paraId="3850BB9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第六章 评审方法和评审标准</w:t>
      </w:r>
    </w:p>
    <w:p w14:paraId="0C38C98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p>
    <w:p w14:paraId="7996F7D5">
      <w:pPr>
        <w:pStyle w:val="37"/>
        <w:widowControl w:val="0"/>
        <w:spacing w:before="0" w:beforeAutospacing="0" w:after="0" w:afterAutospacing="0" w:line="360" w:lineRule="auto"/>
        <w:ind w:firstLine="480"/>
        <w:rPr>
          <w:rFonts w:hint="eastAsia" w:ascii="宋体" w:hAnsi="宋体" w:cs="宋体"/>
        </w:rPr>
      </w:pPr>
      <w:bookmarkStart w:id="90" w:name="_Toc20823283"/>
      <w:bookmarkStart w:id="91" w:name="_Toc462564070"/>
      <w:bookmarkStart w:id="92" w:name="_Toc513029211"/>
      <w:bookmarkStart w:id="93" w:name="_Toc16938527"/>
      <w:r>
        <w:rPr>
          <w:rFonts w:hint="eastAsia" w:ascii="宋体" w:hAnsi="宋体" w:cs="宋体"/>
        </w:rPr>
        <w:t>7、招标文件的澄清</w:t>
      </w:r>
      <w:bookmarkEnd w:id="90"/>
      <w:bookmarkEnd w:id="91"/>
      <w:bookmarkEnd w:id="92"/>
      <w:bookmarkEnd w:id="93"/>
    </w:p>
    <w:p w14:paraId="2FAE9965">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7.1 任何要求对招标文件进行澄清的投标人，应在投标截止期</w:t>
      </w:r>
      <w:r>
        <w:rPr>
          <w:rFonts w:hint="eastAsia" w:ascii="宋体" w:hAnsi="宋体" w:cs="宋体"/>
          <w:b/>
          <w:bCs/>
        </w:rPr>
        <w:t>十日</w:t>
      </w:r>
      <w:r>
        <w:rPr>
          <w:rFonts w:hint="eastAsia" w:ascii="宋体" w:hAnsi="宋体" w:cs="宋体"/>
        </w:rPr>
        <w:t>前按招标采购公告中的通讯地址，以书面形式通知采购代理机构和采购人。</w:t>
      </w:r>
    </w:p>
    <w:p w14:paraId="583F8AA3">
      <w:pPr>
        <w:pStyle w:val="37"/>
        <w:widowControl w:val="0"/>
        <w:spacing w:before="0" w:beforeAutospacing="0" w:after="0" w:afterAutospacing="0" w:line="360" w:lineRule="auto"/>
        <w:ind w:firstLine="480"/>
        <w:rPr>
          <w:rFonts w:hint="eastAsia" w:ascii="宋体" w:hAnsi="宋体" w:cs="宋体"/>
        </w:rPr>
      </w:pPr>
      <w:bookmarkStart w:id="94" w:name="_Toc513029212"/>
      <w:bookmarkStart w:id="95" w:name="_Toc462564071"/>
      <w:bookmarkStart w:id="96" w:name="_Toc20823284"/>
      <w:bookmarkStart w:id="97" w:name="_Toc16938528"/>
      <w:r>
        <w:rPr>
          <w:rFonts w:hint="eastAsia" w:ascii="宋体" w:hAnsi="宋体" w:cs="宋体"/>
        </w:rPr>
        <w:t>8、招标文件的修改</w:t>
      </w:r>
      <w:bookmarkEnd w:id="94"/>
      <w:bookmarkEnd w:id="95"/>
      <w:bookmarkEnd w:id="96"/>
      <w:bookmarkEnd w:id="97"/>
    </w:p>
    <w:p w14:paraId="18B66BF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8.1 在投标截止时间前，采购人或采购代理机构可以对招标文件进行修改。</w:t>
      </w:r>
    </w:p>
    <w:p w14:paraId="29592AB7">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8.2 采购人有权按照法定的要求推迟投标截止日期和开标日期。</w:t>
      </w:r>
    </w:p>
    <w:p w14:paraId="5CC8809A">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8.3 招标文件的修改将在江苏政府采购网公布，补充文件将作为招标文件的组成部分，并对投标人具有约束力。</w:t>
      </w:r>
    </w:p>
    <w:p w14:paraId="12FA70C9">
      <w:pPr>
        <w:pStyle w:val="37"/>
        <w:widowControl w:val="0"/>
        <w:spacing w:before="0" w:beforeAutospacing="0" w:after="0" w:afterAutospacing="0" w:line="360" w:lineRule="auto"/>
        <w:ind w:firstLine="482"/>
        <w:outlineLvl w:val="1"/>
        <w:rPr>
          <w:rFonts w:hint="eastAsia" w:ascii="宋体" w:hAnsi="宋体" w:cs="宋体"/>
        </w:rPr>
      </w:pPr>
      <w:bookmarkStart w:id="98" w:name="_Toc513029213"/>
      <w:bookmarkStart w:id="99" w:name="_Toc462564072"/>
      <w:bookmarkStart w:id="100" w:name="_Toc22760"/>
      <w:bookmarkStart w:id="101" w:name="_Toc120614216"/>
      <w:bookmarkStart w:id="102" w:name="_Toc20823285"/>
      <w:bookmarkStart w:id="103" w:name="_Toc16938529"/>
      <w:r>
        <w:rPr>
          <w:rFonts w:hint="eastAsia" w:ascii="宋体" w:hAnsi="宋体" w:cs="宋体"/>
          <w:b/>
          <w:bCs/>
        </w:rPr>
        <w:t>三、投标文件的编制</w:t>
      </w:r>
      <w:bookmarkEnd w:id="98"/>
      <w:bookmarkEnd w:id="99"/>
      <w:bookmarkEnd w:id="100"/>
      <w:bookmarkEnd w:id="101"/>
      <w:bookmarkEnd w:id="102"/>
      <w:bookmarkEnd w:id="103"/>
      <w:r>
        <w:rPr>
          <w:rFonts w:hint="eastAsia" w:ascii="宋体" w:hAnsi="宋体" w:cs="宋体"/>
          <w:b/>
          <w:bCs/>
        </w:rPr>
        <w:t>）</w:t>
      </w:r>
    </w:p>
    <w:p w14:paraId="2CC58485">
      <w:pPr>
        <w:pStyle w:val="37"/>
        <w:widowControl w:val="0"/>
        <w:spacing w:before="0" w:beforeAutospacing="0" w:after="0" w:afterAutospacing="0" w:line="360" w:lineRule="auto"/>
        <w:ind w:firstLine="480"/>
        <w:rPr>
          <w:rFonts w:hint="eastAsia" w:ascii="宋体" w:hAnsi="宋体" w:cs="宋体"/>
        </w:rPr>
      </w:pPr>
      <w:bookmarkStart w:id="104" w:name="_Toc462564073"/>
      <w:bookmarkStart w:id="105" w:name="_Toc513029214"/>
      <w:bookmarkStart w:id="106" w:name="_Toc20823286"/>
      <w:bookmarkStart w:id="107" w:name="_Toc16938530"/>
      <w:r>
        <w:rPr>
          <w:rFonts w:hint="eastAsia" w:ascii="宋体" w:hAnsi="宋体" w:cs="宋体"/>
        </w:rPr>
        <w:t>9、投标文件的语言及度量衡单位</w:t>
      </w:r>
      <w:bookmarkEnd w:id="104"/>
      <w:bookmarkEnd w:id="105"/>
      <w:bookmarkEnd w:id="106"/>
      <w:bookmarkEnd w:id="107"/>
    </w:p>
    <w:p w14:paraId="3079B05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9.1 投标人提交的投标文件以及投标人与采购代理机构就有关投标的所有来往通知、函件和文件均应使用</w:t>
      </w:r>
      <w:r>
        <w:rPr>
          <w:rFonts w:hint="eastAsia" w:ascii="宋体" w:hAnsi="宋体" w:cs="宋体"/>
          <w:b/>
          <w:bCs/>
        </w:rPr>
        <w:t>简体中文</w:t>
      </w:r>
      <w:r>
        <w:rPr>
          <w:rFonts w:hint="eastAsia" w:ascii="宋体" w:hAnsi="宋体" w:cs="宋体"/>
        </w:rPr>
        <w:t>。</w:t>
      </w:r>
    </w:p>
    <w:p w14:paraId="476DF0A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9.2 除技术性能另有规定外，投标文件所使用的度量衡单位，均须采用国家法定计量单位。</w:t>
      </w:r>
      <w:bookmarkStart w:id="108" w:name="_Toc513029215"/>
      <w:bookmarkStart w:id="109" w:name="_Toc462564074"/>
      <w:bookmarkStart w:id="110" w:name="_Toc20823287"/>
      <w:bookmarkStart w:id="111" w:name="_Toc16938531"/>
      <w:r>
        <w:rPr>
          <w:rFonts w:hint="eastAsia" w:ascii="宋体" w:hAnsi="宋体" w:cs="宋体"/>
        </w:rPr>
        <w:t>10、投标文件构成</w:t>
      </w:r>
      <w:bookmarkEnd w:id="108"/>
      <w:bookmarkEnd w:id="109"/>
      <w:bookmarkEnd w:id="110"/>
      <w:bookmarkEnd w:id="111"/>
    </w:p>
    <w:p w14:paraId="5FB5758E">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10.1 投标人编写的投标文件应包括资格证明文件、符合性证明文件、报价明细表、技术要求服务内容响应、商务要求响应及偏离表、其他证明文件、投标函、开标一览表等部分。</w:t>
      </w:r>
    </w:p>
    <w:p w14:paraId="4F6BA858">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10.2 如标书制作工具中格式和内容与“江苏政府采购网”发布的招标文件不一致，请以“江苏政府采购网”发布的招标文件为准。</w:t>
      </w:r>
    </w:p>
    <w:p w14:paraId="7026170D">
      <w:pPr>
        <w:pStyle w:val="37"/>
        <w:widowControl w:val="0"/>
        <w:spacing w:before="0" w:beforeAutospacing="0" w:after="0" w:afterAutospacing="0" w:line="360" w:lineRule="auto"/>
        <w:ind w:firstLine="480"/>
        <w:rPr>
          <w:rFonts w:hint="eastAsia" w:ascii="宋体" w:hAnsi="宋体" w:cs="宋体"/>
        </w:rPr>
      </w:pPr>
      <w:bookmarkStart w:id="112" w:name="_Toc14577354"/>
      <w:bookmarkStart w:id="113" w:name="_Toc513029216"/>
      <w:bookmarkStart w:id="114" w:name="_Toc513029219"/>
      <w:bookmarkStart w:id="115" w:name="_Toc49090507"/>
      <w:bookmarkStart w:id="116" w:name="_Toc14577357"/>
      <w:bookmarkStart w:id="117" w:name="_Toc49090508"/>
      <w:bookmarkStart w:id="118" w:name="_Toc49090509"/>
      <w:bookmarkStart w:id="119" w:name="_Toc14577355"/>
      <w:r>
        <w:rPr>
          <w:rFonts w:hint="eastAsia" w:ascii="宋体" w:hAnsi="宋体" w:cs="宋体"/>
        </w:rPr>
        <w:t>11、证明投标人及投标标的符合招标文件规定的文件</w:t>
      </w:r>
      <w:bookmarkEnd w:id="112"/>
      <w:bookmarkEnd w:id="113"/>
      <w:bookmarkEnd w:id="114"/>
      <w:bookmarkEnd w:id="115"/>
      <w:bookmarkEnd w:id="116"/>
      <w:bookmarkEnd w:id="117"/>
      <w:bookmarkEnd w:id="118"/>
      <w:bookmarkEnd w:id="119"/>
      <w:r>
        <w:rPr>
          <w:rFonts w:hint="eastAsia" w:ascii="宋体" w:hAnsi="宋体" w:cs="宋体"/>
        </w:rPr>
        <w:t>。</w:t>
      </w:r>
    </w:p>
    <w:p w14:paraId="004F3AD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11.1 投标人应按照招标文件要求提交证明文件，证明其及投标标的符合招标文件规定。</w:t>
      </w:r>
    </w:p>
    <w:p w14:paraId="7A904FBF">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11.2招标文件对证明文件无明确形式要求的，证明文件可以以文字资料、图纸和数据等形式提交。</w:t>
      </w:r>
    </w:p>
    <w:p w14:paraId="0D503AD7">
      <w:pPr>
        <w:tabs>
          <w:tab w:val="left" w:pos="900"/>
        </w:tabs>
        <w:spacing w:line="360" w:lineRule="auto"/>
        <w:ind w:firstLine="480"/>
        <w:jc w:val="left"/>
        <w:rPr>
          <w:rFonts w:hint="eastAsia" w:ascii="宋体" w:hAnsi="宋体" w:cs="宋体"/>
          <w:sz w:val="24"/>
        </w:rPr>
      </w:pPr>
      <w:r>
        <w:rPr>
          <w:rFonts w:hint="eastAsia" w:ascii="宋体" w:hAnsi="宋体" w:cs="宋体"/>
          <w:sz w:val="24"/>
        </w:rPr>
        <w:t>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59EE13E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12、报价明细表</w:t>
      </w:r>
    </w:p>
    <w:p w14:paraId="1D7EA844">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12.1 投标人应按照招标文件规定格式填报报价明细表。</w:t>
      </w:r>
    </w:p>
    <w:p w14:paraId="1F09EB48">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12.2投标货币。投标文件中的单价和总价无特殊规定的采用人民币报价，以元为单位标注。招标文件中另有规定的按规定执行。</w:t>
      </w:r>
    </w:p>
    <w:p w14:paraId="5A93F3EF">
      <w:pPr>
        <w:tabs>
          <w:tab w:val="left" w:pos="900"/>
        </w:tabs>
        <w:spacing w:line="360" w:lineRule="auto"/>
        <w:ind w:firstLine="480"/>
        <w:jc w:val="left"/>
        <w:rPr>
          <w:rFonts w:hint="eastAsia" w:ascii="宋体" w:hAnsi="宋体" w:cs="宋体"/>
          <w:sz w:val="24"/>
        </w:rPr>
      </w:pPr>
      <w:r>
        <w:rPr>
          <w:rFonts w:ascii="宋体" w:hAnsi="宋体" w:cs="宋体"/>
          <w:sz w:val="24"/>
        </w:rPr>
        <w:t>13、技术要求响应及偏离表、商务要求响应及偏离表</w:t>
      </w:r>
    </w:p>
    <w:p w14:paraId="7901FC4D">
      <w:pPr>
        <w:tabs>
          <w:tab w:val="left" w:pos="900"/>
        </w:tabs>
        <w:spacing w:line="360" w:lineRule="auto"/>
        <w:ind w:firstLine="480"/>
        <w:jc w:val="left"/>
        <w:rPr>
          <w:rFonts w:hint="eastAsia" w:ascii="宋体" w:hAnsi="宋体" w:cs="宋体"/>
          <w:sz w:val="24"/>
        </w:rPr>
      </w:pPr>
      <w:r>
        <w:rPr>
          <w:rFonts w:hint="eastAsia" w:ascii="宋体" w:hAnsi="宋体" w:cs="宋体"/>
          <w:sz w:val="24"/>
        </w:rPr>
        <w:t>13.1投标人需对采购文件中的技术要求与商务要求逐项作出响应或偏离，并说明原因。</w:t>
      </w:r>
    </w:p>
    <w:p w14:paraId="5C390610">
      <w:pPr>
        <w:tabs>
          <w:tab w:val="left" w:pos="900"/>
        </w:tabs>
        <w:spacing w:line="360" w:lineRule="auto"/>
        <w:ind w:firstLine="480"/>
        <w:jc w:val="left"/>
        <w:rPr>
          <w:rFonts w:hint="eastAsia" w:ascii="宋体" w:hAnsi="宋体" w:cs="宋体"/>
          <w:sz w:val="24"/>
        </w:rPr>
      </w:pPr>
      <w:r>
        <w:rPr>
          <w:rFonts w:hint="eastAsia" w:ascii="宋体" w:hAnsi="宋体" w:cs="宋体"/>
          <w:sz w:val="24"/>
        </w:rPr>
        <w:t>13.2投标人可在投标文件中提供认为需要的其他技术文件或说明。</w:t>
      </w:r>
    </w:p>
    <w:p w14:paraId="12AA89D4">
      <w:pPr>
        <w:tabs>
          <w:tab w:val="left" w:pos="900"/>
        </w:tabs>
        <w:spacing w:line="360" w:lineRule="auto"/>
        <w:ind w:firstLine="480"/>
        <w:jc w:val="left"/>
        <w:rPr>
          <w:rFonts w:hint="eastAsia" w:ascii="宋体" w:hAnsi="宋体" w:cs="宋体"/>
          <w:sz w:val="24"/>
        </w:rPr>
      </w:pPr>
      <w:r>
        <w:rPr>
          <w:rFonts w:ascii="宋体" w:hAnsi="宋体" w:cs="宋体"/>
          <w:sz w:val="24"/>
        </w:rPr>
        <w:t>14、服务承诺、培训计划、人员安排及其他</w:t>
      </w:r>
      <w:r>
        <w:rPr>
          <w:rFonts w:hint="eastAsia" w:ascii="宋体" w:hAnsi="宋体" w:cs="宋体"/>
          <w:sz w:val="24"/>
        </w:rPr>
        <w:t>。</w:t>
      </w:r>
    </w:p>
    <w:p w14:paraId="337640B7">
      <w:pPr>
        <w:tabs>
          <w:tab w:val="left" w:pos="900"/>
        </w:tabs>
        <w:spacing w:line="360" w:lineRule="auto"/>
        <w:ind w:firstLine="480"/>
        <w:jc w:val="left"/>
        <w:rPr>
          <w:rFonts w:hint="eastAsia" w:ascii="宋体" w:hAnsi="宋体" w:cs="宋体"/>
          <w:sz w:val="24"/>
        </w:rPr>
      </w:pPr>
      <w:r>
        <w:rPr>
          <w:rFonts w:hint="eastAsia" w:ascii="宋体" w:hAnsi="宋体" w:cs="宋体"/>
          <w:sz w:val="24"/>
        </w:rPr>
        <w:t>14.1投标人需根据采购文件要求提供有关服务的管理制度，服务机构的分布情况，服务人员的数量、素质、技术水平及服务的反应能力等。</w:t>
      </w:r>
    </w:p>
    <w:p w14:paraId="5A9D76E2">
      <w:pPr>
        <w:tabs>
          <w:tab w:val="left" w:pos="900"/>
        </w:tabs>
        <w:spacing w:line="360" w:lineRule="auto"/>
        <w:ind w:firstLine="480"/>
        <w:jc w:val="left"/>
        <w:rPr>
          <w:rFonts w:hint="eastAsia" w:ascii="宋体" w:hAnsi="宋体" w:cs="宋体"/>
          <w:sz w:val="24"/>
        </w:rPr>
      </w:pPr>
      <w:r>
        <w:rPr>
          <w:rFonts w:hint="eastAsia" w:ascii="宋体" w:hAnsi="宋体" w:cs="宋体"/>
          <w:sz w:val="24"/>
        </w:rPr>
        <w:t>14.2投标人需根据投标文件要求提供培训计划。</w:t>
      </w:r>
    </w:p>
    <w:p w14:paraId="65E6A41A">
      <w:pPr>
        <w:tabs>
          <w:tab w:val="left" w:pos="900"/>
        </w:tabs>
        <w:spacing w:line="360" w:lineRule="auto"/>
        <w:ind w:firstLine="480"/>
        <w:jc w:val="left"/>
        <w:rPr>
          <w:rFonts w:hint="eastAsia" w:ascii="宋体" w:hAnsi="宋体" w:cs="宋体"/>
          <w:sz w:val="24"/>
        </w:rPr>
      </w:pPr>
      <w:r>
        <w:rPr>
          <w:rFonts w:hint="eastAsia" w:ascii="宋体" w:hAnsi="宋体" w:cs="宋体"/>
          <w:sz w:val="24"/>
        </w:rPr>
        <w:t>14.3投标人需根据投标文件要求提供投标标的的主要组成部分、功能设计、实现思路及关键技术等。</w:t>
      </w:r>
    </w:p>
    <w:p w14:paraId="5C3257C7">
      <w:pPr>
        <w:tabs>
          <w:tab w:val="left" w:pos="900"/>
        </w:tabs>
        <w:spacing w:line="360" w:lineRule="auto"/>
        <w:ind w:firstLine="480"/>
        <w:jc w:val="left"/>
        <w:rPr>
          <w:rFonts w:hint="eastAsia" w:ascii="宋体" w:hAnsi="宋体" w:cs="宋体"/>
          <w:sz w:val="24"/>
        </w:rPr>
      </w:pPr>
      <w:r>
        <w:rPr>
          <w:rFonts w:ascii="宋体" w:hAnsi="宋体" w:cs="宋体"/>
          <w:sz w:val="24"/>
        </w:rPr>
        <w:t>15、</w:t>
      </w:r>
      <w:r>
        <w:rPr>
          <w:rFonts w:hint="eastAsia" w:ascii="宋体" w:hAnsi="宋体" w:cs="宋体"/>
          <w:sz w:val="24"/>
        </w:rPr>
        <w:t>投标</w:t>
      </w:r>
      <w:r>
        <w:rPr>
          <w:rFonts w:ascii="宋体" w:hAnsi="宋体" w:cs="宋体"/>
          <w:sz w:val="24"/>
        </w:rPr>
        <w:t>函</w:t>
      </w:r>
    </w:p>
    <w:p w14:paraId="125E616F">
      <w:pPr>
        <w:tabs>
          <w:tab w:val="left" w:pos="900"/>
        </w:tabs>
        <w:spacing w:line="360" w:lineRule="auto"/>
        <w:ind w:firstLine="480"/>
        <w:jc w:val="left"/>
        <w:rPr>
          <w:rFonts w:hint="eastAsia" w:ascii="宋体" w:hAnsi="宋体" w:cs="宋体"/>
          <w:sz w:val="24"/>
        </w:rPr>
      </w:pPr>
      <w:r>
        <w:rPr>
          <w:rFonts w:hint="eastAsia" w:ascii="宋体" w:hAnsi="宋体" w:cs="宋体"/>
          <w:sz w:val="24"/>
        </w:rPr>
        <w:t>15.1投标人应按照采购文件中提供的格式完整、正确填写投标函。</w:t>
      </w:r>
    </w:p>
    <w:p w14:paraId="49CCA7A1">
      <w:pPr>
        <w:tabs>
          <w:tab w:val="left" w:pos="900"/>
        </w:tabs>
        <w:spacing w:line="360" w:lineRule="auto"/>
        <w:ind w:firstLine="480"/>
        <w:jc w:val="left"/>
        <w:rPr>
          <w:rFonts w:hint="eastAsia" w:ascii="宋体" w:hAnsi="宋体" w:cs="宋体"/>
          <w:sz w:val="24"/>
        </w:rPr>
      </w:pPr>
      <w:r>
        <w:rPr>
          <w:rFonts w:ascii="宋体" w:hAnsi="宋体" w:cs="宋体"/>
          <w:sz w:val="24"/>
        </w:rPr>
        <w:t>16、</w:t>
      </w:r>
      <w:r>
        <w:rPr>
          <w:rFonts w:hint="eastAsia" w:ascii="宋体" w:hAnsi="宋体" w:cs="宋体"/>
          <w:sz w:val="24"/>
        </w:rPr>
        <w:t>投标</w:t>
      </w:r>
      <w:r>
        <w:rPr>
          <w:rFonts w:ascii="宋体" w:hAnsi="宋体" w:cs="宋体"/>
          <w:sz w:val="24"/>
        </w:rPr>
        <w:t>有效期</w:t>
      </w:r>
    </w:p>
    <w:p w14:paraId="4B47B031">
      <w:pPr>
        <w:tabs>
          <w:tab w:val="left" w:pos="900"/>
        </w:tabs>
        <w:spacing w:line="360" w:lineRule="auto"/>
        <w:ind w:firstLine="480"/>
        <w:jc w:val="left"/>
        <w:rPr>
          <w:rFonts w:hint="eastAsia" w:ascii="宋体" w:hAnsi="宋体" w:cs="宋体"/>
          <w:sz w:val="24"/>
        </w:rPr>
      </w:pPr>
      <w:r>
        <w:rPr>
          <w:rFonts w:hint="eastAsia" w:ascii="宋体" w:hAnsi="宋体" w:cs="宋体"/>
          <w:sz w:val="24"/>
        </w:rPr>
        <w:t>16.1投标有效期为代理机构规定的提交投标文件截止之日后</w:t>
      </w:r>
      <w:r>
        <w:rPr>
          <w:rFonts w:ascii="宋体" w:hAnsi="宋体" w:cs="宋体"/>
          <w:b/>
          <w:bCs/>
          <w:sz w:val="24"/>
          <w:u w:val="single"/>
        </w:rPr>
        <w:t>六十（60）</w:t>
      </w:r>
      <w:r>
        <w:rPr>
          <w:rFonts w:ascii="宋体" w:hAnsi="宋体" w:cs="宋体"/>
          <w:i/>
          <w:iCs/>
          <w:sz w:val="24"/>
          <w:u w:val="single"/>
        </w:rPr>
        <w:t>天</w:t>
      </w:r>
      <w:r>
        <w:rPr>
          <w:rFonts w:hint="eastAsia" w:ascii="宋体" w:hAnsi="宋体" w:cs="宋体"/>
          <w:sz w:val="24"/>
        </w:rPr>
        <w:t>。投标文件有效期比规定短的将被视为非实质性响应采购文件而予以拒绝。</w:t>
      </w:r>
    </w:p>
    <w:p w14:paraId="183F2670">
      <w:pPr>
        <w:tabs>
          <w:tab w:val="left" w:pos="900"/>
        </w:tabs>
        <w:spacing w:line="360" w:lineRule="auto"/>
        <w:ind w:firstLine="480"/>
        <w:jc w:val="left"/>
        <w:rPr>
          <w:rFonts w:hint="eastAsia" w:ascii="宋体" w:hAnsi="宋体" w:cs="宋体"/>
          <w:sz w:val="24"/>
        </w:rPr>
      </w:pPr>
      <w:r>
        <w:rPr>
          <w:rFonts w:ascii="宋体" w:hAnsi="宋体" w:cs="宋体"/>
          <w:sz w:val="24"/>
        </w:rPr>
        <w:t>17、</w:t>
      </w:r>
      <w:r>
        <w:rPr>
          <w:rFonts w:hint="eastAsia" w:ascii="宋体" w:hAnsi="宋体" w:cs="宋体"/>
          <w:sz w:val="24"/>
        </w:rPr>
        <w:t>投标</w:t>
      </w:r>
      <w:r>
        <w:rPr>
          <w:rFonts w:ascii="宋体" w:hAnsi="宋体" w:cs="宋体"/>
          <w:sz w:val="24"/>
        </w:rPr>
        <w:t>有效期的延长</w:t>
      </w:r>
    </w:p>
    <w:p w14:paraId="49B259F9">
      <w:pPr>
        <w:tabs>
          <w:tab w:val="left" w:pos="900"/>
        </w:tabs>
        <w:spacing w:line="360" w:lineRule="auto"/>
        <w:ind w:firstLine="480"/>
        <w:jc w:val="left"/>
        <w:rPr>
          <w:rFonts w:hint="eastAsia" w:ascii="宋体" w:hAnsi="宋体" w:cs="宋体"/>
          <w:sz w:val="24"/>
        </w:rPr>
      </w:pPr>
      <w:r>
        <w:rPr>
          <w:rFonts w:hint="eastAsia" w:ascii="宋体" w:hAnsi="宋体" w:cs="宋体"/>
          <w:sz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A3283A4">
      <w:pPr>
        <w:pStyle w:val="37"/>
        <w:widowControl w:val="0"/>
        <w:spacing w:before="0" w:beforeAutospacing="0" w:after="0" w:afterAutospacing="0" w:line="360" w:lineRule="auto"/>
        <w:ind w:firstLine="482"/>
        <w:outlineLvl w:val="1"/>
        <w:rPr>
          <w:rFonts w:hint="eastAsia" w:ascii="宋体" w:hAnsi="宋体" w:cs="宋体"/>
        </w:rPr>
      </w:pPr>
      <w:bookmarkStart w:id="120" w:name="_Toc513029224"/>
      <w:bookmarkStart w:id="121" w:name="_Toc16938540"/>
      <w:bookmarkStart w:id="122" w:name="_Toc20823296"/>
      <w:bookmarkStart w:id="123" w:name="_Toc120614217"/>
      <w:bookmarkStart w:id="124" w:name="_Toc31929"/>
      <w:r>
        <w:rPr>
          <w:rFonts w:hint="eastAsia" w:ascii="宋体" w:hAnsi="宋体" w:cs="宋体"/>
          <w:b/>
          <w:bCs/>
        </w:rPr>
        <w:t>四、投标文件的递交</w:t>
      </w:r>
      <w:bookmarkEnd w:id="120"/>
      <w:bookmarkEnd w:id="121"/>
      <w:bookmarkEnd w:id="122"/>
      <w:bookmarkEnd w:id="123"/>
      <w:bookmarkEnd w:id="124"/>
    </w:p>
    <w:p w14:paraId="5EF110C7">
      <w:pPr>
        <w:pStyle w:val="37"/>
        <w:widowControl w:val="0"/>
        <w:spacing w:before="0" w:beforeAutospacing="0" w:after="0" w:afterAutospacing="0" w:line="360" w:lineRule="auto"/>
        <w:ind w:firstLine="480"/>
        <w:rPr>
          <w:rFonts w:hint="eastAsia" w:ascii="宋体" w:hAnsi="宋体" w:cs="宋体"/>
        </w:rPr>
      </w:pPr>
      <w:bookmarkStart w:id="125" w:name="_Toc513029225"/>
      <w:bookmarkStart w:id="126" w:name="_Toc20823297"/>
      <w:bookmarkStart w:id="127" w:name="_Toc16938541"/>
      <w:bookmarkStart w:id="128" w:name="_Toc462564084"/>
      <w:r>
        <w:rPr>
          <w:rFonts w:hint="eastAsia" w:ascii="宋体" w:hAnsi="宋体" w:cs="宋体"/>
        </w:rPr>
        <w:t>18、电子投标文件</w:t>
      </w:r>
      <w:bookmarkEnd w:id="125"/>
      <w:bookmarkEnd w:id="126"/>
      <w:bookmarkEnd w:id="127"/>
      <w:bookmarkEnd w:id="128"/>
      <w:r>
        <w:rPr>
          <w:rFonts w:hint="eastAsia" w:ascii="宋体" w:hAnsi="宋体" w:cs="宋体"/>
        </w:rPr>
        <w:t>的递交</w:t>
      </w:r>
    </w:p>
    <w:p w14:paraId="611D9934">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18.1投标人应当按照</w:t>
      </w:r>
      <w:r>
        <w:rPr>
          <w:rFonts w:hint="eastAsia" w:ascii="宋体" w:hAnsi="宋体" w:cs="宋体"/>
          <w:b/>
          <w:bCs/>
        </w:rPr>
        <w:t>《操作手册》</w:t>
      </w:r>
      <w:r>
        <w:rPr>
          <w:rFonts w:hint="eastAsia" w:ascii="宋体" w:hAnsi="宋体" w:cs="宋体"/>
        </w:rPr>
        <w:t>规定，在投标截止时间前制作并上传电子投标文件。</w:t>
      </w:r>
      <w:bookmarkStart w:id="129" w:name="_Toc16938542"/>
      <w:bookmarkEnd w:id="129"/>
      <w:bookmarkStart w:id="130" w:name="_Toc20823298"/>
      <w:bookmarkEnd w:id="130"/>
    </w:p>
    <w:p w14:paraId="478B43D8">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19、投标截止日期</w:t>
      </w:r>
    </w:p>
    <w:p w14:paraId="44B69B25">
      <w:pPr>
        <w:pStyle w:val="37"/>
        <w:widowControl w:val="0"/>
        <w:spacing w:before="0" w:beforeAutospacing="0" w:after="0" w:afterAutospacing="0" w:line="360" w:lineRule="auto"/>
        <w:ind w:firstLine="480"/>
        <w:rPr>
          <w:rFonts w:hint="eastAsia" w:ascii="宋体" w:hAnsi="宋体" w:cs="宋体"/>
          <w:u w:val="single"/>
        </w:rPr>
      </w:pPr>
      <w:r>
        <w:rPr>
          <w:rFonts w:hint="eastAsia" w:ascii="宋体" w:hAnsi="宋体" w:cs="宋体"/>
        </w:rPr>
        <w:t xml:space="preserve">19.1 </w:t>
      </w:r>
      <w:r>
        <w:rPr>
          <w:rFonts w:hint="eastAsia" w:ascii="宋体" w:hAnsi="宋体" w:cs="宋体"/>
          <w:b/>
          <w:bCs/>
          <w:u w:val="single"/>
        </w:rPr>
        <w:t>投标人上传电子投标文件的时间不得迟于采购公告中规定的投标截止时间</w:t>
      </w:r>
      <w:r>
        <w:rPr>
          <w:rFonts w:hint="eastAsia" w:ascii="宋体" w:hAnsi="宋体" w:cs="宋体"/>
          <w:i/>
          <w:iCs/>
          <w:u w:val="single"/>
        </w:rPr>
        <w:t>。</w:t>
      </w:r>
    </w:p>
    <w:p w14:paraId="2C6AC6F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投标人应充分考虑到网络环境、网络带宽等风险因素，如因投标人自身原因造成的电子投标文件上传不成功的按照本招标文件第二章第27.1.2条规定做无效投标处理。</w:t>
      </w:r>
    </w:p>
    <w:p w14:paraId="175EBFA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19.2 采购代理机构可以按照规定，通过修改招标采购文件酌情延长投标截止日期，在此情况下，投标人的所有权利和义务以及投标人受制的截止日期均应以延长后新的截止日期为准。</w:t>
      </w:r>
    </w:p>
    <w:p w14:paraId="28EA402F">
      <w:pPr>
        <w:pStyle w:val="37"/>
        <w:widowControl w:val="0"/>
        <w:spacing w:before="0" w:beforeAutospacing="0" w:after="0" w:afterAutospacing="0" w:line="360" w:lineRule="auto"/>
        <w:ind w:firstLine="480"/>
        <w:rPr>
          <w:rFonts w:hint="eastAsia" w:ascii="宋体" w:hAnsi="宋体" w:cs="宋体"/>
        </w:rPr>
      </w:pPr>
      <w:bookmarkStart w:id="131" w:name="_Toc513029227"/>
      <w:bookmarkStart w:id="132" w:name="_Toc20823299"/>
      <w:bookmarkStart w:id="133" w:name="_Toc16938543"/>
      <w:r>
        <w:rPr>
          <w:rFonts w:hint="eastAsia" w:ascii="宋体" w:hAnsi="宋体" w:cs="宋体"/>
        </w:rPr>
        <w:t>20、投标文件</w:t>
      </w:r>
      <w:bookmarkEnd w:id="131"/>
      <w:bookmarkEnd w:id="132"/>
      <w:bookmarkEnd w:id="133"/>
      <w:r>
        <w:rPr>
          <w:rFonts w:hint="eastAsia" w:ascii="宋体" w:hAnsi="宋体" w:cs="宋体"/>
        </w:rPr>
        <w:t>的拒收</w:t>
      </w:r>
    </w:p>
    <w:p w14:paraId="3DAD037F">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20.1 采购代理机构拒绝接收在其规定的投标截止时间后上传的任何投标文件。</w:t>
      </w:r>
    </w:p>
    <w:p w14:paraId="316BF05C">
      <w:pPr>
        <w:pStyle w:val="37"/>
        <w:widowControl w:val="0"/>
        <w:spacing w:before="0" w:beforeAutospacing="0" w:after="0" w:afterAutospacing="0" w:line="360" w:lineRule="auto"/>
        <w:ind w:firstLine="480"/>
        <w:rPr>
          <w:rFonts w:hint="eastAsia" w:ascii="宋体" w:hAnsi="宋体" w:cs="宋体"/>
        </w:rPr>
      </w:pPr>
      <w:bookmarkStart w:id="134" w:name="_Toc16938544"/>
      <w:bookmarkStart w:id="135" w:name="_Toc513029228"/>
      <w:bookmarkStart w:id="136" w:name="_Toc20823300"/>
      <w:r>
        <w:rPr>
          <w:rFonts w:hint="eastAsia" w:ascii="宋体" w:hAnsi="宋体" w:cs="宋体"/>
        </w:rPr>
        <w:t>21、投标文件的撤回和修改</w:t>
      </w:r>
      <w:bookmarkEnd w:id="134"/>
      <w:bookmarkEnd w:id="135"/>
      <w:bookmarkEnd w:id="136"/>
    </w:p>
    <w:p w14:paraId="14F0CF5E">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21.1 投标文件的撤回</w:t>
      </w:r>
    </w:p>
    <w:p w14:paraId="755009BC">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21.1.1 电子投标文件的撤回</w:t>
      </w:r>
    </w:p>
    <w:p w14:paraId="1A92612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投标人可在投标截止时间前，撤回其电子投标文件，具体操作方法见《操作手册》。</w:t>
      </w:r>
    </w:p>
    <w:p w14:paraId="7CA6697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21.1.2 投标人撤回电子投标文件，则认为其不再参与本项目投标活动。</w:t>
      </w:r>
    </w:p>
    <w:p w14:paraId="1727DE15">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21.2 电子投标文件的修改</w:t>
      </w:r>
    </w:p>
    <w:p w14:paraId="6F7F90C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21.2.1投标人可在投标截止时间前，对其电子投标文件进行修改，具体操作方法见《操作手册》。</w:t>
      </w:r>
    </w:p>
    <w:p w14:paraId="0BE261F7">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21.2.2 在投标截止时间之后，投标人不得对其电子投标文件作任何修改。</w:t>
      </w:r>
    </w:p>
    <w:p w14:paraId="06D4E66C">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21.3 在投标截止时间至招标文件中规定的投标有效期满之间的这段时间内，投标人不得撤回其投标。</w:t>
      </w:r>
    </w:p>
    <w:p w14:paraId="30987EB9">
      <w:pPr>
        <w:pStyle w:val="37"/>
        <w:widowControl w:val="0"/>
        <w:spacing w:before="0" w:beforeAutospacing="0" w:after="0" w:afterAutospacing="0" w:line="360" w:lineRule="auto"/>
        <w:ind w:firstLine="482"/>
        <w:outlineLvl w:val="1"/>
        <w:rPr>
          <w:rFonts w:hint="eastAsia" w:ascii="宋体" w:hAnsi="宋体" w:cs="宋体"/>
        </w:rPr>
      </w:pPr>
      <w:bookmarkStart w:id="137" w:name="_Toc26421"/>
      <w:bookmarkStart w:id="138" w:name="_Toc20823301"/>
      <w:bookmarkStart w:id="139" w:name="_Toc120614218"/>
      <w:bookmarkStart w:id="140" w:name="_Toc16938545"/>
      <w:bookmarkStart w:id="141" w:name="_Toc513029229"/>
      <w:r>
        <w:rPr>
          <w:rFonts w:hint="eastAsia" w:ascii="宋体" w:hAnsi="宋体" w:cs="宋体"/>
          <w:b/>
          <w:bCs/>
        </w:rPr>
        <w:t>五、开标与评标</w:t>
      </w:r>
      <w:bookmarkEnd w:id="137"/>
      <w:bookmarkEnd w:id="138"/>
      <w:bookmarkEnd w:id="139"/>
      <w:bookmarkEnd w:id="140"/>
      <w:bookmarkEnd w:id="141"/>
    </w:p>
    <w:p w14:paraId="65424F9A">
      <w:pPr>
        <w:pStyle w:val="37"/>
        <w:widowControl w:val="0"/>
        <w:spacing w:before="0" w:beforeAutospacing="0" w:after="0" w:afterAutospacing="0" w:line="360" w:lineRule="auto"/>
        <w:ind w:firstLine="480"/>
        <w:rPr>
          <w:rFonts w:hint="eastAsia" w:ascii="宋体" w:hAnsi="宋体" w:cs="宋体"/>
        </w:rPr>
      </w:pPr>
      <w:bookmarkStart w:id="142" w:name="_Toc513029230"/>
      <w:bookmarkStart w:id="143" w:name="_Toc16938546"/>
      <w:bookmarkStart w:id="144" w:name="_Toc20823302"/>
      <w:r>
        <w:rPr>
          <w:rFonts w:hint="eastAsia" w:ascii="宋体" w:hAnsi="宋体" w:cs="宋体"/>
        </w:rPr>
        <w:t>22、开标</w:t>
      </w:r>
      <w:bookmarkEnd w:id="142"/>
      <w:bookmarkEnd w:id="143"/>
      <w:bookmarkEnd w:id="144"/>
    </w:p>
    <w:p w14:paraId="3BF4C354">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22.1 采购代理机构将在招标公告中规定的时间和地点组织公开开标。投标人应当按照《操作手册》规定，参加开标活动和在</w:t>
      </w:r>
      <w:r>
        <w:rPr>
          <w:rFonts w:hint="eastAsia" w:ascii="宋体" w:hAnsi="宋体" w:cs="宋体"/>
          <w:b/>
          <w:bCs/>
        </w:rPr>
        <w:t>苏采云系统</w:t>
      </w:r>
      <w:r>
        <w:rPr>
          <w:rFonts w:hint="eastAsia" w:ascii="宋体" w:hAnsi="宋体" w:cs="宋体"/>
        </w:rPr>
        <w:t>规定的时间内对投标文件进行解密。</w:t>
      </w:r>
    </w:p>
    <w:p w14:paraId="37F6351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22.2开标仪式由采购代理机构组织。苏采云系统将自动对项目进行开标，并宣布各投标人名称和投标价格。</w:t>
      </w:r>
    </w:p>
    <w:p w14:paraId="7B5EDF48">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22.3投标人在开标过程中涉及到的投标文件解密、开标结果确认等工作，应按照《操作手册》规定执行。</w:t>
      </w:r>
    </w:p>
    <w:p w14:paraId="01A8D50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22.4投标人如果对开标过程和开标记录有疑义，应当根据《操作手册》规定提出，如苏采云系统中《开标记录表》宣布后5分钟内未提出的，视同认可开标结果。</w:t>
      </w:r>
    </w:p>
    <w:p w14:paraId="450046FA">
      <w:pPr>
        <w:pStyle w:val="37"/>
        <w:widowControl w:val="0"/>
        <w:spacing w:before="0" w:beforeAutospacing="0" w:after="0" w:afterAutospacing="0" w:line="360" w:lineRule="auto"/>
        <w:ind w:firstLine="480"/>
        <w:rPr>
          <w:rFonts w:hint="eastAsia" w:ascii="宋体" w:hAnsi="宋体" w:cs="宋体"/>
        </w:rPr>
      </w:pPr>
      <w:bookmarkStart w:id="145" w:name="_Toc513029231"/>
      <w:bookmarkStart w:id="146" w:name="_Toc20823303"/>
      <w:bookmarkStart w:id="147" w:name="_Toc16938547"/>
      <w:r>
        <w:rPr>
          <w:rFonts w:hint="eastAsia" w:ascii="宋体" w:hAnsi="宋体" w:cs="宋体"/>
        </w:rPr>
        <w:t>23、评标委员会</w:t>
      </w:r>
      <w:bookmarkEnd w:id="145"/>
      <w:bookmarkEnd w:id="146"/>
      <w:bookmarkEnd w:id="147"/>
    </w:p>
    <w:p w14:paraId="36AFC6D4">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23.1开标后，采购代理机构将立即组织评标委员会（以下简称评委会）进行评标。</w:t>
      </w:r>
    </w:p>
    <w:p w14:paraId="106B887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23.2 评委会由采购人代表和有关技术、经济等方面的专家组成，且人员构成符合政府采购有关规定。</w:t>
      </w:r>
    </w:p>
    <w:p w14:paraId="085DE6DD">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23.3评委会独立工作，负责评审所有投标文件并确定中标侯选人。</w:t>
      </w:r>
    </w:p>
    <w:p w14:paraId="156E6C47">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24、评标过程的保密与公正</w:t>
      </w:r>
    </w:p>
    <w:p w14:paraId="483C97EA">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24.1凡是与审查、澄清、评价和比较投标的有关资料以及授标建议等，采购人、评委、采购代理机构均不得向投标人或与评标无关的其他人员透露。</w:t>
      </w:r>
    </w:p>
    <w:p w14:paraId="579CC7B8">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24.2在评标过程中，投标人不得以任何行为影响评标过程，否则其投标文件将被作为无效投标文件。</w:t>
      </w:r>
    </w:p>
    <w:p w14:paraId="34A6C446">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24.3 采购代理机构和评标委员会不向未中标的投标人解释未中标原因，也不公布评标过程中的相关细节。</w:t>
      </w:r>
    </w:p>
    <w:p w14:paraId="7CC47084">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24.4 采用综合评分法的项目，未中标的投标人可于中标结果公告期限届满之日起通过苏采云系统查看自己的评审得分及排序情况。</w:t>
      </w:r>
    </w:p>
    <w:p w14:paraId="171D75E9">
      <w:pPr>
        <w:pStyle w:val="37"/>
        <w:widowControl w:val="0"/>
        <w:spacing w:before="0" w:beforeAutospacing="0" w:after="0" w:afterAutospacing="0" w:line="360" w:lineRule="auto"/>
        <w:ind w:firstLine="480"/>
        <w:rPr>
          <w:rFonts w:hint="eastAsia" w:ascii="宋体" w:hAnsi="宋体" w:cs="宋体"/>
        </w:rPr>
      </w:pPr>
      <w:bookmarkStart w:id="148" w:name="_Toc513029232"/>
      <w:bookmarkStart w:id="149" w:name="_Toc20823304"/>
      <w:bookmarkStart w:id="150" w:name="_Toc16938548"/>
      <w:r>
        <w:rPr>
          <w:rFonts w:hint="eastAsia" w:ascii="宋体" w:hAnsi="宋体" w:cs="宋体"/>
        </w:rPr>
        <w:t>25、投标文件的澄清</w:t>
      </w:r>
      <w:bookmarkEnd w:id="148"/>
      <w:bookmarkEnd w:id="149"/>
      <w:bookmarkEnd w:id="150"/>
    </w:p>
    <w:p w14:paraId="60412C28">
      <w:pPr>
        <w:pStyle w:val="37"/>
        <w:widowControl w:val="0"/>
        <w:spacing w:before="0" w:beforeAutospacing="0" w:after="0" w:afterAutospacing="0" w:line="360" w:lineRule="auto"/>
        <w:ind w:firstLine="480"/>
        <w:rPr>
          <w:rFonts w:hint="eastAsia" w:ascii="宋体" w:hAnsi="宋体" w:cs="宋体"/>
        </w:rPr>
      </w:pPr>
      <w:bookmarkStart w:id="151" w:name="_Toc16938549"/>
      <w:bookmarkStart w:id="152" w:name="_Toc513029233"/>
      <w:bookmarkStart w:id="153" w:name="_Toc20823305"/>
      <w:r>
        <w:rPr>
          <w:rFonts w:hint="eastAsia" w:ascii="宋体" w:hAnsi="宋体" w:cs="宋体"/>
        </w:rPr>
        <w:t>25.1评标期间，评委会对投标文件中含义不明确、同类问题表述不一致或者有明显文字和计算错误的内容，有权要求投标人作出必要的澄清、说明或者补正。</w:t>
      </w:r>
      <w:bookmarkEnd w:id="151"/>
      <w:bookmarkEnd w:id="152"/>
      <w:bookmarkEnd w:id="153"/>
    </w:p>
    <w:p w14:paraId="3F47E36E">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投标人的澄清、说明或者补正不得超出投标文件的范围或者改变投标文件的实质性内容。</w:t>
      </w:r>
    </w:p>
    <w:p w14:paraId="43ECD83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评标委员会并非对每个投标人都做澄清要求。</w:t>
      </w:r>
    </w:p>
    <w:p w14:paraId="702E927C">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25.2需要投标人进行澄清、说明和补正的，评委会将</w:t>
      </w:r>
      <w:r>
        <w:rPr>
          <w:rFonts w:hint="eastAsia" w:ascii="宋体" w:hAnsi="宋体" w:cs="宋体"/>
          <w:b/>
          <w:bCs/>
        </w:rPr>
        <w:t>通过苏采云系统</w:t>
      </w:r>
      <w:r>
        <w:rPr>
          <w:rFonts w:hint="eastAsia" w:ascii="宋体" w:hAnsi="宋体" w:cs="宋体"/>
        </w:rPr>
        <w:t>向投标人发出“澄清要求函”，接到“澄清要求函”的投标人应当按照要求在苏采云系统中提交“澄清响应函”并加盖CA电子公章。澄清、说明和补正的内容作为投标文件的补充部分，具体操作方式见《操作手册》。</w:t>
      </w:r>
    </w:p>
    <w:p w14:paraId="45B69236">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25.3 接到评委会澄清、说明和补正要求的投标人如未按规定做出澄清、说明和补正，其风险由投标人自行承担。</w:t>
      </w:r>
    </w:p>
    <w:p w14:paraId="0814028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26、对投标文件的初审</w:t>
      </w:r>
    </w:p>
    <w:p w14:paraId="02B0BD06">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26.1投标文件初审分为资格审查和符合性审查。</w:t>
      </w:r>
    </w:p>
    <w:p w14:paraId="51503E75">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26.1.1 资格审查：依据法律法规和招标文件的规定，由采购人对投标文件中的资格证明文件进行审查。资格审查的结论，采购人以书面形式向评委会进行反馈。</w:t>
      </w:r>
    </w:p>
    <w:p w14:paraId="0E78FFF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采购人在进行资格性审查的同时，将在“信用中国”网站（www.creditchina.gov.cn）查询投标人的信用记录，以确定投标人是否具备投标资格，查询结果留存并归档。</w:t>
      </w:r>
    </w:p>
    <w:p w14:paraId="52FFD7E8">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接受联合体的项目，两个以上的自然人、法人或者其他组织组成一个联合体，以一个投标人的身份共同参加政府采购活动的，联合体成员中任何一方存在不良信用记录的，视同联合体存在不良应用记录。</w:t>
      </w:r>
    </w:p>
    <w:p w14:paraId="3C0AB5D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26.1.2 符合性审查：依据招标采购文件的规定，由评委会从投标文件的有效性、完整性和对招标文件的响应程度进行审查，以确定是否对招标文件的实质性要求作出响应。</w:t>
      </w:r>
    </w:p>
    <w:p w14:paraId="01EE31A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26.1.3 未通过资格审查或符合性审查的投标人，采购代理机构将在</w:t>
      </w:r>
      <w:r>
        <w:rPr>
          <w:rFonts w:hint="eastAsia" w:ascii="宋体" w:hAnsi="宋体" w:cs="宋体"/>
          <w:b/>
          <w:bCs/>
        </w:rPr>
        <w:t>苏采云系统</w:t>
      </w:r>
      <w:r>
        <w:rPr>
          <w:rFonts w:hint="eastAsia" w:ascii="宋体" w:hAnsi="宋体" w:cs="宋体"/>
        </w:rPr>
        <w:t>中告知未通过资格审查或符合性审查的原因，评审结束后，采购代理机构将不再告知未通过资格审查或符合性审查的原因。</w:t>
      </w:r>
    </w:p>
    <w:p w14:paraId="29F29607">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26.2在详细评标之前，评委会将首先审查每份投标文件是否实质性响应了招标文件的要求。实质性响应的投标应该是与招标文件要求的全部条款、条件相符，没有重大偏离或保留的投标。</w:t>
      </w:r>
    </w:p>
    <w:p w14:paraId="5A72484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D4BFCC5">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26.3如果投标文件实质上没有响应招标文件的要求，评委会将予以拒绝，投标人不得通过修改或撤销不合要求的偏离或保留而使其投标成为实质性响应的投标。</w:t>
      </w:r>
    </w:p>
    <w:p w14:paraId="172D131F">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26.4评委会将对确定为实质性响应的投标进行进一步审核，看其是否有计算上或累加上的算术错误，修正错误的原则如下：</w:t>
      </w:r>
    </w:p>
    <w:p w14:paraId="374341FC">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（1）投标文件中开标一览表内容与投标文件中相应内容不一致的，以开标一览表为准。</w:t>
      </w:r>
    </w:p>
    <w:p w14:paraId="2A474374">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（2）大写金额和小写金额不一致的，以大写金额为准。</w:t>
      </w:r>
    </w:p>
    <w:p w14:paraId="0AF389FE">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（3）单价金额小数点或者百分比有明显错位的，以开标一览表的总价为准，并修改单价。</w:t>
      </w:r>
    </w:p>
    <w:p w14:paraId="3C01886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（4）总价金额与按单价汇总金额不一致的，以单价金额计算结果为准。</w:t>
      </w:r>
    </w:p>
    <w:p w14:paraId="21D9A01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同时出现两种以上错误的，按照前款规定的顺序修正。</w:t>
      </w:r>
    </w:p>
    <w:p w14:paraId="34DE9A2C">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26.5评委会将按上述修正错误的方法调整投标文件中的投标报价，并通过苏采云系统告知投标人，调整后的价格应对投标人具有约束力。如果投标人不接受修正后的价格，则其投标将被拒绝。</w:t>
      </w:r>
    </w:p>
    <w:p w14:paraId="5ACD5656">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26.6投标人在开、评标全过程中应保持通讯畅通，及时登录苏采云系统查阅、答复相关信息，并安排专人与采购代理机构及评标委员会联系。</w:t>
      </w:r>
    </w:p>
    <w:p w14:paraId="1275FE9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27、无效投标条款和废标条款</w:t>
      </w:r>
    </w:p>
    <w:p w14:paraId="53B54039">
      <w:pPr>
        <w:pStyle w:val="37"/>
        <w:widowControl w:val="0"/>
        <w:spacing w:before="0" w:beforeAutospacing="0" w:after="0" w:afterAutospacing="0" w:line="360" w:lineRule="auto"/>
        <w:ind w:firstLine="480"/>
        <w:rPr>
          <w:rFonts w:hint="eastAsia" w:ascii="宋体" w:hAnsi="宋体" w:cs="宋体"/>
        </w:rPr>
      </w:pPr>
      <w:bookmarkStart w:id="154" w:name="_Toc16938551"/>
      <w:bookmarkStart w:id="155" w:name="_Toc20823307"/>
      <w:bookmarkStart w:id="156" w:name="_Toc513029235"/>
      <w:r>
        <w:rPr>
          <w:rFonts w:hint="eastAsia" w:ascii="宋体" w:hAnsi="宋体" w:cs="宋体"/>
        </w:rPr>
        <w:t>27.1无效投标条款</w:t>
      </w:r>
      <w:bookmarkEnd w:id="154"/>
      <w:bookmarkEnd w:id="155"/>
      <w:bookmarkEnd w:id="156"/>
    </w:p>
    <w:p w14:paraId="6B6DA23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27.1.1 投标人在苏采云系统规定的时间内未成功解密电子投标文件的。</w:t>
      </w:r>
    </w:p>
    <w:p w14:paraId="67F5448A">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27.1.2 投标人未按照招标文件要求上传电子投标文件的。</w:t>
      </w:r>
    </w:p>
    <w:p w14:paraId="4753484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27.1.3同一投标人提交两个（含两个）以上不同的投标文件或者最后报价的。</w:t>
      </w:r>
    </w:p>
    <w:p w14:paraId="6107FBE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27.1.4投标人不具备招标文件中规定资格要求的。</w:t>
      </w:r>
    </w:p>
    <w:p w14:paraId="0A584E7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27.1.5投标人的报价超过了采购预算或最高限价的。</w:t>
      </w:r>
    </w:p>
    <w:p w14:paraId="78C650B7">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27.1.6 投标文件未按照采购文件要求加盖CA公章的。</w:t>
      </w:r>
    </w:p>
    <w:p w14:paraId="6B136C7F">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27.1.7授权代表参与政府采购活动，未附法定代表人授权书，或法定代表人授权书不符合规定格式的；</w:t>
      </w:r>
    </w:p>
    <w:p w14:paraId="63363341">
      <w:pPr>
        <w:tabs>
          <w:tab w:val="left" w:pos="900"/>
        </w:tabs>
        <w:spacing w:line="360" w:lineRule="auto"/>
        <w:ind w:firstLine="480"/>
        <w:jc w:val="left"/>
        <w:rPr>
          <w:rFonts w:hint="eastAsia" w:ascii="宋体" w:hAnsi="宋体" w:cs="宋体"/>
          <w:sz w:val="24"/>
        </w:rPr>
      </w:pPr>
      <w:r>
        <w:rPr>
          <w:rFonts w:hint="eastAsia" w:ascii="宋体" w:hAnsi="宋体" w:cs="宋体"/>
          <w:sz w:val="24"/>
        </w:rPr>
        <w:t>27.1.8投标报价出现前后不一致的，无法按照规定修正或按照规定修正，投标人不确认的；</w:t>
      </w:r>
    </w:p>
    <w:p w14:paraId="31592CD7">
      <w:pPr>
        <w:tabs>
          <w:tab w:val="left" w:pos="900"/>
        </w:tabs>
        <w:spacing w:line="360" w:lineRule="auto"/>
        <w:ind w:firstLine="480"/>
        <w:jc w:val="left"/>
        <w:rPr>
          <w:rFonts w:hint="eastAsia" w:ascii="宋体" w:hAnsi="宋体" w:cs="宋体"/>
          <w:sz w:val="24"/>
        </w:rPr>
      </w:pPr>
      <w:r>
        <w:rPr>
          <w:rFonts w:hint="eastAsia" w:ascii="宋体" w:hAnsi="宋体" w:cs="宋体"/>
          <w:sz w:val="24"/>
        </w:rPr>
        <w:t>27.1.9投标人提交的电子投标文件因其自身原因出现问题导致无法电子评审的；</w:t>
      </w:r>
    </w:p>
    <w:p w14:paraId="451A00FB">
      <w:pPr>
        <w:pStyle w:val="37"/>
        <w:widowControl w:val="0"/>
        <w:spacing w:before="0" w:beforeAutospacing="0" w:after="0" w:afterAutospacing="0" w:line="360" w:lineRule="auto"/>
        <w:ind w:firstLine="480"/>
        <w:jc w:val="both"/>
        <w:rPr>
          <w:rFonts w:hint="eastAsia" w:ascii="宋体" w:hAnsi="宋体" w:cs="宋体"/>
        </w:rPr>
      </w:pPr>
      <w:r>
        <w:rPr>
          <w:rFonts w:hint="eastAsia" w:ascii="宋体" w:hAnsi="宋体" w:cs="宋体"/>
        </w:rPr>
        <w:t>27.1.10未实质性响应招标文件的投标文件按无效响应处理。</w:t>
      </w:r>
    </w:p>
    <w:p w14:paraId="11A484F6">
      <w:pPr>
        <w:spacing w:line="360" w:lineRule="auto"/>
        <w:ind w:firstLine="480"/>
        <w:jc w:val="left"/>
        <w:rPr>
          <w:rFonts w:hint="eastAsia" w:ascii="宋体" w:hAnsi="宋体" w:cs="宋体"/>
          <w:b/>
          <w:bCs/>
          <w:sz w:val="24"/>
        </w:rPr>
      </w:pPr>
      <w:r>
        <w:rPr>
          <w:rFonts w:hint="eastAsia" w:ascii="宋体" w:hAnsi="宋体" w:cs="宋体"/>
          <w:sz w:val="24"/>
        </w:rPr>
        <w:t>27.1.11不符合法律、法规和采购文件中规定的其他实质性要求和条件的</w:t>
      </w:r>
      <w:r>
        <w:rPr>
          <w:rFonts w:hint="eastAsia" w:ascii="宋体" w:hAnsi="宋体" w:cs="宋体"/>
          <w:b/>
          <w:bCs/>
          <w:sz w:val="24"/>
        </w:rPr>
        <w:t>（本采购文件中标注</w:t>
      </w:r>
      <w:r>
        <w:rPr>
          <w:rFonts w:hint="eastAsia" w:ascii="宋体" w:hAnsi="宋体"/>
          <w:b/>
          <w:bCs/>
          <w:szCs w:val="21"/>
        </w:rPr>
        <w:t>★</w:t>
      </w:r>
      <w:r>
        <w:rPr>
          <w:rFonts w:hint="eastAsia" w:ascii="宋体" w:hAnsi="宋体" w:cs="宋体"/>
          <w:b/>
          <w:bCs/>
          <w:sz w:val="24"/>
        </w:rPr>
        <w:t>部分为实质性要求和条件）。</w:t>
      </w:r>
    </w:p>
    <w:p w14:paraId="6F8D9AC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6785E4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27.1.13投标文件含有采购人不能接受的附加条件的。</w:t>
      </w:r>
    </w:p>
    <w:p w14:paraId="72C4848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781C3F1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p>
    <w:p w14:paraId="6EAD943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27.1.16其他法律、法规及本采购文件规定的属无效投标的情形。</w:t>
      </w:r>
    </w:p>
    <w:p w14:paraId="141B3495">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27.2废标条款</w:t>
      </w:r>
    </w:p>
    <w:p w14:paraId="72BCF9B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27.2.1符合专业条件的投标人或者对招标文件作实质响应的投标人不足三家的。</w:t>
      </w:r>
    </w:p>
    <w:p w14:paraId="56C3D2A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27.2.2出现影响采购公正的违法、违规行为的。</w:t>
      </w:r>
    </w:p>
    <w:p w14:paraId="3175BC2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27.2.3因重大变故，采购任务取消的。</w:t>
      </w:r>
    </w:p>
    <w:p w14:paraId="0CC0937E">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27.2.4评标委员会认定招标文件存在歧义、重大缺陷导致评审工作无法进行。</w:t>
      </w:r>
    </w:p>
    <w:p w14:paraId="52E70264">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27.2.5 因苏采云系统系统故障原因造成开标不成功的。</w:t>
      </w:r>
    </w:p>
    <w:p w14:paraId="0353AA5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27.3 投标截止时间结束后参加投标的投标人不足三家的处理：</w:t>
      </w:r>
    </w:p>
    <w:p w14:paraId="3BB9C62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27.3.1如出现投标截止时间结束后参加投标的投标人或者在评标期间对招标文件做出实质响应的投标人不足三家情况，按政府采购相关规定执行。</w:t>
      </w:r>
    </w:p>
    <w:p w14:paraId="60F3D97A">
      <w:pPr>
        <w:pStyle w:val="37"/>
        <w:widowControl w:val="0"/>
        <w:spacing w:before="0" w:beforeAutospacing="0" w:after="0" w:afterAutospacing="0" w:line="360" w:lineRule="auto"/>
        <w:ind w:firstLine="482"/>
        <w:outlineLvl w:val="1"/>
        <w:rPr>
          <w:rFonts w:hint="eastAsia" w:ascii="宋体" w:hAnsi="宋体" w:cs="宋体"/>
        </w:rPr>
      </w:pPr>
      <w:bookmarkStart w:id="157" w:name="_Toc120614219"/>
      <w:bookmarkStart w:id="158" w:name="_Toc32100"/>
      <w:r>
        <w:rPr>
          <w:rFonts w:hint="eastAsia" w:ascii="宋体" w:hAnsi="宋体" w:cs="宋体"/>
          <w:b/>
          <w:bCs/>
        </w:rPr>
        <w:t>六、定标</w:t>
      </w:r>
      <w:bookmarkEnd w:id="157"/>
      <w:bookmarkEnd w:id="158"/>
    </w:p>
    <w:p w14:paraId="05EB1236">
      <w:pPr>
        <w:pStyle w:val="37"/>
        <w:widowControl w:val="0"/>
        <w:spacing w:before="0" w:beforeAutospacing="0" w:after="0" w:afterAutospacing="0" w:line="360" w:lineRule="auto"/>
        <w:ind w:firstLine="480"/>
        <w:rPr>
          <w:rFonts w:hint="eastAsia" w:ascii="宋体" w:hAnsi="宋体" w:cs="宋体"/>
        </w:rPr>
      </w:pPr>
      <w:bookmarkStart w:id="159" w:name="_Toc20823310"/>
      <w:bookmarkStart w:id="160" w:name="_Toc513029238"/>
      <w:bookmarkStart w:id="161" w:name="_Toc16938554"/>
      <w:r>
        <w:rPr>
          <w:rFonts w:hint="eastAsia" w:ascii="宋体" w:hAnsi="宋体" w:cs="宋体"/>
        </w:rPr>
        <w:t>28、</w:t>
      </w:r>
      <w:bookmarkEnd w:id="159"/>
      <w:r>
        <w:rPr>
          <w:rFonts w:hint="eastAsia" w:ascii="宋体" w:hAnsi="宋体" w:cs="宋体"/>
        </w:rPr>
        <w:t>确定</w:t>
      </w:r>
      <w:bookmarkEnd w:id="160"/>
      <w:bookmarkEnd w:id="161"/>
      <w:r>
        <w:rPr>
          <w:rFonts w:hint="eastAsia" w:ascii="宋体" w:hAnsi="宋体" w:cs="宋体"/>
        </w:rPr>
        <w:t>中标单位</w:t>
      </w:r>
    </w:p>
    <w:p w14:paraId="262662E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 xml:space="preserve">28.1中标候选人的选取原则和服务内容见招标文件第五章规定。 </w:t>
      </w:r>
    </w:p>
    <w:p w14:paraId="29AC339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28.2 采购人应根据评委会推荐的中标候选人确定中标人。</w:t>
      </w:r>
    </w:p>
    <w:p w14:paraId="4E44309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28.3 采购代理机构将在“江苏政府采购网”发布中标公告，</w:t>
      </w:r>
      <w:r>
        <w:rPr>
          <w:rFonts w:hint="eastAsia" w:ascii="宋体" w:hAnsi="宋体" w:cs="宋体"/>
          <w:b/>
          <w:bCs/>
        </w:rPr>
        <w:t>公告期限为1个工作日</w:t>
      </w:r>
      <w:r>
        <w:rPr>
          <w:rFonts w:hint="eastAsia" w:ascii="宋体" w:hAnsi="宋体" w:cs="宋体"/>
        </w:rPr>
        <w:t>。</w:t>
      </w:r>
    </w:p>
    <w:p w14:paraId="29094A6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28.4若有充分证据证明，中标人出现下列情况之一的，一经查实，将被取消中标资格：</w:t>
      </w:r>
    </w:p>
    <w:p w14:paraId="64773B2F">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28.4.1提供虚假材料谋取中标的；</w:t>
      </w:r>
    </w:p>
    <w:p w14:paraId="4D26730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28.4.2向采购人、采购代理机构行贿或者提供其他不正当利益的；</w:t>
      </w:r>
    </w:p>
    <w:p w14:paraId="5716F40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28.4.3属于本文件规定的无效条件，但在评标过程中又未被评委会发现的；</w:t>
      </w:r>
    </w:p>
    <w:p w14:paraId="269BDA3A">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28.4.4与采购人或者其他投标人恶意串通的；</w:t>
      </w:r>
    </w:p>
    <w:p w14:paraId="440FB35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28.4.5采取不正当手段诋毁、排挤其他投标人的。</w:t>
      </w:r>
    </w:p>
    <w:p w14:paraId="295F18DF">
      <w:pPr>
        <w:pStyle w:val="37"/>
        <w:widowControl w:val="0"/>
        <w:spacing w:before="0" w:beforeAutospacing="0" w:after="0" w:afterAutospacing="0" w:line="360" w:lineRule="auto"/>
        <w:ind w:firstLine="480"/>
        <w:rPr>
          <w:rFonts w:hint="eastAsia" w:ascii="宋体" w:hAnsi="宋体" w:cs="宋体"/>
        </w:rPr>
      </w:pPr>
      <w:bookmarkStart w:id="162" w:name="_Toc200451960"/>
      <w:r>
        <w:rPr>
          <w:rFonts w:hint="eastAsia" w:ascii="宋体" w:hAnsi="宋体" w:cs="宋体"/>
        </w:rPr>
        <w:t>28.5有下列情形之一的，视为投标人串通投标，投标无效：</w:t>
      </w:r>
      <w:bookmarkEnd w:id="162"/>
    </w:p>
    <w:p w14:paraId="4049F2D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28.5.1不同投标人的投标文件由同一单位或者个人编制；</w:t>
      </w:r>
    </w:p>
    <w:p w14:paraId="6FF4DA3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28.5.2不同投标人委托同一单位或者个人办理投标事宜；</w:t>
      </w:r>
    </w:p>
    <w:p w14:paraId="1F6398B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28.5.3 不同投标人的投标文件载明的项目管理成员或者联系人员为同一人；</w:t>
      </w:r>
    </w:p>
    <w:p w14:paraId="4AE580C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28.5.4不同投标人的投标文件异常一致或者投标报价呈规律性差异。</w:t>
      </w:r>
    </w:p>
    <w:p w14:paraId="61899719">
      <w:pPr>
        <w:tabs>
          <w:tab w:val="left" w:pos="900"/>
        </w:tabs>
        <w:spacing w:line="360" w:lineRule="auto"/>
        <w:ind w:firstLine="480"/>
        <w:jc w:val="left"/>
        <w:rPr>
          <w:rFonts w:hint="eastAsia" w:ascii="宋体" w:hAnsi="宋体" w:cs="宋体"/>
          <w:b/>
          <w:bCs/>
          <w:sz w:val="24"/>
        </w:rPr>
      </w:pPr>
      <w:r>
        <w:rPr>
          <w:rFonts w:hint="eastAsia" w:ascii="宋体" w:hAnsi="宋体" w:cs="宋体"/>
          <w:sz w:val="24"/>
        </w:rPr>
        <w:t>29、</w:t>
      </w:r>
      <w:r>
        <w:rPr>
          <w:rFonts w:hint="eastAsia" w:ascii="宋体" w:hAnsi="宋体" w:cs="宋体"/>
          <w:b/>
          <w:bCs/>
          <w:sz w:val="24"/>
        </w:rPr>
        <w:t>质疑和投诉</w:t>
      </w:r>
    </w:p>
    <w:p w14:paraId="76768740">
      <w:pPr>
        <w:tabs>
          <w:tab w:val="left" w:pos="900"/>
        </w:tabs>
        <w:spacing w:line="360" w:lineRule="auto"/>
        <w:ind w:firstLine="480"/>
        <w:jc w:val="left"/>
        <w:rPr>
          <w:rFonts w:hint="eastAsia" w:ascii="宋体" w:hAnsi="宋体" w:cs="宋体"/>
          <w:sz w:val="24"/>
        </w:rPr>
      </w:pPr>
      <w:r>
        <w:rPr>
          <w:rFonts w:hint="eastAsia" w:ascii="宋体" w:hAnsi="宋体" w:cs="宋体"/>
          <w:sz w:val="24"/>
        </w:rPr>
        <w:t>29.1质疑的提出</w:t>
      </w:r>
    </w:p>
    <w:p w14:paraId="3C2F950A">
      <w:pPr>
        <w:tabs>
          <w:tab w:val="left" w:pos="900"/>
        </w:tabs>
        <w:spacing w:line="360" w:lineRule="auto"/>
        <w:ind w:firstLine="480"/>
        <w:jc w:val="left"/>
        <w:rPr>
          <w:rFonts w:hint="eastAsia" w:ascii="宋体" w:hAnsi="宋体" w:cs="宋体"/>
          <w:sz w:val="24"/>
        </w:rPr>
      </w:pPr>
      <w:r>
        <w:rPr>
          <w:rFonts w:hint="eastAsia" w:ascii="宋体" w:hAnsi="宋体" w:cs="宋体"/>
          <w:sz w:val="24"/>
        </w:rPr>
        <w:t>29.1.1提出质疑的投标人应当是参与所质疑项目采购活动的投标人。</w:t>
      </w:r>
    </w:p>
    <w:p w14:paraId="087584F7">
      <w:pPr>
        <w:tabs>
          <w:tab w:val="left" w:pos="900"/>
        </w:tabs>
        <w:spacing w:line="360" w:lineRule="auto"/>
        <w:ind w:firstLine="480"/>
        <w:jc w:val="left"/>
        <w:rPr>
          <w:rFonts w:hint="eastAsia" w:ascii="宋体" w:hAnsi="宋体" w:cs="宋体"/>
          <w:sz w:val="24"/>
        </w:rPr>
      </w:pPr>
      <w:r>
        <w:rPr>
          <w:rFonts w:hint="eastAsia" w:ascii="宋体" w:hAnsi="宋体" w:cs="宋体"/>
          <w:sz w:val="24"/>
        </w:rPr>
        <w:t>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rPr>
        <w:t>未依照采购公告要求获取采购文件的投标人，视为未参与该项目的采购活动，不具备对该采购文件提出质疑的法定权利。</w:t>
      </w:r>
    </w:p>
    <w:p w14:paraId="1F7AB387">
      <w:pPr>
        <w:tabs>
          <w:tab w:val="left" w:pos="900"/>
        </w:tabs>
        <w:spacing w:line="360" w:lineRule="auto"/>
        <w:ind w:firstLine="480"/>
        <w:jc w:val="left"/>
        <w:rPr>
          <w:rFonts w:hint="eastAsia" w:ascii="宋体" w:hAnsi="宋体" w:cs="宋体"/>
          <w:sz w:val="24"/>
        </w:rPr>
      </w:pPr>
      <w:r>
        <w:rPr>
          <w:rFonts w:hint="eastAsia" w:ascii="宋体" w:hAnsi="宋体" w:cs="宋体"/>
          <w:sz w:val="24"/>
        </w:rPr>
        <w:t xml:space="preserve">29.1.3 </w:t>
      </w:r>
      <w:r>
        <w:rPr>
          <w:rFonts w:hint="eastAsia" w:ascii="宋体" w:hAnsi="宋体" w:cs="宋体"/>
          <w:b/>
          <w:sz w:val="24"/>
        </w:rPr>
        <w:t>质疑函的接收方式为投标人书面原件提交。</w:t>
      </w:r>
      <w:r>
        <w:rPr>
          <w:rFonts w:hint="eastAsia" w:ascii="宋体" w:hAnsi="宋体" w:cs="宋体"/>
          <w:sz w:val="24"/>
        </w:rPr>
        <w:t>联系部门、联系电话和通讯地址详见本采购文件“采购公告”。质疑实行实名制，不得进行虚假、恶意质疑。</w:t>
      </w:r>
    </w:p>
    <w:p w14:paraId="4145F392">
      <w:pPr>
        <w:tabs>
          <w:tab w:val="left" w:pos="900"/>
        </w:tabs>
        <w:spacing w:line="360" w:lineRule="auto"/>
        <w:ind w:firstLine="480"/>
        <w:jc w:val="left"/>
        <w:rPr>
          <w:rFonts w:hint="eastAsia" w:ascii="宋体" w:hAnsi="宋体" w:cs="宋体"/>
          <w:sz w:val="24"/>
        </w:rPr>
      </w:pPr>
      <w:r>
        <w:rPr>
          <w:rFonts w:hint="eastAsia" w:ascii="宋体" w:hAnsi="宋体" w:cs="宋体"/>
          <w:sz w:val="24"/>
        </w:rPr>
        <w:t>29.1.4 质疑函应当使用范本（详见江苏政府采购网—监管信息—意见反馈）。投标人提出质疑应当</w:t>
      </w:r>
      <w:r>
        <w:rPr>
          <w:rFonts w:hint="eastAsia" w:ascii="宋体" w:hAnsi="宋体" w:cs="宋体"/>
          <w:b/>
          <w:sz w:val="24"/>
        </w:rPr>
        <w:t>提交质疑函和必要的证明材料</w:t>
      </w:r>
      <w:r>
        <w:rPr>
          <w:rFonts w:hint="eastAsia" w:ascii="宋体" w:hAnsi="宋体" w:cs="宋体"/>
          <w:sz w:val="24"/>
        </w:rPr>
        <w:t>。应当包括下列内容：</w:t>
      </w:r>
    </w:p>
    <w:p w14:paraId="339E045A">
      <w:pPr>
        <w:tabs>
          <w:tab w:val="left" w:pos="900"/>
        </w:tabs>
        <w:spacing w:line="360" w:lineRule="auto"/>
        <w:ind w:firstLine="480"/>
        <w:jc w:val="left"/>
        <w:rPr>
          <w:rFonts w:hint="eastAsia" w:ascii="宋体" w:hAnsi="宋体" w:cs="宋体"/>
          <w:sz w:val="24"/>
        </w:rPr>
      </w:pPr>
      <w:r>
        <w:rPr>
          <w:rFonts w:hint="eastAsia" w:ascii="宋体" w:hAnsi="宋体" w:cs="宋体"/>
          <w:sz w:val="24"/>
        </w:rPr>
        <w:t>（1）投标人的姓名或者名称、地址、邮编、联系人及联系电话；</w:t>
      </w:r>
    </w:p>
    <w:p w14:paraId="5019C224">
      <w:pPr>
        <w:tabs>
          <w:tab w:val="left" w:pos="900"/>
        </w:tabs>
        <w:spacing w:line="360" w:lineRule="auto"/>
        <w:ind w:firstLine="480"/>
        <w:jc w:val="left"/>
        <w:rPr>
          <w:rFonts w:hint="eastAsia" w:ascii="宋体" w:hAnsi="宋体" w:cs="宋体"/>
          <w:sz w:val="24"/>
        </w:rPr>
      </w:pPr>
      <w:r>
        <w:rPr>
          <w:rFonts w:hint="eastAsia" w:ascii="宋体" w:hAnsi="宋体" w:cs="宋体"/>
          <w:sz w:val="24"/>
        </w:rPr>
        <w:t>（2）质疑项目的名称、编号；</w:t>
      </w:r>
    </w:p>
    <w:p w14:paraId="0739C9EE">
      <w:pPr>
        <w:tabs>
          <w:tab w:val="left" w:pos="900"/>
        </w:tabs>
        <w:spacing w:line="360" w:lineRule="auto"/>
        <w:ind w:firstLine="480"/>
        <w:jc w:val="left"/>
        <w:rPr>
          <w:rFonts w:hint="eastAsia" w:ascii="宋体" w:hAnsi="宋体" w:cs="宋体"/>
          <w:sz w:val="24"/>
        </w:rPr>
      </w:pPr>
      <w:r>
        <w:rPr>
          <w:rFonts w:hint="eastAsia" w:ascii="宋体" w:hAnsi="宋体" w:cs="宋体"/>
          <w:sz w:val="24"/>
        </w:rPr>
        <w:t>（3）具体、明确的质疑事项和与质疑事项相关的请求；</w:t>
      </w:r>
    </w:p>
    <w:p w14:paraId="4F0463AF">
      <w:pPr>
        <w:tabs>
          <w:tab w:val="left" w:pos="900"/>
        </w:tabs>
        <w:spacing w:line="360" w:lineRule="auto"/>
        <w:ind w:firstLine="480"/>
        <w:jc w:val="left"/>
        <w:rPr>
          <w:rFonts w:hint="eastAsia" w:ascii="宋体" w:hAnsi="宋体" w:cs="宋体"/>
          <w:sz w:val="24"/>
        </w:rPr>
      </w:pPr>
      <w:r>
        <w:rPr>
          <w:rFonts w:hint="eastAsia" w:ascii="宋体" w:hAnsi="宋体" w:cs="宋体"/>
          <w:sz w:val="24"/>
        </w:rPr>
        <w:t>（4）事实依据；</w:t>
      </w:r>
    </w:p>
    <w:p w14:paraId="76712190">
      <w:pPr>
        <w:tabs>
          <w:tab w:val="left" w:pos="900"/>
        </w:tabs>
        <w:spacing w:line="360" w:lineRule="auto"/>
        <w:ind w:firstLine="480"/>
        <w:jc w:val="left"/>
        <w:rPr>
          <w:rFonts w:hint="eastAsia" w:ascii="宋体" w:hAnsi="宋体" w:cs="宋体"/>
          <w:sz w:val="24"/>
        </w:rPr>
      </w:pPr>
      <w:r>
        <w:rPr>
          <w:rFonts w:hint="eastAsia" w:ascii="宋体" w:hAnsi="宋体" w:cs="宋体"/>
          <w:sz w:val="24"/>
        </w:rPr>
        <w:t>（5）必要的法律依据；</w:t>
      </w:r>
    </w:p>
    <w:p w14:paraId="6D218E37">
      <w:pPr>
        <w:tabs>
          <w:tab w:val="left" w:pos="900"/>
        </w:tabs>
        <w:spacing w:line="360" w:lineRule="auto"/>
        <w:ind w:firstLine="480"/>
        <w:jc w:val="left"/>
        <w:rPr>
          <w:rFonts w:hint="eastAsia" w:ascii="宋体" w:hAnsi="宋体" w:cs="宋体"/>
          <w:sz w:val="24"/>
        </w:rPr>
      </w:pPr>
      <w:r>
        <w:rPr>
          <w:rFonts w:hint="eastAsia" w:ascii="宋体" w:hAnsi="宋体" w:cs="宋体"/>
          <w:sz w:val="24"/>
        </w:rPr>
        <w:t>（6）提出质疑的日期；</w:t>
      </w:r>
    </w:p>
    <w:p w14:paraId="3B59CC64">
      <w:pPr>
        <w:tabs>
          <w:tab w:val="left" w:pos="900"/>
        </w:tabs>
        <w:spacing w:line="360" w:lineRule="auto"/>
        <w:ind w:firstLine="480"/>
        <w:jc w:val="left"/>
        <w:rPr>
          <w:rFonts w:hint="eastAsia" w:ascii="宋体" w:hAnsi="宋体" w:cs="宋体"/>
          <w:sz w:val="24"/>
        </w:rPr>
      </w:pPr>
      <w:r>
        <w:rPr>
          <w:rFonts w:hint="eastAsia" w:ascii="宋体" w:hAnsi="宋体" w:cs="宋体"/>
          <w:sz w:val="24"/>
        </w:rPr>
        <w:t>（7）</w:t>
      </w:r>
      <w:r>
        <w:rPr>
          <w:rFonts w:hint="eastAsia" w:ascii="宋体" w:hAnsi="宋体" w:cs="宋体"/>
          <w:b/>
          <w:sz w:val="24"/>
        </w:rPr>
        <w:t>必要的证明材料；</w:t>
      </w:r>
    </w:p>
    <w:p w14:paraId="7F02EE44">
      <w:pPr>
        <w:tabs>
          <w:tab w:val="left" w:pos="900"/>
        </w:tabs>
        <w:spacing w:line="360" w:lineRule="auto"/>
        <w:ind w:firstLine="480"/>
        <w:jc w:val="left"/>
        <w:rPr>
          <w:rFonts w:hint="eastAsia" w:ascii="宋体" w:hAnsi="宋体" w:cs="宋体"/>
          <w:sz w:val="24"/>
        </w:rPr>
      </w:pPr>
      <w:r>
        <w:rPr>
          <w:rFonts w:hint="eastAsia" w:ascii="宋体" w:hAnsi="宋体" w:cs="宋体"/>
          <w:sz w:val="24"/>
        </w:rPr>
        <w:t>（8）营业执照复印件及法定代表人授权委托书、法定代表人身份证复印件、委托代理人身份证复印件。</w:t>
      </w:r>
    </w:p>
    <w:p w14:paraId="2E7BB405">
      <w:pPr>
        <w:tabs>
          <w:tab w:val="left" w:pos="900"/>
        </w:tabs>
        <w:spacing w:line="360" w:lineRule="auto"/>
        <w:ind w:firstLine="480"/>
        <w:jc w:val="left"/>
        <w:rPr>
          <w:rFonts w:hint="eastAsia" w:ascii="宋体" w:hAnsi="宋体" w:cs="宋体"/>
          <w:sz w:val="24"/>
        </w:rPr>
      </w:pPr>
      <w:r>
        <w:rPr>
          <w:rFonts w:hint="eastAsia" w:ascii="宋体" w:hAnsi="宋体" w:cs="宋体"/>
          <w:sz w:val="24"/>
        </w:rPr>
        <w:t>投标人为自然人的，应当由本人签字；投标人为法人或者其他组织的，应当由法定代表人、主要负责人，或者其委托代理人签字或者盖章，并加盖单位公章。</w:t>
      </w:r>
    </w:p>
    <w:p w14:paraId="5AB5ED78">
      <w:pPr>
        <w:tabs>
          <w:tab w:val="left" w:pos="900"/>
        </w:tabs>
        <w:spacing w:line="360" w:lineRule="auto"/>
        <w:ind w:firstLine="480"/>
        <w:jc w:val="left"/>
        <w:rPr>
          <w:rFonts w:hint="eastAsia" w:ascii="宋体" w:hAnsi="宋体" w:cs="宋体"/>
          <w:sz w:val="24"/>
        </w:rPr>
      </w:pPr>
      <w:r>
        <w:rPr>
          <w:rFonts w:hint="eastAsia" w:ascii="宋体" w:hAnsi="宋体" w:cs="宋体"/>
          <w:sz w:val="24"/>
        </w:rPr>
        <w:t>29.2质疑函的受理和答复</w:t>
      </w:r>
    </w:p>
    <w:p w14:paraId="106403A4">
      <w:pPr>
        <w:tabs>
          <w:tab w:val="left" w:pos="900"/>
        </w:tabs>
        <w:spacing w:line="360" w:lineRule="auto"/>
        <w:ind w:firstLine="480"/>
        <w:jc w:val="left"/>
        <w:rPr>
          <w:rFonts w:hint="eastAsia" w:ascii="宋体" w:hAnsi="宋体" w:cs="宋体"/>
          <w:sz w:val="24"/>
        </w:rPr>
      </w:pPr>
      <w:r>
        <w:rPr>
          <w:rFonts w:hint="eastAsia" w:ascii="宋体" w:hAnsi="宋体" w:cs="宋体"/>
          <w:sz w:val="24"/>
        </w:rPr>
        <w:t>29.2.1 质疑投标人应当保证其提出的质疑事项及必要的证明材料的真实性及来源的合法性，并承担相应的法律责任。</w:t>
      </w:r>
      <w:r>
        <w:rPr>
          <w:rFonts w:hint="eastAsia" w:ascii="宋体" w:hAnsi="宋体" w:cs="宋体"/>
          <w:b/>
          <w:sz w:val="24"/>
        </w:rPr>
        <w:t>对不能提供必要的证明材料的、涉及商业秘密的、非书面原件形式的、匿名的质疑函将不予受理</w:t>
      </w:r>
      <w:r>
        <w:rPr>
          <w:rFonts w:hint="eastAsia" w:ascii="宋体" w:hAnsi="宋体" w:cs="宋体"/>
          <w:sz w:val="24"/>
        </w:rPr>
        <w:t>。必要的证明材料要具备客观性、关联性、合法性，无法查实的（如宣传册、媒体报道、猜测、推理等）不能作为证明材料。采购人、采购代理机构不负责搜集必要的证明材料等工作。</w:t>
      </w:r>
    </w:p>
    <w:p w14:paraId="67EC6565">
      <w:pPr>
        <w:tabs>
          <w:tab w:val="left" w:pos="900"/>
        </w:tabs>
        <w:spacing w:line="360" w:lineRule="auto"/>
        <w:ind w:firstLine="480"/>
        <w:jc w:val="left"/>
        <w:rPr>
          <w:rFonts w:hint="eastAsia" w:ascii="宋体" w:hAnsi="宋体" w:cs="宋体"/>
          <w:sz w:val="24"/>
        </w:rPr>
      </w:pPr>
      <w:r>
        <w:rPr>
          <w:rFonts w:hint="eastAsia" w:ascii="宋体" w:hAnsi="宋体" w:cs="宋体"/>
          <w:sz w:val="24"/>
        </w:rPr>
        <w:t>29.2.2 在处理过程中，发现需要质疑投标人进一步补充必要的证明材料的，质疑投标人应在法定的时间内提供，质疑答复时间相应顺延。质疑投标人不能按时提供必要的证明材料的，视同放弃质疑。</w:t>
      </w:r>
    </w:p>
    <w:p w14:paraId="72FAC415">
      <w:pPr>
        <w:tabs>
          <w:tab w:val="left" w:pos="900"/>
        </w:tabs>
        <w:spacing w:line="360" w:lineRule="auto"/>
        <w:ind w:firstLine="480"/>
        <w:jc w:val="left"/>
        <w:rPr>
          <w:rFonts w:hint="eastAsia" w:ascii="宋体" w:hAnsi="宋体" w:cs="宋体"/>
          <w:sz w:val="24"/>
        </w:rPr>
      </w:pPr>
      <w:r>
        <w:rPr>
          <w:rFonts w:hint="eastAsia" w:ascii="宋体" w:hAnsi="宋体" w:cs="宋体"/>
          <w:sz w:val="24"/>
        </w:rPr>
        <w:t>29.2.3 对不符合质疑要求的，采购人、采购代理机构有权要求其补充必要的证明材料，质疑投标人未在法定的时间内提供补充必要的证明材料的，视同放弃质疑。</w:t>
      </w:r>
    </w:p>
    <w:p w14:paraId="19414527">
      <w:pPr>
        <w:tabs>
          <w:tab w:val="left" w:pos="900"/>
        </w:tabs>
        <w:spacing w:line="360" w:lineRule="auto"/>
        <w:ind w:firstLine="480"/>
        <w:jc w:val="left"/>
        <w:rPr>
          <w:rFonts w:hint="eastAsia" w:ascii="宋体" w:hAnsi="宋体" w:cs="宋体"/>
          <w:sz w:val="24"/>
        </w:rPr>
      </w:pPr>
      <w:r>
        <w:rPr>
          <w:rFonts w:hint="eastAsia" w:ascii="宋体" w:hAnsi="宋体" w:cs="宋体"/>
          <w:sz w:val="24"/>
        </w:rPr>
        <w:t>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p>
    <w:p w14:paraId="7806B5D1">
      <w:pPr>
        <w:tabs>
          <w:tab w:val="left" w:pos="900"/>
        </w:tabs>
        <w:spacing w:line="360" w:lineRule="auto"/>
        <w:ind w:firstLine="480"/>
        <w:jc w:val="left"/>
        <w:rPr>
          <w:rFonts w:hint="eastAsia" w:ascii="宋体" w:hAnsi="宋体" w:cs="宋体"/>
          <w:sz w:val="24"/>
        </w:rPr>
      </w:pPr>
      <w:r>
        <w:rPr>
          <w:rFonts w:hint="eastAsia" w:ascii="宋体" w:hAnsi="宋体" w:cs="宋体"/>
          <w:sz w:val="24"/>
        </w:rPr>
        <w:t>29.3质疑处理</w:t>
      </w:r>
    </w:p>
    <w:p w14:paraId="347A0C29">
      <w:pPr>
        <w:tabs>
          <w:tab w:val="left" w:pos="900"/>
        </w:tabs>
        <w:spacing w:line="360" w:lineRule="auto"/>
        <w:ind w:firstLine="480"/>
        <w:jc w:val="left"/>
        <w:rPr>
          <w:rFonts w:hint="eastAsia" w:ascii="宋体" w:hAnsi="宋体" w:cs="宋体"/>
          <w:sz w:val="24"/>
        </w:rPr>
      </w:pPr>
      <w:r>
        <w:rPr>
          <w:rFonts w:hint="eastAsia" w:ascii="宋体" w:hAnsi="宋体" w:cs="宋体"/>
          <w:sz w:val="24"/>
        </w:rPr>
        <w:t>29.3.1 质疑投标人不按照法定程序进行质疑投诉的，视为一般失信行为。</w:t>
      </w:r>
    </w:p>
    <w:p w14:paraId="493156D6">
      <w:pPr>
        <w:tabs>
          <w:tab w:val="left" w:pos="900"/>
        </w:tabs>
        <w:spacing w:line="360" w:lineRule="auto"/>
        <w:ind w:firstLine="480"/>
        <w:jc w:val="left"/>
        <w:rPr>
          <w:rFonts w:hint="eastAsia" w:ascii="宋体" w:hAnsi="宋体" w:cs="宋体"/>
          <w:sz w:val="24"/>
        </w:rPr>
      </w:pPr>
      <w:r>
        <w:rPr>
          <w:rFonts w:hint="eastAsia" w:ascii="宋体" w:hAnsi="宋体" w:cs="宋体"/>
          <w:sz w:val="24"/>
        </w:rPr>
        <w:t>29.3.2 质疑投标人不配合或者采用不正当手段干扰采购质疑、投诉处理工作的，视为一般失信行为。</w:t>
      </w:r>
    </w:p>
    <w:p w14:paraId="04DD36B3">
      <w:pPr>
        <w:tabs>
          <w:tab w:val="left" w:pos="900"/>
        </w:tabs>
        <w:spacing w:line="360" w:lineRule="auto"/>
        <w:ind w:firstLine="480"/>
        <w:jc w:val="left"/>
        <w:rPr>
          <w:rFonts w:hint="eastAsia" w:ascii="宋体" w:hAnsi="宋体" w:cs="宋体"/>
          <w:sz w:val="24"/>
        </w:rPr>
      </w:pPr>
      <w:r>
        <w:rPr>
          <w:rFonts w:hint="eastAsia" w:ascii="宋体" w:hAnsi="宋体" w:cs="宋体"/>
          <w:sz w:val="24"/>
        </w:rPr>
        <w:t>29.3.3 质疑投标人投诉受理期间，就同一事项多头举报，干扰财政部门投诉处理的，视为一般失信行为。</w:t>
      </w:r>
    </w:p>
    <w:p w14:paraId="3588142B">
      <w:pPr>
        <w:tabs>
          <w:tab w:val="left" w:pos="900"/>
        </w:tabs>
        <w:spacing w:line="360" w:lineRule="auto"/>
        <w:ind w:firstLine="480"/>
        <w:jc w:val="left"/>
        <w:rPr>
          <w:rFonts w:hint="eastAsia" w:ascii="宋体" w:hAnsi="宋体" w:cs="宋体"/>
          <w:sz w:val="24"/>
        </w:rPr>
      </w:pPr>
      <w:r>
        <w:rPr>
          <w:rFonts w:hint="eastAsia" w:ascii="宋体" w:hAnsi="宋体" w:cs="宋体"/>
          <w:sz w:val="24"/>
        </w:rPr>
        <w:t>29.3.4 质疑投标人在全国范围12个月内三次以上质疑查无实据的，视为一般失信行为。</w:t>
      </w:r>
    </w:p>
    <w:p w14:paraId="407A96BA">
      <w:pPr>
        <w:tabs>
          <w:tab w:val="left" w:pos="900"/>
        </w:tabs>
        <w:spacing w:line="360" w:lineRule="auto"/>
        <w:ind w:firstLine="480"/>
        <w:jc w:val="left"/>
        <w:rPr>
          <w:rFonts w:hint="eastAsia" w:ascii="宋体" w:hAnsi="宋体" w:cs="宋体"/>
          <w:sz w:val="24"/>
        </w:rPr>
      </w:pPr>
      <w:r>
        <w:rPr>
          <w:rFonts w:hint="eastAsia" w:ascii="宋体" w:hAnsi="宋体" w:cs="宋体"/>
          <w:sz w:val="24"/>
        </w:rPr>
        <w:t>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9F546FF">
      <w:pPr>
        <w:tabs>
          <w:tab w:val="left" w:pos="900"/>
        </w:tabs>
        <w:spacing w:line="360" w:lineRule="auto"/>
        <w:ind w:firstLine="480"/>
        <w:jc w:val="left"/>
        <w:rPr>
          <w:rFonts w:hint="eastAsia" w:ascii="宋体" w:hAnsi="宋体" w:cs="宋体"/>
          <w:sz w:val="24"/>
        </w:rPr>
      </w:pPr>
      <w:r>
        <w:rPr>
          <w:rFonts w:hint="eastAsia" w:ascii="宋体" w:hAnsi="宋体" w:cs="宋体"/>
          <w:sz w:val="24"/>
        </w:rPr>
        <w:t>29.3.6未尽事宜，依照有关法律、法规执行。</w:t>
      </w:r>
    </w:p>
    <w:p w14:paraId="11B16DEB">
      <w:pPr>
        <w:spacing w:line="360" w:lineRule="auto"/>
        <w:ind w:firstLine="480"/>
        <w:jc w:val="left"/>
        <w:rPr>
          <w:rFonts w:hint="eastAsia" w:ascii="宋体" w:hAnsi="宋体" w:cs="宋体"/>
          <w:sz w:val="24"/>
        </w:rPr>
      </w:pPr>
      <w:r>
        <w:rPr>
          <w:rFonts w:hint="eastAsia" w:ascii="宋体" w:hAnsi="宋体" w:cs="宋体"/>
          <w:sz w:val="24"/>
        </w:rPr>
        <w:t>29.4投诉</w:t>
      </w:r>
    </w:p>
    <w:p w14:paraId="5ED29C92">
      <w:pPr>
        <w:spacing w:line="360" w:lineRule="auto"/>
        <w:ind w:firstLine="480"/>
        <w:jc w:val="left"/>
        <w:rPr>
          <w:rFonts w:hint="eastAsia" w:ascii="宋体" w:hAnsi="宋体" w:cs="宋体"/>
          <w:sz w:val="24"/>
        </w:rPr>
      </w:pPr>
      <w:r>
        <w:rPr>
          <w:rFonts w:hint="eastAsia" w:ascii="宋体" w:hAnsi="宋体" w:cs="宋体"/>
          <w:sz w:val="24"/>
        </w:rPr>
        <w:t>29.4.1投诉事项依照有关法律、法规执行。</w:t>
      </w:r>
    </w:p>
    <w:p w14:paraId="50CD82D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30、中标通知书</w:t>
      </w:r>
    </w:p>
    <w:p w14:paraId="7720C72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F85B9C0">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30.2中标通知书将是合同的一个组成部分。对采购人和中标人均具有法律效力。中标通知书发出后，采购人改变中标结果的，或者中标人放弃中标项目的，应当依法承担法律责任。</w:t>
      </w:r>
    </w:p>
    <w:p w14:paraId="0833E1C8">
      <w:pPr>
        <w:spacing w:line="360" w:lineRule="auto"/>
        <w:ind w:firstLine="480"/>
        <w:jc w:val="left"/>
        <w:rPr>
          <w:rFonts w:hint="eastAsia" w:ascii="宋体" w:hAnsi="宋体" w:cs="宋体"/>
          <w:sz w:val="24"/>
        </w:rPr>
      </w:pPr>
      <w:r>
        <w:rPr>
          <w:rFonts w:hint="eastAsia" w:ascii="宋体" w:hAnsi="宋体" w:cs="宋体"/>
          <w:sz w:val="24"/>
        </w:rPr>
        <w:t>30.3</w:t>
      </w:r>
      <w:r>
        <w:rPr>
          <w:rFonts w:hint="eastAsia" w:ascii="宋体" w:hAnsi="宋体" w:cs="宋体"/>
          <w:b/>
          <w:sz w:val="24"/>
        </w:rPr>
        <w:t>中标人在领取中标通知书时，需提供五份与电子投标文件一致的纸质打印投标文件（封面须加盖公章）</w:t>
      </w:r>
      <w:r>
        <w:rPr>
          <w:rFonts w:hint="eastAsia" w:ascii="宋体" w:hAnsi="宋体" w:cs="宋体"/>
          <w:sz w:val="24"/>
        </w:rPr>
        <w:t>；中标通知书发出后，采购人不得违法改变中标结果，采购人无正当理由不得放弃中标。</w:t>
      </w:r>
    </w:p>
    <w:p w14:paraId="49695FC4">
      <w:pPr>
        <w:pStyle w:val="37"/>
        <w:widowControl w:val="0"/>
        <w:spacing w:before="0" w:beforeAutospacing="0" w:after="0" w:afterAutospacing="0" w:line="360" w:lineRule="auto"/>
        <w:ind w:firstLine="482"/>
        <w:outlineLvl w:val="1"/>
        <w:rPr>
          <w:rFonts w:hint="eastAsia" w:ascii="宋体" w:hAnsi="宋体" w:cs="宋体"/>
        </w:rPr>
      </w:pPr>
      <w:bookmarkStart w:id="163" w:name="_Toc16938552"/>
      <w:bookmarkStart w:id="164" w:name="_Toc29599"/>
      <w:bookmarkStart w:id="165" w:name="_Toc513029236"/>
      <w:bookmarkStart w:id="166" w:name="_Toc20823308"/>
      <w:bookmarkStart w:id="167" w:name="_Toc120614220"/>
      <w:r>
        <w:rPr>
          <w:rFonts w:hint="eastAsia" w:ascii="宋体" w:hAnsi="宋体" w:cs="宋体"/>
          <w:b/>
          <w:bCs/>
        </w:rPr>
        <w:t>七、授予合同</w:t>
      </w:r>
      <w:bookmarkEnd w:id="163"/>
      <w:bookmarkEnd w:id="164"/>
      <w:bookmarkEnd w:id="165"/>
      <w:bookmarkEnd w:id="166"/>
      <w:bookmarkEnd w:id="167"/>
    </w:p>
    <w:p w14:paraId="6A8BBF30">
      <w:pPr>
        <w:pStyle w:val="37"/>
        <w:widowControl w:val="0"/>
        <w:spacing w:before="0" w:beforeAutospacing="0" w:after="0" w:afterAutospacing="0" w:line="360" w:lineRule="auto"/>
        <w:ind w:firstLine="480"/>
        <w:rPr>
          <w:rFonts w:hint="eastAsia" w:ascii="宋体" w:hAnsi="宋体" w:cs="宋体"/>
        </w:rPr>
      </w:pPr>
      <w:bookmarkStart w:id="168" w:name="_Toc16938553"/>
      <w:bookmarkStart w:id="169" w:name="_Toc20823309"/>
      <w:bookmarkStart w:id="170" w:name="_Toc513029237"/>
      <w:r>
        <w:rPr>
          <w:rFonts w:hint="eastAsia" w:ascii="宋体" w:hAnsi="宋体" w:cs="宋体"/>
        </w:rPr>
        <w:t>31. 签订合同</w:t>
      </w:r>
      <w:bookmarkEnd w:id="168"/>
      <w:bookmarkEnd w:id="169"/>
      <w:bookmarkEnd w:id="170"/>
    </w:p>
    <w:p w14:paraId="0E327E3D">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31.l中标人应当在中标通知书发出之日起三十日内，按照招标文件确定的事项与采购人签订政府采购合同。</w:t>
      </w:r>
      <w:r>
        <w:rPr>
          <w:rFonts w:hint="eastAsia" w:ascii="宋体" w:hAnsi="宋体" w:cs="宋体"/>
          <w:b/>
          <w:bCs/>
        </w:rPr>
        <w:t>合同签订后2个工作日内由采购人上传政府采购合同并公告。</w:t>
      </w:r>
    </w:p>
    <w:p w14:paraId="4221AFE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31.2招标文件、中标人的投标文件及招标过程中有关澄清、承诺文件均应作为合同附件。</w:t>
      </w:r>
    </w:p>
    <w:p w14:paraId="2166A855">
      <w:pPr>
        <w:spacing w:line="360" w:lineRule="auto"/>
        <w:ind w:firstLine="480"/>
        <w:jc w:val="left"/>
        <w:rPr>
          <w:rFonts w:hint="eastAsia" w:ascii="宋体" w:hAnsi="宋体" w:cs="宋体"/>
          <w:sz w:val="24"/>
        </w:rPr>
      </w:pPr>
      <w:r>
        <w:rPr>
          <w:rFonts w:hint="eastAsia" w:ascii="宋体" w:hAnsi="宋体" w:cs="宋体"/>
          <w:sz w:val="24"/>
        </w:rPr>
        <w:t>31.3所签订的合同不得对采购文件确定的事项和中标人投标文件作实质性的修改。</w:t>
      </w:r>
    </w:p>
    <w:p w14:paraId="7A54962C">
      <w:pPr>
        <w:pStyle w:val="17"/>
        <w:spacing w:line="360" w:lineRule="auto"/>
        <w:ind w:firstLine="464"/>
        <w:jc w:val="left"/>
        <w:rPr>
          <w:rFonts w:hint="eastAsia" w:ascii="宋体" w:hAnsi="宋体" w:cs="宋体"/>
          <w:sz w:val="24"/>
          <w:szCs w:val="24"/>
        </w:rPr>
      </w:pPr>
      <w:r>
        <w:rPr>
          <w:rFonts w:hint="eastAsia" w:ascii="宋体" w:hAnsi="宋体" w:cs="宋体"/>
          <w:sz w:val="24"/>
          <w:szCs w:val="24"/>
        </w:rPr>
        <w:t>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p>
    <w:p w14:paraId="1A121943">
      <w:pPr>
        <w:pStyle w:val="17"/>
        <w:spacing w:line="360" w:lineRule="auto"/>
        <w:ind w:firstLine="464"/>
        <w:jc w:val="left"/>
        <w:rPr>
          <w:rFonts w:hint="eastAsia" w:ascii="宋体" w:hAnsi="宋体" w:cs="宋体"/>
          <w:sz w:val="24"/>
          <w:szCs w:val="24"/>
        </w:rPr>
      </w:pPr>
      <w:r>
        <w:rPr>
          <w:rFonts w:hint="eastAsia" w:ascii="宋体" w:hAnsi="宋体" w:cs="宋体"/>
          <w:sz w:val="24"/>
          <w:szCs w:val="24"/>
        </w:rPr>
        <w:t>31.5签订合同后，</w:t>
      </w:r>
      <w:r>
        <w:rPr>
          <w:rFonts w:hint="eastAsia" w:ascii="宋体" w:hAnsi="宋体" w:cs="宋体"/>
          <w:b/>
          <w:bCs/>
          <w:sz w:val="24"/>
          <w:szCs w:val="24"/>
          <w:u w:val="single"/>
        </w:rPr>
        <w:t>中标人不得将合同标的进行转包或分包</w:t>
      </w:r>
      <w:r>
        <w:rPr>
          <w:rFonts w:hint="eastAsia" w:ascii="宋体" w:hAnsi="宋体" w:cs="宋体"/>
          <w:i/>
          <w:iCs/>
          <w:sz w:val="24"/>
          <w:szCs w:val="24"/>
          <w:u w:val="single"/>
        </w:rPr>
        <w:t>。</w:t>
      </w:r>
      <w:r>
        <w:rPr>
          <w:rFonts w:hint="eastAsia" w:ascii="宋体" w:hAnsi="宋体" w:cs="宋体"/>
          <w:sz w:val="24"/>
          <w:szCs w:val="24"/>
        </w:rPr>
        <w:t>未经采购人同意，中标人也不得采用分包的形式履行合同，否则采购人有权终止合同。转包或分包造成采购人损失的，中标人应承担相应赔偿责任。</w:t>
      </w:r>
    </w:p>
    <w:p w14:paraId="435FDBCF">
      <w:pPr>
        <w:pStyle w:val="17"/>
        <w:spacing w:line="360" w:lineRule="auto"/>
        <w:ind w:firstLine="464"/>
        <w:jc w:val="left"/>
        <w:rPr>
          <w:rFonts w:hint="eastAsia" w:ascii="宋体" w:hAnsi="宋体" w:cs="宋体"/>
          <w:sz w:val="24"/>
          <w:szCs w:val="24"/>
        </w:rPr>
      </w:pPr>
      <w:r>
        <w:rPr>
          <w:rFonts w:hint="eastAsia" w:ascii="宋体" w:hAnsi="宋体" w:cs="宋体"/>
          <w:sz w:val="24"/>
          <w:szCs w:val="24"/>
        </w:rPr>
        <w:t>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p>
    <w:p w14:paraId="4F805E14">
      <w:pPr>
        <w:pStyle w:val="17"/>
        <w:spacing w:line="360" w:lineRule="auto"/>
        <w:ind w:firstLine="464"/>
        <w:jc w:val="left"/>
        <w:rPr>
          <w:rFonts w:hint="eastAsia" w:ascii="宋体" w:hAnsi="宋体" w:cs="宋体"/>
          <w:sz w:val="24"/>
          <w:szCs w:val="24"/>
        </w:rPr>
      </w:pPr>
      <w:r>
        <w:rPr>
          <w:rFonts w:hint="eastAsia" w:ascii="宋体" w:hAnsi="宋体" w:cs="宋体"/>
          <w:sz w:val="24"/>
          <w:szCs w:val="24"/>
        </w:rPr>
        <w:t>31.6.1未按照采购文件的事项签订政府采购合同，或者与采购人另行订立背离合同实质性内容的协议的；</w:t>
      </w:r>
    </w:p>
    <w:p w14:paraId="0AA602DB">
      <w:pPr>
        <w:pStyle w:val="17"/>
        <w:spacing w:line="360" w:lineRule="auto"/>
        <w:ind w:firstLine="464"/>
        <w:jc w:val="left"/>
        <w:rPr>
          <w:rFonts w:hint="eastAsia" w:ascii="宋体" w:hAnsi="宋体" w:cs="宋体"/>
          <w:sz w:val="24"/>
          <w:szCs w:val="24"/>
        </w:rPr>
      </w:pPr>
      <w:r>
        <w:rPr>
          <w:rFonts w:hint="eastAsia" w:ascii="宋体" w:hAnsi="宋体" w:cs="宋体"/>
          <w:sz w:val="24"/>
          <w:szCs w:val="24"/>
        </w:rPr>
        <w:t>31.6.2成交后无正当理由不与采购人签订合同的；</w:t>
      </w:r>
    </w:p>
    <w:p w14:paraId="1DC83A04">
      <w:pPr>
        <w:pStyle w:val="17"/>
        <w:spacing w:line="360" w:lineRule="auto"/>
        <w:ind w:firstLine="464"/>
        <w:jc w:val="left"/>
        <w:rPr>
          <w:rFonts w:hint="eastAsia" w:ascii="宋体" w:hAnsi="宋体" w:cs="宋体"/>
          <w:sz w:val="24"/>
          <w:szCs w:val="24"/>
        </w:rPr>
      </w:pPr>
      <w:r>
        <w:rPr>
          <w:rFonts w:hint="eastAsia" w:ascii="宋体" w:hAnsi="宋体" w:cs="宋体"/>
          <w:sz w:val="24"/>
          <w:szCs w:val="24"/>
        </w:rPr>
        <w:t>31.6.3将政府采购合同转包的；</w:t>
      </w:r>
    </w:p>
    <w:p w14:paraId="2566769C">
      <w:pPr>
        <w:pStyle w:val="17"/>
        <w:spacing w:line="360" w:lineRule="auto"/>
        <w:ind w:firstLine="464"/>
        <w:jc w:val="left"/>
        <w:rPr>
          <w:rFonts w:hint="eastAsia" w:ascii="宋体" w:hAnsi="宋体" w:cs="宋体"/>
          <w:sz w:val="24"/>
          <w:szCs w:val="24"/>
        </w:rPr>
      </w:pPr>
      <w:r>
        <w:rPr>
          <w:rFonts w:hint="eastAsia" w:ascii="宋体" w:hAnsi="宋体" w:cs="宋体"/>
          <w:sz w:val="24"/>
          <w:szCs w:val="24"/>
        </w:rPr>
        <w:t>31.6.4拒绝履行合同义务的。</w:t>
      </w:r>
    </w:p>
    <w:p w14:paraId="66E0F944">
      <w:pPr>
        <w:tabs>
          <w:tab w:val="left" w:pos="900"/>
        </w:tabs>
        <w:spacing w:line="360" w:lineRule="auto"/>
        <w:ind w:firstLine="480"/>
        <w:jc w:val="left"/>
        <w:rPr>
          <w:rFonts w:hint="eastAsia" w:ascii="宋体" w:hAnsi="宋体" w:cs="宋体"/>
          <w:sz w:val="24"/>
        </w:rPr>
      </w:pPr>
      <w:r>
        <w:rPr>
          <w:rFonts w:hint="eastAsia" w:ascii="宋体" w:hAnsi="宋体" w:cs="宋体"/>
          <w:sz w:val="24"/>
        </w:rPr>
        <w:t>31.7履约保证金（本项目不收取）</w:t>
      </w:r>
    </w:p>
    <w:p w14:paraId="5FC78130">
      <w:pPr>
        <w:tabs>
          <w:tab w:val="left" w:pos="900"/>
        </w:tabs>
        <w:spacing w:line="360" w:lineRule="auto"/>
        <w:ind w:firstLine="480"/>
        <w:jc w:val="left"/>
        <w:rPr>
          <w:rFonts w:hint="eastAsia" w:ascii="宋体" w:hAnsi="宋体" w:cs="宋体"/>
          <w:sz w:val="24"/>
        </w:rPr>
      </w:pPr>
      <w:r>
        <w:rPr>
          <w:rFonts w:hint="eastAsia" w:ascii="宋体" w:hAnsi="宋体" w:cs="宋体"/>
          <w:sz w:val="24"/>
        </w:rPr>
        <w:t>31.7.1采购文件约定收取履约保证金的，中标人应当以支票、汇票、本票或者金融机构、担保机构出具的保函等非现金形式在合同签订前提交。履约保证金的数额不得超过政府采购合同金额的10%。</w:t>
      </w:r>
    </w:p>
    <w:p w14:paraId="03B40654">
      <w:pPr>
        <w:tabs>
          <w:tab w:val="left" w:pos="900"/>
        </w:tabs>
        <w:spacing w:line="360" w:lineRule="auto"/>
        <w:ind w:firstLine="480"/>
        <w:jc w:val="left"/>
        <w:rPr>
          <w:rFonts w:hint="eastAsia" w:ascii="宋体" w:hAnsi="宋体" w:cs="宋体"/>
          <w:sz w:val="24"/>
        </w:rPr>
      </w:pPr>
      <w:r>
        <w:rPr>
          <w:rFonts w:hint="eastAsia" w:ascii="宋体" w:hAnsi="宋体" w:cs="宋体"/>
          <w:sz w:val="24"/>
        </w:rPr>
        <w:t>31.7.2履约保证金自合同生效之日起至合同约定的中标人主要义务履行完毕止，采购人按合同约定退还履约保证金。</w:t>
      </w:r>
    </w:p>
    <w:p w14:paraId="2C63699B">
      <w:pPr>
        <w:tabs>
          <w:tab w:val="left" w:pos="900"/>
        </w:tabs>
        <w:spacing w:line="360" w:lineRule="auto"/>
        <w:ind w:firstLine="480"/>
        <w:jc w:val="left"/>
        <w:rPr>
          <w:rFonts w:hint="eastAsia" w:ascii="宋体" w:hAnsi="宋体" w:cs="宋体"/>
          <w:sz w:val="24"/>
        </w:rPr>
      </w:pPr>
      <w:r>
        <w:rPr>
          <w:rFonts w:hint="eastAsia" w:ascii="宋体" w:hAnsi="宋体" w:cs="宋体"/>
          <w:sz w:val="24"/>
        </w:rPr>
        <w:t>31.7.3中标人违约的，采购人将按照合同约定扣除其全部或部分履约保证金。如中标人违约给采购人造成的损失超过履约保证金的，应当依法赔偿超过部分的损失。</w:t>
      </w:r>
    </w:p>
    <w:p w14:paraId="7CD735C6">
      <w:pPr>
        <w:tabs>
          <w:tab w:val="left" w:pos="900"/>
        </w:tabs>
        <w:spacing w:line="360" w:lineRule="auto"/>
        <w:ind w:firstLine="480"/>
        <w:jc w:val="left"/>
        <w:rPr>
          <w:rFonts w:hint="eastAsia" w:ascii="宋体" w:hAnsi="宋体" w:cs="宋体"/>
          <w:sz w:val="24"/>
        </w:rPr>
      </w:pPr>
      <w:r>
        <w:rPr>
          <w:rFonts w:hint="eastAsia" w:ascii="宋体" w:hAnsi="宋体" w:cs="宋体"/>
          <w:sz w:val="24"/>
        </w:rPr>
        <w:t>31.7.4逾期退还履约保证金的采购人承担违约责任，按照中国人民银行同期贷款基准利率向中标人支付超期资金占用费。</w:t>
      </w:r>
    </w:p>
    <w:p w14:paraId="6736DE4B">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32、采购标的追加</w:t>
      </w:r>
    </w:p>
    <w:p w14:paraId="3EFADCB5">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32.1政府采购合同履行中，采购人需追加与合同标的相同的人员数量（包含与人员相关的服务）的，在不改变合同其他条款的前提下，可以与中标人协商签订补充合同，但所有补充合同的采购金额不超过原合同金额10%。</w:t>
      </w:r>
    </w:p>
    <w:p w14:paraId="38F1D017">
      <w:pPr>
        <w:pStyle w:val="37"/>
        <w:widowControl w:val="0"/>
        <w:spacing w:before="0" w:beforeAutospacing="0" w:after="0" w:afterAutospacing="0" w:line="360" w:lineRule="auto"/>
        <w:ind w:firstLine="480"/>
        <w:rPr>
          <w:rFonts w:hint="eastAsia" w:ascii="宋体" w:hAnsi="宋体" w:cs="宋体"/>
        </w:rPr>
      </w:pPr>
      <w:bookmarkStart w:id="171" w:name="_Toc120614221"/>
      <w:bookmarkStart w:id="172" w:name="_Toc513029242"/>
      <w:bookmarkStart w:id="173" w:name="_Toc16938558"/>
      <w:bookmarkStart w:id="174" w:name="_Toc20823314"/>
      <w:bookmarkStart w:id="175" w:name="_Toc479757207"/>
      <w:r>
        <w:rPr>
          <w:rFonts w:hint="eastAsia" w:ascii="宋体" w:hAnsi="宋体" w:cs="宋体"/>
        </w:rPr>
        <w:t>33、履约验收</w:t>
      </w:r>
    </w:p>
    <w:p w14:paraId="2FC8CF02">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33.1 采购人组织对投标人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p>
    <w:p w14:paraId="45BA5299">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7FF8D61">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p>
    <w:bookmarkEnd w:id="171"/>
    <w:bookmarkEnd w:id="172"/>
    <w:bookmarkEnd w:id="173"/>
    <w:bookmarkEnd w:id="174"/>
    <w:bookmarkEnd w:id="175"/>
    <w:p w14:paraId="41DF74E4">
      <w:pPr>
        <w:tabs>
          <w:tab w:val="left" w:pos="1021"/>
        </w:tabs>
        <w:spacing w:line="360" w:lineRule="auto"/>
        <w:ind w:firstLine="482"/>
        <w:jc w:val="left"/>
        <w:outlineLvl w:val="1"/>
        <w:rPr>
          <w:rFonts w:hint="eastAsia" w:ascii="宋体" w:hAnsi="宋体" w:cs="宋体"/>
          <w:b/>
          <w:bCs/>
          <w:sz w:val="24"/>
        </w:rPr>
      </w:pPr>
      <w:bookmarkStart w:id="176" w:name="_Toc31112"/>
      <w:r>
        <w:rPr>
          <w:rFonts w:hint="eastAsia" w:ascii="宋体" w:hAnsi="宋体" w:cs="宋体"/>
          <w:b/>
          <w:bCs/>
          <w:sz w:val="24"/>
        </w:rPr>
        <w:t>八、政策功能</w:t>
      </w:r>
      <w:bookmarkEnd w:id="176"/>
    </w:p>
    <w:p w14:paraId="34942093">
      <w:pPr>
        <w:spacing w:line="360" w:lineRule="auto"/>
        <w:ind w:firstLine="480"/>
        <w:jc w:val="left"/>
        <w:rPr>
          <w:rFonts w:hint="eastAsia" w:ascii="宋体" w:hAnsi="宋体" w:cs="宋体"/>
          <w:sz w:val="24"/>
        </w:rPr>
      </w:pPr>
      <w:r>
        <w:rPr>
          <w:rFonts w:hint="eastAsia" w:ascii="宋体" w:hAnsi="宋体" w:cs="宋体"/>
          <w:sz w:val="24"/>
        </w:rPr>
        <w:t>35、</w:t>
      </w:r>
      <w:r>
        <w:rPr>
          <w:rFonts w:hint="eastAsia" w:ascii="宋体" w:hAnsi="宋体" w:cs="宋体"/>
          <w:b/>
          <w:bCs/>
          <w:sz w:val="24"/>
        </w:rPr>
        <w:t>支持中小企业发展</w:t>
      </w:r>
    </w:p>
    <w:p w14:paraId="31B287C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35.1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02B5C6DA">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35.2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3717853A">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50AB7373">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 xml:space="preserve">35.3 参加本项目政府采购活动的供应商享受价格评审优惠的应当提供的材料： </w:t>
      </w:r>
    </w:p>
    <w:p w14:paraId="61894064">
      <w:pPr>
        <w:pStyle w:val="37"/>
        <w:widowControl w:val="0"/>
        <w:spacing w:before="0" w:beforeAutospacing="0" w:after="0" w:afterAutospacing="0" w:line="360" w:lineRule="auto"/>
        <w:ind w:firstLine="480"/>
        <w:rPr>
          <w:rFonts w:hint="eastAsia" w:ascii="宋体" w:hAnsi="宋体" w:cs="宋体"/>
          <w:lang w:val="en-US" w:eastAsia="zh-CN"/>
        </w:rPr>
      </w:pPr>
      <w:r>
        <w:rPr>
          <w:rFonts w:hint="eastAsia" w:ascii="宋体" w:hAnsi="宋体" w:cs="宋体"/>
          <w:lang w:val="en-US" w:eastAsia="zh-CN"/>
        </w:rPr>
        <w:t>（1）投标人提供的货物全部由小型企业、微型企业制造的，提供《中小企业声明函》（第六章 投标文件格式）。</w:t>
      </w:r>
    </w:p>
    <w:p w14:paraId="65E33A12">
      <w:pPr>
        <w:pStyle w:val="37"/>
        <w:widowControl w:val="0"/>
        <w:spacing w:before="0" w:beforeAutospacing="0" w:after="0" w:afterAutospacing="0" w:line="360" w:lineRule="auto"/>
        <w:ind w:firstLine="480"/>
        <w:rPr>
          <w:rFonts w:hint="eastAsia" w:ascii="宋体" w:hAnsi="宋体" w:cs="宋体"/>
          <w:lang w:val="en-US" w:eastAsia="zh-CN"/>
        </w:rPr>
      </w:pPr>
      <w:r>
        <w:rPr>
          <w:rFonts w:hint="eastAsia" w:ascii="宋体" w:hAnsi="宋体" w:cs="宋体"/>
          <w:lang w:val="en-US" w:eastAsia="zh-CN"/>
        </w:rPr>
        <w:t>（2）符合《关于促进残疾人就业政府采购政策的通知》（财库〔2017〕141号）规定的条件并提供《残疾人福利性单位声明函》（第六章 投标文件格式）的残疾人福利性单位视同小型、微型企业。</w:t>
      </w:r>
    </w:p>
    <w:p w14:paraId="1E298600">
      <w:pPr>
        <w:pStyle w:val="37"/>
        <w:widowControl w:val="0"/>
        <w:spacing w:before="0" w:beforeAutospacing="0" w:after="0" w:afterAutospacing="0" w:line="360" w:lineRule="auto"/>
        <w:ind w:firstLine="480"/>
        <w:rPr>
          <w:rFonts w:hint="eastAsia" w:ascii="宋体" w:hAnsi="宋体" w:cs="宋体"/>
          <w:lang w:val="en-US" w:eastAsia="zh-CN"/>
        </w:rPr>
      </w:pPr>
      <w:r>
        <w:rPr>
          <w:rFonts w:hint="eastAsia" w:ascii="宋体" w:hAnsi="宋体" w:cs="宋体"/>
          <w:lang w:val="en-US" w:eastAsia="zh-CN"/>
        </w:rPr>
        <w:t>（3）符合《关于政府采购支持监狱企业发展有关问题的通知》（财库〔2014〕68号）规定的监狱企业并提供省级以上监狱管理局、戒毒管理局（含新疆生产建设兵团）出具的属于监狱企业证明文件的，视同小型、微型企业。</w:t>
      </w:r>
    </w:p>
    <w:p w14:paraId="12CAADCE">
      <w:pPr>
        <w:pStyle w:val="37"/>
        <w:widowControl w:val="0"/>
        <w:spacing w:before="0" w:beforeAutospacing="0" w:after="0" w:afterAutospacing="0" w:line="360" w:lineRule="auto"/>
        <w:ind w:firstLine="480"/>
        <w:rPr>
          <w:rFonts w:hint="eastAsia" w:ascii="宋体" w:hAnsi="宋体" w:cs="宋体"/>
          <w:lang w:val="en-US" w:eastAsia="zh-CN"/>
        </w:rPr>
      </w:pPr>
      <w:r>
        <w:rPr>
          <w:rFonts w:hint="eastAsia" w:ascii="宋体" w:hAnsi="宋体" w:cs="宋体"/>
          <w:lang w:val="en-US" w:eastAsia="zh-CN"/>
        </w:rPr>
        <w:t>35.4 残疾人福利单位、监狱企业属于小型、微型企业的，不重复享受政策。</w:t>
      </w:r>
    </w:p>
    <w:p w14:paraId="047A74E8">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35.5 享受扶持政策获得政府采购合同的，小微型企业不得将合同分包给大中型企业，中型企业不得将合同分包给大型企业。</w:t>
      </w:r>
    </w:p>
    <w:p w14:paraId="68E39D2E">
      <w:pPr>
        <w:spacing w:line="360" w:lineRule="auto"/>
        <w:ind w:firstLine="480"/>
        <w:jc w:val="left"/>
        <w:rPr>
          <w:rFonts w:hint="eastAsia" w:ascii="宋体" w:hAnsi="宋体" w:cs="宋体"/>
          <w:b/>
          <w:bCs/>
          <w:sz w:val="24"/>
        </w:rPr>
      </w:pPr>
      <w:r>
        <w:rPr>
          <w:rFonts w:hint="eastAsia" w:ascii="宋体" w:hAnsi="宋体" w:cs="宋体"/>
          <w:b/>
          <w:bCs/>
          <w:sz w:val="24"/>
        </w:rPr>
        <w:t>36、支持绿色发展</w:t>
      </w:r>
    </w:p>
    <w:p w14:paraId="7F11D0B0">
      <w:pPr>
        <w:spacing w:line="360" w:lineRule="auto"/>
        <w:ind w:firstLine="480"/>
        <w:jc w:val="left"/>
        <w:rPr>
          <w:rFonts w:hint="eastAsia" w:ascii="宋体" w:hAnsi="宋体" w:cs="宋体"/>
          <w:sz w:val="24"/>
        </w:rPr>
      </w:pPr>
      <w:r>
        <w:rPr>
          <w:rFonts w:hint="eastAsia" w:ascii="宋体" w:hAnsi="宋体" w:cs="宋体"/>
          <w:sz w:val="24"/>
        </w:rPr>
        <w:t>36.1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697FEE1D">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BDECA3D">
      <w:pPr>
        <w:spacing w:line="360" w:lineRule="auto"/>
        <w:ind w:firstLine="480"/>
        <w:jc w:val="left"/>
        <w:rPr>
          <w:rFonts w:hint="eastAsia" w:ascii="宋体" w:hAnsi="宋体" w:cs="宋体"/>
          <w:b/>
          <w:bCs/>
          <w:sz w:val="24"/>
        </w:rPr>
      </w:pPr>
      <w:r>
        <w:rPr>
          <w:rFonts w:hint="eastAsia" w:ascii="宋体" w:hAnsi="宋体" w:cs="宋体"/>
          <w:b/>
          <w:bCs/>
          <w:sz w:val="24"/>
        </w:rPr>
        <w:t>37、政府采购需求标准</w:t>
      </w:r>
    </w:p>
    <w:p w14:paraId="5D018217">
      <w:pPr>
        <w:pStyle w:val="37"/>
        <w:widowControl w:val="0"/>
        <w:spacing w:before="0" w:beforeAutospacing="0" w:after="0" w:afterAutospacing="0" w:line="360" w:lineRule="auto"/>
        <w:ind w:firstLine="480"/>
        <w:rPr>
          <w:rFonts w:hint="eastAsia" w:ascii="宋体" w:hAnsi="宋体" w:cs="宋体"/>
        </w:rPr>
      </w:pPr>
      <w:r>
        <w:rPr>
          <w:rFonts w:hint="eastAsia" w:ascii="宋体" w:hAnsi="宋体" w:cs="宋体"/>
        </w:rPr>
        <w:t>37.1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DE896FB">
      <w:pPr>
        <w:pStyle w:val="21"/>
        <w:spacing w:line="360" w:lineRule="auto"/>
        <w:jc w:val="center"/>
        <w:outlineLvl w:val="0"/>
        <w:rPr>
          <w:rStyle w:val="203"/>
          <w:rFonts w:hint="eastAsia" w:ascii="宋体" w:hAnsi="宋体" w:cs="宋体"/>
          <w:sz w:val="44"/>
          <w:szCs w:val="44"/>
        </w:rPr>
      </w:pPr>
      <w:bookmarkStart w:id="177" w:name="_Toc32068"/>
      <w:bookmarkStart w:id="178" w:name="_Toc17511"/>
    </w:p>
    <w:p w14:paraId="3205D3A7">
      <w:pPr>
        <w:pStyle w:val="21"/>
        <w:spacing w:line="360" w:lineRule="auto"/>
        <w:jc w:val="center"/>
        <w:outlineLvl w:val="0"/>
        <w:rPr>
          <w:rStyle w:val="203"/>
          <w:rFonts w:hint="eastAsia" w:ascii="宋体" w:hAnsi="宋体" w:cs="宋体"/>
          <w:sz w:val="44"/>
          <w:szCs w:val="44"/>
        </w:rPr>
      </w:pPr>
    </w:p>
    <w:p w14:paraId="7EF4E0DD">
      <w:pPr>
        <w:pStyle w:val="21"/>
        <w:spacing w:line="360" w:lineRule="auto"/>
        <w:jc w:val="center"/>
        <w:outlineLvl w:val="0"/>
        <w:rPr>
          <w:rStyle w:val="203"/>
          <w:rFonts w:hint="eastAsia" w:ascii="宋体" w:cs="宋体"/>
          <w:sz w:val="44"/>
          <w:szCs w:val="44"/>
        </w:rPr>
      </w:pPr>
      <w:r>
        <w:rPr>
          <w:rStyle w:val="203"/>
          <w:rFonts w:hint="eastAsia" w:ascii="宋体" w:hAnsi="宋体" w:cs="宋体"/>
          <w:sz w:val="44"/>
          <w:szCs w:val="44"/>
        </w:rPr>
        <w:t>第三章 政府采购合同格式</w:t>
      </w:r>
      <w:bookmarkEnd w:id="66"/>
      <w:bookmarkEnd w:id="67"/>
      <w:bookmarkEnd w:id="177"/>
      <w:bookmarkEnd w:id="178"/>
    </w:p>
    <w:p w14:paraId="13637BA5">
      <w:pPr>
        <w:spacing w:line="360" w:lineRule="auto"/>
        <w:ind w:firstLine="480"/>
        <w:rPr>
          <w:rFonts w:ascii="宋体" w:cs="宋体"/>
          <w:sz w:val="24"/>
        </w:rPr>
      </w:pPr>
    </w:p>
    <w:p w14:paraId="6A8B1812">
      <w:pPr>
        <w:spacing w:line="360" w:lineRule="auto"/>
        <w:ind w:firstLine="480"/>
        <w:rPr>
          <w:rFonts w:ascii="宋体" w:cs="宋体"/>
          <w:sz w:val="24"/>
        </w:rPr>
      </w:pPr>
    </w:p>
    <w:p w14:paraId="75274E0A">
      <w:pPr>
        <w:spacing w:line="360" w:lineRule="auto"/>
        <w:ind w:firstLine="480"/>
        <w:rPr>
          <w:rFonts w:ascii="宋体" w:cs="宋体"/>
          <w:sz w:val="24"/>
        </w:rPr>
      </w:pPr>
    </w:p>
    <w:p w14:paraId="7FE9DE39">
      <w:pPr>
        <w:spacing w:line="360" w:lineRule="auto"/>
        <w:ind w:firstLine="640"/>
        <w:rPr>
          <w:rFonts w:ascii="宋体" w:cs="宋体"/>
          <w:sz w:val="32"/>
          <w:szCs w:val="32"/>
        </w:rPr>
      </w:pPr>
    </w:p>
    <w:p w14:paraId="49FF3601">
      <w:pPr>
        <w:ind w:firstLine="2078"/>
        <w:rPr>
          <w:rFonts w:hint="eastAsia" w:ascii="宋体" w:hAnsi="宋体" w:cs="宋体"/>
          <w:b/>
          <w:bCs/>
          <w:sz w:val="52"/>
        </w:rPr>
      </w:pPr>
      <w:r>
        <w:rPr>
          <w:rFonts w:hint="eastAsia" w:ascii="宋体" w:hAnsi="宋体" w:cs="宋体"/>
          <w:b/>
          <w:bCs/>
          <w:sz w:val="52"/>
        </w:rPr>
        <w:t>连 云 港 市 政 府 采 购</w:t>
      </w:r>
    </w:p>
    <w:p w14:paraId="5EC7A398">
      <w:pPr>
        <w:rPr>
          <w:rFonts w:hint="eastAsia" w:ascii="宋体" w:hAnsi="宋体" w:cs="宋体"/>
        </w:rPr>
      </w:pPr>
    </w:p>
    <w:p w14:paraId="2BDBF941">
      <w:pPr>
        <w:ind w:firstLine="883"/>
        <w:jc w:val="center"/>
        <w:rPr>
          <w:rFonts w:hint="eastAsia" w:ascii="宋体" w:hAnsi="宋体" w:cs="宋体"/>
          <w:b/>
          <w:bCs/>
          <w:sz w:val="44"/>
        </w:rPr>
      </w:pPr>
      <w:r>
        <w:rPr>
          <w:rFonts w:hint="eastAsia" w:ascii="宋体" w:hAnsi="宋体" w:cs="宋体"/>
          <w:b/>
          <w:bCs/>
          <w:sz w:val="44"/>
          <w:u w:val="single"/>
        </w:rPr>
        <w:t xml:space="preserve">                    </w:t>
      </w:r>
      <w:r>
        <w:rPr>
          <w:rFonts w:hint="eastAsia" w:ascii="宋体" w:hAnsi="宋体" w:cs="宋体"/>
          <w:b/>
          <w:bCs/>
          <w:sz w:val="44"/>
        </w:rPr>
        <w:t>合同</w:t>
      </w:r>
    </w:p>
    <w:p w14:paraId="30F5EFD5">
      <w:pPr>
        <w:rPr>
          <w:rFonts w:hint="eastAsia" w:ascii="宋体" w:hAnsi="宋体" w:cs="宋体"/>
        </w:rPr>
      </w:pPr>
    </w:p>
    <w:p w14:paraId="65FE8137">
      <w:pPr>
        <w:rPr>
          <w:rFonts w:hint="eastAsia" w:ascii="宋体" w:hAnsi="宋体" w:cs="宋体"/>
          <w:b/>
          <w:bCs/>
          <w:sz w:val="44"/>
          <w:szCs w:val="44"/>
        </w:rPr>
      </w:pPr>
    </w:p>
    <w:p w14:paraId="6FAFF5B7">
      <w:pPr>
        <w:rPr>
          <w:rFonts w:hint="eastAsia" w:ascii="宋体" w:hAnsi="宋体" w:cs="宋体"/>
          <w:sz w:val="44"/>
          <w:szCs w:val="44"/>
        </w:rPr>
      </w:pPr>
    </w:p>
    <w:p w14:paraId="4C726C69">
      <w:pPr>
        <w:ind w:firstLine="1966"/>
        <w:rPr>
          <w:rFonts w:hint="eastAsia" w:ascii="宋体" w:hAnsi="宋体" w:cs="宋体"/>
          <w:b/>
          <w:bCs/>
          <w:sz w:val="44"/>
          <w:szCs w:val="44"/>
        </w:rPr>
      </w:pPr>
      <w:r>
        <w:rPr>
          <w:rFonts w:hint="eastAsia" w:ascii="宋体" w:hAnsi="宋体" w:cs="宋体"/>
          <w:b/>
          <w:bCs/>
          <w:sz w:val="44"/>
          <w:szCs w:val="44"/>
        </w:rPr>
        <w:t>合同编号：</w:t>
      </w:r>
    </w:p>
    <w:p w14:paraId="5CB5C698">
      <w:pPr>
        <w:ind w:firstLine="880"/>
        <w:rPr>
          <w:rFonts w:hint="eastAsia" w:ascii="宋体" w:hAnsi="宋体" w:cs="宋体"/>
          <w:sz w:val="44"/>
        </w:rPr>
      </w:pPr>
    </w:p>
    <w:p w14:paraId="449095E0">
      <w:pPr>
        <w:ind w:firstLine="880"/>
        <w:rPr>
          <w:rFonts w:hint="eastAsia" w:ascii="宋体" w:hAnsi="宋体" w:cs="宋体"/>
          <w:sz w:val="44"/>
        </w:rPr>
      </w:pPr>
    </w:p>
    <w:p w14:paraId="79D29859">
      <w:pPr>
        <w:ind w:firstLine="880"/>
        <w:rPr>
          <w:rFonts w:hint="eastAsia" w:ascii="宋体" w:hAnsi="宋体" w:cs="宋体"/>
          <w:sz w:val="44"/>
        </w:rPr>
      </w:pPr>
    </w:p>
    <w:p w14:paraId="1F2B96B4">
      <w:pPr>
        <w:ind w:firstLine="1758"/>
        <w:rPr>
          <w:rFonts w:hint="eastAsia" w:ascii="宋体" w:hAnsi="宋体" w:cs="宋体"/>
          <w:b/>
          <w:bCs/>
          <w:sz w:val="44"/>
        </w:rPr>
      </w:pPr>
      <w:r>
        <w:rPr>
          <w:rFonts w:hint="eastAsia" w:ascii="宋体" w:hAnsi="宋体" w:cs="宋体"/>
          <w:b/>
          <w:bCs/>
          <w:sz w:val="44"/>
        </w:rPr>
        <w:t>采购人：</w:t>
      </w:r>
    </w:p>
    <w:p w14:paraId="66414158">
      <w:pPr>
        <w:ind w:firstLine="1758"/>
        <w:rPr>
          <w:rFonts w:hint="eastAsia" w:ascii="宋体" w:hAnsi="宋体" w:cs="宋体"/>
          <w:b/>
          <w:bCs/>
          <w:sz w:val="44"/>
        </w:rPr>
      </w:pPr>
      <w:r>
        <w:rPr>
          <w:rFonts w:hint="eastAsia" w:ascii="宋体" w:hAnsi="宋体" w:cs="宋体"/>
          <w:b/>
          <w:bCs/>
          <w:sz w:val="44"/>
        </w:rPr>
        <w:t>中标人：</w:t>
      </w:r>
    </w:p>
    <w:p w14:paraId="7074B185">
      <w:pPr>
        <w:ind w:firstLine="480"/>
        <w:rPr>
          <w:rFonts w:hint="eastAsia" w:ascii="宋体" w:hAnsi="宋体" w:cs="宋体"/>
        </w:rPr>
      </w:pPr>
    </w:p>
    <w:p w14:paraId="47CB3261">
      <w:pPr>
        <w:ind w:firstLine="480"/>
        <w:rPr>
          <w:rFonts w:hint="eastAsia" w:ascii="宋体" w:hAnsi="宋体" w:cs="宋体"/>
          <w:bCs/>
        </w:rPr>
      </w:pPr>
    </w:p>
    <w:p w14:paraId="59587ED7">
      <w:pPr>
        <w:ind w:firstLine="480"/>
        <w:rPr>
          <w:rFonts w:hint="eastAsia" w:ascii="宋体" w:hAnsi="宋体" w:cs="宋体"/>
          <w:bCs/>
        </w:rPr>
      </w:pPr>
    </w:p>
    <w:p w14:paraId="3306E283">
      <w:pPr>
        <w:ind w:firstLine="480"/>
        <w:rPr>
          <w:rFonts w:hint="eastAsia" w:ascii="宋体" w:hAnsi="宋体" w:cs="宋体"/>
          <w:bCs/>
        </w:rPr>
      </w:pPr>
    </w:p>
    <w:p w14:paraId="2A2C7E5A">
      <w:pPr>
        <w:rPr>
          <w:rFonts w:hint="eastAsia" w:ascii="宋体" w:hAnsi="宋体" w:cs="宋体"/>
          <w:bCs/>
        </w:rPr>
      </w:pPr>
    </w:p>
    <w:p w14:paraId="07F81678">
      <w:pPr>
        <w:ind w:firstLine="480"/>
        <w:rPr>
          <w:rFonts w:hint="eastAsia" w:ascii="宋体" w:hAnsi="宋体" w:cs="宋体"/>
          <w:bCs/>
        </w:rPr>
      </w:pPr>
    </w:p>
    <w:p w14:paraId="5382AFEA">
      <w:pPr>
        <w:ind w:firstLine="480"/>
        <w:rPr>
          <w:rFonts w:hint="eastAsia" w:ascii="宋体" w:hAnsi="宋体" w:cs="宋体"/>
          <w:bCs/>
        </w:rPr>
      </w:pPr>
    </w:p>
    <w:p w14:paraId="57A3984C">
      <w:pPr>
        <w:spacing w:line="360" w:lineRule="auto"/>
        <w:ind w:firstLine="482"/>
        <w:rPr>
          <w:rFonts w:hint="eastAsia" w:ascii="宋体" w:hAnsi="宋体" w:cs="宋体"/>
          <w:b/>
          <w:bCs/>
          <w:sz w:val="24"/>
        </w:rPr>
      </w:pPr>
      <w:r>
        <w:rPr>
          <w:rFonts w:hint="eastAsia" w:ascii="宋体" w:hAnsi="宋体" w:cs="宋体"/>
          <w:bCs/>
          <w:sz w:val="24"/>
        </w:rPr>
        <w:t>以下为中标后签订本项目合同的通用条款，中标人不得提出实质性的修改，关于专用条款将由采购人与中标人结合本项目具体情况协商后签订。</w:t>
      </w:r>
    </w:p>
    <w:p w14:paraId="3A1671DA">
      <w:pPr>
        <w:spacing w:line="360" w:lineRule="auto"/>
        <w:jc w:val="left"/>
        <w:rPr>
          <w:rFonts w:hint="eastAsia" w:ascii="宋体" w:hAnsi="宋体" w:cs="宋体"/>
        </w:rPr>
      </w:pPr>
      <w:r>
        <w:rPr>
          <w:rFonts w:hint="eastAsia" w:ascii="宋体" w:hAnsi="宋体" w:cs="宋体"/>
        </w:rPr>
        <w:br w:type="page" w:clear="all"/>
      </w:r>
    </w:p>
    <w:p w14:paraId="0A1A94A9">
      <w:pPr>
        <w:spacing w:line="360" w:lineRule="auto"/>
        <w:jc w:val="center"/>
        <w:rPr>
          <w:rFonts w:hint="eastAsia" w:ascii="宋体" w:hAnsi="宋体" w:cs="宋体"/>
          <w:b/>
          <w:bCs/>
          <w:szCs w:val="21"/>
        </w:rPr>
      </w:pPr>
      <w:r>
        <w:rPr>
          <w:rFonts w:hint="eastAsia" w:ascii="宋体" w:hAnsi="宋体" w:cs="宋体"/>
          <w:b/>
          <w:szCs w:val="21"/>
        </w:rPr>
        <w:t>一、政府采购合同</w:t>
      </w:r>
    </w:p>
    <w:p w14:paraId="38C5D06A">
      <w:pPr>
        <w:pStyle w:val="21"/>
        <w:snapToGrid w:val="0"/>
        <w:spacing w:line="360" w:lineRule="auto"/>
        <w:ind w:firstLine="420" w:firstLineChars="200"/>
        <w:rPr>
          <w:rFonts w:hint="eastAsia" w:hAnsi="宋体" w:cs="宋体"/>
        </w:rPr>
      </w:pPr>
      <w:r>
        <w:rPr>
          <w:rFonts w:hint="eastAsia" w:hAnsi="宋体" w:cs="宋体"/>
        </w:rPr>
        <w:t>项目名称：灌南县农机化技术推广服务站智能化稻麦轮作农机装备与技术集成示范项目</w:t>
      </w:r>
    </w:p>
    <w:p w14:paraId="17D9551E">
      <w:pPr>
        <w:pStyle w:val="21"/>
        <w:snapToGrid w:val="0"/>
        <w:spacing w:line="360" w:lineRule="auto"/>
        <w:ind w:firstLine="420" w:firstLineChars="200"/>
        <w:rPr>
          <w:rFonts w:hint="eastAsia" w:hAnsi="宋体" w:cs="宋体"/>
        </w:rPr>
      </w:pPr>
      <w:r>
        <w:rPr>
          <w:rFonts w:hint="eastAsia" w:hAnsi="宋体" w:cs="宋体"/>
        </w:rPr>
        <w:t>甲方（买方）：灌南县农机化技术推广服务站</w:t>
      </w:r>
    </w:p>
    <w:p w14:paraId="07A314E0">
      <w:pPr>
        <w:pStyle w:val="21"/>
        <w:snapToGrid w:val="0"/>
        <w:spacing w:line="360" w:lineRule="auto"/>
        <w:ind w:firstLine="420" w:firstLineChars="200"/>
        <w:rPr>
          <w:rFonts w:hint="eastAsia" w:hAnsi="宋体" w:cs="宋体"/>
        </w:rPr>
      </w:pPr>
      <w:r>
        <w:rPr>
          <w:rFonts w:hint="eastAsia" w:hAnsi="宋体" w:cs="宋体"/>
        </w:rPr>
        <w:t>乙方（卖方）：</w:t>
      </w:r>
    </w:p>
    <w:p w14:paraId="166498F7">
      <w:pPr>
        <w:pStyle w:val="21"/>
        <w:snapToGrid w:val="0"/>
        <w:spacing w:line="360" w:lineRule="auto"/>
        <w:ind w:left="420" w:leftChars="200" w:firstLine="420" w:firstLineChars="200"/>
        <w:rPr>
          <w:rFonts w:hint="eastAsia" w:hAnsi="宋体" w:cs="宋体"/>
          <w:bCs/>
        </w:rPr>
      </w:pPr>
      <w:r>
        <w:rPr>
          <w:rFonts w:hint="eastAsia" w:hAnsi="宋体" w:cs="宋体"/>
          <w:bCs/>
        </w:rPr>
        <w:t>甲、乙双方根据</w:t>
      </w:r>
      <w:r>
        <w:rPr>
          <w:rFonts w:hint="eastAsia" w:hAnsi="宋体" w:cs="宋体"/>
          <w:bCs/>
          <w:u w:val="single"/>
        </w:rPr>
        <w:t xml:space="preserve">    </w:t>
      </w:r>
      <w:r>
        <w:rPr>
          <w:rFonts w:hint="eastAsia" w:hAnsi="宋体" w:cs="宋体"/>
          <w:bCs/>
        </w:rPr>
        <w:t>年</w:t>
      </w:r>
      <w:r>
        <w:rPr>
          <w:rFonts w:hint="eastAsia" w:hAnsi="宋体" w:cs="宋体"/>
          <w:bCs/>
          <w:u w:val="single"/>
        </w:rPr>
        <w:t xml:space="preserve">    </w:t>
      </w:r>
      <w:r>
        <w:rPr>
          <w:rFonts w:hint="eastAsia" w:hAnsi="宋体" w:cs="宋体"/>
          <w:bCs/>
        </w:rPr>
        <w:t>月</w:t>
      </w:r>
      <w:r>
        <w:rPr>
          <w:rFonts w:hint="eastAsia" w:hAnsi="宋体" w:cs="宋体"/>
          <w:bCs/>
          <w:u w:val="single"/>
        </w:rPr>
        <w:t xml:space="preserve">     </w:t>
      </w:r>
      <w:r>
        <w:rPr>
          <w:rFonts w:hint="eastAsia" w:hAnsi="宋体" w:cs="宋体"/>
          <w:bCs/>
        </w:rPr>
        <w:t>日连云港市政府采购交易平台本项目的采购结果，甲方接收乙方为本项目</w:t>
      </w:r>
      <w:r>
        <w:rPr>
          <w:rFonts w:hint="eastAsia" w:hAnsi="宋体" w:cs="宋体"/>
          <w:bCs/>
          <w:u w:val="single"/>
        </w:rPr>
        <w:t xml:space="preserve"> </w:t>
      </w:r>
      <w:r>
        <w:rPr>
          <w:rFonts w:hint="eastAsia" w:hAnsi="宋体" w:cs="宋体"/>
          <w:u w:val="single"/>
        </w:rPr>
        <w:t>灌南县农机化技术推广服务站智能化稻麦轮作农机装备与技术集成示范项目</w:t>
      </w:r>
      <w:r>
        <w:rPr>
          <w:rFonts w:hint="eastAsia" w:hAnsi="宋体" w:cs="宋体"/>
          <w:bCs/>
        </w:rPr>
        <w:t>所做的投标文件，乙方必须完全按照招标文件、中标通知书以及投标文件中的项目履行义务。甲乙双方同意签署本合同（以下简称合同）。</w:t>
      </w:r>
    </w:p>
    <w:p w14:paraId="2C4CE910">
      <w:pPr>
        <w:pStyle w:val="21"/>
        <w:snapToGrid w:val="0"/>
        <w:spacing w:line="360" w:lineRule="auto"/>
        <w:ind w:left="420" w:leftChars="200"/>
        <w:rPr>
          <w:rFonts w:hint="eastAsia" w:hAnsi="宋体" w:cs="宋体"/>
          <w:b/>
        </w:rPr>
      </w:pPr>
      <w:r>
        <w:rPr>
          <w:rFonts w:hint="eastAsia" w:hAnsi="宋体" w:cs="宋体"/>
          <w:b/>
        </w:rPr>
        <w:t>一、货物内容</w:t>
      </w:r>
    </w:p>
    <w:p w14:paraId="1D95E088">
      <w:pPr>
        <w:pStyle w:val="21"/>
        <w:snapToGrid w:val="0"/>
        <w:spacing w:line="360" w:lineRule="auto"/>
        <w:ind w:firstLine="420" w:firstLineChars="200"/>
        <w:rPr>
          <w:rFonts w:hint="eastAsia" w:hAnsi="宋体" w:cs="宋体"/>
        </w:rPr>
      </w:pPr>
      <w:r>
        <w:rPr>
          <w:rFonts w:hint="eastAsia" w:hAnsi="宋体" w:cs="宋体"/>
        </w:rPr>
        <w:t>1.1 货物名称：</w:t>
      </w:r>
    </w:p>
    <w:p w14:paraId="19D39375">
      <w:pPr>
        <w:pStyle w:val="21"/>
        <w:snapToGrid w:val="0"/>
        <w:spacing w:line="360" w:lineRule="auto"/>
        <w:ind w:firstLine="420" w:firstLineChars="200"/>
        <w:rPr>
          <w:rFonts w:hint="eastAsia" w:hAnsi="宋体" w:cs="宋体"/>
        </w:rPr>
      </w:pPr>
      <w:r>
        <w:rPr>
          <w:rFonts w:hint="eastAsia" w:hAnsi="宋体" w:cs="宋体"/>
        </w:rPr>
        <w:t>1.2 型号规格及数量：</w:t>
      </w:r>
    </w:p>
    <w:p w14:paraId="64CC9F02">
      <w:pPr>
        <w:pStyle w:val="21"/>
        <w:snapToGrid w:val="0"/>
        <w:spacing w:line="360" w:lineRule="auto"/>
        <w:ind w:firstLine="420" w:firstLineChars="200"/>
        <w:rPr>
          <w:rFonts w:hint="eastAsia" w:hAnsi="宋体" w:cs="宋体"/>
        </w:rPr>
      </w:pPr>
      <w:r>
        <w:rPr>
          <w:rFonts w:hint="eastAsia" w:hAnsi="宋体" w:cs="宋体"/>
        </w:rPr>
        <w:t>1.3 技术要求：</w:t>
      </w:r>
    </w:p>
    <w:p w14:paraId="18FCEFB6">
      <w:pPr>
        <w:pStyle w:val="21"/>
        <w:snapToGrid w:val="0"/>
        <w:spacing w:line="360" w:lineRule="auto"/>
        <w:ind w:firstLine="420" w:firstLineChars="200"/>
        <w:rPr>
          <w:rFonts w:hint="eastAsia" w:hAnsi="宋体" w:cs="宋体"/>
          <w:b/>
        </w:rPr>
      </w:pPr>
      <w:r>
        <w:rPr>
          <w:rFonts w:hint="eastAsia" w:hAnsi="宋体" w:cs="宋体"/>
        </w:rPr>
        <w:t>1.4 合同履行期限：</w:t>
      </w:r>
    </w:p>
    <w:p w14:paraId="3A84E6BE">
      <w:pPr>
        <w:pStyle w:val="21"/>
        <w:snapToGrid w:val="0"/>
        <w:spacing w:line="360" w:lineRule="auto"/>
        <w:ind w:firstLine="422" w:firstLineChars="200"/>
        <w:rPr>
          <w:rFonts w:hint="eastAsia" w:hAnsi="宋体" w:cs="宋体"/>
          <w:b/>
        </w:rPr>
      </w:pPr>
      <w:r>
        <w:rPr>
          <w:rFonts w:hint="eastAsia" w:hAnsi="宋体" w:cs="宋体"/>
          <w:b/>
        </w:rPr>
        <w:t>二、合同金额</w:t>
      </w:r>
    </w:p>
    <w:p w14:paraId="1794E7C2">
      <w:pPr>
        <w:pStyle w:val="21"/>
        <w:snapToGrid w:val="0"/>
        <w:spacing w:line="360" w:lineRule="auto"/>
        <w:ind w:firstLine="420" w:firstLineChars="200"/>
        <w:rPr>
          <w:rFonts w:hint="eastAsia" w:hAnsi="宋体" w:cs="宋体"/>
        </w:rPr>
      </w:pPr>
      <w:r>
        <w:rPr>
          <w:rFonts w:hint="eastAsia" w:hAnsi="宋体" w:cs="宋体"/>
        </w:rPr>
        <w:t>2.1 本合同金额为（大写）：_______元（¥_________元）人民币。</w:t>
      </w:r>
    </w:p>
    <w:p w14:paraId="468BC40F">
      <w:pPr>
        <w:pStyle w:val="21"/>
        <w:snapToGrid w:val="0"/>
        <w:spacing w:line="360" w:lineRule="auto"/>
        <w:ind w:firstLine="420" w:firstLineChars="200"/>
        <w:rPr>
          <w:rFonts w:hint="eastAsia" w:hAnsi="宋体" w:cs="宋体"/>
        </w:rPr>
      </w:pPr>
      <w:r>
        <w:rPr>
          <w:rFonts w:hint="eastAsia" w:hAnsi="宋体" w:cs="宋体"/>
        </w:rPr>
        <w:t>2.2 本合同价款包含报价包含但不限于全部设备、辅助材料、备品、备件、安装、集成、调试、质保、人工、维保、运输、人员培训、技术支持、税金等直至验收交付使用后至服务期满的全部费用。（包含所有隐含的内容）</w:t>
      </w:r>
    </w:p>
    <w:p w14:paraId="7AED5155">
      <w:pPr>
        <w:pStyle w:val="21"/>
        <w:snapToGrid w:val="0"/>
        <w:spacing w:line="360" w:lineRule="auto"/>
        <w:ind w:firstLine="422" w:firstLineChars="200"/>
        <w:rPr>
          <w:rFonts w:hint="eastAsia" w:hAnsi="宋体" w:cs="宋体"/>
          <w:b/>
        </w:rPr>
      </w:pPr>
      <w:r>
        <w:rPr>
          <w:rFonts w:hint="eastAsia" w:hAnsi="宋体" w:cs="宋体"/>
          <w:b/>
        </w:rPr>
        <w:t>三、技术资料</w:t>
      </w:r>
    </w:p>
    <w:p w14:paraId="7D561A91">
      <w:pPr>
        <w:pStyle w:val="21"/>
        <w:snapToGrid w:val="0"/>
        <w:spacing w:line="360" w:lineRule="auto"/>
        <w:ind w:firstLine="420" w:firstLineChars="200"/>
        <w:rPr>
          <w:rFonts w:hint="eastAsia" w:hAnsi="宋体" w:cs="宋体"/>
        </w:rPr>
      </w:pPr>
      <w:r>
        <w:rPr>
          <w:rFonts w:hint="eastAsia" w:hAnsi="宋体" w:cs="宋体"/>
        </w:rPr>
        <w:t>3.1 甲方向乙方提供货物的有关技术资料。</w:t>
      </w:r>
    </w:p>
    <w:p w14:paraId="6B463412">
      <w:pPr>
        <w:pStyle w:val="21"/>
        <w:snapToGrid w:val="0"/>
        <w:spacing w:line="360" w:lineRule="auto"/>
        <w:ind w:firstLine="420" w:firstLineChars="200"/>
        <w:rPr>
          <w:rFonts w:hint="eastAsia" w:hAnsi="宋体" w:cs="宋体"/>
        </w:rPr>
      </w:pPr>
      <w:r>
        <w:rPr>
          <w:rFonts w:hint="eastAsia" w:hAnsi="宋体" w:cs="宋体"/>
        </w:rPr>
        <w:t>3.2 乙方应按采购文件规定的时间向甲方提供使用货物的有关技术资料。</w:t>
      </w:r>
    </w:p>
    <w:p w14:paraId="7F487911">
      <w:pPr>
        <w:pStyle w:val="21"/>
        <w:snapToGrid w:val="0"/>
        <w:spacing w:line="360" w:lineRule="auto"/>
        <w:ind w:firstLine="420" w:firstLineChars="200"/>
        <w:rPr>
          <w:rFonts w:hint="eastAsia" w:hAnsi="宋体" w:cs="宋体"/>
        </w:rPr>
      </w:pPr>
      <w:r>
        <w:rPr>
          <w:rFonts w:hint="eastAsia" w:hAnsi="宋体" w:cs="宋体"/>
        </w:rPr>
        <w:t>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A597BFC">
      <w:pPr>
        <w:pStyle w:val="21"/>
        <w:snapToGrid w:val="0"/>
        <w:spacing w:line="360" w:lineRule="auto"/>
        <w:ind w:firstLine="422" w:firstLineChars="200"/>
        <w:rPr>
          <w:rFonts w:hint="eastAsia" w:hAnsi="宋体" w:cs="宋体"/>
          <w:b/>
        </w:rPr>
      </w:pPr>
      <w:r>
        <w:rPr>
          <w:rFonts w:hint="eastAsia" w:hAnsi="宋体" w:cs="宋体"/>
          <w:b/>
        </w:rPr>
        <w:t>四、知识产权</w:t>
      </w:r>
    </w:p>
    <w:p w14:paraId="75F6414B">
      <w:pPr>
        <w:pStyle w:val="21"/>
        <w:snapToGrid w:val="0"/>
        <w:spacing w:line="360" w:lineRule="auto"/>
        <w:ind w:firstLine="420" w:firstLineChars="200"/>
        <w:rPr>
          <w:rFonts w:hint="eastAsia" w:hAnsi="宋体" w:cs="宋体"/>
        </w:rPr>
      </w:pPr>
      <w:r>
        <w:rPr>
          <w:rFonts w:hint="eastAsia" w:hAnsi="宋体" w:cs="宋体"/>
        </w:rPr>
        <w:t>4.1 乙方应保证所提供的货物或其任何一部分均不会侵犯任何第三方的专利权、商标权或著作权</w:t>
      </w:r>
      <w:r>
        <w:rPr>
          <w:rFonts w:hint="eastAsia" w:hAnsi="宋体" w:cs="宋体"/>
          <w:b/>
          <w:bCs/>
        </w:rPr>
        <w:t>。</w:t>
      </w:r>
    </w:p>
    <w:p w14:paraId="0333D6C8">
      <w:pPr>
        <w:pStyle w:val="21"/>
        <w:snapToGrid w:val="0"/>
        <w:spacing w:line="360" w:lineRule="auto"/>
        <w:ind w:firstLine="422" w:firstLineChars="200"/>
        <w:rPr>
          <w:rFonts w:hint="eastAsia" w:hAnsi="宋体" w:cs="宋体"/>
          <w:u w:val="single"/>
        </w:rPr>
      </w:pPr>
      <w:r>
        <w:rPr>
          <w:rFonts w:hint="eastAsia" w:hAnsi="宋体" w:cs="宋体"/>
          <w:b/>
        </w:rPr>
        <w:t>五、无产权瑕疵条款</w:t>
      </w:r>
    </w:p>
    <w:p w14:paraId="76C365EF">
      <w:pPr>
        <w:snapToGrid w:val="0"/>
        <w:spacing w:line="360" w:lineRule="auto"/>
        <w:ind w:firstLine="480"/>
        <w:rPr>
          <w:rFonts w:hint="eastAsia" w:ascii="宋体" w:hAnsi="宋体" w:cs="宋体"/>
        </w:rPr>
      </w:pPr>
      <w:r>
        <w:rPr>
          <w:rFonts w:hint="eastAsia" w:ascii="宋体" w:hAnsi="宋体" w:cs="宋体"/>
        </w:rPr>
        <w:t>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p>
    <w:p w14:paraId="412A7345">
      <w:pPr>
        <w:snapToGrid w:val="0"/>
        <w:spacing w:line="360" w:lineRule="auto"/>
        <w:ind w:firstLine="480"/>
        <w:rPr>
          <w:rFonts w:hint="eastAsia" w:ascii="宋体" w:hAnsi="宋体" w:cs="宋体"/>
          <w:szCs w:val="21"/>
        </w:rPr>
      </w:pPr>
      <w:r>
        <w:rPr>
          <w:rFonts w:hint="eastAsia" w:ascii="宋体" w:hAnsi="宋体" w:cs="宋体"/>
          <w:szCs w:val="21"/>
        </w:rPr>
        <w:t>5.2乙方必须保证所提供的货物是目前最先进的、是用一流的工艺和最佳材料制造而成的，并完全符合合同规定的质量、规格和性能的要求。</w:t>
      </w:r>
    </w:p>
    <w:p w14:paraId="1494E8C6">
      <w:pPr>
        <w:snapToGrid w:val="0"/>
        <w:spacing w:line="360" w:lineRule="auto"/>
        <w:ind w:firstLine="480"/>
        <w:rPr>
          <w:rFonts w:hint="eastAsia" w:ascii="宋体" w:hAnsi="宋体" w:cs="宋体"/>
          <w:szCs w:val="21"/>
        </w:rPr>
      </w:pPr>
      <w:r>
        <w:rPr>
          <w:rFonts w:hint="eastAsia" w:ascii="宋体" w:hAnsi="宋体" w:cs="宋体"/>
          <w:szCs w:val="21"/>
        </w:rPr>
        <w:t>5.3乙方必须保证所供全部货物完全符合招标文件、投标文件和国家行业标准的要求。</w:t>
      </w:r>
    </w:p>
    <w:p w14:paraId="2FB2AB14">
      <w:pPr>
        <w:snapToGrid w:val="0"/>
        <w:spacing w:line="360" w:lineRule="auto"/>
        <w:ind w:firstLine="480"/>
        <w:rPr>
          <w:rFonts w:hint="eastAsia" w:ascii="宋体" w:hAnsi="宋体" w:cs="宋体"/>
          <w:szCs w:val="21"/>
        </w:rPr>
      </w:pPr>
      <w:r>
        <w:rPr>
          <w:rFonts w:hint="eastAsia" w:ascii="宋体" w:hAnsi="宋体" w:cs="宋体"/>
          <w:szCs w:val="21"/>
        </w:rPr>
        <w:t>5.4乙方所供的全部货物必须通过甲方验收合格，验收标准按国家有关标准执行。</w:t>
      </w:r>
    </w:p>
    <w:p w14:paraId="7459EC1D">
      <w:pPr>
        <w:snapToGrid w:val="0"/>
        <w:spacing w:line="360" w:lineRule="auto"/>
        <w:ind w:firstLine="480"/>
        <w:rPr>
          <w:rFonts w:hint="eastAsia" w:ascii="宋体" w:hAnsi="宋体" w:cs="宋体"/>
          <w:b/>
        </w:rPr>
      </w:pPr>
      <w:r>
        <w:rPr>
          <w:rFonts w:hint="eastAsia" w:ascii="宋体" w:hAnsi="宋体" w:cs="宋体"/>
          <w:szCs w:val="21"/>
        </w:rPr>
        <w:t>5.5乙方所供的全部货物必须通过相关部门检测合格。</w:t>
      </w:r>
    </w:p>
    <w:p w14:paraId="38C40A2C">
      <w:pPr>
        <w:pStyle w:val="21"/>
        <w:snapToGrid w:val="0"/>
        <w:spacing w:line="360" w:lineRule="auto"/>
        <w:ind w:firstLine="422" w:firstLineChars="200"/>
        <w:rPr>
          <w:rFonts w:hint="eastAsia" w:hAnsi="宋体" w:cs="宋体"/>
          <w:b/>
        </w:rPr>
      </w:pPr>
      <w:r>
        <w:rPr>
          <w:rFonts w:hint="eastAsia" w:hAnsi="宋体" w:cs="宋体"/>
          <w:b/>
        </w:rPr>
        <w:t>六、履约保证金(本项目不收取履约保证金)</w:t>
      </w:r>
    </w:p>
    <w:p w14:paraId="53C71AB7">
      <w:pPr>
        <w:pStyle w:val="21"/>
        <w:snapToGrid w:val="0"/>
        <w:spacing w:line="360" w:lineRule="auto"/>
        <w:ind w:firstLine="422" w:firstLineChars="200"/>
        <w:rPr>
          <w:rFonts w:hint="eastAsia" w:hAnsi="宋体" w:cs="宋体"/>
        </w:rPr>
      </w:pPr>
      <w:r>
        <w:rPr>
          <w:rFonts w:hint="eastAsia" w:hAnsi="宋体" w:cs="宋体"/>
          <w:b/>
        </w:rPr>
        <w:t>七、质保期</w:t>
      </w:r>
    </w:p>
    <w:p w14:paraId="1858CB6E">
      <w:pPr>
        <w:pStyle w:val="21"/>
        <w:snapToGrid w:val="0"/>
        <w:spacing w:line="360" w:lineRule="auto"/>
        <w:ind w:firstLine="420" w:firstLineChars="200"/>
        <w:rPr>
          <w:rFonts w:hint="eastAsia" w:hAnsi="宋体" w:cs="宋体"/>
        </w:rPr>
      </w:pPr>
      <w:r>
        <w:rPr>
          <w:rFonts w:hint="eastAsia" w:hAnsi="宋体" w:cs="宋体"/>
        </w:rPr>
        <w:t>7.1 质保期</w:t>
      </w:r>
      <w:r>
        <w:rPr>
          <w:rFonts w:hint="eastAsia" w:hAnsi="宋体" w:cs="宋体"/>
          <w:u w:val="single"/>
        </w:rPr>
        <w:t xml:space="preserve">  2   </w:t>
      </w:r>
      <w:r>
        <w:rPr>
          <w:rFonts w:hint="eastAsia" w:hAnsi="宋体" w:cs="宋体"/>
        </w:rPr>
        <w:t>年。（从最终验收合格交付甲方后开始计算）</w:t>
      </w:r>
    </w:p>
    <w:p w14:paraId="2180F27C">
      <w:pPr>
        <w:pStyle w:val="21"/>
        <w:snapToGrid w:val="0"/>
        <w:spacing w:line="360" w:lineRule="auto"/>
        <w:ind w:firstLine="422" w:firstLineChars="200"/>
        <w:rPr>
          <w:rFonts w:hint="eastAsia" w:hAnsi="宋体" w:cs="宋体"/>
          <w:b/>
        </w:rPr>
      </w:pPr>
      <w:r>
        <w:rPr>
          <w:rFonts w:hint="eastAsia" w:hAnsi="宋体" w:cs="宋体"/>
          <w:b/>
        </w:rPr>
        <w:t>八、交货期、交货方式及交货地点</w:t>
      </w:r>
    </w:p>
    <w:p w14:paraId="6AE34960">
      <w:pPr>
        <w:pStyle w:val="21"/>
        <w:snapToGrid w:val="0"/>
        <w:spacing w:line="360" w:lineRule="auto"/>
        <w:ind w:firstLine="420" w:firstLineChars="200"/>
        <w:rPr>
          <w:rFonts w:hint="eastAsia" w:hAnsi="宋体" w:cs="宋体"/>
          <w:bCs/>
        </w:rPr>
      </w:pPr>
      <w:r>
        <w:rPr>
          <w:rFonts w:hint="eastAsia" w:hAnsi="宋体" w:cs="宋体"/>
          <w:bCs/>
        </w:rPr>
        <w:t>8.1 交货期：</w:t>
      </w:r>
      <w:r>
        <w:rPr>
          <w:rFonts w:hint="eastAsia" w:hAnsi="宋体" w:cs="宋体"/>
          <w:bCs/>
          <w:u w:val="single"/>
        </w:rPr>
        <w:t xml:space="preserve">  100日历天     </w:t>
      </w:r>
      <w:r>
        <w:rPr>
          <w:rFonts w:hint="eastAsia" w:hAnsi="宋体" w:cs="宋体"/>
          <w:bCs/>
        </w:rPr>
        <w:t>。</w:t>
      </w:r>
    </w:p>
    <w:p w14:paraId="2C82C8E9">
      <w:pPr>
        <w:pStyle w:val="21"/>
        <w:snapToGrid w:val="0"/>
        <w:spacing w:line="360" w:lineRule="auto"/>
        <w:ind w:firstLine="420" w:firstLineChars="200"/>
        <w:rPr>
          <w:rFonts w:hint="eastAsia" w:hAnsi="宋体" w:cs="宋体"/>
          <w:bCs/>
        </w:rPr>
      </w:pPr>
      <w:r>
        <w:rPr>
          <w:rFonts w:hint="eastAsia" w:hAnsi="宋体" w:cs="宋体"/>
          <w:bCs/>
        </w:rPr>
        <w:t>8.2 交货方式：</w:t>
      </w:r>
      <w:r>
        <w:rPr>
          <w:rFonts w:hint="eastAsia" w:hAnsi="宋体" w:cs="宋体"/>
          <w:bCs/>
          <w:u w:val="single"/>
        </w:rPr>
        <w:t xml:space="preserve">        </w:t>
      </w:r>
      <w:r>
        <w:rPr>
          <w:rFonts w:hint="eastAsia" w:hAnsi="宋体" w:cs="宋体"/>
          <w:bCs/>
        </w:rPr>
        <w:t>。</w:t>
      </w:r>
    </w:p>
    <w:p w14:paraId="30624ED0">
      <w:pPr>
        <w:pStyle w:val="21"/>
        <w:snapToGrid w:val="0"/>
        <w:spacing w:line="360" w:lineRule="auto"/>
        <w:ind w:firstLine="420" w:firstLineChars="200"/>
        <w:rPr>
          <w:rFonts w:hint="eastAsia" w:hAnsi="宋体" w:cs="宋体"/>
          <w:b/>
        </w:rPr>
      </w:pPr>
      <w:r>
        <w:rPr>
          <w:rFonts w:hint="eastAsia" w:hAnsi="宋体" w:cs="宋体"/>
          <w:bCs/>
        </w:rPr>
        <w:t>8.3 交货地点：</w:t>
      </w:r>
      <w:r>
        <w:rPr>
          <w:rFonts w:hint="eastAsia" w:hAnsi="宋体" w:cs="宋体"/>
          <w:bCs/>
          <w:u w:val="single"/>
        </w:rPr>
        <w:t xml:space="preserve"> 甲方指定  </w:t>
      </w:r>
      <w:r>
        <w:rPr>
          <w:rFonts w:hint="eastAsia" w:hAnsi="宋体" w:cs="宋体"/>
          <w:bCs/>
        </w:rPr>
        <w:t>。</w:t>
      </w:r>
    </w:p>
    <w:p w14:paraId="467655EF">
      <w:pPr>
        <w:pStyle w:val="21"/>
        <w:snapToGrid w:val="0"/>
        <w:spacing w:line="360" w:lineRule="auto"/>
        <w:ind w:firstLine="422" w:firstLineChars="200"/>
        <w:rPr>
          <w:rFonts w:hint="eastAsia" w:hAnsi="宋体" w:cs="宋体"/>
          <w:b/>
        </w:rPr>
      </w:pPr>
      <w:r>
        <w:rPr>
          <w:rFonts w:hint="eastAsia" w:hAnsi="宋体" w:cs="宋体"/>
          <w:b/>
        </w:rPr>
        <w:t>九、合同款支付</w:t>
      </w:r>
    </w:p>
    <w:p w14:paraId="44CB7988">
      <w:pPr>
        <w:snapToGrid w:val="0"/>
        <w:spacing w:line="360" w:lineRule="auto"/>
        <w:ind w:firstLine="422" w:firstLineChars="200"/>
        <w:rPr>
          <w:rFonts w:hint="eastAsia" w:ascii="宋体" w:hAnsi="宋体" w:cs="宋体"/>
          <w:b/>
          <w:bCs/>
        </w:rPr>
      </w:pPr>
      <w:r>
        <w:rPr>
          <w:rFonts w:hint="eastAsia" w:ascii="宋体" w:hAnsi="宋体" w:cs="宋体"/>
          <w:b/>
          <w:bCs/>
        </w:rPr>
        <w:t>9.1 付款方式：</w:t>
      </w:r>
    </w:p>
    <w:p w14:paraId="4D0229BA">
      <w:pPr>
        <w:pStyle w:val="21"/>
        <w:snapToGrid w:val="0"/>
        <w:spacing w:line="360" w:lineRule="auto"/>
        <w:ind w:firstLine="420" w:firstLineChars="200"/>
        <w:rPr>
          <w:rFonts w:hint="eastAsia" w:hAnsi="宋体" w:cs="宋体"/>
        </w:rPr>
      </w:pPr>
      <w:r>
        <w:rPr>
          <w:rFonts w:hint="eastAsia" w:hAnsi="宋体" w:cs="宋体"/>
        </w:rPr>
        <w:t>财政拨款。</w:t>
      </w:r>
    </w:p>
    <w:p w14:paraId="67079DCF">
      <w:pPr>
        <w:pStyle w:val="21"/>
        <w:snapToGrid w:val="0"/>
        <w:spacing w:line="360" w:lineRule="auto"/>
        <w:ind w:firstLine="420" w:firstLineChars="200"/>
        <w:rPr>
          <w:rFonts w:hint="eastAsia" w:hAnsi="宋体" w:cs="宋体"/>
        </w:rPr>
      </w:pPr>
      <w:r>
        <w:rPr>
          <w:rFonts w:hint="eastAsia" w:hAnsi="宋体" w:cs="宋体"/>
        </w:rPr>
        <w:t>合同签订后一周内支付预付款10%，主要设备到场并安装完成验收合格付至合同金额的50%，余款一年内付清(无息)。</w:t>
      </w:r>
    </w:p>
    <w:p w14:paraId="25E72331">
      <w:pPr>
        <w:pStyle w:val="21"/>
        <w:snapToGrid w:val="0"/>
        <w:spacing w:line="360" w:lineRule="auto"/>
        <w:ind w:firstLine="420" w:firstLineChars="200"/>
        <w:rPr>
          <w:rFonts w:hint="eastAsia" w:hAnsi="宋体" w:cs="宋体"/>
        </w:rPr>
      </w:pPr>
      <w:r>
        <w:rPr>
          <w:rFonts w:hint="eastAsia" w:hAnsi="宋体" w:cs="宋体"/>
        </w:rPr>
        <w:t>当采购数量与实际使用数量不一致时，乙方根据实际使用量提供产品和服务，合同的最终结算金额按实际使用量乘以中标单价进行计算（无息）</w:t>
      </w:r>
    </w:p>
    <w:p w14:paraId="2F3DDA08">
      <w:pPr>
        <w:snapToGrid w:val="0"/>
        <w:spacing w:line="360" w:lineRule="auto"/>
        <w:ind w:firstLine="420" w:firstLineChars="200"/>
        <w:rPr>
          <w:rFonts w:hint="eastAsia" w:ascii="宋体" w:hAnsi="宋体" w:cs="宋体"/>
          <w:szCs w:val="21"/>
        </w:rPr>
      </w:pPr>
      <w:r>
        <w:rPr>
          <w:rFonts w:hint="eastAsia" w:ascii="宋体" w:hAnsi="宋体" w:cs="宋体"/>
          <w:szCs w:val="21"/>
        </w:rPr>
        <w:t>9.2 付款日期以甲方通知银行付款日期为准，每次付款前乙方必须提供有效发票。</w:t>
      </w:r>
    </w:p>
    <w:p w14:paraId="72E22677">
      <w:pPr>
        <w:pStyle w:val="21"/>
        <w:snapToGrid w:val="0"/>
        <w:spacing w:line="360" w:lineRule="auto"/>
        <w:ind w:firstLine="422" w:firstLineChars="200"/>
        <w:rPr>
          <w:rFonts w:hint="eastAsia" w:hAnsi="宋体" w:cs="宋体"/>
          <w:b/>
        </w:rPr>
      </w:pPr>
      <w:r>
        <w:rPr>
          <w:rFonts w:hint="eastAsia" w:hAnsi="宋体" w:cs="宋体"/>
          <w:b/>
        </w:rPr>
        <w:t>十、质量保证及售后服务</w:t>
      </w:r>
    </w:p>
    <w:p w14:paraId="68EAA0F5">
      <w:pPr>
        <w:pStyle w:val="21"/>
        <w:snapToGrid w:val="0"/>
        <w:spacing w:line="360" w:lineRule="auto"/>
        <w:ind w:firstLine="420" w:firstLineChars="200"/>
        <w:rPr>
          <w:rFonts w:hint="eastAsia" w:hAnsi="宋体" w:cs="宋体"/>
        </w:rPr>
      </w:pPr>
      <w:r>
        <w:rPr>
          <w:rFonts w:hint="eastAsia" w:hAnsi="宋体" w:cs="宋体"/>
        </w:rPr>
        <w:t>10.1 乙方应按采购文件规定的货物性能、技术要求、质量标准向甲方提供未经使用的全新产品。</w:t>
      </w:r>
    </w:p>
    <w:p w14:paraId="0C2DCF6B">
      <w:pPr>
        <w:pStyle w:val="21"/>
        <w:snapToGrid w:val="0"/>
        <w:spacing w:line="360" w:lineRule="auto"/>
        <w:ind w:firstLine="420" w:firstLineChars="200"/>
        <w:rPr>
          <w:rFonts w:hint="eastAsia" w:hAnsi="宋体" w:cs="宋体"/>
        </w:rPr>
      </w:pPr>
      <w:r>
        <w:rPr>
          <w:rFonts w:hint="eastAsia" w:hAnsi="宋体" w:cs="宋体"/>
        </w:rPr>
        <w:t>10.2乙方提供的货物在质保期内因货物本身的质量问题发生故障，乙方应负责免费更换。对达不到技术要求者，根据实际情况，经双方协商，可按以下办法处理：</w:t>
      </w:r>
    </w:p>
    <w:p w14:paraId="547AEB60">
      <w:pPr>
        <w:pStyle w:val="21"/>
        <w:snapToGrid w:val="0"/>
        <w:spacing w:line="360" w:lineRule="auto"/>
        <w:ind w:firstLine="420" w:firstLineChars="200"/>
        <w:rPr>
          <w:rFonts w:hint="eastAsia" w:hAnsi="宋体" w:cs="宋体"/>
        </w:rPr>
      </w:pPr>
      <w:r>
        <w:rPr>
          <w:rFonts w:hint="eastAsia" w:hAnsi="宋体" w:cs="宋体"/>
        </w:rPr>
        <w:t>⑴更换：由乙方承担所发生的全部费用。</w:t>
      </w:r>
    </w:p>
    <w:p w14:paraId="0AA4A1DD">
      <w:pPr>
        <w:pStyle w:val="21"/>
        <w:snapToGrid w:val="0"/>
        <w:spacing w:line="360" w:lineRule="auto"/>
        <w:ind w:firstLine="420" w:firstLineChars="200"/>
        <w:rPr>
          <w:rFonts w:hint="eastAsia" w:hAnsi="宋体" w:cs="宋体"/>
        </w:rPr>
      </w:pPr>
      <w:r>
        <w:rPr>
          <w:rFonts w:hint="eastAsia" w:hAnsi="宋体" w:cs="宋体"/>
        </w:rPr>
        <w:t>⑵贬值处理：由甲乙双方合议定价。</w:t>
      </w:r>
    </w:p>
    <w:p w14:paraId="68E2428C">
      <w:pPr>
        <w:pStyle w:val="21"/>
        <w:snapToGrid w:val="0"/>
        <w:spacing w:line="360" w:lineRule="auto"/>
        <w:ind w:firstLine="420" w:firstLineChars="200"/>
        <w:rPr>
          <w:rFonts w:hint="eastAsia" w:hAnsi="宋体" w:cs="宋体"/>
        </w:rPr>
      </w:pPr>
      <w:r>
        <w:rPr>
          <w:rFonts w:hint="eastAsia" w:hAnsi="宋体" w:cs="宋体"/>
        </w:rPr>
        <w:t>⑶退货处理：乙方应退还甲方支付的合同款，同时应承担该货物的直接费用（运输、保险、检验、合同款利息及银行手续费等）。</w:t>
      </w:r>
    </w:p>
    <w:p w14:paraId="4B1FD597">
      <w:pPr>
        <w:snapToGrid w:val="0"/>
        <w:spacing w:line="360" w:lineRule="auto"/>
        <w:ind w:firstLine="420" w:firstLineChars="200"/>
        <w:rPr>
          <w:rFonts w:hint="eastAsia" w:ascii="宋体" w:hAnsi="宋体" w:cs="宋体"/>
        </w:rPr>
      </w:pPr>
      <w:r>
        <w:rPr>
          <w:rFonts w:hint="eastAsia" w:ascii="宋体" w:hAnsi="宋体" w:cs="宋体"/>
        </w:rPr>
        <w:t>10.3测试要求：乙方安装后现场测试，提供测试报告，甲方验收签字确认。</w:t>
      </w:r>
    </w:p>
    <w:p w14:paraId="1F51EECE">
      <w:pPr>
        <w:snapToGrid w:val="0"/>
        <w:spacing w:line="360" w:lineRule="auto"/>
        <w:ind w:firstLine="420" w:firstLineChars="200"/>
        <w:rPr>
          <w:rFonts w:hint="eastAsia" w:ascii="宋体" w:hAnsi="宋体" w:cs="宋体"/>
          <w:szCs w:val="21"/>
        </w:rPr>
      </w:pPr>
      <w:r>
        <w:rPr>
          <w:rFonts w:hint="eastAsia" w:ascii="宋体" w:hAnsi="宋体" w:cs="宋体"/>
          <w:szCs w:val="21"/>
        </w:rPr>
        <w:t>10.4 质保期内，解决甲方提出的问题（如有），并提供必要的维保服务和指导。</w:t>
      </w:r>
    </w:p>
    <w:p w14:paraId="25430C5C">
      <w:pPr>
        <w:snapToGrid w:val="0"/>
        <w:spacing w:line="360" w:lineRule="auto"/>
        <w:ind w:firstLine="420" w:firstLineChars="200"/>
        <w:rPr>
          <w:rFonts w:hint="eastAsia" w:ascii="宋体" w:hAnsi="宋体" w:cs="宋体"/>
          <w:szCs w:val="21"/>
        </w:rPr>
      </w:pPr>
      <w:r>
        <w:rPr>
          <w:rFonts w:hint="eastAsia" w:ascii="宋体" w:hAnsi="宋体" w:cs="宋体"/>
          <w:szCs w:val="21"/>
        </w:rPr>
        <w:t>10.5在质保期内，乙方应对出现的质量及安全问题负责处理解决并承担一切费用。</w:t>
      </w:r>
    </w:p>
    <w:p w14:paraId="183DEFC1">
      <w:pPr>
        <w:snapToGrid w:val="0"/>
        <w:spacing w:line="360" w:lineRule="auto"/>
        <w:ind w:firstLine="420" w:firstLineChars="200"/>
        <w:rPr>
          <w:rFonts w:hint="eastAsia" w:ascii="宋体" w:hAnsi="宋体" w:cs="宋体"/>
        </w:rPr>
      </w:pPr>
      <w:r>
        <w:rPr>
          <w:rFonts w:hint="eastAsia" w:ascii="宋体" w:hAnsi="宋体" w:cs="宋体"/>
          <w:szCs w:val="21"/>
        </w:rPr>
        <w:t>10.6 乙方的维保和服务范围按照按国家及行业标准执行。</w:t>
      </w:r>
    </w:p>
    <w:p w14:paraId="1B2379C9">
      <w:pPr>
        <w:pStyle w:val="21"/>
        <w:snapToGrid w:val="0"/>
        <w:spacing w:line="360" w:lineRule="auto"/>
        <w:ind w:firstLine="422" w:firstLineChars="200"/>
        <w:rPr>
          <w:rFonts w:hint="eastAsia" w:hAnsi="宋体" w:cs="宋体"/>
          <w:b/>
        </w:rPr>
      </w:pPr>
      <w:r>
        <w:rPr>
          <w:rFonts w:hint="eastAsia" w:hAnsi="宋体" w:cs="宋体"/>
          <w:b/>
        </w:rPr>
        <w:t>十一、调试和验收</w:t>
      </w:r>
    </w:p>
    <w:p w14:paraId="3B03D01D">
      <w:pPr>
        <w:pStyle w:val="21"/>
        <w:snapToGrid w:val="0"/>
        <w:spacing w:line="360" w:lineRule="auto"/>
        <w:ind w:firstLine="420" w:firstLineChars="200"/>
        <w:rPr>
          <w:rFonts w:hint="eastAsia" w:hAnsi="宋体" w:cs="宋体"/>
        </w:rPr>
      </w:pPr>
      <w:r>
        <w:rPr>
          <w:rFonts w:hint="eastAsia" w:hAnsi="宋体" w:cs="宋体"/>
        </w:rPr>
        <w:t>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甲方将所有的货物按采购文件要求和国家标准或行业标准进行检测验收后；发现有其他非故意的损坏或质量问题的由乙方立即予以更换，不得拒绝和延误。</w:t>
      </w:r>
    </w:p>
    <w:p w14:paraId="1C53B5F0">
      <w:pPr>
        <w:pStyle w:val="21"/>
        <w:snapToGrid w:val="0"/>
        <w:spacing w:line="360" w:lineRule="auto"/>
        <w:ind w:firstLine="420" w:firstLineChars="200"/>
        <w:rPr>
          <w:rFonts w:hint="eastAsia" w:hAnsi="宋体" w:cs="宋体"/>
        </w:rPr>
      </w:pPr>
      <w:r>
        <w:rPr>
          <w:rFonts w:hint="eastAsia" w:hAnsi="宋体" w:cs="宋体"/>
        </w:rPr>
        <w:t>11.2 乙方交货前应对产品作出全面检查和对验收文件进行整理，并列出清单，作为甲方收货验收和使用的技术条件依据，检验的结果应随货物交甲方。</w:t>
      </w:r>
    </w:p>
    <w:p w14:paraId="52778404">
      <w:pPr>
        <w:pStyle w:val="21"/>
        <w:snapToGrid w:val="0"/>
        <w:spacing w:line="360" w:lineRule="auto"/>
        <w:ind w:firstLine="420" w:firstLineChars="200"/>
        <w:rPr>
          <w:rFonts w:hint="eastAsia" w:hAnsi="宋体" w:cs="宋体"/>
          <w:u w:val="single"/>
        </w:rPr>
      </w:pPr>
      <w:r>
        <w:rPr>
          <w:rFonts w:hint="eastAsia" w:hAnsi="宋体" w:cs="宋体"/>
        </w:rPr>
        <w:t>11.3 甲方对乙方提供的货物在使用前进行调试时，乙方需负责安装并培训甲方的使用操作人员，并协助甲方一起调试，直到符合技术要求，甲方才做最终验收。</w:t>
      </w:r>
    </w:p>
    <w:p w14:paraId="4E106066">
      <w:pPr>
        <w:pStyle w:val="21"/>
        <w:snapToGrid w:val="0"/>
        <w:spacing w:line="360" w:lineRule="auto"/>
        <w:ind w:firstLine="420" w:firstLineChars="200"/>
        <w:rPr>
          <w:rFonts w:hint="eastAsia" w:hAnsi="宋体" w:cs="宋体"/>
        </w:rPr>
      </w:pPr>
      <w:r>
        <w:rPr>
          <w:rFonts w:hint="eastAsia" w:hAnsi="宋体" w:cs="宋体"/>
        </w:rPr>
        <w:t>11.4 验收时乙方必须在现场，验收完毕后作出验收结果报告；安装调试费用由乙方负责。</w:t>
      </w:r>
    </w:p>
    <w:p w14:paraId="654F05D0">
      <w:pPr>
        <w:pStyle w:val="21"/>
        <w:snapToGrid w:val="0"/>
        <w:spacing w:line="360" w:lineRule="auto"/>
        <w:ind w:firstLine="420" w:firstLineChars="200"/>
        <w:rPr>
          <w:rFonts w:hint="eastAsia" w:hAnsi="宋体" w:cs="宋体"/>
          <w:b/>
        </w:rPr>
      </w:pPr>
      <w:r>
        <w:rPr>
          <w:rFonts w:hint="eastAsia" w:hAnsi="宋体" w:cs="宋体"/>
        </w:rPr>
        <w:t>11.5 甲方可向有关部门和专家提出书面申请，并由有关部门和专家进行验收并出具验收报告，相关费用由乙方承担。</w:t>
      </w:r>
    </w:p>
    <w:p w14:paraId="239EF7D2">
      <w:pPr>
        <w:pStyle w:val="21"/>
        <w:snapToGrid w:val="0"/>
        <w:spacing w:line="360" w:lineRule="auto"/>
        <w:ind w:firstLine="422" w:firstLineChars="200"/>
        <w:rPr>
          <w:rFonts w:hint="eastAsia" w:hAnsi="宋体" w:cs="宋体"/>
          <w:b/>
        </w:rPr>
      </w:pPr>
      <w:r>
        <w:rPr>
          <w:rFonts w:hint="eastAsia" w:hAnsi="宋体" w:cs="宋体"/>
          <w:b/>
        </w:rPr>
        <w:t>十二、货物包装、发运及运输</w:t>
      </w:r>
    </w:p>
    <w:p w14:paraId="2496056A">
      <w:pPr>
        <w:pStyle w:val="21"/>
        <w:snapToGrid w:val="0"/>
        <w:spacing w:line="360" w:lineRule="auto"/>
        <w:ind w:firstLine="420" w:firstLineChars="200"/>
        <w:rPr>
          <w:rFonts w:hint="eastAsia" w:hAnsi="宋体" w:cs="宋体"/>
        </w:rPr>
      </w:pPr>
      <w:r>
        <w:rPr>
          <w:rFonts w:hint="eastAsia" w:hAnsi="宋体" w:cs="宋体"/>
        </w:rPr>
        <w:t>12.1 乙方应在货物发运前对其进行满足运输距离、防潮、防震、防锈和防破损装卸等要求包装，以保证货物安全运达甲方指定地点。</w:t>
      </w:r>
    </w:p>
    <w:p w14:paraId="2A5A69FB">
      <w:pPr>
        <w:pStyle w:val="21"/>
        <w:snapToGrid w:val="0"/>
        <w:spacing w:line="360" w:lineRule="auto"/>
        <w:ind w:firstLine="420" w:firstLineChars="200"/>
        <w:rPr>
          <w:rFonts w:hint="eastAsia" w:hAnsi="宋体" w:cs="宋体"/>
        </w:rPr>
      </w:pPr>
      <w:r>
        <w:rPr>
          <w:rFonts w:hint="eastAsia" w:hAnsi="宋体" w:cs="宋体"/>
        </w:rPr>
        <w:t>12.2 使用说明书、质量检验证明书、随配附件和工具以及清单一并附于货物内。</w:t>
      </w:r>
    </w:p>
    <w:p w14:paraId="69A09E0B">
      <w:pPr>
        <w:pStyle w:val="21"/>
        <w:snapToGrid w:val="0"/>
        <w:spacing w:line="360" w:lineRule="auto"/>
        <w:ind w:firstLine="420" w:firstLineChars="200"/>
        <w:rPr>
          <w:rFonts w:hint="eastAsia" w:hAnsi="宋体" w:cs="宋体"/>
        </w:rPr>
      </w:pPr>
      <w:r>
        <w:rPr>
          <w:rFonts w:hint="eastAsia" w:hAnsi="宋体" w:cs="宋体"/>
        </w:rPr>
        <w:t>12.3 乙方在货物发运手续办理完毕后24小时内或货到甲方48小时前通知甲方，以准备接货。</w:t>
      </w:r>
    </w:p>
    <w:p w14:paraId="51DC005C">
      <w:pPr>
        <w:pStyle w:val="21"/>
        <w:snapToGrid w:val="0"/>
        <w:spacing w:line="360" w:lineRule="auto"/>
        <w:ind w:firstLine="420" w:firstLineChars="200"/>
        <w:rPr>
          <w:rFonts w:hint="eastAsia" w:hAnsi="宋体" w:cs="宋体"/>
        </w:rPr>
      </w:pPr>
      <w:r>
        <w:rPr>
          <w:rFonts w:hint="eastAsia" w:hAnsi="宋体" w:cs="宋体"/>
        </w:rPr>
        <w:t>12.4 货物在交付甲方前发生的风险均由乙方负责。</w:t>
      </w:r>
    </w:p>
    <w:p w14:paraId="0006A6A3">
      <w:pPr>
        <w:pStyle w:val="21"/>
        <w:snapToGrid w:val="0"/>
        <w:spacing w:line="360" w:lineRule="auto"/>
        <w:ind w:firstLine="420" w:firstLineChars="200"/>
        <w:rPr>
          <w:rFonts w:hint="eastAsia" w:hAnsi="宋体" w:cs="宋体"/>
          <w:b/>
        </w:rPr>
      </w:pPr>
      <w:r>
        <w:rPr>
          <w:rFonts w:hint="eastAsia" w:hAnsi="宋体" w:cs="宋体"/>
        </w:rPr>
        <w:t>12.5 货物在规定的交付期限内由乙方送达甲方指定的地点视为交付，乙方同时需通知甲方货物已送达。</w:t>
      </w:r>
    </w:p>
    <w:p w14:paraId="1A336D32">
      <w:pPr>
        <w:pStyle w:val="21"/>
        <w:snapToGrid w:val="0"/>
        <w:spacing w:line="360" w:lineRule="auto"/>
        <w:ind w:firstLine="422" w:firstLineChars="200"/>
        <w:rPr>
          <w:rFonts w:hint="eastAsia" w:hAnsi="宋体" w:cs="宋体"/>
          <w:b/>
        </w:rPr>
      </w:pPr>
      <w:r>
        <w:rPr>
          <w:rFonts w:hint="eastAsia" w:hAnsi="宋体" w:cs="宋体"/>
          <w:b/>
        </w:rPr>
        <w:t>十三、违约责任</w:t>
      </w:r>
    </w:p>
    <w:p w14:paraId="41F0D090">
      <w:pPr>
        <w:pStyle w:val="21"/>
        <w:snapToGrid w:val="0"/>
        <w:spacing w:line="360" w:lineRule="auto"/>
        <w:ind w:firstLine="420" w:firstLineChars="200"/>
        <w:rPr>
          <w:rFonts w:hint="eastAsia" w:hAnsi="宋体" w:cs="宋体"/>
        </w:rPr>
      </w:pPr>
      <w:r>
        <w:rPr>
          <w:rFonts w:hint="eastAsia" w:hAnsi="宋体" w:cs="宋体"/>
        </w:rPr>
        <w:t>13.1 甲方无正当理由拒收货物的，甲方向乙方偿付拒收合同款总值的百分之五违约金。</w:t>
      </w:r>
    </w:p>
    <w:p w14:paraId="4E7DEAB0">
      <w:pPr>
        <w:pStyle w:val="21"/>
        <w:snapToGrid w:val="0"/>
        <w:spacing w:line="360" w:lineRule="auto"/>
        <w:ind w:firstLine="420" w:firstLineChars="200"/>
        <w:rPr>
          <w:rFonts w:hint="eastAsia" w:hAnsi="宋体" w:cs="宋体"/>
        </w:rPr>
      </w:pPr>
      <w:r>
        <w:rPr>
          <w:rFonts w:hint="eastAsia" w:hAnsi="宋体" w:cs="宋体"/>
        </w:rPr>
        <w:t>13.2 甲方无故逾期验收和办理合同款支付手续的，甲方应按逾期付款总额每日千分之五向乙方支付违约金。</w:t>
      </w:r>
    </w:p>
    <w:p w14:paraId="4FA1496A">
      <w:pPr>
        <w:pStyle w:val="21"/>
        <w:snapToGrid w:val="0"/>
        <w:spacing w:line="360" w:lineRule="auto"/>
        <w:ind w:firstLine="420" w:firstLineChars="200"/>
        <w:rPr>
          <w:rFonts w:hint="eastAsia" w:hAnsi="宋体" w:cs="宋体"/>
        </w:rPr>
      </w:pPr>
      <w:r>
        <w:rPr>
          <w:rFonts w:hint="eastAsia" w:hAnsi="宋体" w:cs="宋体"/>
        </w:rPr>
        <w:t xml:space="preserve">13.3 乙方逾期交付货物的，乙方应按逾期合同价款每日百分之五向甲方支付违约金，由甲方从待付合同价款中扣除。逾期超过约定日期10个工作日不能交货的，甲方可解除本合同。乙方因逾期交货或因其他违约行为导致甲方解除合同的，乙方应向甲方支付合同价款10%的违约金，如造成甲方损失超过违约金的，超出部分由乙方继续承担赔偿责任(因甲方原因或项目实际实施环境不具备安装条件的除外)。 </w:t>
      </w:r>
    </w:p>
    <w:p w14:paraId="798A3B6D">
      <w:pPr>
        <w:pStyle w:val="21"/>
        <w:snapToGrid w:val="0"/>
        <w:spacing w:line="360" w:lineRule="auto"/>
        <w:ind w:firstLine="420" w:firstLineChars="200"/>
        <w:rPr>
          <w:rFonts w:hint="eastAsia" w:hAnsi="宋体" w:cs="宋体"/>
        </w:rPr>
      </w:pPr>
      <w:r>
        <w:rPr>
          <w:rFonts w:hint="eastAsia" w:hAnsi="宋体" w:cs="宋体"/>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乙方因其他违约行为导致甲方解除合同的，乙方应向甲方支付合同价款10%的违约金，如造成甲方损失超过违约金的，超出部分由乙方继续承担赔偿责任。 </w:t>
      </w:r>
    </w:p>
    <w:p w14:paraId="4716AF38">
      <w:pPr>
        <w:pStyle w:val="21"/>
        <w:snapToGrid w:val="0"/>
        <w:spacing w:line="360" w:lineRule="auto"/>
        <w:ind w:firstLine="422" w:firstLineChars="200"/>
        <w:rPr>
          <w:rFonts w:hint="eastAsia" w:hAnsi="宋体" w:cs="宋体"/>
          <w:b/>
        </w:rPr>
      </w:pPr>
      <w:r>
        <w:rPr>
          <w:rFonts w:hint="eastAsia" w:hAnsi="宋体" w:cs="宋体"/>
          <w:b/>
        </w:rPr>
        <w:t>十四、不可抗力事件处理</w:t>
      </w:r>
    </w:p>
    <w:p w14:paraId="4C4CE377">
      <w:pPr>
        <w:pStyle w:val="21"/>
        <w:snapToGrid w:val="0"/>
        <w:spacing w:line="360" w:lineRule="auto"/>
        <w:ind w:firstLine="420" w:firstLineChars="200"/>
        <w:rPr>
          <w:rFonts w:hint="eastAsia" w:hAnsi="宋体" w:cs="宋体"/>
        </w:rPr>
      </w:pPr>
      <w:r>
        <w:rPr>
          <w:rFonts w:hint="eastAsia" w:hAnsi="宋体" w:cs="宋体"/>
        </w:rPr>
        <w:t>14.1 在合同有效期内，任何一方因不可抗力事件导致不能履行合同，则合同履行期可延长，其延长期与不可抗力影响期相同。</w:t>
      </w:r>
    </w:p>
    <w:p w14:paraId="3CBF2A31">
      <w:pPr>
        <w:pStyle w:val="21"/>
        <w:snapToGrid w:val="0"/>
        <w:spacing w:line="360" w:lineRule="auto"/>
        <w:ind w:firstLine="420" w:firstLineChars="200"/>
        <w:rPr>
          <w:rFonts w:hint="eastAsia" w:hAnsi="宋体" w:cs="宋体"/>
        </w:rPr>
      </w:pPr>
      <w:r>
        <w:rPr>
          <w:rFonts w:hint="eastAsia" w:hAnsi="宋体" w:cs="宋体"/>
        </w:rPr>
        <w:t>14.2 不可抗力事件发生后，应立即通知对方，并寄送有关权威机构出具的证明。</w:t>
      </w:r>
    </w:p>
    <w:p w14:paraId="0CC26B1A">
      <w:pPr>
        <w:pStyle w:val="21"/>
        <w:snapToGrid w:val="0"/>
        <w:spacing w:line="360" w:lineRule="auto"/>
        <w:ind w:firstLine="420" w:firstLineChars="200"/>
        <w:rPr>
          <w:rFonts w:hint="eastAsia" w:hAnsi="宋体" w:cs="宋体"/>
        </w:rPr>
      </w:pPr>
      <w:r>
        <w:rPr>
          <w:rFonts w:hint="eastAsia" w:hAnsi="宋体" w:cs="宋体"/>
        </w:rPr>
        <w:t>14.3 不可抗力事件延续120天以上，双方应通过友好协商，确定是否继续履行合同。</w:t>
      </w:r>
    </w:p>
    <w:p w14:paraId="19937AFF">
      <w:pPr>
        <w:pStyle w:val="21"/>
        <w:snapToGrid w:val="0"/>
        <w:spacing w:line="360" w:lineRule="auto"/>
        <w:ind w:firstLine="422" w:firstLineChars="200"/>
        <w:rPr>
          <w:rFonts w:hint="eastAsia" w:hAnsi="宋体" w:cs="宋体"/>
          <w:b/>
        </w:rPr>
      </w:pPr>
      <w:r>
        <w:rPr>
          <w:rFonts w:hint="eastAsia" w:hAnsi="宋体" w:cs="宋体"/>
          <w:b/>
        </w:rPr>
        <w:t>十五、诉讼</w:t>
      </w:r>
    </w:p>
    <w:p w14:paraId="49E2451B">
      <w:pPr>
        <w:pStyle w:val="21"/>
        <w:snapToGrid w:val="0"/>
        <w:spacing w:line="360" w:lineRule="auto"/>
        <w:ind w:firstLine="420" w:firstLineChars="200"/>
        <w:rPr>
          <w:rFonts w:hint="eastAsia" w:hAnsi="宋体" w:cs="宋体"/>
          <w:b/>
        </w:rPr>
      </w:pPr>
      <w:r>
        <w:rPr>
          <w:rFonts w:hint="eastAsia" w:hAnsi="宋体" w:cs="宋体"/>
        </w:rPr>
        <w:t>15.1 双方在执行合同中所发生的一切争议，应通过协商解决。如协商不成，可向合同签订地法院起诉。</w:t>
      </w:r>
    </w:p>
    <w:p w14:paraId="0881E6B1">
      <w:pPr>
        <w:pStyle w:val="21"/>
        <w:snapToGrid w:val="0"/>
        <w:spacing w:line="360" w:lineRule="auto"/>
        <w:ind w:firstLine="422" w:firstLineChars="200"/>
        <w:rPr>
          <w:rFonts w:hint="eastAsia" w:hAnsi="宋体" w:cs="宋体"/>
          <w:b/>
        </w:rPr>
      </w:pPr>
      <w:r>
        <w:rPr>
          <w:rFonts w:hint="eastAsia" w:hAnsi="宋体" w:cs="宋体"/>
          <w:b/>
        </w:rPr>
        <w:t>十六、合同生效及其它</w:t>
      </w:r>
    </w:p>
    <w:p w14:paraId="7A7BCB85">
      <w:pPr>
        <w:pStyle w:val="21"/>
        <w:snapToGrid w:val="0"/>
        <w:spacing w:line="360" w:lineRule="auto"/>
        <w:ind w:firstLine="420" w:firstLineChars="200"/>
        <w:rPr>
          <w:rFonts w:hint="eastAsia" w:hAnsi="宋体" w:cs="宋体"/>
        </w:rPr>
      </w:pPr>
      <w:r>
        <w:rPr>
          <w:rFonts w:hint="eastAsia" w:hAnsi="宋体" w:cs="宋体"/>
        </w:rPr>
        <w:t>16.1 合同经双方法定代表人或授权委托代理人签字并加盖单位公章后生效。</w:t>
      </w:r>
    </w:p>
    <w:p w14:paraId="7A3BA87F">
      <w:pPr>
        <w:pStyle w:val="21"/>
        <w:snapToGrid w:val="0"/>
        <w:spacing w:line="360" w:lineRule="auto"/>
        <w:ind w:firstLine="420" w:firstLineChars="200"/>
        <w:rPr>
          <w:rFonts w:hint="eastAsia" w:hAnsi="宋体" w:cs="宋体"/>
        </w:rPr>
      </w:pPr>
      <w:r>
        <w:rPr>
          <w:rFonts w:hint="eastAsia" w:hAnsi="宋体" w:cs="宋体"/>
        </w:rPr>
        <w:t>16.2 下述合同附件为本合同不可分割的部分并与本合同具有同等效力：</w:t>
      </w:r>
    </w:p>
    <w:p w14:paraId="5DBC01A7">
      <w:pPr>
        <w:pStyle w:val="21"/>
        <w:numPr>
          <w:ilvl w:val="0"/>
          <w:numId w:val="2"/>
        </w:numPr>
        <w:snapToGrid w:val="0"/>
        <w:spacing w:line="360" w:lineRule="auto"/>
        <w:ind w:left="0" w:firstLine="420" w:firstLineChars="200"/>
        <w:rPr>
          <w:rFonts w:hint="eastAsia" w:hAnsi="宋体" w:cs="宋体"/>
        </w:rPr>
      </w:pPr>
      <w:r>
        <w:rPr>
          <w:rFonts w:hint="eastAsia" w:hAnsi="宋体" w:cs="宋体"/>
        </w:rPr>
        <w:t>供货清单和分项价格表</w:t>
      </w:r>
    </w:p>
    <w:p w14:paraId="109844B4">
      <w:pPr>
        <w:pStyle w:val="21"/>
        <w:numPr>
          <w:ilvl w:val="0"/>
          <w:numId w:val="2"/>
        </w:numPr>
        <w:snapToGrid w:val="0"/>
        <w:spacing w:line="360" w:lineRule="auto"/>
        <w:ind w:left="0" w:firstLine="420" w:firstLineChars="200"/>
        <w:rPr>
          <w:rFonts w:hint="eastAsia" w:hAnsi="宋体" w:cs="宋体"/>
        </w:rPr>
      </w:pPr>
      <w:r>
        <w:rPr>
          <w:rFonts w:hint="eastAsia" w:hAnsi="宋体" w:cs="宋体"/>
        </w:rPr>
        <w:t>技术规格</w:t>
      </w:r>
    </w:p>
    <w:p w14:paraId="3C90697C">
      <w:pPr>
        <w:pStyle w:val="21"/>
        <w:numPr>
          <w:ilvl w:val="0"/>
          <w:numId w:val="2"/>
        </w:numPr>
        <w:snapToGrid w:val="0"/>
        <w:spacing w:line="360" w:lineRule="auto"/>
        <w:ind w:left="0" w:firstLine="420" w:firstLineChars="200"/>
        <w:rPr>
          <w:rFonts w:hint="eastAsia" w:hAnsi="宋体" w:cs="宋体"/>
        </w:rPr>
      </w:pPr>
      <w:r>
        <w:rPr>
          <w:rFonts w:hint="eastAsia" w:hAnsi="宋体" w:cs="宋体"/>
        </w:rPr>
        <w:t>乙方报价函的内容及其澄清内容</w:t>
      </w:r>
    </w:p>
    <w:p w14:paraId="0B2B8774">
      <w:pPr>
        <w:pStyle w:val="21"/>
        <w:numPr>
          <w:ilvl w:val="0"/>
          <w:numId w:val="2"/>
        </w:numPr>
        <w:snapToGrid w:val="0"/>
        <w:spacing w:line="360" w:lineRule="auto"/>
        <w:ind w:left="0" w:firstLine="420" w:firstLineChars="200"/>
        <w:rPr>
          <w:rFonts w:hint="eastAsia" w:hAnsi="宋体" w:cs="宋体"/>
        </w:rPr>
      </w:pPr>
      <w:r>
        <w:rPr>
          <w:rFonts w:hint="eastAsia" w:hAnsi="宋体" w:cs="宋体"/>
        </w:rPr>
        <w:t>其他与本合同相关的资料</w:t>
      </w:r>
    </w:p>
    <w:p w14:paraId="1FF8129B">
      <w:pPr>
        <w:pStyle w:val="21"/>
        <w:numPr>
          <w:ilvl w:val="0"/>
          <w:numId w:val="2"/>
        </w:numPr>
        <w:snapToGrid w:val="0"/>
        <w:spacing w:line="360" w:lineRule="auto"/>
        <w:ind w:left="0" w:firstLine="420" w:firstLineChars="200"/>
        <w:rPr>
          <w:rFonts w:hint="eastAsia" w:hAnsi="宋体" w:cs="宋体"/>
        </w:rPr>
      </w:pPr>
      <w:r>
        <w:rPr>
          <w:rFonts w:hint="eastAsia" w:hAnsi="宋体" w:cs="宋体"/>
        </w:rPr>
        <w:t>本合同适用的特殊条款</w:t>
      </w:r>
    </w:p>
    <w:p w14:paraId="0AEE9742">
      <w:pPr>
        <w:pStyle w:val="21"/>
        <w:snapToGrid w:val="0"/>
        <w:spacing w:line="360" w:lineRule="auto"/>
        <w:ind w:firstLine="420" w:firstLineChars="200"/>
        <w:rPr>
          <w:rFonts w:hint="eastAsia" w:hAnsi="宋体" w:cs="宋体"/>
        </w:rPr>
      </w:pPr>
      <w:r>
        <w:rPr>
          <w:rFonts w:hint="eastAsia" w:hAnsi="宋体" w:cs="宋体"/>
        </w:rPr>
        <w:t>16.3本合同未尽事宜，遵照《民法典》有关条文执行。</w:t>
      </w:r>
    </w:p>
    <w:p w14:paraId="7E2D755F">
      <w:pPr>
        <w:pStyle w:val="21"/>
        <w:snapToGrid w:val="0"/>
        <w:spacing w:line="360" w:lineRule="auto"/>
        <w:ind w:firstLine="420" w:firstLineChars="200"/>
        <w:rPr>
          <w:rFonts w:hint="eastAsia" w:hAnsi="宋体" w:cs="宋体"/>
        </w:rPr>
      </w:pPr>
      <w:r>
        <w:rPr>
          <w:rFonts w:hint="eastAsia" w:hAnsi="宋体" w:cs="宋体"/>
        </w:rPr>
        <w:t>16.4 本合同一式五份，具有同等法律效力，甲乙双方各执二份，并报一份至政府采购监督管理部门备案。</w:t>
      </w:r>
    </w:p>
    <w:p w14:paraId="30FCB8C5">
      <w:pPr>
        <w:pStyle w:val="21"/>
        <w:snapToGrid w:val="0"/>
        <w:spacing w:line="360" w:lineRule="auto"/>
        <w:ind w:firstLine="420" w:firstLineChars="200"/>
        <w:rPr>
          <w:rFonts w:hint="eastAsia" w:hAnsi="宋体" w:cs="宋体"/>
        </w:rPr>
      </w:pPr>
    </w:p>
    <w:p w14:paraId="6A492FC3">
      <w:pPr>
        <w:pStyle w:val="21"/>
        <w:snapToGrid w:val="0"/>
        <w:spacing w:line="360" w:lineRule="auto"/>
        <w:ind w:firstLine="630" w:firstLineChars="300"/>
        <w:rPr>
          <w:rFonts w:hint="eastAsia" w:hAnsi="宋体" w:cs="宋体"/>
        </w:rPr>
      </w:pPr>
      <w:r>
        <w:rPr>
          <w:rFonts w:hint="eastAsia" w:hAnsi="宋体" w:cs="宋体"/>
        </w:rPr>
        <w:t xml:space="preserve">甲方：                           乙方：                </w:t>
      </w:r>
    </w:p>
    <w:p w14:paraId="14BA2FA6">
      <w:pPr>
        <w:pStyle w:val="21"/>
        <w:snapToGrid w:val="0"/>
        <w:spacing w:line="360" w:lineRule="auto"/>
        <w:ind w:firstLine="420" w:firstLineChars="200"/>
        <w:rPr>
          <w:rFonts w:hint="eastAsia" w:hAnsi="宋体" w:cs="宋体"/>
        </w:rPr>
      </w:pPr>
      <w:r>
        <w:rPr>
          <w:rFonts w:hint="eastAsia" w:hAnsi="宋体" w:cs="宋体"/>
        </w:rPr>
        <w:t xml:space="preserve">  地址：                           地址：                      </w:t>
      </w:r>
    </w:p>
    <w:p w14:paraId="45C2A4AF">
      <w:pPr>
        <w:pStyle w:val="21"/>
        <w:snapToGrid w:val="0"/>
        <w:spacing w:line="360" w:lineRule="auto"/>
        <w:ind w:firstLine="420" w:firstLineChars="200"/>
        <w:rPr>
          <w:rFonts w:hint="eastAsia" w:hAnsi="宋体" w:cs="宋体"/>
        </w:rPr>
      </w:pPr>
      <w:r>
        <w:rPr>
          <w:rFonts w:hint="eastAsia" w:hAnsi="宋体" w:cs="宋体"/>
        </w:rPr>
        <w:t xml:space="preserve">  法定代表人：                     法定代表人：                 </w:t>
      </w:r>
    </w:p>
    <w:p w14:paraId="57349BF3">
      <w:pPr>
        <w:pStyle w:val="21"/>
        <w:snapToGrid w:val="0"/>
        <w:spacing w:line="360" w:lineRule="auto"/>
        <w:ind w:firstLine="420" w:firstLineChars="200"/>
        <w:rPr>
          <w:rFonts w:hint="eastAsia" w:hAnsi="宋体" w:cs="宋体"/>
        </w:rPr>
      </w:pPr>
      <w:r>
        <w:rPr>
          <w:rFonts w:hint="eastAsia" w:hAnsi="宋体" w:cs="宋体"/>
        </w:rPr>
        <w:t xml:space="preserve">  授权委托代理人：                 授权委托代理人：            </w:t>
      </w:r>
    </w:p>
    <w:p w14:paraId="184F92F8">
      <w:pPr>
        <w:pStyle w:val="21"/>
        <w:snapToGrid w:val="0"/>
        <w:spacing w:line="360" w:lineRule="auto"/>
        <w:ind w:firstLine="420" w:firstLineChars="200"/>
        <w:rPr>
          <w:rFonts w:hint="eastAsia" w:hAnsi="宋体" w:cs="宋体"/>
        </w:rPr>
      </w:pPr>
      <w:r>
        <w:rPr>
          <w:rFonts w:hint="eastAsia" w:hAnsi="宋体" w:cs="宋体"/>
        </w:rPr>
        <w:t xml:space="preserve">  电话：                           电话：                      </w:t>
      </w:r>
    </w:p>
    <w:p w14:paraId="3FC5F7D4">
      <w:pPr>
        <w:pStyle w:val="21"/>
        <w:snapToGrid w:val="0"/>
        <w:spacing w:line="360" w:lineRule="auto"/>
        <w:ind w:firstLine="420" w:firstLineChars="200"/>
        <w:rPr>
          <w:rFonts w:hint="eastAsia" w:hAnsi="宋体" w:cs="宋体"/>
        </w:rPr>
      </w:pPr>
      <w:r>
        <w:rPr>
          <w:rFonts w:hint="eastAsia" w:hAnsi="宋体" w:cs="宋体"/>
        </w:rPr>
        <w:t xml:space="preserve">  传真：                           传真：                        </w:t>
      </w:r>
    </w:p>
    <w:p w14:paraId="28C161A6">
      <w:pPr>
        <w:pStyle w:val="21"/>
        <w:snapToGrid w:val="0"/>
        <w:spacing w:line="360" w:lineRule="auto"/>
        <w:ind w:firstLine="420" w:firstLineChars="200"/>
        <w:rPr>
          <w:rFonts w:hint="eastAsia" w:hAnsi="宋体" w:cs="宋体"/>
        </w:rPr>
      </w:pPr>
      <w:r>
        <w:rPr>
          <w:rFonts w:hint="eastAsia" w:hAnsi="宋体" w:cs="宋体"/>
        </w:rPr>
        <w:t xml:space="preserve">  邮政编码：                       邮政编码：                   </w:t>
      </w:r>
    </w:p>
    <w:p w14:paraId="1DCBEAC8">
      <w:pPr>
        <w:pStyle w:val="21"/>
        <w:snapToGrid w:val="0"/>
        <w:spacing w:line="360" w:lineRule="auto"/>
        <w:ind w:firstLine="420" w:firstLineChars="200"/>
        <w:rPr>
          <w:rFonts w:hint="eastAsia" w:hAnsi="宋体" w:cs="宋体"/>
        </w:rPr>
      </w:pPr>
      <w:r>
        <w:rPr>
          <w:rFonts w:hint="eastAsia" w:hAnsi="宋体" w:cs="宋体"/>
        </w:rPr>
        <w:t xml:space="preserve">                                   开户银行：</w:t>
      </w:r>
    </w:p>
    <w:p w14:paraId="32FACD74">
      <w:pPr>
        <w:pStyle w:val="21"/>
        <w:snapToGrid w:val="0"/>
        <w:spacing w:line="360" w:lineRule="auto"/>
        <w:ind w:firstLine="420" w:firstLineChars="200"/>
        <w:rPr>
          <w:rFonts w:hint="eastAsia" w:hAnsi="宋体" w:cs="宋体"/>
        </w:rPr>
      </w:pPr>
      <w:r>
        <w:rPr>
          <w:rFonts w:hint="eastAsia" w:hAnsi="宋体" w:cs="宋体"/>
        </w:rPr>
        <w:t xml:space="preserve">                                   账号：</w:t>
      </w:r>
    </w:p>
    <w:p w14:paraId="5AA8A9F7">
      <w:pPr>
        <w:pStyle w:val="21"/>
        <w:snapToGrid w:val="0"/>
        <w:spacing w:line="360" w:lineRule="auto"/>
        <w:ind w:firstLine="420" w:firstLineChars="200"/>
        <w:rPr>
          <w:rFonts w:hint="eastAsia" w:hAnsi="宋体" w:cs="宋体"/>
        </w:rPr>
      </w:pPr>
    </w:p>
    <w:p w14:paraId="138D45DF">
      <w:pPr>
        <w:pStyle w:val="21"/>
        <w:spacing w:line="360" w:lineRule="auto"/>
        <w:rPr>
          <w:rFonts w:hint="eastAsia" w:ascii="宋体" w:cs="宋体"/>
          <w:b/>
          <w:bCs/>
          <w:sz w:val="24"/>
          <w:szCs w:val="24"/>
        </w:rPr>
      </w:pPr>
      <w:r>
        <w:rPr>
          <w:rFonts w:hint="eastAsia" w:hAnsi="宋体" w:cs="宋体"/>
        </w:rPr>
        <w:t>签订地点：灌南县                签订日期：      年  月  日</w:t>
      </w:r>
      <w:r>
        <w:rPr>
          <w:rFonts w:hint="eastAsia" w:hAnsi="宋体" w:cs="宋体"/>
        </w:rPr>
        <w:br w:type="page"/>
      </w:r>
    </w:p>
    <w:p w14:paraId="2DBE2706">
      <w:pPr>
        <w:pStyle w:val="21"/>
        <w:spacing w:line="360" w:lineRule="auto"/>
        <w:jc w:val="center"/>
        <w:outlineLvl w:val="0"/>
        <w:rPr>
          <w:rFonts w:hint="eastAsia" w:ascii="宋体" w:cs="宋体"/>
          <w:b/>
          <w:sz w:val="44"/>
          <w:szCs w:val="44"/>
        </w:rPr>
      </w:pPr>
      <w:bookmarkStart w:id="179" w:name="_Toc8353"/>
      <w:bookmarkStart w:id="180" w:name="_Toc8984"/>
      <w:r>
        <w:rPr>
          <w:rStyle w:val="203"/>
          <w:rFonts w:hint="eastAsia" w:ascii="宋体" w:hAnsi="宋体" w:cs="宋体"/>
          <w:sz w:val="44"/>
          <w:szCs w:val="44"/>
        </w:rPr>
        <w:t>第四章 投标文件格式</w:t>
      </w:r>
      <w:bookmarkEnd w:id="179"/>
      <w:bookmarkEnd w:id="180"/>
    </w:p>
    <w:p w14:paraId="72EBCEB1">
      <w:pPr>
        <w:jc w:val="center"/>
        <w:rPr>
          <w:rFonts w:hint="eastAsia" w:ascii="宋体" w:hAnsi="宋体"/>
          <w:b/>
          <w:sz w:val="52"/>
          <w:szCs w:val="52"/>
        </w:rPr>
      </w:pPr>
    </w:p>
    <w:p w14:paraId="5B65615F">
      <w:pPr>
        <w:jc w:val="center"/>
        <w:rPr>
          <w:rFonts w:hint="eastAsia" w:ascii="宋体" w:hAnsi="宋体"/>
          <w:b/>
          <w:sz w:val="52"/>
          <w:szCs w:val="52"/>
        </w:rPr>
      </w:pPr>
      <w:r>
        <w:rPr>
          <w:rFonts w:hint="eastAsia" w:ascii="宋体" w:hAnsi="宋体"/>
          <w:b/>
          <w:sz w:val="52"/>
          <w:szCs w:val="52"/>
        </w:rPr>
        <w:t>连 云 港 市 政 府 采 购</w:t>
      </w:r>
    </w:p>
    <w:p w14:paraId="5B556A21">
      <w:pPr>
        <w:rPr>
          <w:rFonts w:hint="eastAsia" w:ascii="宋体" w:hAnsi="宋体"/>
          <w:b/>
          <w:sz w:val="84"/>
          <w:szCs w:val="84"/>
        </w:rPr>
      </w:pPr>
    </w:p>
    <w:p w14:paraId="76D54E0D">
      <w:pPr>
        <w:jc w:val="center"/>
        <w:rPr>
          <w:rFonts w:hint="eastAsia" w:ascii="宋体" w:hAnsi="宋体"/>
          <w:b/>
          <w:sz w:val="84"/>
          <w:szCs w:val="84"/>
        </w:rPr>
      </w:pPr>
      <w:r>
        <w:rPr>
          <w:rFonts w:hint="eastAsia" w:ascii="宋体" w:hAnsi="宋体"/>
          <w:b/>
          <w:sz w:val="84"/>
          <w:szCs w:val="84"/>
        </w:rPr>
        <w:t>投标文件</w:t>
      </w:r>
    </w:p>
    <w:p w14:paraId="70202F4C">
      <w:pPr>
        <w:rPr>
          <w:rFonts w:hint="eastAsia" w:ascii="宋体" w:hAnsi="宋体"/>
          <w:b/>
          <w:sz w:val="52"/>
          <w:szCs w:val="52"/>
        </w:rPr>
      </w:pPr>
    </w:p>
    <w:p w14:paraId="1DC36A14">
      <w:pPr>
        <w:rPr>
          <w:rFonts w:hint="eastAsia" w:ascii="宋体" w:hAnsi="宋体"/>
          <w:b/>
          <w:sz w:val="36"/>
          <w:szCs w:val="21"/>
        </w:rPr>
      </w:pPr>
    </w:p>
    <w:p w14:paraId="6CC9314B">
      <w:pPr>
        <w:spacing w:line="480" w:lineRule="auto"/>
        <w:ind w:firstLine="1054"/>
        <w:rPr>
          <w:rFonts w:hint="eastAsia" w:ascii="宋体" w:hAnsi="宋体"/>
          <w:b/>
          <w:sz w:val="30"/>
          <w:szCs w:val="30"/>
          <w:u w:val="single"/>
        </w:rPr>
      </w:pPr>
      <w:r>
        <w:rPr>
          <w:rFonts w:hint="eastAsia" w:ascii="宋体" w:hAnsi="宋体"/>
          <w:b/>
          <w:sz w:val="30"/>
          <w:szCs w:val="30"/>
        </w:rPr>
        <w:t>项目名称：</w:t>
      </w:r>
      <w:bookmarkStart w:id="181" w:name="_Hlk170820193"/>
      <w:r>
        <w:rPr>
          <w:rFonts w:hint="eastAsia" w:ascii="宋体" w:hAnsi="宋体"/>
          <w:b/>
          <w:sz w:val="30"/>
          <w:szCs w:val="30"/>
          <w:u w:val="single"/>
        </w:rPr>
        <w:t xml:space="preserve">                                      </w:t>
      </w:r>
      <w:bookmarkEnd w:id="181"/>
    </w:p>
    <w:p w14:paraId="7D74F4A4">
      <w:pPr>
        <w:spacing w:line="480" w:lineRule="auto"/>
        <w:ind w:firstLine="1054"/>
        <w:rPr>
          <w:rFonts w:hint="eastAsia" w:ascii="宋体" w:hAnsi="宋体"/>
          <w:b/>
          <w:sz w:val="30"/>
          <w:szCs w:val="30"/>
          <w:u w:val="single"/>
        </w:rPr>
      </w:pPr>
      <w:r>
        <w:rPr>
          <w:rFonts w:hint="eastAsia" w:ascii="宋体" w:hAnsi="宋体"/>
          <w:b/>
          <w:sz w:val="30"/>
          <w:szCs w:val="30"/>
        </w:rPr>
        <w:t>项目编号：</w:t>
      </w:r>
      <w:r>
        <w:rPr>
          <w:rFonts w:hint="eastAsia" w:ascii="宋体" w:hAnsi="宋体"/>
          <w:b/>
          <w:sz w:val="30"/>
          <w:szCs w:val="30"/>
          <w:u w:val="single"/>
        </w:rPr>
        <w:t xml:space="preserve">                                      </w:t>
      </w:r>
    </w:p>
    <w:p w14:paraId="0ADA3516">
      <w:pPr>
        <w:pStyle w:val="201"/>
      </w:pPr>
    </w:p>
    <w:p w14:paraId="70334A0E">
      <w:pPr>
        <w:pStyle w:val="201"/>
      </w:pPr>
    </w:p>
    <w:p w14:paraId="7AACFCB5">
      <w:pPr>
        <w:spacing w:line="480" w:lineRule="auto"/>
        <w:ind w:firstLine="1054"/>
        <w:rPr>
          <w:rFonts w:hint="eastAsia" w:ascii="宋体" w:hAnsi="宋体"/>
          <w:b/>
          <w:sz w:val="30"/>
          <w:szCs w:val="30"/>
          <w:u w:val="single"/>
        </w:rPr>
      </w:pPr>
      <w:r>
        <w:rPr>
          <w:rFonts w:hint="eastAsia" w:ascii="宋体" w:hAnsi="宋体"/>
          <w:b/>
          <w:sz w:val="30"/>
          <w:szCs w:val="30"/>
        </w:rPr>
        <w:t>投标人名称：</w:t>
      </w:r>
      <w:r>
        <w:rPr>
          <w:rFonts w:hint="eastAsia" w:ascii="宋体" w:hAnsi="宋体"/>
          <w:b/>
          <w:sz w:val="30"/>
          <w:szCs w:val="30"/>
          <w:u w:val="single"/>
        </w:rPr>
        <w:t xml:space="preserve">         （加盖CA电子公章）        </w:t>
      </w:r>
    </w:p>
    <w:p w14:paraId="5967B53F">
      <w:pPr>
        <w:spacing w:line="480" w:lineRule="auto"/>
        <w:ind w:firstLine="1054"/>
        <w:rPr>
          <w:rFonts w:hint="eastAsia" w:ascii="宋体" w:hAnsi="宋体"/>
          <w:b/>
          <w:sz w:val="30"/>
          <w:szCs w:val="30"/>
        </w:rPr>
      </w:pPr>
      <w:r>
        <w:rPr>
          <w:rFonts w:hint="eastAsia" w:ascii="宋体" w:hAnsi="宋体"/>
          <w:b/>
          <w:sz w:val="30"/>
          <w:szCs w:val="30"/>
        </w:rPr>
        <w:t>投标人地址：</w:t>
      </w:r>
      <w:r>
        <w:rPr>
          <w:rFonts w:hint="eastAsia" w:ascii="宋体" w:hAnsi="宋体"/>
          <w:b/>
          <w:sz w:val="30"/>
          <w:szCs w:val="30"/>
          <w:u w:val="single"/>
        </w:rPr>
        <w:t xml:space="preserve">                                      </w:t>
      </w:r>
    </w:p>
    <w:p w14:paraId="7AA117B6">
      <w:pPr>
        <w:spacing w:line="480" w:lineRule="auto"/>
        <w:ind w:firstLine="1054"/>
        <w:rPr>
          <w:rFonts w:hint="eastAsia" w:ascii="宋体" w:hAnsi="宋体"/>
          <w:b/>
          <w:sz w:val="30"/>
          <w:szCs w:val="30"/>
        </w:rPr>
      </w:pPr>
      <w:r>
        <w:rPr>
          <w:rFonts w:hint="eastAsia" w:ascii="宋体" w:hAnsi="宋体"/>
          <w:b/>
          <w:sz w:val="30"/>
          <w:szCs w:val="30"/>
        </w:rPr>
        <w:t>法定代表人：</w:t>
      </w:r>
      <w:r>
        <w:rPr>
          <w:rFonts w:hint="eastAsia" w:ascii="宋体" w:hAnsi="宋体"/>
          <w:b/>
          <w:sz w:val="30"/>
          <w:szCs w:val="30"/>
          <w:u w:val="single"/>
        </w:rPr>
        <w:t xml:space="preserve">                                      </w:t>
      </w:r>
    </w:p>
    <w:p w14:paraId="11179B8E">
      <w:pPr>
        <w:spacing w:line="480" w:lineRule="auto"/>
        <w:ind w:firstLine="1054"/>
        <w:rPr>
          <w:rFonts w:hint="eastAsia" w:ascii="宋体" w:hAnsi="宋体"/>
          <w:b/>
          <w:sz w:val="30"/>
          <w:szCs w:val="30"/>
          <w:u w:val="single"/>
        </w:rPr>
      </w:pPr>
      <w:r>
        <w:rPr>
          <w:rFonts w:hint="eastAsia" w:ascii="宋体" w:hAnsi="宋体"/>
          <w:b/>
          <w:sz w:val="30"/>
          <w:szCs w:val="30"/>
        </w:rPr>
        <w:t>委托代理人：</w:t>
      </w:r>
      <w:r>
        <w:rPr>
          <w:rFonts w:hint="eastAsia" w:ascii="宋体" w:hAnsi="宋体"/>
          <w:b/>
          <w:sz w:val="30"/>
          <w:szCs w:val="30"/>
          <w:u w:val="single"/>
        </w:rPr>
        <w:t xml:space="preserve">（委托代理时填写）                    </w:t>
      </w:r>
    </w:p>
    <w:p w14:paraId="51B74291">
      <w:pPr>
        <w:spacing w:line="480" w:lineRule="auto"/>
        <w:ind w:firstLine="1054"/>
        <w:rPr>
          <w:rFonts w:hint="eastAsia" w:ascii="宋体" w:hAnsi="宋体"/>
          <w:b/>
          <w:sz w:val="30"/>
          <w:szCs w:val="30"/>
        </w:rPr>
      </w:pPr>
      <w:r>
        <w:rPr>
          <w:rFonts w:hint="eastAsia" w:ascii="宋体" w:hAnsi="宋体"/>
          <w:b/>
          <w:sz w:val="30"/>
          <w:szCs w:val="30"/>
        </w:rPr>
        <w:t>日      期：</w:t>
      </w:r>
      <w:r>
        <w:rPr>
          <w:rFonts w:hint="eastAsia" w:ascii="宋体" w:hAnsi="宋体"/>
          <w:b/>
          <w:sz w:val="30"/>
          <w:szCs w:val="30"/>
          <w:u w:val="single"/>
        </w:rPr>
        <w:t xml:space="preserve">                                      </w:t>
      </w:r>
    </w:p>
    <w:p w14:paraId="7E81A66A">
      <w:pPr>
        <w:pStyle w:val="21"/>
        <w:spacing w:line="360" w:lineRule="auto"/>
        <w:rPr>
          <w:rFonts w:hint="eastAsia" w:ascii="宋体" w:hAnsi="宋体" w:cs="宋体"/>
          <w:sz w:val="24"/>
          <w:szCs w:val="24"/>
        </w:rPr>
      </w:pPr>
    </w:p>
    <w:p w14:paraId="4EDA265F">
      <w:pPr>
        <w:rPr>
          <w:rFonts w:hint="eastAsia" w:ascii="宋体" w:hAnsi="宋体" w:cs="宋体"/>
          <w:sz w:val="24"/>
        </w:rPr>
      </w:pPr>
    </w:p>
    <w:p w14:paraId="21FED9B7">
      <w:pPr>
        <w:pStyle w:val="37"/>
        <w:widowControl w:val="0"/>
        <w:spacing w:before="0" w:beforeAutospacing="0" w:after="0" w:afterAutospacing="0" w:line="880" w:lineRule="exact"/>
        <w:ind w:firstLine="723"/>
        <w:jc w:val="center"/>
        <w:rPr>
          <w:rFonts w:hint="eastAsia" w:ascii="宋体" w:hAnsi="宋体" w:cs="宋体"/>
          <w:b/>
          <w:bCs/>
          <w:sz w:val="36"/>
          <w:szCs w:val="36"/>
        </w:rPr>
      </w:pPr>
    </w:p>
    <w:p w14:paraId="48F2F4BB">
      <w:pPr>
        <w:keepNext/>
        <w:keepLines/>
        <w:outlineLvl w:val="1"/>
        <w:rPr>
          <w:rFonts w:ascii="Arial" w:hAnsi="Arial" w:eastAsia="黑体"/>
          <w:b/>
          <w:bCs/>
          <w:sz w:val="32"/>
          <w:szCs w:val="32"/>
        </w:rPr>
      </w:pPr>
      <w:bookmarkStart w:id="182" w:name="_Toc8539"/>
      <w:r>
        <w:rPr>
          <w:rFonts w:hint="eastAsia" w:ascii="Arial" w:hAnsi="Arial" w:eastAsia="黑体"/>
          <w:b/>
          <w:bCs/>
          <w:sz w:val="24"/>
          <w:szCs w:val="32"/>
        </w:rPr>
        <w:t>格式</w:t>
      </w:r>
      <w:r>
        <w:rPr>
          <w:rFonts w:ascii="Arial" w:hAnsi="Arial" w:eastAsia="黑体"/>
          <w:b/>
          <w:bCs/>
          <w:sz w:val="24"/>
          <w:szCs w:val="32"/>
        </w:rPr>
        <w:t>1</w:t>
      </w:r>
      <w:r>
        <w:rPr>
          <w:rFonts w:hint="eastAsia" w:ascii="Arial" w:hAnsi="Arial" w:eastAsia="黑体"/>
          <w:b/>
          <w:bCs/>
          <w:sz w:val="24"/>
          <w:szCs w:val="32"/>
        </w:rPr>
        <w:t>、响应函</w:t>
      </w:r>
    </w:p>
    <w:p w14:paraId="2BA38D11">
      <w:pPr>
        <w:jc w:val="center"/>
        <w:rPr>
          <w:rFonts w:hint="eastAsia" w:ascii="黑体" w:hAnsi="黑体" w:eastAsia="黑体" w:cs="宋体"/>
          <w:bCs/>
          <w:sz w:val="36"/>
          <w:szCs w:val="28"/>
        </w:rPr>
      </w:pPr>
      <w:r>
        <w:rPr>
          <w:rFonts w:hint="eastAsia" w:ascii="黑体" w:hAnsi="黑体" w:eastAsia="黑体" w:cs="宋体"/>
          <w:bCs/>
          <w:sz w:val="36"/>
          <w:szCs w:val="28"/>
        </w:rPr>
        <w:t>响 应 函</w:t>
      </w:r>
    </w:p>
    <w:p w14:paraId="3C678491">
      <w:pPr>
        <w:spacing w:line="360" w:lineRule="auto"/>
        <w:jc w:val="left"/>
        <w:rPr>
          <w:rFonts w:hint="eastAsia" w:ascii="宋体" w:hAnsi="宋体"/>
          <w:sz w:val="24"/>
        </w:rPr>
      </w:pPr>
      <w:r>
        <w:rPr>
          <w:rFonts w:hint="eastAsia" w:ascii="宋体" w:hAnsi="宋体"/>
          <w:sz w:val="24"/>
        </w:rPr>
        <w:t>致：</w:t>
      </w:r>
      <w:r>
        <w:rPr>
          <w:rFonts w:hint="eastAsia" w:ascii="宋体" w:hAnsi="宋体" w:cs="宋体"/>
          <w:sz w:val="24"/>
        </w:rPr>
        <w:t>灌南县农机化技术推广服务站</w:t>
      </w:r>
    </w:p>
    <w:p w14:paraId="6A557BC6">
      <w:pPr>
        <w:spacing w:line="360" w:lineRule="auto"/>
        <w:ind w:left="450" w:leftChars="100" w:hanging="240" w:hangingChars="100"/>
        <w:jc w:val="left"/>
        <w:rPr>
          <w:rFonts w:hint="eastAsia" w:ascii="宋体" w:hAnsi="宋体"/>
          <w:sz w:val="24"/>
        </w:rPr>
      </w:pPr>
      <w:r>
        <w:rPr>
          <w:rFonts w:hint="eastAsia" w:ascii="宋体" w:hAnsi="宋体"/>
          <w:sz w:val="24"/>
        </w:rPr>
        <w:t>根据贵方项目</w:t>
      </w:r>
      <w:r>
        <w:rPr>
          <w:rFonts w:hint="eastAsia" w:ascii="宋体" w:hAnsi="宋体"/>
          <w:sz w:val="24"/>
          <w:u w:val="single"/>
        </w:rPr>
        <w:t xml:space="preserve">          </w:t>
      </w:r>
      <w:r>
        <w:rPr>
          <w:rFonts w:hint="eastAsia" w:ascii="宋体" w:hAnsi="宋体"/>
          <w:sz w:val="24"/>
        </w:rPr>
        <w:t xml:space="preserve"> 标段</w:t>
      </w:r>
      <w:r>
        <w:rPr>
          <w:rFonts w:hint="eastAsia" w:ascii="宋体" w:hAnsi="宋体"/>
          <w:sz w:val="24"/>
          <w:u w:val="single"/>
        </w:rPr>
        <w:t xml:space="preserve">         </w:t>
      </w:r>
      <w:r>
        <w:rPr>
          <w:rFonts w:hint="eastAsia" w:ascii="宋体" w:hAnsi="宋体"/>
          <w:sz w:val="24"/>
        </w:rPr>
        <w:t>（项目编号：</w:t>
      </w:r>
      <w:r>
        <w:rPr>
          <w:rFonts w:hint="eastAsia" w:ascii="宋体" w:hAnsi="宋体"/>
          <w:sz w:val="24"/>
          <w:u w:val="single"/>
        </w:rPr>
        <w:t xml:space="preserve">          </w:t>
      </w:r>
      <w:r>
        <w:rPr>
          <w:rFonts w:hint="eastAsia" w:ascii="宋体" w:hAnsi="宋体"/>
          <w:sz w:val="24"/>
        </w:rPr>
        <w:t>）采购文件，正式授权下述签字人</w:t>
      </w:r>
      <w:r>
        <w:rPr>
          <w:rFonts w:hint="eastAsia" w:ascii="宋体" w:hAnsi="宋体"/>
          <w:sz w:val="24"/>
          <w:u w:val="single"/>
        </w:rPr>
        <w:t xml:space="preserve">    </w:t>
      </w:r>
      <w:r>
        <w:rPr>
          <w:rFonts w:hint="eastAsia" w:ascii="宋体" w:hAnsi="宋体"/>
          <w:sz w:val="24"/>
        </w:rPr>
        <w:t>全权代表参加贵方组织的采购活动，按照采购文件要求提交响应文件。</w:t>
      </w:r>
    </w:p>
    <w:p w14:paraId="6C7A579C">
      <w:pPr>
        <w:spacing w:line="360" w:lineRule="auto"/>
        <w:ind w:firstLine="480"/>
        <w:jc w:val="left"/>
        <w:rPr>
          <w:rFonts w:hint="eastAsia" w:ascii="宋体" w:hAnsi="宋体"/>
          <w:sz w:val="24"/>
        </w:rPr>
      </w:pPr>
      <w:r>
        <w:rPr>
          <w:rFonts w:hint="eastAsia" w:ascii="宋体" w:hAnsi="宋体"/>
          <w:sz w:val="24"/>
        </w:rPr>
        <w:t>据此函，签字人兹宣布同意如下：</w:t>
      </w:r>
    </w:p>
    <w:p w14:paraId="2C7FDF1A">
      <w:pPr>
        <w:spacing w:line="360" w:lineRule="auto"/>
        <w:ind w:firstLine="480"/>
        <w:jc w:val="left"/>
        <w:rPr>
          <w:rFonts w:hint="eastAsia" w:ascii="宋体" w:hAnsi="宋体"/>
          <w:sz w:val="24"/>
        </w:rPr>
      </w:pPr>
      <w:r>
        <w:rPr>
          <w:rFonts w:hint="eastAsia" w:ascii="宋体" w:hAnsi="宋体"/>
          <w:sz w:val="24"/>
        </w:rPr>
        <w:t>1.按采购文件项目需求提交响应报价，报价、交货期等详见开标一览表。</w:t>
      </w:r>
    </w:p>
    <w:p w14:paraId="409EC3C8">
      <w:pPr>
        <w:spacing w:line="360" w:lineRule="auto"/>
        <w:ind w:firstLine="480"/>
        <w:jc w:val="left"/>
        <w:rPr>
          <w:rFonts w:hint="eastAsia" w:ascii="宋体" w:hAnsi="宋体"/>
          <w:sz w:val="24"/>
        </w:rPr>
      </w:pPr>
      <w:r>
        <w:rPr>
          <w:rFonts w:hint="eastAsia" w:ascii="宋体" w:hAnsi="宋体"/>
          <w:sz w:val="24"/>
        </w:rPr>
        <w:t>2.我方同意在本标段采购文件中规定的响应文件递交截止之日起60天内遵守本响应文件中的承诺且在此期限期满之前均具有约束力。</w:t>
      </w:r>
    </w:p>
    <w:p w14:paraId="25C9B99B">
      <w:pPr>
        <w:spacing w:line="360" w:lineRule="auto"/>
        <w:ind w:firstLine="480"/>
        <w:jc w:val="left"/>
        <w:rPr>
          <w:rFonts w:hint="eastAsia" w:ascii="宋体" w:hAnsi="宋体"/>
          <w:sz w:val="24"/>
        </w:rPr>
      </w:pPr>
      <w:r>
        <w:rPr>
          <w:rFonts w:hint="eastAsia" w:ascii="宋体" w:hAnsi="宋体"/>
          <w:sz w:val="24"/>
        </w:rPr>
        <w:t>3.我方承诺已经具备《中华人民共和国政府采购法》中规定的参加政府采购活动的供应商应当具备的条件：</w:t>
      </w:r>
    </w:p>
    <w:p w14:paraId="46E24301">
      <w:pPr>
        <w:spacing w:line="360" w:lineRule="auto"/>
        <w:ind w:firstLine="480"/>
        <w:jc w:val="left"/>
        <w:rPr>
          <w:rFonts w:hint="eastAsia" w:ascii="宋体" w:hAnsi="宋体"/>
          <w:sz w:val="24"/>
        </w:rPr>
      </w:pPr>
      <w:r>
        <w:rPr>
          <w:rFonts w:hint="eastAsia" w:ascii="宋体" w:hAnsi="宋体"/>
          <w:sz w:val="24"/>
        </w:rPr>
        <w:t>(1)具有独立承担民事责任的能力；</w:t>
      </w:r>
    </w:p>
    <w:p w14:paraId="71315314">
      <w:pPr>
        <w:spacing w:line="360" w:lineRule="auto"/>
        <w:ind w:firstLine="480"/>
        <w:jc w:val="left"/>
        <w:rPr>
          <w:rFonts w:hint="eastAsia" w:ascii="宋体" w:hAnsi="宋体"/>
          <w:sz w:val="24"/>
        </w:rPr>
      </w:pPr>
      <w:r>
        <w:rPr>
          <w:rFonts w:hint="eastAsia" w:ascii="宋体" w:hAnsi="宋体"/>
          <w:sz w:val="24"/>
        </w:rPr>
        <w:t>(2)具有良好的商业信誉和健全的财务会计制度；</w:t>
      </w:r>
    </w:p>
    <w:p w14:paraId="0C4D1EAE">
      <w:pPr>
        <w:spacing w:line="360" w:lineRule="auto"/>
        <w:ind w:firstLine="480"/>
        <w:jc w:val="left"/>
        <w:rPr>
          <w:rFonts w:hint="eastAsia" w:ascii="宋体" w:hAnsi="宋体"/>
          <w:sz w:val="24"/>
        </w:rPr>
      </w:pPr>
      <w:r>
        <w:rPr>
          <w:rFonts w:hint="eastAsia" w:ascii="宋体" w:hAnsi="宋体"/>
          <w:sz w:val="24"/>
        </w:rPr>
        <w:t>(3)具有履行合同所必需的设备和专业技术能力；</w:t>
      </w:r>
    </w:p>
    <w:p w14:paraId="059EA8CB">
      <w:pPr>
        <w:spacing w:line="360" w:lineRule="auto"/>
        <w:ind w:firstLine="480"/>
        <w:jc w:val="left"/>
        <w:rPr>
          <w:rFonts w:hint="eastAsia" w:ascii="宋体" w:hAnsi="宋体"/>
          <w:sz w:val="24"/>
        </w:rPr>
      </w:pPr>
      <w:r>
        <w:rPr>
          <w:rFonts w:hint="eastAsia" w:ascii="宋体" w:hAnsi="宋体"/>
          <w:sz w:val="24"/>
        </w:rPr>
        <w:t>(4)有依法缴纳税收和社会保障资金的良好记录；</w:t>
      </w:r>
    </w:p>
    <w:p w14:paraId="32BE3456">
      <w:pPr>
        <w:spacing w:line="360" w:lineRule="auto"/>
        <w:ind w:firstLine="480"/>
        <w:jc w:val="left"/>
        <w:rPr>
          <w:rFonts w:hint="eastAsia" w:ascii="宋体" w:hAnsi="宋体"/>
          <w:sz w:val="24"/>
        </w:rPr>
      </w:pPr>
      <w:r>
        <w:rPr>
          <w:rFonts w:hint="eastAsia" w:ascii="宋体" w:hAnsi="宋体"/>
          <w:sz w:val="24"/>
        </w:rPr>
        <w:t>(5)参加此项采购活动前三年内，在经营活动中没有重大违法记录。</w:t>
      </w:r>
    </w:p>
    <w:p w14:paraId="45EA90BF">
      <w:pPr>
        <w:spacing w:line="360" w:lineRule="auto"/>
        <w:ind w:firstLine="480"/>
        <w:jc w:val="left"/>
        <w:rPr>
          <w:rFonts w:hint="eastAsia" w:ascii="宋体" w:hAnsi="宋体"/>
          <w:sz w:val="24"/>
        </w:rPr>
      </w:pPr>
      <w:r>
        <w:rPr>
          <w:rFonts w:hint="eastAsia" w:ascii="宋体" w:hAnsi="宋体"/>
          <w:sz w:val="24"/>
        </w:rPr>
        <w:t>4.我方根据采购文件的规定，承担完成合同的责任和义务。</w:t>
      </w:r>
    </w:p>
    <w:p w14:paraId="52BFD07E">
      <w:pPr>
        <w:spacing w:line="360" w:lineRule="auto"/>
        <w:ind w:firstLine="480"/>
        <w:jc w:val="left"/>
        <w:rPr>
          <w:rFonts w:hint="eastAsia" w:ascii="宋体" w:hAnsi="宋体"/>
          <w:sz w:val="24"/>
        </w:rPr>
      </w:pPr>
      <w:r>
        <w:rPr>
          <w:rFonts w:hint="eastAsia" w:ascii="宋体" w:hAnsi="宋体"/>
          <w:sz w:val="24"/>
        </w:rPr>
        <w:t>5.我方已详细审核采购文件，我方知道必须放弃提出含糊不清或误解问题的权利。</w:t>
      </w:r>
    </w:p>
    <w:p w14:paraId="23AE5B33">
      <w:pPr>
        <w:spacing w:line="360" w:lineRule="auto"/>
        <w:ind w:firstLine="480"/>
        <w:jc w:val="left"/>
        <w:rPr>
          <w:rFonts w:hint="eastAsia" w:ascii="宋体" w:hAnsi="宋体"/>
          <w:sz w:val="24"/>
        </w:rPr>
      </w:pPr>
      <w:r>
        <w:rPr>
          <w:rFonts w:hint="eastAsia" w:ascii="宋体" w:hAnsi="宋体"/>
          <w:sz w:val="24"/>
        </w:rPr>
        <w:t>6.如果在响应文件有效期内撤回或者有其他违约行为，我方的保证金可被贵方全部或部分没收。</w:t>
      </w:r>
    </w:p>
    <w:p w14:paraId="72ED7CCE">
      <w:pPr>
        <w:spacing w:line="360" w:lineRule="auto"/>
        <w:ind w:firstLine="480"/>
        <w:jc w:val="left"/>
        <w:rPr>
          <w:rFonts w:hint="eastAsia" w:ascii="宋体" w:hAnsi="宋体"/>
          <w:sz w:val="24"/>
        </w:rPr>
      </w:pPr>
      <w:r>
        <w:rPr>
          <w:rFonts w:hint="eastAsia" w:ascii="宋体" w:hAnsi="宋体"/>
          <w:sz w:val="24"/>
        </w:rPr>
        <w:t>7.同意应贵方要求提供与本次采购活动有关的任何数据或资料。</w:t>
      </w:r>
    </w:p>
    <w:p w14:paraId="1BD9DD67">
      <w:pPr>
        <w:spacing w:line="360" w:lineRule="auto"/>
        <w:ind w:firstLine="480"/>
        <w:jc w:val="left"/>
        <w:rPr>
          <w:rFonts w:hint="eastAsia" w:ascii="宋体" w:hAnsi="宋体"/>
          <w:sz w:val="24"/>
        </w:rPr>
      </w:pPr>
      <w:r>
        <w:rPr>
          <w:rFonts w:hint="eastAsia" w:ascii="宋体" w:hAnsi="宋体"/>
          <w:sz w:val="24"/>
        </w:rPr>
        <w:t>8.我方完全理解，最低报价不是中标（成交）的唯一条件。</w:t>
      </w:r>
    </w:p>
    <w:p w14:paraId="100F87EC">
      <w:pPr>
        <w:spacing w:line="360" w:lineRule="auto"/>
        <w:ind w:firstLine="480"/>
        <w:jc w:val="left"/>
        <w:rPr>
          <w:rFonts w:hint="eastAsia" w:ascii="宋体" w:hAnsi="宋体"/>
          <w:sz w:val="24"/>
        </w:rPr>
      </w:pPr>
      <w:r>
        <w:rPr>
          <w:rFonts w:hint="eastAsia" w:ascii="宋体" w:hAnsi="宋体"/>
          <w:sz w:val="24"/>
        </w:rPr>
        <w:t>9.若贵方需要，我方愿意提供我方作出的一切承诺的证明材料。</w:t>
      </w:r>
    </w:p>
    <w:p w14:paraId="3EDE117F">
      <w:pPr>
        <w:spacing w:line="360" w:lineRule="auto"/>
        <w:ind w:firstLine="480"/>
        <w:jc w:val="left"/>
        <w:rPr>
          <w:rFonts w:hint="eastAsia" w:ascii="宋体" w:hAnsi="宋体"/>
          <w:sz w:val="24"/>
        </w:rPr>
      </w:pPr>
      <w:r>
        <w:rPr>
          <w:rFonts w:hint="eastAsia" w:ascii="宋体" w:hAnsi="宋体"/>
          <w:sz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85207C8">
      <w:pPr>
        <w:spacing w:line="360" w:lineRule="auto"/>
        <w:ind w:firstLine="480"/>
        <w:jc w:val="left"/>
        <w:rPr>
          <w:rFonts w:hint="eastAsia" w:ascii="宋体" w:hAnsi="宋体"/>
          <w:sz w:val="24"/>
        </w:rPr>
      </w:pPr>
      <w:r>
        <w:rPr>
          <w:rFonts w:hint="eastAsia" w:ascii="宋体" w:hAnsi="宋体"/>
          <w:sz w:val="24"/>
        </w:rPr>
        <w:t>(1)提供虚假材料谋取中标、成交的；</w:t>
      </w:r>
    </w:p>
    <w:p w14:paraId="2E016AE9">
      <w:pPr>
        <w:spacing w:line="360" w:lineRule="auto"/>
        <w:ind w:firstLine="480"/>
        <w:jc w:val="left"/>
        <w:rPr>
          <w:rFonts w:hint="eastAsia" w:ascii="宋体" w:hAnsi="宋体"/>
          <w:sz w:val="24"/>
        </w:rPr>
      </w:pPr>
      <w:r>
        <w:rPr>
          <w:rFonts w:hint="eastAsia" w:ascii="宋体" w:hAnsi="宋体"/>
          <w:sz w:val="24"/>
        </w:rPr>
        <w:t>(2)采取不正当手段诋毁、排挤其他供应商的；</w:t>
      </w:r>
    </w:p>
    <w:p w14:paraId="076F2BAA">
      <w:pPr>
        <w:spacing w:line="360" w:lineRule="auto"/>
        <w:ind w:firstLine="480"/>
        <w:jc w:val="left"/>
        <w:rPr>
          <w:rFonts w:hint="eastAsia" w:ascii="宋体" w:hAnsi="宋体"/>
          <w:sz w:val="24"/>
        </w:rPr>
      </w:pPr>
      <w:r>
        <w:rPr>
          <w:rFonts w:hint="eastAsia" w:ascii="宋体" w:hAnsi="宋体"/>
          <w:sz w:val="24"/>
        </w:rPr>
        <w:t>(3)与采购人、其他供应商或者采购代理机构恶意串通的；</w:t>
      </w:r>
    </w:p>
    <w:p w14:paraId="4EEAC304">
      <w:pPr>
        <w:spacing w:line="360" w:lineRule="auto"/>
        <w:ind w:firstLine="480"/>
        <w:jc w:val="left"/>
        <w:rPr>
          <w:rFonts w:hint="eastAsia" w:ascii="宋体" w:hAnsi="宋体"/>
          <w:sz w:val="24"/>
        </w:rPr>
      </w:pPr>
      <w:r>
        <w:rPr>
          <w:rFonts w:hint="eastAsia" w:ascii="宋体" w:hAnsi="宋体"/>
          <w:sz w:val="24"/>
        </w:rPr>
        <w:t>(4)向采购人、采购代理机构行贿或者提供其他不正当利益的；</w:t>
      </w:r>
    </w:p>
    <w:p w14:paraId="1F485B61">
      <w:pPr>
        <w:spacing w:line="360" w:lineRule="auto"/>
        <w:ind w:firstLine="480"/>
        <w:jc w:val="left"/>
        <w:rPr>
          <w:rFonts w:hint="eastAsia" w:ascii="宋体" w:hAnsi="宋体"/>
          <w:sz w:val="24"/>
        </w:rPr>
      </w:pPr>
      <w:r>
        <w:rPr>
          <w:rFonts w:hint="eastAsia" w:ascii="宋体" w:hAnsi="宋体"/>
          <w:sz w:val="24"/>
        </w:rPr>
        <w:t>(5)在招标采购过程中与采购人进行协商谈判的；</w:t>
      </w:r>
    </w:p>
    <w:p w14:paraId="35E6536F">
      <w:pPr>
        <w:spacing w:line="360" w:lineRule="auto"/>
        <w:ind w:firstLine="480"/>
        <w:jc w:val="left"/>
        <w:rPr>
          <w:rFonts w:hint="eastAsia" w:ascii="宋体" w:hAnsi="宋体"/>
          <w:sz w:val="24"/>
        </w:rPr>
      </w:pPr>
      <w:r>
        <w:rPr>
          <w:rFonts w:hint="eastAsia" w:ascii="宋体" w:hAnsi="宋体"/>
          <w:sz w:val="24"/>
        </w:rPr>
        <w:t>(6)拒绝有关部门监督检查或提供虚假情况的。</w:t>
      </w:r>
    </w:p>
    <w:p w14:paraId="601B8FD5">
      <w:pPr>
        <w:spacing w:line="360" w:lineRule="auto"/>
        <w:ind w:firstLine="480"/>
        <w:jc w:val="left"/>
        <w:rPr>
          <w:rFonts w:hint="eastAsia" w:ascii="宋体" w:hAnsi="宋体"/>
          <w:sz w:val="24"/>
        </w:rPr>
      </w:pPr>
    </w:p>
    <w:p w14:paraId="1C69B54C">
      <w:pPr>
        <w:spacing w:line="360" w:lineRule="auto"/>
        <w:ind w:firstLine="480"/>
        <w:jc w:val="left"/>
        <w:rPr>
          <w:rFonts w:hint="eastAsia" w:ascii="宋体" w:hAnsi="宋体"/>
          <w:sz w:val="24"/>
        </w:rPr>
      </w:pPr>
      <w:r>
        <w:rPr>
          <w:rFonts w:hint="eastAsia" w:ascii="宋体" w:hAnsi="宋体"/>
          <w:sz w:val="24"/>
        </w:rPr>
        <w:t>法定代表人或其委托代理人签字（或盖章）： 　　</w:t>
      </w:r>
    </w:p>
    <w:p w14:paraId="1E5CF310">
      <w:pPr>
        <w:spacing w:line="360" w:lineRule="auto"/>
        <w:ind w:firstLine="480"/>
        <w:jc w:val="left"/>
        <w:rPr>
          <w:rFonts w:hint="eastAsia" w:ascii="宋体" w:hAnsi="宋体"/>
          <w:sz w:val="24"/>
        </w:rPr>
      </w:pPr>
      <w:r>
        <w:rPr>
          <w:rFonts w:hint="eastAsia" w:ascii="宋体" w:hAnsi="宋体"/>
          <w:sz w:val="24"/>
        </w:rPr>
        <w:t xml:space="preserve">投标人公章： </w:t>
      </w:r>
    </w:p>
    <w:p w14:paraId="6EE5671B">
      <w:pPr>
        <w:spacing w:line="360" w:lineRule="auto"/>
        <w:ind w:firstLine="480"/>
        <w:jc w:val="left"/>
        <w:rPr>
          <w:rFonts w:hint="eastAsia" w:ascii="宋体" w:hAnsi="宋体"/>
          <w:sz w:val="24"/>
        </w:rPr>
      </w:pPr>
      <w:r>
        <w:rPr>
          <w:rFonts w:hint="eastAsia" w:ascii="宋体" w:hAnsi="宋体"/>
          <w:sz w:val="24"/>
        </w:rPr>
        <w:t xml:space="preserve">日期： </w:t>
      </w:r>
    </w:p>
    <w:p w14:paraId="71B15CC9">
      <w:pPr>
        <w:spacing w:line="360" w:lineRule="auto"/>
        <w:ind w:firstLine="480"/>
        <w:jc w:val="left"/>
        <w:rPr>
          <w:rFonts w:hint="eastAsia" w:ascii="宋体" w:hAnsi="宋体"/>
          <w:sz w:val="24"/>
        </w:rPr>
      </w:pPr>
    </w:p>
    <w:p w14:paraId="3C416D1A">
      <w:pPr>
        <w:spacing w:line="360" w:lineRule="auto"/>
        <w:ind w:firstLine="480"/>
        <w:jc w:val="left"/>
        <w:rPr>
          <w:rFonts w:hint="eastAsia" w:ascii="宋体" w:hAnsi="宋体"/>
          <w:bCs/>
          <w:sz w:val="24"/>
        </w:rPr>
      </w:pPr>
      <w:r>
        <w:rPr>
          <w:rFonts w:hint="eastAsia" w:ascii="宋体" w:hAnsi="宋体"/>
          <w:sz w:val="24"/>
        </w:rPr>
        <w:t>注：未按照本响应函的格式要求填写的，将造成非实质响应，从而导致该供应商响应无效。</w:t>
      </w:r>
      <w:bookmarkStart w:id="183" w:name="_Toc91183848"/>
      <w:bookmarkStart w:id="184" w:name="_Toc91256336"/>
    </w:p>
    <w:p w14:paraId="35034F72">
      <w:pPr>
        <w:keepNext/>
        <w:keepLines/>
        <w:outlineLvl w:val="1"/>
        <w:rPr>
          <w:rFonts w:ascii="Arial" w:hAnsi="Arial" w:eastAsia="黑体"/>
          <w:b/>
          <w:bCs/>
          <w:sz w:val="32"/>
          <w:szCs w:val="32"/>
        </w:rPr>
      </w:pPr>
      <w:r>
        <w:rPr>
          <w:rFonts w:ascii="Arial" w:hAnsi="Arial" w:eastAsia="黑体"/>
          <w:b/>
          <w:bCs/>
          <w:sz w:val="32"/>
          <w:szCs w:val="32"/>
        </w:rPr>
        <w:br w:type="page"/>
      </w:r>
      <w:r>
        <w:rPr>
          <w:rFonts w:hint="eastAsia" w:ascii="Arial" w:hAnsi="Arial" w:eastAsia="黑体"/>
          <w:b/>
          <w:bCs/>
          <w:sz w:val="24"/>
          <w:szCs w:val="32"/>
        </w:rPr>
        <w:t>格式</w:t>
      </w:r>
      <w:r>
        <w:rPr>
          <w:rFonts w:ascii="Arial" w:hAnsi="Arial" w:eastAsia="黑体"/>
          <w:b/>
          <w:bCs/>
          <w:sz w:val="24"/>
          <w:szCs w:val="32"/>
        </w:rPr>
        <w:t>2</w:t>
      </w:r>
      <w:r>
        <w:rPr>
          <w:rFonts w:hint="eastAsia" w:ascii="Arial" w:hAnsi="Arial" w:eastAsia="黑体"/>
          <w:b/>
          <w:bCs/>
          <w:sz w:val="24"/>
          <w:szCs w:val="32"/>
        </w:rPr>
        <w:t>、开标一览表</w:t>
      </w:r>
    </w:p>
    <w:p w14:paraId="5B0B8973">
      <w:pPr>
        <w:jc w:val="center"/>
        <w:rPr>
          <w:rFonts w:hint="eastAsia" w:ascii="宋体" w:hAnsi="宋体" w:eastAsiaTheme="minorEastAsia" w:cstheme="minorBidi"/>
          <w:bCs/>
          <w:sz w:val="24"/>
          <w:szCs w:val="22"/>
        </w:rPr>
      </w:pPr>
      <w:r>
        <w:rPr>
          <w:rFonts w:hint="eastAsia" w:ascii="黑体" w:hAnsi="黑体" w:eastAsia="黑体" w:cs="宋体"/>
          <w:bCs/>
          <w:sz w:val="36"/>
          <w:szCs w:val="28"/>
        </w:rPr>
        <w:t>开标一览表</w:t>
      </w:r>
    </w:p>
    <w:p w14:paraId="64A4F417">
      <w:pPr>
        <w:spacing w:line="360" w:lineRule="auto"/>
        <w:ind w:firstLine="480"/>
        <w:jc w:val="left"/>
        <w:rPr>
          <w:rFonts w:hint="eastAsia" w:ascii="宋体" w:hAnsi="宋体"/>
          <w:bCs/>
          <w:sz w:val="24"/>
        </w:rPr>
      </w:pPr>
      <w:r>
        <w:rPr>
          <w:rFonts w:hint="eastAsia" w:ascii="宋体" w:hAnsi="宋体"/>
          <w:bCs/>
          <w:sz w:val="24"/>
        </w:rPr>
        <w:t xml:space="preserve">项目编号： </w:t>
      </w:r>
    </w:p>
    <w:p w14:paraId="2735051A">
      <w:pPr>
        <w:spacing w:line="360" w:lineRule="auto"/>
        <w:ind w:firstLine="480"/>
        <w:jc w:val="left"/>
        <w:rPr>
          <w:rFonts w:hint="eastAsia" w:ascii="宋体" w:hAnsi="宋体"/>
          <w:bCs/>
          <w:sz w:val="24"/>
        </w:rPr>
      </w:pPr>
      <w:r>
        <w:rPr>
          <w:rFonts w:hint="eastAsia" w:ascii="宋体" w:hAnsi="宋体"/>
          <w:bCs/>
          <w:sz w:val="24"/>
        </w:rPr>
        <w:t xml:space="preserve">标段名称： </w:t>
      </w:r>
    </w:p>
    <w:p w14:paraId="38117BC1">
      <w:pPr>
        <w:pStyle w:val="49"/>
        <w:rPr>
          <w:rFonts w:hint="default" w:ascii="MS Mincho" w:hAnsiTheme="minorHAnsi"/>
          <w:color w:val="auto"/>
        </w:rPr>
      </w:pP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4966"/>
      </w:tblGrid>
      <w:tr w14:paraId="77BB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84" w:hRule="atLeast"/>
          <w:jc w:val="center"/>
        </w:trPr>
        <w:tc>
          <w:tcPr>
            <w:tcW w:w="2338" w:type="dxa"/>
            <w:tcBorders>
              <w:top w:val="single" w:color="auto" w:sz="4" w:space="0"/>
              <w:left w:val="single" w:color="auto" w:sz="4" w:space="0"/>
              <w:bottom w:val="single" w:color="auto" w:sz="4" w:space="0"/>
              <w:right w:val="single" w:color="auto" w:sz="4" w:space="0"/>
            </w:tcBorders>
            <w:noWrap/>
            <w:vAlign w:val="center"/>
          </w:tcPr>
          <w:p w14:paraId="11C575A1">
            <w:pPr>
              <w:jc w:val="center"/>
              <w:rPr>
                <w:rFonts w:hint="eastAsia" w:ascii="宋体" w:hAnsi="宋体"/>
                <w:bCs/>
                <w:sz w:val="28"/>
                <w:szCs w:val="28"/>
              </w:rPr>
            </w:pPr>
            <w:r>
              <w:rPr>
                <w:rFonts w:hint="eastAsia" w:ascii="宋体" w:hAnsi="宋体"/>
                <w:bCs/>
                <w:sz w:val="28"/>
                <w:szCs w:val="28"/>
              </w:rPr>
              <w:t>标题</w:t>
            </w:r>
          </w:p>
        </w:tc>
        <w:tc>
          <w:tcPr>
            <w:tcW w:w="4966" w:type="dxa"/>
            <w:tcBorders>
              <w:top w:val="single" w:color="auto" w:sz="4" w:space="0"/>
              <w:left w:val="single" w:color="auto" w:sz="4" w:space="0"/>
              <w:bottom w:val="single" w:color="auto" w:sz="4" w:space="0"/>
              <w:right w:val="single" w:color="auto" w:sz="4" w:space="0"/>
            </w:tcBorders>
            <w:noWrap/>
            <w:vAlign w:val="center"/>
          </w:tcPr>
          <w:p w14:paraId="5F3E6526">
            <w:pPr>
              <w:jc w:val="center"/>
              <w:rPr>
                <w:rFonts w:hint="eastAsia" w:ascii="宋体" w:hAnsi="宋体"/>
                <w:sz w:val="28"/>
                <w:szCs w:val="28"/>
              </w:rPr>
            </w:pPr>
            <w:r>
              <w:rPr>
                <w:rFonts w:hint="eastAsia" w:ascii="宋体" w:hAnsi="宋体"/>
                <w:sz w:val="28"/>
                <w:szCs w:val="28"/>
              </w:rPr>
              <w:t>内容</w:t>
            </w:r>
          </w:p>
        </w:tc>
      </w:tr>
      <w:tr w14:paraId="507F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4" w:hRule="atLeast"/>
          <w:jc w:val="center"/>
        </w:trPr>
        <w:tc>
          <w:tcPr>
            <w:tcW w:w="2338" w:type="dxa"/>
            <w:tcBorders>
              <w:top w:val="single" w:color="auto" w:sz="4" w:space="0"/>
              <w:left w:val="single" w:color="auto" w:sz="4" w:space="0"/>
              <w:bottom w:val="single" w:color="auto" w:sz="4" w:space="0"/>
              <w:right w:val="single" w:color="auto" w:sz="4" w:space="0"/>
            </w:tcBorders>
            <w:noWrap/>
            <w:vAlign w:val="center"/>
          </w:tcPr>
          <w:p w14:paraId="6531F630">
            <w:pPr>
              <w:jc w:val="center"/>
              <w:rPr>
                <w:rFonts w:hint="eastAsia" w:ascii="宋体" w:hAnsi="宋体"/>
                <w:bCs/>
                <w:sz w:val="28"/>
                <w:szCs w:val="28"/>
              </w:rPr>
            </w:pPr>
            <w:r>
              <w:rPr>
                <w:rFonts w:hint="eastAsia" w:ascii="宋体" w:hAnsi="宋体"/>
                <w:bCs/>
                <w:sz w:val="28"/>
                <w:szCs w:val="28"/>
              </w:rPr>
              <w:t>投标报价（元）</w:t>
            </w:r>
          </w:p>
        </w:tc>
        <w:tc>
          <w:tcPr>
            <w:tcW w:w="4966" w:type="dxa"/>
            <w:tcBorders>
              <w:top w:val="single" w:color="auto" w:sz="4" w:space="0"/>
              <w:left w:val="single" w:color="auto" w:sz="4" w:space="0"/>
              <w:bottom w:val="single" w:color="auto" w:sz="4" w:space="0"/>
              <w:right w:val="single" w:color="auto" w:sz="4" w:space="0"/>
            </w:tcBorders>
            <w:noWrap/>
            <w:vAlign w:val="center"/>
          </w:tcPr>
          <w:p w14:paraId="48BE884C">
            <w:pPr>
              <w:rPr>
                <w:rFonts w:asciiTheme="minorHAnsi" w:hAnsiTheme="minorHAnsi"/>
                <w:szCs w:val="22"/>
              </w:rPr>
            </w:pPr>
          </w:p>
        </w:tc>
      </w:tr>
      <w:tr w14:paraId="4CA01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4" w:hRule="atLeast"/>
          <w:jc w:val="center"/>
        </w:trPr>
        <w:tc>
          <w:tcPr>
            <w:tcW w:w="2338" w:type="dxa"/>
            <w:tcBorders>
              <w:top w:val="single" w:color="auto" w:sz="4" w:space="0"/>
              <w:left w:val="single" w:color="auto" w:sz="4" w:space="0"/>
              <w:bottom w:val="single" w:color="auto" w:sz="4" w:space="0"/>
              <w:right w:val="single" w:color="auto" w:sz="4" w:space="0"/>
            </w:tcBorders>
            <w:noWrap/>
            <w:vAlign w:val="center"/>
          </w:tcPr>
          <w:p w14:paraId="4BE6DF5B">
            <w:pPr>
              <w:jc w:val="center"/>
              <w:rPr>
                <w:rFonts w:hint="eastAsia" w:ascii="宋体" w:hAnsi="宋体"/>
                <w:bCs/>
                <w:sz w:val="28"/>
                <w:szCs w:val="28"/>
              </w:rPr>
            </w:pPr>
            <w:r>
              <w:rPr>
                <w:rFonts w:hint="eastAsia" w:ascii="宋体" w:hAnsi="宋体" w:cs="宋体"/>
                <w:szCs w:val="21"/>
              </w:rPr>
              <w:t>合同履行期限（天）</w:t>
            </w:r>
          </w:p>
        </w:tc>
        <w:tc>
          <w:tcPr>
            <w:tcW w:w="4966" w:type="dxa"/>
            <w:tcBorders>
              <w:top w:val="single" w:color="auto" w:sz="4" w:space="0"/>
              <w:left w:val="single" w:color="auto" w:sz="4" w:space="0"/>
              <w:bottom w:val="single" w:color="auto" w:sz="4" w:space="0"/>
              <w:right w:val="single" w:color="auto" w:sz="4" w:space="0"/>
            </w:tcBorders>
            <w:noWrap/>
            <w:vAlign w:val="center"/>
          </w:tcPr>
          <w:p w14:paraId="731375EE">
            <w:pPr>
              <w:jc w:val="center"/>
              <w:rPr>
                <w:rFonts w:hint="eastAsia" w:ascii="宋体" w:hAnsi="宋体"/>
                <w:sz w:val="28"/>
                <w:szCs w:val="28"/>
              </w:rPr>
            </w:pPr>
          </w:p>
        </w:tc>
      </w:tr>
    </w:tbl>
    <w:p w14:paraId="3595C314">
      <w:pPr>
        <w:spacing w:line="360" w:lineRule="auto"/>
        <w:ind w:firstLine="480"/>
        <w:jc w:val="left"/>
        <w:rPr>
          <w:rFonts w:hint="eastAsia" w:ascii="宋体" w:hAnsi="宋体" w:eastAsiaTheme="minorEastAsia" w:cstheme="minorBidi"/>
          <w:bCs/>
          <w:sz w:val="24"/>
          <w:szCs w:val="22"/>
        </w:rPr>
      </w:pPr>
    </w:p>
    <w:p w14:paraId="4D699FFF">
      <w:pPr>
        <w:spacing w:line="360" w:lineRule="auto"/>
        <w:ind w:firstLine="480"/>
        <w:jc w:val="left"/>
        <w:rPr>
          <w:rFonts w:hint="eastAsia" w:ascii="宋体" w:hAnsi="宋体"/>
          <w:bCs/>
          <w:sz w:val="24"/>
        </w:rPr>
      </w:pPr>
    </w:p>
    <w:p w14:paraId="682BC949">
      <w:pPr>
        <w:spacing w:line="360" w:lineRule="auto"/>
        <w:ind w:firstLine="480"/>
        <w:jc w:val="left"/>
        <w:rPr>
          <w:rFonts w:hint="eastAsia" w:ascii="宋体" w:hAnsi="宋体"/>
          <w:bCs/>
          <w:sz w:val="24"/>
        </w:rPr>
      </w:pPr>
      <w:r>
        <w:rPr>
          <w:rFonts w:hint="eastAsia" w:ascii="宋体" w:hAnsi="宋体"/>
          <w:bCs/>
          <w:sz w:val="24"/>
        </w:rPr>
        <w:t>投标人（盖章）：</w:t>
      </w:r>
    </w:p>
    <w:p w14:paraId="72D5D294">
      <w:pPr>
        <w:spacing w:line="360" w:lineRule="auto"/>
        <w:ind w:firstLine="480"/>
        <w:jc w:val="left"/>
        <w:rPr>
          <w:rFonts w:hint="eastAsia" w:ascii="宋体" w:hAnsi="宋体"/>
          <w:bCs/>
          <w:sz w:val="24"/>
        </w:rPr>
      </w:pPr>
      <w:r>
        <w:rPr>
          <w:rFonts w:hint="eastAsia" w:ascii="宋体" w:hAnsi="宋体"/>
          <w:bCs/>
          <w:sz w:val="24"/>
        </w:rPr>
        <w:t>法定代表人或委托代理人（签字或盖章）：</w:t>
      </w:r>
    </w:p>
    <w:p w14:paraId="0FFC6889">
      <w:pPr>
        <w:spacing w:line="360" w:lineRule="auto"/>
        <w:ind w:firstLine="480"/>
        <w:rPr>
          <w:rFonts w:hint="eastAsia" w:ascii="宋体" w:hAnsi="宋体"/>
          <w:bCs/>
          <w:sz w:val="24"/>
        </w:rPr>
      </w:pPr>
      <w:r>
        <w:rPr>
          <w:rFonts w:hint="eastAsia" w:ascii="宋体" w:hAnsi="宋体"/>
          <w:bCs/>
          <w:sz w:val="24"/>
        </w:rPr>
        <w:t>日期：    年     月     日</w:t>
      </w:r>
    </w:p>
    <w:p w14:paraId="6143117B">
      <w:pPr>
        <w:spacing w:line="360" w:lineRule="auto"/>
        <w:ind w:firstLine="480"/>
        <w:rPr>
          <w:rFonts w:hint="eastAsia" w:ascii="宋体" w:hAnsi="宋体"/>
          <w:bCs/>
          <w:sz w:val="24"/>
        </w:rPr>
      </w:pPr>
    </w:p>
    <w:p w14:paraId="650280FC">
      <w:pPr>
        <w:spacing w:line="360" w:lineRule="auto"/>
        <w:ind w:firstLine="480"/>
        <w:rPr>
          <w:rFonts w:hint="eastAsia" w:ascii="宋体" w:hAnsi="宋体"/>
          <w:bCs/>
          <w:sz w:val="24"/>
        </w:rPr>
      </w:pPr>
    </w:p>
    <w:p w14:paraId="2C1B3391">
      <w:pPr>
        <w:spacing w:line="360" w:lineRule="auto"/>
        <w:ind w:firstLine="480"/>
        <w:rPr>
          <w:rFonts w:hint="eastAsia" w:ascii="宋体" w:hAnsi="宋体"/>
          <w:bCs/>
          <w:sz w:val="24"/>
        </w:rPr>
      </w:pPr>
    </w:p>
    <w:p w14:paraId="2A960A5C">
      <w:pPr>
        <w:spacing w:line="360" w:lineRule="auto"/>
        <w:ind w:firstLine="480"/>
        <w:rPr>
          <w:rFonts w:hint="eastAsia" w:ascii="宋体" w:hAnsi="宋体"/>
          <w:bCs/>
          <w:sz w:val="24"/>
        </w:rPr>
      </w:pPr>
    </w:p>
    <w:p w14:paraId="5918263D">
      <w:pPr>
        <w:keepNext/>
        <w:keepLines/>
        <w:outlineLvl w:val="1"/>
        <w:rPr>
          <w:rFonts w:hint="eastAsia" w:ascii="宋体" w:hAnsi="宋体" w:eastAsia="黑体"/>
          <w:bCs/>
          <w:sz w:val="32"/>
          <w:szCs w:val="21"/>
        </w:rPr>
      </w:pPr>
      <w:r>
        <w:rPr>
          <w:rFonts w:hint="eastAsia" w:ascii="宋体" w:hAnsi="宋体"/>
          <w:sz w:val="24"/>
        </w:rPr>
        <w:br w:type="page"/>
      </w:r>
      <w:r>
        <w:rPr>
          <w:rFonts w:hint="eastAsia" w:ascii="Arial" w:hAnsi="Arial" w:eastAsia="黑体"/>
          <w:b/>
          <w:bCs/>
          <w:sz w:val="24"/>
          <w:szCs w:val="32"/>
        </w:rPr>
        <w:t>格式</w:t>
      </w:r>
      <w:r>
        <w:rPr>
          <w:rFonts w:ascii="Arial" w:hAnsi="Arial" w:eastAsia="黑体"/>
          <w:b/>
          <w:bCs/>
          <w:sz w:val="24"/>
          <w:szCs w:val="32"/>
        </w:rPr>
        <w:t>3</w:t>
      </w:r>
      <w:r>
        <w:rPr>
          <w:rFonts w:hint="eastAsia" w:ascii="Arial" w:hAnsi="Arial" w:eastAsia="黑体"/>
          <w:b/>
          <w:bCs/>
          <w:sz w:val="24"/>
          <w:szCs w:val="32"/>
        </w:rPr>
        <w:t>、报价明细表</w:t>
      </w:r>
    </w:p>
    <w:p w14:paraId="0E7FE28E">
      <w:pPr>
        <w:jc w:val="center"/>
        <w:rPr>
          <w:rFonts w:hint="eastAsia" w:ascii="黑体" w:hAnsi="黑体" w:eastAsia="黑体" w:cs="宋体"/>
          <w:bCs/>
          <w:sz w:val="36"/>
          <w:szCs w:val="28"/>
        </w:rPr>
      </w:pPr>
      <w:r>
        <w:rPr>
          <w:rFonts w:hint="eastAsia" w:ascii="黑体" w:hAnsi="黑体" w:eastAsia="黑体" w:cs="宋体"/>
          <w:bCs/>
          <w:sz w:val="36"/>
          <w:szCs w:val="28"/>
        </w:rPr>
        <w:t>报价明细表</w:t>
      </w:r>
    </w:p>
    <w:p w14:paraId="7AA7CEDF">
      <w:pPr>
        <w:autoSpaceDE w:val="0"/>
        <w:autoSpaceDN w:val="0"/>
        <w:adjustRightInd w:val="0"/>
        <w:spacing w:line="360" w:lineRule="auto"/>
        <w:jc w:val="left"/>
        <w:rPr>
          <w:rFonts w:hint="eastAsia" w:ascii="宋体" w:hAnsi="宋体" w:cs="方正仿宋_GBK"/>
          <w:sz w:val="24"/>
        </w:rPr>
      </w:pPr>
    </w:p>
    <w:p w14:paraId="34EF2A0B">
      <w:pPr>
        <w:autoSpaceDE w:val="0"/>
        <w:autoSpaceDN w:val="0"/>
        <w:adjustRightInd w:val="0"/>
        <w:spacing w:line="360" w:lineRule="auto"/>
        <w:jc w:val="left"/>
        <w:rPr>
          <w:rFonts w:hint="eastAsia" w:ascii="宋体" w:hAnsi="宋体"/>
          <w:bCs/>
          <w:sz w:val="24"/>
        </w:rPr>
      </w:pPr>
      <w:r>
        <w:rPr>
          <w:rFonts w:hint="eastAsia" w:ascii="宋体" w:hAnsi="宋体" w:cs="方正仿宋_GBK"/>
          <w:sz w:val="24"/>
        </w:rPr>
        <w:t>标段名称：                     项目编号：</w:t>
      </w:r>
    </w:p>
    <w:p w14:paraId="562CA729">
      <w:pPr>
        <w:spacing w:line="360" w:lineRule="auto"/>
        <w:jc w:val="right"/>
        <w:rPr>
          <w:rFonts w:hint="eastAsia" w:ascii="宋体" w:hAnsi="宋体"/>
        </w:rPr>
      </w:pPr>
      <w:r>
        <w:rPr>
          <w:rFonts w:hint="eastAsia" w:ascii="宋体" w:hAnsi="宋体"/>
        </w:rPr>
        <w:t>单位：元</w:t>
      </w:r>
    </w:p>
    <w:tbl>
      <w:tblPr>
        <w:tblStyle w:val="40"/>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694"/>
        <w:gridCol w:w="708"/>
        <w:gridCol w:w="1134"/>
        <w:gridCol w:w="1134"/>
        <w:gridCol w:w="717"/>
      </w:tblGrid>
      <w:tr w14:paraId="71B2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14:paraId="0A15AE75">
            <w:pPr>
              <w:widowControl/>
              <w:spacing w:line="360" w:lineRule="auto"/>
              <w:jc w:val="center"/>
              <w:rPr>
                <w:bCs/>
              </w:rPr>
            </w:pPr>
            <w:r>
              <w:rPr>
                <w:bCs/>
              </w:rPr>
              <w:t>项号</w:t>
            </w:r>
          </w:p>
        </w:tc>
        <w:tc>
          <w:tcPr>
            <w:tcW w:w="1134" w:type="dxa"/>
            <w:vAlign w:val="center"/>
          </w:tcPr>
          <w:p w14:paraId="7CD27AD1">
            <w:pPr>
              <w:widowControl/>
              <w:spacing w:line="360" w:lineRule="auto"/>
              <w:jc w:val="center"/>
              <w:rPr>
                <w:bCs/>
              </w:rPr>
            </w:pPr>
            <w:r>
              <w:rPr>
                <w:bCs/>
              </w:rPr>
              <w:t>货物名称</w:t>
            </w:r>
          </w:p>
        </w:tc>
        <w:tc>
          <w:tcPr>
            <w:tcW w:w="709" w:type="dxa"/>
            <w:vAlign w:val="center"/>
          </w:tcPr>
          <w:p w14:paraId="31BEAC99">
            <w:pPr>
              <w:widowControl/>
              <w:spacing w:line="360" w:lineRule="auto"/>
              <w:jc w:val="center"/>
              <w:rPr>
                <w:bCs/>
              </w:rPr>
            </w:pPr>
            <w:r>
              <w:rPr>
                <w:bCs/>
              </w:rPr>
              <w:t>品牌</w:t>
            </w:r>
          </w:p>
        </w:tc>
        <w:tc>
          <w:tcPr>
            <w:tcW w:w="1134" w:type="dxa"/>
            <w:vAlign w:val="center"/>
          </w:tcPr>
          <w:p w14:paraId="7AF0290B">
            <w:pPr>
              <w:widowControl/>
              <w:spacing w:line="360" w:lineRule="auto"/>
              <w:jc w:val="center"/>
              <w:rPr>
                <w:bCs/>
              </w:rPr>
            </w:pPr>
            <w:r>
              <w:rPr>
                <w:bCs/>
              </w:rPr>
              <w:t>规格型号</w:t>
            </w:r>
          </w:p>
        </w:tc>
        <w:tc>
          <w:tcPr>
            <w:tcW w:w="850" w:type="dxa"/>
            <w:vAlign w:val="center"/>
          </w:tcPr>
          <w:p w14:paraId="6A63856D">
            <w:pPr>
              <w:widowControl/>
              <w:spacing w:line="360" w:lineRule="auto"/>
              <w:jc w:val="center"/>
              <w:rPr>
                <w:bCs/>
              </w:rPr>
            </w:pPr>
            <w:r>
              <w:rPr>
                <w:bCs/>
              </w:rPr>
              <w:t>制造商</w:t>
            </w:r>
          </w:p>
        </w:tc>
        <w:tc>
          <w:tcPr>
            <w:tcW w:w="1694" w:type="dxa"/>
            <w:vAlign w:val="center"/>
          </w:tcPr>
          <w:p w14:paraId="07029F50">
            <w:pPr>
              <w:widowControl/>
              <w:spacing w:line="360" w:lineRule="auto"/>
              <w:jc w:val="center"/>
              <w:rPr>
                <w:bCs/>
              </w:rPr>
            </w:pPr>
            <w:r>
              <w:rPr>
                <w:bCs/>
              </w:rPr>
              <w:t>制造商企业类型</w:t>
            </w:r>
          </w:p>
        </w:tc>
        <w:tc>
          <w:tcPr>
            <w:tcW w:w="708" w:type="dxa"/>
            <w:vAlign w:val="center"/>
          </w:tcPr>
          <w:p w14:paraId="0AA66515">
            <w:pPr>
              <w:widowControl/>
              <w:spacing w:line="360" w:lineRule="auto"/>
              <w:jc w:val="center"/>
              <w:rPr>
                <w:bCs/>
              </w:rPr>
            </w:pPr>
            <w:r>
              <w:rPr>
                <w:bCs/>
              </w:rPr>
              <w:t>单价</w:t>
            </w:r>
          </w:p>
        </w:tc>
        <w:tc>
          <w:tcPr>
            <w:tcW w:w="1134" w:type="dxa"/>
            <w:vAlign w:val="center"/>
          </w:tcPr>
          <w:p w14:paraId="2C807FC4">
            <w:pPr>
              <w:widowControl/>
              <w:spacing w:line="360" w:lineRule="auto"/>
              <w:jc w:val="center"/>
              <w:rPr>
                <w:bCs/>
              </w:rPr>
            </w:pPr>
            <w:r>
              <w:rPr>
                <w:bCs/>
              </w:rPr>
              <w:t>采购数量</w:t>
            </w:r>
          </w:p>
        </w:tc>
        <w:tc>
          <w:tcPr>
            <w:tcW w:w="1134" w:type="dxa"/>
            <w:vAlign w:val="center"/>
          </w:tcPr>
          <w:p w14:paraId="58B25154">
            <w:pPr>
              <w:widowControl/>
              <w:spacing w:line="360" w:lineRule="auto"/>
              <w:jc w:val="center"/>
              <w:rPr>
                <w:bCs/>
              </w:rPr>
            </w:pPr>
            <w:r>
              <w:rPr>
                <w:bCs/>
              </w:rPr>
              <w:t>计量单位</w:t>
            </w:r>
          </w:p>
        </w:tc>
        <w:tc>
          <w:tcPr>
            <w:tcW w:w="717" w:type="dxa"/>
            <w:vAlign w:val="center"/>
          </w:tcPr>
          <w:p w14:paraId="4BE6D629">
            <w:pPr>
              <w:widowControl/>
              <w:spacing w:line="360" w:lineRule="auto"/>
              <w:jc w:val="center"/>
              <w:rPr>
                <w:bCs/>
              </w:rPr>
            </w:pPr>
            <w:r>
              <w:rPr>
                <w:bCs/>
              </w:rPr>
              <w:t>总价</w:t>
            </w:r>
          </w:p>
        </w:tc>
      </w:tr>
      <w:tr w14:paraId="64F75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14:paraId="7301D2D1">
            <w:pPr>
              <w:widowControl/>
              <w:spacing w:line="360" w:lineRule="auto"/>
              <w:jc w:val="center"/>
              <w:rPr>
                <w:rFonts w:hint="eastAsia" w:eastAsia="宋体"/>
                <w:lang w:val="en-US" w:eastAsia="zh-CN"/>
              </w:rPr>
            </w:pPr>
            <w:r>
              <w:rPr>
                <w:rFonts w:hint="eastAsia"/>
                <w:lang w:val="en-US" w:eastAsia="zh-CN"/>
              </w:rPr>
              <w:t>1</w:t>
            </w:r>
          </w:p>
        </w:tc>
        <w:tc>
          <w:tcPr>
            <w:tcW w:w="1134" w:type="dxa"/>
            <w:noWrap/>
            <w:vAlign w:val="center"/>
          </w:tcPr>
          <w:p w14:paraId="280192FD">
            <w:pPr>
              <w:widowControl/>
              <w:spacing w:line="360" w:lineRule="auto"/>
            </w:pPr>
          </w:p>
        </w:tc>
        <w:tc>
          <w:tcPr>
            <w:tcW w:w="709" w:type="dxa"/>
            <w:noWrap/>
            <w:vAlign w:val="center"/>
          </w:tcPr>
          <w:p w14:paraId="5F70BF83">
            <w:pPr>
              <w:widowControl/>
              <w:spacing w:line="360" w:lineRule="auto"/>
            </w:pPr>
          </w:p>
        </w:tc>
        <w:tc>
          <w:tcPr>
            <w:tcW w:w="1134" w:type="dxa"/>
            <w:noWrap/>
            <w:vAlign w:val="center"/>
          </w:tcPr>
          <w:p w14:paraId="036FE8FF">
            <w:pPr>
              <w:widowControl/>
              <w:spacing w:line="360" w:lineRule="auto"/>
            </w:pPr>
          </w:p>
        </w:tc>
        <w:tc>
          <w:tcPr>
            <w:tcW w:w="850" w:type="dxa"/>
            <w:noWrap/>
            <w:vAlign w:val="center"/>
          </w:tcPr>
          <w:p w14:paraId="774A4165">
            <w:pPr>
              <w:widowControl/>
              <w:spacing w:line="360" w:lineRule="auto"/>
            </w:pPr>
          </w:p>
        </w:tc>
        <w:tc>
          <w:tcPr>
            <w:tcW w:w="1694" w:type="dxa"/>
            <w:noWrap/>
            <w:vAlign w:val="center"/>
          </w:tcPr>
          <w:p w14:paraId="76BBB9D2">
            <w:pPr>
              <w:widowControl/>
              <w:spacing w:line="360" w:lineRule="auto"/>
            </w:pPr>
          </w:p>
        </w:tc>
        <w:tc>
          <w:tcPr>
            <w:tcW w:w="708" w:type="dxa"/>
            <w:vAlign w:val="center"/>
          </w:tcPr>
          <w:p w14:paraId="1AD4B07E">
            <w:pPr>
              <w:widowControl/>
              <w:spacing w:line="360" w:lineRule="auto"/>
            </w:pPr>
          </w:p>
        </w:tc>
        <w:tc>
          <w:tcPr>
            <w:tcW w:w="1134" w:type="dxa"/>
            <w:noWrap/>
            <w:vAlign w:val="center"/>
          </w:tcPr>
          <w:p w14:paraId="6C838758">
            <w:pPr>
              <w:widowControl/>
              <w:spacing w:line="360" w:lineRule="auto"/>
            </w:pPr>
          </w:p>
        </w:tc>
        <w:tc>
          <w:tcPr>
            <w:tcW w:w="1134" w:type="dxa"/>
            <w:noWrap/>
            <w:vAlign w:val="center"/>
          </w:tcPr>
          <w:p w14:paraId="0CEC364E">
            <w:pPr>
              <w:widowControl/>
              <w:spacing w:line="360" w:lineRule="auto"/>
            </w:pPr>
          </w:p>
        </w:tc>
        <w:tc>
          <w:tcPr>
            <w:tcW w:w="717" w:type="dxa"/>
            <w:noWrap/>
            <w:vAlign w:val="center"/>
          </w:tcPr>
          <w:p w14:paraId="5CEC0136">
            <w:pPr>
              <w:widowControl/>
              <w:spacing w:line="360" w:lineRule="auto"/>
            </w:pPr>
          </w:p>
        </w:tc>
      </w:tr>
      <w:tr w14:paraId="34DA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14:paraId="00753A11">
            <w:pPr>
              <w:widowControl/>
              <w:spacing w:line="360" w:lineRule="auto"/>
              <w:jc w:val="center"/>
              <w:rPr>
                <w:rFonts w:hint="eastAsia" w:eastAsia="宋体"/>
                <w:lang w:val="en-US" w:eastAsia="zh-CN"/>
              </w:rPr>
            </w:pPr>
            <w:r>
              <w:rPr>
                <w:rFonts w:hint="eastAsia"/>
                <w:lang w:val="en-US" w:eastAsia="zh-CN"/>
              </w:rPr>
              <w:t>2</w:t>
            </w:r>
          </w:p>
        </w:tc>
        <w:tc>
          <w:tcPr>
            <w:tcW w:w="1134" w:type="dxa"/>
            <w:noWrap/>
            <w:vAlign w:val="center"/>
          </w:tcPr>
          <w:p w14:paraId="2C41430B">
            <w:pPr>
              <w:widowControl/>
              <w:spacing w:line="360" w:lineRule="auto"/>
            </w:pPr>
          </w:p>
        </w:tc>
        <w:tc>
          <w:tcPr>
            <w:tcW w:w="709" w:type="dxa"/>
            <w:noWrap/>
            <w:vAlign w:val="center"/>
          </w:tcPr>
          <w:p w14:paraId="5EB5BE8F">
            <w:pPr>
              <w:widowControl/>
              <w:spacing w:line="360" w:lineRule="auto"/>
            </w:pPr>
          </w:p>
        </w:tc>
        <w:tc>
          <w:tcPr>
            <w:tcW w:w="1134" w:type="dxa"/>
            <w:noWrap/>
            <w:vAlign w:val="center"/>
          </w:tcPr>
          <w:p w14:paraId="7D5C56D0">
            <w:pPr>
              <w:widowControl/>
              <w:spacing w:line="360" w:lineRule="auto"/>
            </w:pPr>
          </w:p>
        </w:tc>
        <w:tc>
          <w:tcPr>
            <w:tcW w:w="850" w:type="dxa"/>
            <w:noWrap/>
            <w:vAlign w:val="center"/>
          </w:tcPr>
          <w:p w14:paraId="5A7B706F">
            <w:pPr>
              <w:widowControl/>
              <w:spacing w:line="360" w:lineRule="auto"/>
            </w:pPr>
          </w:p>
        </w:tc>
        <w:tc>
          <w:tcPr>
            <w:tcW w:w="1694" w:type="dxa"/>
            <w:noWrap/>
            <w:vAlign w:val="center"/>
          </w:tcPr>
          <w:p w14:paraId="4C952A5D">
            <w:pPr>
              <w:widowControl/>
              <w:spacing w:line="360" w:lineRule="auto"/>
            </w:pPr>
          </w:p>
        </w:tc>
        <w:tc>
          <w:tcPr>
            <w:tcW w:w="708" w:type="dxa"/>
            <w:vAlign w:val="center"/>
          </w:tcPr>
          <w:p w14:paraId="11871C09">
            <w:pPr>
              <w:widowControl/>
              <w:spacing w:line="360" w:lineRule="auto"/>
            </w:pPr>
          </w:p>
        </w:tc>
        <w:tc>
          <w:tcPr>
            <w:tcW w:w="1134" w:type="dxa"/>
            <w:noWrap/>
            <w:vAlign w:val="center"/>
          </w:tcPr>
          <w:p w14:paraId="074B4E7A">
            <w:pPr>
              <w:widowControl/>
              <w:spacing w:line="360" w:lineRule="auto"/>
            </w:pPr>
          </w:p>
        </w:tc>
        <w:tc>
          <w:tcPr>
            <w:tcW w:w="1134" w:type="dxa"/>
            <w:noWrap/>
            <w:vAlign w:val="center"/>
          </w:tcPr>
          <w:p w14:paraId="6F0E638D">
            <w:pPr>
              <w:widowControl/>
              <w:spacing w:line="360" w:lineRule="auto"/>
            </w:pPr>
          </w:p>
        </w:tc>
        <w:tc>
          <w:tcPr>
            <w:tcW w:w="717" w:type="dxa"/>
            <w:noWrap/>
            <w:vAlign w:val="center"/>
          </w:tcPr>
          <w:p w14:paraId="160E1222">
            <w:pPr>
              <w:widowControl/>
              <w:spacing w:line="360" w:lineRule="auto"/>
            </w:pPr>
          </w:p>
        </w:tc>
      </w:tr>
      <w:tr w14:paraId="02DD1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14:paraId="3A295483">
            <w:pPr>
              <w:widowControl/>
              <w:spacing w:line="360" w:lineRule="auto"/>
              <w:jc w:val="center"/>
              <w:rPr>
                <w:rFonts w:hint="eastAsia" w:eastAsia="宋体"/>
                <w:lang w:val="en-US" w:eastAsia="zh-CN"/>
              </w:rPr>
            </w:pPr>
            <w:r>
              <w:rPr>
                <w:rFonts w:hint="eastAsia"/>
                <w:lang w:val="en-US" w:eastAsia="zh-CN"/>
              </w:rPr>
              <w:t>3</w:t>
            </w:r>
          </w:p>
        </w:tc>
        <w:tc>
          <w:tcPr>
            <w:tcW w:w="1134" w:type="dxa"/>
            <w:noWrap/>
            <w:vAlign w:val="center"/>
          </w:tcPr>
          <w:p w14:paraId="5E9BF696">
            <w:pPr>
              <w:widowControl/>
              <w:spacing w:line="360" w:lineRule="auto"/>
            </w:pPr>
          </w:p>
        </w:tc>
        <w:tc>
          <w:tcPr>
            <w:tcW w:w="709" w:type="dxa"/>
            <w:noWrap/>
            <w:vAlign w:val="center"/>
          </w:tcPr>
          <w:p w14:paraId="204FBFE5">
            <w:pPr>
              <w:widowControl/>
              <w:spacing w:line="360" w:lineRule="auto"/>
            </w:pPr>
          </w:p>
        </w:tc>
        <w:tc>
          <w:tcPr>
            <w:tcW w:w="1134" w:type="dxa"/>
            <w:noWrap/>
            <w:vAlign w:val="center"/>
          </w:tcPr>
          <w:p w14:paraId="2E818125">
            <w:pPr>
              <w:widowControl/>
              <w:spacing w:line="360" w:lineRule="auto"/>
            </w:pPr>
          </w:p>
        </w:tc>
        <w:tc>
          <w:tcPr>
            <w:tcW w:w="850" w:type="dxa"/>
            <w:noWrap/>
            <w:vAlign w:val="center"/>
          </w:tcPr>
          <w:p w14:paraId="394430D3">
            <w:pPr>
              <w:widowControl/>
              <w:spacing w:line="360" w:lineRule="auto"/>
            </w:pPr>
          </w:p>
        </w:tc>
        <w:tc>
          <w:tcPr>
            <w:tcW w:w="1694" w:type="dxa"/>
            <w:noWrap/>
            <w:vAlign w:val="center"/>
          </w:tcPr>
          <w:p w14:paraId="0811D3F7">
            <w:pPr>
              <w:widowControl/>
              <w:spacing w:line="360" w:lineRule="auto"/>
            </w:pPr>
          </w:p>
        </w:tc>
        <w:tc>
          <w:tcPr>
            <w:tcW w:w="708" w:type="dxa"/>
            <w:vAlign w:val="center"/>
          </w:tcPr>
          <w:p w14:paraId="2EFD5EE2">
            <w:pPr>
              <w:widowControl/>
              <w:spacing w:line="360" w:lineRule="auto"/>
            </w:pPr>
          </w:p>
        </w:tc>
        <w:tc>
          <w:tcPr>
            <w:tcW w:w="1134" w:type="dxa"/>
            <w:noWrap/>
            <w:vAlign w:val="center"/>
          </w:tcPr>
          <w:p w14:paraId="492DC7C3">
            <w:pPr>
              <w:widowControl/>
              <w:spacing w:line="360" w:lineRule="auto"/>
            </w:pPr>
          </w:p>
        </w:tc>
        <w:tc>
          <w:tcPr>
            <w:tcW w:w="1134" w:type="dxa"/>
            <w:noWrap/>
            <w:vAlign w:val="center"/>
          </w:tcPr>
          <w:p w14:paraId="7C555E80">
            <w:pPr>
              <w:widowControl/>
              <w:spacing w:line="360" w:lineRule="auto"/>
            </w:pPr>
          </w:p>
        </w:tc>
        <w:tc>
          <w:tcPr>
            <w:tcW w:w="717" w:type="dxa"/>
            <w:noWrap/>
            <w:vAlign w:val="center"/>
          </w:tcPr>
          <w:p w14:paraId="72174C75">
            <w:pPr>
              <w:widowControl/>
              <w:spacing w:line="360" w:lineRule="auto"/>
            </w:pPr>
          </w:p>
        </w:tc>
      </w:tr>
      <w:tr w14:paraId="0EDF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14:paraId="77BC522C">
            <w:pPr>
              <w:widowControl/>
              <w:spacing w:line="360" w:lineRule="auto"/>
              <w:rPr>
                <w:rFonts w:hint="default" w:eastAsia="宋体"/>
                <w:lang w:val="en-US" w:eastAsia="zh-CN"/>
              </w:rPr>
            </w:pPr>
            <w:r>
              <w:rPr>
                <w:rFonts w:hint="eastAsia"/>
                <w:lang w:val="en-US" w:eastAsia="zh-CN"/>
              </w:rPr>
              <w:t>------</w:t>
            </w:r>
          </w:p>
        </w:tc>
        <w:tc>
          <w:tcPr>
            <w:tcW w:w="1134" w:type="dxa"/>
            <w:noWrap/>
            <w:vAlign w:val="center"/>
          </w:tcPr>
          <w:p w14:paraId="0EA95694">
            <w:pPr>
              <w:widowControl/>
              <w:spacing w:line="360" w:lineRule="auto"/>
            </w:pPr>
          </w:p>
        </w:tc>
        <w:tc>
          <w:tcPr>
            <w:tcW w:w="709" w:type="dxa"/>
            <w:noWrap/>
            <w:vAlign w:val="center"/>
          </w:tcPr>
          <w:p w14:paraId="116B283C">
            <w:pPr>
              <w:widowControl/>
              <w:spacing w:line="360" w:lineRule="auto"/>
            </w:pPr>
          </w:p>
        </w:tc>
        <w:tc>
          <w:tcPr>
            <w:tcW w:w="1134" w:type="dxa"/>
            <w:noWrap/>
            <w:vAlign w:val="center"/>
          </w:tcPr>
          <w:p w14:paraId="56F34FAD">
            <w:pPr>
              <w:widowControl/>
              <w:spacing w:line="360" w:lineRule="auto"/>
            </w:pPr>
          </w:p>
        </w:tc>
        <w:tc>
          <w:tcPr>
            <w:tcW w:w="850" w:type="dxa"/>
            <w:noWrap/>
            <w:vAlign w:val="center"/>
          </w:tcPr>
          <w:p w14:paraId="4F447D6F">
            <w:pPr>
              <w:widowControl/>
              <w:spacing w:line="360" w:lineRule="auto"/>
            </w:pPr>
          </w:p>
        </w:tc>
        <w:tc>
          <w:tcPr>
            <w:tcW w:w="1694" w:type="dxa"/>
            <w:noWrap/>
            <w:vAlign w:val="center"/>
          </w:tcPr>
          <w:p w14:paraId="118CE025">
            <w:pPr>
              <w:widowControl/>
              <w:spacing w:line="360" w:lineRule="auto"/>
            </w:pPr>
          </w:p>
        </w:tc>
        <w:tc>
          <w:tcPr>
            <w:tcW w:w="708" w:type="dxa"/>
            <w:noWrap/>
            <w:vAlign w:val="center"/>
          </w:tcPr>
          <w:p w14:paraId="647FB698">
            <w:pPr>
              <w:widowControl/>
              <w:spacing w:line="360" w:lineRule="auto"/>
            </w:pPr>
          </w:p>
        </w:tc>
        <w:tc>
          <w:tcPr>
            <w:tcW w:w="1134" w:type="dxa"/>
            <w:noWrap/>
            <w:vAlign w:val="center"/>
          </w:tcPr>
          <w:p w14:paraId="128CC62E">
            <w:pPr>
              <w:widowControl/>
              <w:spacing w:line="360" w:lineRule="auto"/>
            </w:pPr>
          </w:p>
        </w:tc>
        <w:tc>
          <w:tcPr>
            <w:tcW w:w="1134" w:type="dxa"/>
            <w:noWrap/>
            <w:vAlign w:val="center"/>
          </w:tcPr>
          <w:p w14:paraId="3D9B87D6">
            <w:pPr>
              <w:widowControl/>
              <w:spacing w:line="360" w:lineRule="auto"/>
            </w:pPr>
          </w:p>
        </w:tc>
        <w:tc>
          <w:tcPr>
            <w:tcW w:w="717" w:type="dxa"/>
            <w:noWrap/>
            <w:vAlign w:val="center"/>
          </w:tcPr>
          <w:p w14:paraId="12B6EE44">
            <w:pPr>
              <w:widowControl/>
              <w:spacing w:line="360" w:lineRule="auto"/>
            </w:pPr>
          </w:p>
        </w:tc>
      </w:tr>
      <w:tr w14:paraId="60C3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14:paraId="2D2B3F00">
            <w:pPr>
              <w:widowControl/>
              <w:spacing w:line="360" w:lineRule="auto"/>
            </w:pPr>
          </w:p>
        </w:tc>
        <w:tc>
          <w:tcPr>
            <w:tcW w:w="1134" w:type="dxa"/>
            <w:noWrap/>
            <w:vAlign w:val="center"/>
          </w:tcPr>
          <w:p w14:paraId="6F1CAE00">
            <w:pPr>
              <w:widowControl/>
              <w:spacing w:line="360" w:lineRule="auto"/>
            </w:pPr>
          </w:p>
        </w:tc>
        <w:tc>
          <w:tcPr>
            <w:tcW w:w="709" w:type="dxa"/>
            <w:noWrap/>
            <w:vAlign w:val="center"/>
          </w:tcPr>
          <w:p w14:paraId="3A4C2F62">
            <w:pPr>
              <w:widowControl/>
              <w:spacing w:line="360" w:lineRule="auto"/>
            </w:pPr>
          </w:p>
        </w:tc>
        <w:tc>
          <w:tcPr>
            <w:tcW w:w="1134" w:type="dxa"/>
            <w:noWrap/>
            <w:vAlign w:val="center"/>
          </w:tcPr>
          <w:p w14:paraId="17C2A655">
            <w:pPr>
              <w:widowControl/>
              <w:spacing w:line="360" w:lineRule="auto"/>
            </w:pPr>
          </w:p>
        </w:tc>
        <w:tc>
          <w:tcPr>
            <w:tcW w:w="850" w:type="dxa"/>
            <w:noWrap/>
            <w:vAlign w:val="center"/>
          </w:tcPr>
          <w:p w14:paraId="2173DBA7">
            <w:pPr>
              <w:widowControl/>
              <w:spacing w:line="360" w:lineRule="auto"/>
            </w:pPr>
          </w:p>
        </w:tc>
        <w:tc>
          <w:tcPr>
            <w:tcW w:w="1694" w:type="dxa"/>
            <w:noWrap/>
            <w:vAlign w:val="center"/>
          </w:tcPr>
          <w:p w14:paraId="74BE6829">
            <w:pPr>
              <w:widowControl/>
              <w:spacing w:line="360" w:lineRule="auto"/>
            </w:pPr>
          </w:p>
        </w:tc>
        <w:tc>
          <w:tcPr>
            <w:tcW w:w="708" w:type="dxa"/>
            <w:noWrap/>
            <w:vAlign w:val="center"/>
          </w:tcPr>
          <w:p w14:paraId="47AEEC92">
            <w:pPr>
              <w:widowControl/>
              <w:spacing w:line="360" w:lineRule="auto"/>
            </w:pPr>
          </w:p>
        </w:tc>
        <w:tc>
          <w:tcPr>
            <w:tcW w:w="1134" w:type="dxa"/>
            <w:noWrap/>
            <w:vAlign w:val="center"/>
          </w:tcPr>
          <w:p w14:paraId="1CB68AA9">
            <w:pPr>
              <w:widowControl/>
              <w:spacing w:line="360" w:lineRule="auto"/>
            </w:pPr>
          </w:p>
        </w:tc>
        <w:tc>
          <w:tcPr>
            <w:tcW w:w="1134" w:type="dxa"/>
            <w:noWrap/>
            <w:vAlign w:val="center"/>
          </w:tcPr>
          <w:p w14:paraId="21F24545">
            <w:pPr>
              <w:widowControl/>
              <w:spacing w:line="360" w:lineRule="auto"/>
            </w:pPr>
          </w:p>
        </w:tc>
        <w:tc>
          <w:tcPr>
            <w:tcW w:w="717" w:type="dxa"/>
            <w:noWrap/>
            <w:vAlign w:val="center"/>
          </w:tcPr>
          <w:p w14:paraId="665833AB">
            <w:pPr>
              <w:widowControl/>
              <w:spacing w:line="360" w:lineRule="auto"/>
            </w:pPr>
          </w:p>
        </w:tc>
      </w:tr>
    </w:tbl>
    <w:p w14:paraId="359DFCCE">
      <w:pPr>
        <w:spacing w:line="360" w:lineRule="auto"/>
        <w:ind w:firstLine="420" w:firstLineChars="200"/>
      </w:pPr>
    </w:p>
    <w:p w14:paraId="04206215">
      <w:pPr>
        <w:pStyle w:val="49"/>
        <w:rPr>
          <w:color w:val="auto"/>
        </w:rPr>
      </w:pPr>
    </w:p>
    <w:p w14:paraId="08F83E9C">
      <w:pPr>
        <w:spacing w:line="360" w:lineRule="auto"/>
        <w:ind w:firstLine="420" w:firstLineChars="200"/>
      </w:pPr>
      <w:r>
        <w:rPr>
          <w:rFonts w:hint="eastAsia"/>
        </w:rPr>
        <w:t>投标人（盖章）：</w:t>
      </w:r>
    </w:p>
    <w:p w14:paraId="36869CFF">
      <w:pPr>
        <w:spacing w:line="360" w:lineRule="auto"/>
        <w:ind w:firstLine="420" w:firstLineChars="200"/>
      </w:pPr>
      <w:r>
        <w:rPr>
          <w:rFonts w:hint="eastAsia"/>
        </w:rPr>
        <w:t>法定代表人或委托代理人（签字或盖章）：</w:t>
      </w:r>
    </w:p>
    <w:p w14:paraId="6541B08F">
      <w:pPr>
        <w:spacing w:line="360" w:lineRule="auto"/>
        <w:ind w:firstLine="420" w:firstLineChars="200"/>
        <w:rPr>
          <w:rFonts w:hint="eastAsia" w:ascii="宋体" w:hAnsi="宋体"/>
        </w:rPr>
      </w:pPr>
      <w:r>
        <w:rPr>
          <w:rFonts w:hint="eastAsia"/>
        </w:rPr>
        <w:t>日期：    年  月  日</w:t>
      </w:r>
    </w:p>
    <w:p w14:paraId="241F5A8F">
      <w:pPr>
        <w:spacing w:line="360" w:lineRule="auto"/>
        <w:rPr>
          <w:rFonts w:hint="eastAsia" w:ascii="宋体" w:hAnsi="宋体"/>
          <w:szCs w:val="20"/>
        </w:rPr>
      </w:pPr>
    </w:p>
    <w:p w14:paraId="598D2902">
      <w:pPr>
        <w:spacing w:line="360" w:lineRule="auto"/>
        <w:ind w:firstLine="420"/>
        <w:rPr>
          <w:rFonts w:ascii="宋体" w:hAnsi="宋体"/>
          <w:color w:val="000000"/>
          <w:sz w:val="21"/>
        </w:rPr>
      </w:pPr>
      <w:r>
        <w:rPr>
          <w:rFonts w:hint="eastAsia" w:ascii="宋体" w:hAnsi="宋体" w:cs="宋体"/>
          <w:szCs w:val="21"/>
          <w:lang w:bidi="ar"/>
        </w:rPr>
        <w:t>备注：</w:t>
      </w:r>
      <w:r>
        <w:rPr>
          <w:rFonts w:hint="eastAsia" w:ascii="宋体" w:hAnsi="宋体"/>
          <w:color w:val="000000"/>
          <w:sz w:val="21"/>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33CDB79E">
      <w:pPr>
        <w:spacing w:line="360" w:lineRule="auto"/>
        <w:ind w:firstLine="420"/>
        <w:rPr>
          <w:rFonts w:ascii="宋体" w:hAnsi="宋体"/>
          <w:color w:val="000000"/>
          <w:sz w:val="21"/>
        </w:rPr>
      </w:pPr>
      <w:r>
        <w:rPr>
          <w:rFonts w:hint="eastAsia" w:ascii="宋体" w:hAnsi="宋体"/>
          <w:color w:val="000000"/>
          <w:sz w:val="21"/>
        </w:rPr>
        <w:t>2、以上总</w:t>
      </w:r>
      <w:r>
        <w:rPr>
          <w:rFonts w:hint="eastAsia" w:ascii="宋体" w:hAnsi="宋体" w:cs="宋体"/>
          <w:szCs w:val="21"/>
          <w:lang w:bidi="ar"/>
        </w:rPr>
        <w:t>报价包含但不限于全部设备、辅助材料、备品、备件、安装、集成、调试、质保、人工、维保、运输、人员培训、技术支持、税金等直至验收交付使用后至服务期满的全部费用（包含所有隐含的内容）。中标后费用不再另行增加</w:t>
      </w:r>
      <w:r>
        <w:rPr>
          <w:rFonts w:hint="eastAsia" w:ascii="宋体" w:hAnsi="宋体"/>
          <w:color w:val="000000"/>
          <w:sz w:val="21"/>
        </w:rPr>
        <w:t>。</w:t>
      </w:r>
    </w:p>
    <w:p w14:paraId="0123C3DF">
      <w:pPr>
        <w:spacing w:line="360" w:lineRule="auto"/>
        <w:ind w:firstLine="420"/>
        <w:rPr>
          <w:rFonts w:ascii="宋体" w:hAnsi="宋体"/>
          <w:color w:val="000000"/>
          <w:sz w:val="21"/>
        </w:rPr>
      </w:pPr>
      <w:r>
        <w:rPr>
          <w:rFonts w:hint="eastAsia" w:ascii="宋体" w:hAnsi="宋体"/>
          <w:color w:val="000000"/>
          <w:sz w:val="21"/>
        </w:rPr>
        <w:t>3、</w:t>
      </w:r>
      <w:r>
        <w:rPr>
          <w:rFonts w:hint="eastAsia" w:ascii="宋体" w:hAnsi="宋体" w:cs="宋体"/>
          <w:szCs w:val="21"/>
          <w:lang w:bidi="ar"/>
        </w:rPr>
        <w:t>本报价表中的合计金额必须与开标一览表的投标总价一致。</w:t>
      </w:r>
    </w:p>
    <w:p w14:paraId="4E80198E">
      <w:pPr>
        <w:spacing w:line="360" w:lineRule="auto"/>
        <w:ind w:firstLine="420"/>
        <w:rPr>
          <w:rFonts w:hint="eastAsia" w:ascii="宋体" w:hAnsi="宋体"/>
          <w:b/>
          <w:sz w:val="28"/>
          <w:szCs w:val="30"/>
        </w:rPr>
      </w:pPr>
      <w:r>
        <w:rPr>
          <w:rFonts w:hint="eastAsia" w:ascii="宋体" w:hAnsi="宋体"/>
          <w:color w:val="000000"/>
          <w:sz w:val="21"/>
        </w:rPr>
        <w:t>4、本表中事项填写不得有缺失，请如实填写，行数或事项不够，可自行增加。</w:t>
      </w:r>
    </w:p>
    <w:p w14:paraId="236132C1">
      <w:pPr>
        <w:spacing w:line="400" w:lineRule="exact"/>
        <w:jc w:val="center"/>
        <w:rPr>
          <w:rFonts w:hint="eastAsia" w:ascii="宋体" w:hAnsi="宋体"/>
          <w:b/>
          <w:sz w:val="28"/>
          <w:szCs w:val="30"/>
        </w:rPr>
      </w:pPr>
    </w:p>
    <w:p w14:paraId="032F7CD1">
      <w:pPr>
        <w:spacing w:line="400" w:lineRule="exact"/>
        <w:jc w:val="both"/>
        <w:rPr>
          <w:rFonts w:hint="eastAsia" w:ascii="宋体" w:hAnsi="宋体"/>
          <w:b/>
          <w:sz w:val="28"/>
          <w:szCs w:val="30"/>
        </w:rPr>
      </w:pPr>
    </w:p>
    <w:p w14:paraId="4FD419CB">
      <w:pPr>
        <w:spacing w:line="400" w:lineRule="exact"/>
        <w:jc w:val="center"/>
        <w:rPr>
          <w:rFonts w:hint="eastAsia" w:ascii="宋体" w:hAnsi="宋体"/>
          <w:b/>
          <w:sz w:val="28"/>
          <w:szCs w:val="30"/>
        </w:rPr>
      </w:pPr>
    </w:p>
    <w:p w14:paraId="16EE5F9C">
      <w:pPr>
        <w:spacing w:line="400" w:lineRule="exact"/>
        <w:jc w:val="center"/>
        <w:rPr>
          <w:rFonts w:hint="eastAsia" w:ascii="宋体" w:hAnsi="宋体"/>
          <w:b/>
          <w:sz w:val="28"/>
          <w:szCs w:val="30"/>
        </w:rPr>
      </w:pPr>
    </w:p>
    <w:bookmarkEnd w:id="183"/>
    <w:bookmarkEnd w:id="184"/>
    <w:p w14:paraId="470DFE6C">
      <w:pPr>
        <w:keepNext/>
        <w:keepLines/>
        <w:outlineLvl w:val="1"/>
        <w:rPr>
          <w:rFonts w:ascii="Arial" w:hAnsi="Arial" w:eastAsia="黑体"/>
          <w:b/>
          <w:bCs/>
          <w:sz w:val="32"/>
          <w:szCs w:val="32"/>
        </w:rPr>
      </w:pPr>
      <w:r>
        <w:rPr>
          <w:rFonts w:hint="eastAsia" w:ascii="Arial" w:hAnsi="Arial" w:eastAsia="黑体"/>
          <w:b/>
          <w:bCs/>
          <w:sz w:val="24"/>
          <w:szCs w:val="32"/>
        </w:rPr>
        <w:t>格式</w:t>
      </w:r>
      <w:r>
        <w:rPr>
          <w:rFonts w:ascii="Arial" w:hAnsi="Arial" w:eastAsia="黑体"/>
          <w:b/>
          <w:bCs/>
          <w:sz w:val="24"/>
          <w:szCs w:val="32"/>
        </w:rPr>
        <w:t>4</w:t>
      </w:r>
      <w:r>
        <w:rPr>
          <w:rFonts w:hint="eastAsia" w:ascii="Arial" w:hAnsi="Arial" w:eastAsia="黑体"/>
          <w:b/>
          <w:bCs/>
          <w:sz w:val="24"/>
          <w:szCs w:val="32"/>
        </w:rPr>
        <w:t>、中小企业声明函</w:t>
      </w:r>
    </w:p>
    <w:p w14:paraId="7EE6519E">
      <w:pPr>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中小企业声明函</w:t>
      </w:r>
    </w:p>
    <w:p w14:paraId="3DD12429">
      <w:pPr>
        <w:spacing w:line="500" w:lineRule="exact"/>
        <w:ind w:firstLine="480"/>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本公司（联合体）郑重声明，根据《政府采购促进中小企业发展管理办法》</w:t>
      </w:r>
      <w:r>
        <w:rPr>
          <w:rFonts w:hint="eastAsia" w:ascii="宋体" w:hAnsi="宋体" w:eastAsia="宋体" w:cs="Times New Roman"/>
          <w:i w:val="0"/>
          <w:iCs/>
          <w:color w:val="auto"/>
          <w:sz w:val="24"/>
          <w:szCs w:val="24"/>
          <w:highlight w:val="none"/>
          <w:lang w:eastAsia="zh-CN"/>
        </w:rPr>
        <w:t>（</w:t>
      </w:r>
      <w:r>
        <w:rPr>
          <w:rFonts w:hint="eastAsia" w:ascii="宋体" w:hAnsi="宋体" w:eastAsia="宋体" w:cs="Times New Roman"/>
          <w:i w:val="0"/>
          <w:iCs/>
          <w:color w:val="auto"/>
          <w:sz w:val="24"/>
          <w:szCs w:val="24"/>
          <w:highlight w:val="none"/>
        </w:rPr>
        <w:t>财库〔2020〕46号</w:t>
      </w:r>
      <w:r>
        <w:rPr>
          <w:rFonts w:hint="eastAsia" w:ascii="宋体" w:hAnsi="宋体" w:eastAsia="宋体" w:cs="Times New Roman"/>
          <w:i w:val="0"/>
          <w:iCs/>
          <w:color w:val="auto"/>
          <w:sz w:val="24"/>
          <w:szCs w:val="24"/>
          <w:highlight w:val="none"/>
          <w:lang w:eastAsia="zh-CN"/>
        </w:rPr>
        <w:t>）</w:t>
      </w:r>
      <w:r>
        <w:rPr>
          <w:rFonts w:hint="eastAsia" w:ascii="宋体" w:hAnsi="宋体" w:eastAsia="宋体" w:cs="Times New Roman"/>
          <w:i w:val="0"/>
          <w:iCs/>
          <w:color w:val="auto"/>
          <w:sz w:val="24"/>
          <w:szCs w:val="24"/>
          <w:highlight w:val="none"/>
        </w:rPr>
        <w:t>的规定，本公司（联合体）参加</w:t>
      </w:r>
      <w:r>
        <w:rPr>
          <w:rFonts w:hint="eastAsia" w:ascii="宋体" w:hAnsi="宋体" w:eastAsia="宋体" w:cs="Times New Roman"/>
          <w:i w:val="0"/>
          <w:iCs/>
          <w:color w:val="auto"/>
          <w:sz w:val="24"/>
          <w:szCs w:val="24"/>
          <w:highlight w:val="none"/>
          <w:u w:val="single"/>
        </w:rPr>
        <w:t>（单位名称）</w:t>
      </w:r>
      <w:r>
        <w:rPr>
          <w:rFonts w:hint="eastAsia" w:ascii="宋体" w:hAnsi="宋体" w:eastAsia="宋体" w:cs="Times New Roman"/>
          <w:i w:val="0"/>
          <w:iCs/>
          <w:color w:val="auto"/>
          <w:sz w:val="24"/>
          <w:szCs w:val="24"/>
          <w:highlight w:val="none"/>
        </w:rPr>
        <w:t>的</w:t>
      </w:r>
      <w:r>
        <w:rPr>
          <w:rFonts w:hint="eastAsia" w:ascii="宋体" w:hAnsi="宋体" w:eastAsia="宋体" w:cs="Times New Roman"/>
          <w:i w:val="0"/>
          <w:iCs/>
          <w:color w:val="auto"/>
          <w:sz w:val="24"/>
          <w:szCs w:val="24"/>
          <w:highlight w:val="none"/>
          <w:u w:val="single"/>
        </w:rPr>
        <w:t>（项目名称）</w:t>
      </w:r>
      <w:r>
        <w:rPr>
          <w:rFonts w:hint="eastAsia" w:ascii="宋体" w:hAnsi="宋体" w:eastAsia="宋体" w:cs="Times New Roman"/>
          <w:i w:val="0"/>
          <w:iCs/>
          <w:color w:val="auto"/>
          <w:sz w:val="24"/>
          <w:szCs w:val="24"/>
          <w:highlight w:val="none"/>
        </w:rPr>
        <w:t>（项目编号：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）采购活动，提供的货物全部由符合政策要求的中小企业制造。根据《关于印发中小企业划型标准规定的通知》</w:t>
      </w:r>
      <w:r>
        <w:rPr>
          <w:rFonts w:hint="eastAsia" w:ascii="宋体" w:hAnsi="宋体" w:eastAsia="宋体" w:cs="Times New Roman"/>
          <w:i w:val="0"/>
          <w:iCs/>
          <w:color w:val="auto"/>
          <w:sz w:val="24"/>
          <w:szCs w:val="24"/>
          <w:highlight w:val="none"/>
          <w:lang w:eastAsia="zh-CN"/>
        </w:rPr>
        <w:t>（</w:t>
      </w:r>
      <w:r>
        <w:rPr>
          <w:rFonts w:hint="eastAsia" w:ascii="宋体" w:hAnsi="宋体" w:eastAsia="宋体" w:cs="Times New Roman"/>
          <w:i w:val="0"/>
          <w:iCs/>
          <w:color w:val="auto"/>
          <w:sz w:val="24"/>
          <w:szCs w:val="24"/>
          <w:highlight w:val="none"/>
        </w:rPr>
        <w:t>工信部联企业〔2011〕300号</w:t>
      </w:r>
      <w:r>
        <w:rPr>
          <w:rFonts w:hint="eastAsia" w:ascii="宋体" w:hAnsi="宋体" w:eastAsia="宋体" w:cs="Times New Roman"/>
          <w:i w:val="0"/>
          <w:iCs/>
          <w:color w:val="auto"/>
          <w:sz w:val="24"/>
          <w:szCs w:val="24"/>
          <w:highlight w:val="none"/>
          <w:lang w:eastAsia="zh-CN"/>
        </w:rPr>
        <w:t>）</w:t>
      </w:r>
      <w:r>
        <w:rPr>
          <w:rFonts w:hint="eastAsia" w:ascii="宋体" w:hAnsi="宋体" w:eastAsia="宋体" w:cs="Times New Roman"/>
          <w:i w:val="0"/>
          <w:iCs/>
          <w:color w:val="auto"/>
          <w:sz w:val="24"/>
          <w:szCs w:val="24"/>
          <w:highlight w:val="none"/>
        </w:rPr>
        <w:t>的规定，相关企业（含联合体中的中小企业、签订分包意向协议的中小企业）的具体情况如下：</w:t>
      </w:r>
    </w:p>
    <w:p w14:paraId="146DCBBD">
      <w:pPr>
        <w:spacing w:line="500" w:lineRule="exact"/>
        <w:ind w:firstLine="480"/>
        <w:rPr>
          <w:rFonts w:ascii="宋体" w:hAnsi="宋体" w:eastAsia="宋体" w:cs="Times New Roman"/>
          <w:i w:val="0"/>
          <w:iCs/>
          <w:color w:val="auto"/>
          <w:sz w:val="24"/>
          <w:szCs w:val="24"/>
          <w:highlight w:val="none"/>
          <w:u w:val="single"/>
        </w:rPr>
      </w:pPr>
      <w:r>
        <w:rPr>
          <w:rFonts w:hint="eastAsia" w:ascii="宋体" w:hAnsi="宋体" w:eastAsia="宋体" w:cs="Times New Roman"/>
          <w:i w:val="0"/>
          <w:iCs/>
          <w:color w:val="auto"/>
          <w:sz w:val="24"/>
          <w:szCs w:val="24"/>
          <w:highlight w:val="none"/>
        </w:rPr>
        <w:t>1.</w:t>
      </w:r>
      <w:r>
        <w:rPr>
          <w:rFonts w:hint="eastAsia" w:ascii="宋体" w:hAnsi="宋体" w:eastAsia="宋体" w:cs="Times New Roman"/>
          <w:i w:val="0"/>
          <w:iCs/>
          <w:color w:val="auto"/>
          <w:sz w:val="24"/>
          <w:szCs w:val="24"/>
          <w:highlight w:val="none"/>
          <w:u w:val="single"/>
        </w:rPr>
        <w:t>（标的名称）</w:t>
      </w:r>
      <w:r>
        <w:rPr>
          <w:rFonts w:hint="eastAsia" w:ascii="宋体" w:hAnsi="宋体" w:eastAsia="宋体" w:cs="Times New Roman"/>
          <w:i w:val="0"/>
          <w:iCs/>
          <w:color w:val="auto"/>
          <w:sz w:val="24"/>
          <w:szCs w:val="24"/>
          <w:highlight w:val="none"/>
        </w:rPr>
        <w:t>，属于</w:t>
      </w:r>
      <w:r>
        <w:rPr>
          <w:rFonts w:hint="eastAsia" w:ascii="宋体" w:hAnsi="宋体" w:eastAsia="宋体" w:cs="Times New Roman"/>
          <w:i w:val="0"/>
          <w:iCs/>
          <w:color w:val="auto"/>
          <w:sz w:val="24"/>
          <w:szCs w:val="24"/>
          <w:highlight w:val="none"/>
          <w:u w:val="single"/>
        </w:rPr>
        <w:t>（采购文件中明确的所属行业）</w:t>
      </w:r>
      <w:r>
        <w:rPr>
          <w:rFonts w:hint="eastAsia" w:ascii="宋体" w:hAnsi="宋体" w:eastAsia="宋体" w:cs="Times New Roman"/>
          <w:i w:val="0"/>
          <w:iCs/>
          <w:color w:val="auto"/>
          <w:sz w:val="24"/>
          <w:szCs w:val="24"/>
          <w:highlight w:val="none"/>
        </w:rPr>
        <w:t>行业；制造商为</w:t>
      </w:r>
      <w:r>
        <w:rPr>
          <w:rFonts w:hint="eastAsia" w:ascii="宋体" w:hAnsi="宋体" w:eastAsia="宋体" w:cs="Times New Roman"/>
          <w:i w:val="0"/>
          <w:iCs/>
          <w:color w:val="auto"/>
          <w:sz w:val="24"/>
          <w:szCs w:val="24"/>
          <w:highlight w:val="none"/>
          <w:u w:val="single"/>
        </w:rPr>
        <w:t>（企业名称）</w:t>
      </w:r>
      <w:r>
        <w:rPr>
          <w:rFonts w:hint="eastAsia" w:ascii="宋体" w:hAnsi="宋体" w:eastAsia="宋体" w:cs="Times New Roman"/>
          <w:i w:val="0"/>
          <w:iCs/>
          <w:color w:val="auto"/>
          <w:sz w:val="24"/>
          <w:szCs w:val="24"/>
          <w:highlight w:val="none"/>
        </w:rPr>
        <w:t>，从业人员</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人，营业收入为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万元，资产总额为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万元，属于</w:t>
      </w:r>
      <w:r>
        <w:rPr>
          <w:rFonts w:hint="eastAsia" w:ascii="宋体" w:hAnsi="宋体" w:eastAsia="宋体" w:cs="Times New Roman"/>
          <w:i w:val="0"/>
          <w:iCs/>
          <w:color w:val="auto"/>
          <w:sz w:val="24"/>
          <w:szCs w:val="24"/>
          <w:highlight w:val="none"/>
          <w:u w:val="single"/>
        </w:rPr>
        <w:t>（中型企业、小型企业、微型企业）</w:t>
      </w:r>
      <w:r>
        <w:rPr>
          <w:rFonts w:hint="eastAsia" w:ascii="宋体" w:hAnsi="宋体" w:eastAsia="宋体" w:cs="Times New Roman"/>
          <w:i w:val="0"/>
          <w:iCs/>
          <w:color w:val="auto"/>
          <w:sz w:val="24"/>
          <w:szCs w:val="24"/>
          <w:highlight w:val="none"/>
        </w:rPr>
        <w:t>；</w:t>
      </w:r>
    </w:p>
    <w:p w14:paraId="7B931ADE">
      <w:pPr>
        <w:spacing w:line="500" w:lineRule="exact"/>
        <w:ind w:firstLine="480"/>
        <w:rPr>
          <w:rFonts w:ascii="宋体" w:hAnsi="宋体" w:eastAsia="宋体" w:cs="Times New Roman"/>
          <w:i w:val="0"/>
          <w:iCs/>
          <w:color w:val="auto"/>
          <w:sz w:val="24"/>
          <w:szCs w:val="24"/>
          <w:highlight w:val="none"/>
          <w:u w:val="single"/>
        </w:rPr>
      </w:pPr>
      <w:r>
        <w:rPr>
          <w:rFonts w:hint="eastAsia" w:ascii="宋体" w:hAnsi="宋体" w:eastAsia="宋体" w:cs="Times New Roman"/>
          <w:i w:val="0"/>
          <w:iCs/>
          <w:color w:val="auto"/>
          <w:sz w:val="24"/>
          <w:szCs w:val="24"/>
          <w:highlight w:val="none"/>
        </w:rPr>
        <w:t>2.</w:t>
      </w:r>
      <w:r>
        <w:rPr>
          <w:rFonts w:hint="eastAsia" w:ascii="宋体" w:hAnsi="宋体" w:eastAsia="宋体" w:cs="Times New Roman"/>
          <w:i w:val="0"/>
          <w:iCs/>
          <w:color w:val="auto"/>
          <w:sz w:val="24"/>
          <w:szCs w:val="24"/>
          <w:highlight w:val="none"/>
          <w:u w:val="single"/>
        </w:rPr>
        <w:t xml:space="preserve"> （标的名称）</w:t>
      </w:r>
      <w:r>
        <w:rPr>
          <w:rFonts w:hint="eastAsia" w:ascii="宋体" w:hAnsi="宋体" w:eastAsia="宋体" w:cs="Times New Roman"/>
          <w:i w:val="0"/>
          <w:iCs/>
          <w:color w:val="auto"/>
          <w:sz w:val="24"/>
          <w:szCs w:val="24"/>
          <w:highlight w:val="none"/>
        </w:rPr>
        <w:t>，属于</w:t>
      </w:r>
      <w:r>
        <w:rPr>
          <w:rFonts w:hint="eastAsia" w:ascii="宋体" w:hAnsi="宋体" w:eastAsia="宋体" w:cs="Times New Roman"/>
          <w:i w:val="0"/>
          <w:iCs/>
          <w:color w:val="auto"/>
          <w:sz w:val="24"/>
          <w:szCs w:val="24"/>
          <w:highlight w:val="none"/>
          <w:u w:val="single"/>
        </w:rPr>
        <w:t>（采购文件中明确的所属行业）</w:t>
      </w:r>
      <w:r>
        <w:rPr>
          <w:rFonts w:hint="eastAsia" w:ascii="宋体" w:hAnsi="宋体" w:eastAsia="宋体" w:cs="Times New Roman"/>
          <w:i w:val="0"/>
          <w:iCs/>
          <w:color w:val="auto"/>
          <w:sz w:val="24"/>
          <w:szCs w:val="24"/>
          <w:highlight w:val="none"/>
        </w:rPr>
        <w:t>行业；制造商为</w:t>
      </w:r>
      <w:r>
        <w:rPr>
          <w:rFonts w:hint="eastAsia" w:ascii="宋体" w:hAnsi="宋体" w:eastAsia="宋体" w:cs="Times New Roman"/>
          <w:i w:val="0"/>
          <w:iCs/>
          <w:color w:val="auto"/>
          <w:sz w:val="24"/>
          <w:szCs w:val="24"/>
          <w:highlight w:val="none"/>
          <w:u w:val="single"/>
        </w:rPr>
        <w:t>（企业名称）</w:t>
      </w:r>
      <w:r>
        <w:rPr>
          <w:rFonts w:hint="eastAsia" w:ascii="宋体" w:hAnsi="宋体" w:eastAsia="宋体" w:cs="Times New Roman"/>
          <w:i w:val="0"/>
          <w:iCs/>
          <w:color w:val="auto"/>
          <w:sz w:val="24"/>
          <w:szCs w:val="24"/>
          <w:highlight w:val="none"/>
        </w:rPr>
        <w:t>，从业人员</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人，营业收入为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万元，资产总额为</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万元，属于</w:t>
      </w:r>
      <w:r>
        <w:rPr>
          <w:rFonts w:hint="eastAsia" w:ascii="宋体" w:hAnsi="宋体" w:eastAsia="宋体" w:cs="Times New Roman"/>
          <w:i w:val="0"/>
          <w:iCs/>
          <w:color w:val="auto"/>
          <w:sz w:val="24"/>
          <w:szCs w:val="24"/>
          <w:highlight w:val="none"/>
          <w:u w:val="single"/>
        </w:rPr>
        <w:t>（中型企业、小型企业、微型企业）</w:t>
      </w:r>
      <w:r>
        <w:rPr>
          <w:rFonts w:hint="eastAsia" w:ascii="宋体" w:hAnsi="宋体" w:eastAsia="宋体" w:cs="Times New Roman"/>
          <w:i w:val="0"/>
          <w:iCs/>
          <w:color w:val="auto"/>
          <w:sz w:val="24"/>
          <w:szCs w:val="24"/>
          <w:highlight w:val="none"/>
        </w:rPr>
        <w:t>；</w:t>
      </w:r>
    </w:p>
    <w:p w14:paraId="379597B6">
      <w:pPr>
        <w:spacing w:line="500" w:lineRule="exact"/>
        <w:ind w:firstLine="480"/>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w:t>
      </w:r>
    </w:p>
    <w:p w14:paraId="03A067B1">
      <w:pPr>
        <w:spacing w:line="500" w:lineRule="exact"/>
        <w:ind w:firstLine="480"/>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以上企业，不属于大企业的分支机构，不存在控股股东为大企业的情形，也不存在与大企业的负责人为同一人的情形。</w:t>
      </w:r>
    </w:p>
    <w:p w14:paraId="25078D2B">
      <w:pPr>
        <w:spacing w:line="500" w:lineRule="exact"/>
        <w:ind w:firstLine="480"/>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本企业对上述声明内容的真实性负责。如有虚假，将依法承担相应责任。</w:t>
      </w:r>
    </w:p>
    <w:p w14:paraId="3D2AE179">
      <w:pPr>
        <w:snapToGrid w:val="0"/>
        <w:spacing w:line="360" w:lineRule="auto"/>
        <w:rPr>
          <w:rFonts w:hint="eastAsia" w:ascii="宋体" w:hAnsi="宋体" w:cs="宋体"/>
          <w:bCs/>
          <w:szCs w:val="21"/>
        </w:rPr>
      </w:pPr>
    </w:p>
    <w:p w14:paraId="3C189046">
      <w:pPr>
        <w:snapToGrid w:val="0"/>
        <w:spacing w:line="360" w:lineRule="auto"/>
        <w:rPr>
          <w:rFonts w:hint="eastAsia" w:ascii="宋体" w:hAnsi="宋体" w:cs="宋体"/>
          <w:bCs/>
          <w:szCs w:val="21"/>
        </w:rPr>
      </w:pPr>
    </w:p>
    <w:p w14:paraId="1563B00A">
      <w:pPr>
        <w:snapToGrid w:val="0"/>
        <w:spacing w:line="360" w:lineRule="auto"/>
        <w:rPr>
          <w:rFonts w:hint="eastAsia" w:ascii="宋体" w:hAnsi="宋体" w:cs="宋体"/>
          <w:bCs/>
          <w:szCs w:val="21"/>
        </w:rPr>
      </w:pPr>
    </w:p>
    <w:p w14:paraId="2C65249C">
      <w:pPr>
        <w:snapToGrid w:val="0"/>
        <w:spacing w:line="360" w:lineRule="auto"/>
        <w:ind w:firstLine="420" w:firstLineChars="200"/>
        <w:jc w:val="right"/>
        <w:rPr>
          <w:rFonts w:hint="eastAsia" w:ascii="宋体" w:hAnsi="宋体" w:cs="宋体"/>
          <w:szCs w:val="21"/>
        </w:rPr>
      </w:pPr>
      <w:r>
        <w:rPr>
          <w:rFonts w:hint="eastAsia" w:ascii="宋体" w:hAnsi="宋体" w:cs="宋体"/>
          <w:bCs/>
          <w:szCs w:val="21"/>
        </w:rPr>
        <w:t>企业名称（盖章）</w:t>
      </w:r>
      <w:r>
        <w:rPr>
          <w:rFonts w:hint="eastAsia" w:ascii="宋体" w:hAnsi="宋体" w:cs="宋体"/>
          <w:szCs w:val="21"/>
        </w:rPr>
        <w:t>：</w:t>
      </w:r>
    </w:p>
    <w:p w14:paraId="3F3A3842">
      <w:pPr>
        <w:snapToGrid w:val="0"/>
        <w:spacing w:line="360" w:lineRule="auto"/>
        <w:ind w:firstLine="420" w:firstLineChars="200"/>
        <w:jc w:val="right"/>
        <w:rPr>
          <w:rFonts w:hint="eastAsia" w:ascii="宋体" w:hAnsi="宋体" w:cs="宋体"/>
          <w:b/>
          <w:sz w:val="24"/>
        </w:rPr>
      </w:pPr>
      <w:r>
        <w:rPr>
          <w:rFonts w:hint="eastAsia" w:ascii="宋体" w:hAnsi="宋体" w:cs="宋体"/>
          <w:szCs w:val="21"/>
        </w:rPr>
        <w:t>日期：    年   月   日</w:t>
      </w:r>
    </w:p>
    <w:p w14:paraId="378D0FAC">
      <w:pPr>
        <w:snapToGrid w:val="0"/>
        <w:spacing w:line="360" w:lineRule="auto"/>
        <w:rPr>
          <w:rFonts w:hint="eastAsia" w:ascii="宋体" w:hAnsi="宋体" w:cs="宋体"/>
          <w:b/>
          <w:sz w:val="24"/>
        </w:rPr>
      </w:pPr>
    </w:p>
    <w:p w14:paraId="399F0F34">
      <w:pPr>
        <w:snapToGrid w:val="0"/>
        <w:spacing w:line="360" w:lineRule="auto"/>
        <w:ind w:right="480" w:firstLine="480" w:firstLineChars="200"/>
        <w:rPr>
          <w:rFonts w:hint="eastAsia" w:ascii="宋体" w:hAnsi="宋体"/>
          <w:sz w:val="24"/>
        </w:rPr>
      </w:pPr>
      <w:r>
        <w:rPr>
          <w:rFonts w:hint="eastAsia" w:ascii="宋体" w:hAnsi="宋体"/>
          <w:sz w:val="24"/>
        </w:rPr>
        <w:t>填报说明：</w:t>
      </w:r>
    </w:p>
    <w:p w14:paraId="26170FF0">
      <w:pPr>
        <w:snapToGrid w:val="0"/>
        <w:spacing w:line="360" w:lineRule="auto"/>
        <w:ind w:right="480" w:firstLine="480" w:firstLineChars="200"/>
        <w:rPr>
          <w:rFonts w:hint="eastAsia" w:ascii="宋体" w:hAnsi="宋体"/>
          <w:sz w:val="24"/>
        </w:rPr>
      </w:pPr>
      <w:r>
        <w:rPr>
          <w:rFonts w:hint="eastAsia" w:ascii="宋体" w:hAnsi="宋体"/>
          <w:sz w:val="24"/>
        </w:rPr>
        <w:t>1、</w:t>
      </w:r>
      <w:r>
        <w:rPr>
          <w:rFonts w:ascii="宋体" w:hAnsi="宋体"/>
          <w:sz w:val="24"/>
        </w:rPr>
        <w:t>从业人员、营业收入、资产总额填报上一年度数据，无上一年度数据的新成立企业可不填报。</w:t>
      </w:r>
    </w:p>
    <w:p w14:paraId="5DCB400E">
      <w:pPr>
        <w:snapToGrid w:val="0"/>
        <w:spacing w:line="360" w:lineRule="auto"/>
        <w:ind w:firstLine="480" w:firstLineChars="200"/>
        <w:rPr>
          <w:rFonts w:hint="eastAsia" w:ascii="宋体" w:hAnsi="宋体"/>
          <w:sz w:val="24"/>
        </w:rPr>
      </w:pPr>
      <w:r>
        <w:rPr>
          <w:rFonts w:hint="eastAsia" w:ascii="宋体" w:hAnsi="宋体"/>
          <w:sz w:val="24"/>
        </w:rPr>
        <w:t>2、请供应商如实填写，所填内容将作为评审的依据。其内容填写须与报价明细表一致，如填写不完整或不一致，将不享受扶持政策。</w:t>
      </w:r>
    </w:p>
    <w:p w14:paraId="59653911">
      <w:pPr>
        <w:snapToGrid w:val="0"/>
        <w:spacing w:line="360" w:lineRule="auto"/>
        <w:ind w:firstLine="480" w:firstLineChars="200"/>
        <w:rPr>
          <w:rFonts w:hint="eastAsia" w:ascii="宋体" w:hAnsi="宋体"/>
          <w:b/>
          <w:sz w:val="24"/>
        </w:rPr>
      </w:pPr>
      <w:r>
        <w:rPr>
          <w:rFonts w:hint="eastAsia" w:ascii="宋体" w:hAnsi="宋体"/>
          <w:sz w:val="24"/>
        </w:rPr>
        <w:t>3、中标供应商的《中小企业声明函》随中标结果公开。</w:t>
      </w:r>
    </w:p>
    <w:p w14:paraId="10008534">
      <w:pPr>
        <w:keepNext/>
        <w:keepLines/>
        <w:outlineLvl w:val="1"/>
        <w:rPr>
          <w:rFonts w:ascii="Arial" w:hAnsi="Arial" w:eastAsia="黑体"/>
          <w:b/>
          <w:bCs/>
          <w:sz w:val="32"/>
          <w:szCs w:val="32"/>
        </w:rPr>
      </w:pPr>
      <w:r>
        <w:rPr>
          <w:rFonts w:ascii="Arial" w:hAnsi="Arial" w:eastAsia="黑体"/>
          <w:b/>
          <w:bCs/>
          <w:sz w:val="32"/>
          <w:szCs w:val="32"/>
        </w:rPr>
        <w:br w:type="page"/>
      </w:r>
      <w:r>
        <w:rPr>
          <w:rFonts w:hint="eastAsia" w:ascii="Arial" w:hAnsi="Arial" w:eastAsia="黑体"/>
          <w:b/>
          <w:bCs/>
          <w:sz w:val="24"/>
          <w:szCs w:val="32"/>
        </w:rPr>
        <w:t>格式</w:t>
      </w:r>
      <w:r>
        <w:rPr>
          <w:rFonts w:ascii="Arial" w:hAnsi="Arial" w:eastAsia="黑体"/>
          <w:b/>
          <w:bCs/>
          <w:sz w:val="24"/>
          <w:szCs w:val="32"/>
        </w:rPr>
        <w:t>5</w:t>
      </w:r>
      <w:r>
        <w:rPr>
          <w:rFonts w:hint="eastAsia" w:ascii="Arial" w:hAnsi="Arial" w:eastAsia="黑体"/>
          <w:b/>
          <w:bCs/>
          <w:sz w:val="24"/>
          <w:szCs w:val="32"/>
        </w:rPr>
        <w:t>、残疾人福利性单位声明函</w:t>
      </w:r>
    </w:p>
    <w:p w14:paraId="7F02E5B1">
      <w:pPr>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残疾人福利性单位声明函</w:t>
      </w:r>
    </w:p>
    <w:p w14:paraId="537D4340">
      <w:pPr>
        <w:spacing w:line="500" w:lineRule="exact"/>
        <w:ind w:firstLine="480"/>
        <w:jc w:val="lef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Times New Roman"/>
          <w:i w:val="0"/>
          <w:iCs/>
          <w:color w:val="auto"/>
          <w:sz w:val="24"/>
          <w:szCs w:val="24"/>
          <w:highlight w:val="none"/>
        </w:rPr>
        <w:t>〔2017〕</w:t>
      </w:r>
      <w:r>
        <w:rPr>
          <w:rFonts w:hint="eastAsia" w:ascii="宋体" w:hAnsi="宋体" w:eastAsia="宋体" w:cs="Times New Roman"/>
          <w:i w:val="0"/>
          <w:iCs/>
          <w:color w:val="auto"/>
          <w:sz w:val="24"/>
          <w:szCs w:val="21"/>
          <w:highlight w:val="none"/>
        </w:rPr>
        <w:t>141号）的规定，本单位为符合条件的残疾人福利性单位，且本单位参加</w:t>
      </w:r>
      <w:r>
        <w:rPr>
          <w:rFonts w:hint="eastAsia"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单位的</w:t>
      </w:r>
      <w:r>
        <w:rPr>
          <w:rFonts w:hint="eastAsia" w:ascii="宋体" w:hAnsi="宋体" w:eastAsia="宋体" w:cs="Times New Roman"/>
          <w:i w:val="0"/>
          <w:iCs/>
          <w:color w:val="auto"/>
          <w:sz w:val="24"/>
          <w:szCs w:val="21"/>
          <w:highlight w:val="none"/>
          <w:u w:val="single"/>
        </w:rPr>
        <w:t xml:space="preserve">           </w:t>
      </w:r>
      <w:r>
        <w:rPr>
          <w:rFonts w:hint="eastAsia" w:ascii="宋体" w:hAnsi="宋体" w:eastAsia="宋体" w:cs="Times New Roman"/>
          <w:i w:val="0"/>
          <w:iCs/>
          <w:color w:val="auto"/>
          <w:sz w:val="24"/>
          <w:szCs w:val="21"/>
          <w:highlight w:val="none"/>
        </w:rPr>
        <w:t>项目（</w:t>
      </w:r>
      <w:r>
        <w:rPr>
          <w:rFonts w:hint="eastAsia" w:ascii="宋体" w:hAnsi="宋体" w:eastAsia="宋体" w:cs="Times New Roman"/>
          <w:i w:val="0"/>
          <w:iCs/>
          <w:color w:val="auto"/>
          <w:sz w:val="24"/>
          <w:szCs w:val="24"/>
          <w:highlight w:val="none"/>
        </w:rPr>
        <w:t>项目编号：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4"/>
          <w:highlight w:val="none"/>
        </w:rPr>
        <w:t>，分包号：</w:t>
      </w:r>
      <w:r>
        <w:rPr>
          <w:rFonts w:hint="eastAsia" w:ascii="宋体" w:hAnsi="宋体" w:eastAsia="宋体" w:cs="Times New Roman"/>
          <w:i w:val="0"/>
          <w:iCs/>
          <w:color w:val="auto"/>
          <w:sz w:val="24"/>
          <w:szCs w:val="24"/>
          <w:highlight w:val="none"/>
          <w:u w:val="single"/>
        </w:rPr>
        <w:t xml:space="preserve">      </w:t>
      </w:r>
      <w:r>
        <w:rPr>
          <w:rFonts w:hint="eastAsia" w:ascii="宋体" w:hAnsi="宋体" w:eastAsia="宋体" w:cs="Times New Roman"/>
          <w:i w:val="0"/>
          <w:iCs/>
          <w:color w:val="auto"/>
          <w:sz w:val="24"/>
          <w:szCs w:val="21"/>
          <w:highlight w:val="none"/>
        </w:rPr>
        <w:t>）采购活动提供本单位制造的货物，或者提供其他残疾人福利性单位制造的货物（不包括使用非残疾人福利性单位注册商标的货物）。相关企业的具体情况如下：</w:t>
      </w:r>
    </w:p>
    <w:p w14:paraId="7149B8F0">
      <w:pPr>
        <w:spacing w:line="500" w:lineRule="exact"/>
        <w:ind w:firstLine="480"/>
        <w:jc w:val="lef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1.</w:t>
      </w:r>
      <w:r>
        <w:rPr>
          <w:rFonts w:hint="eastAsia" w:ascii="宋体" w:hAnsi="宋体" w:eastAsia="宋体" w:cs="Times New Roman"/>
          <w:i w:val="0"/>
          <w:iCs/>
          <w:color w:val="auto"/>
          <w:sz w:val="24"/>
          <w:szCs w:val="21"/>
          <w:highlight w:val="none"/>
          <w:u w:val="single"/>
        </w:rPr>
        <w:t>（标的名称）</w:t>
      </w:r>
      <w:r>
        <w:rPr>
          <w:rFonts w:hint="eastAsia" w:ascii="宋体" w:hAnsi="宋体" w:eastAsia="宋体" w:cs="Times New Roman"/>
          <w:i w:val="0"/>
          <w:iCs/>
          <w:color w:val="auto"/>
          <w:sz w:val="24"/>
          <w:szCs w:val="21"/>
          <w:highlight w:val="none"/>
        </w:rPr>
        <w:t>，制造商为</w:t>
      </w:r>
      <w:r>
        <w:rPr>
          <w:rFonts w:hint="eastAsia" w:ascii="宋体" w:hAnsi="宋体" w:eastAsia="宋体" w:cs="Times New Roman"/>
          <w:i w:val="0"/>
          <w:iCs/>
          <w:color w:val="auto"/>
          <w:sz w:val="24"/>
          <w:szCs w:val="21"/>
          <w:highlight w:val="none"/>
          <w:u w:val="single"/>
        </w:rPr>
        <w:t>（企业名称）</w:t>
      </w:r>
      <w:r>
        <w:rPr>
          <w:rFonts w:hint="eastAsia" w:ascii="宋体" w:hAnsi="宋体" w:eastAsia="宋体" w:cs="Times New Roman"/>
          <w:i w:val="0"/>
          <w:iCs/>
          <w:color w:val="auto"/>
          <w:sz w:val="24"/>
          <w:szCs w:val="21"/>
          <w:highlight w:val="none"/>
        </w:rPr>
        <w:t xml:space="preserve">，属于残疾人福利性单位； </w:t>
      </w:r>
    </w:p>
    <w:p w14:paraId="0D22EB9E">
      <w:pPr>
        <w:spacing w:line="500" w:lineRule="exact"/>
        <w:ind w:firstLine="480"/>
        <w:jc w:val="lef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2.</w:t>
      </w:r>
      <w:r>
        <w:rPr>
          <w:rFonts w:hint="eastAsia" w:ascii="宋体" w:hAnsi="宋体" w:eastAsia="宋体" w:cs="Times New Roman"/>
          <w:i w:val="0"/>
          <w:iCs/>
          <w:color w:val="auto"/>
          <w:sz w:val="24"/>
          <w:szCs w:val="21"/>
          <w:highlight w:val="none"/>
          <w:u w:val="single"/>
        </w:rPr>
        <w:t>（标的名称）</w:t>
      </w:r>
      <w:r>
        <w:rPr>
          <w:rFonts w:hint="eastAsia" w:ascii="宋体" w:hAnsi="宋体" w:eastAsia="宋体" w:cs="Times New Roman"/>
          <w:i w:val="0"/>
          <w:iCs/>
          <w:color w:val="auto"/>
          <w:sz w:val="24"/>
          <w:szCs w:val="21"/>
          <w:highlight w:val="none"/>
        </w:rPr>
        <w:t>，制造商为</w:t>
      </w:r>
      <w:r>
        <w:rPr>
          <w:rFonts w:hint="eastAsia" w:ascii="宋体" w:hAnsi="宋体" w:eastAsia="宋体" w:cs="Times New Roman"/>
          <w:i w:val="0"/>
          <w:iCs/>
          <w:color w:val="auto"/>
          <w:sz w:val="24"/>
          <w:szCs w:val="21"/>
          <w:highlight w:val="none"/>
          <w:u w:val="single"/>
        </w:rPr>
        <w:t>（企业名称）</w:t>
      </w:r>
      <w:r>
        <w:rPr>
          <w:rFonts w:hint="eastAsia" w:ascii="宋体" w:hAnsi="宋体" w:eastAsia="宋体" w:cs="Times New Roman"/>
          <w:i w:val="0"/>
          <w:iCs/>
          <w:color w:val="auto"/>
          <w:sz w:val="24"/>
          <w:szCs w:val="21"/>
          <w:highlight w:val="none"/>
        </w:rPr>
        <w:t>，属于残疾人福利性单位；</w:t>
      </w:r>
    </w:p>
    <w:p w14:paraId="2F61E282">
      <w:pPr>
        <w:spacing w:line="500" w:lineRule="exact"/>
        <w:ind w:firstLine="480"/>
        <w:jc w:val="left"/>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w:t>
      </w:r>
    </w:p>
    <w:p w14:paraId="616D6BEE">
      <w:pPr>
        <w:spacing w:line="500" w:lineRule="exact"/>
        <w:ind w:firstLine="480"/>
        <w:rPr>
          <w:rFonts w:ascii="宋体" w:hAnsi="宋体" w:eastAsia="宋体" w:cs="Times New Roman"/>
          <w:i w:val="0"/>
          <w:iCs/>
          <w:color w:val="auto"/>
          <w:sz w:val="24"/>
          <w:szCs w:val="21"/>
          <w:highlight w:val="none"/>
        </w:rPr>
      </w:pPr>
      <w:r>
        <w:rPr>
          <w:rFonts w:hint="eastAsia" w:ascii="宋体" w:hAnsi="宋体" w:eastAsia="宋体" w:cs="Times New Roman"/>
          <w:i w:val="0"/>
          <w:iCs/>
          <w:color w:val="auto"/>
          <w:sz w:val="24"/>
          <w:szCs w:val="21"/>
          <w:highlight w:val="none"/>
        </w:rPr>
        <w:t>本单位对上述声明的真实性负责。如有虚假，将依法承担相应责任。</w:t>
      </w:r>
    </w:p>
    <w:p w14:paraId="6137712B">
      <w:pPr>
        <w:spacing w:line="360" w:lineRule="auto"/>
        <w:ind w:firstLine="480"/>
        <w:rPr>
          <w:sz w:val="24"/>
        </w:rPr>
      </w:pPr>
    </w:p>
    <w:p w14:paraId="15092067">
      <w:pPr>
        <w:spacing w:line="360" w:lineRule="auto"/>
        <w:ind w:firstLine="480"/>
        <w:rPr>
          <w:sz w:val="24"/>
        </w:rPr>
      </w:pPr>
    </w:p>
    <w:p w14:paraId="1A2CD926">
      <w:pPr>
        <w:spacing w:line="360" w:lineRule="auto"/>
        <w:ind w:right="480" w:firstLine="4560"/>
        <w:rPr>
          <w:rFonts w:hint="eastAsia" w:ascii="宋体" w:hAnsi="宋体"/>
          <w:sz w:val="24"/>
        </w:rPr>
      </w:pPr>
      <w:r>
        <w:rPr>
          <w:rFonts w:hint="eastAsia" w:ascii="宋体" w:hAnsi="宋体"/>
          <w:sz w:val="24"/>
        </w:rPr>
        <w:t xml:space="preserve">企业名称（盖章）： </w:t>
      </w:r>
    </w:p>
    <w:p w14:paraId="45935674">
      <w:pPr>
        <w:spacing w:line="360" w:lineRule="auto"/>
        <w:ind w:firstLine="4560"/>
        <w:jc w:val="left"/>
        <w:rPr>
          <w:sz w:val="24"/>
        </w:rPr>
      </w:pPr>
      <w:r>
        <w:rPr>
          <w:rFonts w:hint="eastAsia" w:ascii="宋体" w:hAnsi="宋体"/>
          <w:sz w:val="24"/>
        </w:rPr>
        <w:t>日 期：</w:t>
      </w:r>
    </w:p>
    <w:p w14:paraId="40687D34">
      <w:pPr>
        <w:spacing w:line="360" w:lineRule="auto"/>
        <w:ind w:firstLine="480"/>
        <w:jc w:val="left"/>
        <w:rPr>
          <w:sz w:val="24"/>
        </w:rPr>
      </w:pPr>
    </w:p>
    <w:p w14:paraId="0397FE4C">
      <w:pPr>
        <w:spacing w:line="360" w:lineRule="auto"/>
        <w:ind w:firstLine="480"/>
        <w:jc w:val="left"/>
        <w:rPr>
          <w:sz w:val="24"/>
        </w:rPr>
      </w:pPr>
    </w:p>
    <w:p w14:paraId="78C828C7">
      <w:pPr>
        <w:spacing w:line="360" w:lineRule="auto"/>
        <w:rPr>
          <w:rFonts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填报说明：</w:t>
      </w:r>
    </w:p>
    <w:p w14:paraId="53CA356C">
      <w:pPr>
        <w:spacing w:line="360" w:lineRule="auto"/>
        <w:ind w:firstLine="480"/>
        <w:jc w:val="left"/>
        <w:rPr>
          <w:rFonts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1、</w:t>
      </w:r>
      <w:r>
        <w:rPr>
          <w:rFonts w:hint="eastAsia" w:ascii="宋体" w:hAnsi="宋体" w:eastAsia="宋体" w:cs="Times New Roman"/>
          <w:i w:val="0"/>
          <w:iCs/>
          <w:color w:val="auto"/>
          <w:sz w:val="24"/>
          <w:szCs w:val="24"/>
          <w:highlight w:val="none"/>
        </w:rPr>
        <w:t>请供应商如实填写，所填内容须与投标分项报价表一致，如填写不完整或不一致或填写有误，将不享受扶持政策。</w:t>
      </w:r>
    </w:p>
    <w:p w14:paraId="09A806FA">
      <w:pPr>
        <w:spacing w:line="360" w:lineRule="auto"/>
        <w:ind w:firstLine="480"/>
        <w:jc w:val="left"/>
        <w:rPr>
          <w:rFonts w:ascii="Times New Roman" w:hAnsi="Times New Roman" w:eastAsia="宋体" w:cs="Times New Roman"/>
          <w:i w:val="0"/>
          <w:iCs/>
          <w:color w:val="auto"/>
          <w:sz w:val="24"/>
          <w:szCs w:val="24"/>
          <w:highlight w:val="none"/>
        </w:rPr>
      </w:pPr>
      <w:r>
        <w:rPr>
          <w:rFonts w:hint="eastAsia" w:ascii="宋体" w:hAnsi="宋体" w:eastAsia="宋体" w:cs="Times New Roman"/>
          <w:bCs/>
          <w:i w:val="0"/>
          <w:iCs/>
          <w:color w:val="auto"/>
          <w:sz w:val="24"/>
          <w:szCs w:val="24"/>
          <w:highlight w:val="none"/>
        </w:rPr>
        <w:t>2、中标人的《残疾人福利性单位声明函》随中标结果公开</w:t>
      </w:r>
      <w:r>
        <w:rPr>
          <w:rFonts w:hint="eastAsia" w:ascii="宋体" w:hAnsi="宋体" w:eastAsia="宋体" w:cs="Times New Roman"/>
          <w:i w:val="0"/>
          <w:iCs/>
          <w:color w:val="auto"/>
          <w:sz w:val="24"/>
          <w:szCs w:val="24"/>
          <w:highlight w:val="none"/>
        </w:rPr>
        <w:t>，接受社会监督</w:t>
      </w:r>
      <w:r>
        <w:rPr>
          <w:rFonts w:hint="eastAsia" w:ascii="宋体" w:hAnsi="宋体" w:eastAsia="宋体" w:cs="Times New Roman"/>
          <w:bCs/>
          <w:i w:val="0"/>
          <w:iCs/>
          <w:color w:val="auto"/>
          <w:sz w:val="24"/>
          <w:szCs w:val="24"/>
          <w:highlight w:val="none"/>
        </w:rPr>
        <w:t>。</w:t>
      </w:r>
    </w:p>
    <w:p w14:paraId="7D69DEBC">
      <w:pPr>
        <w:spacing w:line="360" w:lineRule="auto"/>
        <w:ind w:firstLine="480"/>
        <w:jc w:val="left"/>
        <w:rPr>
          <w:sz w:val="24"/>
        </w:rPr>
      </w:pPr>
    </w:p>
    <w:p w14:paraId="13362E39">
      <w:pPr>
        <w:spacing w:line="360" w:lineRule="auto"/>
        <w:ind w:firstLine="480"/>
        <w:jc w:val="left"/>
        <w:rPr>
          <w:sz w:val="24"/>
        </w:rPr>
      </w:pPr>
    </w:p>
    <w:p w14:paraId="4CC3C733">
      <w:pPr>
        <w:widowControl/>
        <w:jc w:val="left"/>
        <w:rPr>
          <w:rFonts w:ascii="Arial" w:hAnsi="Arial" w:eastAsia="黑体"/>
          <w:b/>
          <w:bCs/>
          <w:sz w:val="24"/>
          <w:szCs w:val="32"/>
        </w:rPr>
        <w:sectPr>
          <w:pgSz w:w="11906" w:h="16838"/>
          <w:pgMar w:top="1134" w:right="1134" w:bottom="1134" w:left="1134" w:header="851" w:footer="992" w:gutter="0"/>
          <w:pgNumType w:start="1"/>
          <w:cols w:space="720" w:num="1"/>
        </w:sectPr>
      </w:pPr>
    </w:p>
    <w:p w14:paraId="0229B3F6">
      <w:pPr>
        <w:spacing w:line="360" w:lineRule="auto"/>
        <w:rPr>
          <w:rFonts w:ascii="Arial" w:hAnsi="Arial" w:eastAsia="黑体"/>
          <w:b/>
          <w:bCs/>
          <w:sz w:val="24"/>
          <w:szCs w:val="32"/>
        </w:rPr>
      </w:pPr>
      <w:r>
        <w:rPr>
          <w:rFonts w:hint="eastAsia" w:ascii="Arial" w:hAnsi="Arial" w:eastAsia="黑体"/>
          <w:b/>
          <w:bCs/>
          <w:sz w:val="24"/>
          <w:szCs w:val="32"/>
        </w:rPr>
        <w:t>格式</w:t>
      </w:r>
      <w:r>
        <w:rPr>
          <w:rFonts w:ascii="Arial" w:hAnsi="Arial" w:eastAsia="黑体"/>
          <w:b/>
          <w:bCs/>
          <w:sz w:val="24"/>
          <w:szCs w:val="32"/>
        </w:rPr>
        <w:t>6</w:t>
      </w:r>
      <w:r>
        <w:rPr>
          <w:rFonts w:hint="eastAsia" w:ascii="Arial" w:hAnsi="Arial" w:eastAsia="黑体"/>
          <w:b/>
          <w:bCs/>
          <w:sz w:val="24"/>
          <w:szCs w:val="32"/>
        </w:rPr>
        <w:t>、财务状况报告及税收、社会保障资金缴纳情况承诺函</w:t>
      </w:r>
    </w:p>
    <w:p w14:paraId="14E98796">
      <w:pPr>
        <w:rPr>
          <w:rFonts w:ascii="Arial" w:hAnsi="Arial" w:eastAsia="黑体"/>
          <w:b/>
          <w:bCs/>
          <w:sz w:val="24"/>
          <w:szCs w:val="32"/>
        </w:rPr>
      </w:pPr>
    </w:p>
    <w:p w14:paraId="5E034735">
      <w:pPr>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财务状况报告及税收、社会保障资金</w:t>
      </w:r>
    </w:p>
    <w:p w14:paraId="3ECF9232">
      <w:pPr>
        <w:spacing w:line="360" w:lineRule="auto"/>
        <w:jc w:val="center"/>
        <w:rPr>
          <w:rFonts w:asciiTheme="minorHAnsi" w:hAnsiTheme="minorHAnsi" w:eastAsiaTheme="minorEastAsia" w:cstheme="minorBidi"/>
          <w:b/>
          <w:sz w:val="24"/>
          <w:szCs w:val="22"/>
        </w:rPr>
      </w:pPr>
      <w:r>
        <w:rPr>
          <w:rFonts w:hint="eastAsia" w:ascii="黑体" w:hAnsi="黑体" w:eastAsia="黑体" w:cs="宋体"/>
          <w:bCs/>
          <w:sz w:val="36"/>
          <w:szCs w:val="28"/>
        </w:rPr>
        <w:t>缴纳情况承诺函</w:t>
      </w:r>
    </w:p>
    <w:p w14:paraId="3C286F1E">
      <w:pPr>
        <w:spacing w:line="360" w:lineRule="auto"/>
        <w:ind w:firstLine="482"/>
        <w:rPr>
          <w:rFonts w:hint="eastAsia" w:ascii="仿宋" w:hAnsi="仿宋" w:eastAsia="仿宋"/>
          <w:sz w:val="32"/>
          <w:szCs w:val="32"/>
        </w:rPr>
      </w:pPr>
      <w:r>
        <w:rPr>
          <w:rFonts w:hint="eastAsia"/>
          <w:b/>
          <w:sz w:val="24"/>
        </w:rPr>
        <w:t>致：招标人名称</w:t>
      </w:r>
    </w:p>
    <w:p w14:paraId="763B9B66">
      <w:pPr>
        <w:spacing w:line="360" w:lineRule="auto"/>
        <w:ind w:firstLine="480"/>
        <w:rPr>
          <w:rFonts w:hint="eastAsia" w:ascii="宋体" w:hAnsi="宋体" w:cs="宋体" w:eastAsiaTheme="minorEastAsia"/>
          <w:sz w:val="24"/>
          <w:szCs w:val="22"/>
        </w:rPr>
      </w:pPr>
      <w:r>
        <w:rPr>
          <w:rFonts w:hint="eastAsia" w:ascii="宋体" w:hAnsi="宋体" w:cs="宋体"/>
          <w:sz w:val="24"/>
        </w:rPr>
        <w:t>我方</w:t>
      </w:r>
      <w:r>
        <w:rPr>
          <w:rFonts w:hint="eastAsia" w:ascii="宋体" w:hAnsi="宋体" w:cs="宋体"/>
          <w:sz w:val="24"/>
          <w:u w:val="single"/>
        </w:rPr>
        <w:t>供应商名称</w:t>
      </w:r>
      <w:r>
        <w:rPr>
          <w:rFonts w:hint="eastAsia" w:ascii="宋体" w:hAnsi="宋体" w:cs="宋体"/>
          <w:sz w:val="24"/>
        </w:rPr>
        <w:t>参加</w:t>
      </w:r>
      <w:r>
        <w:rPr>
          <w:rFonts w:hint="eastAsia" w:ascii="宋体" w:hAnsi="宋体" w:cs="宋体"/>
          <w:sz w:val="24"/>
          <w:u w:val="single"/>
        </w:rPr>
        <w:t>项目名称</w:t>
      </w:r>
      <w:r>
        <w:rPr>
          <w:rFonts w:hint="eastAsia" w:ascii="宋体" w:hAnsi="宋体" w:cs="宋体"/>
          <w:sz w:val="24"/>
        </w:rPr>
        <w:t>（项目编号：</w:t>
      </w:r>
      <w:r>
        <w:rPr>
          <w:rFonts w:hint="eastAsia" w:ascii="宋体" w:hAnsi="宋体" w:cs="宋体"/>
          <w:sz w:val="24"/>
          <w:u w:val="single"/>
        </w:rPr>
        <w:t>项目编号</w:t>
      </w:r>
      <w:r>
        <w:rPr>
          <w:rFonts w:hint="eastAsia" w:ascii="宋体" w:hAnsi="宋体" w:cs="宋体"/>
          <w:sz w:val="24"/>
        </w:rPr>
        <w:t>）采购，根据《</w:t>
      </w:r>
      <w:r>
        <w:rPr>
          <w:rStyle w:val="43"/>
          <w:rFonts w:hint="eastAsia" w:ascii="宋体" w:hAnsi="宋体" w:cs="宋体"/>
          <w:sz w:val="24"/>
        </w:rPr>
        <w:t>关于简化政府采购供应商资格审查有关事项的通知</w:t>
      </w:r>
      <w:r>
        <w:rPr>
          <w:rFonts w:hint="eastAsia" w:ascii="宋体" w:hAnsi="宋体" w:cs="宋体"/>
          <w:sz w:val="24"/>
        </w:rPr>
        <w:t>》（连财购〔2023〕4号），我方承诺具备《中华人民共和国政府采购法》第二十二条第（二）、第（四）项，《中华人民共和国政府采购法实施条例》第十七条第（二）项规定条件的，具体包括：</w:t>
      </w:r>
    </w:p>
    <w:p w14:paraId="67C59F86">
      <w:pPr>
        <w:spacing w:line="360" w:lineRule="auto"/>
        <w:ind w:left="360" w:firstLine="240"/>
        <w:rPr>
          <w:rFonts w:hint="eastAsia" w:ascii="宋体" w:hAnsi="宋体" w:cs="宋体"/>
          <w:sz w:val="24"/>
        </w:rPr>
      </w:pPr>
      <w:r>
        <w:rPr>
          <w:rFonts w:hint="eastAsia" w:ascii="宋体" w:hAnsi="宋体" w:cs="宋体"/>
          <w:sz w:val="24"/>
        </w:rPr>
        <w:t>（1）具有良好的商业信誉和健全的财务会计制度（财务状况报告）；</w:t>
      </w:r>
    </w:p>
    <w:p w14:paraId="2385C11B">
      <w:pPr>
        <w:spacing w:line="360" w:lineRule="auto"/>
        <w:ind w:left="360" w:firstLine="240"/>
        <w:rPr>
          <w:rFonts w:hint="eastAsia" w:ascii="宋体" w:hAnsi="宋体" w:cs="宋体"/>
          <w:sz w:val="24"/>
        </w:rPr>
      </w:pPr>
      <w:r>
        <w:rPr>
          <w:rFonts w:hint="eastAsia" w:ascii="宋体" w:hAnsi="宋体" w:cs="宋体"/>
          <w:sz w:val="24"/>
        </w:rPr>
        <w:t>（2）有依法缴纳税收和社会保障资金的良好记录。</w:t>
      </w:r>
    </w:p>
    <w:p w14:paraId="5D4DF216">
      <w:pPr>
        <w:widowControl/>
        <w:spacing w:line="360" w:lineRule="auto"/>
        <w:ind w:firstLine="480"/>
        <w:jc w:val="left"/>
        <w:rPr>
          <w:rFonts w:hint="eastAsia" w:ascii="宋体" w:hAnsi="宋体" w:cs="宋体"/>
          <w:sz w:val="24"/>
        </w:rPr>
      </w:pPr>
      <w:r>
        <w:rPr>
          <w:rFonts w:hint="eastAsia" w:ascii="宋体" w:hAnsi="宋体" w:cs="宋体"/>
          <w:sz w:val="24"/>
        </w:rPr>
        <w:t>我方对上述承诺的真实性负责，如有虚假，将依法承担提供虚假材料谋取中标、成交责任，同时同意有关主管部门将相关失信信息记入公共信用信息系统并在相关政府门户网站公开。</w:t>
      </w:r>
    </w:p>
    <w:p w14:paraId="124D2890">
      <w:pPr>
        <w:widowControl/>
        <w:spacing w:line="360" w:lineRule="auto"/>
        <w:ind w:firstLine="480"/>
        <w:jc w:val="left"/>
        <w:rPr>
          <w:rFonts w:hint="eastAsia" w:ascii="宋体" w:hAnsi="宋体" w:cs="宋体"/>
          <w:sz w:val="24"/>
        </w:rPr>
      </w:pPr>
      <w:r>
        <w:rPr>
          <w:rFonts w:hint="eastAsia" w:ascii="宋体" w:hAnsi="宋体" w:cs="宋体"/>
          <w:sz w:val="24"/>
        </w:rPr>
        <w:t>特此承诺</w:t>
      </w:r>
    </w:p>
    <w:p w14:paraId="3519C560">
      <w:pPr>
        <w:spacing w:line="360" w:lineRule="auto"/>
        <w:ind w:left="360" w:firstLine="405"/>
        <w:rPr>
          <w:rFonts w:hint="eastAsia" w:ascii="宋体" w:hAnsi="宋体" w:cs="宋体"/>
          <w:sz w:val="24"/>
        </w:rPr>
      </w:pPr>
    </w:p>
    <w:p w14:paraId="38B5BC08">
      <w:pPr>
        <w:spacing w:line="360" w:lineRule="auto"/>
        <w:ind w:left="360" w:firstLine="405"/>
        <w:rPr>
          <w:rFonts w:hint="eastAsia" w:ascii="宋体" w:hAnsi="宋体" w:cs="宋体"/>
          <w:sz w:val="24"/>
        </w:rPr>
      </w:pPr>
    </w:p>
    <w:p w14:paraId="2EFB55AD">
      <w:pPr>
        <w:spacing w:line="360" w:lineRule="auto"/>
        <w:ind w:left="360" w:firstLine="405"/>
        <w:rPr>
          <w:rFonts w:hint="eastAsia" w:ascii="宋体" w:hAnsi="宋体" w:cs="宋体"/>
          <w:sz w:val="24"/>
        </w:rPr>
      </w:pPr>
      <w:r>
        <w:rPr>
          <w:rFonts w:hint="eastAsia" w:ascii="宋体" w:hAnsi="宋体" w:cs="宋体"/>
          <w:sz w:val="24"/>
        </w:rPr>
        <w:t xml:space="preserve">供应商（公章）：          </w:t>
      </w:r>
    </w:p>
    <w:p w14:paraId="7B128E5C">
      <w:pPr>
        <w:spacing w:line="360" w:lineRule="auto"/>
        <w:ind w:left="360" w:firstLine="405"/>
        <w:rPr>
          <w:rFonts w:hint="eastAsia" w:ascii="宋体" w:hAnsi="宋体" w:cs="宋体"/>
          <w:sz w:val="24"/>
        </w:rPr>
      </w:pPr>
    </w:p>
    <w:p w14:paraId="11EC4853">
      <w:pPr>
        <w:spacing w:line="360" w:lineRule="auto"/>
        <w:ind w:left="360" w:firstLine="405"/>
        <w:rPr>
          <w:rFonts w:hint="eastAsia" w:ascii="宋体" w:hAnsi="宋体" w:cs="宋体"/>
          <w:sz w:val="24"/>
        </w:rPr>
      </w:pPr>
      <w:r>
        <w:rPr>
          <w:rFonts w:hint="eastAsia" w:ascii="宋体" w:hAnsi="宋体" w:cs="宋体"/>
          <w:sz w:val="24"/>
        </w:rPr>
        <w:t>法定代表人或其委托代理人（签名或签章）：</w:t>
      </w:r>
    </w:p>
    <w:p w14:paraId="309F5705">
      <w:pPr>
        <w:spacing w:line="360" w:lineRule="auto"/>
        <w:ind w:left="360" w:firstLine="405"/>
        <w:rPr>
          <w:rFonts w:hint="eastAsia" w:ascii="宋体" w:hAnsi="宋体" w:cs="宋体"/>
          <w:sz w:val="24"/>
        </w:rPr>
      </w:pPr>
    </w:p>
    <w:p w14:paraId="6BDA1D80">
      <w:pPr>
        <w:spacing w:line="360" w:lineRule="auto"/>
        <w:ind w:left="360" w:firstLine="405"/>
        <w:rPr>
          <w:rFonts w:hint="eastAsia" w:ascii="宋体" w:hAnsi="宋体" w:cs="宋体"/>
          <w:sz w:val="24"/>
        </w:rPr>
      </w:pPr>
      <w:r>
        <w:rPr>
          <w:rFonts w:hint="eastAsia" w:ascii="宋体" w:hAnsi="宋体" w:cs="宋体"/>
          <w:sz w:val="24"/>
        </w:rPr>
        <w:t>日期：</w:t>
      </w:r>
    </w:p>
    <w:p w14:paraId="29AAAAAB">
      <w:pPr>
        <w:keepNext/>
        <w:keepLines/>
        <w:outlineLvl w:val="1"/>
        <w:rPr>
          <w:rFonts w:ascii="Arial" w:hAnsi="Arial" w:eastAsia="黑体"/>
          <w:b/>
          <w:bCs/>
          <w:sz w:val="24"/>
          <w:szCs w:val="32"/>
        </w:rPr>
      </w:pPr>
      <w:r>
        <w:rPr>
          <w:rFonts w:hint="eastAsia" w:ascii="宋体" w:hAnsi="宋体"/>
          <w:sz w:val="24"/>
        </w:rPr>
        <w:br w:type="page"/>
      </w:r>
      <w:r>
        <w:rPr>
          <w:rFonts w:hint="eastAsia" w:ascii="Arial" w:hAnsi="Arial" w:eastAsia="黑体"/>
          <w:b/>
          <w:bCs/>
          <w:sz w:val="24"/>
          <w:szCs w:val="32"/>
        </w:rPr>
        <w:t>格式</w:t>
      </w:r>
      <w:r>
        <w:rPr>
          <w:rFonts w:ascii="Arial" w:hAnsi="Arial" w:eastAsia="黑体"/>
          <w:b/>
          <w:bCs/>
          <w:sz w:val="24"/>
          <w:szCs w:val="32"/>
        </w:rPr>
        <w:t>7</w:t>
      </w:r>
      <w:r>
        <w:rPr>
          <w:rFonts w:hint="eastAsia" w:ascii="Arial" w:hAnsi="Arial" w:eastAsia="黑体"/>
          <w:b/>
          <w:bCs/>
          <w:sz w:val="24"/>
          <w:szCs w:val="32"/>
        </w:rPr>
        <w:t>、具备履行合同所必需的设备和专业技术能力的声明及证明材料</w:t>
      </w:r>
    </w:p>
    <w:p w14:paraId="13621CA5"/>
    <w:p w14:paraId="000EAE4D">
      <w:pPr>
        <w:spacing w:line="360" w:lineRule="auto"/>
        <w:ind w:firstLine="480"/>
        <w:jc w:val="center"/>
        <w:rPr>
          <w:rFonts w:ascii="Arial" w:hAnsi="Arial" w:eastAsia="黑体"/>
          <w:b/>
          <w:bCs/>
          <w:sz w:val="30"/>
          <w:szCs w:val="30"/>
        </w:rPr>
      </w:pPr>
      <w:r>
        <w:rPr>
          <w:rFonts w:hint="eastAsia" w:ascii="Arial" w:hAnsi="Arial" w:eastAsia="黑体"/>
          <w:b/>
          <w:bCs/>
          <w:sz w:val="30"/>
          <w:szCs w:val="30"/>
        </w:rPr>
        <w:t>具备履行合同所必需的设备和专业技术能力的声明及证明材料；</w:t>
      </w:r>
    </w:p>
    <w:p w14:paraId="0FCB58BA">
      <w:pPr>
        <w:spacing w:line="360" w:lineRule="auto"/>
        <w:ind w:firstLine="480"/>
        <w:rPr>
          <w:sz w:val="24"/>
        </w:rPr>
      </w:pPr>
      <w:r>
        <w:rPr>
          <w:rFonts w:hint="eastAsia"/>
          <w:sz w:val="24"/>
          <w:u w:val="single"/>
        </w:rPr>
        <w:t>（供应商名称）</w:t>
      </w:r>
      <w:r>
        <w:rPr>
          <w:rFonts w:hint="eastAsia"/>
          <w:sz w:val="24"/>
        </w:rPr>
        <w:t>郑重声明：我单位具备履行本项采购合同所必需的设备和专业技术能力，为履行本项采购合同我单位具备如下主要设备和主要专业技术能力：</w:t>
      </w:r>
    </w:p>
    <w:p w14:paraId="0717A2A7">
      <w:pPr>
        <w:spacing w:line="360" w:lineRule="auto"/>
        <w:ind w:firstLine="480"/>
        <w:rPr>
          <w:sz w:val="24"/>
        </w:rPr>
      </w:pPr>
      <w:r>
        <w:rPr>
          <w:rFonts w:hint="eastAsia"/>
          <w:sz w:val="24"/>
        </w:rPr>
        <w:t>主要设备有：。</w:t>
      </w:r>
    </w:p>
    <w:p w14:paraId="30C7944B">
      <w:pPr>
        <w:spacing w:line="360" w:lineRule="auto"/>
        <w:ind w:firstLine="480"/>
        <w:rPr>
          <w:sz w:val="24"/>
        </w:rPr>
      </w:pPr>
      <w:r>
        <w:rPr>
          <w:rFonts w:hint="eastAsia"/>
          <w:sz w:val="24"/>
        </w:rPr>
        <w:t>主要专业技术能力有：。</w:t>
      </w:r>
    </w:p>
    <w:p w14:paraId="7390E0DA">
      <w:pPr>
        <w:spacing w:line="360" w:lineRule="auto"/>
        <w:ind w:firstLine="482"/>
        <w:rPr>
          <w:b/>
          <w:sz w:val="24"/>
        </w:rPr>
      </w:pPr>
      <w:r>
        <w:rPr>
          <w:rFonts w:hint="eastAsia"/>
          <w:b/>
          <w:sz w:val="24"/>
        </w:rPr>
        <w:t>注：须附主要设备及专业技术能力的证明材料。</w:t>
      </w:r>
    </w:p>
    <w:p w14:paraId="180F02B5">
      <w:pPr>
        <w:spacing w:line="360" w:lineRule="auto"/>
        <w:ind w:firstLine="480"/>
        <w:rPr>
          <w:sz w:val="24"/>
        </w:rPr>
      </w:pPr>
    </w:p>
    <w:p w14:paraId="12E7A8CE">
      <w:pPr>
        <w:spacing w:line="360" w:lineRule="auto"/>
        <w:ind w:firstLine="480"/>
        <w:rPr>
          <w:sz w:val="24"/>
        </w:rPr>
      </w:pPr>
    </w:p>
    <w:p w14:paraId="5C43B283">
      <w:pPr>
        <w:spacing w:line="360" w:lineRule="auto"/>
        <w:ind w:firstLine="480"/>
        <w:rPr>
          <w:sz w:val="24"/>
        </w:rPr>
      </w:pPr>
      <w:r>
        <w:rPr>
          <w:rFonts w:hint="eastAsia"/>
          <w:sz w:val="24"/>
        </w:rPr>
        <w:t>声明人（盖章）：</w:t>
      </w:r>
    </w:p>
    <w:p w14:paraId="2C2436F7">
      <w:pPr>
        <w:spacing w:line="360" w:lineRule="auto"/>
        <w:ind w:firstLine="480"/>
        <w:rPr>
          <w:sz w:val="24"/>
        </w:rPr>
      </w:pPr>
      <w:r>
        <w:rPr>
          <w:rFonts w:hint="eastAsia"/>
          <w:sz w:val="24"/>
        </w:rPr>
        <w:t>日期：</w:t>
      </w: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p>
    <w:p w14:paraId="045D6060">
      <w:pPr>
        <w:spacing w:line="460" w:lineRule="exact"/>
        <w:ind w:firstLine="422"/>
        <w:rPr>
          <w:b/>
        </w:rPr>
      </w:pPr>
    </w:p>
    <w:p w14:paraId="0D46F0A9">
      <w:pPr>
        <w:keepNext/>
        <w:keepLines/>
        <w:outlineLvl w:val="1"/>
        <w:rPr>
          <w:rFonts w:ascii="Arial" w:hAnsi="Arial" w:eastAsia="黑体"/>
          <w:bCs/>
          <w:sz w:val="32"/>
          <w:szCs w:val="32"/>
        </w:rPr>
      </w:pPr>
      <w:r>
        <w:rPr>
          <w:rFonts w:ascii="Arial" w:hAnsi="Arial" w:eastAsia="黑体"/>
          <w:bCs/>
          <w:sz w:val="32"/>
          <w:szCs w:val="32"/>
        </w:rPr>
        <w:br w:type="page"/>
      </w:r>
      <w:r>
        <w:rPr>
          <w:rFonts w:hint="eastAsia" w:ascii="Arial" w:hAnsi="Arial" w:eastAsia="黑体"/>
          <w:b/>
          <w:bCs/>
          <w:sz w:val="24"/>
          <w:szCs w:val="32"/>
        </w:rPr>
        <w:t>格式</w:t>
      </w:r>
      <w:r>
        <w:rPr>
          <w:rFonts w:ascii="Arial" w:hAnsi="Arial" w:eastAsia="黑体"/>
          <w:b/>
          <w:bCs/>
          <w:sz w:val="24"/>
          <w:szCs w:val="32"/>
        </w:rPr>
        <w:t>8</w:t>
      </w:r>
      <w:r>
        <w:rPr>
          <w:rFonts w:hint="eastAsia" w:ascii="Arial" w:hAnsi="Arial" w:eastAsia="黑体"/>
          <w:b/>
          <w:bCs/>
          <w:sz w:val="24"/>
          <w:szCs w:val="32"/>
        </w:rPr>
        <w:t>、参加政府采购活动前</w:t>
      </w:r>
      <w:r>
        <w:rPr>
          <w:rFonts w:ascii="Arial" w:hAnsi="Arial" w:eastAsia="黑体"/>
          <w:b/>
          <w:bCs/>
          <w:sz w:val="24"/>
          <w:szCs w:val="32"/>
        </w:rPr>
        <w:t>3</w:t>
      </w:r>
      <w:r>
        <w:rPr>
          <w:rFonts w:hint="eastAsia" w:ascii="Arial" w:hAnsi="Arial" w:eastAsia="黑体"/>
          <w:b/>
          <w:bCs/>
          <w:sz w:val="24"/>
          <w:szCs w:val="32"/>
        </w:rPr>
        <w:t>年内在经营活动中没有重大违法记录的书面声明</w:t>
      </w:r>
    </w:p>
    <w:p w14:paraId="758B3631">
      <w:pPr>
        <w:spacing w:line="460" w:lineRule="exact"/>
        <w:ind w:firstLine="422"/>
        <w:rPr>
          <w:b/>
        </w:rPr>
      </w:pPr>
    </w:p>
    <w:p w14:paraId="78AAFBD8">
      <w:pPr>
        <w:jc w:val="center"/>
        <w:rPr>
          <w:rFonts w:hint="eastAsia" w:ascii="黑体" w:hAnsi="黑体" w:eastAsia="黑体" w:cs="宋体"/>
          <w:bCs/>
          <w:sz w:val="36"/>
          <w:szCs w:val="28"/>
        </w:rPr>
      </w:pPr>
      <w:r>
        <w:rPr>
          <w:rFonts w:hint="eastAsia" w:ascii="黑体" w:hAnsi="黑体" w:eastAsia="黑体" w:cs="宋体"/>
          <w:bCs/>
          <w:sz w:val="36"/>
          <w:szCs w:val="28"/>
        </w:rPr>
        <w:t>声  明</w:t>
      </w:r>
    </w:p>
    <w:p w14:paraId="528C8C06">
      <w:pPr>
        <w:spacing w:line="360" w:lineRule="auto"/>
        <w:ind w:firstLine="480"/>
        <w:rPr>
          <w:rFonts w:hint="eastAsia" w:ascii="宋体" w:hAnsi="宋体"/>
          <w:sz w:val="24"/>
        </w:rPr>
      </w:pPr>
      <w:r>
        <w:rPr>
          <w:rFonts w:hint="eastAsia" w:ascii="宋体" w:hAnsi="宋体"/>
          <w:sz w:val="24"/>
        </w:rPr>
        <w:t>我公司郑重声明：参加本次政府采购活动前 3 年内，我公司在经营活动中没有因违法经营受到刑事处罚或者责令停产停业、吊销许可证或者执照、较大数额罚款等行政处罚。</w:t>
      </w:r>
    </w:p>
    <w:p w14:paraId="74E49413">
      <w:pPr>
        <w:spacing w:line="360" w:lineRule="auto"/>
        <w:ind w:firstLine="480"/>
        <w:rPr>
          <w:rFonts w:hint="eastAsia" w:ascii="宋体" w:hAnsi="宋体"/>
          <w:bCs/>
          <w:sz w:val="24"/>
        </w:rPr>
      </w:pPr>
    </w:p>
    <w:p w14:paraId="00118B33">
      <w:pPr>
        <w:spacing w:line="360" w:lineRule="auto"/>
        <w:ind w:firstLine="480"/>
        <w:rPr>
          <w:rFonts w:hint="eastAsia" w:ascii="宋体" w:hAnsi="宋体"/>
          <w:sz w:val="24"/>
        </w:rPr>
      </w:pPr>
      <w:r>
        <w:rPr>
          <w:rFonts w:hint="eastAsia" w:ascii="宋体" w:hAnsi="宋体"/>
          <w:sz w:val="24"/>
        </w:rPr>
        <w:t>投标人（盖章）：</w:t>
      </w:r>
    </w:p>
    <w:p w14:paraId="3C15E564">
      <w:pPr>
        <w:spacing w:line="360" w:lineRule="auto"/>
        <w:ind w:firstLine="480"/>
        <w:rPr>
          <w:rFonts w:hint="eastAsia" w:ascii="宋体" w:hAnsi="宋体"/>
          <w:sz w:val="24"/>
        </w:rPr>
      </w:pPr>
      <w:r>
        <w:rPr>
          <w:rFonts w:hint="eastAsia" w:ascii="宋体" w:hAnsi="宋体"/>
          <w:sz w:val="24"/>
        </w:rPr>
        <w:t>法定代表人或委托代理人（签字或盖章）：</w:t>
      </w:r>
    </w:p>
    <w:p w14:paraId="2F0DFA35">
      <w:pPr>
        <w:spacing w:line="360" w:lineRule="auto"/>
        <w:ind w:firstLine="480"/>
        <w:rPr>
          <w:rFonts w:hint="eastAsia" w:ascii="宋体" w:hAnsi="宋体"/>
          <w:sz w:val="24"/>
        </w:rPr>
      </w:pPr>
      <w:r>
        <w:rPr>
          <w:rFonts w:hint="eastAsia" w:ascii="宋体" w:hAnsi="宋体"/>
          <w:sz w:val="24"/>
        </w:rPr>
        <w:t>日期：    年     月     日</w:t>
      </w:r>
    </w:p>
    <w:p w14:paraId="4644924E">
      <w:pPr>
        <w:keepNext/>
        <w:keepLines/>
        <w:outlineLvl w:val="1"/>
        <w:rPr>
          <w:rFonts w:ascii="Arial" w:hAnsi="Arial"/>
          <w:b/>
          <w:bCs/>
          <w:sz w:val="32"/>
          <w:szCs w:val="32"/>
        </w:rPr>
      </w:pPr>
      <w:r>
        <w:rPr>
          <w:rFonts w:hint="eastAsia" w:ascii="宋体" w:hAnsi="宋体" w:eastAsia="黑体"/>
          <w:b/>
          <w:bCs/>
          <w:sz w:val="24"/>
          <w:szCs w:val="32"/>
        </w:rPr>
        <w:br w:type="page"/>
      </w:r>
      <w:r>
        <w:rPr>
          <w:rFonts w:hint="eastAsia" w:ascii="Arial" w:hAnsi="Arial" w:eastAsia="黑体"/>
          <w:b/>
          <w:bCs/>
          <w:sz w:val="24"/>
          <w:szCs w:val="32"/>
        </w:rPr>
        <w:t>格式</w:t>
      </w:r>
      <w:r>
        <w:rPr>
          <w:rFonts w:ascii="Arial" w:hAnsi="Arial" w:eastAsia="黑体"/>
          <w:b/>
          <w:bCs/>
          <w:sz w:val="24"/>
          <w:szCs w:val="32"/>
        </w:rPr>
        <w:t>9</w:t>
      </w:r>
      <w:r>
        <w:rPr>
          <w:rFonts w:hint="eastAsia" w:ascii="Arial" w:hAnsi="Arial" w:eastAsia="黑体"/>
          <w:b/>
          <w:bCs/>
          <w:sz w:val="24"/>
          <w:szCs w:val="32"/>
        </w:rPr>
        <w:t>、法定代表人授权委托书</w:t>
      </w:r>
    </w:p>
    <w:p w14:paraId="4FAD8603">
      <w:pPr>
        <w:ind w:firstLine="720"/>
        <w:jc w:val="center"/>
        <w:rPr>
          <w:rFonts w:hint="eastAsia" w:ascii="黑体" w:hAnsi="黑体" w:eastAsia="黑体" w:cs="宋体"/>
          <w:bCs/>
          <w:sz w:val="36"/>
          <w:szCs w:val="28"/>
        </w:rPr>
      </w:pPr>
    </w:p>
    <w:p w14:paraId="4EFB0C76">
      <w:pPr>
        <w:ind w:firstLine="720"/>
        <w:jc w:val="center"/>
        <w:rPr>
          <w:rFonts w:hint="eastAsia" w:ascii="黑体" w:hAnsi="黑体" w:eastAsia="黑体" w:cs="宋体"/>
          <w:bCs/>
          <w:sz w:val="36"/>
          <w:szCs w:val="28"/>
        </w:rPr>
      </w:pPr>
      <w:r>
        <w:rPr>
          <w:rFonts w:hint="eastAsia" w:ascii="黑体" w:hAnsi="黑体" w:eastAsia="黑体" w:cs="宋体"/>
          <w:bCs/>
          <w:sz w:val="36"/>
          <w:szCs w:val="28"/>
        </w:rPr>
        <w:t>法定代表人授权委托书</w:t>
      </w:r>
    </w:p>
    <w:p w14:paraId="1019EFE0">
      <w:pPr>
        <w:spacing w:line="360" w:lineRule="auto"/>
        <w:rPr>
          <w:rFonts w:hint="eastAsia" w:ascii="宋体" w:hAnsi="宋体"/>
          <w:b/>
          <w:bCs/>
          <w:sz w:val="24"/>
        </w:rPr>
      </w:pPr>
      <w:r>
        <w:rPr>
          <w:rFonts w:hint="eastAsia" w:ascii="宋体" w:hAnsi="宋体"/>
          <w:sz w:val="24"/>
        </w:rPr>
        <w:t>灌南县农机化技术推广服务站：</w:t>
      </w:r>
    </w:p>
    <w:p w14:paraId="4E141228">
      <w:pPr>
        <w:spacing w:line="360" w:lineRule="auto"/>
        <w:ind w:firstLine="480"/>
        <w:rPr>
          <w:rFonts w:hint="eastAsia" w:ascii="宋体" w:hAnsi="宋体"/>
          <w:sz w:val="24"/>
        </w:rPr>
      </w:pPr>
      <w:r>
        <w:rPr>
          <w:rFonts w:hint="eastAsia" w:ascii="宋体" w:hAnsi="宋体"/>
          <w:sz w:val="24"/>
        </w:rPr>
        <w:t>本授权书声明：注册于</w:t>
      </w:r>
      <w:r>
        <w:rPr>
          <w:rFonts w:hint="eastAsia" w:ascii="宋体" w:hAnsi="宋体"/>
          <w:sz w:val="24"/>
          <w:u w:val="single"/>
        </w:rPr>
        <w:t xml:space="preserve">  （委托单位全称） </w:t>
      </w:r>
      <w:r>
        <w:rPr>
          <w:rFonts w:hint="eastAsia" w:ascii="宋体" w:hAnsi="宋体"/>
          <w:sz w:val="24"/>
        </w:rPr>
        <w:t>的法定代表人代表本公司授权</w:t>
      </w:r>
      <w:r>
        <w:rPr>
          <w:rFonts w:hint="eastAsia" w:ascii="宋体" w:hAnsi="宋体"/>
          <w:sz w:val="24"/>
          <w:u w:val="single"/>
        </w:rPr>
        <w:t>（姓名和职务）</w:t>
      </w:r>
      <w:r>
        <w:rPr>
          <w:rFonts w:hint="eastAsia" w:ascii="宋体" w:hAnsi="宋体"/>
          <w:sz w:val="24"/>
        </w:rPr>
        <w:t>为本公司合法代理人，就贵方组织的有关</w:t>
      </w:r>
      <w:r>
        <w:rPr>
          <w:rFonts w:hint="eastAsia" w:ascii="宋体" w:hAnsi="宋体" w:cs="宋体"/>
          <w:bCs/>
          <w:sz w:val="24"/>
          <w:u w:val="single"/>
        </w:rPr>
        <w:t xml:space="preserve">          </w:t>
      </w:r>
      <w:r>
        <w:rPr>
          <w:rFonts w:hint="eastAsia" w:ascii="宋体" w:hAnsi="宋体" w:cs="宋体"/>
          <w:bCs/>
          <w:sz w:val="24"/>
        </w:rPr>
        <w:t>项目</w:t>
      </w:r>
      <w:r>
        <w:rPr>
          <w:rFonts w:hint="eastAsia" w:ascii="宋体" w:hAnsi="宋体"/>
          <w:sz w:val="24"/>
        </w:rPr>
        <w:t>（标段编号</w:t>
      </w:r>
      <w:r>
        <w:rPr>
          <w:rFonts w:hint="eastAsia" w:ascii="宋体" w:hAnsi="宋体"/>
          <w:sz w:val="24"/>
          <w:u w:val="single"/>
        </w:rPr>
        <w:t xml:space="preserve">：     </w:t>
      </w:r>
      <w:r>
        <w:rPr>
          <w:rFonts w:hint="eastAsia" w:ascii="宋体" w:hAnsi="宋体"/>
          <w:sz w:val="24"/>
        </w:rPr>
        <w:t>）的招标采购及合同签订、执行、完成，以本单位名义处理一切与之有关的事务。</w:t>
      </w:r>
    </w:p>
    <w:p w14:paraId="730961B1">
      <w:pPr>
        <w:spacing w:line="360" w:lineRule="auto"/>
        <w:ind w:firstLine="480"/>
        <w:rPr>
          <w:rFonts w:hint="eastAsia" w:ascii="宋体" w:hAnsi="宋体"/>
          <w:sz w:val="24"/>
        </w:rPr>
      </w:pPr>
      <w:r>
        <w:rPr>
          <w:rFonts w:hint="eastAsia" w:ascii="宋体" w:hAnsi="宋体"/>
          <w:sz w:val="24"/>
        </w:rPr>
        <w:t>本授权书于年月日签字（或盖章）生效，特此声明。</w:t>
      </w:r>
    </w:p>
    <w:p w14:paraId="49F5C959">
      <w:pPr>
        <w:spacing w:line="360" w:lineRule="auto"/>
        <w:ind w:firstLine="480"/>
        <w:rPr>
          <w:rFonts w:hint="eastAsia" w:ascii="宋体" w:hAnsi="宋体"/>
          <w:sz w:val="24"/>
        </w:rPr>
      </w:pPr>
    </w:p>
    <w:p w14:paraId="753A3385">
      <w:pPr>
        <w:spacing w:line="360" w:lineRule="auto"/>
        <w:ind w:firstLine="480"/>
        <w:rPr>
          <w:rFonts w:hint="eastAsia" w:ascii="宋体" w:hAnsi="宋体"/>
          <w:sz w:val="24"/>
        </w:rPr>
      </w:pPr>
      <w:r>
        <w:rPr>
          <w:rFonts w:hint="eastAsia" w:ascii="宋体" w:hAnsi="宋体"/>
          <w:sz w:val="24"/>
        </w:rPr>
        <w:t>委托单位（盖章）：                      法定代表人（签字或盖章）：</w:t>
      </w:r>
    </w:p>
    <w:p w14:paraId="54D76D80">
      <w:pPr>
        <w:spacing w:line="360" w:lineRule="auto"/>
        <w:ind w:firstLine="480"/>
        <w:rPr>
          <w:rFonts w:hint="eastAsia" w:ascii="宋体" w:hAnsi="宋体"/>
          <w:sz w:val="24"/>
        </w:rPr>
      </w:pPr>
    </w:p>
    <w:p w14:paraId="6790AED3">
      <w:pPr>
        <w:spacing w:line="360" w:lineRule="auto"/>
        <w:ind w:firstLine="480"/>
        <w:rPr>
          <w:rFonts w:hint="eastAsia" w:ascii="宋体" w:hAnsi="宋体"/>
          <w:sz w:val="24"/>
        </w:rPr>
      </w:pPr>
      <w:r>
        <w:rPr>
          <w:rFonts w:hint="eastAsia" w:ascii="宋体" w:hAnsi="宋体"/>
          <w:sz w:val="24"/>
        </w:rPr>
        <w:t>签发日期：年月日</w:t>
      </w:r>
    </w:p>
    <w:p w14:paraId="348FC100">
      <w:pPr>
        <w:spacing w:line="360" w:lineRule="auto"/>
        <w:ind w:firstLine="482"/>
        <w:rPr>
          <w:rFonts w:hint="eastAsia" w:ascii="宋体" w:hAnsi="宋体"/>
          <w:b/>
          <w:sz w:val="24"/>
        </w:rPr>
      </w:pPr>
      <w:r>
        <w:rPr>
          <w:rFonts w:hint="eastAsia" w:ascii="宋体" w:hAnsi="宋体"/>
          <w:b/>
          <w:sz w:val="24"/>
        </w:rPr>
        <w:t>附法定代表人与委托代理人身份证明正反面电子件。</w:t>
      </w:r>
    </w:p>
    <w:p w14:paraId="09EBE981">
      <w:pPr>
        <w:spacing w:line="360" w:lineRule="auto"/>
        <w:ind w:firstLine="480"/>
        <w:rPr>
          <w:rFonts w:hint="eastAsia" w:ascii="宋体" w:hAnsi="宋体"/>
          <w:sz w:val="24"/>
        </w:rPr>
      </w:pPr>
    </w:p>
    <w:p w14:paraId="3A69BECC">
      <w:pPr>
        <w:spacing w:line="360" w:lineRule="auto"/>
        <w:ind w:firstLine="480"/>
        <w:rPr>
          <w:rFonts w:hint="eastAsia" w:ascii="宋体" w:hAnsi="宋体"/>
          <w:sz w:val="24"/>
        </w:rPr>
      </w:pPr>
    </w:p>
    <w:p w14:paraId="05C97626">
      <w:pPr>
        <w:spacing w:line="360" w:lineRule="auto"/>
        <w:ind w:firstLine="480"/>
        <w:rPr>
          <w:rFonts w:hint="eastAsia" w:ascii="宋体" w:hAnsi="宋体"/>
          <w:sz w:val="24"/>
        </w:rPr>
      </w:pPr>
    </w:p>
    <w:p w14:paraId="1CC641B6">
      <w:pPr>
        <w:spacing w:line="360" w:lineRule="auto"/>
        <w:ind w:firstLine="480"/>
        <w:rPr>
          <w:rFonts w:hint="eastAsia" w:ascii="宋体" w:hAnsi="宋体"/>
          <w:sz w:val="24"/>
        </w:rPr>
      </w:pPr>
    </w:p>
    <w:p w14:paraId="7CD3958A">
      <w:pPr>
        <w:spacing w:line="360" w:lineRule="auto"/>
        <w:ind w:firstLine="480"/>
        <w:rPr>
          <w:rFonts w:hint="eastAsia" w:ascii="宋体" w:hAnsi="宋体"/>
          <w:sz w:val="24"/>
        </w:rPr>
      </w:pPr>
      <w:r>
        <w:rPr>
          <w:rFonts w:hint="eastAsia" w:ascii="宋体" w:hAnsi="宋体"/>
          <w:sz w:val="24"/>
        </w:rPr>
        <w:t>说明：</w:t>
      </w:r>
    </w:p>
    <w:p w14:paraId="5C1CD8B3">
      <w:pPr>
        <w:spacing w:line="360" w:lineRule="auto"/>
        <w:ind w:firstLine="480"/>
        <w:rPr>
          <w:rFonts w:hint="eastAsia" w:ascii="宋体" w:hAnsi="宋体"/>
          <w:sz w:val="24"/>
        </w:rPr>
      </w:pPr>
      <w:r>
        <w:rPr>
          <w:rFonts w:hint="eastAsia" w:ascii="宋体" w:hAnsi="宋体"/>
          <w:sz w:val="24"/>
        </w:rPr>
        <w:t>1．委托书内容填写应当明确、文字工整清楚，涂改无效。</w:t>
      </w:r>
    </w:p>
    <w:p w14:paraId="59B237BF">
      <w:pPr>
        <w:spacing w:line="360" w:lineRule="auto"/>
        <w:ind w:firstLine="480"/>
        <w:rPr>
          <w:rFonts w:hint="eastAsia" w:ascii="宋体" w:hAnsi="宋体"/>
          <w:sz w:val="24"/>
        </w:rPr>
      </w:pPr>
      <w:r>
        <w:rPr>
          <w:rFonts w:hint="eastAsia" w:ascii="宋体" w:hAnsi="宋体"/>
          <w:sz w:val="24"/>
        </w:rPr>
        <w:t>2．委托书不得转借、转让、买卖。</w:t>
      </w:r>
    </w:p>
    <w:p w14:paraId="251189BB">
      <w:pPr>
        <w:spacing w:line="360" w:lineRule="auto"/>
        <w:ind w:firstLine="480"/>
        <w:rPr>
          <w:rFonts w:hint="eastAsia" w:ascii="宋体" w:hAnsi="宋体"/>
          <w:sz w:val="24"/>
        </w:rPr>
      </w:pPr>
      <w:r>
        <w:rPr>
          <w:rFonts w:hint="eastAsia" w:ascii="宋体" w:hAnsi="宋体"/>
          <w:sz w:val="24"/>
        </w:rPr>
        <w:t>3．委托代理人根据授权范围，以委托单位的名义签订合同，并将此委托书提交给采购单位作为合同附件。</w:t>
      </w:r>
    </w:p>
    <w:p w14:paraId="2CDDA1A1">
      <w:pPr>
        <w:keepNext/>
        <w:keepLines/>
        <w:outlineLvl w:val="1"/>
        <w:rPr>
          <w:rFonts w:ascii="Arial" w:hAnsi="Arial" w:eastAsia="黑体"/>
          <w:sz w:val="32"/>
          <w:szCs w:val="21"/>
        </w:rPr>
      </w:pPr>
      <w:r>
        <w:rPr>
          <w:rFonts w:hint="eastAsia" w:ascii="宋体" w:hAnsi="宋体" w:eastAsia="黑体"/>
          <w:b/>
          <w:bCs/>
          <w:sz w:val="24"/>
          <w:szCs w:val="32"/>
        </w:rPr>
        <w:br w:type="page"/>
      </w:r>
      <w:r>
        <w:rPr>
          <w:rFonts w:hint="eastAsia" w:ascii="Arial" w:hAnsi="Arial" w:eastAsia="黑体"/>
          <w:b/>
          <w:bCs/>
          <w:sz w:val="24"/>
          <w:szCs w:val="32"/>
        </w:rPr>
        <w:t>格式</w:t>
      </w:r>
      <w:r>
        <w:rPr>
          <w:rFonts w:ascii="Arial" w:hAnsi="Arial" w:eastAsia="黑体"/>
          <w:b/>
          <w:bCs/>
          <w:sz w:val="24"/>
          <w:szCs w:val="32"/>
        </w:rPr>
        <w:t>10</w:t>
      </w:r>
      <w:r>
        <w:rPr>
          <w:rFonts w:hint="eastAsia" w:ascii="Arial" w:hAnsi="Arial" w:eastAsia="黑体"/>
          <w:b/>
          <w:bCs/>
          <w:sz w:val="24"/>
          <w:szCs w:val="32"/>
        </w:rPr>
        <w:t>、商务条款偏离表</w:t>
      </w:r>
    </w:p>
    <w:p w14:paraId="4D8E5708">
      <w:pPr>
        <w:jc w:val="center"/>
        <w:rPr>
          <w:rFonts w:hint="eastAsia" w:ascii="黑体" w:hAnsi="黑体" w:eastAsia="黑体" w:cs="宋体"/>
          <w:bCs/>
          <w:sz w:val="36"/>
          <w:szCs w:val="28"/>
        </w:rPr>
      </w:pPr>
      <w:r>
        <w:rPr>
          <w:rFonts w:hint="eastAsia" w:ascii="黑体" w:hAnsi="黑体" w:eastAsia="黑体" w:cs="宋体"/>
          <w:bCs/>
          <w:sz w:val="36"/>
          <w:szCs w:val="28"/>
        </w:rPr>
        <w:t>商务条款偏离表</w:t>
      </w:r>
    </w:p>
    <w:p w14:paraId="24D9510A">
      <w:pPr>
        <w:spacing w:line="360" w:lineRule="auto"/>
        <w:jc w:val="left"/>
        <w:rPr>
          <w:rFonts w:hint="eastAsia" w:ascii="宋体" w:hAnsi="宋体" w:eastAsia="宋体" w:cs="方正仿宋_GBK"/>
          <w:i w:val="0"/>
          <w:iCs/>
          <w:color w:val="auto"/>
          <w:sz w:val="24"/>
          <w:szCs w:val="24"/>
          <w:highlight w:val="none"/>
        </w:rPr>
      </w:pPr>
    </w:p>
    <w:p w14:paraId="482DE27F">
      <w:pPr>
        <w:spacing w:line="360" w:lineRule="auto"/>
        <w:jc w:val="left"/>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w:t>
      </w:r>
      <w:r>
        <w:rPr>
          <w:rFonts w:ascii="宋体" w:hAnsi="宋体" w:eastAsia="宋体" w:cs="Times New Roman"/>
          <w:bCs/>
          <w:i w:val="0"/>
          <w:iCs/>
          <w:color w:val="auto"/>
          <w:sz w:val="24"/>
          <w:szCs w:val="24"/>
          <w:highlight w:val="none"/>
        </w:rPr>
        <w:t xml:space="preserve"> </w:t>
      </w:r>
    </w:p>
    <w:tbl>
      <w:tblPr>
        <w:tblStyle w:val="4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68A559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1A833E67">
            <w:pPr>
              <w:jc w:val="center"/>
              <w:rPr>
                <w:rFonts w:ascii="宋体" w:hAnsi="宋体" w:eastAsia="宋体" w:cs="Times New Roman"/>
                <w:i w:val="0"/>
                <w:iCs/>
                <w:color w:val="auto"/>
                <w:sz w:val="24"/>
                <w:szCs w:val="24"/>
                <w:highlight w:val="none"/>
              </w:rPr>
            </w:pPr>
            <w:bookmarkStart w:id="185" w:name="_Hlt26671372"/>
            <w:bookmarkEnd w:id="185"/>
            <w:bookmarkStart w:id="186" w:name="_Hlt26580838"/>
            <w:bookmarkEnd w:id="186"/>
            <w:bookmarkStart w:id="187" w:name="_Hlt26609391"/>
            <w:bookmarkEnd w:id="187"/>
            <w:bookmarkStart w:id="188" w:name="_Hlt26671343"/>
            <w:bookmarkEnd w:id="188"/>
            <w:bookmarkStart w:id="189" w:name="_Hlt24879081"/>
            <w:bookmarkEnd w:id="189"/>
            <w:bookmarkStart w:id="190" w:name="_Hlt26955056"/>
            <w:bookmarkEnd w:id="190"/>
            <w:bookmarkStart w:id="191" w:name="_Hlt26782999"/>
            <w:bookmarkEnd w:id="191"/>
            <w:bookmarkStart w:id="192" w:name="_Hlt26955064"/>
            <w:bookmarkEnd w:id="192"/>
            <w:r>
              <w:rPr>
                <w:rFonts w:hint="eastAsia" w:ascii="宋体" w:hAnsi="宋体" w:eastAsia="宋体" w:cs="Times New Roman"/>
                <w:i w:val="0"/>
                <w:iCs/>
                <w:color w:val="auto"/>
                <w:sz w:val="24"/>
                <w:szCs w:val="24"/>
                <w:highlight w:val="none"/>
              </w:rPr>
              <w:t>序号</w:t>
            </w:r>
          </w:p>
        </w:tc>
        <w:tc>
          <w:tcPr>
            <w:tcW w:w="3263" w:type="dxa"/>
            <w:noWrap w:val="0"/>
            <w:vAlign w:val="center"/>
          </w:tcPr>
          <w:p w14:paraId="46E84E5A">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招标文件要求</w:t>
            </w:r>
          </w:p>
        </w:tc>
        <w:tc>
          <w:tcPr>
            <w:tcW w:w="3034" w:type="dxa"/>
            <w:noWrap w:val="0"/>
            <w:vAlign w:val="center"/>
          </w:tcPr>
          <w:p w14:paraId="71F0E496">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投标响应情况</w:t>
            </w:r>
          </w:p>
        </w:tc>
        <w:tc>
          <w:tcPr>
            <w:tcW w:w="1391" w:type="dxa"/>
            <w:noWrap w:val="0"/>
            <w:vAlign w:val="center"/>
          </w:tcPr>
          <w:p w14:paraId="797B3C8C">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超出、符合或偏离</w:t>
            </w:r>
          </w:p>
        </w:tc>
      </w:tr>
      <w:tr w14:paraId="243F2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3D096A5">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1</w:t>
            </w:r>
          </w:p>
        </w:tc>
        <w:tc>
          <w:tcPr>
            <w:tcW w:w="3263" w:type="dxa"/>
            <w:noWrap w:val="0"/>
            <w:vAlign w:val="center"/>
          </w:tcPr>
          <w:p w14:paraId="47933D44">
            <w:pPr>
              <w:jc w:val="center"/>
              <w:rPr>
                <w:rFonts w:ascii="宋体" w:hAnsi="宋体" w:eastAsia="宋体" w:cs="Times New Roman"/>
                <w:i w:val="0"/>
                <w:iCs/>
                <w:color w:val="auto"/>
                <w:sz w:val="24"/>
                <w:szCs w:val="24"/>
                <w:highlight w:val="none"/>
              </w:rPr>
            </w:pPr>
          </w:p>
        </w:tc>
        <w:tc>
          <w:tcPr>
            <w:tcW w:w="3034" w:type="dxa"/>
            <w:noWrap w:val="0"/>
            <w:vAlign w:val="center"/>
          </w:tcPr>
          <w:p w14:paraId="5B1DEE7A">
            <w:pPr>
              <w:jc w:val="center"/>
              <w:rPr>
                <w:rFonts w:ascii="宋体" w:hAnsi="宋体" w:eastAsia="宋体" w:cs="Times New Roman"/>
                <w:i w:val="0"/>
                <w:iCs/>
                <w:color w:val="auto"/>
                <w:sz w:val="24"/>
                <w:szCs w:val="24"/>
                <w:highlight w:val="none"/>
              </w:rPr>
            </w:pPr>
          </w:p>
        </w:tc>
        <w:tc>
          <w:tcPr>
            <w:tcW w:w="1391" w:type="dxa"/>
            <w:noWrap w:val="0"/>
            <w:vAlign w:val="center"/>
          </w:tcPr>
          <w:p w14:paraId="46D2F529">
            <w:pPr>
              <w:jc w:val="center"/>
              <w:rPr>
                <w:rFonts w:ascii="宋体" w:hAnsi="宋体" w:eastAsia="宋体" w:cs="Times New Roman"/>
                <w:i w:val="0"/>
                <w:iCs/>
                <w:color w:val="auto"/>
                <w:sz w:val="24"/>
                <w:szCs w:val="24"/>
                <w:highlight w:val="none"/>
              </w:rPr>
            </w:pPr>
          </w:p>
        </w:tc>
      </w:tr>
      <w:tr w14:paraId="2DB39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FEA0DAC">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2</w:t>
            </w:r>
          </w:p>
        </w:tc>
        <w:tc>
          <w:tcPr>
            <w:tcW w:w="3263" w:type="dxa"/>
            <w:noWrap w:val="0"/>
            <w:vAlign w:val="center"/>
          </w:tcPr>
          <w:p w14:paraId="49694429">
            <w:pPr>
              <w:jc w:val="center"/>
              <w:rPr>
                <w:rFonts w:ascii="宋体" w:hAnsi="宋体" w:eastAsia="宋体" w:cs="Times New Roman"/>
                <w:i w:val="0"/>
                <w:iCs/>
                <w:color w:val="auto"/>
                <w:sz w:val="24"/>
                <w:szCs w:val="24"/>
                <w:highlight w:val="none"/>
              </w:rPr>
            </w:pPr>
          </w:p>
        </w:tc>
        <w:tc>
          <w:tcPr>
            <w:tcW w:w="3034" w:type="dxa"/>
            <w:noWrap w:val="0"/>
            <w:vAlign w:val="center"/>
          </w:tcPr>
          <w:p w14:paraId="5328B1A0">
            <w:pPr>
              <w:jc w:val="center"/>
              <w:rPr>
                <w:rFonts w:ascii="宋体" w:hAnsi="宋体" w:eastAsia="宋体" w:cs="Times New Roman"/>
                <w:i w:val="0"/>
                <w:iCs/>
                <w:color w:val="auto"/>
                <w:sz w:val="24"/>
                <w:szCs w:val="24"/>
                <w:highlight w:val="none"/>
              </w:rPr>
            </w:pPr>
          </w:p>
        </w:tc>
        <w:tc>
          <w:tcPr>
            <w:tcW w:w="1391" w:type="dxa"/>
            <w:noWrap w:val="0"/>
            <w:vAlign w:val="center"/>
          </w:tcPr>
          <w:p w14:paraId="2A1ADD85">
            <w:pPr>
              <w:jc w:val="center"/>
              <w:rPr>
                <w:rFonts w:ascii="宋体" w:hAnsi="宋体" w:eastAsia="宋体" w:cs="Times New Roman"/>
                <w:i w:val="0"/>
                <w:iCs/>
                <w:color w:val="auto"/>
                <w:sz w:val="24"/>
                <w:szCs w:val="24"/>
                <w:highlight w:val="none"/>
              </w:rPr>
            </w:pPr>
          </w:p>
        </w:tc>
      </w:tr>
      <w:tr w14:paraId="10087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A6131C4">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3</w:t>
            </w:r>
          </w:p>
        </w:tc>
        <w:tc>
          <w:tcPr>
            <w:tcW w:w="3263" w:type="dxa"/>
            <w:noWrap w:val="0"/>
            <w:vAlign w:val="center"/>
          </w:tcPr>
          <w:p w14:paraId="265D42D1">
            <w:pPr>
              <w:jc w:val="center"/>
              <w:rPr>
                <w:rFonts w:ascii="宋体" w:hAnsi="宋体" w:eastAsia="宋体" w:cs="Times New Roman"/>
                <w:i w:val="0"/>
                <w:iCs/>
                <w:color w:val="auto"/>
                <w:sz w:val="24"/>
                <w:szCs w:val="24"/>
                <w:highlight w:val="none"/>
              </w:rPr>
            </w:pPr>
          </w:p>
        </w:tc>
        <w:tc>
          <w:tcPr>
            <w:tcW w:w="3034" w:type="dxa"/>
            <w:noWrap w:val="0"/>
            <w:vAlign w:val="center"/>
          </w:tcPr>
          <w:p w14:paraId="2B648006">
            <w:pPr>
              <w:jc w:val="center"/>
              <w:rPr>
                <w:rFonts w:ascii="宋体" w:hAnsi="宋体" w:eastAsia="宋体" w:cs="Times New Roman"/>
                <w:i w:val="0"/>
                <w:iCs/>
                <w:color w:val="auto"/>
                <w:sz w:val="24"/>
                <w:szCs w:val="24"/>
                <w:highlight w:val="none"/>
              </w:rPr>
            </w:pPr>
          </w:p>
        </w:tc>
        <w:tc>
          <w:tcPr>
            <w:tcW w:w="1391" w:type="dxa"/>
            <w:noWrap w:val="0"/>
            <w:vAlign w:val="center"/>
          </w:tcPr>
          <w:p w14:paraId="50C5BC0C">
            <w:pPr>
              <w:jc w:val="center"/>
              <w:rPr>
                <w:rFonts w:ascii="宋体" w:hAnsi="宋体" w:eastAsia="宋体" w:cs="Times New Roman"/>
                <w:i w:val="0"/>
                <w:iCs/>
                <w:color w:val="auto"/>
                <w:sz w:val="24"/>
                <w:szCs w:val="24"/>
                <w:highlight w:val="none"/>
              </w:rPr>
            </w:pPr>
          </w:p>
        </w:tc>
      </w:tr>
      <w:tr w14:paraId="434CF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B284AC6">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w:t>
            </w:r>
          </w:p>
        </w:tc>
        <w:tc>
          <w:tcPr>
            <w:tcW w:w="3263" w:type="dxa"/>
            <w:noWrap w:val="0"/>
            <w:vAlign w:val="center"/>
          </w:tcPr>
          <w:p w14:paraId="1F5EC08D">
            <w:pPr>
              <w:jc w:val="center"/>
              <w:rPr>
                <w:rFonts w:ascii="宋体" w:hAnsi="宋体" w:eastAsia="宋体" w:cs="Times New Roman"/>
                <w:i w:val="0"/>
                <w:iCs/>
                <w:color w:val="auto"/>
                <w:sz w:val="24"/>
                <w:szCs w:val="24"/>
                <w:highlight w:val="none"/>
              </w:rPr>
            </w:pPr>
          </w:p>
        </w:tc>
        <w:tc>
          <w:tcPr>
            <w:tcW w:w="3034" w:type="dxa"/>
            <w:noWrap w:val="0"/>
            <w:vAlign w:val="center"/>
          </w:tcPr>
          <w:p w14:paraId="4DBDDECA">
            <w:pPr>
              <w:jc w:val="center"/>
              <w:rPr>
                <w:rFonts w:ascii="宋体" w:hAnsi="宋体" w:eastAsia="宋体" w:cs="Times New Roman"/>
                <w:i w:val="0"/>
                <w:iCs/>
                <w:color w:val="auto"/>
                <w:sz w:val="24"/>
                <w:szCs w:val="24"/>
                <w:highlight w:val="none"/>
              </w:rPr>
            </w:pPr>
          </w:p>
        </w:tc>
        <w:tc>
          <w:tcPr>
            <w:tcW w:w="1391" w:type="dxa"/>
            <w:noWrap w:val="0"/>
            <w:vAlign w:val="center"/>
          </w:tcPr>
          <w:p w14:paraId="0E20A288">
            <w:pPr>
              <w:jc w:val="center"/>
              <w:rPr>
                <w:rFonts w:ascii="宋体" w:hAnsi="宋体" w:eastAsia="宋体" w:cs="Times New Roman"/>
                <w:i w:val="0"/>
                <w:iCs/>
                <w:color w:val="auto"/>
                <w:sz w:val="24"/>
                <w:szCs w:val="24"/>
                <w:highlight w:val="none"/>
              </w:rPr>
            </w:pPr>
          </w:p>
        </w:tc>
      </w:tr>
    </w:tbl>
    <w:p w14:paraId="6C0378EA">
      <w:pPr>
        <w:spacing w:line="360" w:lineRule="auto"/>
        <w:ind w:firstLine="480"/>
        <w:jc w:val="left"/>
        <w:rPr>
          <w:rFonts w:hint="eastAsia" w:ascii="宋体" w:hAnsi="宋体"/>
          <w:bCs/>
          <w:sz w:val="24"/>
        </w:rPr>
      </w:pPr>
    </w:p>
    <w:p w14:paraId="5C429607">
      <w:pPr>
        <w:spacing w:line="360" w:lineRule="auto"/>
        <w:ind w:firstLine="480"/>
        <w:rPr>
          <w:sz w:val="24"/>
        </w:rPr>
      </w:pPr>
      <w:r>
        <w:rPr>
          <w:rFonts w:hint="eastAsia"/>
          <w:sz w:val="24"/>
        </w:rPr>
        <w:t>投标人（盖章）：</w:t>
      </w:r>
    </w:p>
    <w:p w14:paraId="01826F7A">
      <w:pPr>
        <w:spacing w:line="360" w:lineRule="auto"/>
        <w:ind w:firstLine="480"/>
        <w:rPr>
          <w:sz w:val="24"/>
        </w:rPr>
      </w:pPr>
      <w:r>
        <w:rPr>
          <w:rFonts w:hint="eastAsia"/>
          <w:sz w:val="24"/>
        </w:rPr>
        <w:t>法定代表人或委托代理人（签字或盖章）：</w:t>
      </w:r>
    </w:p>
    <w:p w14:paraId="03FB4223">
      <w:pPr>
        <w:spacing w:line="360" w:lineRule="auto"/>
        <w:ind w:firstLine="480"/>
        <w:rPr>
          <w:rFonts w:ascii="宋体" w:hAnsi="Courier New"/>
          <w:sz w:val="24"/>
        </w:rPr>
      </w:pPr>
      <w:r>
        <w:rPr>
          <w:rFonts w:hint="eastAsia" w:ascii="宋体" w:hAnsi="Courier New"/>
          <w:sz w:val="24"/>
        </w:rPr>
        <w:t>日期：    年     月     日</w:t>
      </w:r>
    </w:p>
    <w:p w14:paraId="5924EFA3">
      <w:pPr>
        <w:keepNext/>
        <w:keepLines/>
        <w:outlineLvl w:val="1"/>
        <w:rPr>
          <w:rFonts w:ascii="Arial" w:hAnsi="Arial" w:eastAsia="黑体"/>
          <w:sz w:val="32"/>
          <w:szCs w:val="21"/>
        </w:rPr>
      </w:pPr>
      <w:r>
        <w:rPr>
          <w:rFonts w:ascii="Arial" w:hAnsi="Arial" w:eastAsia="黑体"/>
          <w:b/>
          <w:bCs/>
          <w:sz w:val="32"/>
          <w:szCs w:val="32"/>
        </w:rPr>
        <w:br w:type="page"/>
      </w:r>
      <w:r>
        <w:rPr>
          <w:rFonts w:hint="eastAsia" w:ascii="Arial" w:hAnsi="Arial" w:eastAsia="黑体"/>
          <w:b/>
          <w:bCs/>
          <w:sz w:val="24"/>
          <w:szCs w:val="32"/>
        </w:rPr>
        <w:t>格式</w:t>
      </w:r>
      <w:r>
        <w:rPr>
          <w:rFonts w:ascii="Arial" w:hAnsi="Arial" w:eastAsia="黑体"/>
          <w:b/>
          <w:bCs/>
          <w:sz w:val="24"/>
          <w:szCs w:val="32"/>
        </w:rPr>
        <w:t>1</w:t>
      </w:r>
      <w:r>
        <w:rPr>
          <w:rFonts w:hint="eastAsia" w:ascii="Arial" w:hAnsi="Arial" w:eastAsia="黑体"/>
          <w:b/>
          <w:bCs/>
          <w:sz w:val="24"/>
          <w:szCs w:val="32"/>
        </w:rPr>
        <w:t>1、技术条款偏离表</w:t>
      </w:r>
    </w:p>
    <w:p w14:paraId="790A2B04">
      <w:pPr>
        <w:jc w:val="center"/>
        <w:rPr>
          <w:rFonts w:hint="eastAsia" w:ascii="黑体" w:hAnsi="黑体" w:eastAsia="黑体" w:cs="宋体"/>
          <w:bCs/>
          <w:sz w:val="36"/>
          <w:szCs w:val="28"/>
        </w:rPr>
      </w:pPr>
      <w:r>
        <w:rPr>
          <w:rFonts w:hint="eastAsia" w:ascii="黑体" w:hAnsi="黑体" w:eastAsia="黑体" w:cs="宋体"/>
          <w:bCs/>
          <w:sz w:val="36"/>
          <w:szCs w:val="28"/>
        </w:rPr>
        <w:t>技术条款偏离表</w:t>
      </w:r>
    </w:p>
    <w:p w14:paraId="7DDFC5CE">
      <w:pPr>
        <w:jc w:val="center"/>
        <w:rPr>
          <w:rFonts w:hint="eastAsia" w:ascii="宋体" w:hAnsi="宋体" w:eastAsia="宋体" w:cs="方正仿宋_GBK"/>
          <w:i w:val="0"/>
          <w:iCs/>
          <w:color w:val="auto"/>
          <w:sz w:val="24"/>
          <w:szCs w:val="24"/>
          <w:highlight w:val="none"/>
        </w:rPr>
      </w:pPr>
    </w:p>
    <w:p w14:paraId="328D00BE">
      <w:pPr>
        <w:jc w:val="both"/>
        <w:rPr>
          <w:rFonts w:hint="eastAsia" w:ascii="宋体" w:hAnsi="宋体" w:eastAsia="宋体" w:cs="方正仿宋_GBK"/>
          <w:i w:val="0"/>
          <w:iCs/>
          <w:color w:val="auto"/>
          <w:sz w:val="24"/>
          <w:szCs w:val="24"/>
          <w:highlight w:val="none"/>
        </w:rPr>
      </w:pPr>
      <w:r>
        <w:rPr>
          <w:rFonts w:hint="eastAsia" w:ascii="宋体" w:hAnsi="宋体" w:eastAsia="宋体" w:cs="方正仿宋_GBK"/>
          <w:i w:val="0"/>
          <w:iCs/>
          <w:color w:val="auto"/>
          <w:sz w:val="24"/>
          <w:szCs w:val="24"/>
          <w:highlight w:val="none"/>
        </w:rPr>
        <w:t xml:space="preserve">项目名称：      项目编号： </w:t>
      </w:r>
    </w:p>
    <w:p w14:paraId="58BCEC69">
      <w:pPr>
        <w:jc w:val="both"/>
        <w:rPr>
          <w:rFonts w:hint="eastAsia" w:ascii="黑体" w:hAnsi="黑体" w:eastAsia="黑体" w:cs="宋体"/>
          <w:bCs/>
          <w:sz w:val="36"/>
          <w:szCs w:val="28"/>
        </w:rPr>
      </w:pPr>
      <w:r>
        <w:rPr>
          <w:rFonts w:hint="eastAsia" w:ascii="宋体" w:hAnsi="宋体" w:eastAsia="宋体" w:cs="方正仿宋_GBK"/>
          <w:i w:val="0"/>
          <w:iCs/>
          <w:color w:val="auto"/>
          <w:sz w:val="24"/>
          <w:szCs w:val="24"/>
          <w:highlight w:val="none"/>
        </w:rPr>
        <w:t xml:space="preserve">   </w:t>
      </w:r>
    </w:p>
    <w:tbl>
      <w:tblPr>
        <w:tblStyle w:val="40"/>
        <w:tblW w:w="93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3483"/>
        <w:gridCol w:w="2516"/>
        <w:gridCol w:w="1311"/>
        <w:gridCol w:w="1100"/>
      </w:tblGrid>
      <w:tr w14:paraId="193C8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71" w:type="dxa"/>
            <w:noWrap w:val="0"/>
            <w:vAlign w:val="center"/>
          </w:tcPr>
          <w:p w14:paraId="4CFDAFE4">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序号</w:t>
            </w:r>
          </w:p>
        </w:tc>
        <w:tc>
          <w:tcPr>
            <w:tcW w:w="3483" w:type="dxa"/>
            <w:noWrap w:val="0"/>
            <w:vAlign w:val="center"/>
          </w:tcPr>
          <w:p w14:paraId="203F09E1">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招标文件要求</w:t>
            </w:r>
          </w:p>
        </w:tc>
        <w:tc>
          <w:tcPr>
            <w:tcW w:w="2516" w:type="dxa"/>
            <w:noWrap w:val="0"/>
            <w:vAlign w:val="center"/>
          </w:tcPr>
          <w:p w14:paraId="6258BB53">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投标响应情况</w:t>
            </w:r>
          </w:p>
        </w:tc>
        <w:tc>
          <w:tcPr>
            <w:tcW w:w="1311" w:type="dxa"/>
            <w:noWrap w:val="0"/>
            <w:vAlign w:val="center"/>
          </w:tcPr>
          <w:p w14:paraId="7D458497">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超出、符合或偏离</w:t>
            </w:r>
          </w:p>
        </w:tc>
        <w:tc>
          <w:tcPr>
            <w:tcW w:w="1100" w:type="dxa"/>
            <w:noWrap w:val="0"/>
            <w:vAlign w:val="center"/>
          </w:tcPr>
          <w:p w14:paraId="0B7BC004">
            <w:pPr>
              <w:jc w:val="center"/>
              <w:rPr>
                <w:rFonts w:hint="default" w:ascii="宋体" w:hAnsi="宋体" w:eastAsia="宋体" w:cs="Times New Roman"/>
                <w:i w:val="0"/>
                <w:iCs/>
                <w:color w:val="auto"/>
                <w:sz w:val="24"/>
                <w:szCs w:val="24"/>
                <w:highlight w:val="none"/>
                <w:lang w:val="en-US" w:eastAsia="zh-CN"/>
              </w:rPr>
            </w:pPr>
            <w:r>
              <w:rPr>
                <w:rFonts w:hint="eastAsia" w:ascii="宋体" w:hAnsi="宋体" w:eastAsia="宋体" w:cs="Times New Roman"/>
                <w:i w:val="0"/>
                <w:iCs/>
                <w:color w:val="auto"/>
                <w:sz w:val="24"/>
                <w:szCs w:val="24"/>
                <w:highlight w:val="none"/>
                <w:lang w:val="en-US" w:eastAsia="zh-CN"/>
              </w:rPr>
              <w:t>证明材料页码</w:t>
            </w:r>
          </w:p>
        </w:tc>
      </w:tr>
      <w:tr w14:paraId="0445F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71" w:type="dxa"/>
            <w:noWrap w:val="0"/>
            <w:vAlign w:val="center"/>
          </w:tcPr>
          <w:p w14:paraId="5FC431A6">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1</w:t>
            </w:r>
          </w:p>
        </w:tc>
        <w:tc>
          <w:tcPr>
            <w:tcW w:w="3483" w:type="dxa"/>
            <w:noWrap w:val="0"/>
            <w:vAlign w:val="center"/>
          </w:tcPr>
          <w:p w14:paraId="313E33A5">
            <w:pPr>
              <w:jc w:val="center"/>
              <w:rPr>
                <w:rFonts w:ascii="宋体" w:hAnsi="宋体" w:eastAsia="宋体" w:cs="Times New Roman"/>
                <w:i w:val="0"/>
                <w:iCs/>
                <w:color w:val="auto"/>
                <w:sz w:val="24"/>
                <w:szCs w:val="24"/>
                <w:highlight w:val="none"/>
              </w:rPr>
            </w:pPr>
          </w:p>
        </w:tc>
        <w:tc>
          <w:tcPr>
            <w:tcW w:w="2516" w:type="dxa"/>
            <w:noWrap w:val="0"/>
            <w:vAlign w:val="center"/>
          </w:tcPr>
          <w:p w14:paraId="77776281">
            <w:pPr>
              <w:jc w:val="center"/>
              <w:rPr>
                <w:rFonts w:ascii="宋体" w:hAnsi="宋体" w:eastAsia="宋体" w:cs="Times New Roman"/>
                <w:i w:val="0"/>
                <w:iCs/>
                <w:color w:val="auto"/>
                <w:sz w:val="24"/>
                <w:szCs w:val="24"/>
                <w:highlight w:val="none"/>
              </w:rPr>
            </w:pPr>
          </w:p>
        </w:tc>
        <w:tc>
          <w:tcPr>
            <w:tcW w:w="1311" w:type="dxa"/>
            <w:noWrap w:val="0"/>
            <w:vAlign w:val="center"/>
          </w:tcPr>
          <w:p w14:paraId="0AE23306">
            <w:pPr>
              <w:jc w:val="center"/>
              <w:rPr>
                <w:rFonts w:ascii="宋体" w:hAnsi="宋体" w:eastAsia="宋体" w:cs="Times New Roman"/>
                <w:i w:val="0"/>
                <w:iCs/>
                <w:color w:val="auto"/>
                <w:sz w:val="24"/>
                <w:szCs w:val="24"/>
                <w:highlight w:val="none"/>
              </w:rPr>
            </w:pPr>
          </w:p>
        </w:tc>
        <w:tc>
          <w:tcPr>
            <w:tcW w:w="1100" w:type="dxa"/>
            <w:noWrap w:val="0"/>
            <w:vAlign w:val="center"/>
          </w:tcPr>
          <w:p w14:paraId="06EBB35C">
            <w:pPr>
              <w:jc w:val="center"/>
              <w:rPr>
                <w:rFonts w:ascii="宋体" w:hAnsi="宋体" w:eastAsia="宋体" w:cs="Times New Roman"/>
                <w:i w:val="0"/>
                <w:iCs/>
                <w:color w:val="auto"/>
                <w:sz w:val="24"/>
                <w:szCs w:val="24"/>
                <w:highlight w:val="none"/>
              </w:rPr>
            </w:pPr>
          </w:p>
        </w:tc>
      </w:tr>
      <w:tr w14:paraId="73156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71" w:type="dxa"/>
            <w:noWrap w:val="0"/>
            <w:vAlign w:val="center"/>
          </w:tcPr>
          <w:p w14:paraId="04BB63AD">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2</w:t>
            </w:r>
          </w:p>
        </w:tc>
        <w:tc>
          <w:tcPr>
            <w:tcW w:w="3483" w:type="dxa"/>
            <w:noWrap w:val="0"/>
            <w:vAlign w:val="center"/>
          </w:tcPr>
          <w:p w14:paraId="315D1649">
            <w:pPr>
              <w:jc w:val="center"/>
              <w:rPr>
                <w:rFonts w:ascii="宋体" w:hAnsi="宋体" w:eastAsia="宋体" w:cs="Times New Roman"/>
                <w:i w:val="0"/>
                <w:iCs/>
                <w:color w:val="auto"/>
                <w:sz w:val="24"/>
                <w:szCs w:val="24"/>
                <w:highlight w:val="none"/>
              </w:rPr>
            </w:pPr>
          </w:p>
        </w:tc>
        <w:tc>
          <w:tcPr>
            <w:tcW w:w="2516" w:type="dxa"/>
            <w:noWrap w:val="0"/>
            <w:vAlign w:val="center"/>
          </w:tcPr>
          <w:p w14:paraId="425F1D19">
            <w:pPr>
              <w:jc w:val="center"/>
              <w:rPr>
                <w:rFonts w:ascii="宋体" w:hAnsi="宋体" w:eastAsia="宋体" w:cs="Times New Roman"/>
                <w:i w:val="0"/>
                <w:iCs/>
                <w:color w:val="auto"/>
                <w:sz w:val="24"/>
                <w:szCs w:val="24"/>
                <w:highlight w:val="none"/>
              </w:rPr>
            </w:pPr>
          </w:p>
        </w:tc>
        <w:tc>
          <w:tcPr>
            <w:tcW w:w="1311" w:type="dxa"/>
            <w:noWrap w:val="0"/>
            <w:vAlign w:val="center"/>
          </w:tcPr>
          <w:p w14:paraId="18A76F35">
            <w:pPr>
              <w:jc w:val="center"/>
              <w:rPr>
                <w:rFonts w:ascii="宋体" w:hAnsi="宋体" w:eastAsia="宋体" w:cs="Times New Roman"/>
                <w:i w:val="0"/>
                <w:iCs/>
                <w:color w:val="auto"/>
                <w:sz w:val="24"/>
                <w:szCs w:val="24"/>
                <w:highlight w:val="none"/>
              </w:rPr>
            </w:pPr>
          </w:p>
        </w:tc>
        <w:tc>
          <w:tcPr>
            <w:tcW w:w="1100" w:type="dxa"/>
            <w:noWrap w:val="0"/>
            <w:vAlign w:val="center"/>
          </w:tcPr>
          <w:p w14:paraId="5F2C5A69">
            <w:pPr>
              <w:jc w:val="center"/>
              <w:rPr>
                <w:rFonts w:ascii="宋体" w:hAnsi="宋体" w:eastAsia="宋体" w:cs="Times New Roman"/>
                <w:i w:val="0"/>
                <w:iCs/>
                <w:color w:val="auto"/>
                <w:sz w:val="24"/>
                <w:szCs w:val="24"/>
                <w:highlight w:val="none"/>
              </w:rPr>
            </w:pPr>
          </w:p>
        </w:tc>
      </w:tr>
      <w:tr w14:paraId="77081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71" w:type="dxa"/>
            <w:noWrap w:val="0"/>
            <w:vAlign w:val="center"/>
          </w:tcPr>
          <w:p w14:paraId="7BEB7898">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3</w:t>
            </w:r>
          </w:p>
        </w:tc>
        <w:tc>
          <w:tcPr>
            <w:tcW w:w="3483" w:type="dxa"/>
            <w:noWrap w:val="0"/>
            <w:vAlign w:val="center"/>
          </w:tcPr>
          <w:p w14:paraId="67E4D254">
            <w:pPr>
              <w:jc w:val="center"/>
              <w:rPr>
                <w:rFonts w:ascii="宋体" w:hAnsi="宋体" w:eastAsia="宋体" w:cs="Times New Roman"/>
                <w:i w:val="0"/>
                <w:iCs/>
                <w:color w:val="auto"/>
                <w:sz w:val="24"/>
                <w:szCs w:val="24"/>
                <w:highlight w:val="none"/>
              </w:rPr>
            </w:pPr>
          </w:p>
        </w:tc>
        <w:tc>
          <w:tcPr>
            <w:tcW w:w="2516" w:type="dxa"/>
            <w:noWrap w:val="0"/>
            <w:vAlign w:val="center"/>
          </w:tcPr>
          <w:p w14:paraId="498AEFC5">
            <w:pPr>
              <w:jc w:val="center"/>
              <w:rPr>
                <w:rFonts w:ascii="宋体" w:hAnsi="宋体" w:eastAsia="宋体" w:cs="Times New Roman"/>
                <w:i w:val="0"/>
                <w:iCs/>
                <w:color w:val="auto"/>
                <w:sz w:val="24"/>
                <w:szCs w:val="24"/>
                <w:highlight w:val="none"/>
              </w:rPr>
            </w:pPr>
          </w:p>
        </w:tc>
        <w:tc>
          <w:tcPr>
            <w:tcW w:w="1311" w:type="dxa"/>
            <w:noWrap w:val="0"/>
            <w:vAlign w:val="center"/>
          </w:tcPr>
          <w:p w14:paraId="4634B35C">
            <w:pPr>
              <w:jc w:val="center"/>
              <w:rPr>
                <w:rFonts w:ascii="宋体" w:hAnsi="宋体" w:eastAsia="宋体" w:cs="Times New Roman"/>
                <w:i w:val="0"/>
                <w:iCs/>
                <w:color w:val="auto"/>
                <w:sz w:val="24"/>
                <w:szCs w:val="24"/>
                <w:highlight w:val="none"/>
              </w:rPr>
            </w:pPr>
          </w:p>
        </w:tc>
        <w:tc>
          <w:tcPr>
            <w:tcW w:w="1100" w:type="dxa"/>
            <w:noWrap w:val="0"/>
            <w:vAlign w:val="center"/>
          </w:tcPr>
          <w:p w14:paraId="54C5CB60">
            <w:pPr>
              <w:jc w:val="center"/>
              <w:rPr>
                <w:rFonts w:ascii="宋体" w:hAnsi="宋体" w:eastAsia="宋体" w:cs="Times New Roman"/>
                <w:i w:val="0"/>
                <w:iCs/>
                <w:color w:val="auto"/>
                <w:sz w:val="24"/>
                <w:szCs w:val="24"/>
                <w:highlight w:val="none"/>
              </w:rPr>
            </w:pPr>
          </w:p>
        </w:tc>
      </w:tr>
      <w:tr w14:paraId="2F15D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71" w:type="dxa"/>
            <w:noWrap w:val="0"/>
            <w:vAlign w:val="center"/>
          </w:tcPr>
          <w:p w14:paraId="710EC67C">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w:t>
            </w:r>
          </w:p>
        </w:tc>
        <w:tc>
          <w:tcPr>
            <w:tcW w:w="3483" w:type="dxa"/>
            <w:noWrap w:val="0"/>
            <w:vAlign w:val="center"/>
          </w:tcPr>
          <w:p w14:paraId="5EC9F370">
            <w:pPr>
              <w:jc w:val="center"/>
              <w:rPr>
                <w:rFonts w:ascii="宋体" w:hAnsi="宋体" w:eastAsia="宋体" w:cs="Times New Roman"/>
                <w:i w:val="0"/>
                <w:iCs/>
                <w:color w:val="auto"/>
                <w:sz w:val="24"/>
                <w:szCs w:val="24"/>
                <w:highlight w:val="none"/>
              </w:rPr>
            </w:pPr>
          </w:p>
        </w:tc>
        <w:tc>
          <w:tcPr>
            <w:tcW w:w="2516" w:type="dxa"/>
            <w:noWrap w:val="0"/>
            <w:vAlign w:val="center"/>
          </w:tcPr>
          <w:p w14:paraId="3B15AFBF">
            <w:pPr>
              <w:jc w:val="center"/>
              <w:rPr>
                <w:rFonts w:ascii="宋体" w:hAnsi="宋体" w:eastAsia="宋体" w:cs="Times New Roman"/>
                <w:i w:val="0"/>
                <w:iCs/>
                <w:color w:val="auto"/>
                <w:sz w:val="24"/>
                <w:szCs w:val="24"/>
                <w:highlight w:val="none"/>
              </w:rPr>
            </w:pPr>
          </w:p>
        </w:tc>
        <w:tc>
          <w:tcPr>
            <w:tcW w:w="1311" w:type="dxa"/>
            <w:noWrap w:val="0"/>
            <w:vAlign w:val="center"/>
          </w:tcPr>
          <w:p w14:paraId="3590BE55">
            <w:pPr>
              <w:jc w:val="center"/>
              <w:rPr>
                <w:rFonts w:ascii="宋体" w:hAnsi="宋体" w:eastAsia="宋体" w:cs="Times New Roman"/>
                <w:i w:val="0"/>
                <w:iCs/>
                <w:color w:val="auto"/>
                <w:sz w:val="24"/>
                <w:szCs w:val="24"/>
                <w:highlight w:val="none"/>
              </w:rPr>
            </w:pPr>
          </w:p>
        </w:tc>
        <w:tc>
          <w:tcPr>
            <w:tcW w:w="1100" w:type="dxa"/>
            <w:noWrap w:val="0"/>
            <w:vAlign w:val="center"/>
          </w:tcPr>
          <w:p w14:paraId="378D3B8F">
            <w:pPr>
              <w:jc w:val="center"/>
              <w:rPr>
                <w:rFonts w:ascii="宋体" w:hAnsi="宋体" w:eastAsia="宋体" w:cs="Times New Roman"/>
                <w:i w:val="0"/>
                <w:iCs/>
                <w:color w:val="auto"/>
                <w:sz w:val="24"/>
                <w:szCs w:val="24"/>
                <w:highlight w:val="none"/>
              </w:rPr>
            </w:pPr>
          </w:p>
        </w:tc>
      </w:tr>
    </w:tbl>
    <w:p w14:paraId="11C9CDFA">
      <w:pPr>
        <w:spacing w:line="500" w:lineRule="exact"/>
        <w:ind w:firstLine="480"/>
        <w:rPr>
          <w:rFonts w:ascii="宋体" w:hAnsi="宋体" w:eastAsia="宋体" w:cs="Times New Roman"/>
          <w:i w:val="0"/>
          <w:iCs/>
          <w:color w:val="auto"/>
          <w:sz w:val="24"/>
          <w:szCs w:val="24"/>
          <w:highlight w:val="none"/>
        </w:rPr>
      </w:pPr>
      <w:r>
        <w:rPr>
          <w:rFonts w:hint="eastAsia" w:ascii="宋体" w:hAnsi="宋体" w:eastAsia="宋体" w:cs="宋体"/>
          <w:color w:val="auto"/>
          <w:sz w:val="24"/>
          <w:szCs w:val="24"/>
          <w:highlight w:val="none"/>
          <w:lang w:val="en-US" w:eastAsia="zh-CN"/>
        </w:rPr>
        <w:t>注：招标文件中所有参数响应需同步提供相应的佐证材料，如厂家白皮书或检测报告或实物成果照片等，同时明确页码，否则因无法认定带来的后果由供应商自行承担。</w:t>
      </w:r>
    </w:p>
    <w:p w14:paraId="629B4E37">
      <w:pPr>
        <w:jc w:val="center"/>
        <w:rPr>
          <w:rFonts w:hint="eastAsia" w:ascii="黑体" w:hAnsi="黑体" w:eastAsia="黑体" w:cs="宋体"/>
          <w:bCs/>
          <w:sz w:val="36"/>
          <w:szCs w:val="28"/>
        </w:rPr>
      </w:pPr>
    </w:p>
    <w:p w14:paraId="37091C62">
      <w:pPr>
        <w:spacing w:line="400" w:lineRule="exact"/>
        <w:rPr>
          <w:rFonts w:hint="eastAsia" w:ascii="宋体" w:hAnsi="宋体"/>
          <w:szCs w:val="20"/>
        </w:rPr>
      </w:pPr>
    </w:p>
    <w:p w14:paraId="7392AA0C">
      <w:pPr>
        <w:spacing w:line="360" w:lineRule="auto"/>
        <w:ind w:firstLine="480"/>
        <w:jc w:val="left"/>
        <w:rPr>
          <w:rFonts w:hint="eastAsia" w:ascii="宋体" w:hAnsi="宋体"/>
          <w:bCs/>
          <w:sz w:val="24"/>
        </w:rPr>
      </w:pPr>
    </w:p>
    <w:p w14:paraId="5C929561">
      <w:pPr>
        <w:spacing w:line="360" w:lineRule="auto"/>
        <w:ind w:firstLine="480"/>
        <w:rPr>
          <w:sz w:val="24"/>
        </w:rPr>
      </w:pPr>
      <w:r>
        <w:rPr>
          <w:rFonts w:hint="eastAsia"/>
          <w:sz w:val="24"/>
        </w:rPr>
        <w:t>投标人（盖章）：</w:t>
      </w:r>
    </w:p>
    <w:p w14:paraId="7E79905D">
      <w:pPr>
        <w:spacing w:line="360" w:lineRule="auto"/>
        <w:ind w:firstLine="480"/>
        <w:rPr>
          <w:sz w:val="24"/>
        </w:rPr>
      </w:pPr>
      <w:r>
        <w:rPr>
          <w:rFonts w:hint="eastAsia"/>
          <w:sz w:val="24"/>
        </w:rPr>
        <w:t>法定代表人或委托代理人（签字或盖章）：</w:t>
      </w:r>
    </w:p>
    <w:p w14:paraId="18A42FBB">
      <w:pPr>
        <w:spacing w:line="360" w:lineRule="auto"/>
        <w:ind w:firstLine="480"/>
        <w:rPr>
          <w:rFonts w:ascii="宋体" w:hAnsi="Courier New"/>
          <w:sz w:val="24"/>
        </w:rPr>
      </w:pPr>
      <w:r>
        <w:rPr>
          <w:rFonts w:hint="eastAsia" w:ascii="宋体" w:hAnsi="Courier New"/>
          <w:sz w:val="24"/>
        </w:rPr>
        <w:t>日期：    年     月     日</w:t>
      </w:r>
    </w:p>
    <w:p w14:paraId="6DC7DACB">
      <w:pPr>
        <w:rPr>
          <w:rFonts w:ascii="Arial" w:hAnsi="Arial" w:eastAsia="黑体"/>
          <w:b/>
          <w:bCs/>
          <w:sz w:val="24"/>
          <w:szCs w:val="32"/>
        </w:rPr>
      </w:pPr>
      <w:r>
        <w:rPr>
          <w:rFonts w:hint="eastAsia" w:ascii="Arial" w:hAnsi="Arial" w:eastAsia="黑体"/>
          <w:b/>
          <w:bCs/>
          <w:sz w:val="24"/>
          <w:szCs w:val="32"/>
        </w:rPr>
        <w:br w:type="page"/>
      </w:r>
    </w:p>
    <w:p w14:paraId="272190FD">
      <w:pPr>
        <w:keepNext/>
        <w:keepLines/>
        <w:outlineLvl w:val="1"/>
        <w:rPr>
          <w:rFonts w:hint="eastAsia" w:ascii="Arial" w:hAnsi="宋体" w:eastAsia="黑体"/>
          <w:b/>
          <w:bCs/>
          <w:sz w:val="32"/>
          <w:szCs w:val="21"/>
        </w:rPr>
      </w:pPr>
      <w:r>
        <w:rPr>
          <w:rFonts w:hint="eastAsia" w:ascii="Arial" w:hAnsi="Arial" w:eastAsia="黑体"/>
          <w:b/>
          <w:bCs/>
          <w:sz w:val="24"/>
          <w:szCs w:val="32"/>
        </w:rPr>
        <w:t>格式</w:t>
      </w:r>
      <w:r>
        <w:rPr>
          <w:rFonts w:ascii="Arial" w:hAnsi="Arial" w:eastAsia="黑体"/>
          <w:b/>
          <w:bCs/>
          <w:sz w:val="24"/>
          <w:szCs w:val="32"/>
        </w:rPr>
        <w:t>1</w:t>
      </w:r>
      <w:r>
        <w:rPr>
          <w:rFonts w:hint="eastAsia" w:ascii="Arial" w:hAnsi="Arial" w:eastAsia="黑体"/>
          <w:b/>
          <w:bCs/>
          <w:sz w:val="24"/>
          <w:szCs w:val="32"/>
        </w:rPr>
        <w:t>2、售后服务承诺书</w:t>
      </w:r>
    </w:p>
    <w:p w14:paraId="4DC3FB79">
      <w:pPr>
        <w:jc w:val="center"/>
        <w:rPr>
          <w:rFonts w:hint="eastAsia" w:ascii="黑体" w:hAnsi="黑体" w:eastAsia="黑体" w:cs="宋体"/>
          <w:bCs/>
          <w:sz w:val="36"/>
          <w:szCs w:val="28"/>
        </w:rPr>
      </w:pPr>
      <w:r>
        <w:rPr>
          <w:rFonts w:hint="eastAsia" w:ascii="黑体" w:hAnsi="黑体" w:eastAsia="黑体" w:cs="宋体"/>
          <w:bCs/>
          <w:sz w:val="36"/>
          <w:szCs w:val="28"/>
        </w:rPr>
        <w:t>售后服务承诺书</w:t>
      </w:r>
    </w:p>
    <w:p w14:paraId="72932852">
      <w:pPr>
        <w:spacing w:line="360" w:lineRule="auto"/>
        <w:ind w:firstLine="480"/>
        <w:jc w:val="center"/>
        <w:rPr>
          <w:rFonts w:hint="eastAsia" w:ascii="宋体" w:hAnsi="宋体"/>
          <w:sz w:val="24"/>
        </w:rPr>
      </w:pPr>
      <w:r>
        <w:rPr>
          <w:rFonts w:hint="eastAsia" w:ascii="宋体" w:hAnsi="宋体"/>
          <w:sz w:val="24"/>
          <w:szCs w:val="20"/>
        </w:rPr>
        <w:t>（供应商按“项目需求”等内容要求自行填写，格式自定)</w:t>
      </w:r>
    </w:p>
    <w:p w14:paraId="127ECA0D">
      <w:pPr>
        <w:spacing w:line="360" w:lineRule="auto"/>
        <w:ind w:firstLine="480"/>
        <w:rPr>
          <w:rFonts w:hint="eastAsia" w:ascii="宋体" w:hAnsi="宋体"/>
          <w:sz w:val="24"/>
        </w:rPr>
      </w:pPr>
    </w:p>
    <w:p w14:paraId="251A1CBB">
      <w:pPr>
        <w:spacing w:line="360" w:lineRule="auto"/>
        <w:ind w:firstLine="480"/>
        <w:rPr>
          <w:rFonts w:hint="eastAsia" w:ascii="宋体" w:hAnsi="宋体"/>
          <w:sz w:val="24"/>
        </w:rPr>
      </w:pPr>
    </w:p>
    <w:p w14:paraId="75CCFAC3">
      <w:pPr>
        <w:spacing w:line="360" w:lineRule="auto"/>
        <w:ind w:firstLine="480"/>
        <w:rPr>
          <w:rFonts w:hint="eastAsia" w:ascii="宋体" w:hAnsi="宋体"/>
          <w:sz w:val="24"/>
        </w:rPr>
      </w:pPr>
    </w:p>
    <w:p w14:paraId="53BCF9F5">
      <w:pPr>
        <w:spacing w:line="360" w:lineRule="auto"/>
        <w:ind w:firstLine="480"/>
        <w:rPr>
          <w:rFonts w:hint="eastAsia" w:ascii="宋体" w:hAnsi="宋体"/>
          <w:sz w:val="24"/>
        </w:rPr>
      </w:pPr>
    </w:p>
    <w:p w14:paraId="13CE143B">
      <w:pPr>
        <w:spacing w:line="360" w:lineRule="auto"/>
        <w:ind w:firstLine="480"/>
        <w:rPr>
          <w:rFonts w:hint="eastAsia" w:ascii="宋体" w:hAnsi="宋体"/>
          <w:sz w:val="24"/>
        </w:rPr>
      </w:pPr>
    </w:p>
    <w:p w14:paraId="63EAE84F">
      <w:pPr>
        <w:spacing w:line="360" w:lineRule="auto"/>
        <w:ind w:firstLine="480"/>
        <w:rPr>
          <w:rFonts w:hint="eastAsia" w:ascii="宋体" w:hAnsi="宋体"/>
          <w:sz w:val="24"/>
        </w:rPr>
      </w:pPr>
    </w:p>
    <w:p w14:paraId="45DF067A">
      <w:pPr>
        <w:spacing w:line="360" w:lineRule="auto"/>
        <w:ind w:firstLine="480"/>
        <w:rPr>
          <w:rFonts w:hint="eastAsia" w:ascii="宋体" w:hAnsi="宋体"/>
          <w:sz w:val="24"/>
        </w:rPr>
      </w:pPr>
    </w:p>
    <w:p w14:paraId="18083FC1">
      <w:pPr>
        <w:spacing w:line="360" w:lineRule="auto"/>
        <w:ind w:firstLine="480"/>
        <w:rPr>
          <w:rFonts w:hint="eastAsia" w:ascii="宋体" w:hAnsi="宋体"/>
          <w:sz w:val="24"/>
        </w:rPr>
      </w:pPr>
    </w:p>
    <w:p w14:paraId="0F8282E4">
      <w:pPr>
        <w:spacing w:line="360" w:lineRule="auto"/>
        <w:ind w:firstLine="480"/>
        <w:rPr>
          <w:rFonts w:hint="eastAsia" w:ascii="宋体" w:hAnsi="宋体"/>
          <w:sz w:val="24"/>
        </w:rPr>
      </w:pPr>
    </w:p>
    <w:p w14:paraId="1CE42C03">
      <w:pPr>
        <w:spacing w:line="360" w:lineRule="auto"/>
        <w:ind w:firstLine="480"/>
        <w:rPr>
          <w:rFonts w:hint="eastAsia" w:ascii="宋体" w:hAnsi="宋体"/>
          <w:sz w:val="24"/>
        </w:rPr>
      </w:pPr>
    </w:p>
    <w:p w14:paraId="787937FE">
      <w:pPr>
        <w:spacing w:line="360" w:lineRule="auto"/>
        <w:ind w:firstLine="480"/>
        <w:rPr>
          <w:rFonts w:hint="eastAsia" w:ascii="宋体" w:hAnsi="宋体"/>
          <w:sz w:val="24"/>
        </w:rPr>
      </w:pPr>
    </w:p>
    <w:p w14:paraId="5D66015C">
      <w:pPr>
        <w:spacing w:line="360" w:lineRule="auto"/>
        <w:ind w:firstLine="480"/>
        <w:rPr>
          <w:rFonts w:hint="eastAsia" w:ascii="宋体" w:hAnsi="宋体"/>
          <w:sz w:val="24"/>
        </w:rPr>
      </w:pPr>
    </w:p>
    <w:p w14:paraId="2D4F0A74">
      <w:pPr>
        <w:spacing w:line="360" w:lineRule="auto"/>
        <w:ind w:firstLine="480"/>
        <w:rPr>
          <w:rFonts w:hint="eastAsia" w:ascii="宋体" w:hAnsi="宋体"/>
          <w:sz w:val="24"/>
        </w:rPr>
      </w:pPr>
    </w:p>
    <w:p w14:paraId="4C50CA6C">
      <w:pPr>
        <w:spacing w:line="360" w:lineRule="auto"/>
        <w:ind w:firstLine="480"/>
        <w:rPr>
          <w:rFonts w:hint="eastAsia" w:ascii="宋体" w:hAnsi="宋体"/>
          <w:sz w:val="24"/>
        </w:rPr>
      </w:pPr>
    </w:p>
    <w:p w14:paraId="5272799C">
      <w:pPr>
        <w:spacing w:line="360" w:lineRule="auto"/>
        <w:ind w:firstLine="480"/>
        <w:rPr>
          <w:rFonts w:hint="eastAsia" w:ascii="宋体" w:hAnsi="宋体"/>
          <w:sz w:val="24"/>
        </w:rPr>
      </w:pPr>
    </w:p>
    <w:p w14:paraId="0CB0307D">
      <w:pPr>
        <w:spacing w:line="360" w:lineRule="auto"/>
        <w:ind w:firstLine="480"/>
        <w:rPr>
          <w:rFonts w:hint="eastAsia" w:ascii="宋体" w:hAnsi="宋体"/>
          <w:sz w:val="24"/>
        </w:rPr>
      </w:pPr>
    </w:p>
    <w:p w14:paraId="5E40E494">
      <w:pPr>
        <w:spacing w:line="360" w:lineRule="auto"/>
        <w:ind w:firstLine="480"/>
        <w:rPr>
          <w:rFonts w:hint="eastAsia" w:ascii="宋体" w:hAnsi="宋体"/>
          <w:sz w:val="24"/>
        </w:rPr>
      </w:pPr>
    </w:p>
    <w:p w14:paraId="7A8DF24E">
      <w:pPr>
        <w:spacing w:line="360" w:lineRule="auto"/>
        <w:ind w:firstLine="480"/>
        <w:rPr>
          <w:rFonts w:hint="eastAsia" w:ascii="宋体" w:hAnsi="宋体"/>
          <w:sz w:val="24"/>
        </w:rPr>
      </w:pPr>
    </w:p>
    <w:p w14:paraId="329593CC">
      <w:pPr>
        <w:spacing w:line="360" w:lineRule="auto"/>
        <w:ind w:firstLine="480"/>
        <w:rPr>
          <w:rFonts w:hint="eastAsia" w:ascii="宋体" w:hAnsi="宋体"/>
          <w:sz w:val="24"/>
        </w:rPr>
      </w:pPr>
    </w:p>
    <w:p w14:paraId="2F53BD85">
      <w:pPr>
        <w:spacing w:line="360" w:lineRule="auto"/>
        <w:ind w:firstLine="480"/>
        <w:rPr>
          <w:rFonts w:hint="eastAsia" w:ascii="宋体" w:hAnsi="宋体"/>
          <w:sz w:val="24"/>
        </w:rPr>
      </w:pPr>
    </w:p>
    <w:p w14:paraId="3A9A6AF0">
      <w:pPr>
        <w:spacing w:line="360" w:lineRule="auto"/>
        <w:ind w:firstLine="480"/>
        <w:rPr>
          <w:rFonts w:hint="eastAsia" w:ascii="宋体" w:hAnsi="宋体"/>
          <w:sz w:val="24"/>
        </w:rPr>
      </w:pPr>
    </w:p>
    <w:p w14:paraId="510547F0">
      <w:pPr>
        <w:spacing w:line="360" w:lineRule="auto"/>
        <w:ind w:firstLine="480"/>
        <w:rPr>
          <w:sz w:val="24"/>
        </w:rPr>
      </w:pPr>
      <w:r>
        <w:rPr>
          <w:rFonts w:hint="eastAsia"/>
          <w:sz w:val="24"/>
        </w:rPr>
        <w:t>投标人（盖章）：</w:t>
      </w:r>
    </w:p>
    <w:p w14:paraId="52A5985B">
      <w:pPr>
        <w:spacing w:line="360" w:lineRule="auto"/>
        <w:ind w:firstLine="480"/>
        <w:rPr>
          <w:sz w:val="24"/>
        </w:rPr>
      </w:pPr>
      <w:r>
        <w:rPr>
          <w:rFonts w:hint="eastAsia"/>
          <w:sz w:val="24"/>
        </w:rPr>
        <w:t>法定代表人或委托代理人（签字或盖章）：</w:t>
      </w:r>
    </w:p>
    <w:p w14:paraId="35D2B08D">
      <w:pPr>
        <w:spacing w:line="360" w:lineRule="auto"/>
        <w:ind w:firstLine="480"/>
        <w:rPr>
          <w:rFonts w:ascii="宋体" w:hAnsi="Courier New"/>
          <w:sz w:val="24"/>
        </w:rPr>
      </w:pPr>
      <w:r>
        <w:rPr>
          <w:rFonts w:hint="eastAsia" w:ascii="宋体" w:hAnsi="Courier New"/>
          <w:sz w:val="24"/>
        </w:rPr>
        <w:t>日期：    年     月     日</w:t>
      </w:r>
    </w:p>
    <w:p w14:paraId="6ECBF4BA">
      <w:pPr>
        <w:keepNext/>
        <w:keepLines/>
        <w:outlineLvl w:val="1"/>
        <w:rPr>
          <w:rFonts w:hint="eastAsia" w:ascii="Arial" w:hAnsi="宋体" w:eastAsia="黑体"/>
          <w:b/>
          <w:bCs/>
          <w:sz w:val="32"/>
          <w:szCs w:val="21"/>
        </w:rPr>
      </w:pPr>
      <w:r>
        <w:rPr>
          <w:rFonts w:ascii="Arial" w:hAnsi="Arial" w:eastAsia="黑体"/>
          <w:b/>
          <w:bCs/>
          <w:sz w:val="32"/>
          <w:szCs w:val="32"/>
        </w:rPr>
        <w:br w:type="page"/>
      </w:r>
      <w:r>
        <w:rPr>
          <w:rFonts w:hint="eastAsia" w:ascii="Arial" w:hAnsi="Arial" w:eastAsia="黑体"/>
          <w:b/>
          <w:bCs/>
          <w:sz w:val="24"/>
          <w:szCs w:val="32"/>
        </w:rPr>
        <w:t>格式</w:t>
      </w:r>
      <w:r>
        <w:rPr>
          <w:rFonts w:ascii="Arial" w:hAnsi="Arial" w:eastAsia="黑体"/>
          <w:b/>
          <w:bCs/>
          <w:sz w:val="24"/>
          <w:szCs w:val="32"/>
        </w:rPr>
        <w:t>1</w:t>
      </w:r>
      <w:r>
        <w:rPr>
          <w:rFonts w:hint="eastAsia" w:ascii="Arial" w:hAnsi="Arial" w:eastAsia="黑体"/>
          <w:b/>
          <w:bCs/>
          <w:sz w:val="24"/>
          <w:szCs w:val="32"/>
        </w:rPr>
        <w:t>3、项目团队人员一览表</w:t>
      </w:r>
    </w:p>
    <w:p w14:paraId="217865CE">
      <w:pPr>
        <w:spacing w:line="520" w:lineRule="exact"/>
        <w:ind w:firstLine="3233"/>
        <w:rPr>
          <w:rFonts w:hint="eastAsia" w:ascii="宋体" w:hAnsi="宋体"/>
          <w:b/>
          <w:bCs/>
          <w:sz w:val="28"/>
        </w:rPr>
      </w:pPr>
    </w:p>
    <w:p w14:paraId="22E64869">
      <w:pPr>
        <w:jc w:val="center"/>
        <w:rPr>
          <w:rFonts w:hint="eastAsia" w:ascii="黑体" w:hAnsi="黑体" w:eastAsia="黑体" w:cs="宋体"/>
          <w:bCs/>
          <w:sz w:val="36"/>
          <w:szCs w:val="28"/>
        </w:rPr>
      </w:pPr>
      <w:r>
        <w:rPr>
          <w:rFonts w:hint="eastAsia" w:ascii="黑体" w:hAnsi="黑体" w:eastAsia="黑体" w:cs="宋体"/>
          <w:bCs/>
          <w:sz w:val="36"/>
          <w:szCs w:val="28"/>
        </w:rPr>
        <w:t>项目团队人员一览表</w:t>
      </w:r>
    </w:p>
    <w:tbl>
      <w:tblPr>
        <w:tblStyle w:val="40"/>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9"/>
        <w:gridCol w:w="1904"/>
        <w:gridCol w:w="1127"/>
        <w:gridCol w:w="896"/>
        <w:gridCol w:w="896"/>
        <w:gridCol w:w="2813"/>
      </w:tblGrid>
      <w:tr w14:paraId="7EF89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77749CF0">
            <w:pPr>
              <w:spacing w:line="520" w:lineRule="exact"/>
              <w:jc w:val="center"/>
              <w:rPr>
                <w:rFonts w:hint="eastAsia" w:ascii="宋体" w:hAnsi="宋体"/>
              </w:rPr>
            </w:pPr>
            <w:r>
              <w:rPr>
                <w:rFonts w:hint="eastAsia" w:ascii="宋体" w:hAnsi="宋体"/>
              </w:rPr>
              <w:t>姓  名</w:t>
            </w:r>
          </w:p>
        </w:tc>
        <w:tc>
          <w:tcPr>
            <w:tcW w:w="1905" w:type="dxa"/>
            <w:tcBorders>
              <w:top w:val="single" w:color="auto" w:sz="4" w:space="0"/>
              <w:left w:val="single" w:color="auto" w:sz="4" w:space="0"/>
              <w:bottom w:val="single" w:color="auto" w:sz="4" w:space="0"/>
              <w:right w:val="single" w:color="auto" w:sz="4" w:space="0"/>
            </w:tcBorders>
            <w:vAlign w:val="center"/>
          </w:tcPr>
          <w:p w14:paraId="4FB59740">
            <w:pPr>
              <w:spacing w:line="520" w:lineRule="exact"/>
              <w:jc w:val="center"/>
              <w:rPr>
                <w:rFonts w:hint="eastAsia" w:ascii="宋体" w:hAnsi="宋体"/>
              </w:rPr>
            </w:pPr>
            <w:r>
              <w:rPr>
                <w:rFonts w:hint="eastAsia" w:ascii="宋体" w:hAnsi="宋体"/>
              </w:rPr>
              <w:t>本项目拟任</w:t>
            </w:r>
          </w:p>
          <w:p w14:paraId="04785A08">
            <w:pPr>
              <w:spacing w:line="520" w:lineRule="exact"/>
              <w:jc w:val="center"/>
              <w:rPr>
                <w:rFonts w:hint="eastAsia" w:ascii="宋体" w:hAnsi="宋体"/>
              </w:rPr>
            </w:pPr>
            <w:r>
              <w:rPr>
                <w:rFonts w:hint="eastAsia" w:ascii="宋体" w:hAnsi="宋体"/>
              </w:rPr>
              <w:t>职  务</w:t>
            </w:r>
          </w:p>
        </w:tc>
        <w:tc>
          <w:tcPr>
            <w:tcW w:w="1127" w:type="dxa"/>
            <w:tcBorders>
              <w:top w:val="single" w:color="auto" w:sz="4" w:space="0"/>
              <w:left w:val="single" w:color="auto" w:sz="4" w:space="0"/>
              <w:bottom w:val="single" w:color="auto" w:sz="4" w:space="0"/>
              <w:right w:val="single" w:color="auto" w:sz="4" w:space="0"/>
            </w:tcBorders>
            <w:vAlign w:val="center"/>
          </w:tcPr>
          <w:p w14:paraId="182287FA">
            <w:pPr>
              <w:spacing w:line="520" w:lineRule="exact"/>
              <w:jc w:val="center"/>
              <w:rPr>
                <w:rFonts w:hint="eastAsia" w:ascii="宋体" w:hAnsi="宋体"/>
              </w:rPr>
            </w:pPr>
            <w:r>
              <w:rPr>
                <w:rFonts w:hint="eastAsia" w:ascii="宋体" w:hAnsi="宋体"/>
              </w:rPr>
              <w:t>技术</w:t>
            </w:r>
          </w:p>
          <w:p w14:paraId="7FC73598">
            <w:pPr>
              <w:spacing w:line="520" w:lineRule="exact"/>
              <w:jc w:val="center"/>
              <w:rPr>
                <w:rFonts w:hint="eastAsia" w:ascii="宋体" w:hAnsi="宋体"/>
              </w:rPr>
            </w:pPr>
            <w:r>
              <w:rPr>
                <w:rFonts w:hint="eastAsia" w:ascii="宋体" w:hAnsi="宋体"/>
              </w:rPr>
              <w:t>职称</w:t>
            </w:r>
          </w:p>
        </w:tc>
        <w:tc>
          <w:tcPr>
            <w:tcW w:w="896" w:type="dxa"/>
            <w:tcBorders>
              <w:top w:val="single" w:color="auto" w:sz="4" w:space="0"/>
              <w:left w:val="single" w:color="auto" w:sz="4" w:space="0"/>
              <w:bottom w:val="single" w:color="auto" w:sz="4" w:space="0"/>
              <w:right w:val="single" w:color="auto" w:sz="4" w:space="0"/>
            </w:tcBorders>
            <w:vAlign w:val="center"/>
          </w:tcPr>
          <w:p w14:paraId="185FF5C4">
            <w:pPr>
              <w:spacing w:line="520" w:lineRule="exact"/>
              <w:jc w:val="center"/>
              <w:rPr>
                <w:rFonts w:hint="eastAsia" w:ascii="宋体" w:hAnsi="宋体"/>
              </w:rPr>
            </w:pPr>
            <w:r>
              <w:rPr>
                <w:rFonts w:hint="eastAsia" w:ascii="宋体" w:hAnsi="宋体"/>
              </w:rPr>
              <w:t>年龄</w:t>
            </w:r>
          </w:p>
        </w:tc>
        <w:tc>
          <w:tcPr>
            <w:tcW w:w="896" w:type="dxa"/>
            <w:tcBorders>
              <w:top w:val="single" w:color="auto" w:sz="4" w:space="0"/>
              <w:left w:val="single" w:color="auto" w:sz="4" w:space="0"/>
              <w:bottom w:val="single" w:color="auto" w:sz="4" w:space="0"/>
              <w:right w:val="single" w:color="auto" w:sz="4" w:space="0"/>
            </w:tcBorders>
            <w:vAlign w:val="center"/>
          </w:tcPr>
          <w:p w14:paraId="34642942">
            <w:pPr>
              <w:spacing w:line="520" w:lineRule="exact"/>
              <w:jc w:val="center"/>
              <w:rPr>
                <w:rFonts w:hint="eastAsia" w:ascii="宋体" w:hAnsi="宋体"/>
              </w:rPr>
            </w:pPr>
            <w:r>
              <w:rPr>
                <w:rFonts w:hint="eastAsia" w:ascii="宋体" w:hAnsi="宋体"/>
              </w:rPr>
              <w:t>学历</w:t>
            </w:r>
          </w:p>
        </w:tc>
        <w:tc>
          <w:tcPr>
            <w:tcW w:w="2814" w:type="dxa"/>
            <w:tcBorders>
              <w:top w:val="single" w:color="auto" w:sz="4" w:space="0"/>
              <w:left w:val="single" w:color="auto" w:sz="4" w:space="0"/>
              <w:bottom w:val="single" w:color="auto" w:sz="4" w:space="0"/>
              <w:right w:val="single" w:color="auto" w:sz="4" w:space="0"/>
            </w:tcBorders>
            <w:vAlign w:val="center"/>
          </w:tcPr>
          <w:p w14:paraId="018FA6A4">
            <w:pPr>
              <w:spacing w:line="520" w:lineRule="exact"/>
              <w:jc w:val="center"/>
              <w:rPr>
                <w:rFonts w:hint="eastAsia" w:ascii="宋体" w:hAnsi="宋体"/>
              </w:rPr>
            </w:pPr>
            <w:r>
              <w:rPr>
                <w:rFonts w:hint="eastAsia" w:ascii="宋体" w:hAnsi="宋体"/>
              </w:rPr>
              <w:t>主要资历及担任过的职务</w:t>
            </w:r>
          </w:p>
        </w:tc>
      </w:tr>
      <w:tr w14:paraId="6C6F8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21C5C866">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3BA5B790">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5F7FE63A">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48B033E2">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2AC345C3">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20580975">
            <w:pPr>
              <w:spacing w:line="520" w:lineRule="exact"/>
              <w:jc w:val="center"/>
              <w:rPr>
                <w:rFonts w:hint="eastAsia" w:ascii="宋体" w:hAnsi="宋体"/>
                <w:sz w:val="28"/>
              </w:rPr>
            </w:pPr>
          </w:p>
        </w:tc>
      </w:tr>
      <w:tr w14:paraId="16761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0DED40C3">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61DA371B">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0B80DE7A">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69E3B5BA">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5FBF7E61">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506038F6">
            <w:pPr>
              <w:spacing w:line="520" w:lineRule="exact"/>
              <w:jc w:val="center"/>
              <w:rPr>
                <w:rFonts w:hint="eastAsia" w:ascii="宋体" w:hAnsi="宋体"/>
                <w:sz w:val="28"/>
              </w:rPr>
            </w:pPr>
          </w:p>
        </w:tc>
      </w:tr>
      <w:tr w14:paraId="5A9C9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4BE44266">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0ED413FB">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790F3E40">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58D414AF">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5B2A6C18">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0581AB7D">
            <w:pPr>
              <w:spacing w:line="520" w:lineRule="exact"/>
              <w:jc w:val="center"/>
              <w:rPr>
                <w:rFonts w:hint="eastAsia" w:ascii="宋体" w:hAnsi="宋体"/>
                <w:sz w:val="28"/>
              </w:rPr>
            </w:pPr>
          </w:p>
        </w:tc>
      </w:tr>
      <w:tr w14:paraId="69B86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44F038A2">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4EB98414">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3E0CDC51">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0E6CDC3B">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01497DE2">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7B6EEE49">
            <w:pPr>
              <w:spacing w:line="520" w:lineRule="exact"/>
              <w:jc w:val="center"/>
              <w:rPr>
                <w:rFonts w:hint="eastAsia" w:ascii="宋体" w:hAnsi="宋体"/>
                <w:sz w:val="28"/>
              </w:rPr>
            </w:pPr>
          </w:p>
        </w:tc>
      </w:tr>
      <w:tr w14:paraId="2AAF9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6246C48C">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4FEF0B52">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2092282D">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221C0298">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279C3632">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2ED7DFC0">
            <w:pPr>
              <w:spacing w:line="520" w:lineRule="exact"/>
              <w:jc w:val="center"/>
              <w:rPr>
                <w:rFonts w:hint="eastAsia" w:ascii="宋体" w:hAnsi="宋体"/>
                <w:sz w:val="28"/>
              </w:rPr>
            </w:pPr>
          </w:p>
        </w:tc>
      </w:tr>
      <w:tr w14:paraId="03985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2E119722">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73DFC565">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6AA4AFEC">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4AFDD0DE">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0642B037">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476EE01B">
            <w:pPr>
              <w:spacing w:line="520" w:lineRule="exact"/>
              <w:jc w:val="center"/>
              <w:rPr>
                <w:rFonts w:hint="eastAsia" w:ascii="宋体" w:hAnsi="宋体"/>
                <w:sz w:val="28"/>
              </w:rPr>
            </w:pPr>
          </w:p>
        </w:tc>
      </w:tr>
      <w:tr w14:paraId="30B8D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06AE80B6">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6F8C673C">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78614D93">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47E9E614">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732C79D5">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0C4AE827">
            <w:pPr>
              <w:spacing w:line="520" w:lineRule="exact"/>
              <w:jc w:val="center"/>
              <w:rPr>
                <w:rFonts w:hint="eastAsia" w:ascii="宋体" w:hAnsi="宋体"/>
                <w:sz w:val="28"/>
              </w:rPr>
            </w:pPr>
          </w:p>
        </w:tc>
      </w:tr>
      <w:tr w14:paraId="1213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3E5FA9D2">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7702AAFD">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3C66939D">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4639B07F">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2E34D666">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3C11CDDD">
            <w:pPr>
              <w:spacing w:line="520" w:lineRule="exact"/>
              <w:jc w:val="center"/>
              <w:rPr>
                <w:rFonts w:hint="eastAsia" w:ascii="宋体" w:hAnsi="宋体"/>
                <w:sz w:val="28"/>
              </w:rPr>
            </w:pPr>
          </w:p>
        </w:tc>
      </w:tr>
      <w:tr w14:paraId="097B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tcBorders>
              <w:top w:val="single" w:color="auto" w:sz="4" w:space="0"/>
              <w:left w:val="single" w:color="auto" w:sz="4" w:space="0"/>
              <w:bottom w:val="single" w:color="auto" w:sz="4" w:space="0"/>
              <w:right w:val="single" w:color="auto" w:sz="4" w:space="0"/>
            </w:tcBorders>
            <w:vAlign w:val="center"/>
          </w:tcPr>
          <w:p w14:paraId="0CE52173">
            <w:pPr>
              <w:spacing w:line="520" w:lineRule="exact"/>
              <w:jc w:val="center"/>
              <w:rPr>
                <w:rFonts w:hint="eastAsia" w:ascii="宋体" w:hAnsi="宋体"/>
                <w:sz w:val="28"/>
              </w:rPr>
            </w:pPr>
          </w:p>
        </w:tc>
        <w:tc>
          <w:tcPr>
            <w:tcW w:w="1905" w:type="dxa"/>
            <w:tcBorders>
              <w:top w:val="single" w:color="auto" w:sz="4" w:space="0"/>
              <w:left w:val="single" w:color="auto" w:sz="4" w:space="0"/>
              <w:bottom w:val="single" w:color="auto" w:sz="4" w:space="0"/>
              <w:right w:val="single" w:color="auto" w:sz="4" w:space="0"/>
            </w:tcBorders>
            <w:vAlign w:val="center"/>
          </w:tcPr>
          <w:p w14:paraId="4D40F492">
            <w:pPr>
              <w:spacing w:line="520" w:lineRule="exact"/>
              <w:jc w:val="center"/>
              <w:rPr>
                <w:rFonts w:hint="eastAsia" w:ascii="宋体" w:hAnsi="宋体"/>
                <w:sz w:val="28"/>
              </w:rPr>
            </w:pPr>
          </w:p>
        </w:tc>
        <w:tc>
          <w:tcPr>
            <w:tcW w:w="1127" w:type="dxa"/>
            <w:tcBorders>
              <w:top w:val="single" w:color="auto" w:sz="4" w:space="0"/>
              <w:left w:val="single" w:color="auto" w:sz="4" w:space="0"/>
              <w:bottom w:val="single" w:color="auto" w:sz="4" w:space="0"/>
              <w:right w:val="single" w:color="auto" w:sz="4" w:space="0"/>
            </w:tcBorders>
            <w:vAlign w:val="center"/>
          </w:tcPr>
          <w:p w14:paraId="4FF35CEE">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4640F2C6">
            <w:pPr>
              <w:spacing w:line="520" w:lineRule="exact"/>
              <w:jc w:val="center"/>
              <w:rPr>
                <w:rFonts w:hint="eastAsia" w:ascii="宋体" w:hAnsi="宋体"/>
                <w:sz w:val="28"/>
              </w:rPr>
            </w:pPr>
          </w:p>
        </w:tc>
        <w:tc>
          <w:tcPr>
            <w:tcW w:w="896" w:type="dxa"/>
            <w:tcBorders>
              <w:top w:val="single" w:color="auto" w:sz="4" w:space="0"/>
              <w:left w:val="single" w:color="auto" w:sz="4" w:space="0"/>
              <w:bottom w:val="single" w:color="auto" w:sz="4" w:space="0"/>
              <w:right w:val="single" w:color="auto" w:sz="4" w:space="0"/>
            </w:tcBorders>
            <w:vAlign w:val="center"/>
          </w:tcPr>
          <w:p w14:paraId="44AE6760">
            <w:pPr>
              <w:spacing w:line="520" w:lineRule="exact"/>
              <w:jc w:val="center"/>
              <w:rPr>
                <w:rFonts w:hint="eastAsia" w:ascii="宋体" w:hAnsi="宋体"/>
                <w:sz w:val="28"/>
              </w:rPr>
            </w:pPr>
          </w:p>
        </w:tc>
        <w:tc>
          <w:tcPr>
            <w:tcW w:w="2814" w:type="dxa"/>
            <w:tcBorders>
              <w:top w:val="single" w:color="auto" w:sz="4" w:space="0"/>
              <w:left w:val="single" w:color="auto" w:sz="4" w:space="0"/>
              <w:bottom w:val="single" w:color="auto" w:sz="4" w:space="0"/>
              <w:right w:val="single" w:color="auto" w:sz="4" w:space="0"/>
            </w:tcBorders>
            <w:vAlign w:val="center"/>
          </w:tcPr>
          <w:p w14:paraId="71C0B8B8">
            <w:pPr>
              <w:spacing w:line="520" w:lineRule="exact"/>
              <w:jc w:val="center"/>
              <w:rPr>
                <w:rFonts w:hint="eastAsia" w:ascii="宋体" w:hAnsi="宋体"/>
                <w:sz w:val="28"/>
              </w:rPr>
            </w:pPr>
          </w:p>
        </w:tc>
      </w:tr>
    </w:tbl>
    <w:p w14:paraId="5EE33BD0">
      <w:pPr>
        <w:spacing w:line="400" w:lineRule="exact"/>
        <w:rPr>
          <w:rFonts w:hint="eastAsia" w:ascii="宋体" w:hAnsi="宋体"/>
          <w:b/>
          <w:sz w:val="28"/>
          <w:szCs w:val="30"/>
        </w:rPr>
      </w:pPr>
    </w:p>
    <w:p w14:paraId="4E7A7813">
      <w:pPr>
        <w:spacing w:line="400" w:lineRule="exact"/>
        <w:jc w:val="center"/>
        <w:rPr>
          <w:rFonts w:hint="eastAsia" w:ascii="宋体" w:hAnsi="宋体"/>
          <w:b/>
          <w:sz w:val="28"/>
          <w:szCs w:val="30"/>
        </w:rPr>
      </w:pPr>
    </w:p>
    <w:p w14:paraId="4B5D3EC1">
      <w:pPr>
        <w:spacing w:line="400" w:lineRule="exact"/>
        <w:jc w:val="center"/>
        <w:rPr>
          <w:rFonts w:hint="eastAsia" w:ascii="宋体" w:hAnsi="宋体"/>
          <w:b/>
          <w:sz w:val="28"/>
          <w:szCs w:val="30"/>
        </w:rPr>
      </w:pPr>
    </w:p>
    <w:p w14:paraId="533D4163">
      <w:pPr>
        <w:spacing w:line="360" w:lineRule="auto"/>
        <w:ind w:firstLine="480"/>
        <w:rPr>
          <w:sz w:val="24"/>
        </w:rPr>
      </w:pPr>
      <w:r>
        <w:rPr>
          <w:rFonts w:hint="eastAsia"/>
          <w:sz w:val="24"/>
        </w:rPr>
        <w:t>投标人（盖章）：</w:t>
      </w:r>
    </w:p>
    <w:p w14:paraId="7002538B">
      <w:pPr>
        <w:spacing w:line="360" w:lineRule="auto"/>
        <w:ind w:firstLine="480"/>
        <w:rPr>
          <w:sz w:val="24"/>
        </w:rPr>
      </w:pPr>
      <w:r>
        <w:rPr>
          <w:rFonts w:hint="eastAsia"/>
          <w:sz w:val="24"/>
        </w:rPr>
        <w:t>法定代表人或委托代理人（签字或盖章）：</w:t>
      </w:r>
    </w:p>
    <w:p w14:paraId="244C00DF">
      <w:pPr>
        <w:spacing w:line="360" w:lineRule="auto"/>
        <w:ind w:firstLine="480"/>
        <w:rPr>
          <w:rFonts w:ascii="宋体" w:hAnsi="Courier New"/>
          <w:sz w:val="24"/>
        </w:rPr>
      </w:pPr>
      <w:r>
        <w:rPr>
          <w:rFonts w:hint="eastAsia" w:ascii="宋体" w:hAnsi="Courier New"/>
          <w:sz w:val="24"/>
        </w:rPr>
        <w:t>日期：    年     月     日</w:t>
      </w:r>
    </w:p>
    <w:p w14:paraId="12CA2AC7">
      <w:pPr>
        <w:spacing w:line="360" w:lineRule="auto"/>
        <w:ind w:firstLine="480"/>
        <w:rPr>
          <w:rFonts w:ascii="宋体" w:hAnsi="Courier New"/>
          <w:sz w:val="24"/>
        </w:rPr>
      </w:pPr>
    </w:p>
    <w:p w14:paraId="70D7DDDF">
      <w:pPr>
        <w:keepNext/>
        <w:keepLines/>
        <w:outlineLvl w:val="1"/>
        <w:rPr>
          <w:rFonts w:ascii="Arial" w:hAnsi="Arial" w:eastAsia="黑体"/>
          <w:b/>
          <w:bCs/>
          <w:sz w:val="24"/>
          <w:szCs w:val="32"/>
        </w:rPr>
      </w:pPr>
      <w:r>
        <w:rPr>
          <w:rFonts w:ascii="Arial" w:hAnsi="Arial" w:eastAsia="黑体"/>
          <w:b/>
          <w:bCs/>
          <w:sz w:val="32"/>
          <w:szCs w:val="32"/>
        </w:rPr>
        <w:br w:type="page"/>
      </w:r>
    </w:p>
    <w:p w14:paraId="6001E870">
      <w:pPr>
        <w:keepNext/>
        <w:keepLines/>
        <w:outlineLvl w:val="1"/>
        <w:rPr>
          <w:rFonts w:ascii="Arial" w:hAnsi="Arial" w:eastAsia="黑体"/>
          <w:b/>
          <w:bCs/>
          <w:sz w:val="32"/>
          <w:szCs w:val="32"/>
        </w:rPr>
      </w:pPr>
      <w:r>
        <w:rPr>
          <w:rFonts w:hint="eastAsia" w:ascii="Arial" w:hAnsi="Arial" w:eastAsia="黑体"/>
          <w:b/>
          <w:bCs/>
          <w:sz w:val="24"/>
          <w:szCs w:val="32"/>
        </w:rPr>
        <w:t>格式</w:t>
      </w:r>
      <w:r>
        <w:rPr>
          <w:rFonts w:ascii="Arial" w:hAnsi="Arial" w:eastAsia="黑体"/>
          <w:b/>
          <w:bCs/>
          <w:sz w:val="24"/>
          <w:szCs w:val="32"/>
        </w:rPr>
        <w:t>1</w:t>
      </w:r>
      <w:r>
        <w:rPr>
          <w:rFonts w:hint="eastAsia" w:ascii="Arial" w:hAnsi="Arial" w:eastAsia="黑体"/>
          <w:b/>
          <w:bCs/>
          <w:sz w:val="24"/>
          <w:szCs w:val="32"/>
        </w:rPr>
        <w:t>4、实施方案</w:t>
      </w:r>
    </w:p>
    <w:p w14:paraId="443EE8F4">
      <w:pPr>
        <w:jc w:val="center"/>
        <w:rPr>
          <w:rFonts w:hint="eastAsia" w:ascii="黑体" w:hAnsi="黑体" w:eastAsia="黑体" w:cs="宋体"/>
          <w:bCs/>
          <w:sz w:val="36"/>
          <w:szCs w:val="28"/>
        </w:rPr>
      </w:pPr>
      <w:r>
        <w:rPr>
          <w:rFonts w:hint="eastAsia" w:ascii="黑体" w:hAnsi="黑体" w:eastAsia="黑体" w:cs="宋体"/>
          <w:bCs/>
          <w:sz w:val="36"/>
          <w:szCs w:val="28"/>
        </w:rPr>
        <w:t>实施方案</w:t>
      </w:r>
    </w:p>
    <w:p w14:paraId="3C7BB16E">
      <w:pPr>
        <w:spacing w:line="520" w:lineRule="exact"/>
        <w:jc w:val="center"/>
        <w:rPr>
          <w:rFonts w:hint="eastAsia" w:ascii="宋体" w:hAnsi="宋体"/>
          <w:sz w:val="24"/>
        </w:rPr>
      </w:pPr>
      <w:r>
        <w:rPr>
          <w:rFonts w:hint="eastAsia" w:ascii="宋体" w:hAnsi="宋体"/>
        </w:rPr>
        <w:t>（供应商按“项目需求”等内容要求自行填写，格式自定）</w:t>
      </w:r>
    </w:p>
    <w:p w14:paraId="7052AC2A">
      <w:pPr>
        <w:spacing w:line="520" w:lineRule="exact"/>
        <w:rPr>
          <w:rFonts w:hint="eastAsia" w:ascii="宋体" w:hAnsi="宋体"/>
          <w:sz w:val="24"/>
        </w:rPr>
      </w:pPr>
    </w:p>
    <w:p w14:paraId="2EA3B3FB">
      <w:pPr>
        <w:spacing w:line="520" w:lineRule="exact"/>
        <w:rPr>
          <w:rFonts w:hint="eastAsia" w:ascii="宋体" w:hAnsi="宋体"/>
          <w:sz w:val="24"/>
        </w:rPr>
      </w:pPr>
    </w:p>
    <w:p w14:paraId="593C6D3D">
      <w:pPr>
        <w:spacing w:line="520" w:lineRule="exact"/>
        <w:rPr>
          <w:rFonts w:hint="eastAsia" w:ascii="宋体" w:hAnsi="宋体"/>
          <w:sz w:val="24"/>
        </w:rPr>
      </w:pPr>
    </w:p>
    <w:p w14:paraId="7E379AD1">
      <w:pPr>
        <w:spacing w:line="520" w:lineRule="exact"/>
        <w:rPr>
          <w:rFonts w:hint="eastAsia" w:ascii="宋体" w:hAnsi="宋体"/>
          <w:sz w:val="24"/>
        </w:rPr>
      </w:pPr>
    </w:p>
    <w:p w14:paraId="363B4614">
      <w:pPr>
        <w:spacing w:line="520" w:lineRule="exact"/>
        <w:rPr>
          <w:rFonts w:hint="eastAsia" w:ascii="宋体" w:hAnsi="宋体"/>
          <w:sz w:val="24"/>
        </w:rPr>
      </w:pPr>
    </w:p>
    <w:p w14:paraId="1AFC3460">
      <w:pPr>
        <w:spacing w:line="520" w:lineRule="exact"/>
        <w:rPr>
          <w:rFonts w:hint="eastAsia" w:ascii="宋体" w:hAnsi="宋体"/>
          <w:sz w:val="24"/>
        </w:rPr>
      </w:pPr>
    </w:p>
    <w:p w14:paraId="587208D0">
      <w:pPr>
        <w:spacing w:line="520" w:lineRule="exact"/>
        <w:rPr>
          <w:rFonts w:hint="eastAsia" w:ascii="宋体" w:hAnsi="宋体"/>
          <w:sz w:val="24"/>
        </w:rPr>
      </w:pPr>
    </w:p>
    <w:p w14:paraId="29C8E769">
      <w:pPr>
        <w:spacing w:line="520" w:lineRule="exact"/>
        <w:rPr>
          <w:rFonts w:hint="eastAsia" w:ascii="宋体" w:hAnsi="宋体"/>
          <w:sz w:val="24"/>
        </w:rPr>
      </w:pPr>
    </w:p>
    <w:p w14:paraId="1B626470">
      <w:pPr>
        <w:spacing w:line="520" w:lineRule="exact"/>
        <w:rPr>
          <w:rFonts w:hint="eastAsia" w:ascii="宋体" w:hAnsi="宋体"/>
          <w:sz w:val="24"/>
        </w:rPr>
      </w:pPr>
    </w:p>
    <w:p w14:paraId="28B3E67E">
      <w:pPr>
        <w:spacing w:line="520" w:lineRule="exact"/>
        <w:rPr>
          <w:rFonts w:hint="eastAsia" w:ascii="宋体" w:hAnsi="宋体"/>
          <w:sz w:val="24"/>
        </w:rPr>
      </w:pPr>
    </w:p>
    <w:p w14:paraId="189E4665">
      <w:pPr>
        <w:spacing w:line="520" w:lineRule="exact"/>
        <w:rPr>
          <w:rFonts w:hint="eastAsia" w:ascii="宋体" w:hAnsi="宋体"/>
          <w:sz w:val="24"/>
        </w:rPr>
      </w:pPr>
    </w:p>
    <w:p w14:paraId="0AFF4346">
      <w:pPr>
        <w:spacing w:line="520" w:lineRule="exact"/>
        <w:rPr>
          <w:rFonts w:hint="eastAsia" w:ascii="宋体" w:hAnsi="宋体"/>
          <w:sz w:val="24"/>
        </w:rPr>
      </w:pPr>
    </w:p>
    <w:p w14:paraId="7DC478D7">
      <w:pPr>
        <w:spacing w:line="520" w:lineRule="exact"/>
        <w:rPr>
          <w:rFonts w:hint="eastAsia" w:ascii="宋体" w:hAnsi="宋体"/>
          <w:sz w:val="24"/>
        </w:rPr>
      </w:pPr>
    </w:p>
    <w:p w14:paraId="755CDAF2">
      <w:pPr>
        <w:spacing w:line="520" w:lineRule="exact"/>
        <w:rPr>
          <w:rFonts w:hint="eastAsia" w:ascii="宋体" w:hAnsi="宋体"/>
          <w:sz w:val="24"/>
        </w:rPr>
      </w:pPr>
    </w:p>
    <w:p w14:paraId="06486616">
      <w:pPr>
        <w:spacing w:line="520" w:lineRule="exact"/>
        <w:rPr>
          <w:rFonts w:hint="eastAsia" w:ascii="宋体" w:hAnsi="宋体"/>
          <w:sz w:val="24"/>
        </w:rPr>
      </w:pPr>
    </w:p>
    <w:p w14:paraId="22810A53">
      <w:pPr>
        <w:spacing w:line="520" w:lineRule="exact"/>
        <w:rPr>
          <w:rFonts w:hint="eastAsia" w:ascii="宋体" w:hAnsi="宋体"/>
          <w:sz w:val="24"/>
        </w:rPr>
      </w:pPr>
    </w:p>
    <w:p w14:paraId="4B75CBB2">
      <w:pPr>
        <w:spacing w:line="520" w:lineRule="exact"/>
        <w:rPr>
          <w:rFonts w:hint="eastAsia" w:ascii="宋体" w:hAnsi="宋体"/>
          <w:sz w:val="24"/>
        </w:rPr>
      </w:pPr>
    </w:p>
    <w:p w14:paraId="011458B0">
      <w:pPr>
        <w:spacing w:line="520" w:lineRule="exact"/>
        <w:rPr>
          <w:rFonts w:hint="eastAsia" w:ascii="宋体" w:hAnsi="宋体"/>
          <w:sz w:val="24"/>
        </w:rPr>
      </w:pPr>
    </w:p>
    <w:p w14:paraId="049B166F">
      <w:pPr>
        <w:spacing w:line="400" w:lineRule="exact"/>
        <w:rPr>
          <w:rFonts w:hint="eastAsia" w:ascii="宋体" w:hAnsi="宋体"/>
          <w:b/>
          <w:sz w:val="28"/>
          <w:szCs w:val="30"/>
        </w:rPr>
      </w:pPr>
    </w:p>
    <w:p w14:paraId="4CB8402B">
      <w:pPr>
        <w:spacing w:line="360" w:lineRule="auto"/>
        <w:ind w:firstLine="480"/>
        <w:rPr>
          <w:sz w:val="24"/>
        </w:rPr>
      </w:pPr>
      <w:r>
        <w:rPr>
          <w:rFonts w:hint="eastAsia"/>
          <w:sz w:val="24"/>
        </w:rPr>
        <w:t>投标人（盖章）：</w:t>
      </w:r>
    </w:p>
    <w:p w14:paraId="53829E86">
      <w:pPr>
        <w:spacing w:line="360" w:lineRule="auto"/>
        <w:ind w:firstLine="480"/>
        <w:rPr>
          <w:sz w:val="24"/>
        </w:rPr>
      </w:pPr>
      <w:r>
        <w:rPr>
          <w:rFonts w:hint="eastAsia"/>
          <w:sz w:val="24"/>
        </w:rPr>
        <w:t>法定代表人或委托代理人（签字或盖章）：</w:t>
      </w:r>
    </w:p>
    <w:p w14:paraId="550860A8">
      <w:pPr>
        <w:spacing w:line="360" w:lineRule="auto"/>
        <w:ind w:firstLine="480"/>
        <w:rPr>
          <w:rFonts w:ascii="宋体" w:hAnsi="Courier New"/>
          <w:sz w:val="24"/>
        </w:rPr>
      </w:pPr>
      <w:r>
        <w:rPr>
          <w:rFonts w:hint="eastAsia" w:ascii="宋体" w:hAnsi="Courier New"/>
          <w:sz w:val="24"/>
        </w:rPr>
        <w:t>日期：    年     月     日</w:t>
      </w:r>
    </w:p>
    <w:p w14:paraId="3D70EF0A">
      <w:pPr>
        <w:spacing w:line="520" w:lineRule="exact"/>
        <w:jc w:val="left"/>
        <w:rPr>
          <w:rFonts w:hint="eastAsia" w:ascii="宋体" w:hAnsi="宋体"/>
          <w:b/>
          <w:szCs w:val="21"/>
        </w:rPr>
      </w:pPr>
    </w:p>
    <w:p w14:paraId="308F1C97">
      <w:pPr>
        <w:widowControl/>
        <w:jc w:val="left"/>
        <w:rPr>
          <w:rFonts w:ascii="Arial" w:hAnsi="Arial" w:eastAsia="黑体"/>
          <w:b/>
          <w:bCs/>
          <w:sz w:val="24"/>
          <w:szCs w:val="32"/>
        </w:rPr>
      </w:pPr>
      <w:r>
        <w:rPr>
          <w:rFonts w:ascii="Arial" w:hAnsi="Arial" w:eastAsia="黑体"/>
          <w:b/>
          <w:bCs/>
          <w:sz w:val="24"/>
          <w:szCs w:val="32"/>
        </w:rPr>
        <w:br w:type="page"/>
      </w:r>
    </w:p>
    <w:p w14:paraId="7D488B0B">
      <w:pPr>
        <w:keepNext/>
        <w:keepLines/>
        <w:outlineLvl w:val="1"/>
        <w:rPr>
          <w:rFonts w:ascii="Arial" w:hAnsi="Arial" w:eastAsia="黑体"/>
          <w:b/>
          <w:bCs/>
          <w:sz w:val="24"/>
          <w:szCs w:val="32"/>
        </w:rPr>
      </w:pPr>
      <w:r>
        <w:rPr>
          <w:rFonts w:hint="eastAsia" w:ascii="Arial" w:hAnsi="Arial" w:eastAsia="黑体"/>
          <w:b/>
          <w:bCs/>
          <w:sz w:val="24"/>
          <w:szCs w:val="32"/>
        </w:rPr>
        <w:t>格式</w:t>
      </w:r>
      <w:r>
        <w:rPr>
          <w:rFonts w:ascii="Arial" w:hAnsi="Arial" w:eastAsia="黑体"/>
          <w:b/>
          <w:bCs/>
          <w:sz w:val="24"/>
          <w:szCs w:val="32"/>
        </w:rPr>
        <w:t>1</w:t>
      </w:r>
      <w:r>
        <w:rPr>
          <w:rFonts w:hint="eastAsia" w:ascii="Arial" w:hAnsi="Arial" w:eastAsia="黑体"/>
          <w:b/>
          <w:bCs/>
          <w:sz w:val="24"/>
          <w:szCs w:val="32"/>
        </w:rPr>
        <w:t>5、其他材料</w:t>
      </w:r>
    </w:p>
    <w:p w14:paraId="630B1C0E">
      <w:pPr>
        <w:jc w:val="center"/>
        <w:rPr>
          <w:rFonts w:hint="eastAsia" w:ascii="黑体" w:hAnsi="黑体" w:eastAsia="黑体" w:cs="宋体"/>
          <w:bCs/>
          <w:sz w:val="36"/>
          <w:szCs w:val="28"/>
        </w:rPr>
      </w:pPr>
      <w:r>
        <w:rPr>
          <w:rFonts w:hint="eastAsia" w:ascii="黑体" w:hAnsi="黑体" w:eastAsia="黑体" w:cs="宋体"/>
          <w:bCs/>
          <w:sz w:val="36"/>
          <w:szCs w:val="28"/>
        </w:rPr>
        <w:t>其它材料</w:t>
      </w:r>
    </w:p>
    <w:p w14:paraId="3C40370D">
      <w:pPr>
        <w:spacing w:line="520" w:lineRule="exact"/>
        <w:jc w:val="center"/>
        <w:rPr>
          <w:rFonts w:hint="eastAsia" w:ascii="宋体" w:hAnsi="宋体"/>
          <w:sz w:val="24"/>
        </w:rPr>
      </w:pPr>
      <w:r>
        <w:rPr>
          <w:rFonts w:hint="eastAsia" w:ascii="宋体" w:hAnsi="宋体"/>
          <w:sz w:val="24"/>
        </w:rPr>
        <w:t>（投标人对招标文件响应有必要提供的材料或评标办法中要求提供的材料）</w:t>
      </w:r>
    </w:p>
    <w:p w14:paraId="068CD221">
      <w:pPr>
        <w:spacing w:line="520" w:lineRule="exact"/>
        <w:rPr>
          <w:rFonts w:hint="eastAsia" w:ascii="宋体" w:hAnsi="宋体"/>
          <w:sz w:val="24"/>
        </w:rPr>
      </w:pPr>
    </w:p>
    <w:p w14:paraId="6365FEBF">
      <w:pPr>
        <w:spacing w:line="520" w:lineRule="exact"/>
        <w:rPr>
          <w:rFonts w:hint="eastAsia" w:ascii="宋体" w:hAnsi="宋体"/>
          <w:sz w:val="24"/>
        </w:rPr>
      </w:pPr>
    </w:p>
    <w:p w14:paraId="5AEADF85">
      <w:pPr>
        <w:spacing w:line="520" w:lineRule="exact"/>
        <w:rPr>
          <w:rFonts w:hint="eastAsia" w:ascii="宋体" w:hAnsi="宋体"/>
          <w:sz w:val="24"/>
        </w:rPr>
      </w:pPr>
    </w:p>
    <w:p w14:paraId="7F8DCE00">
      <w:pPr>
        <w:spacing w:line="520" w:lineRule="exact"/>
        <w:rPr>
          <w:rFonts w:hint="eastAsia" w:ascii="宋体" w:hAnsi="宋体"/>
          <w:sz w:val="24"/>
        </w:rPr>
      </w:pPr>
    </w:p>
    <w:p w14:paraId="7E24CA49">
      <w:pPr>
        <w:spacing w:line="520" w:lineRule="exact"/>
        <w:rPr>
          <w:rFonts w:hint="eastAsia" w:ascii="宋体" w:hAnsi="宋体"/>
          <w:sz w:val="24"/>
        </w:rPr>
      </w:pPr>
    </w:p>
    <w:p w14:paraId="64714F20">
      <w:pPr>
        <w:spacing w:line="520" w:lineRule="exact"/>
        <w:rPr>
          <w:rFonts w:hint="eastAsia" w:ascii="宋体" w:hAnsi="宋体"/>
          <w:sz w:val="24"/>
        </w:rPr>
      </w:pPr>
    </w:p>
    <w:p w14:paraId="69F55B29">
      <w:pPr>
        <w:spacing w:line="520" w:lineRule="exact"/>
        <w:rPr>
          <w:rFonts w:hint="eastAsia" w:ascii="宋体" w:hAnsi="宋体"/>
          <w:sz w:val="24"/>
        </w:rPr>
      </w:pPr>
    </w:p>
    <w:p w14:paraId="04B71A40">
      <w:pPr>
        <w:spacing w:line="520" w:lineRule="exact"/>
        <w:rPr>
          <w:rFonts w:hint="eastAsia" w:ascii="宋体" w:hAnsi="宋体"/>
          <w:sz w:val="24"/>
        </w:rPr>
      </w:pPr>
    </w:p>
    <w:p w14:paraId="7F76C15E">
      <w:pPr>
        <w:spacing w:line="520" w:lineRule="exact"/>
        <w:rPr>
          <w:rFonts w:hint="eastAsia" w:ascii="宋体" w:hAnsi="宋体"/>
          <w:sz w:val="24"/>
        </w:rPr>
      </w:pPr>
    </w:p>
    <w:p w14:paraId="09E5353A">
      <w:pPr>
        <w:spacing w:line="520" w:lineRule="exact"/>
        <w:rPr>
          <w:rFonts w:hint="eastAsia" w:ascii="宋体" w:hAnsi="宋体"/>
          <w:sz w:val="24"/>
        </w:rPr>
      </w:pPr>
    </w:p>
    <w:p w14:paraId="3937B222">
      <w:pPr>
        <w:spacing w:line="520" w:lineRule="exact"/>
        <w:rPr>
          <w:rFonts w:hint="eastAsia" w:ascii="宋体" w:hAnsi="宋体"/>
          <w:sz w:val="24"/>
        </w:rPr>
      </w:pPr>
    </w:p>
    <w:p w14:paraId="28B9A7CE">
      <w:pPr>
        <w:spacing w:line="520" w:lineRule="exact"/>
        <w:rPr>
          <w:rFonts w:hint="eastAsia" w:ascii="宋体" w:hAnsi="宋体"/>
          <w:sz w:val="24"/>
        </w:rPr>
      </w:pPr>
    </w:p>
    <w:p w14:paraId="7567616D">
      <w:pPr>
        <w:spacing w:line="520" w:lineRule="exact"/>
        <w:rPr>
          <w:rFonts w:hint="eastAsia" w:ascii="宋体" w:hAnsi="宋体"/>
          <w:sz w:val="24"/>
        </w:rPr>
      </w:pPr>
    </w:p>
    <w:p w14:paraId="1A117967">
      <w:pPr>
        <w:spacing w:line="520" w:lineRule="exact"/>
        <w:rPr>
          <w:rFonts w:hint="eastAsia" w:ascii="宋体" w:hAnsi="宋体"/>
          <w:sz w:val="24"/>
        </w:rPr>
      </w:pPr>
    </w:p>
    <w:p w14:paraId="2B6B1FFD">
      <w:pPr>
        <w:spacing w:line="520" w:lineRule="exact"/>
        <w:rPr>
          <w:rFonts w:hint="eastAsia" w:ascii="宋体" w:hAnsi="宋体"/>
          <w:sz w:val="24"/>
        </w:rPr>
      </w:pPr>
    </w:p>
    <w:p w14:paraId="47B6EFE5">
      <w:pPr>
        <w:spacing w:line="520" w:lineRule="exact"/>
        <w:rPr>
          <w:rFonts w:hint="eastAsia" w:ascii="宋体" w:hAnsi="宋体"/>
          <w:sz w:val="24"/>
        </w:rPr>
      </w:pPr>
    </w:p>
    <w:p w14:paraId="501E0CDE">
      <w:pPr>
        <w:spacing w:line="520" w:lineRule="exact"/>
        <w:rPr>
          <w:rFonts w:hint="eastAsia" w:ascii="宋体" w:hAnsi="宋体"/>
          <w:sz w:val="24"/>
        </w:rPr>
      </w:pPr>
    </w:p>
    <w:p w14:paraId="2BE070F9">
      <w:pPr>
        <w:spacing w:line="400" w:lineRule="exact"/>
        <w:rPr>
          <w:rFonts w:hint="eastAsia" w:ascii="宋体" w:hAnsi="宋体"/>
          <w:b/>
          <w:sz w:val="28"/>
          <w:szCs w:val="30"/>
        </w:rPr>
      </w:pPr>
    </w:p>
    <w:p w14:paraId="5C5ACF81">
      <w:pPr>
        <w:spacing w:line="360" w:lineRule="auto"/>
        <w:ind w:firstLine="480"/>
        <w:rPr>
          <w:sz w:val="24"/>
        </w:rPr>
      </w:pPr>
      <w:r>
        <w:rPr>
          <w:rFonts w:hint="eastAsia"/>
          <w:sz w:val="24"/>
        </w:rPr>
        <w:t>投标人（盖章）：</w:t>
      </w:r>
    </w:p>
    <w:p w14:paraId="22D779E8">
      <w:pPr>
        <w:spacing w:line="360" w:lineRule="auto"/>
        <w:ind w:firstLine="480"/>
        <w:rPr>
          <w:sz w:val="24"/>
        </w:rPr>
      </w:pPr>
      <w:r>
        <w:rPr>
          <w:rFonts w:hint="eastAsia"/>
          <w:sz w:val="24"/>
        </w:rPr>
        <w:t>法定代表人或委托代理人（签字或盖章）：</w:t>
      </w:r>
    </w:p>
    <w:p w14:paraId="3F6C7E4A">
      <w:pPr>
        <w:spacing w:line="360" w:lineRule="auto"/>
        <w:ind w:firstLine="480"/>
        <w:rPr>
          <w:rFonts w:ascii="仿宋_GB2312" w:hAnsi="Courier New" w:eastAsia="仿宋_GB2312"/>
          <w:spacing w:val="6"/>
          <w:sz w:val="30"/>
          <w:szCs w:val="30"/>
        </w:rPr>
      </w:pPr>
      <w:r>
        <w:rPr>
          <w:rFonts w:hint="eastAsia" w:ascii="宋体" w:hAnsi="Courier New"/>
          <w:sz w:val="24"/>
        </w:rPr>
        <w:t>日期：    年     月     日</w:t>
      </w:r>
    </w:p>
    <w:p w14:paraId="4035C1E3">
      <w:pPr>
        <w:rPr>
          <w:rFonts w:asciiTheme="minorHAnsi" w:hAnsiTheme="minorHAnsi" w:eastAsiaTheme="minorEastAsia" w:cstheme="minorBidi"/>
          <w:szCs w:val="22"/>
        </w:rPr>
      </w:pPr>
    </w:p>
    <w:p w14:paraId="695BF59B"/>
    <w:p w14:paraId="07EA3AD7">
      <w:pPr>
        <w:pStyle w:val="37"/>
        <w:widowControl w:val="0"/>
        <w:spacing w:before="0" w:beforeAutospacing="0" w:after="0" w:afterAutospacing="0" w:line="880" w:lineRule="exact"/>
        <w:ind w:firstLine="723"/>
        <w:jc w:val="center"/>
        <w:outlineLvl w:val="1"/>
        <w:rPr>
          <w:rFonts w:hint="eastAsia" w:ascii="宋体" w:hAnsi="宋体" w:cs="宋体"/>
          <w:b/>
          <w:bCs/>
          <w:sz w:val="36"/>
          <w:szCs w:val="36"/>
        </w:rPr>
      </w:pPr>
    </w:p>
    <w:p w14:paraId="3FE0036D">
      <w:pPr>
        <w:pStyle w:val="37"/>
        <w:widowControl w:val="0"/>
        <w:spacing w:before="0" w:beforeAutospacing="0" w:after="0" w:afterAutospacing="0" w:line="880" w:lineRule="exact"/>
        <w:ind w:firstLine="723"/>
        <w:jc w:val="center"/>
        <w:outlineLvl w:val="1"/>
        <w:rPr>
          <w:rFonts w:hint="eastAsia" w:ascii="宋体" w:hAnsi="宋体" w:cs="宋体"/>
          <w:b/>
          <w:bCs/>
          <w:sz w:val="36"/>
          <w:szCs w:val="36"/>
        </w:rPr>
      </w:pPr>
    </w:p>
    <w:bookmarkEnd w:id="182"/>
    <w:p w14:paraId="0FF044B7">
      <w:pPr>
        <w:pStyle w:val="21"/>
        <w:spacing w:line="700" w:lineRule="exact"/>
        <w:jc w:val="center"/>
        <w:outlineLvl w:val="0"/>
        <w:rPr>
          <w:rFonts w:hint="eastAsia" w:ascii="宋体" w:hAnsi="宋体" w:cs="宋体"/>
          <w:b/>
          <w:sz w:val="44"/>
          <w:szCs w:val="44"/>
        </w:rPr>
      </w:pPr>
      <w:bookmarkStart w:id="193" w:name="_Toc17165"/>
      <w:bookmarkStart w:id="194" w:name="_Hlk170817416"/>
      <w:bookmarkStart w:id="195" w:name="_Toc139966430"/>
      <w:r>
        <w:rPr>
          <w:rFonts w:hint="eastAsia" w:ascii="宋体" w:hAnsi="宋体" w:cs="宋体"/>
          <w:b/>
          <w:sz w:val="44"/>
          <w:szCs w:val="44"/>
        </w:rPr>
        <w:t>第五章  项目需求</w:t>
      </w:r>
      <w:bookmarkEnd w:id="193"/>
    </w:p>
    <w:p w14:paraId="0F88EB56">
      <w:pPr>
        <w:spacing w:line="360" w:lineRule="auto"/>
        <w:ind w:firstLine="482"/>
        <w:jc w:val="left"/>
        <w:rPr>
          <w:rFonts w:hint="eastAsia" w:ascii="宋体" w:hAnsi="宋体" w:cs="宋体"/>
          <w:bCs/>
          <w:szCs w:val="21"/>
        </w:rPr>
      </w:pPr>
      <w:bookmarkStart w:id="196" w:name="_Toc1715"/>
      <w:r>
        <w:rPr>
          <w:rFonts w:hint="eastAsia" w:ascii="宋体" w:hAnsi="宋体" w:cs="宋体"/>
          <w:b/>
          <w:szCs w:val="21"/>
        </w:rPr>
        <w:t>说明：</w:t>
      </w:r>
      <w:r>
        <w:rPr>
          <w:rFonts w:hint="eastAsia" w:ascii="宋体" w:hAnsi="宋体" w:cs="宋体"/>
          <w:bCs/>
          <w:szCs w:val="21"/>
        </w:rPr>
        <w:t>本项目采购方式为</w:t>
      </w:r>
      <w:r>
        <w:rPr>
          <w:rFonts w:hint="eastAsia" w:ascii="宋体" w:hAnsi="宋体" w:cs="宋体"/>
          <w:b/>
          <w:bCs/>
          <w:szCs w:val="21"/>
          <w:u w:val="single"/>
        </w:rPr>
        <w:t>公开招标</w:t>
      </w:r>
      <w:r>
        <w:rPr>
          <w:rFonts w:hint="eastAsia" w:ascii="宋体" w:hAnsi="宋体" w:cs="宋体"/>
          <w:szCs w:val="21"/>
        </w:rPr>
        <w:t>，项目属性为</w:t>
      </w:r>
      <w:r>
        <w:rPr>
          <w:rFonts w:hint="eastAsia" w:ascii="宋体" w:hAnsi="宋体" w:cs="宋体"/>
          <w:b/>
          <w:bCs/>
          <w:szCs w:val="21"/>
          <w:u w:val="single"/>
        </w:rPr>
        <w:t>货物采购</w:t>
      </w:r>
      <w:r>
        <w:rPr>
          <w:rFonts w:hint="eastAsia" w:ascii="宋体" w:hAnsi="宋体" w:cs="宋体"/>
          <w:szCs w:val="21"/>
        </w:rPr>
        <w:t>；采购标的对应的中小企业划分标准</w:t>
      </w:r>
      <w:r>
        <w:rPr>
          <w:rFonts w:hint="eastAsia" w:ascii="宋体" w:hAnsi="宋体" w:cs="宋体"/>
          <w:bCs/>
          <w:szCs w:val="21"/>
        </w:rPr>
        <w:t>所属行业为</w:t>
      </w:r>
      <w:r>
        <w:rPr>
          <w:rFonts w:hint="eastAsia" w:ascii="宋体" w:hAnsi="宋体" w:cs="宋体"/>
          <w:b/>
          <w:bCs/>
          <w:szCs w:val="21"/>
          <w:u w:val="single"/>
        </w:rPr>
        <w:t>工业。</w:t>
      </w:r>
    </w:p>
    <w:p w14:paraId="12B90754">
      <w:pPr>
        <w:pStyle w:val="49"/>
        <w:numPr>
          <w:ilvl w:val="0"/>
          <w:numId w:val="3"/>
        </w:numPr>
        <w:spacing w:line="360" w:lineRule="auto"/>
        <w:ind w:firstLine="482"/>
        <w:rPr>
          <w:rFonts w:ascii="宋体" w:hAnsi="宋体" w:eastAsia="宋体" w:cs="宋体"/>
          <w:bCs/>
          <w:color w:val="auto"/>
          <w:sz w:val="21"/>
          <w:szCs w:val="21"/>
        </w:rPr>
      </w:pPr>
      <w:r>
        <w:rPr>
          <w:rFonts w:ascii="宋体" w:hAnsi="宋体" w:eastAsia="宋体" w:cs="宋体"/>
          <w:bCs/>
          <w:color w:val="auto"/>
          <w:sz w:val="21"/>
          <w:szCs w:val="21"/>
        </w:rPr>
        <w:t>本项目需求中标注“★”为实质性要求和条件（由采购人根据实际情况设置），投标人必须作出满足或者优于原要求和条件的响应，否则投标无效。</w:t>
      </w:r>
    </w:p>
    <w:p w14:paraId="3F609BCA">
      <w:pPr>
        <w:spacing w:line="360" w:lineRule="auto"/>
        <w:ind w:firstLine="482"/>
        <w:jc w:val="left"/>
        <w:rPr>
          <w:rFonts w:hint="eastAsia" w:ascii="宋体" w:hAnsi="宋体" w:cs="宋体"/>
          <w:bCs/>
          <w:szCs w:val="21"/>
        </w:rPr>
      </w:pPr>
      <w:r>
        <w:rPr>
          <w:rFonts w:hint="eastAsia" w:ascii="宋体" w:hAnsi="宋体" w:cs="宋体"/>
          <w:bCs/>
          <w:szCs w:val="21"/>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8457B2E">
      <w:pPr>
        <w:spacing w:line="360" w:lineRule="auto"/>
        <w:ind w:firstLine="482"/>
        <w:jc w:val="left"/>
        <w:rPr>
          <w:rFonts w:hint="eastAsia" w:ascii="宋体" w:hAnsi="宋体" w:cs="宋体"/>
          <w:bCs/>
          <w:szCs w:val="21"/>
        </w:rPr>
      </w:pPr>
      <w:r>
        <w:rPr>
          <w:rFonts w:hint="eastAsia" w:ascii="宋体" w:hAnsi="宋体" w:cs="宋体"/>
          <w:bCs/>
          <w:szCs w:val="21"/>
        </w:rPr>
        <w:t>非单一产品采购项目，采购人应当根据采购项目技术构成、产品价格比重等合理确定核心产品，并在招标文件中载明。多家投标人提供的核心产品品牌相同的，按前两款规定处理。</w:t>
      </w:r>
    </w:p>
    <w:p w14:paraId="65D4BBC9">
      <w:pPr>
        <w:spacing w:line="360" w:lineRule="auto"/>
        <w:ind w:firstLine="482"/>
        <w:jc w:val="left"/>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本项目核心产品为： 拖拉机</w:t>
      </w:r>
    </w:p>
    <w:bookmarkEnd w:id="194"/>
    <w:tbl>
      <w:tblPr>
        <w:tblStyle w:val="40"/>
        <w:tblW w:w="7902" w:type="dxa"/>
        <w:jc w:val="center"/>
        <w:tblLayout w:type="fixed"/>
        <w:tblCellMar>
          <w:top w:w="0" w:type="dxa"/>
          <w:left w:w="108" w:type="dxa"/>
          <w:bottom w:w="0" w:type="dxa"/>
          <w:right w:w="108" w:type="dxa"/>
        </w:tblCellMar>
      </w:tblPr>
      <w:tblGrid>
        <w:gridCol w:w="826"/>
        <w:gridCol w:w="5068"/>
        <w:gridCol w:w="2008"/>
      </w:tblGrid>
      <w:tr w14:paraId="0B315102">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B5EBE">
            <w:pPr>
              <w:widowControl/>
              <w:spacing w:line="380" w:lineRule="exact"/>
              <w:jc w:val="center"/>
              <w:textAlignment w:val="center"/>
              <w:rPr>
                <w:rFonts w:hint="eastAsia" w:ascii="宋体" w:hAnsi="宋体" w:cs="宋体"/>
                <w:b/>
                <w:bCs/>
                <w:color w:val="000000"/>
                <w:szCs w:val="21"/>
              </w:rPr>
            </w:pPr>
            <w:r>
              <w:rPr>
                <w:rFonts w:hint="eastAsia" w:ascii="宋体" w:hAnsi="宋体" w:cs="宋体"/>
                <w:b/>
                <w:bCs/>
                <w:color w:val="000000"/>
                <w:szCs w:val="21"/>
                <w:lang w:bidi="ar"/>
              </w:rPr>
              <w:t>序号</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E5F17">
            <w:pPr>
              <w:widowControl/>
              <w:spacing w:line="380" w:lineRule="exact"/>
              <w:jc w:val="center"/>
              <w:textAlignment w:val="center"/>
              <w:rPr>
                <w:rFonts w:hint="eastAsia" w:ascii="宋体" w:hAnsi="宋体" w:cs="宋体"/>
                <w:b/>
                <w:bCs/>
                <w:color w:val="000000"/>
                <w:szCs w:val="21"/>
              </w:rPr>
            </w:pPr>
            <w:r>
              <w:rPr>
                <w:rFonts w:hint="eastAsia" w:ascii="宋体" w:hAnsi="宋体" w:cs="宋体"/>
                <w:b/>
                <w:bCs/>
                <w:color w:val="000000"/>
                <w:szCs w:val="21"/>
                <w:lang w:bidi="ar"/>
              </w:rPr>
              <w:t>货物名称</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2B471">
            <w:pPr>
              <w:widowControl/>
              <w:spacing w:line="380" w:lineRule="exact"/>
              <w:jc w:val="center"/>
              <w:textAlignment w:val="center"/>
              <w:rPr>
                <w:rFonts w:hint="eastAsia" w:ascii="宋体" w:hAnsi="宋体" w:cs="宋体"/>
                <w:b/>
                <w:bCs/>
                <w:color w:val="000000"/>
                <w:szCs w:val="21"/>
              </w:rPr>
            </w:pPr>
            <w:r>
              <w:rPr>
                <w:rFonts w:hint="eastAsia" w:ascii="宋体" w:hAnsi="宋体" w:cs="宋体"/>
                <w:b/>
                <w:bCs/>
                <w:color w:val="000000"/>
                <w:szCs w:val="21"/>
                <w:lang w:bidi="ar"/>
              </w:rPr>
              <w:t>数量及单位</w:t>
            </w:r>
          </w:p>
        </w:tc>
      </w:tr>
      <w:tr w14:paraId="75E21090">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7A29">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47F31">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插秧机</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03DDC">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2台</w:t>
            </w:r>
          </w:p>
        </w:tc>
      </w:tr>
      <w:tr w14:paraId="3BF0BE0B">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26543">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2</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AC67">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插秧机无人系统</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9EF5D">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2套</w:t>
            </w:r>
          </w:p>
        </w:tc>
      </w:tr>
      <w:tr w14:paraId="524C1419">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77E32">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3</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1019B">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收割机</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6F0D">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1台</w:t>
            </w:r>
          </w:p>
        </w:tc>
      </w:tr>
      <w:tr w14:paraId="350C4BCE">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DCC5">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4</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15BAB">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收割机无人系统</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6A64">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1套</w:t>
            </w:r>
          </w:p>
        </w:tc>
      </w:tr>
      <w:tr w14:paraId="4416C6EB">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F0A2">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5</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045AE">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拖拉机</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DAFD">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1台</w:t>
            </w:r>
          </w:p>
        </w:tc>
      </w:tr>
      <w:tr w14:paraId="5D4562D3">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0940">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6</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BAF6">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拖拉机无人系统</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39A0">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1套</w:t>
            </w:r>
          </w:p>
        </w:tc>
      </w:tr>
      <w:tr w14:paraId="54C84A88">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1F3B">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7</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3E776">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打药机</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36937">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1台</w:t>
            </w:r>
          </w:p>
        </w:tc>
      </w:tr>
      <w:tr w14:paraId="588068AB">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1E4C">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8</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709C0">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打药机无人系统</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DD0CF">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1套</w:t>
            </w:r>
          </w:p>
        </w:tc>
      </w:tr>
      <w:tr w14:paraId="30B47980">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C4F4C">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9</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AF506">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无人植保机</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958F">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1台</w:t>
            </w:r>
          </w:p>
        </w:tc>
      </w:tr>
      <w:tr w14:paraId="2E22BCF9">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E238">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10</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43317">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多光谱无人机</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F4C2">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1台</w:t>
            </w:r>
          </w:p>
        </w:tc>
      </w:tr>
      <w:tr w14:paraId="6EFE6FF3">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87819">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11</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4102E">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智能水灌溉</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77ED">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12套</w:t>
            </w:r>
          </w:p>
        </w:tc>
      </w:tr>
      <w:tr w14:paraId="0851F5B0">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9A79A">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12</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F8F32">
            <w:pPr>
              <w:widowControl/>
              <w:spacing w:line="380" w:lineRule="exact"/>
              <w:jc w:val="center"/>
              <w:textAlignment w:val="center"/>
              <w:rPr>
                <w:rFonts w:hint="eastAsia" w:ascii="宋体" w:hAnsi="宋体" w:cs="宋体"/>
                <w:color w:val="000000"/>
                <w:szCs w:val="21"/>
                <w:lang w:bidi="ar"/>
              </w:rPr>
            </w:pPr>
            <w:r>
              <w:rPr>
                <w:rFonts w:hint="eastAsia" w:ascii="宋体" w:hAnsi="宋体" w:cs="宋体"/>
                <w:szCs w:val="21"/>
              </w:rPr>
              <w:t>智能旁路软启动柜</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5393F">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1套</w:t>
            </w:r>
          </w:p>
        </w:tc>
      </w:tr>
      <w:tr w14:paraId="3539301B">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B2592">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13</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3A91">
            <w:pPr>
              <w:widowControl/>
              <w:spacing w:line="380" w:lineRule="exact"/>
              <w:jc w:val="center"/>
              <w:textAlignment w:val="center"/>
              <w:rPr>
                <w:rFonts w:hint="eastAsia" w:ascii="宋体" w:hAnsi="宋体" w:cs="宋体"/>
                <w:szCs w:val="21"/>
              </w:rPr>
            </w:pPr>
            <w:r>
              <w:rPr>
                <w:rFonts w:hint="eastAsia" w:ascii="宋体" w:hAnsi="宋体" w:cs="宋体"/>
                <w:szCs w:val="21"/>
              </w:rPr>
              <w:t>农场微信公众号适配</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C8F10">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1套</w:t>
            </w:r>
          </w:p>
        </w:tc>
      </w:tr>
      <w:tr w14:paraId="066E1F5E">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746BC">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14</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18CB6">
            <w:pPr>
              <w:widowControl/>
              <w:spacing w:line="380" w:lineRule="exact"/>
              <w:jc w:val="center"/>
              <w:textAlignment w:val="center"/>
              <w:rPr>
                <w:rFonts w:hint="eastAsia" w:ascii="宋体" w:hAnsi="宋体" w:cs="宋体"/>
                <w:szCs w:val="21"/>
              </w:rPr>
            </w:pPr>
            <w:r>
              <w:rPr>
                <w:rFonts w:hint="eastAsia" w:ascii="宋体" w:hAnsi="宋体" w:cs="宋体"/>
                <w:szCs w:val="21"/>
              </w:rPr>
              <w:t>智慧泵房管理平台</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00A0B">
            <w:pPr>
              <w:widowControl/>
              <w:spacing w:line="380" w:lineRule="exact"/>
              <w:jc w:val="center"/>
              <w:textAlignment w:val="center"/>
              <w:rPr>
                <w:rFonts w:hint="eastAsia" w:ascii="宋体" w:hAnsi="宋体" w:cs="宋体"/>
                <w:color w:val="000000"/>
                <w:szCs w:val="21"/>
                <w:lang w:bidi="ar"/>
              </w:rPr>
            </w:pPr>
            <w:r>
              <w:rPr>
                <w:rFonts w:hint="eastAsia" w:ascii="宋体" w:hAnsi="宋体" w:cs="宋体"/>
                <w:color w:val="000000"/>
                <w:szCs w:val="21"/>
                <w:lang w:bidi="ar"/>
              </w:rPr>
              <w:t>1套</w:t>
            </w:r>
          </w:p>
        </w:tc>
      </w:tr>
      <w:tr w14:paraId="0ADF453C">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604AE">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15</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E7581">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气象站</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EBE16">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1套</w:t>
            </w:r>
          </w:p>
        </w:tc>
      </w:tr>
      <w:tr w14:paraId="75DF9D16">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FD05C">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16</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930CB">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土壤墒情站</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18748">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6台</w:t>
            </w:r>
          </w:p>
        </w:tc>
      </w:tr>
      <w:tr w14:paraId="60D81E95">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3D38">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17</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B5A4C">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苗情监测</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DDFF">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6套</w:t>
            </w:r>
          </w:p>
        </w:tc>
      </w:tr>
      <w:tr w14:paraId="742F9C46">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A14A4">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18</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CFFD">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虫情测报灯</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5F2C8">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1台</w:t>
            </w:r>
          </w:p>
        </w:tc>
      </w:tr>
      <w:tr w14:paraId="455A8AB7">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B1D6B">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19</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4729B">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杀虫灯</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D6AE4">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15台</w:t>
            </w:r>
          </w:p>
        </w:tc>
      </w:tr>
      <w:tr w14:paraId="44387B3B">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858CF">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20</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DE3C">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烘干机作业监测</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15FE4">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1套</w:t>
            </w:r>
          </w:p>
        </w:tc>
      </w:tr>
      <w:tr w14:paraId="17A5370E">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C5243">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21</w:t>
            </w:r>
          </w:p>
        </w:tc>
        <w:tc>
          <w:tcPr>
            <w:tcW w:w="5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A749">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无人农场综合信息化管理平台</w:t>
            </w:r>
          </w:p>
        </w:tc>
        <w:tc>
          <w:tcPr>
            <w:tcW w:w="2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A7849">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1套</w:t>
            </w:r>
          </w:p>
        </w:tc>
      </w:tr>
      <w:tr w14:paraId="1B465C88">
        <w:tblPrEx>
          <w:tblCellMar>
            <w:top w:w="0" w:type="dxa"/>
            <w:left w:w="108" w:type="dxa"/>
            <w:bottom w:w="0" w:type="dxa"/>
            <w:right w:w="108" w:type="dxa"/>
          </w:tblCellMar>
        </w:tblPrEx>
        <w:trPr>
          <w:trHeight w:val="270" w:hRule="atLeast"/>
          <w:jc w:val="center"/>
        </w:trPr>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DBFD8">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rPr>
              <w:t>22</w:t>
            </w:r>
          </w:p>
        </w:tc>
        <w:tc>
          <w:tcPr>
            <w:tcW w:w="5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9E4E">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LED大屏</w:t>
            </w:r>
          </w:p>
        </w:tc>
        <w:tc>
          <w:tcPr>
            <w:tcW w:w="2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6F232">
            <w:pPr>
              <w:widowControl/>
              <w:spacing w:line="380" w:lineRule="exact"/>
              <w:jc w:val="center"/>
              <w:textAlignment w:val="center"/>
              <w:rPr>
                <w:rFonts w:hint="eastAsia" w:ascii="宋体" w:hAnsi="宋体" w:cs="宋体"/>
                <w:color w:val="000000"/>
                <w:szCs w:val="21"/>
              </w:rPr>
            </w:pPr>
            <w:r>
              <w:rPr>
                <w:rFonts w:hint="eastAsia" w:ascii="宋体" w:hAnsi="宋体" w:cs="宋体"/>
                <w:color w:val="000000"/>
                <w:szCs w:val="21"/>
                <w:lang w:bidi="ar"/>
              </w:rPr>
              <w:t>8.6平方米</w:t>
            </w:r>
          </w:p>
        </w:tc>
      </w:tr>
    </w:tbl>
    <w:p w14:paraId="4F4BAEED">
      <w:pPr>
        <w:pStyle w:val="2"/>
        <w:keepNext w:val="0"/>
        <w:keepLines w:val="0"/>
        <w:tabs>
          <w:tab w:val="clear" w:pos="360"/>
        </w:tabs>
        <w:spacing w:after="120" w:line="480" w:lineRule="auto"/>
        <w:ind w:left="0" w:firstLine="0"/>
        <w:rPr>
          <w:rFonts w:hint="eastAsia" w:ascii="宋体" w:hAnsi="宋体"/>
          <w:sz w:val="21"/>
          <w:szCs w:val="21"/>
        </w:rPr>
      </w:pPr>
      <w:r>
        <w:rPr>
          <w:rFonts w:hint="eastAsia" w:ascii="宋体" w:hAnsi="宋体"/>
          <w:sz w:val="21"/>
          <w:szCs w:val="21"/>
        </w:rPr>
        <w:t>一、项目参数</w:t>
      </w:r>
    </w:p>
    <w:tbl>
      <w:tblPr>
        <w:tblStyle w:val="40"/>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328"/>
        <w:gridCol w:w="1038"/>
        <w:gridCol w:w="6937"/>
      </w:tblGrid>
      <w:tr w14:paraId="4F17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2582A087">
            <w:pPr>
              <w:jc w:val="center"/>
              <w:rPr>
                <w:rFonts w:hint="eastAsia" w:ascii="宋体" w:hAnsi="宋体" w:cs="宋体"/>
                <w:szCs w:val="21"/>
              </w:rPr>
            </w:pPr>
            <w:r>
              <w:rPr>
                <w:rFonts w:hint="eastAsia" w:ascii="宋体" w:hAnsi="宋体" w:cs="宋体"/>
                <w:szCs w:val="21"/>
              </w:rPr>
              <w:t>序</w:t>
            </w:r>
          </w:p>
          <w:p w14:paraId="1F551A23">
            <w:pPr>
              <w:jc w:val="center"/>
              <w:rPr>
                <w:rFonts w:hint="eastAsia" w:ascii="宋体" w:hAnsi="宋体" w:cs="宋体"/>
                <w:szCs w:val="21"/>
              </w:rPr>
            </w:pPr>
            <w:r>
              <w:rPr>
                <w:rFonts w:hint="eastAsia" w:ascii="宋体" w:hAnsi="宋体" w:cs="宋体"/>
                <w:szCs w:val="21"/>
              </w:rPr>
              <w:t>号</w:t>
            </w:r>
          </w:p>
        </w:tc>
        <w:tc>
          <w:tcPr>
            <w:tcW w:w="653" w:type="pct"/>
            <w:vAlign w:val="center"/>
          </w:tcPr>
          <w:p w14:paraId="1ED861F2">
            <w:pPr>
              <w:jc w:val="center"/>
              <w:rPr>
                <w:rFonts w:hint="eastAsia" w:ascii="宋体" w:hAnsi="宋体" w:cs="宋体"/>
                <w:szCs w:val="21"/>
              </w:rPr>
            </w:pPr>
            <w:r>
              <w:rPr>
                <w:rFonts w:hint="eastAsia" w:ascii="宋体" w:hAnsi="宋体" w:cs="宋体"/>
                <w:szCs w:val="21"/>
              </w:rPr>
              <w:t>货物名称</w:t>
            </w:r>
          </w:p>
        </w:tc>
        <w:tc>
          <w:tcPr>
            <w:tcW w:w="510" w:type="pct"/>
            <w:vAlign w:val="center"/>
          </w:tcPr>
          <w:p w14:paraId="6E32415A">
            <w:pPr>
              <w:jc w:val="center"/>
              <w:rPr>
                <w:rFonts w:hint="eastAsia" w:ascii="宋体" w:hAnsi="宋体" w:cs="宋体"/>
                <w:szCs w:val="21"/>
              </w:rPr>
            </w:pPr>
            <w:r>
              <w:rPr>
                <w:rFonts w:hint="eastAsia" w:ascii="宋体" w:hAnsi="宋体" w:cs="宋体"/>
                <w:szCs w:val="21"/>
              </w:rPr>
              <w:t>数量及</w:t>
            </w:r>
          </w:p>
          <w:p w14:paraId="1901FBA1">
            <w:pPr>
              <w:jc w:val="center"/>
              <w:rPr>
                <w:rFonts w:hint="eastAsia" w:ascii="宋体" w:hAnsi="宋体" w:cs="宋体"/>
                <w:szCs w:val="21"/>
              </w:rPr>
            </w:pPr>
            <w:r>
              <w:rPr>
                <w:rFonts w:hint="eastAsia" w:ascii="宋体" w:hAnsi="宋体" w:cs="宋体"/>
                <w:szCs w:val="21"/>
              </w:rPr>
              <w:t>单位</w:t>
            </w:r>
          </w:p>
        </w:tc>
        <w:tc>
          <w:tcPr>
            <w:tcW w:w="3410" w:type="pct"/>
            <w:vAlign w:val="center"/>
          </w:tcPr>
          <w:p w14:paraId="7C1F128C">
            <w:pPr>
              <w:jc w:val="center"/>
              <w:rPr>
                <w:rFonts w:hint="eastAsia" w:ascii="宋体" w:hAnsi="宋体" w:cs="宋体"/>
                <w:szCs w:val="21"/>
              </w:rPr>
            </w:pPr>
            <w:r>
              <w:rPr>
                <w:rFonts w:hint="eastAsia" w:ascii="宋体" w:hAnsi="宋体" w:cs="宋体"/>
                <w:szCs w:val="21"/>
              </w:rPr>
              <w:t>主  要  技  术  规  格</w:t>
            </w:r>
          </w:p>
        </w:tc>
      </w:tr>
      <w:tr w14:paraId="3C06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51DD4537">
            <w:pPr>
              <w:jc w:val="center"/>
              <w:rPr>
                <w:rFonts w:hint="eastAsia" w:ascii="宋体" w:hAnsi="宋体" w:cs="宋体"/>
                <w:szCs w:val="21"/>
              </w:rPr>
            </w:pPr>
            <w:r>
              <w:rPr>
                <w:rFonts w:hint="eastAsia" w:ascii="宋体" w:hAnsi="宋体" w:cs="宋体"/>
                <w:szCs w:val="21"/>
              </w:rPr>
              <w:t>1</w:t>
            </w:r>
          </w:p>
        </w:tc>
        <w:tc>
          <w:tcPr>
            <w:tcW w:w="653" w:type="pct"/>
            <w:vAlign w:val="center"/>
          </w:tcPr>
          <w:p w14:paraId="30B52C58">
            <w:pPr>
              <w:jc w:val="center"/>
              <w:rPr>
                <w:rFonts w:hint="eastAsia" w:ascii="宋体" w:hAnsi="宋体" w:cs="宋体"/>
                <w:szCs w:val="21"/>
              </w:rPr>
            </w:pPr>
            <w:r>
              <w:rPr>
                <w:rFonts w:hint="eastAsia" w:ascii="宋体" w:hAnsi="宋体" w:cs="宋体"/>
                <w:szCs w:val="21"/>
              </w:rPr>
              <w:t>无人</w:t>
            </w:r>
            <w:r>
              <w:rPr>
                <w:rFonts w:hint="eastAsia" w:ascii="宋体" w:hAnsi="宋体" w:cs="宋体"/>
                <w:szCs w:val="21"/>
                <w:lang w:eastAsia="zh-Hans"/>
              </w:rPr>
              <w:t>驾驶</w:t>
            </w:r>
            <w:r>
              <w:rPr>
                <w:rFonts w:hint="eastAsia" w:ascii="宋体" w:hAnsi="宋体" w:cs="宋体"/>
                <w:szCs w:val="21"/>
              </w:rPr>
              <w:t>插秧机</w:t>
            </w:r>
          </w:p>
        </w:tc>
        <w:tc>
          <w:tcPr>
            <w:tcW w:w="510" w:type="pct"/>
            <w:vAlign w:val="center"/>
          </w:tcPr>
          <w:p w14:paraId="3172EBE2">
            <w:pPr>
              <w:rPr>
                <w:rFonts w:hint="eastAsia" w:ascii="宋体" w:hAnsi="宋体" w:cs="宋体"/>
                <w:szCs w:val="21"/>
              </w:rPr>
            </w:pPr>
            <w:r>
              <w:rPr>
                <w:rFonts w:hint="eastAsia" w:ascii="宋体" w:hAnsi="宋体" w:cs="宋体"/>
                <w:szCs w:val="21"/>
              </w:rPr>
              <w:t>2台</w:t>
            </w:r>
          </w:p>
        </w:tc>
        <w:tc>
          <w:tcPr>
            <w:tcW w:w="3410" w:type="pct"/>
            <w:vAlign w:val="center"/>
          </w:tcPr>
          <w:p w14:paraId="20D0149F">
            <w:pPr>
              <w:rPr>
                <w:rFonts w:hint="eastAsia" w:ascii="宋体" w:hAnsi="宋体" w:cs="宋体"/>
                <w:szCs w:val="21"/>
                <w:lang w:eastAsia="zh-Hans"/>
              </w:rPr>
            </w:pPr>
            <w:r>
              <w:rPr>
                <w:rFonts w:hint="eastAsia" w:ascii="宋体" w:hAnsi="宋体" w:cs="宋体"/>
                <w:szCs w:val="21"/>
                <w:lang w:eastAsia="zh-Hans"/>
              </w:rPr>
              <w:t>插秧机技术参数</w:t>
            </w:r>
          </w:p>
          <w:p w14:paraId="69B3D13B">
            <w:pPr>
              <w:rPr>
                <w:rFonts w:hint="eastAsia" w:ascii="宋体" w:hAnsi="宋体" w:cs="宋体"/>
                <w:szCs w:val="21"/>
              </w:rPr>
            </w:pPr>
            <w:r>
              <w:rPr>
                <w:rFonts w:hint="eastAsia" w:ascii="宋体" w:hAnsi="宋体" w:cs="宋体"/>
                <w:szCs w:val="21"/>
              </w:rPr>
              <w:t>★</w:t>
            </w:r>
            <w:r>
              <w:rPr>
                <w:rFonts w:hint="eastAsia" w:ascii="宋体" w:hAnsi="宋体" w:cs="宋体"/>
                <w:szCs w:val="21"/>
                <w:lang w:eastAsia="zh-CN"/>
              </w:rPr>
              <w:t>（</w:t>
            </w:r>
            <w:r>
              <w:rPr>
                <w:rFonts w:hint="eastAsia" w:ascii="宋体" w:hAnsi="宋体" w:cs="宋体"/>
                <w:szCs w:val="21"/>
                <w:lang w:val="en-US" w:eastAsia="zh-CN"/>
              </w:rPr>
              <w:t>1</w:t>
            </w:r>
            <w:r>
              <w:rPr>
                <w:rFonts w:hint="eastAsia" w:ascii="宋体" w:hAnsi="宋体" w:cs="宋体"/>
                <w:szCs w:val="21"/>
                <w:lang w:eastAsia="zh-CN"/>
              </w:rPr>
              <w:t>）</w:t>
            </w:r>
            <w:r>
              <w:rPr>
                <w:rFonts w:hint="eastAsia" w:ascii="宋体" w:hAnsi="宋体" w:cs="宋体"/>
                <w:szCs w:val="21"/>
              </w:rPr>
              <w:t>发动机标定功率：≥16kw（提供第三方鉴定报告）</w:t>
            </w:r>
          </w:p>
          <w:p w14:paraId="326EAA7D">
            <w:pPr>
              <w:rPr>
                <w:rFonts w:hint="eastAsia" w:ascii="宋体" w:hAnsi="宋体" w:cs="宋体"/>
                <w:szCs w:val="21"/>
                <w:lang w:eastAsia="zh-Hans"/>
              </w:rPr>
            </w:pPr>
            <w:r>
              <w:rPr>
                <w:rFonts w:hint="eastAsia" w:ascii="宋体" w:hAnsi="宋体" w:cs="宋体"/>
                <w:szCs w:val="21"/>
                <w:lang w:eastAsia="zh-CN"/>
              </w:rPr>
              <w:t>（</w:t>
            </w:r>
            <w:r>
              <w:rPr>
                <w:rFonts w:hint="eastAsia" w:ascii="宋体" w:hAnsi="宋体" w:cs="宋体"/>
                <w:szCs w:val="21"/>
                <w:lang w:val="en-US" w:eastAsia="zh-CN"/>
              </w:rPr>
              <w:t>2</w:t>
            </w:r>
            <w:r>
              <w:rPr>
                <w:rFonts w:hint="eastAsia" w:ascii="宋体" w:hAnsi="宋体" w:cs="宋体"/>
                <w:szCs w:val="21"/>
                <w:lang w:eastAsia="zh-CN"/>
              </w:rPr>
              <w:t>）</w:t>
            </w:r>
            <w:r>
              <w:rPr>
                <w:rFonts w:hint="eastAsia" w:ascii="宋体" w:hAnsi="宋体" w:cs="宋体"/>
                <w:szCs w:val="21"/>
              </w:rPr>
              <w:t>作业小时生产率：0.2-0.43hm/h</w:t>
            </w:r>
          </w:p>
          <w:p w14:paraId="5A8F4005">
            <w:pPr>
              <w:rPr>
                <w:rFonts w:hint="eastAsia" w:ascii="宋体" w:hAnsi="宋体" w:cs="宋体"/>
                <w:szCs w:val="21"/>
                <w:lang w:eastAsia="zh-Hans"/>
              </w:rPr>
            </w:pP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rPr>
              <w:t>转向方式：整体液压转向</w:t>
            </w:r>
          </w:p>
          <w:p w14:paraId="4497EC03">
            <w:pPr>
              <w:rPr>
                <w:rFonts w:hint="eastAsia" w:ascii="宋体" w:hAnsi="宋体" w:cs="宋体"/>
                <w:szCs w:val="21"/>
                <w:lang w:eastAsia="zh-Hans"/>
              </w:rPr>
            </w:pPr>
            <w:r>
              <w:rPr>
                <w:rFonts w:hint="eastAsia" w:ascii="宋体" w:hAnsi="宋体" w:cs="宋体"/>
                <w:szCs w:val="21"/>
                <w:lang w:eastAsia="zh-CN"/>
              </w:rPr>
              <w:t>（</w:t>
            </w:r>
            <w:r>
              <w:rPr>
                <w:rFonts w:hint="eastAsia" w:ascii="宋体" w:hAnsi="宋体" w:cs="宋体"/>
                <w:szCs w:val="21"/>
                <w:lang w:val="en-US" w:eastAsia="zh-CN"/>
              </w:rPr>
              <w:t>4</w:t>
            </w:r>
            <w:r>
              <w:rPr>
                <w:rFonts w:hint="eastAsia" w:ascii="宋体" w:hAnsi="宋体" w:cs="宋体"/>
                <w:szCs w:val="21"/>
                <w:lang w:eastAsia="zh-CN"/>
              </w:rPr>
              <w:t>）</w:t>
            </w:r>
            <w:r>
              <w:rPr>
                <w:rFonts w:hint="eastAsia" w:ascii="宋体" w:hAnsi="宋体" w:cs="宋体"/>
                <w:szCs w:val="21"/>
              </w:rPr>
              <w:t>变速方式：液压式变速HST</w:t>
            </w:r>
          </w:p>
          <w:p w14:paraId="13461405">
            <w:pPr>
              <w:rPr>
                <w:rFonts w:hint="eastAsia" w:ascii="宋体" w:hAnsi="宋体" w:cs="宋体"/>
                <w:szCs w:val="21"/>
                <w:lang w:eastAsia="zh-Hans"/>
              </w:rPr>
            </w:pPr>
            <w:r>
              <w:rPr>
                <w:rFonts w:hint="eastAsia" w:ascii="宋体" w:hAnsi="宋体" w:cs="宋体"/>
                <w:szCs w:val="21"/>
                <w:lang w:eastAsia="zh-CN"/>
              </w:rPr>
              <w:t>（</w:t>
            </w:r>
            <w:r>
              <w:rPr>
                <w:rFonts w:hint="eastAsia" w:ascii="宋体" w:hAnsi="宋体" w:cs="宋体"/>
                <w:szCs w:val="21"/>
                <w:lang w:val="en-US" w:eastAsia="zh-CN"/>
              </w:rPr>
              <w:t>5</w:t>
            </w:r>
            <w:r>
              <w:rPr>
                <w:rFonts w:hint="eastAsia" w:ascii="宋体" w:hAnsi="宋体" w:cs="宋体"/>
                <w:szCs w:val="21"/>
                <w:lang w:eastAsia="zh-CN"/>
              </w:rPr>
              <w:t>）</w:t>
            </w:r>
            <w:r>
              <w:rPr>
                <w:rFonts w:hint="eastAsia" w:ascii="宋体" w:hAnsi="宋体" w:cs="宋体"/>
                <w:szCs w:val="21"/>
              </w:rPr>
              <w:t>作业速度：0-1.7m/s</w:t>
            </w:r>
          </w:p>
          <w:p w14:paraId="027AD0FF">
            <w:pPr>
              <w:rPr>
                <w:rFonts w:hint="eastAsia" w:ascii="宋体" w:hAnsi="宋体" w:cs="宋体"/>
                <w:szCs w:val="21"/>
                <w:lang w:eastAsia="zh-Hans"/>
              </w:rPr>
            </w:pPr>
            <w:r>
              <w:rPr>
                <w:rFonts w:hint="eastAsia" w:ascii="宋体" w:hAnsi="宋体" w:cs="宋体"/>
                <w:szCs w:val="21"/>
                <w:lang w:eastAsia="zh-CN"/>
              </w:rPr>
              <w:t>（</w:t>
            </w:r>
            <w:r>
              <w:rPr>
                <w:rFonts w:hint="eastAsia" w:ascii="宋体" w:hAnsi="宋体" w:cs="宋体"/>
                <w:szCs w:val="21"/>
                <w:lang w:val="en-US" w:eastAsia="zh-CN"/>
              </w:rPr>
              <w:t>6</w:t>
            </w:r>
            <w:r>
              <w:rPr>
                <w:rFonts w:hint="eastAsia" w:ascii="宋体" w:hAnsi="宋体" w:cs="宋体"/>
                <w:szCs w:val="21"/>
                <w:lang w:eastAsia="zh-CN"/>
              </w:rPr>
              <w:t>）</w:t>
            </w:r>
            <w:r>
              <w:rPr>
                <w:rFonts w:hint="eastAsia" w:ascii="宋体" w:hAnsi="宋体" w:cs="宋体"/>
                <w:szCs w:val="21"/>
              </w:rPr>
              <w:t>最小离地间隙：≥500</w:t>
            </w:r>
          </w:p>
          <w:p w14:paraId="3CB07D8F">
            <w:pPr>
              <w:rPr>
                <w:rFonts w:hint="eastAsia" w:ascii="宋体" w:hAnsi="宋体" w:cs="宋体"/>
                <w:szCs w:val="21"/>
                <w:lang w:eastAsia="zh-Hans"/>
              </w:rPr>
            </w:pPr>
            <w:r>
              <w:rPr>
                <w:rFonts w:hint="eastAsia" w:ascii="宋体" w:hAnsi="宋体" w:cs="宋体"/>
                <w:szCs w:val="21"/>
              </w:rPr>
              <w:t>★</w:t>
            </w:r>
            <w:r>
              <w:rPr>
                <w:rFonts w:hint="eastAsia" w:ascii="宋体" w:hAnsi="宋体" w:cs="宋体"/>
                <w:szCs w:val="21"/>
                <w:lang w:eastAsia="zh-CN"/>
              </w:rPr>
              <w:t>（</w:t>
            </w:r>
            <w:r>
              <w:rPr>
                <w:rFonts w:hint="eastAsia" w:ascii="宋体" w:hAnsi="宋体" w:cs="宋体"/>
                <w:szCs w:val="21"/>
                <w:lang w:val="en-US" w:eastAsia="zh-CN"/>
              </w:rPr>
              <w:t>7</w:t>
            </w:r>
            <w:r>
              <w:rPr>
                <w:rFonts w:hint="eastAsia" w:ascii="宋体" w:hAnsi="宋体" w:cs="宋体"/>
                <w:szCs w:val="21"/>
                <w:lang w:eastAsia="zh-CN"/>
              </w:rPr>
              <w:t>）</w:t>
            </w:r>
            <w:r>
              <w:rPr>
                <w:rFonts w:hint="eastAsia" w:ascii="宋体" w:hAnsi="宋体" w:cs="宋体"/>
                <w:szCs w:val="21"/>
              </w:rPr>
              <w:t>工作行数：6行，行距30CM（提供第三方鉴定报告）</w:t>
            </w:r>
          </w:p>
          <w:p w14:paraId="59CDB642">
            <w:pPr>
              <w:rPr>
                <w:rFonts w:hint="eastAsia" w:ascii="宋体" w:hAnsi="宋体" w:cs="宋体"/>
                <w:szCs w:val="21"/>
                <w:lang w:eastAsia="zh-Hans"/>
              </w:rPr>
            </w:pPr>
            <w:r>
              <w:rPr>
                <w:rFonts w:hint="eastAsia" w:ascii="宋体" w:hAnsi="宋体" w:cs="宋体"/>
                <w:szCs w:val="21"/>
                <w:lang w:eastAsia="zh-CN"/>
              </w:rPr>
              <w:t>（</w:t>
            </w:r>
            <w:r>
              <w:rPr>
                <w:rFonts w:hint="eastAsia" w:ascii="宋体" w:hAnsi="宋体" w:cs="宋体"/>
                <w:szCs w:val="21"/>
                <w:lang w:val="en-US" w:eastAsia="zh-CN"/>
              </w:rPr>
              <w:t>8</w:t>
            </w:r>
            <w:r>
              <w:rPr>
                <w:rFonts w:hint="eastAsia" w:ascii="宋体" w:hAnsi="宋体" w:cs="宋体"/>
                <w:szCs w:val="21"/>
                <w:lang w:eastAsia="zh-CN"/>
              </w:rPr>
              <w:t>）</w:t>
            </w:r>
            <w:r>
              <w:rPr>
                <w:rFonts w:hint="eastAsia" w:ascii="宋体" w:hAnsi="宋体" w:cs="宋体"/>
                <w:szCs w:val="21"/>
              </w:rPr>
              <w:t xml:space="preserve">配置除草施药器及侧深施肥装置，能实现插秧、施药、施肥一体化作业。 </w:t>
            </w:r>
          </w:p>
          <w:p w14:paraId="43D5F49E">
            <w:pPr>
              <w:rPr>
                <w:rFonts w:hint="eastAsia" w:ascii="宋体" w:hAnsi="宋体" w:cs="宋体"/>
                <w:szCs w:val="21"/>
                <w:lang w:eastAsia="zh-Hans"/>
              </w:rPr>
            </w:pPr>
            <w:r>
              <w:rPr>
                <w:rFonts w:hint="eastAsia" w:ascii="宋体" w:hAnsi="宋体" w:cs="宋体"/>
                <w:szCs w:val="21"/>
              </w:rPr>
              <w:t>（</w:t>
            </w:r>
            <w:r>
              <w:rPr>
                <w:rFonts w:hint="eastAsia" w:ascii="宋体" w:hAnsi="宋体" w:cs="宋体"/>
                <w:szCs w:val="21"/>
                <w:lang w:val="en-US" w:eastAsia="zh-CN"/>
              </w:rPr>
              <w:t>一</w:t>
            </w:r>
            <w:r>
              <w:rPr>
                <w:rFonts w:hint="eastAsia" w:ascii="宋体" w:hAnsi="宋体" w:cs="宋体"/>
                <w:szCs w:val="21"/>
              </w:rPr>
              <w:t>）</w:t>
            </w:r>
            <w:r>
              <w:rPr>
                <w:rFonts w:hint="eastAsia" w:ascii="宋体" w:hAnsi="宋体" w:cs="宋体"/>
                <w:szCs w:val="21"/>
                <w:lang w:eastAsia="zh-Hans"/>
              </w:rPr>
              <w:t>无人驾驶系统技术参数</w:t>
            </w:r>
          </w:p>
          <w:p w14:paraId="27015AC8">
            <w:pPr>
              <w:rPr>
                <w:rFonts w:hint="eastAsia" w:ascii="宋体" w:hAnsi="宋体" w:cs="宋体"/>
                <w:szCs w:val="21"/>
                <w:lang w:eastAsia="zh-Hans"/>
              </w:rPr>
            </w:pPr>
            <w:r>
              <w:rPr>
                <w:rFonts w:hint="eastAsia" w:ascii="宋体" w:hAnsi="宋体" w:cs="宋体"/>
                <w:szCs w:val="21"/>
                <w:lang w:eastAsia="zh-Hans"/>
              </w:rPr>
              <w:t>(1)采用电动方向盘控制方案，行走控制精度±2.5cm</w:t>
            </w:r>
          </w:p>
          <w:p w14:paraId="7A0481CC">
            <w:pPr>
              <w:rPr>
                <w:rFonts w:hint="eastAsia" w:ascii="宋体" w:hAnsi="宋体" w:cs="宋体"/>
                <w:szCs w:val="21"/>
                <w:lang w:eastAsia="zh-Hans"/>
              </w:rPr>
            </w:pPr>
            <w:r>
              <w:rPr>
                <w:rFonts w:hint="eastAsia" w:ascii="宋体" w:hAnsi="宋体" w:cs="宋体"/>
                <w:szCs w:val="21"/>
                <w:lang w:eastAsia="zh-Hans"/>
              </w:rPr>
              <w:t>(2)插秧机自动加速减速掉头，支持作业速度预设，可根据实际情况预设车辆的作业速度及调头转弯速度</w:t>
            </w:r>
          </w:p>
          <w:p w14:paraId="19F46978">
            <w:pPr>
              <w:rPr>
                <w:rFonts w:hint="eastAsia" w:ascii="宋体" w:hAnsi="宋体" w:cs="宋体"/>
                <w:szCs w:val="21"/>
                <w:lang w:eastAsia="zh-Hans"/>
              </w:rPr>
            </w:pPr>
            <w:r>
              <w:rPr>
                <w:rFonts w:hint="eastAsia" w:ascii="宋体" w:hAnsi="宋体" w:cs="宋体"/>
                <w:szCs w:val="21"/>
                <w:lang w:eastAsia="zh-Hans"/>
              </w:rPr>
              <w:t>(3)插秧机自动加减速，支持作业速度预设。</w:t>
            </w:r>
          </w:p>
          <w:p w14:paraId="507EEBE5">
            <w:pPr>
              <w:rPr>
                <w:rFonts w:hint="eastAsia" w:ascii="宋体" w:hAnsi="宋体" w:cs="宋体"/>
                <w:szCs w:val="21"/>
                <w:lang w:eastAsia="zh-Hans"/>
              </w:rPr>
            </w:pPr>
            <w:r>
              <w:rPr>
                <w:rFonts w:hint="eastAsia" w:ascii="宋体" w:hAnsi="宋体" w:cs="宋体"/>
                <w:szCs w:val="21"/>
                <w:lang w:eastAsia="zh-Hans"/>
              </w:rPr>
              <w:t>(4)具备调头功能，可根据实际情况预设车辆的调头转弯速度</w:t>
            </w:r>
          </w:p>
          <w:p w14:paraId="302C9F16">
            <w:pPr>
              <w:rPr>
                <w:rFonts w:hint="eastAsia" w:ascii="宋体" w:hAnsi="宋体" w:cs="宋体"/>
                <w:szCs w:val="21"/>
                <w:lang w:eastAsia="zh-Hans"/>
              </w:rPr>
            </w:pPr>
            <w:r>
              <w:rPr>
                <w:rFonts w:hint="eastAsia" w:ascii="宋体" w:hAnsi="宋体" w:cs="宋体"/>
                <w:szCs w:val="21"/>
                <w:lang w:eastAsia="zh-Hans"/>
              </w:rPr>
              <w:t>(5)插秧机秧箱自动起落控制</w:t>
            </w:r>
          </w:p>
          <w:p w14:paraId="3ADFE23D">
            <w:pPr>
              <w:rPr>
                <w:rFonts w:hint="eastAsia" w:ascii="宋体" w:hAnsi="宋体" w:cs="宋体"/>
                <w:szCs w:val="21"/>
                <w:lang w:eastAsia="zh-Hans"/>
              </w:rPr>
            </w:pPr>
            <w:r>
              <w:rPr>
                <w:rFonts w:hint="eastAsia" w:ascii="宋体" w:hAnsi="宋体" w:cs="宋体"/>
                <w:szCs w:val="21"/>
                <w:lang w:eastAsia="zh-Hans"/>
              </w:rPr>
              <w:t>(6)插植部分自动耦合和分离控制</w:t>
            </w:r>
          </w:p>
          <w:p w14:paraId="39F7106F">
            <w:pPr>
              <w:rPr>
                <w:rFonts w:hint="eastAsia" w:ascii="宋体" w:hAnsi="宋体" w:cs="宋体"/>
                <w:szCs w:val="21"/>
                <w:lang w:eastAsia="zh-Hans"/>
              </w:rPr>
            </w:pPr>
            <w:r>
              <w:rPr>
                <w:rFonts w:hint="eastAsia" w:ascii="宋体" w:hAnsi="宋体" w:cs="宋体"/>
                <w:szCs w:val="21"/>
                <w:lang w:eastAsia="zh-Hans"/>
              </w:rPr>
              <w:t>(7)</w:t>
            </w:r>
            <w:r>
              <w:rPr>
                <w:rFonts w:hint="eastAsia" w:ascii="宋体" w:hAnsi="宋体" w:cs="宋体"/>
                <w:szCs w:val="21"/>
              </w:rPr>
              <w:t>▲</w:t>
            </w:r>
            <w:r>
              <w:rPr>
                <w:rFonts w:hint="eastAsia" w:ascii="宋体" w:hAnsi="宋体" w:cs="宋体"/>
                <w:szCs w:val="21"/>
                <w:lang w:eastAsia="zh-Hans"/>
              </w:rPr>
              <w:t>同时支持遥控、无人、手动三种模式作业，同时可在手机app端呈现农机作业实时轨迹及现场视频画面（需提供手机APP的软件截图。）</w:t>
            </w:r>
          </w:p>
          <w:p w14:paraId="563E36BC">
            <w:pPr>
              <w:rPr>
                <w:rFonts w:hint="eastAsia" w:ascii="宋体" w:hAnsi="宋体" w:cs="宋体"/>
                <w:szCs w:val="21"/>
                <w:lang w:eastAsia="zh-Hans"/>
              </w:rPr>
            </w:pPr>
            <w:r>
              <w:rPr>
                <w:rFonts w:hint="eastAsia" w:ascii="宋体" w:hAnsi="宋体" w:cs="宋体"/>
                <w:szCs w:val="21"/>
                <w:lang w:eastAsia="zh-Hans"/>
              </w:rPr>
              <w:t>(8)支持云端一键控制车辆、支持云端一键下发智能路径</w:t>
            </w:r>
          </w:p>
          <w:p w14:paraId="2BC69DEB">
            <w:pPr>
              <w:rPr>
                <w:rFonts w:hint="eastAsia" w:ascii="宋体" w:hAnsi="宋体" w:cs="宋体"/>
                <w:szCs w:val="21"/>
                <w:lang w:eastAsia="zh-Hans"/>
              </w:rPr>
            </w:pPr>
            <w:r>
              <w:rPr>
                <w:rFonts w:hint="eastAsia" w:ascii="宋体" w:hAnsi="宋体" w:cs="宋体"/>
                <w:szCs w:val="21"/>
                <w:lang w:eastAsia="zh-Hans"/>
              </w:rPr>
              <w:t>(9)支持查询实时作业轨迹、历史作业轨迹，实时作业面积以及历史作业面积，该信息支持平台与微信小程序共同查看；</w:t>
            </w:r>
          </w:p>
          <w:p w14:paraId="7DA50F1E">
            <w:pPr>
              <w:rPr>
                <w:rFonts w:hint="eastAsia" w:ascii="宋体" w:hAnsi="宋体" w:cs="宋体"/>
                <w:szCs w:val="21"/>
                <w:lang w:eastAsia="zh-Hans"/>
              </w:rPr>
            </w:pPr>
            <w:r>
              <w:rPr>
                <w:rFonts w:hint="eastAsia" w:ascii="宋体" w:hAnsi="宋体" w:cs="宋体"/>
                <w:szCs w:val="21"/>
                <w:lang w:eastAsia="zh-Hans"/>
              </w:rPr>
              <w:t>(10)</w:t>
            </w:r>
            <w:r>
              <w:rPr>
                <w:rFonts w:hint="eastAsia" w:ascii="宋体" w:hAnsi="宋体" w:cs="宋体"/>
                <w:szCs w:val="21"/>
              </w:rPr>
              <w:t>▲</w:t>
            </w:r>
            <w:r>
              <w:rPr>
                <w:rFonts w:hint="eastAsia" w:ascii="宋体" w:hAnsi="宋体" w:cs="宋体"/>
                <w:szCs w:val="21"/>
                <w:lang w:eastAsia="zh-Hans"/>
              </w:rPr>
              <w:t>支持远程调试车辆参数，实时反馈终端软件界面，便于排查问题。（</w:t>
            </w:r>
            <w:r>
              <w:rPr>
                <w:rFonts w:hint="eastAsia" w:ascii="宋体" w:hAnsi="宋体" w:cs="宋体"/>
                <w:szCs w:val="21"/>
              </w:rPr>
              <w:t>提供功能截图并加盖厂家公章</w:t>
            </w:r>
            <w:r>
              <w:rPr>
                <w:rFonts w:hint="eastAsia" w:ascii="宋体" w:hAnsi="宋体" w:cs="宋体"/>
                <w:szCs w:val="21"/>
                <w:lang w:eastAsia="zh-Hans"/>
              </w:rPr>
              <w:t>）</w:t>
            </w:r>
          </w:p>
          <w:p w14:paraId="4041EE6E">
            <w:pPr>
              <w:rPr>
                <w:rFonts w:hint="eastAsia" w:ascii="宋体" w:hAnsi="宋体" w:cs="宋体"/>
                <w:szCs w:val="21"/>
                <w:lang w:eastAsia="zh-Hans"/>
              </w:rPr>
            </w:pPr>
            <w:r>
              <w:rPr>
                <w:rFonts w:hint="eastAsia" w:ascii="宋体" w:hAnsi="宋体" w:cs="宋体"/>
                <w:szCs w:val="21"/>
                <w:lang w:eastAsia="zh-Hans"/>
              </w:rPr>
              <w:t>(11)</w:t>
            </w:r>
            <w:r>
              <w:rPr>
                <w:rFonts w:hint="eastAsia" w:ascii="宋体" w:hAnsi="宋体" w:cs="宋体"/>
                <w:szCs w:val="21"/>
              </w:rPr>
              <w:t>▲</w:t>
            </w:r>
            <w:r>
              <w:rPr>
                <w:rFonts w:hint="eastAsia" w:ascii="宋体" w:hAnsi="宋体" w:cs="宋体"/>
                <w:szCs w:val="21"/>
                <w:lang w:eastAsia="zh-Hans"/>
              </w:rPr>
              <w:t>无人驾驶插秧机系统，需通过农业机械试验鉴定；（提供第三方专项鉴定报告）</w:t>
            </w:r>
          </w:p>
          <w:p w14:paraId="3C64C79B">
            <w:pPr>
              <w:rPr>
                <w:rFonts w:hint="eastAsia" w:ascii="宋体" w:hAnsi="宋体" w:cs="宋体"/>
                <w:szCs w:val="21"/>
              </w:rPr>
            </w:pPr>
            <w:r>
              <w:rPr>
                <w:rFonts w:hint="eastAsia" w:ascii="宋体" w:hAnsi="宋体" w:cs="宋体"/>
                <w:szCs w:val="21"/>
              </w:rPr>
              <w:t>（12）▲支持单北斗卫星导航定位（具备第三方检测报告）</w:t>
            </w:r>
          </w:p>
          <w:p w14:paraId="014A5064">
            <w:pPr>
              <w:rPr>
                <w:rFonts w:hint="eastAsia" w:ascii="宋体" w:hAnsi="宋体" w:cs="宋体"/>
                <w:szCs w:val="21"/>
                <w:lang w:eastAsia="zh-Hans"/>
              </w:rPr>
            </w:pPr>
            <w:r>
              <w:rPr>
                <w:rFonts w:hint="eastAsia" w:ascii="宋体" w:hAnsi="宋体" w:cs="宋体"/>
                <w:szCs w:val="21"/>
                <w:lang w:eastAsia="zh-Hans"/>
              </w:rPr>
              <w:t>（二）无人驾驶插秧机系统参数：</w:t>
            </w:r>
          </w:p>
          <w:p w14:paraId="1AFABFF5">
            <w:pPr>
              <w:rPr>
                <w:rFonts w:hint="eastAsia" w:ascii="宋体" w:hAnsi="宋体" w:cs="宋体"/>
                <w:szCs w:val="21"/>
                <w:lang w:eastAsia="zh-Hans"/>
              </w:rPr>
            </w:pPr>
            <w:r>
              <w:rPr>
                <w:rFonts w:hint="eastAsia" w:ascii="宋体" w:hAnsi="宋体" w:cs="宋体"/>
                <w:szCs w:val="21"/>
                <w:lang w:eastAsia="zh-Hans"/>
              </w:rPr>
              <w:t>1、智能显控终端：</w:t>
            </w:r>
          </w:p>
          <w:p w14:paraId="20A2D341">
            <w:pPr>
              <w:rPr>
                <w:rFonts w:hint="eastAsia" w:ascii="宋体" w:hAnsi="宋体" w:cs="宋体"/>
                <w:szCs w:val="21"/>
                <w:lang w:eastAsia="zh-Hans"/>
              </w:rPr>
            </w:pPr>
            <w:r>
              <w:rPr>
                <w:rFonts w:hint="eastAsia" w:ascii="宋体" w:hAnsi="宋体" w:cs="宋体"/>
                <w:szCs w:val="21"/>
                <w:lang w:eastAsia="zh-Hans"/>
              </w:rPr>
              <w:t>(1)供电电压：DC 9～36V，带正负极性反接保护，支持断电检测；</w:t>
            </w:r>
          </w:p>
          <w:p w14:paraId="218F1AE7">
            <w:pPr>
              <w:rPr>
                <w:rFonts w:hint="eastAsia" w:ascii="宋体" w:hAnsi="宋体" w:cs="宋体"/>
                <w:szCs w:val="21"/>
                <w:lang w:eastAsia="zh-Hans"/>
              </w:rPr>
            </w:pPr>
            <w:r>
              <w:rPr>
                <w:rFonts w:hint="eastAsia" w:ascii="宋体" w:hAnsi="宋体" w:cs="宋体"/>
                <w:szCs w:val="21"/>
                <w:lang w:eastAsia="zh-Hans"/>
              </w:rPr>
              <w:t>(2)工作温度：-40℃～+70℃ ；</w:t>
            </w:r>
          </w:p>
          <w:p w14:paraId="0A07C72E">
            <w:pPr>
              <w:rPr>
                <w:rFonts w:hint="eastAsia" w:ascii="宋体" w:hAnsi="宋体" w:cs="宋体"/>
                <w:szCs w:val="21"/>
                <w:lang w:eastAsia="zh-Hans"/>
              </w:rPr>
            </w:pPr>
            <w:r>
              <w:rPr>
                <w:rFonts w:hint="eastAsia" w:ascii="宋体" w:hAnsi="宋体" w:cs="宋体"/>
                <w:szCs w:val="21"/>
                <w:lang w:eastAsia="zh-Hans"/>
              </w:rPr>
              <w:t>(3)分辨率：≥1024×600P ；</w:t>
            </w:r>
          </w:p>
          <w:p w14:paraId="6770F4D5">
            <w:pPr>
              <w:rPr>
                <w:rFonts w:hint="eastAsia" w:ascii="宋体" w:hAnsi="宋体" w:cs="宋体"/>
                <w:szCs w:val="21"/>
                <w:lang w:eastAsia="zh-Hans"/>
              </w:rPr>
            </w:pPr>
            <w:r>
              <w:rPr>
                <w:rFonts w:hint="eastAsia" w:ascii="宋体" w:hAnsi="宋体" w:cs="宋体"/>
                <w:szCs w:val="21"/>
                <w:lang w:eastAsia="zh-Hans"/>
              </w:rPr>
              <w:t>(4)屏幕尺寸：≥10寸电容式触摸屏，支持10指触摸；</w:t>
            </w:r>
          </w:p>
          <w:p w14:paraId="736D6BA6">
            <w:pPr>
              <w:rPr>
                <w:rFonts w:hint="eastAsia" w:ascii="宋体" w:hAnsi="宋体" w:cs="宋体"/>
                <w:szCs w:val="21"/>
                <w:lang w:eastAsia="zh-Hans"/>
              </w:rPr>
            </w:pPr>
            <w:r>
              <w:rPr>
                <w:rFonts w:hint="eastAsia" w:ascii="宋体" w:hAnsi="宋体" w:cs="宋体"/>
                <w:szCs w:val="21"/>
                <w:lang w:eastAsia="zh-Hans"/>
              </w:rPr>
              <w:t>(5)屏幕素质：分辨率不低于1024×600P, 亮度低于750nits；</w:t>
            </w:r>
          </w:p>
          <w:p w14:paraId="47C7C6C6">
            <w:pPr>
              <w:rPr>
                <w:rFonts w:hint="eastAsia" w:ascii="宋体" w:hAnsi="宋体" w:cs="宋体"/>
                <w:szCs w:val="21"/>
                <w:lang w:eastAsia="zh-Hans"/>
              </w:rPr>
            </w:pPr>
            <w:r>
              <w:rPr>
                <w:rFonts w:hint="eastAsia" w:ascii="宋体" w:hAnsi="宋体" w:cs="宋体"/>
                <w:szCs w:val="21"/>
                <w:lang w:eastAsia="zh-Hans"/>
              </w:rPr>
              <w:t>(6)▲防护等级： ≥IP67 （需提供专业机构提供的检测报告复印件加盖投标人公章）；</w:t>
            </w:r>
          </w:p>
          <w:p w14:paraId="5621835A">
            <w:pPr>
              <w:rPr>
                <w:rFonts w:hint="eastAsia" w:ascii="宋体" w:hAnsi="宋体" w:cs="宋体"/>
                <w:szCs w:val="21"/>
                <w:lang w:eastAsia="zh-Hans"/>
              </w:rPr>
            </w:pPr>
            <w:r>
              <w:rPr>
                <w:rFonts w:hint="eastAsia" w:ascii="宋体" w:hAnsi="宋体" w:cs="宋体"/>
                <w:szCs w:val="21"/>
                <w:lang w:eastAsia="zh-Hans"/>
              </w:rPr>
              <w:t>2、驱动电机：</w:t>
            </w:r>
          </w:p>
          <w:p w14:paraId="5EB90356">
            <w:pPr>
              <w:rPr>
                <w:rFonts w:hint="eastAsia" w:ascii="宋体" w:hAnsi="宋体" w:cs="宋体"/>
                <w:szCs w:val="21"/>
                <w:lang w:eastAsia="zh-Hans"/>
              </w:rPr>
            </w:pPr>
            <w:r>
              <w:rPr>
                <w:rFonts w:hint="eastAsia" w:ascii="宋体" w:hAnsi="宋体" w:cs="宋体"/>
                <w:szCs w:val="21"/>
                <w:lang w:eastAsia="zh-Hans"/>
              </w:rPr>
              <w:t>(1)通讯协议：ModBUS、CAN；</w:t>
            </w:r>
          </w:p>
          <w:p w14:paraId="7AC1ECCE">
            <w:pPr>
              <w:rPr>
                <w:rFonts w:hint="eastAsia" w:ascii="宋体" w:hAnsi="宋体" w:cs="宋体"/>
                <w:szCs w:val="21"/>
                <w:lang w:eastAsia="zh-Hans"/>
              </w:rPr>
            </w:pPr>
            <w:r>
              <w:rPr>
                <w:rFonts w:hint="eastAsia" w:ascii="宋体" w:hAnsi="宋体" w:cs="宋体"/>
                <w:szCs w:val="21"/>
                <w:lang w:eastAsia="zh-Hans"/>
              </w:rPr>
              <w:t>(2)防水等级：IP67及以上；</w:t>
            </w:r>
          </w:p>
          <w:p w14:paraId="7CA6909F">
            <w:pPr>
              <w:rPr>
                <w:rFonts w:hint="eastAsia" w:ascii="宋体" w:hAnsi="宋体" w:cs="宋体"/>
                <w:szCs w:val="21"/>
                <w:lang w:eastAsia="zh-Hans"/>
              </w:rPr>
            </w:pPr>
            <w:r>
              <w:rPr>
                <w:rFonts w:hint="eastAsia" w:ascii="宋体" w:hAnsi="宋体" w:cs="宋体"/>
                <w:szCs w:val="21"/>
                <w:lang w:eastAsia="zh-Hans"/>
              </w:rPr>
              <w:t>(3)额定转速：≥100rpm；</w:t>
            </w:r>
          </w:p>
          <w:p w14:paraId="1D071249">
            <w:pPr>
              <w:rPr>
                <w:rFonts w:hint="eastAsia" w:ascii="宋体" w:hAnsi="宋体" w:cs="宋体"/>
                <w:szCs w:val="21"/>
                <w:lang w:eastAsia="zh-Hans"/>
              </w:rPr>
            </w:pPr>
            <w:r>
              <w:rPr>
                <w:rFonts w:hint="eastAsia" w:ascii="宋体" w:hAnsi="宋体" w:cs="宋体"/>
                <w:szCs w:val="21"/>
                <w:lang w:eastAsia="zh-Hans"/>
              </w:rPr>
              <w:t>(4)额定转矩：≥10N·m ；</w:t>
            </w:r>
          </w:p>
          <w:p w14:paraId="33552B00">
            <w:pPr>
              <w:rPr>
                <w:rFonts w:hint="eastAsia" w:ascii="宋体" w:hAnsi="宋体" w:cs="宋体"/>
                <w:szCs w:val="21"/>
                <w:lang w:eastAsia="zh-Hans"/>
              </w:rPr>
            </w:pPr>
            <w:r>
              <w:rPr>
                <w:rFonts w:hint="eastAsia" w:ascii="宋体" w:hAnsi="宋体" w:cs="宋体"/>
                <w:szCs w:val="21"/>
                <w:lang w:eastAsia="zh-Hans"/>
              </w:rPr>
              <w:t>3、无人驾驶控制器：</w:t>
            </w:r>
          </w:p>
          <w:p w14:paraId="655F667B">
            <w:pPr>
              <w:rPr>
                <w:rFonts w:hint="eastAsia" w:ascii="宋体" w:hAnsi="宋体" w:cs="宋体"/>
                <w:szCs w:val="21"/>
                <w:lang w:eastAsia="zh-Hans"/>
              </w:rPr>
            </w:pPr>
            <w:r>
              <w:rPr>
                <w:rFonts w:hint="eastAsia" w:ascii="宋体" w:hAnsi="宋体" w:cs="宋体"/>
                <w:szCs w:val="21"/>
                <w:lang w:eastAsia="zh-Hans"/>
              </w:rPr>
              <w:t>(1)DC-DC电源：5.7VDC~32VDC宽范围供电，能够提供稳定的12VDC，5VDC，3.3V输出电压；</w:t>
            </w:r>
          </w:p>
          <w:p w14:paraId="17EB6177">
            <w:pPr>
              <w:rPr>
                <w:rFonts w:hint="eastAsia" w:ascii="宋体" w:hAnsi="宋体" w:cs="宋体"/>
                <w:szCs w:val="21"/>
                <w:lang w:eastAsia="zh-Hans"/>
              </w:rPr>
            </w:pPr>
            <w:r>
              <w:rPr>
                <w:rFonts w:hint="eastAsia" w:ascii="宋体" w:hAnsi="宋体" w:cs="宋体"/>
                <w:szCs w:val="21"/>
              </w:rPr>
              <w:t>（2）</w:t>
            </w:r>
            <w:r>
              <w:rPr>
                <w:rFonts w:hint="eastAsia" w:ascii="宋体" w:hAnsi="宋体" w:cs="宋体"/>
                <w:szCs w:val="21"/>
                <w:lang w:eastAsia="zh-Hans"/>
              </w:rPr>
              <w:t>通用模拟量输入：0-5V模拟电压输入；4-20mA模拟电流输入；5V/3.3脉冲输入；12V/5V电压开关量输入，需要至少0.4%的相对精度。</w:t>
            </w:r>
          </w:p>
        </w:tc>
      </w:tr>
      <w:tr w14:paraId="2FE6C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6C9ECE1F">
            <w:pPr>
              <w:jc w:val="center"/>
              <w:rPr>
                <w:rFonts w:hint="eastAsia" w:ascii="宋体" w:hAnsi="宋体" w:cs="宋体"/>
                <w:szCs w:val="21"/>
              </w:rPr>
            </w:pPr>
            <w:r>
              <w:rPr>
                <w:rFonts w:hint="eastAsia" w:ascii="宋体" w:hAnsi="宋体" w:cs="宋体"/>
                <w:szCs w:val="21"/>
              </w:rPr>
              <w:t>2</w:t>
            </w:r>
          </w:p>
        </w:tc>
        <w:tc>
          <w:tcPr>
            <w:tcW w:w="653" w:type="pct"/>
            <w:vAlign w:val="center"/>
          </w:tcPr>
          <w:p w14:paraId="235659D3">
            <w:pPr>
              <w:jc w:val="center"/>
              <w:rPr>
                <w:rFonts w:hint="eastAsia" w:ascii="宋体" w:hAnsi="宋体" w:cs="宋体"/>
                <w:szCs w:val="21"/>
              </w:rPr>
            </w:pPr>
            <w:r>
              <w:rPr>
                <w:rFonts w:hint="eastAsia" w:ascii="宋体" w:hAnsi="宋体" w:cs="宋体"/>
                <w:szCs w:val="21"/>
                <w:lang w:eastAsia="zh-Hans"/>
              </w:rPr>
              <w:t>无人驾驶</w:t>
            </w:r>
            <w:r>
              <w:rPr>
                <w:rFonts w:hint="eastAsia" w:ascii="宋体" w:hAnsi="宋体" w:cs="宋体"/>
                <w:szCs w:val="21"/>
              </w:rPr>
              <w:t>全喂入</w:t>
            </w:r>
            <w:r>
              <w:rPr>
                <w:rFonts w:hint="eastAsia" w:ascii="宋体" w:hAnsi="宋体" w:cs="宋体"/>
                <w:szCs w:val="21"/>
                <w:lang w:eastAsia="zh-Hans"/>
              </w:rPr>
              <w:t>收割机</w:t>
            </w:r>
          </w:p>
        </w:tc>
        <w:tc>
          <w:tcPr>
            <w:tcW w:w="510" w:type="pct"/>
            <w:vAlign w:val="center"/>
          </w:tcPr>
          <w:p w14:paraId="42C0B01F">
            <w:pPr>
              <w:rPr>
                <w:rFonts w:hint="eastAsia" w:ascii="宋体" w:hAnsi="宋体" w:cs="宋体"/>
                <w:szCs w:val="21"/>
              </w:rPr>
            </w:pPr>
            <w:r>
              <w:rPr>
                <w:rFonts w:hint="eastAsia" w:ascii="宋体" w:hAnsi="宋体" w:cs="宋体"/>
                <w:szCs w:val="21"/>
              </w:rPr>
              <w:t>1台</w:t>
            </w:r>
          </w:p>
        </w:tc>
        <w:tc>
          <w:tcPr>
            <w:tcW w:w="3410" w:type="pct"/>
            <w:vAlign w:val="center"/>
          </w:tcPr>
          <w:p w14:paraId="75315F23">
            <w:pPr>
              <w:rPr>
                <w:rFonts w:hint="eastAsia" w:ascii="宋体" w:hAnsi="宋体" w:cs="宋体"/>
                <w:szCs w:val="21"/>
                <w:lang w:eastAsia="zh-Hans"/>
              </w:rPr>
            </w:pPr>
            <w:r>
              <w:rPr>
                <w:rFonts w:hint="eastAsia" w:ascii="宋体" w:hAnsi="宋体" w:cs="宋体"/>
                <w:szCs w:val="21"/>
                <w:lang w:val="en-US" w:eastAsia="zh-CN"/>
              </w:rPr>
              <w:t>4、</w:t>
            </w:r>
            <w:r>
              <w:rPr>
                <w:rFonts w:hint="eastAsia" w:ascii="宋体" w:hAnsi="宋体" w:cs="宋体"/>
                <w:szCs w:val="21"/>
                <w:lang w:eastAsia="zh-Hans"/>
              </w:rPr>
              <w:t>收割机技术参数</w:t>
            </w:r>
          </w:p>
          <w:p w14:paraId="021BC5AB">
            <w:pPr>
              <w:rPr>
                <w:rFonts w:hint="eastAsia" w:ascii="宋体" w:hAnsi="宋体" w:cs="宋体"/>
                <w:szCs w:val="21"/>
              </w:rPr>
            </w:pPr>
            <w:r>
              <w:rPr>
                <w:rFonts w:hint="eastAsia" w:ascii="宋体" w:hAnsi="宋体" w:cs="宋体"/>
                <w:szCs w:val="21"/>
              </w:rPr>
              <w:t>★</w:t>
            </w:r>
            <w:r>
              <w:rPr>
                <w:rFonts w:hint="eastAsia" w:ascii="宋体" w:hAnsi="宋体" w:cs="宋体"/>
                <w:szCs w:val="21"/>
                <w:lang w:eastAsia="zh-CN"/>
              </w:rPr>
              <w:t>（</w:t>
            </w:r>
            <w:r>
              <w:rPr>
                <w:rFonts w:hint="eastAsia" w:ascii="宋体" w:hAnsi="宋体" w:cs="宋体"/>
                <w:szCs w:val="21"/>
                <w:lang w:val="en-US" w:eastAsia="zh-CN"/>
              </w:rPr>
              <w:t>1</w:t>
            </w:r>
            <w:r>
              <w:rPr>
                <w:rFonts w:hint="eastAsia" w:ascii="宋体" w:hAnsi="宋体" w:cs="宋体"/>
                <w:szCs w:val="21"/>
                <w:lang w:eastAsia="zh-CN"/>
              </w:rPr>
              <w:t>）</w:t>
            </w:r>
            <w:r>
              <w:rPr>
                <w:rFonts w:hint="eastAsia" w:ascii="宋体" w:hAnsi="宋体" w:cs="宋体"/>
                <w:szCs w:val="21"/>
              </w:rPr>
              <w:t>发动机标定功率≥99.5kW（提供第三方鉴定报告）</w:t>
            </w:r>
          </w:p>
          <w:p w14:paraId="7E7ADFA6">
            <w:pPr>
              <w:rPr>
                <w:rFonts w:hint="eastAsia" w:ascii="宋体" w:hAnsi="宋体" w:cs="宋体"/>
                <w:szCs w:val="21"/>
              </w:rPr>
            </w:pPr>
            <w:r>
              <w:rPr>
                <w:rFonts w:hint="eastAsia" w:ascii="宋体" w:hAnsi="宋体" w:cs="宋体"/>
                <w:szCs w:val="21"/>
              </w:rPr>
              <w:t>★</w:t>
            </w:r>
            <w:r>
              <w:rPr>
                <w:rFonts w:hint="eastAsia" w:ascii="宋体" w:hAnsi="宋体" w:cs="宋体"/>
                <w:szCs w:val="21"/>
                <w:lang w:eastAsia="zh-CN"/>
              </w:rPr>
              <w:t>（</w:t>
            </w:r>
            <w:r>
              <w:rPr>
                <w:rFonts w:hint="eastAsia" w:ascii="宋体" w:hAnsi="宋体" w:cs="宋体"/>
                <w:szCs w:val="21"/>
                <w:lang w:val="en-US" w:eastAsia="zh-CN"/>
              </w:rPr>
              <w:t>2</w:t>
            </w:r>
            <w:r>
              <w:rPr>
                <w:rFonts w:hint="eastAsia" w:ascii="宋体" w:hAnsi="宋体" w:cs="宋体"/>
                <w:szCs w:val="21"/>
                <w:lang w:eastAsia="zh-CN"/>
              </w:rPr>
              <w:t>）</w:t>
            </w:r>
            <w:r>
              <w:rPr>
                <w:rFonts w:hint="eastAsia" w:ascii="宋体" w:hAnsi="宋体" w:cs="宋体"/>
                <w:szCs w:val="21"/>
              </w:rPr>
              <w:t>喂入量≥8kg/s（提供第三方鉴定报告）</w:t>
            </w:r>
          </w:p>
          <w:p w14:paraId="4AE2DBCB">
            <w:pPr>
              <w:rPr>
                <w:rFonts w:hint="eastAsia" w:ascii="宋体" w:hAnsi="宋体" w:cs="宋体"/>
                <w:szCs w:val="21"/>
              </w:rPr>
            </w:pP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rPr>
              <w:t>割台工作幅宽≥2200mm</w:t>
            </w:r>
          </w:p>
          <w:p w14:paraId="7C16C84B">
            <w:pPr>
              <w:rPr>
                <w:rFonts w:hint="eastAsia" w:ascii="宋体" w:hAnsi="宋体" w:cs="宋体"/>
                <w:szCs w:val="21"/>
              </w:rPr>
            </w:pPr>
            <w:r>
              <w:rPr>
                <w:rFonts w:hint="eastAsia" w:ascii="宋体" w:hAnsi="宋体" w:cs="宋体"/>
                <w:szCs w:val="21"/>
                <w:lang w:eastAsia="zh-CN"/>
              </w:rPr>
              <w:t>（</w:t>
            </w:r>
            <w:r>
              <w:rPr>
                <w:rFonts w:hint="eastAsia" w:ascii="宋体" w:hAnsi="宋体" w:cs="宋体"/>
                <w:szCs w:val="21"/>
                <w:lang w:val="en-US" w:eastAsia="zh-CN"/>
              </w:rPr>
              <w:t>4</w:t>
            </w:r>
            <w:r>
              <w:rPr>
                <w:rFonts w:hint="eastAsia" w:ascii="宋体" w:hAnsi="宋体" w:cs="宋体"/>
                <w:szCs w:val="21"/>
                <w:lang w:eastAsia="zh-CN"/>
              </w:rPr>
              <w:t>）</w:t>
            </w:r>
            <w:r>
              <w:rPr>
                <w:rFonts w:hint="eastAsia" w:ascii="宋体" w:hAnsi="宋体" w:cs="宋体"/>
                <w:szCs w:val="21"/>
              </w:rPr>
              <w:t>操纵部分液压无级变速</w:t>
            </w:r>
          </w:p>
          <w:p w14:paraId="110EE560">
            <w:pPr>
              <w:rPr>
                <w:rFonts w:hint="eastAsia" w:ascii="宋体" w:hAnsi="宋体" w:cs="宋体"/>
                <w:szCs w:val="21"/>
              </w:rPr>
            </w:pPr>
            <w:r>
              <w:rPr>
                <w:rFonts w:hint="eastAsia" w:ascii="宋体" w:hAnsi="宋体" w:cs="宋体"/>
                <w:szCs w:val="21"/>
                <w:lang w:eastAsia="zh-CN"/>
              </w:rPr>
              <w:t>（</w:t>
            </w:r>
            <w:r>
              <w:rPr>
                <w:rFonts w:hint="eastAsia" w:ascii="宋体" w:hAnsi="宋体" w:cs="宋体"/>
                <w:szCs w:val="21"/>
                <w:lang w:val="en-US" w:eastAsia="zh-CN"/>
              </w:rPr>
              <w:t>5</w:t>
            </w:r>
            <w:r>
              <w:rPr>
                <w:rFonts w:hint="eastAsia" w:ascii="宋体" w:hAnsi="宋体" w:cs="宋体"/>
                <w:szCs w:val="21"/>
                <w:lang w:eastAsia="zh-CN"/>
              </w:rPr>
              <w:t>）</w:t>
            </w:r>
            <w:r>
              <w:rPr>
                <w:rFonts w:hint="eastAsia" w:ascii="宋体" w:hAnsi="宋体" w:cs="宋体"/>
                <w:szCs w:val="21"/>
              </w:rPr>
              <w:t>最小离地间隙≥320mm</w:t>
            </w:r>
          </w:p>
          <w:p w14:paraId="03825EBB">
            <w:pPr>
              <w:rPr>
                <w:rFonts w:hint="eastAsia" w:ascii="宋体" w:hAnsi="宋体" w:cs="宋体"/>
                <w:szCs w:val="21"/>
              </w:rPr>
            </w:pPr>
            <w:r>
              <w:rPr>
                <w:rFonts w:hint="eastAsia" w:ascii="宋体" w:hAnsi="宋体" w:cs="宋体"/>
                <w:szCs w:val="21"/>
              </w:rPr>
              <w:t>（6）可配备前装无人驾驶系统</w:t>
            </w:r>
          </w:p>
          <w:p w14:paraId="3B78F105">
            <w:pPr>
              <w:rPr>
                <w:rFonts w:hint="eastAsia" w:ascii="宋体" w:hAnsi="宋体" w:cs="宋体"/>
                <w:szCs w:val="21"/>
              </w:rPr>
            </w:pPr>
            <w:r>
              <w:rPr>
                <w:rFonts w:hint="eastAsia" w:ascii="宋体" w:hAnsi="宋体" w:cs="宋体"/>
                <w:szCs w:val="21"/>
              </w:rPr>
              <w:t>（一）无人驾驶收割机功能：</w:t>
            </w:r>
          </w:p>
          <w:p w14:paraId="29C3126D">
            <w:pPr>
              <w:rPr>
                <w:rFonts w:hint="eastAsia" w:ascii="宋体" w:hAnsi="宋体" w:cs="宋体"/>
                <w:szCs w:val="21"/>
              </w:rPr>
            </w:pPr>
            <w:r>
              <w:rPr>
                <w:rFonts w:hint="eastAsia" w:ascii="宋体" w:hAnsi="宋体" w:cs="宋体"/>
                <w:szCs w:val="21"/>
              </w:rPr>
              <w:t>可以对电控化水平比较高的收割机加装北斗导航套件、安全套件和作业部件控制套件实现无人驾驶收割机割台高度控制、割台离合控制、脱谷离合控制、粮桶控制、缷粮离合控制、农机智能控制，从而实现收割机的无人驾驶作业。</w:t>
            </w:r>
          </w:p>
          <w:p w14:paraId="3BA6AF9F">
            <w:pPr>
              <w:rPr>
                <w:rFonts w:hint="eastAsia" w:ascii="宋体" w:hAnsi="宋体" w:cs="宋体"/>
                <w:szCs w:val="21"/>
              </w:rPr>
            </w:pPr>
            <w:r>
              <w:rPr>
                <w:rFonts w:hint="eastAsia" w:ascii="宋体" w:hAnsi="宋体" w:cs="宋体"/>
                <w:szCs w:val="21"/>
              </w:rPr>
              <w:t>(1)实现收割机远程点火熄火、加速减速控制、自动掉头入堑。</w:t>
            </w:r>
          </w:p>
          <w:p w14:paraId="04AC404E">
            <w:pPr>
              <w:rPr>
                <w:rFonts w:hint="eastAsia" w:ascii="宋体" w:hAnsi="宋体" w:cs="宋体"/>
                <w:szCs w:val="21"/>
              </w:rPr>
            </w:pPr>
            <w:r>
              <w:rPr>
                <w:rFonts w:hint="eastAsia" w:ascii="宋体" w:hAnsi="宋体" w:cs="宋体"/>
                <w:szCs w:val="21"/>
              </w:rPr>
              <w:t>(2)实现收割机割台定高控制、割台离合控制、脱谷离合控制等。</w:t>
            </w:r>
          </w:p>
          <w:p w14:paraId="5F2BA622">
            <w:pPr>
              <w:rPr>
                <w:rFonts w:hint="eastAsia" w:ascii="宋体" w:hAnsi="宋体" w:cs="宋体"/>
                <w:szCs w:val="21"/>
                <w:lang w:eastAsia="zh-Hans"/>
              </w:rPr>
            </w:pPr>
            <w:r>
              <w:rPr>
                <w:rFonts w:hint="eastAsia" w:ascii="宋体" w:hAnsi="宋体" w:cs="宋体"/>
                <w:szCs w:val="21"/>
              </w:rPr>
              <w:t>(3)▲同时支持遥控、无人、手动三种模式作业，同时可在手机app端呈现农机作业实时轨迹及现场视频画面（需提供手机APP的软件截图）</w:t>
            </w:r>
          </w:p>
          <w:p w14:paraId="2891503A">
            <w:pPr>
              <w:rPr>
                <w:rFonts w:hint="eastAsia" w:ascii="宋体" w:hAnsi="宋体" w:cs="宋体"/>
                <w:szCs w:val="21"/>
              </w:rPr>
            </w:pPr>
            <w:r>
              <w:rPr>
                <w:rFonts w:hint="eastAsia" w:ascii="宋体" w:hAnsi="宋体" w:cs="宋体"/>
                <w:szCs w:val="21"/>
              </w:rPr>
              <w:t>(4)支持手动、自动一键切换，方便车辆的运输、转场等；</w:t>
            </w:r>
          </w:p>
          <w:p w14:paraId="69BF8DCB">
            <w:pPr>
              <w:rPr>
                <w:rFonts w:hint="eastAsia" w:ascii="宋体" w:hAnsi="宋体" w:cs="宋体"/>
                <w:szCs w:val="21"/>
              </w:rPr>
            </w:pPr>
            <w:r>
              <w:rPr>
                <w:rFonts w:hint="eastAsia" w:ascii="宋体" w:hAnsi="宋体" w:cs="宋体"/>
                <w:szCs w:val="21"/>
              </w:rPr>
              <w:t>(5)支持作业速度预设，可根据实际情况预设车辆的作业速度及调头转弯速度；</w:t>
            </w:r>
          </w:p>
          <w:p w14:paraId="74AFA4F2">
            <w:pPr>
              <w:rPr>
                <w:rFonts w:hint="eastAsia" w:ascii="宋体" w:hAnsi="宋体" w:cs="宋体"/>
                <w:szCs w:val="21"/>
              </w:rPr>
            </w:pPr>
            <w:r>
              <w:rPr>
                <w:rFonts w:hint="eastAsia" w:ascii="宋体" w:hAnsi="宋体" w:cs="宋体"/>
                <w:szCs w:val="21"/>
              </w:rPr>
              <w:t>(6)▲支持远程协助、远程调参，可随时通过小程序查看车辆参数,（提供功能截图并加盖厂家公章）；</w:t>
            </w:r>
          </w:p>
          <w:p w14:paraId="1157CFF4">
            <w:pPr>
              <w:rPr>
                <w:rFonts w:hint="eastAsia" w:ascii="宋体" w:hAnsi="宋体" w:cs="宋体"/>
                <w:szCs w:val="21"/>
              </w:rPr>
            </w:pPr>
            <w:r>
              <w:rPr>
                <w:rFonts w:hint="eastAsia" w:ascii="宋体" w:hAnsi="宋体" w:cs="宋体"/>
                <w:szCs w:val="21"/>
              </w:rPr>
              <w:t>(7)支持平台端在线与微信小程序进行设备信息查看，方便实时了解作业情况；</w:t>
            </w:r>
          </w:p>
          <w:p w14:paraId="70D176D0">
            <w:pPr>
              <w:rPr>
                <w:rFonts w:hint="eastAsia" w:ascii="宋体" w:hAnsi="宋体" w:cs="宋体"/>
                <w:szCs w:val="21"/>
              </w:rPr>
            </w:pPr>
            <w:r>
              <w:rPr>
                <w:rFonts w:hint="eastAsia" w:ascii="宋体" w:hAnsi="宋体" w:cs="宋体"/>
                <w:szCs w:val="21"/>
              </w:rPr>
              <w:t>(8)支持查询实时作业轨迹、历史作业轨迹，实时作业面积以及历史作业面积，该信息支持平台与微信小程序共同查看；</w:t>
            </w:r>
          </w:p>
          <w:p w14:paraId="2EC80C17">
            <w:pPr>
              <w:rPr>
                <w:rFonts w:hint="eastAsia" w:ascii="宋体" w:hAnsi="宋体" w:cs="宋体"/>
                <w:szCs w:val="21"/>
              </w:rPr>
            </w:pPr>
            <w:r>
              <w:rPr>
                <w:rFonts w:hint="eastAsia" w:ascii="宋体" w:hAnsi="宋体" w:cs="宋体"/>
                <w:szCs w:val="21"/>
              </w:rPr>
              <w:t>(9)粮满自动停车，自动生成卸粮路径，完成自动卸粮，卸粮完成后一键快速开始前往待收割区进行作业。</w:t>
            </w:r>
          </w:p>
          <w:p w14:paraId="4B849204">
            <w:pPr>
              <w:rPr>
                <w:rFonts w:hint="eastAsia" w:ascii="宋体" w:hAnsi="宋体" w:cs="宋体"/>
                <w:szCs w:val="21"/>
              </w:rPr>
            </w:pPr>
            <w:r>
              <w:rPr>
                <w:rFonts w:hint="eastAsia" w:ascii="宋体" w:hAnsi="宋体" w:cs="宋体"/>
                <w:szCs w:val="21"/>
              </w:rPr>
              <w:t>(10)支持手机遥控app控制车辆行走、控制（割取、脱粒、卸粮）离合的结合与分离、割台升降、粮筒的移动（须提供软件截图）。</w:t>
            </w:r>
          </w:p>
          <w:p w14:paraId="37E27E1E">
            <w:pPr>
              <w:rPr>
                <w:rFonts w:hint="eastAsia" w:ascii="宋体" w:hAnsi="宋体" w:cs="宋体"/>
                <w:szCs w:val="21"/>
              </w:rPr>
            </w:pPr>
            <w:r>
              <w:rPr>
                <w:rFonts w:hint="eastAsia" w:ascii="宋体" w:hAnsi="宋体" w:cs="宋体"/>
                <w:szCs w:val="21"/>
              </w:rPr>
              <w:t>（11）▲支持单北斗卫星导航定位（具备第三方检测报告）</w:t>
            </w:r>
          </w:p>
          <w:p w14:paraId="070D1680">
            <w:pPr>
              <w:rPr>
                <w:rFonts w:hint="eastAsia" w:ascii="宋体" w:hAnsi="宋体" w:cs="宋体"/>
                <w:szCs w:val="21"/>
              </w:rPr>
            </w:pPr>
            <w:r>
              <w:rPr>
                <w:rFonts w:hint="eastAsia" w:ascii="宋体" w:hAnsi="宋体" w:cs="宋体"/>
                <w:szCs w:val="21"/>
              </w:rPr>
              <w:t>（二）无人驾驶收割机技术参数：</w:t>
            </w:r>
          </w:p>
          <w:p w14:paraId="1C24D88F">
            <w:pPr>
              <w:rPr>
                <w:rFonts w:hint="eastAsia" w:ascii="宋体" w:hAnsi="宋体" w:cs="宋体"/>
                <w:szCs w:val="21"/>
              </w:rPr>
            </w:pPr>
            <w:r>
              <w:rPr>
                <w:rFonts w:hint="eastAsia" w:ascii="宋体" w:hAnsi="宋体" w:cs="宋体"/>
                <w:szCs w:val="21"/>
              </w:rPr>
              <w:t>1、智能显控终端：</w:t>
            </w:r>
          </w:p>
          <w:p w14:paraId="4C94B84C">
            <w:pPr>
              <w:rPr>
                <w:rFonts w:hint="eastAsia" w:ascii="宋体" w:hAnsi="宋体" w:cs="宋体"/>
                <w:szCs w:val="21"/>
              </w:rPr>
            </w:pPr>
            <w:r>
              <w:rPr>
                <w:rFonts w:hint="eastAsia" w:ascii="宋体" w:hAnsi="宋体" w:cs="宋体"/>
                <w:szCs w:val="21"/>
              </w:rPr>
              <w:t>(1)供电电压：DC 9～36V，带正负极性反接保护，支持断电检测；</w:t>
            </w:r>
          </w:p>
          <w:p w14:paraId="006F06FE">
            <w:pPr>
              <w:rPr>
                <w:rFonts w:hint="eastAsia" w:ascii="宋体" w:hAnsi="宋体" w:cs="宋体"/>
                <w:szCs w:val="21"/>
              </w:rPr>
            </w:pPr>
            <w:r>
              <w:rPr>
                <w:rFonts w:hint="eastAsia" w:ascii="宋体" w:hAnsi="宋体" w:cs="宋体"/>
                <w:szCs w:val="21"/>
              </w:rPr>
              <w:t>(2)工作温度：-40℃～+70℃ ；</w:t>
            </w:r>
          </w:p>
          <w:p w14:paraId="3E6BE769">
            <w:pPr>
              <w:rPr>
                <w:rFonts w:hint="eastAsia" w:ascii="宋体" w:hAnsi="宋体" w:cs="宋体"/>
                <w:szCs w:val="21"/>
              </w:rPr>
            </w:pPr>
            <w:r>
              <w:rPr>
                <w:rFonts w:hint="eastAsia" w:ascii="宋体" w:hAnsi="宋体" w:cs="宋体"/>
                <w:szCs w:val="21"/>
              </w:rPr>
              <w:t>(3)分辨率：≥1024×600P ；</w:t>
            </w:r>
          </w:p>
          <w:p w14:paraId="4C997645">
            <w:pPr>
              <w:rPr>
                <w:rFonts w:hint="eastAsia" w:ascii="宋体" w:hAnsi="宋体" w:cs="宋体"/>
                <w:szCs w:val="21"/>
              </w:rPr>
            </w:pPr>
            <w:r>
              <w:rPr>
                <w:rFonts w:hint="eastAsia" w:ascii="宋体" w:hAnsi="宋体" w:cs="宋体"/>
                <w:szCs w:val="21"/>
              </w:rPr>
              <w:t>(4)屏幕尺寸：＞9寸电容式触摸屏，支持10指触摸；</w:t>
            </w:r>
          </w:p>
          <w:p w14:paraId="365B132D">
            <w:pPr>
              <w:rPr>
                <w:rFonts w:hint="eastAsia" w:ascii="宋体" w:hAnsi="宋体" w:cs="宋体"/>
                <w:szCs w:val="21"/>
              </w:rPr>
            </w:pPr>
            <w:r>
              <w:rPr>
                <w:rFonts w:hint="eastAsia" w:ascii="宋体" w:hAnsi="宋体" w:cs="宋体"/>
                <w:szCs w:val="21"/>
              </w:rPr>
              <w:t>(5)屏幕素质：分辨率不低于1024×600P, 亮度低于750nits；</w:t>
            </w:r>
          </w:p>
          <w:p w14:paraId="5EFB8494">
            <w:pPr>
              <w:rPr>
                <w:rFonts w:hint="eastAsia" w:ascii="宋体" w:hAnsi="宋体" w:cs="宋体"/>
                <w:szCs w:val="21"/>
              </w:rPr>
            </w:pPr>
            <w:r>
              <w:rPr>
                <w:rFonts w:hint="eastAsia" w:ascii="宋体" w:hAnsi="宋体" w:cs="宋体"/>
                <w:szCs w:val="21"/>
              </w:rPr>
              <w:t>(6)▲防护等级： ≥IP67 （需提供专业机构提供的检测报告复印件加盖投标人公章）；</w:t>
            </w:r>
          </w:p>
          <w:p w14:paraId="721A1CCC">
            <w:pPr>
              <w:rPr>
                <w:rFonts w:hint="eastAsia" w:ascii="宋体" w:hAnsi="宋体" w:cs="宋体"/>
                <w:szCs w:val="21"/>
              </w:rPr>
            </w:pPr>
            <w:r>
              <w:rPr>
                <w:rFonts w:hint="eastAsia" w:ascii="宋体" w:hAnsi="宋体" w:cs="宋体"/>
                <w:szCs w:val="21"/>
              </w:rPr>
              <w:t>2、驱动电机：</w:t>
            </w:r>
          </w:p>
          <w:p w14:paraId="6ECFA1B0">
            <w:pPr>
              <w:rPr>
                <w:rFonts w:hint="eastAsia" w:ascii="宋体" w:hAnsi="宋体" w:cs="宋体"/>
                <w:szCs w:val="21"/>
              </w:rPr>
            </w:pPr>
            <w:r>
              <w:rPr>
                <w:rFonts w:hint="eastAsia" w:ascii="宋体" w:hAnsi="宋体" w:cs="宋体"/>
                <w:szCs w:val="21"/>
              </w:rPr>
              <w:t>(1)通讯协议：ModBUS、CAN；</w:t>
            </w:r>
          </w:p>
          <w:p w14:paraId="2E7AC637">
            <w:pPr>
              <w:rPr>
                <w:rFonts w:hint="eastAsia" w:ascii="宋体" w:hAnsi="宋体" w:cs="宋体"/>
                <w:szCs w:val="21"/>
              </w:rPr>
            </w:pPr>
            <w:r>
              <w:rPr>
                <w:rFonts w:hint="eastAsia" w:ascii="宋体" w:hAnsi="宋体" w:cs="宋体"/>
                <w:szCs w:val="21"/>
              </w:rPr>
              <w:t>(2)防水等级：IP66及以上；</w:t>
            </w:r>
          </w:p>
          <w:p w14:paraId="3712E766">
            <w:pPr>
              <w:rPr>
                <w:rFonts w:hint="eastAsia" w:ascii="宋体" w:hAnsi="宋体" w:cs="宋体"/>
                <w:szCs w:val="21"/>
              </w:rPr>
            </w:pPr>
            <w:r>
              <w:rPr>
                <w:rFonts w:hint="eastAsia" w:ascii="宋体" w:hAnsi="宋体" w:cs="宋体"/>
                <w:szCs w:val="21"/>
              </w:rPr>
              <w:t>(3)外观材质：铝合金；</w:t>
            </w:r>
          </w:p>
          <w:p w14:paraId="6B440F77">
            <w:pPr>
              <w:rPr>
                <w:rFonts w:hint="eastAsia" w:ascii="宋体" w:hAnsi="宋体" w:cs="宋体"/>
                <w:szCs w:val="21"/>
              </w:rPr>
            </w:pPr>
            <w:r>
              <w:rPr>
                <w:rFonts w:hint="eastAsia" w:ascii="宋体" w:hAnsi="宋体" w:cs="宋体"/>
                <w:szCs w:val="21"/>
              </w:rPr>
              <w:t>(4)额定转速：≥100rpm；</w:t>
            </w:r>
          </w:p>
          <w:p w14:paraId="2D123926">
            <w:pPr>
              <w:rPr>
                <w:rFonts w:hint="eastAsia" w:ascii="宋体" w:hAnsi="宋体" w:cs="宋体"/>
                <w:szCs w:val="21"/>
              </w:rPr>
            </w:pPr>
            <w:r>
              <w:rPr>
                <w:rFonts w:hint="eastAsia" w:ascii="宋体" w:hAnsi="宋体" w:cs="宋体"/>
                <w:szCs w:val="21"/>
              </w:rPr>
              <w:t>(5)额定转矩：≥10N·m ；</w:t>
            </w:r>
          </w:p>
          <w:p w14:paraId="2F273674">
            <w:pPr>
              <w:rPr>
                <w:rFonts w:hint="eastAsia" w:ascii="宋体" w:hAnsi="宋体" w:cs="宋体"/>
                <w:szCs w:val="21"/>
              </w:rPr>
            </w:pPr>
            <w:r>
              <w:rPr>
                <w:rFonts w:hint="eastAsia" w:ascii="宋体" w:hAnsi="宋体" w:cs="宋体"/>
                <w:szCs w:val="21"/>
              </w:rPr>
              <w:t>3、无人驾驶控制器：</w:t>
            </w:r>
          </w:p>
          <w:p w14:paraId="0E60DD34">
            <w:pPr>
              <w:rPr>
                <w:rFonts w:hint="eastAsia" w:ascii="宋体" w:hAnsi="宋体" w:cs="宋体"/>
                <w:szCs w:val="21"/>
              </w:rPr>
            </w:pPr>
            <w:r>
              <w:rPr>
                <w:rFonts w:hint="eastAsia" w:ascii="宋体" w:hAnsi="宋体" w:cs="宋体"/>
                <w:szCs w:val="21"/>
              </w:rPr>
              <w:t>(1)DC-DC电源：5.7VDC~32VDC宽范围供电，能够提供稳定的12VDC，5VDC，3.3V输出电压；</w:t>
            </w:r>
          </w:p>
          <w:p w14:paraId="3512DE4C">
            <w:pPr>
              <w:rPr>
                <w:rFonts w:hint="eastAsia" w:ascii="宋体" w:hAnsi="宋体" w:cs="宋体"/>
                <w:szCs w:val="21"/>
              </w:rPr>
            </w:pPr>
            <w:r>
              <w:rPr>
                <w:rFonts w:hint="eastAsia" w:ascii="宋体" w:hAnsi="宋体" w:cs="宋体"/>
                <w:szCs w:val="21"/>
              </w:rPr>
              <w:t>（2）通用模拟量输入：0-5V模拟电压输入；4-20mA模拟电流输入；5V/3.3脉冲输入；12V/5V电压开关量输入，需要至少0.4%的相对精度。。</w:t>
            </w:r>
          </w:p>
        </w:tc>
      </w:tr>
      <w:tr w14:paraId="65A9A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44100E39">
            <w:pPr>
              <w:jc w:val="center"/>
              <w:rPr>
                <w:rFonts w:hint="eastAsia" w:ascii="宋体" w:hAnsi="宋体" w:cs="宋体"/>
                <w:szCs w:val="21"/>
              </w:rPr>
            </w:pPr>
            <w:r>
              <w:rPr>
                <w:rFonts w:hint="eastAsia" w:ascii="宋体" w:hAnsi="宋体" w:cs="宋体"/>
                <w:szCs w:val="21"/>
              </w:rPr>
              <w:t>3</w:t>
            </w:r>
          </w:p>
        </w:tc>
        <w:tc>
          <w:tcPr>
            <w:tcW w:w="653" w:type="pct"/>
            <w:vAlign w:val="center"/>
          </w:tcPr>
          <w:p w14:paraId="36FE6E7C">
            <w:pPr>
              <w:jc w:val="center"/>
              <w:rPr>
                <w:rFonts w:hint="eastAsia" w:ascii="宋体" w:hAnsi="宋体" w:cs="宋体"/>
                <w:szCs w:val="21"/>
              </w:rPr>
            </w:pPr>
            <w:r>
              <w:rPr>
                <w:rFonts w:hint="eastAsia" w:ascii="宋体" w:hAnsi="宋体" w:cs="宋体"/>
                <w:szCs w:val="21"/>
              </w:rPr>
              <w:t>无人驾驶拖拉机</w:t>
            </w:r>
          </w:p>
        </w:tc>
        <w:tc>
          <w:tcPr>
            <w:tcW w:w="510" w:type="pct"/>
            <w:vAlign w:val="center"/>
          </w:tcPr>
          <w:p w14:paraId="59E1535A">
            <w:pPr>
              <w:jc w:val="center"/>
              <w:rPr>
                <w:rFonts w:hint="eastAsia" w:ascii="宋体" w:hAnsi="宋体" w:cs="宋体"/>
                <w:szCs w:val="21"/>
              </w:rPr>
            </w:pPr>
            <w:r>
              <w:rPr>
                <w:rFonts w:hint="eastAsia" w:ascii="宋体" w:hAnsi="宋体" w:cs="宋体"/>
                <w:szCs w:val="21"/>
              </w:rPr>
              <w:t>1台</w:t>
            </w:r>
          </w:p>
        </w:tc>
        <w:tc>
          <w:tcPr>
            <w:tcW w:w="3410" w:type="pct"/>
            <w:vAlign w:val="center"/>
          </w:tcPr>
          <w:p w14:paraId="34478866">
            <w:pPr>
              <w:numPr>
                <w:ilvl w:val="0"/>
                <w:numId w:val="4"/>
              </w:numPr>
              <w:rPr>
                <w:rFonts w:hint="eastAsia" w:ascii="宋体" w:hAnsi="宋体" w:cs="宋体"/>
                <w:b/>
                <w:bCs/>
                <w:szCs w:val="21"/>
                <w:lang w:eastAsia="zh-Hans"/>
              </w:rPr>
            </w:pPr>
            <w:r>
              <w:rPr>
                <w:rFonts w:hint="eastAsia" w:ascii="宋体" w:hAnsi="宋体" w:cs="宋体"/>
                <w:b/>
                <w:bCs/>
                <w:szCs w:val="21"/>
                <w:lang w:eastAsia="zh-Hans"/>
              </w:rPr>
              <w:t>拖拉机技术参数</w:t>
            </w:r>
          </w:p>
          <w:p w14:paraId="37488FB1">
            <w:pPr>
              <w:numPr>
                <w:ilvl w:val="0"/>
                <w:numId w:val="5"/>
              </w:numPr>
              <w:rPr>
                <w:rFonts w:hint="eastAsia" w:ascii="宋体" w:hAnsi="宋体" w:cs="宋体"/>
                <w:szCs w:val="21"/>
              </w:rPr>
            </w:pPr>
            <w:r>
              <w:rPr>
                <w:rFonts w:hint="eastAsia" w:ascii="宋体" w:hAnsi="宋体" w:cs="宋体"/>
                <w:szCs w:val="21"/>
              </w:rPr>
              <w:t>★发动机功率≥81KW（提供第三方鉴定报告）</w:t>
            </w:r>
          </w:p>
          <w:p w14:paraId="75BD3C95">
            <w:pPr>
              <w:numPr>
                <w:ilvl w:val="0"/>
                <w:numId w:val="5"/>
              </w:numPr>
              <w:rPr>
                <w:rFonts w:hint="eastAsia" w:ascii="宋体" w:hAnsi="宋体" w:cs="宋体"/>
                <w:szCs w:val="21"/>
              </w:rPr>
            </w:pPr>
            <w:r>
              <w:rPr>
                <w:rFonts w:hint="eastAsia" w:ascii="宋体" w:hAnsi="宋体" w:cs="宋体"/>
                <w:szCs w:val="21"/>
              </w:rPr>
              <w:t>★四轮驱动</w:t>
            </w:r>
            <w:bookmarkStart w:id="199" w:name="_GoBack"/>
            <w:bookmarkEnd w:id="199"/>
            <w:r>
              <w:rPr>
                <w:rFonts w:hint="eastAsia" w:ascii="宋体" w:hAnsi="宋体" w:cs="宋体"/>
                <w:szCs w:val="21"/>
              </w:rPr>
              <w:t>（提供第三方鉴定报告）</w:t>
            </w:r>
          </w:p>
          <w:p w14:paraId="77CA24AD">
            <w:pPr>
              <w:numPr>
                <w:ilvl w:val="0"/>
                <w:numId w:val="5"/>
              </w:numPr>
              <w:rPr>
                <w:rFonts w:hint="eastAsia" w:ascii="宋体" w:hAnsi="宋体" w:cs="宋体"/>
                <w:szCs w:val="21"/>
              </w:rPr>
            </w:pPr>
            <w:r>
              <w:rPr>
                <w:rFonts w:hint="eastAsia" w:ascii="宋体" w:hAnsi="宋体" w:cs="宋体"/>
                <w:szCs w:val="21"/>
              </w:rPr>
              <w:t>标配空调驾驶室</w:t>
            </w:r>
          </w:p>
          <w:p w14:paraId="20EDE721">
            <w:pPr>
              <w:numPr>
                <w:ilvl w:val="0"/>
                <w:numId w:val="5"/>
              </w:numPr>
              <w:rPr>
                <w:rFonts w:hint="eastAsia" w:ascii="宋体" w:hAnsi="宋体" w:cs="宋体"/>
                <w:szCs w:val="21"/>
              </w:rPr>
            </w:pPr>
            <w:r>
              <w:rPr>
                <w:rFonts w:hint="eastAsia" w:ascii="宋体" w:hAnsi="宋体" w:cs="宋体"/>
                <w:szCs w:val="21"/>
              </w:rPr>
              <w:t>可配备前装无人驾驶系统</w:t>
            </w:r>
          </w:p>
          <w:p w14:paraId="382B2451">
            <w:pPr>
              <w:numPr>
                <w:ilvl w:val="0"/>
                <w:numId w:val="5"/>
              </w:numPr>
              <w:rPr>
                <w:rFonts w:hint="eastAsia" w:ascii="宋体" w:hAnsi="宋体" w:cs="宋体"/>
                <w:szCs w:val="21"/>
              </w:rPr>
            </w:pPr>
            <w:r>
              <w:rPr>
                <w:rFonts w:hint="eastAsia" w:ascii="宋体" w:hAnsi="宋体" w:cs="宋体"/>
                <w:szCs w:val="21"/>
              </w:rPr>
              <w:t>具备动力换向、电控PTO</w:t>
            </w:r>
          </w:p>
          <w:p w14:paraId="61C88E37">
            <w:pPr>
              <w:numPr>
                <w:numId w:val="0"/>
              </w:numPr>
              <w:rPr>
                <w:rFonts w:hint="eastAsia" w:ascii="宋体" w:hAnsi="宋体" w:cs="宋体"/>
                <w:szCs w:val="21"/>
              </w:rPr>
            </w:pPr>
            <w:r>
              <w:rPr>
                <w:rFonts w:hint="eastAsia" w:ascii="宋体" w:hAnsi="宋体" w:cs="宋体"/>
                <w:szCs w:val="21"/>
                <w:lang w:eastAsia="zh-CN"/>
              </w:rPr>
              <w:t>（</w:t>
            </w:r>
            <w:r>
              <w:rPr>
                <w:rFonts w:hint="eastAsia" w:ascii="宋体" w:hAnsi="宋体" w:cs="宋体"/>
                <w:szCs w:val="21"/>
                <w:lang w:val="en-US" w:eastAsia="zh-CN"/>
              </w:rPr>
              <w:t>6</w:t>
            </w:r>
            <w:r>
              <w:rPr>
                <w:rFonts w:hint="eastAsia" w:ascii="宋体" w:hAnsi="宋体" w:cs="宋体"/>
                <w:szCs w:val="21"/>
                <w:lang w:eastAsia="zh-CN"/>
              </w:rPr>
              <w:t>）</w:t>
            </w:r>
            <w:r>
              <w:rPr>
                <w:rFonts w:hint="eastAsia" w:ascii="宋体" w:hAnsi="宋体" w:cs="宋体"/>
                <w:szCs w:val="21"/>
              </w:rPr>
              <w:t>水田胎</w:t>
            </w:r>
          </w:p>
          <w:p w14:paraId="6604BAC8">
            <w:pPr>
              <w:rPr>
                <w:rFonts w:hint="eastAsia" w:ascii="宋体" w:hAnsi="宋体" w:cs="宋体"/>
                <w:szCs w:val="21"/>
                <w:lang w:eastAsia="zh-Hans"/>
              </w:rPr>
            </w:pPr>
            <w:r>
              <w:rPr>
                <w:rFonts w:hint="eastAsia" w:ascii="宋体" w:hAnsi="宋体" w:cs="宋体"/>
                <w:szCs w:val="21"/>
                <w:lang w:eastAsia="zh-Hans"/>
              </w:rPr>
              <w:t>（一）无人驾驶系统功能：</w:t>
            </w:r>
          </w:p>
          <w:p w14:paraId="5E7E6C96">
            <w:pPr>
              <w:rPr>
                <w:rFonts w:hint="eastAsia" w:ascii="宋体" w:hAnsi="宋体" w:cs="宋体"/>
                <w:szCs w:val="21"/>
                <w:lang w:eastAsia="zh-Hans"/>
              </w:rPr>
            </w:pPr>
            <w:r>
              <w:rPr>
                <w:rFonts w:hint="eastAsia" w:ascii="宋体" w:hAnsi="宋体" w:cs="宋体"/>
                <w:szCs w:val="21"/>
                <w:lang w:eastAsia="zh-Hans"/>
              </w:rPr>
              <w:t>通过对具有较高电控化水平的拖拉机加装北斗导航套件、安全套件和作业部件控制套件，可实现拖拉机的自动化作业，包括自动升降控制、自动动力切换，自动调头倒车、自动对行、自动动力输出控制等农机智能控制，从而实现拖拉机的无人驾驶作业。</w:t>
            </w:r>
          </w:p>
          <w:p w14:paraId="33189FD8">
            <w:pPr>
              <w:rPr>
                <w:rFonts w:hint="eastAsia" w:ascii="宋体" w:hAnsi="宋体" w:cs="宋体"/>
                <w:szCs w:val="21"/>
                <w:lang w:eastAsia="zh-Hans"/>
              </w:rPr>
            </w:pPr>
            <w:r>
              <w:rPr>
                <w:rFonts w:hint="eastAsia" w:ascii="宋体" w:hAnsi="宋体" w:cs="宋体"/>
                <w:szCs w:val="21"/>
                <w:lang w:eastAsia="zh-Hans"/>
              </w:rPr>
              <w:t>(1)采用电动方向盘控制方案，行走控制精度±2.5cm</w:t>
            </w:r>
          </w:p>
          <w:p w14:paraId="52B8E3C8">
            <w:pPr>
              <w:rPr>
                <w:rFonts w:hint="eastAsia" w:ascii="宋体" w:hAnsi="宋体" w:cs="宋体"/>
                <w:szCs w:val="21"/>
                <w:lang w:eastAsia="zh-Hans"/>
              </w:rPr>
            </w:pPr>
            <w:r>
              <w:rPr>
                <w:rFonts w:hint="eastAsia" w:ascii="宋体" w:hAnsi="宋体" w:cs="宋体"/>
                <w:szCs w:val="21"/>
                <w:lang w:eastAsia="zh-Hans"/>
              </w:rPr>
              <w:t>(2)实现车辆远程云端控制，多种作业路径自动规划（旋耕作业、打浆作业、播种作业、犁地等作业）。</w:t>
            </w:r>
          </w:p>
          <w:p w14:paraId="1A073FFB">
            <w:pPr>
              <w:rPr>
                <w:rFonts w:hint="eastAsia" w:ascii="宋体" w:hAnsi="宋体" w:cs="宋体"/>
                <w:szCs w:val="21"/>
                <w:lang w:eastAsia="zh-Hans"/>
              </w:rPr>
            </w:pPr>
            <w:r>
              <w:rPr>
                <w:rFonts w:hint="eastAsia" w:ascii="宋体" w:hAnsi="宋体" w:cs="宋体"/>
                <w:szCs w:val="21"/>
                <w:lang w:eastAsia="zh-Hans"/>
              </w:rPr>
              <w:t>(3)实现拖拉机点火熄火、车辆前进、倒退、停车控制，可以实现拖拉机作业过程中加速减速、自动掉头入堑控制；支持窄路鱼尾路径掉头，支持作业速度预设，可根据实际情况预设车辆的作业速度及调头转弯速度；</w:t>
            </w:r>
          </w:p>
          <w:p w14:paraId="232E4F3C">
            <w:pPr>
              <w:rPr>
                <w:rFonts w:hint="eastAsia" w:ascii="宋体" w:hAnsi="宋体" w:cs="宋体"/>
                <w:szCs w:val="21"/>
                <w:lang w:eastAsia="zh-Hans"/>
              </w:rPr>
            </w:pPr>
            <w:r>
              <w:rPr>
                <w:rFonts w:hint="eastAsia" w:ascii="宋体" w:hAnsi="宋体" w:cs="宋体"/>
                <w:szCs w:val="21"/>
                <w:lang w:eastAsia="zh-Hans"/>
              </w:rPr>
              <w:t>(4)实现车辆PTO动力输出控制、三点悬挂控制车辆农具自动抬升、下降控制。</w:t>
            </w:r>
          </w:p>
          <w:p w14:paraId="42A27C7A">
            <w:pPr>
              <w:rPr>
                <w:rFonts w:hint="eastAsia" w:ascii="宋体" w:hAnsi="宋体" w:cs="宋体"/>
                <w:szCs w:val="21"/>
                <w:lang w:eastAsia="zh-Hans"/>
              </w:rPr>
            </w:pPr>
            <w:r>
              <w:rPr>
                <w:rFonts w:hint="eastAsia" w:ascii="宋体" w:hAnsi="宋体" w:cs="宋体"/>
                <w:szCs w:val="21"/>
                <w:lang w:eastAsia="zh-Hans"/>
              </w:rPr>
              <w:t>(5)▲同时支持遥控、无人、手动三种模式作业，同时可在手机app端呈现农机作业实时轨迹及现场视频画面（需提供手机APP的软件截图及软件著作。）</w:t>
            </w:r>
          </w:p>
          <w:p w14:paraId="6E8E1954">
            <w:pPr>
              <w:rPr>
                <w:rFonts w:hint="eastAsia" w:ascii="宋体" w:hAnsi="宋体" w:cs="宋体"/>
                <w:szCs w:val="21"/>
                <w:lang w:eastAsia="zh-Hans"/>
              </w:rPr>
            </w:pPr>
            <w:r>
              <w:rPr>
                <w:rFonts w:hint="eastAsia" w:ascii="宋体" w:hAnsi="宋体" w:cs="宋体"/>
                <w:szCs w:val="21"/>
                <w:lang w:eastAsia="zh-Hans"/>
              </w:rPr>
              <w:t>(6)支持手动、自动一键切换，方便车辆的运输、转场等；</w:t>
            </w:r>
          </w:p>
          <w:p w14:paraId="5C6E9084">
            <w:pPr>
              <w:rPr>
                <w:rFonts w:hint="eastAsia" w:ascii="宋体" w:hAnsi="宋体" w:cs="宋体"/>
                <w:szCs w:val="21"/>
                <w:lang w:eastAsia="zh-Hans"/>
              </w:rPr>
            </w:pPr>
            <w:r>
              <w:rPr>
                <w:rFonts w:hint="eastAsia" w:ascii="宋体" w:hAnsi="宋体" w:cs="宋体"/>
                <w:szCs w:val="21"/>
                <w:lang w:eastAsia="zh-Hans"/>
              </w:rPr>
              <w:t>(7)支持远程协助、远程调参，可随时通过小程序查看车辆参数,（提供功能截图并加盖厂家公章）；</w:t>
            </w:r>
          </w:p>
          <w:p w14:paraId="18AB1277">
            <w:pPr>
              <w:rPr>
                <w:rFonts w:hint="eastAsia" w:ascii="宋体" w:hAnsi="宋体" w:cs="宋体"/>
                <w:szCs w:val="21"/>
                <w:lang w:eastAsia="zh-Hans"/>
              </w:rPr>
            </w:pPr>
            <w:r>
              <w:rPr>
                <w:rFonts w:hint="eastAsia" w:ascii="宋体" w:hAnsi="宋体" w:cs="宋体"/>
                <w:szCs w:val="21"/>
                <w:lang w:eastAsia="zh-Hans"/>
              </w:rPr>
              <w:t>(8)支持查询实时作业轨迹、历史作业轨迹，实时作业面积以及历史作业面积，该信息支持平台与微信小程序共同查看；</w:t>
            </w:r>
          </w:p>
          <w:p w14:paraId="75F01207">
            <w:pPr>
              <w:rPr>
                <w:rFonts w:hint="eastAsia" w:ascii="宋体" w:hAnsi="宋体" w:cs="宋体"/>
                <w:szCs w:val="21"/>
                <w:lang w:eastAsia="zh-Hans"/>
              </w:rPr>
            </w:pPr>
            <w:r>
              <w:rPr>
                <w:rFonts w:hint="eastAsia" w:ascii="宋体" w:hAnsi="宋体" w:cs="宋体"/>
                <w:szCs w:val="21"/>
                <w:lang w:eastAsia="zh-Hans"/>
              </w:rPr>
              <w:t>(</w:t>
            </w:r>
            <w:r>
              <w:rPr>
                <w:rFonts w:hint="eastAsia" w:ascii="宋体" w:hAnsi="宋体" w:cs="宋体"/>
                <w:szCs w:val="21"/>
              </w:rPr>
              <w:t>9</w:t>
            </w:r>
            <w:r>
              <w:rPr>
                <w:rFonts w:hint="eastAsia" w:ascii="宋体" w:hAnsi="宋体" w:cs="宋体"/>
                <w:szCs w:val="21"/>
                <w:lang w:eastAsia="zh-Hans"/>
              </w:rPr>
              <w:t>)</w:t>
            </w:r>
            <w:r>
              <w:rPr>
                <w:rFonts w:hint="eastAsia" w:ascii="宋体" w:hAnsi="宋体" w:cs="宋体"/>
                <w:spacing w:val="8"/>
                <w:szCs w:val="21"/>
              </w:rPr>
              <w:t>▲</w:t>
            </w:r>
            <w:r>
              <w:rPr>
                <w:rFonts w:hint="eastAsia" w:ascii="宋体" w:hAnsi="宋体" w:cs="宋体"/>
                <w:szCs w:val="21"/>
                <w:lang w:eastAsia="zh-Hans"/>
              </w:rPr>
              <w:t>系统扩展性强，可通过CAN通讯扩展与精量播种、作业监控、智能喷雾、卫星平地、无人驾驶等不少于三种作业系统同软件界面显示使用；（提供软件兼容截图盖公章）</w:t>
            </w:r>
          </w:p>
          <w:p w14:paraId="15F09C98">
            <w:pPr>
              <w:rPr>
                <w:rFonts w:hint="eastAsia" w:ascii="宋体" w:hAnsi="宋体" w:cs="宋体"/>
                <w:szCs w:val="21"/>
                <w:lang w:eastAsia="zh-Hans"/>
              </w:rPr>
            </w:pPr>
            <w:r>
              <w:rPr>
                <w:rFonts w:hint="eastAsia" w:ascii="宋体" w:hAnsi="宋体" w:cs="宋体"/>
                <w:szCs w:val="21"/>
                <w:lang w:eastAsia="zh-Hans"/>
              </w:rPr>
              <w:t>(1</w:t>
            </w:r>
            <w:r>
              <w:rPr>
                <w:rFonts w:hint="eastAsia" w:ascii="宋体" w:hAnsi="宋体" w:cs="宋体"/>
                <w:szCs w:val="21"/>
              </w:rPr>
              <w:t>0</w:t>
            </w:r>
            <w:r>
              <w:rPr>
                <w:rFonts w:hint="eastAsia" w:ascii="宋体" w:hAnsi="宋体" w:cs="宋体"/>
                <w:szCs w:val="21"/>
                <w:lang w:eastAsia="zh-Hans"/>
              </w:rPr>
              <w:t>)基于车载显控终端，选择地块边界可生成不低于3种作业路径（其中包含鱼尾路径、套圈路径、打浆路径）（须提供软件截图）</w:t>
            </w:r>
          </w:p>
          <w:p w14:paraId="4AB4250C">
            <w:pPr>
              <w:rPr>
                <w:rFonts w:hint="eastAsia" w:ascii="宋体" w:hAnsi="宋体" w:cs="宋体"/>
                <w:szCs w:val="21"/>
              </w:rPr>
            </w:pPr>
            <w:r>
              <w:rPr>
                <w:rFonts w:hint="eastAsia" w:ascii="宋体" w:hAnsi="宋体" w:cs="宋体"/>
                <w:szCs w:val="21"/>
              </w:rPr>
              <w:t>（11）▲支持单北斗卫星导航定位（具备第三方检测报告）</w:t>
            </w:r>
          </w:p>
          <w:p w14:paraId="7BFE0F2E">
            <w:pPr>
              <w:rPr>
                <w:rFonts w:hint="eastAsia" w:ascii="宋体" w:hAnsi="宋体" w:cs="宋体"/>
                <w:szCs w:val="21"/>
                <w:lang w:eastAsia="zh-Hans"/>
              </w:rPr>
            </w:pPr>
            <w:r>
              <w:rPr>
                <w:rFonts w:hint="eastAsia" w:ascii="宋体" w:hAnsi="宋体" w:cs="宋体"/>
                <w:szCs w:val="21"/>
                <w:lang w:eastAsia="zh-Hans"/>
              </w:rPr>
              <w:t>（二）无人驾驶系统技术参数</w:t>
            </w:r>
          </w:p>
          <w:p w14:paraId="5C993F09">
            <w:pPr>
              <w:rPr>
                <w:rFonts w:hint="eastAsia" w:ascii="宋体" w:hAnsi="宋体" w:cs="宋体"/>
                <w:szCs w:val="21"/>
                <w:lang w:eastAsia="zh-Hans"/>
              </w:rPr>
            </w:pPr>
            <w:r>
              <w:rPr>
                <w:rFonts w:hint="eastAsia" w:ascii="宋体" w:hAnsi="宋体" w:cs="宋体"/>
                <w:szCs w:val="21"/>
                <w:lang w:eastAsia="zh-Hans"/>
              </w:rPr>
              <w:t>1、智能显控终端：</w:t>
            </w:r>
          </w:p>
          <w:p w14:paraId="7E1428B0">
            <w:pPr>
              <w:rPr>
                <w:rFonts w:hint="eastAsia" w:ascii="宋体" w:hAnsi="宋体" w:cs="宋体"/>
                <w:szCs w:val="21"/>
                <w:lang w:eastAsia="zh-Hans"/>
              </w:rPr>
            </w:pPr>
            <w:r>
              <w:rPr>
                <w:rFonts w:hint="eastAsia" w:ascii="宋体" w:hAnsi="宋体" w:cs="宋体"/>
                <w:szCs w:val="21"/>
                <w:lang w:eastAsia="zh-Hans"/>
              </w:rPr>
              <w:t>（1）供电电压：DC 9～36V，带正负极性反接保护，支持断电检测；</w:t>
            </w:r>
          </w:p>
          <w:p w14:paraId="6669E1C5">
            <w:pPr>
              <w:rPr>
                <w:rFonts w:hint="eastAsia" w:ascii="宋体" w:hAnsi="宋体" w:cs="宋体"/>
                <w:szCs w:val="21"/>
                <w:lang w:eastAsia="zh-Hans"/>
              </w:rPr>
            </w:pPr>
            <w:r>
              <w:rPr>
                <w:rFonts w:hint="eastAsia" w:ascii="宋体" w:hAnsi="宋体" w:cs="宋体"/>
                <w:szCs w:val="21"/>
                <w:lang w:eastAsia="zh-Hans"/>
              </w:rPr>
              <w:t>（2）工作温度：-40℃～+70℃ ；</w:t>
            </w:r>
          </w:p>
          <w:p w14:paraId="070729E5">
            <w:pPr>
              <w:rPr>
                <w:rFonts w:hint="eastAsia" w:ascii="宋体" w:hAnsi="宋体" w:cs="宋体"/>
                <w:szCs w:val="21"/>
                <w:lang w:eastAsia="zh-Hans"/>
              </w:rPr>
            </w:pPr>
            <w:r>
              <w:rPr>
                <w:rFonts w:hint="eastAsia" w:ascii="宋体" w:hAnsi="宋体" w:cs="宋体"/>
                <w:szCs w:val="21"/>
                <w:lang w:eastAsia="zh-Hans"/>
              </w:rPr>
              <w:t>（3）分辨率：≥1024×600P ；</w:t>
            </w:r>
          </w:p>
          <w:p w14:paraId="38DEFC2D">
            <w:pPr>
              <w:rPr>
                <w:rFonts w:hint="eastAsia" w:ascii="宋体" w:hAnsi="宋体" w:cs="宋体"/>
                <w:szCs w:val="21"/>
                <w:lang w:eastAsia="zh-Hans"/>
              </w:rPr>
            </w:pPr>
            <w:r>
              <w:rPr>
                <w:rFonts w:hint="eastAsia" w:ascii="宋体" w:hAnsi="宋体" w:cs="宋体"/>
                <w:szCs w:val="21"/>
                <w:lang w:eastAsia="zh-Hans"/>
              </w:rPr>
              <w:t>（4）屏幕尺寸：≥10寸电容式触摸屏，支持10指触摸；</w:t>
            </w:r>
          </w:p>
          <w:p w14:paraId="5D7D16D9">
            <w:pPr>
              <w:rPr>
                <w:rFonts w:hint="eastAsia" w:ascii="宋体" w:hAnsi="宋体" w:cs="宋体"/>
                <w:szCs w:val="21"/>
                <w:lang w:eastAsia="zh-Hans"/>
              </w:rPr>
            </w:pPr>
            <w:r>
              <w:rPr>
                <w:rFonts w:hint="eastAsia" w:ascii="宋体" w:hAnsi="宋体" w:cs="宋体"/>
                <w:szCs w:val="21"/>
                <w:lang w:eastAsia="zh-Hans"/>
              </w:rPr>
              <w:t>（5）屏幕素质：分辨率不低于1024×600P, 亮度低于750nits；</w:t>
            </w:r>
          </w:p>
          <w:p w14:paraId="22E26E22">
            <w:pPr>
              <w:rPr>
                <w:rFonts w:hint="eastAsia" w:ascii="宋体" w:hAnsi="宋体" w:cs="宋体"/>
                <w:szCs w:val="21"/>
                <w:lang w:eastAsia="zh-Hans"/>
              </w:rPr>
            </w:pPr>
            <w:r>
              <w:rPr>
                <w:rFonts w:hint="eastAsia" w:ascii="宋体" w:hAnsi="宋体" w:cs="宋体"/>
                <w:szCs w:val="21"/>
                <w:lang w:eastAsia="zh-Hans"/>
              </w:rPr>
              <w:t>（6）▲防护等级： ≥IP67 （需提供专业机构提供的检测报告复印件加盖投标人公章）；</w:t>
            </w:r>
          </w:p>
          <w:p w14:paraId="63A7C605">
            <w:pPr>
              <w:rPr>
                <w:rFonts w:hint="eastAsia" w:ascii="宋体" w:hAnsi="宋体" w:cs="宋体"/>
                <w:szCs w:val="21"/>
                <w:lang w:eastAsia="zh-Hans"/>
              </w:rPr>
            </w:pPr>
            <w:r>
              <w:rPr>
                <w:rFonts w:hint="eastAsia" w:ascii="宋体" w:hAnsi="宋体" w:cs="宋体"/>
                <w:szCs w:val="21"/>
                <w:lang w:eastAsia="zh-Hans"/>
              </w:rPr>
              <w:t>2、驱动电机：</w:t>
            </w:r>
          </w:p>
          <w:p w14:paraId="3664AC72">
            <w:pPr>
              <w:rPr>
                <w:rFonts w:hint="eastAsia" w:ascii="宋体" w:hAnsi="宋体" w:cs="宋体"/>
                <w:szCs w:val="21"/>
                <w:lang w:eastAsia="zh-Hans"/>
              </w:rPr>
            </w:pPr>
            <w:r>
              <w:rPr>
                <w:rFonts w:hint="eastAsia" w:ascii="宋体" w:hAnsi="宋体" w:cs="宋体"/>
                <w:szCs w:val="21"/>
                <w:lang w:eastAsia="zh-Hans"/>
              </w:rPr>
              <w:t>(1)通讯协议：ModBUS、CAN；</w:t>
            </w:r>
          </w:p>
          <w:p w14:paraId="4F386A34">
            <w:pPr>
              <w:rPr>
                <w:rFonts w:hint="eastAsia" w:ascii="宋体" w:hAnsi="宋体" w:cs="宋体"/>
                <w:szCs w:val="21"/>
                <w:lang w:eastAsia="zh-Hans"/>
              </w:rPr>
            </w:pPr>
            <w:r>
              <w:rPr>
                <w:rFonts w:hint="eastAsia" w:ascii="宋体" w:hAnsi="宋体" w:cs="宋体"/>
                <w:szCs w:val="21"/>
                <w:lang w:eastAsia="zh-Hans"/>
              </w:rPr>
              <w:t>(2)编码器分辨率：≥1000线；</w:t>
            </w:r>
          </w:p>
          <w:p w14:paraId="424F3019">
            <w:pPr>
              <w:rPr>
                <w:rFonts w:hint="eastAsia" w:ascii="宋体" w:hAnsi="宋体" w:cs="宋体"/>
                <w:szCs w:val="21"/>
                <w:lang w:eastAsia="zh-Hans"/>
              </w:rPr>
            </w:pPr>
            <w:r>
              <w:rPr>
                <w:rFonts w:hint="eastAsia" w:ascii="宋体" w:hAnsi="宋体" w:cs="宋体"/>
                <w:szCs w:val="21"/>
                <w:lang w:eastAsia="zh-Hans"/>
              </w:rPr>
              <w:t>(3)最大输出频率：≥200KHZ；</w:t>
            </w:r>
          </w:p>
          <w:p w14:paraId="72F4F570">
            <w:pPr>
              <w:rPr>
                <w:rFonts w:hint="eastAsia" w:ascii="宋体" w:hAnsi="宋体" w:cs="宋体"/>
                <w:szCs w:val="21"/>
                <w:lang w:eastAsia="zh-Hans"/>
              </w:rPr>
            </w:pPr>
            <w:r>
              <w:rPr>
                <w:rFonts w:hint="eastAsia" w:ascii="宋体" w:hAnsi="宋体" w:cs="宋体"/>
                <w:szCs w:val="21"/>
                <w:lang w:eastAsia="zh-Hans"/>
              </w:rPr>
              <w:t>(4)防水等级：IP66及以上；</w:t>
            </w:r>
          </w:p>
          <w:p w14:paraId="3A78B908">
            <w:pPr>
              <w:rPr>
                <w:rFonts w:hint="eastAsia" w:ascii="宋体" w:hAnsi="宋体" w:cs="宋体"/>
                <w:szCs w:val="21"/>
                <w:lang w:eastAsia="zh-Hans"/>
              </w:rPr>
            </w:pPr>
            <w:r>
              <w:rPr>
                <w:rFonts w:hint="eastAsia" w:ascii="宋体" w:hAnsi="宋体" w:cs="宋体"/>
                <w:szCs w:val="21"/>
                <w:lang w:eastAsia="zh-Hans"/>
              </w:rPr>
              <w:t>3、无人驾驶控制器：</w:t>
            </w:r>
          </w:p>
          <w:p w14:paraId="445F3EC0">
            <w:pPr>
              <w:rPr>
                <w:rFonts w:hint="eastAsia" w:ascii="宋体" w:hAnsi="宋体" w:cs="宋体"/>
                <w:szCs w:val="21"/>
                <w:lang w:eastAsia="zh-Hans"/>
              </w:rPr>
            </w:pPr>
            <w:r>
              <w:rPr>
                <w:rFonts w:hint="eastAsia" w:ascii="宋体" w:hAnsi="宋体" w:cs="宋体"/>
                <w:szCs w:val="21"/>
                <w:lang w:eastAsia="zh-Hans"/>
              </w:rPr>
              <w:t>(1)DC-DC电源：5.7VDC~32VDC宽范围供电，能够提供稳定的12VDC，5VDC，3.3V输出电压；</w:t>
            </w:r>
          </w:p>
          <w:p w14:paraId="14F7133C">
            <w:pPr>
              <w:rPr>
                <w:rFonts w:hint="eastAsia" w:ascii="宋体" w:hAnsi="宋体" w:cs="宋体"/>
                <w:szCs w:val="21"/>
                <w:lang w:eastAsia="zh-Hans"/>
              </w:rPr>
            </w:pPr>
            <w:r>
              <w:rPr>
                <w:rFonts w:hint="eastAsia" w:ascii="宋体" w:hAnsi="宋体" w:cs="宋体"/>
                <w:szCs w:val="21"/>
                <w:lang w:eastAsia="zh-Hans"/>
              </w:rPr>
              <w:t>通用模拟量输入：0-5V模拟电压输入；4-20mA模拟电流输入；5V/3.3脉冲输入；12V/5V电压开关量输入，需要至少0.4%的相对精度。</w:t>
            </w:r>
          </w:p>
        </w:tc>
      </w:tr>
      <w:tr w14:paraId="32385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37E73439">
            <w:pPr>
              <w:jc w:val="center"/>
              <w:rPr>
                <w:rFonts w:hint="eastAsia" w:ascii="宋体" w:hAnsi="宋体" w:cs="宋体"/>
                <w:szCs w:val="21"/>
              </w:rPr>
            </w:pPr>
            <w:r>
              <w:rPr>
                <w:rFonts w:hint="eastAsia" w:ascii="宋体" w:hAnsi="宋体" w:cs="宋体"/>
                <w:szCs w:val="21"/>
              </w:rPr>
              <w:t>4</w:t>
            </w:r>
          </w:p>
        </w:tc>
        <w:tc>
          <w:tcPr>
            <w:tcW w:w="653" w:type="pct"/>
            <w:vAlign w:val="center"/>
          </w:tcPr>
          <w:p w14:paraId="3BCB2DDF">
            <w:pPr>
              <w:jc w:val="center"/>
              <w:rPr>
                <w:rFonts w:hint="eastAsia" w:ascii="宋体" w:hAnsi="宋体" w:cs="宋体"/>
                <w:szCs w:val="21"/>
                <w:lang w:eastAsia="zh-Hans"/>
              </w:rPr>
            </w:pPr>
            <w:r>
              <w:rPr>
                <w:rFonts w:hint="eastAsia" w:ascii="宋体" w:hAnsi="宋体" w:cs="宋体"/>
                <w:szCs w:val="21"/>
                <w:lang w:eastAsia="zh-Hans"/>
              </w:rPr>
              <w:t>无人驾驶打药机</w:t>
            </w:r>
          </w:p>
        </w:tc>
        <w:tc>
          <w:tcPr>
            <w:tcW w:w="510" w:type="pct"/>
            <w:vAlign w:val="center"/>
          </w:tcPr>
          <w:p w14:paraId="7CABA291">
            <w:pPr>
              <w:rPr>
                <w:rFonts w:hint="eastAsia" w:ascii="宋体" w:hAnsi="宋体" w:cs="宋体"/>
                <w:szCs w:val="21"/>
                <w:lang w:eastAsia="zh-Hans"/>
              </w:rPr>
            </w:pPr>
            <w:r>
              <w:rPr>
                <w:rFonts w:hint="eastAsia" w:ascii="宋体" w:hAnsi="宋体" w:cs="宋体"/>
                <w:szCs w:val="21"/>
                <w:lang w:eastAsia="zh-Hans"/>
              </w:rPr>
              <w:t>1台</w:t>
            </w:r>
          </w:p>
        </w:tc>
        <w:tc>
          <w:tcPr>
            <w:tcW w:w="3410" w:type="pct"/>
            <w:vAlign w:val="center"/>
          </w:tcPr>
          <w:p w14:paraId="5F889DB8">
            <w:pPr>
              <w:rPr>
                <w:rFonts w:hint="eastAsia" w:ascii="宋体" w:hAnsi="宋体" w:cs="宋体"/>
                <w:szCs w:val="21"/>
                <w:lang w:eastAsia="zh-Hans"/>
              </w:rPr>
            </w:pPr>
            <w:r>
              <w:rPr>
                <w:rFonts w:hint="eastAsia" w:ascii="宋体" w:hAnsi="宋体" w:cs="宋体"/>
                <w:szCs w:val="21"/>
                <w:lang w:eastAsia="zh-Hans"/>
              </w:rPr>
              <w:t>农机技术参数：</w:t>
            </w:r>
          </w:p>
          <w:p w14:paraId="17177E3A">
            <w:pPr>
              <w:rPr>
                <w:rFonts w:hint="eastAsia" w:ascii="宋体" w:hAnsi="宋体" w:cs="宋体"/>
                <w:szCs w:val="21"/>
                <w:lang w:eastAsia="zh-Hans"/>
              </w:rPr>
            </w:pPr>
            <w:r>
              <w:rPr>
                <w:rFonts w:hint="eastAsia" w:ascii="宋体" w:hAnsi="宋体" w:cs="宋体"/>
                <w:szCs w:val="21"/>
                <w:lang w:eastAsia="zh-Hans"/>
              </w:rPr>
              <w:t>国四排放发动机</w:t>
            </w:r>
          </w:p>
          <w:p w14:paraId="7B523D80">
            <w:pPr>
              <w:rPr>
                <w:rFonts w:hint="eastAsia" w:ascii="宋体" w:hAnsi="宋体" w:cs="宋体"/>
                <w:szCs w:val="21"/>
                <w:lang w:eastAsia="zh-Hans"/>
              </w:rPr>
            </w:pPr>
            <w:r>
              <w:rPr>
                <w:rFonts w:hint="eastAsia" w:ascii="宋体" w:hAnsi="宋体" w:cs="宋体"/>
                <w:szCs w:val="21"/>
                <w:lang w:eastAsia="zh-Hans"/>
              </w:rPr>
              <w:t>★</w:t>
            </w:r>
            <w:r>
              <w:rPr>
                <w:rFonts w:hint="eastAsia" w:ascii="宋体" w:hAnsi="宋体" w:cs="宋体"/>
                <w:szCs w:val="21"/>
              </w:rPr>
              <w:t>标定功率≥15KW（提供第三方鉴定报告）</w:t>
            </w:r>
          </w:p>
          <w:p w14:paraId="1D0E4DD0">
            <w:pPr>
              <w:rPr>
                <w:rFonts w:hint="eastAsia" w:ascii="宋体" w:hAnsi="宋体" w:cs="宋体"/>
                <w:szCs w:val="21"/>
                <w:lang w:eastAsia="zh-Hans"/>
              </w:rPr>
            </w:pPr>
            <w:r>
              <w:rPr>
                <w:rFonts w:hint="eastAsia" w:ascii="宋体" w:hAnsi="宋体" w:cs="宋体"/>
                <w:szCs w:val="21"/>
                <w:lang w:eastAsia="zh-Hans"/>
              </w:rPr>
              <w:t>四轮驱动，四轮转向，带有中央差速锁</w:t>
            </w:r>
          </w:p>
          <w:p w14:paraId="48CBF735">
            <w:pPr>
              <w:rPr>
                <w:rFonts w:hint="eastAsia" w:ascii="宋体" w:hAnsi="宋体" w:cs="宋体"/>
                <w:szCs w:val="21"/>
                <w:lang w:eastAsia="zh-Hans"/>
              </w:rPr>
            </w:pPr>
            <w:r>
              <w:rPr>
                <w:rFonts w:hint="eastAsia" w:ascii="宋体" w:hAnsi="宋体" w:cs="宋体"/>
                <w:szCs w:val="21"/>
                <w:lang w:eastAsia="zh-Hans"/>
              </w:rPr>
              <w:t>★药箱容量≥500L</w:t>
            </w:r>
            <w:r>
              <w:rPr>
                <w:rFonts w:hint="eastAsia" w:ascii="宋体" w:hAnsi="宋体" w:cs="宋体"/>
                <w:szCs w:val="21"/>
              </w:rPr>
              <w:t>（提供第三方鉴定报告）</w:t>
            </w:r>
          </w:p>
          <w:p w14:paraId="53D79381">
            <w:pPr>
              <w:rPr>
                <w:rFonts w:hint="eastAsia" w:ascii="宋体" w:hAnsi="宋体" w:cs="宋体"/>
                <w:szCs w:val="21"/>
                <w:lang w:eastAsia="zh-Hans"/>
              </w:rPr>
            </w:pPr>
            <w:r>
              <w:rPr>
                <w:rFonts w:hint="eastAsia" w:ascii="宋体" w:hAnsi="宋体" w:cs="宋体"/>
                <w:szCs w:val="21"/>
                <w:lang w:eastAsia="zh-Hans"/>
              </w:rPr>
              <w:t>★喷幅≥12m</w:t>
            </w:r>
            <w:r>
              <w:rPr>
                <w:rFonts w:hint="eastAsia" w:ascii="宋体" w:hAnsi="宋体" w:cs="宋体"/>
                <w:szCs w:val="21"/>
              </w:rPr>
              <w:t>（提供使用说明书）</w:t>
            </w:r>
          </w:p>
          <w:p w14:paraId="1042A13F">
            <w:pPr>
              <w:rPr>
                <w:rFonts w:hint="eastAsia" w:ascii="宋体" w:hAnsi="宋体" w:cs="宋体"/>
                <w:szCs w:val="21"/>
                <w:lang w:eastAsia="zh-Hans"/>
              </w:rPr>
            </w:pPr>
            <w:r>
              <w:rPr>
                <w:rFonts w:hint="eastAsia" w:ascii="宋体" w:hAnsi="宋体" w:cs="宋体"/>
                <w:szCs w:val="21"/>
                <w:lang w:eastAsia="zh-Hans"/>
              </w:rPr>
              <w:t>有效离地间隙≥10</w:t>
            </w:r>
            <w:r>
              <w:rPr>
                <w:rFonts w:hint="eastAsia" w:ascii="宋体" w:hAnsi="宋体" w:cs="宋体"/>
                <w:szCs w:val="21"/>
              </w:rPr>
              <w:t>50</w:t>
            </w:r>
            <w:r>
              <w:rPr>
                <w:rFonts w:hint="eastAsia" w:ascii="宋体" w:hAnsi="宋体" w:cs="宋体"/>
                <w:szCs w:val="21"/>
                <w:lang w:eastAsia="zh-Hans"/>
              </w:rPr>
              <w:t>mm</w:t>
            </w:r>
          </w:p>
          <w:p w14:paraId="67309825">
            <w:pPr>
              <w:rPr>
                <w:rFonts w:hint="eastAsia" w:ascii="宋体" w:hAnsi="宋体" w:cs="宋体"/>
                <w:szCs w:val="21"/>
                <w:lang w:eastAsia="zh-Hans"/>
              </w:rPr>
            </w:pPr>
            <w:r>
              <w:rPr>
                <w:rFonts w:hint="eastAsia" w:ascii="宋体" w:hAnsi="宋体" w:cs="宋体"/>
                <w:szCs w:val="21"/>
                <w:lang w:eastAsia="zh-Hans"/>
              </w:rPr>
              <w:t>(一）无人驾驶系统功能：</w:t>
            </w:r>
          </w:p>
          <w:p w14:paraId="4E49AE5D">
            <w:pPr>
              <w:rPr>
                <w:rFonts w:hint="eastAsia" w:ascii="宋体" w:hAnsi="宋体" w:cs="宋体"/>
                <w:szCs w:val="21"/>
                <w:lang w:eastAsia="zh-Hans"/>
              </w:rPr>
            </w:pPr>
            <w:r>
              <w:rPr>
                <w:rFonts w:hint="eastAsia" w:ascii="宋体" w:hAnsi="宋体" w:cs="宋体"/>
                <w:szCs w:val="21"/>
                <w:lang w:eastAsia="zh-Hans"/>
              </w:rPr>
              <w:t>（1）实现远程点火熄火、远程启停功能；实现自动减速掉头、入堑控制、支持作业速度预设，可根据实际情况预设车辆的作业速度及调头转弯速度；</w:t>
            </w:r>
          </w:p>
          <w:p w14:paraId="7BB30757">
            <w:pPr>
              <w:rPr>
                <w:rFonts w:hint="eastAsia" w:ascii="宋体" w:hAnsi="宋体" w:cs="宋体"/>
                <w:szCs w:val="21"/>
                <w:lang w:eastAsia="zh-Hans"/>
              </w:rPr>
            </w:pPr>
            <w:r>
              <w:rPr>
                <w:rFonts w:hint="eastAsia" w:ascii="宋体" w:hAnsi="宋体" w:cs="宋体"/>
                <w:szCs w:val="21"/>
                <w:lang w:eastAsia="zh-Hans"/>
              </w:rPr>
              <w:t>（2）实现植保机的加速减速、展臂开合控制、喷药启动控制；可升级精量喷药控制，配备阀体实现均衡施药；</w:t>
            </w:r>
          </w:p>
          <w:p w14:paraId="1E2D817B">
            <w:pPr>
              <w:rPr>
                <w:rFonts w:hint="eastAsia" w:ascii="宋体" w:hAnsi="宋体" w:cs="宋体"/>
                <w:szCs w:val="21"/>
                <w:lang w:eastAsia="zh-Hans"/>
              </w:rPr>
            </w:pPr>
            <w:r>
              <w:rPr>
                <w:rFonts w:hint="eastAsia" w:ascii="宋体" w:hAnsi="宋体" w:cs="宋体"/>
                <w:szCs w:val="21"/>
                <w:lang w:eastAsia="zh-Hans"/>
              </w:rPr>
              <w:t>（3）▲支持远程协助、远程调参，可随时通过小程序查看车辆参数,（提供功能截图并加盖厂家公章）；</w:t>
            </w:r>
          </w:p>
          <w:p w14:paraId="52CCFC50">
            <w:pPr>
              <w:rPr>
                <w:rFonts w:hint="eastAsia" w:ascii="宋体" w:hAnsi="宋体" w:cs="宋体"/>
                <w:szCs w:val="21"/>
                <w:lang w:eastAsia="zh-Hans"/>
              </w:rPr>
            </w:pPr>
            <w:r>
              <w:rPr>
                <w:rFonts w:hint="eastAsia" w:ascii="宋体" w:hAnsi="宋体" w:cs="宋体"/>
                <w:szCs w:val="21"/>
                <w:lang w:eastAsia="zh-Hans"/>
              </w:rPr>
              <w:t>（4）支持平台端在线与微信小程序进行设备信息查看，方便实时了解作业情况；</w:t>
            </w:r>
          </w:p>
          <w:p w14:paraId="1CF85E7C">
            <w:pPr>
              <w:rPr>
                <w:rFonts w:hint="eastAsia" w:ascii="宋体" w:hAnsi="宋体" w:cs="宋体"/>
                <w:szCs w:val="21"/>
                <w:lang w:eastAsia="zh-Hans"/>
              </w:rPr>
            </w:pPr>
            <w:r>
              <w:rPr>
                <w:rFonts w:hint="eastAsia" w:ascii="宋体" w:hAnsi="宋体" w:cs="宋体"/>
                <w:szCs w:val="21"/>
                <w:lang w:eastAsia="zh-Hans"/>
              </w:rPr>
              <w:t>（5）▲同时支持遥控、无人、手动三种模式作业，需提供手机APP的软件截图及软件著作。</w:t>
            </w:r>
          </w:p>
          <w:p w14:paraId="7F4D7137">
            <w:pPr>
              <w:rPr>
                <w:rFonts w:hint="eastAsia" w:ascii="宋体" w:hAnsi="宋体" w:cs="宋体"/>
                <w:szCs w:val="21"/>
                <w:lang w:eastAsia="zh-Hans"/>
              </w:rPr>
            </w:pPr>
            <w:r>
              <w:rPr>
                <w:rFonts w:hint="eastAsia" w:ascii="宋体" w:hAnsi="宋体" w:cs="宋体"/>
                <w:szCs w:val="21"/>
                <w:lang w:eastAsia="zh-Hans"/>
              </w:rPr>
              <w:t>（6）▲系统扩展性强，可通过CAN通讯扩展，可实现无人驾驶与智能喷雾在同一软件显示及使用。（提供软件截图）</w:t>
            </w:r>
          </w:p>
          <w:p w14:paraId="58FD57B2">
            <w:pPr>
              <w:rPr>
                <w:rFonts w:hint="eastAsia" w:ascii="宋体" w:hAnsi="宋体" w:cs="宋体"/>
                <w:szCs w:val="21"/>
                <w:lang w:eastAsia="zh-Hans"/>
              </w:rPr>
            </w:pPr>
            <w:r>
              <w:rPr>
                <w:rFonts w:hint="eastAsia" w:ascii="宋体" w:hAnsi="宋体" w:cs="宋体"/>
                <w:szCs w:val="21"/>
                <w:lang w:eastAsia="zh-Hans"/>
              </w:rPr>
              <w:t>（7）▲支持单北斗卫星导航定位（具备第三方检测报告）</w:t>
            </w:r>
          </w:p>
          <w:p w14:paraId="0A1A264D">
            <w:pPr>
              <w:rPr>
                <w:rFonts w:hint="eastAsia" w:ascii="宋体" w:hAnsi="宋体" w:cs="宋体"/>
                <w:szCs w:val="21"/>
                <w:lang w:eastAsia="zh-Hans"/>
              </w:rPr>
            </w:pPr>
            <w:r>
              <w:rPr>
                <w:rFonts w:hint="eastAsia" w:ascii="宋体" w:hAnsi="宋体" w:cs="宋体"/>
                <w:szCs w:val="21"/>
                <w:lang w:eastAsia="zh-Hans"/>
              </w:rPr>
              <w:t>（二）无人驾驶系统技术参数：</w:t>
            </w:r>
          </w:p>
          <w:p w14:paraId="283C1B43">
            <w:pPr>
              <w:rPr>
                <w:rFonts w:hint="eastAsia" w:ascii="宋体" w:hAnsi="宋体" w:cs="宋体"/>
                <w:szCs w:val="21"/>
                <w:lang w:eastAsia="zh-Hans"/>
              </w:rPr>
            </w:pPr>
            <w:r>
              <w:rPr>
                <w:rFonts w:hint="eastAsia" w:ascii="宋体" w:hAnsi="宋体" w:cs="宋体"/>
                <w:szCs w:val="21"/>
                <w:lang w:eastAsia="zh-Hans"/>
              </w:rPr>
              <w:t>1、智能显控终端：</w:t>
            </w:r>
          </w:p>
          <w:p w14:paraId="24EE912A">
            <w:pPr>
              <w:rPr>
                <w:rFonts w:hint="eastAsia" w:ascii="宋体" w:hAnsi="宋体" w:cs="宋体"/>
                <w:szCs w:val="21"/>
                <w:lang w:eastAsia="zh-Hans"/>
              </w:rPr>
            </w:pPr>
            <w:r>
              <w:rPr>
                <w:rFonts w:hint="eastAsia" w:ascii="宋体" w:hAnsi="宋体" w:cs="宋体"/>
                <w:szCs w:val="21"/>
                <w:lang w:eastAsia="zh-Hans"/>
              </w:rPr>
              <w:t>（1）供电电压：DC 9～36V，带正负极性反接保护，支持断电检测；</w:t>
            </w:r>
          </w:p>
          <w:p w14:paraId="6F43B818">
            <w:pPr>
              <w:rPr>
                <w:rFonts w:hint="eastAsia" w:ascii="宋体" w:hAnsi="宋体" w:cs="宋体"/>
                <w:szCs w:val="21"/>
                <w:lang w:eastAsia="zh-Hans"/>
              </w:rPr>
            </w:pPr>
            <w:r>
              <w:rPr>
                <w:rFonts w:hint="eastAsia" w:ascii="宋体" w:hAnsi="宋体" w:cs="宋体"/>
                <w:szCs w:val="21"/>
                <w:lang w:eastAsia="zh-Hans"/>
              </w:rPr>
              <w:t>（2）工作温度：-40℃～+70℃ ；</w:t>
            </w:r>
          </w:p>
          <w:p w14:paraId="13FA67A2">
            <w:pPr>
              <w:rPr>
                <w:rFonts w:hint="eastAsia" w:ascii="宋体" w:hAnsi="宋体" w:cs="宋体"/>
                <w:szCs w:val="21"/>
                <w:lang w:eastAsia="zh-Hans"/>
              </w:rPr>
            </w:pPr>
            <w:r>
              <w:rPr>
                <w:rFonts w:hint="eastAsia" w:ascii="宋体" w:hAnsi="宋体" w:cs="宋体"/>
                <w:szCs w:val="21"/>
                <w:lang w:eastAsia="zh-Hans"/>
              </w:rPr>
              <w:t>（3）分辨率：≥1024×600P ；</w:t>
            </w:r>
          </w:p>
          <w:p w14:paraId="08666F85">
            <w:pPr>
              <w:rPr>
                <w:rFonts w:hint="eastAsia" w:ascii="宋体" w:hAnsi="宋体" w:cs="宋体"/>
                <w:szCs w:val="21"/>
                <w:lang w:eastAsia="zh-Hans"/>
              </w:rPr>
            </w:pPr>
            <w:r>
              <w:rPr>
                <w:rFonts w:hint="eastAsia" w:ascii="宋体" w:hAnsi="宋体" w:cs="宋体"/>
                <w:szCs w:val="21"/>
                <w:lang w:eastAsia="zh-Hans"/>
              </w:rPr>
              <w:t>（4）屏幕尺寸：大于9寸电容式触摸屏，支持10指触摸；</w:t>
            </w:r>
          </w:p>
          <w:p w14:paraId="5CD10799">
            <w:pPr>
              <w:rPr>
                <w:rFonts w:hint="eastAsia" w:ascii="宋体" w:hAnsi="宋体" w:cs="宋体"/>
                <w:szCs w:val="21"/>
                <w:lang w:eastAsia="zh-Hans"/>
              </w:rPr>
            </w:pPr>
            <w:r>
              <w:rPr>
                <w:rFonts w:hint="eastAsia" w:ascii="宋体" w:hAnsi="宋体" w:cs="宋体"/>
                <w:szCs w:val="21"/>
                <w:lang w:eastAsia="zh-Hans"/>
              </w:rPr>
              <w:t>（5）屏幕素质：分辨率不低于1024×600P, 亮度低于750nits；</w:t>
            </w:r>
          </w:p>
          <w:p w14:paraId="5A1D60F5">
            <w:pPr>
              <w:rPr>
                <w:rFonts w:hint="eastAsia" w:ascii="宋体" w:hAnsi="宋体" w:cs="宋体"/>
                <w:szCs w:val="21"/>
                <w:lang w:eastAsia="zh-Hans"/>
              </w:rPr>
            </w:pPr>
            <w:r>
              <w:rPr>
                <w:rFonts w:hint="eastAsia" w:ascii="宋体" w:hAnsi="宋体" w:cs="宋体"/>
                <w:szCs w:val="21"/>
                <w:lang w:eastAsia="zh-Hans"/>
              </w:rPr>
              <w:t>（6）▲防护等级： ≥IP67 （需提供专业机构提供的检测报告复印件加盖投标人公章）；</w:t>
            </w:r>
          </w:p>
          <w:p w14:paraId="341D71D1">
            <w:pPr>
              <w:rPr>
                <w:rFonts w:hint="eastAsia" w:ascii="宋体" w:hAnsi="宋体" w:cs="宋体"/>
                <w:szCs w:val="21"/>
                <w:lang w:eastAsia="zh-Hans"/>
              </w:rPr>
            </w:pPr>
            <w:r>
              <w:rPr>
                <w:rFonts w:hint="eastAsia" w:ascii="宋体" w:hAnsi="宋体" w:cs="宋体"/>
                <w:szCs w:val="21"/>
                <w:lang w:eastAsia="zh-Hans"/>
              </w:rPr>
              <w:t>2、驱动电机：</w:t>
            </w:r>
          </w:p>
          <w:p w14:paraId="68A43E75">
            <w:pPr>
              <w:rPr>
                <w:rFonts w:hint="eastAsia" w:ascii="宋体" w:hAnsi="宋体" w:cs="宋体"/>
                <w:szCs w:val="21"/>
                <w:lang w:eastAsia="zh-Hans"/>
              </w:rPr>
            </w:pPr>
            <w:r>
              <w:rPr>
                <w:rFonts w:hint="eastAsia" w:ascii="宋体" w:hAnsi="宋体" w:cs="宋体"/>
                <w:szCs w:val="21"/>
                <w:lang w:eastAsia="zh-Hans"/>
              </w:rPr>
              <w:t>(1)通讯协议：ModBUS、CAN；</w:t>
            </w:r>
          </w:p>
          <w:p w14:paraId="7FFCFF0B">
            <w:pPr>
              <w:rPr>
                <w:rFonts w:hint="eastAsia" w:ascii="宋体" w:hAnsi="宋体" w:cs="宋体"/>
                <w:szCs w:val="21"/>
                <w:lang w:eastAsia="zh-Hans"/>
              </w:rPr>
            </w:pPr>
            <w:r>
              <w:rPr>
                <w:rFonts w:hint="eastAsia" w:ascii="宋体" w:hAnsi="宋体" w:cs="宋体"/>
                <w:szCs w:val="21"/>
                <w:lang w:eastAsia="zh-Hans"/>
              </w:rPr>
              <w:t>(2)编码器分辨率：≥1000线；</w:t>
            </w:r>
          </w:p>
          <w:p w14:paraId="27D14275">
            <w:pPr>
              <w:rPr>
                <w:rFonts w:hint="eastAsia" w:ascii="宋体" w:hAnsi="宋体" w:cs="宋体"/>
                <w:szCs w:val="21"/>
                <w:lang w:eastAsia="zh-Hans"/>
              </w:rPr>
            </w:pPr>
            <w:r>
              <w:rPr>
                <w:rFonts w:hint="eastAsia" w:ascii="宋体" w:hAnsi="宋体" w:cs="宋体"/>
                <w:szCs w:val="21"/>
                <w:lang w:eastAsia="zh-Hans"/>
              </w:rPr>
              <w:t>(3)最大输出频率：≥200KHZ；</w:t>
            </w:r>
          </w:p>
          <w:p w14:paraId="21EF46EA">
            <w:pPr>
              <w:rPr>
                <w:rFonts w:hint="eastAsia" w:ascii="宋体" w:hAnsi="宋体" w:cs="宋体"/>
                <w:szCs w:val="21"/>
                <w:lang w:eastAsia="zh-Hans"/>
              </w:rPr>
            </w:pPr>
            <w:r>
              <w:rPr>
                <w:rFonts w:hint="eastAsia" w:ascii="宋体" w:hAnsi="宋体" w:cs="宋体"/>
                <w:szCs w:val="21"/>
                <w:lang w:eastAsia="zh-Hans"/>
              </w:rPr>
              <w:t>(4)防水等级：IP66及以上；</w:t>
            </w:r>
          </w:p>
          <w:p w14:paraId="738052A0">
            <w:pPr>
              <w:rPr>
                <w:rFonts w:hint="eastAsia" w:ascii="宋体" w:hAnsi="宋体" w:cs="宋体"/>
                <w:szCs w:val="21"/>
                <w:lang w:eastAsia="zh-Hans"/>
              </w:rPr>
            </w:pPr>
            <w:r>
              <w:rPr>
                <w:rFonts w:hint="eastAsia" w:ascii="宋体" w:hAnsi="宋体" w:cs="宋体"/>
                <w:szCs w:val="21"/>
                <w:lang w:eastAsia="zh-Hans"/>
              </w:rPr>
              <w:t>3、无人驾驶控制器：</w:t>
            </w:r>
          </w:p>
          <w:p w14:paraId="1CEEB93E">
            <w:pPr>
              <w:rPr>
                <w:rFonts w:hint="eastAsia" w:ascii="宋体" w:hAnsi="宋体" w:cs="宋体"/>
                <w:szCs w:val="21"/>
                <w:lang w:eastAsia="zh-Hans"/>
              </w:rPr>
            </w:pPr>
            <w:r>
              <w:rPr>
                <w:rFonts w:hint="eastAsia" w:ascii="宋体" w:hAnsi="宋体" w:cs="宋体"/>
                <w:szCs w:val="21"/>
                <w:lang w:eastAsia="zh-Hans"/>
              </w:rPr>
              <w:t>(1)DC-DC电源：5.7VDC~32VDC宽范围供电，能够提供稳定的12VDC，5VDC，3.3V输出电压；</w:t>
            </w:r>
          </w:p>
          <w:p w14:paraId="0D452F68">
            <w:pPr>
              <w:rPr>
                <w:rFonts w:hint="eastAsia" w:ascii="宋体" w:hAnsi="宋体" w:cs="宋体"/>
                <w:szCs w:val="21"/>
                <w:lang w:eastAsia="zh-Hans"/>
              </w:rPr>
            </w:pPr>
            <w:r>
              <w:rPr>
                <w:rFonts w:hint="eastAsia" w:ascii="宋体" w:hAnsi="宋体" w:cs="宋体"/>
                <w:szCs w:val="21"/>
                <w:lang w:eastAsia="zh-Hans"/>
              </w:rPr>
              <w:t>（2）通用模拟量输入：0-5V模拟电压输入；4-20mA模拟电流输入；5V/3.3脉冲输入；12V/5V电压开关量输入，需要至少0.4%的相对精度。</w:t>
            </w:r>
          </w:p>
        </w:tc>
      </w:tr>
      <w:tr w14:paraId="58A4B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379CBD1F">
            <w:pPr>
              <w:jc w:val="center"/>
              <w:rPr>
                <w:rFonts w:hint="eastAsia" w:ascii="宋体" w:hAnsi="宋体" w:cs="宋体"/>
                <w:szCs w:val="21"/>
              </w:rPr>
            </w:pPr>
            <w:r>
              <w:rPr>
                <w:rFonts w:hint="eastAsia" w:ascii="宋体" w:hAnsi="宋体" w:cs="宋体"/>
                <w:szCs w:val="21"/>
              </w:rPr>
              <w:t>5</w:t>
            </w:r>
          </w:p>
        </w:tc>
        <w:tc>
          <w:tcPr>
            <w:tcW w:w="653" w:type="pct"/>
            <w:vAlign w:val="center"/>
          </w:tcPr>
          <w:p w14:paraId="131030DF">
            <w:pPr>
              <w:jc w:val="center"/>
              <w:rPr>
                <w:rFonts w:hint="eastAsia" w:ascii="宋体" w:hAnsi="宋体" w:cs="宋体"/>
                <w:szCs w:val="21"/>
              </w:rPr>
            </w:pPr>
            <w:r>
              <w:rPr>
                <w:rFonts w:hint="eastAsia" w:ascii="宋体" w:hAnsi="宋体" w:cs="宋体"/>
                <w:szCs w:val="21"/>
              </w:rPr>
              <w:t>无人植保机</w:t>
            </w:r>
          </w:p>
        </w:tc>
        <w:tc>
          <w:tcPr>
            <w:tcW w:w="510" w:type="pct"/>
            <w:vAlign w:val="center"/>
          </w:tcPr>
          <w:p w14:paraId="6F2F8FFC">
            <w:pPr>
              <w:jc w:val="center"/>
              <w:rPr>
                <w:rFonts w:hint="eastAsia" w:ascii="宋体" w:hAnsi="宋体" w:cs="宋体"/>
                <w:szCs w:val="21"/>
              </w:rPr>
            </w:pPr>
            <w:r>
              <w:rPr>
                <w:rFonts w:hint="eastAsia" w:ascii="宋体" w:hAnsi="宋体" w:cs="宋体"/>
                <w:szCs w:val="21"/>
              </w:rPr>
              <w:t>1台</w:t>
            </w:r>
          </w:p>
        </w:tc>
        <w:tc>
          <w:tcPr>
            <w:tcW w:w="3410" w:type="pct"/>
            <w:vAlign w:val="center"/>
          </w:tcPr>
          <w:p w14:paraId="0EB3A080">
            <w:pPr>
              <w:rPr>
                <w:rFonts w:hint="eastAsia" w:ascii="宋体" w:hAnsi="宋体" w:cs="宋体"/>
                <w:szCs w:val="21"/>
              </w:rPr>
            </w:pPr>
            <w:r>
              <w:rPr>
                <w:rFonts w:hint="eastAsia" w:ascii="宋体" w:hAnsi="宋体" w:cs="宋体"/>
                <w:szCs w:val="21"/>
              </w:rPr>
              <w:t>喷洒起飞重量： ≥112kg</w:t>
            </w:r>
          </w:p>
          <w:p w14:paraId="1C20FBFC">
            <w:pPr>
              <w:numPr>
                <w:ilvl w:val="0"/>
                <w:numId w:val="6"/>
              </w:numPr>
              <w:rPr>
                <w:rFonts w:hint="eastAsia" w:ascii="宋体" w:hAnsi="宋体" w:cs="宋体"/>
                <w:szCs w:val="21"/>
              </w:rPr>
            </w:pPr>
            <w:r>
              <w:rPr>
                <w:rFonts w:hint="eastAsia" w:ascii="宋体" w:hAnsi="宋体" w:cs="宋体"/>
                <w:szCs w:val="21"/>
              </w:rPr>
              <w:t>播撒起飞重量： ≥120kg</w:t>
            </w:r>
          </w:p>
          <w:p w14:paraId="386FAFD7">
            <w:pPr>
              <w:pStyle w:val="16"/>
              <w:numPr>
                <w:ilvl w:val="0"/>
                <w:numId w:val="6"/>
              </w:numPr>
              <w:spacing w:after="0"/>
              <w:ind w:firstLine="0"/>
              <w:rPr>
                <w:rFonts w:hint="eastAsia" w:ascii="宋体" w:hAnsi="宋体" w:cs="宋体"/>
                <w:szCs w:val="21"/>
              </w:rPr>
            </w:pPr>
            <w:r>
              <w:rPr>
                <w:rFonts w:hint="eastAsia" w:ascii="宋体" w:hAnsi="宋体" w:cs="宋体"/>
                <w:szCs w:val="21"/>
              </w:rPr>
              <w:t>喷洒流量≥18 L/min</w:t>
            </w:r>
          </w:p>
          <w:p w14:paraId="2FB994E9">
            <w:pPr>
              <w:pStyle w:val="16"/>
              <w:numPr>
                <w:ilvl w:val="0"/>
                <w:numId w:val="6"/>
              </w:numPr>
              <w:spacing w:after="0"/>
              <w:ind w:firstLine="0"/>
              <w:rPr>
                <w:rFonts w:hint="eastAsia" w:ascii="宋体" w:hAnsi="宋体" w:cs="宋体"/>
                <w:szCs w:val="21"/>
              </w:rPr>
            </w:pPr>
            <w:r>
              <w:rPr>
                <w:rFonts w:hint="eastAsia" w:ascii="宋体" w:hAnsi="宋体" w:cs="宋体"/>
                <w:szCs w:val="21"/>
              </w:rPr>
              <w:t>有效喷幅范围≥ 4-11 m</w:t>
            </w:r>
          </w:p>
          <w:p w14:paraId="7D928542">
            <w:pPr>
              <w:pStyle w:val="16"/>
              <w:numPr>
                <w:ilvl w:val="0"/>
                <w:numId w:val="6"/>
              </w:numPr>
              <w:spacing w:after="0"/>
              <w:ind w:firstLine="0"/>
              <w:rPr>
                <w:rFonts w:hint="eastAsia" w:ascii="宋体" w:hAnsi="宋体" w:cs="宋体"/>
                <w:szCs w:val="21"/>
              </w:rPr>
            </w:pPr>
            <w:r>
              <w:rPr>
                <w:rFonts w:hint="eastAsia" w:ascii="宋体" w:hAnsi="宋体" w:cs="宋体"/>
                <w:szCs w:val="21"/>
              </w:rPr>
              <w:t>配播撒装置、播撒作业箱内部载重≥ 60kg</w:t>
            </w:r>
          </w:p>
          <w:p w14:paraId="790F3447">
            <w:pPr>
              <w:rPr>
                <w:rFonts w:hint="eastAsia" w:ascii="宋体" w:hAnsi="宋体" w:cs="宋体"/>
                <w:szCs w:val="21"/>
              </w:rPr>
            </w:pPr>
            <w:r>
              <w:rPr>
                <w:rFonts w:hint="eastAsia" w:ascii="宋体" w:hAnsi="宋体" w:cs="宋体"/>
                <w:szCs w:val="21"/>
              </w:rPr>
              <w:t>（5）最大轴距： ≤2270 mm</w:t>
            </w:r>
          </w:p>
          <w:p w14:paraId="57557902">
            <w:pPr>
              <w:rPr>
                <w:rFonts w:hint="eastAsia" w:ascii="宋体" w:hAnsi="宋体" w:cs="宋体"/>
                <w:szCs w:val="21"/>
              </w:rPr>
            </w:pPr>
            <w:r>
              <w:rPr>
                <w:rFonts w:hint="eastAsia" w:ascii="宋体" w:hAnsi="宋体" w:cs="宋体"/>
                <w:szCs w:val="21"/>
              </w:rPr>
              <w:t>（6）启用 RTK 定位精度： ≤1 厘米 +1 ppm（水平），1.5 厘米 +1 ppm（垂直）</w:t>
            </w:r>
          </w:p>
          <w:p w14:paraId="05102D41">
            <w:pPr>
              <w:rPr>
                <w:rFonts w:hint="eastAsia" w:ascii="宋体" w:hAnsi="宋体" w:cs="宋体"/>
                <w:szCs w:val="21"/>
              </w:rPr>
            </w:pPr>
            <w:r>
              <w:rPr>
                <w:rFonts w:hint="eastAsia" w:ascii="宋体" w:hAnsi="宋体" w:cs="宋体"/>
                <w:szCs w:val="21"/>
              </w:rPr>
              <w:t>（7）作业箱容积： ≥50L</w:t>
            </w:r>
          </w:p>
        </w:tc>
      </w:tr>
      <w:tr w14:paraId="62DA2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42ECDCEB">
            <w:pPr>
              <w:jc w:val="center"/>
              <w:rPr>
                <w:rFonts w:hint="eastAsia" w:ascii="宋体" w:hAnsi="宋体" w:cs="宋体"/>
                <w:szCs w:val="21"/>
              </w:rPr>
            </w:pPr>
            <w:r>
              <w:rPr>
                <w:rFonts w:hint="eastAsia" w:ascii="宋体" w:hAnsi="宋体" w:cs="宋体"/>
                <w:szCs w:val="21"/>
              </w:rPr>
              <w:t>6</w:t>
            </w:r>
          </w:p>
        </w:tc>
        <w:tc>
          <w:tcPr>
            <w:tcW w:w="653" w:type="pct"/>
            <w:vAlign w:val="center"/>
          </w:tcPr>
          <w:p w14:paraId="13E3FD4A">
            <w:pPr>
              <w:jc w:val="center"/>
              <w:rPr>
                <w:rFonts w:hint="eastAsia" w:ascii="宋体" w:hAnsi="宋体" w:cs="宋体"/>
                <w:szCs w:val="21"/>
              </w:rPr>
            </w:pPr>
            <w:r>
              <w:rPr>
                <w:rFonts w:hint="eastAsia" w:ascii="宋体" w:hAnsi="宋体" w:cs="宋体"/>
                <w:szCs w:val="21"/>
              </w:rPr>
              <w:t>多光谱无人机</w:t>
            </w:r>
          </w:p>
        </w:tc>
        <w:tc>
          <w:tcPr>
            <w:tcW w:w="510" w:type="pct"/>
            <w:vAlign w:val="center"/>
          </w:tcPr>
          <w:p w14:paraId="2C78B229">
            <w:pPr>
              <w:jc w:val="center"/>
              <w:rPr>
                <w:rFonts w:hint="eastAsia" w:ascii="宋体" w:hAnsi="宋体" w:cs="宋体"/>
                <w:szCs w:val="21"/>
              </w:rPr>
            </w:pPr>
            <w:r>
              <w:rPr>
                <w:rFonts w:hint="eastAsia" w:ascii="宋体" w:hAnsi="宋体" w:cs="宋体"/>
                <w:szCs w:val="21"/>
                <w:lang w:eastAsia="zh-Hans"/>
              </w:rPr>
              <w:t>1</w:t>
            </w:r>
            <w:r>
              <w:rPr>
                <w:rFonts w:hint="eastAsia" w:ascii="宋体" w:hAnsi="宋体" w:cs="宋体"/>
                <w:szCs w:val="21"/>
              </w:rPr>
              <w:t>台</w:t>
            </w:r>
          </w:p>
        </w:tc>
        <w:tc>
          <w:tcPr>
            <w:tcW w:w="3410" w:type="pct"/>
            <w:vAlign w:val="center"/>
          </w:tcPr>
          <w:p w14:paraId="2D57A42A">
            <w:pPr>
              <w:numPr>
                <w:ilvl w:val="0"/>
                <w:numId w:val="7"/>
              </w:numPr>
              <w:rPr>
                <w:rFonts w:hint="eastAsia" w:ascii="宋体" w:hAnsi="宋体" w:cs="宋体"/>
                <w:szCs w:val="21"/>
              </w:rPr>
            </w:pPr>
            <w:r>
              <w:rPr>
                <w:rFonts w:hint="eastAsia" w:ascii="宋体" w:hAnsi="宋体" w:cs="宋体"/>
                <w:szCs w:val="21"/>
              </w:rPr>
              <w:t>相机配置多光谱通道≥4</w:t>
            </w:r>
          </w:p>
          <w:p w14:paraId="1641ADDC">
            <w:pPr>
              <w:numPr>
                <w:ilvl w:val="0"/>
                <w:numId w:val="7"/>
              </w:numPr>
              <w:rPr>
                <w:rFonts w:hint="eastAsia" w:ascii="宋体" w:hAnsi="宋体" w:cs="宋体"/>
                <w:szCs w:val="21"/>
              </w:rPr>
            </w:pPr>
            <w:r>
              <w:rPr>
                <w:rFonts w:hint="eastAsia" w:ascii="宋体" w:hAnsi="宋体" w:cs="宋体"/>
                <w:szCs w:val="21"/>
              </w:rPr>
              <w:t>RGB通道≥1个</w:t>
            </w:r>
          </w:p>
          <w:p w14:paraId="70B79926">
            <w:pPr>
              <w:numPr>
                <w:ilvl w:val="0"/>
                <w:numId w:val="7"/>
              </w:numPr>
              <w:rPr>
                <w:rFonts w:hint="eastAsia" w:ascii="宋体" w:hAnsi="宋体" w:cs="宋体"/>
                <w:szCs w:val="21"/>
              </w:rPr>
            </w:pPr>
            <w:r>
              <w:rPr>
                <w:rFonts w:hint="eastAsia" w:ascii="宋体" w:hAnsi="宋体" w:cs="宋体"/>
                <w:szCs w:val="21"/>
              </w:rPr>
              <w:t>图传距离≥10km</w:t>
            </w:r>
          </w:p>
          <w:p w14:paraId="4E7B4AE7">
            <w:pPr>
              <w:numPr>
                <w:ilvl w:val="0"/>
                <w:numId w:val="7"/>
              </w:numPr>
              <w:rPr>
                <w:rFonts w:hint="eastAsia" w:ascii="宋体" w:hAnsi="宋体" w:cs="宋体"/>
                <w:szCs w:val="21"/>
              </w:rPr>
            </w:pPr>
            <w:r>
              <w:rPr>
                <w:rFonts w:hint="eastAsia" w:ascii="宋体" w:hAnsi="宋体" w:cs="宋体"/>
                <w:szCs w:val="21"/>
              </w:rPr>
              <w:t>续航时间≥40分钟</w:t>
            </w:r>
          </w:p>
          <w:p w14:paraId="6AF562BF">
            <w:pPr>
              <w:numPr>
                <w:ilvl w:val="0"/>
                <w:numId w:val="7"/>
              </w:numPr>
              <w:rPr>
                <w:rFonts w:hint="eastAsia" w:ascii="宋体" w:hAnsi="宋体" w:cs="宋体"/>
                <w:szCs w:val="21"/>
              </w:rPr>
            </w:pPr>
            <w:r>
              <w:rPr>
                <w:rFonts w:hint="eastAsia" w:ascii="宋体" w:hAnsi="宋体" w:cs="宋体"/>
                <w:szCs w:val="21"/>
              </w:rPr>
              <w:t>可通过项目平台进行作业区域、作业参数设定、作业命令下发、作业全过程平台实时显示、数据记录和作业回放。</w:t>
            </w:r>
          </w:p>
        </w:tc>
      </w:tr>
      <w:tr w14:paraId="06009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667BE339">
            <w:pPr>
              <w:jc w:val="center"/>
              <w:rPr>
                <w:rFonts w:hint="eastAsia" w:ascii="宋体" w:hAnsi="宋体" w:cs="宋体"/>
                <w:szCs w:val="21"/>
              </w:rPr>
            </w:pPr>
            <w:r>
              <w:rPr>
                <w:rFonts w:hint="eastAsia" w:ascii="宋体" w:hAnsi="宋体" w:cs="宋体"/>
                <w:szCs w:val="21"/>
              </w:rPr>
              <w:t>7</w:t>
            </w:r>
          </w:p>
        </w:tc>
        <w:tc>
          <w:tcPr>
            <w:tcW w:w="653" w:type="pct"/>
            <w:vAlign w:val="center"/>
          </w:tcPr>
          <w:p w14:paraId="39C8E477">
            <w:pPr>
              <w:jc w:val="center"/>
              <w:rPr>
                <w:rFonts w:hint="eastAsia" w:ascii="宋体" w:hAnsi="宋体" w:cs="宋体"/>
                <w:szCs w:val="21"/>
              </w:rPr>
            </w:pPr>
            <w:r>
              <w:rPr>
                <w:rFonts w:hint="eastAsia" w:ascii="宋体" w:hAnsi="宋体" w:cs="宋体"/>
                <w:szCs w:val="21"/>
              </w:rPr>
              <w:t>智能水灌溉闸门</w:t>
            </w:r>
          </w:p>
        </w:tc>
        <w:tc>
          <w:tcPr>
            <w:tcW w:w="510" w:type="pct"/>
            <w:vAlign w:val="center"/>
          </w:tcPr>
          <w:p w14:paraId="6AF16C24">
            <w:pPr>
              <w:jc w:val="center"/>
              <w:rPr>
                <w:rFonts w:hint="eastAsia" w:ascii="宋体" w:hAnsi="宋体" w:cs="宋体"/>
                <w:szCs w:val="21"/>
              </w:rPr>
            </w:pPr>
            <w:r>
              <w:rPr>
                <w:rFonts w:hint="eastAsia" w:ascii="宋体" w:hAnsi="宋体" w:cs="宋体"/>
                <w:szCs w:val="21"/>
              </w:rPr>
              <w:t>12套</w:t>
            </w:r>
          </w:p>
        </w:tc>
        <w:tc>
          <w:tcPr>
            <w:tcW w:w="3410" w:type="pct"/>
            <w:vAlign w:val="center"/>
          </w:tcPr>
          <w:p w14:paraId="4ACE82C9">
            <w:pPr>
              <w:numPr>
                <w:ilvl w:val="0"/>
                <w:numId w:val="8"/>
              </w:numPr>
              <w:rPr>
                <w:rFonts w:hint="eastAsia" w:ascii="宋体" w:hAnsi="宋体" w:cs="宋体"/>
                <w:szCs w:val="21"/>
              </w:rPr>
            </w:pPr>
            <w:r>
              <w:rPr>
                <w:rFonts w:hint="eastAsia" w:ascii="宋体" w:hAnsi="宋体" w:cs="宋体"/>
                <w:szCs w:val="21"/>
              </w:rPr>
              <w:t>内置稳压型6串三元锂电池充放电管理模组：最大充电电流不小于2A，最大放电电流不小于6A;</w:t>
            </w:r>
          </w:p>
          <w:p w14:paraId="6F7C2D76">
            <w:pPr>
              <w:numPr>
                <w:ilvl w:val="0"/>
                <w:numId w:val="8"/>
              </w:numPr>
              <w:rPr>
                <w:rFonts w:hint="eastAsia" w:ascii="宋体" w:hAnsi="宋体" w:cs="宋体"/>
                <w:szCs w:val="21"/>
              </w:rPr>
            </w:pPr>
            <w:r>
              <w:rPr>
                <w:rFonts w:hint="eastAsia" w:ascii="宋体" w:hAnsi="宋体" w:cs="宋体"/>
                <w:szCs w:val="21"/>
              </w:rPr>
              <w:t>内置三元锂电池组：具有充放电保护板，6串3C动力电芯组成25.2V/6AH电池组；</w:t>
            </w:r>
          </w:p>
          <w:p w14:paraId="09E8FCE9">
            <w:pPr>
              <w:numPr>
                <w:ilvl w:val="0"/>
                <w:numId w:val="8"/>
              </w:numPr>
              <w:rPr>
                <w:rFonts w:hint="eastAsia" w:ascii="宋体" w:hAnsi="宋体" w:cs="宋体"/>
                <w:szCs w:val="21"/>
              </w:rPr>
            </w:pPr>
            <w:r>
              <w:rPr>
                <w:rFonts w:hint="eastAsia" w:ascii="宋体" w:hAnsi="宋体" w:cs="宋体"/>
                <w:szCs w:val="21"/>
              </w:rPr>
              <w:t>支持ble蓝牙通讯，需配套app，通过app与控制器BLE联机后可实时查询主板运行工况信息、配置信息并可对主板的通讯、电机运行数据进行配置；</w:t>
            </w:r>
          </w:p>
          <w:p w14:paraId="4A3B1FA1">
            <w:pPr>
              <w:numPr>
                <w:ilvl w:val="0"/>
                <w:numId w:val="8"/>
              </w:numPr>
              <w:rPr>
                <w:rFonts w:hint="eastAsia" w:ascii="宋体" w:hAnsi="宋体" w:cs="宋体"/>
                <w:szCs w:val="21"/>
              </w:rPr>
            </w:pPr>
            <w:r>
              <w:rPr>
                <w:rFonts w:hint="eastAsia" w:ascii="宋体" w:hAnsi="宋体" w:cs="宋体"/>
                <w:szCs w:val="21"/>
              </w:rPr>
              <w:t>支持cat.1网络通讯，与平台实现数据交互；</w:t>
            </w:r>
          </w:p>
          <w:p w14:paraId="59394B0A">
            <w:pPr>
              <w:rPr>
                <w:rFonts w:hint="eastAsia" w:ascii="宋体" w:hAnsi="宋体" w:cs="宋体"/>
                <w:szCs w:val="21"/>
              </w:rPr>
            </w:pPr>
            <w:r>
              <w:rPr>
                <w:rFonts w:hint="eastAsia" w:ascii="宋体" w:hAnsi="宋体" w:cs="宋体"/>
                <w:szCs w:val="21"/>
              </w:rPr>
              <w:t>支持2路直流有刷电机可调速驱控，可实时监测每路电机运行的电压、电流值，并可根据配置信息实现电机运行保护，比如堵转保护、欠压保护等；</w:t>
            </w:r>
          </w:p>
        </w:tc>
      </w:tr>
      <w:tr w14:paraId="11A6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600E69D1">
            <w:pPr>
              <w:jc w:val="center"/>
              <w:rPr>
                <w:rFonts w:hint="eastAsia" w:ascii="宋体" w:hAnsi="宋体" w:cs="宋体"/>
                <w:szCs w:val="21"/>
              </w:rPr>
            </w:pPr>
            <w:r>
              <w:rPr>
                <w:rFonts w:hint="eastAsia" w:ascii="宋体" w:hAnsi="宋体" w:cs="宋体"/>
                <w:szCs w:val="21"/>
              </w:rPr>
              <w:t>8</w:t>
            </w:r>
          </w:p>
        </w:tc>
        <w:tc>
          <w:tcPr>
            <w:tcW w:w="653" w:type="pct"/>
            <w:shd w:val="clear" w:color="auto" w:fill="auto"/>
            <w:vAlign w:val="center"/>
          </w:tcPr>
          <w:p w14:paraId="23FE6359">
            <w:pPr>
              <w:jc w:val="center"/>
              <w:rPr>
                <w:rFonts w:hint="eastAsia" w:ascii="宋体" w:hAnsi="宋体" w:cs="宋体"/>
                <w:color w:val="000000"/>
                <w:szCs w:val="21"/>
              </w:rPr>
            </w:pPr>
            <w:r>
              <w:rPr>
                <w:rFonts w:hint="eastAsia" w:ascii="宋体" w:hAnsi="宋体" w:cs="宋体"/>
                <w:szCs w:val="21"/>
              </w:rPr>
              <w:t>智能旁路软启动柜</w:t>
            </w:r>
          </w:p>
        </w:tc>
        <w:tc>
          <w:tcPr>
            <w:tcW w:w="510" w:type="pct"/>
            <w:shd w:val="clear" w:color="auto" w:fill="auto"/>
            <w:vAlign w:val="center"/>
          </w:tcPr>
          <w:p w14:paraId="713620CD">
            <w:pPr>
              <w:jc w:val="center"/>
              <w:rPr>
                <w:rFonts w:hint="eastAsia" w:ascii="宋体" w:hAnsi="宋体" w:cs="宋体"/>
                <w:szCs w:val="21"/>
              </w:rPr>
            </w:pPr>
            <w:r>
              <w:rPr>
                <w:rFonts w:hint="eastAsia" w:ascii="宋体" w:hAnsi="宋体" w:cs="宋体"/>
                <w:szCs w:val="21"/>
              </w:rPr>
              <w:t>1套</w:t>
            </w:r>
          </w:p>
        </w:tc>
        <w:tc>
          <w:tcPr>
            <w:tcW w:w="3410" w:type="pct"/>
            <w:shd w:val="clear" w:color="auto" w:fill="auto"/>
            <w:vAlign w:val="center"/>
          </w:tcPr>
          <w:p w14:paraId="44953FA6">
            <w:pPr>
              <w:numPr>
                <w:ilvl w:val="0"/>
                <w:numId w:val="9"/>
              </w:numPr>
              <w:rPr>
                <w:rFonts w:hint="eastAsia" w:ascii="宋体" w:hAnsi="宋体" w:cs="宋体"/>
                <w:szCs w:val="21"/>
              </w:rPr>
            </w:pPr>
            <w:r>
              <w:rPr>
                <w:rFonts w:hint="eastAsia" w:ascii="宋体" w:hAnsi="宋体" w:cs="宋体"/>
                <w:szCs w:val="21"/>
              </w:rPr>
              <w:t xml:space="preserve">水泵自保护功能：当监测到过压、欠压、过载、欠载、漏电和过温等异常情况时，需要在≦10 秒内对水泵电机采取基础保护措施； </w:t>
            </w:r>
          </w:p>
          <w:p w14:paraId="2CB7A1CA">
            <w:pPr>
              <w:numPr>
                <w:ilvl w:val="0"/>
                <w:numId w:val="9"/>
              </w:numPr>
              <w:rPr>
                <w:rFonts w:hint="eastAsia" w:ascii="宋体" w:hAnsi="宋体" w:cs="宋体"/>
                <w:szCs w:val="21"/>
              </w:rPr>
            </w:pPr>
            <w:r>
              <w:rPr>
                <w:rFonts w:hint="eastAsia" w:ascii="宋体" w:hAnsi="宋体" w:cs="宋体"/>
                <w:szCs w:val="21"/>
              </w:rPr>
              <w:t xml:space="preserve">实时信息上报功能：监测数据需要根据实际情况进行预处理后实时向云服务器进行上报，上报周期可以根据实际生产管理进行自定义； </w:t>
            </w:r>
          </w:p>
          <w:p w14:paraId="1BC69E19">
            <w:pPr>
              <w:numPr>
                <w:ilvl w:val="0"/>
                <w:numId w:val="9"/>
              </w:numPr>
              <w:rPr>
                <w:rFonts w:hint="eastAsia" w:ascii="宋体" w:hAnsi="宋体" w:cs="宋体"/>
                <w:szCs w:val="21"/>
              </w:rPr>
            </w:pPr>
            <w:r>
              <w:rPr>
                <w:rFonts w:hint="eastAsia" w:ascii="宋体" w:hAnsi="宋体" w:cs="宋体"/>
                <w:szCs w:val="21"/>
              </w:rPr>
              <w:t xml:space="preserve">远程视频查看功能：支持通过微信公众号无插件实时视频查看 </w:t>
            </w:r>
          </w:p>
          <w:p w14:paraId="2DABE526">
            <w:pPr>
              <w:numPr>
                <w:ilvl w:val="0"/>
                <w:numId w:val="9"/>
              </w:numPr>
              <w:rPr>
                <w:rFonts w:hint="eastAsia" w:ascii="宋体" w:hAnsi="宋体" w:cs="宋体"/>
                <w:szCs w:val="21"/>
              </w:rPr>
            </w:pPr>
            <w:r>
              <w:rPr>
                <w:rFonts w:hint="eastAsia" w:ascii="宋体" w:hAnsi="宋体" w:cs="宋体"/>
                <w:szCs w:val="21"/>
              </w:rPr>
              <w:t xml:space="preserve">告警功能：当发生故障的时候，需要对设备的告警状态进行实时显示和告警通知推送； </w:t>
            </w:r>
          </w:p>
          <w:p w14:paraId="3682A1E5">
            <w:pPr>
              <w:numPr>
                <w:ilvl w:val="0"/>
                <w:numId w:val="9"/>
              </w:numPr>
              <w:rPr>
                <w:rFonts w:hint="eastAsia" w:ascii="宋体" w:hAnsi="宋体" w:cs="宋体"/>
                <w:szCs w:val="21"/>
              </w:rPr>
            </w:pPr>
            <w:r>
              <w:rPr>
                <w:rFonts w:hint="eastAsia" w:ascii="宋体" w:hAnsi="宋体" w:cs="宋体"/>
                <w:szCs w:val="21"/>
              </w:rPr>
              <w:t xml:space="preserve">自主调度功能：在多泵运行的泵房需根据水泵工况，系统可自主调度水泵保障水泵高效的工作； </w:t>
            </w:r>
          </w:p>
          <w:p w14:paraId="4C89A5C8">
            <w:pPr>
              <w:numPr>
                <w:ilvl w:val="0"/>
                <w:numId w:val="9"/>
              </w:numPr>
              <w:rPr>
                <w:rFonts w:hint="eastAsia" w:ascii="宋体" w:hAnsi="宋体" w:cs="宋体"/>
                <w:szCs w:val="21"/>
              </w:rPr>
            </w:pPr>
            <w:r>
              <w:rPr>
                <w:rFonts w:hint="eastAsia" w:ascii="宋体" w:hAnsi="宋体" w:cs="宋体"/>
                <w:szCs w:val="21"/>
              </w:rPr>
              <w:t xml:space="preserve">自动运行模式：可以对每一台水泵进行定时、定期的计划运行； </w:t>
            </w:r>
          </w:p>
          <w:p w14:paraId="57A9D075">
            <w:pPr>
              <w:numPr>
                <w:ilvl w:val="0"/>
                <w:numId w:val="9"/>
              </w:numPr>
              <w:rPr>
                <w:rFonts w:hint="eastAsia" w:ascii="宋体" w:hAnsi="宋体" w:cs="宋体"/>
                <w:szCs w:val="21"/>
              </w:rPr>
            </w:pPr>
            <w:r>
              <w:rPr>
                <w:rFonts w:hint="eastAsia" w:ascii="宋体" w:hAnsi="宋体" w:cs="宋体"/>
                <w:szCs w:val="21"/>
              </w:rPr>
              <w:t xml:space="preserve">检修模式：当设备要进行定期维护的期间，系统需要将远程控制与现场控制的链路切断，以便确保检修人员的安全； </w:t>
            </w:r>
          </w:p>
          <w:p w14:paraId="28AEFA70">
            <w:pPr>
              <w:numPr>
                <w:ilvl w:val="0"/>
                <w:numId w:val="9"/>
              </w:numPr>
              <w:rPr>
                <w:rFonts w:hint="eastAsia" w:ascii="宋体" w:hAnsi="宋体" w:cs="宋体"/>
                <w:szCs w:val="21"/>
              </w:rPr>
            </w:pPr>
            <w:r>
              <w:rPr>
                <w:rFonts w:hint="eastAsia" w:ascii="宋体" w:hAnsi="宋体" w:cs="宋体"/>
                <w:szCs w:val="21"/>
              </w:rPr>
              <w:t xml:space="preserve">滤波算法：针对实时上传的水位信息需要进行滤波算法处理，避免无效触发停机操作；  </w:t>
            </w:r>
          </w:p>
          <w:p w14:paraId="5BCA5DAC">
            <w:pPr>
              <w:numPr>
                <w:ilvl w:val="0"/>
                <w:numId w:val="9"/>
              </w:numPr>
              <w:rPr>
                <w:rFonts w:hint="eastAsia" w:ascii="宋体" w:hAnsi="宋体" w:cs="宋体"/>
                <w:szCs w:val="21"/>
              </w:rPr>
            </w:pPr>
            <w:r>
              <w:rPr>
                <w:rFonts w:hint="eastAsia" w:ascii="宋体" w:hAnsi="宋体" w:cs="宋体"/>
                <w:szCs w:val="21"/>
              </w:rPr>
              <w:t>内嵌红外线人体感应监测亮屏功能，延长屏使用寿命；</w:t>
            </w:r>
          </w:p>
          <w:p w14:paraId="7D787828">
            <w:pPr>
              <w:numPr>
                <w:ilvl w:val="0"/>
                <w:numId w:val="9"/>
              </w:numPr>
              <w:rPr>
                <w:rFonts w:hint="eastAsia" w:ascii="宋体" w:hAnsi="宋体" w:cs="宋体"/>
                <w:szCs w:val="21"/>
              </w:rPr>
            </w:pPr>
            <w:r>
              <w:rPr>
                <w:rFonts w:hint="eastAsia" w:ascii="宋体" w:hAnsi="宋体" w:cs="宋体"/>
                <w:szCs w:val="21"/>
              </w:rPr>
              <w:t>具备 TCPSever 功能，可自行配置 IP 地址及端口；</w:t>
            </w:r>
          </w:p>
        </w:tc>
      </w:tr>
      <w:tr w14:paraId="4FF12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3D846C65">
            <w:pPr>
              <w:jc w:val="center"/>
              <w:rPr>
                <w:rFonts w:hint="eastAsia" w:ascii="宋体" w:hAnsi="宋体" w:cs="宋体"/>
                <w:szCs w:val="21"/>
              </w:rPr>
            </w:pPr>
            <w:r>
              <w:rPr>
                <w:rFonts w:hint="eastAsia" w:ascii="宋体" w:hAnsi="宋体" w:cs="宋体"/>
                <w:szCs w:val="21"/>
              </w:rPr>
              <w:t>9</w:t>
            </w:r>
          </w:p>
        </w:tc>
        <w:tc>
          <w:tcPr>
            <w:tcW w:w="653" w:type="pct"/>
            <w:shd w:val="clear" w:color="auto" w:fill="auto"/>
            <w:vAlign w:val="center"/>
          </w:tcPr>
          <w:p w14:paraId="1C3F2A5F">
            <w:pPr>
              <w:jc w:val="center"/>
              <w:rPr>
                <w:rFonts w:hint="eastAsia" w:ascii="宋体" w:hAnsi="宋体" w:cs="宋体"/>
                <w:color w:val="000000"/>
                <w:szCs w:val="21"/>
              </w:rPr>
            </w:pPr>
            <w:r>
              <w:rPr>
                <w:rFonts w:hint="eastAsia" w:ascii="宋体" w:hAnsi="宋体" w:cs="宋体"/>
                <w:szCs w:val="21"/>
              </w:rPr>
              <w:t>农场微信公众号适配</w:t>
            </w:r>
          </w:p>
        </w:tc>
        <w:tc>
          <w:tcPr>
            <w:tcW w:w="510" w:type="pct"/>
            <w:shd w:val="clear" w:color="auto" w:fill="auto"/>
            <w:vAlign w:val="center"/>
          </w:tcPr>
          <w:p w14:paraId="3E494385">
            <w:pPr>
              <w:jc w:val="center"/>
              <w:rPr>
                <w:rFonts w:hint="eastAsia" w:ascii="宋体" w:hAnsi="宋体" w:cs="宋体"/>
                <w:szCs w:val="21"/>
              </w:rPr>
            </w:pPr>
            <w:r>
              <w:rPr>
                <w:rFonts w:hint="eastAsia" w:ascii="宋体" w:hAnsi="宋体" w:cs="宋体"/>
                <w:szCs w:val="21"/>
              </w:rPr>
              <w:t>1套</w:t>
            </w:r>
          </w:p>
        </w:tc>
        <w:tc>
          <w:tcPr>
            <w:tcW w:w="3410" w:type="pct"/>
            <w:shd w:val="clear" w:color="auto" w:fill="auto"/>
            <w:vAlign w:val="center"/>
          </w:tcPr>
          <w:p w14:paraId="1BB02A53">
            <w:pPr>
              <w:numPr>
                <w:ilvl w:val="0"/>
                <w:numId w:val="10"/>
              </w:numPr>
              <w:rPr>
                <w:rFonts w:hint="eastAsia" w:ascii="宋体" w:hAnsi="宋体" w:cs="宋体"/>
                <w:szCs w:val="21"/>
              </w:rPr>
            </w:pPr>
            <w:r>
              <w:rPr>
                <w:rFonts w:hint="eastAsia" w:ascii="宋体" w:hAnsi="宋体" w:cs="宋体"/>
                <w:szCs w:val="21"/>
              </w:rPr>
              <w:t>组控操作功能：以组的方式对组内的干渠/支渠/排渠进行统一操作；</w:t>
            </w:r>
          </w:p>
          <w:p w14:paraId="50545FEF">
            <w:pPr>
              <w:numPr>
                <w:ilvl w:val="0"/>
                <w:numId w:val="10"/>
              </w:numPr>
              <w:rPr>
                <w:rFonts w:hint="eastAsia" w:ascii="宋体" w:hAnsi="宋体" w:cs="宋体"/>
                <w:szCs w:val="21"/>
              </w:rPr>
            </w:pPr>
            <w:r>
              <w:rPr>
                <w:rFonts w:hint="eastAsia" w:ascii="宋体" w:hAnsi="宋体" w:cs="宋体"/>
                <w:szCs w:val="21"/>
              </w:rPr>
              <w:t>信息推送：当使用者与微信进行绑定后，系统平台会根据用户的ID对用户下属的设备工况进行实时信息推送，推送信息包括：设备启用、设备停止、设备工况告警、设备故障告警等现场信息。</w:t>
            </w:r>
          </w:p>
        </w:tc>
      </w:tr>
      <w:tr w14:paraId="22722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7257C597">
            <w:pPr>
              <w:jc w:val="center"/>
              <w:rPr>
                <w:rFonts w:hint="eastAsia" w:ascii="宋体" w:hAnsi="宋体" w:cs="宋体"/>
                <w:szCs w:val="21"/>
              </w:rPr>
            </w:pPr>
            <w:r>
              <w:rPr>
                <w:rFonts w:hint="eastAsia" w:ascii="宋体" w:hAnsi="宋体" w:cs="宋体"/>
                <w:szCs w:val="21"/>
              </w:rPr>
              <w:t>10</w:t>
            </w:r>
          </w:p>
        </w:tc>
        <w:tc>
          <w:tcPr>
            <w:tcW w:w="653" w:type="pct"/>
            <w:shd w:val="clear" w:color="auto" w:fill="auto"/>
            <w:vAlign w:val="center"/>
          </w:tcPr>
          <w:p w14:paraId="2C443056">
            <w:pPr>
              <w:jc w:val="center"/>
              <w:rPr>
                <w:rFonts w:hint="eastAsia" w:ascii="宋体" w:hAnsi="宋体" w:cs="宋体"/>
                <w:color w:val="000000"/>
                <w:szCs w:val="21"/>
              </w:rPr>
            </w:pPr>
            <w:r>
              <w:rPr>
                <w:rFonts w:hint="eastAsia" w:ascii="宋体" w:hAnsi="宋体" w:cs="宋体"/>
                <w:szCs w:val="21"/>
              </w:rPr>
              <w:t>智慧泵房管理平台</w:t>
            </w:r>
          </w:p>
        </w:tc>
        <w:tc>
          <w:tcPr>
            <w:tcW w:w="510" w:type="pct"/>
            <w:shd w:val="clear" w:color="auto" w:fill="auto"/>
            <w:vAlign w:val="center"/>
          </w:tcPr>
          <w:p w14:paraId="4EFF1E18">
            <w:pPr>
              <w:jc w:val="center"/>
              <w:rPr>
                <w:rFonts w:hint="eastAsia" w:ascii="宋体" w:hAnsi="宋体" w:cs="宋体"/>
                <w:szCs w:val="21"/>
              </w:rPr>
            </w:pPr>
            <w:r>
              <w:rPr>
                <w:rFonts w:hint="eastAsia" w:ascii="宋体" w:hAnsi="宋体" w:cs="宋体"/>
                <w:szCs w:val="21"/>
              </w:rPr>
              <w:t>1套</w:t>
            </w:r>
          </w:p>
        </w:tc>
        <w:tc>
          <w:tcPr>
            <w:tcW w:w="3410" w:type="pct"/>
            <w:shd w:val="clear" w:color="auto" w:fill="auto"/>
            <w:vAlign w:val="center"/>
          </w:tcPr>
          <w:p w14:paraId="2C326A2B">
            <w:pPr>
              <w:numPr>
                <w:ilvl w:val="0"/>
                <w:numId w:val="11"/>
              </w:numPr>
              <w:rPr>
                <w:rFonts w:hint="eastAsia" w:ascii="宋体" w:hAnsi="宋体" w:cs="宋体"/>
                <w:szCs w:val="21"/>
              </w:rPr>
            </w:pPr>
            <w:r>
              <w:rPr>
                <w:rFonts w:hint="eastAsia" w:ascii="宋体" w:hAnsi="宋体" w:cs="宋体"/>
                <w:szCs w:val="21"/>
              </w:rPr>
              <w:t>数据库规范：采用结构化与非结构化数据的双数据库模式，需进行读写分离；</w:t>
            </w:r>
          </w:p>
          <w:p w14:paraId="251FB93B">
            <w:pPr>
              <w:numPr>
                <w:ilvl w:val="0"/>
                <w:numId w:val="11"/>
              </w:numPr>
              <w:rPr>
                <w:rFonts w:hint="eastAsia" w:ascii="宋体" w:hAnsi="宋体" w:cs="宋体"/>
                <w:szCs w:val="21"/>
              </w:rPr>
            </w:pPr>
            <w:r>
              <w:rPr>
                <w:rFonts w:hint="eastAsia" w:ascii="宋体" w:hAnsi="宋体" w:cs="宋体"/>
                <w:szCs w:val="21"/>
              </w:rPr>
              <w:t>阈值设定：允许设定水位、电压等监测数据的阈值，确保设备安全；</w:t>
            </w:r>
          </w:p>
          <w:p w14:paraId="4D11DC75">
            <w:pPr>
              <w:numPr>
                <w:ilvl w:val="0"/>
                <w:numId w:val="11"/>
              </w:numPr>
              <w:rPr>
                <w:rFonts w:hint="eastAsia" w:ascii="宋体" w:hAnsi="宋体" w:cs="宋体"/>
                <w:szCs w:val="21"/>
              </w:rPr>
            </w:pPr>
            <w:r>
              <w:rPr>
                <w:rFonts w:hint="eastAsia" w:ascii="宋体" w:hAnsi="宋体" w:cs="宋体"/>
                <w:szCs w:val="21"/>
              </w:rPr>
              <w:t>信息推送：通过微信公众号实时推送设备操作、运行工况和异常告警信息；</w:t>
            </w:r>
          </w:p>
          <w:p w14:paraId="41434E0B">
            <w:pPr>
              <w:numPr>
                <w:ilvl w:val="0"/>
                <w:numId w:val="11"/>
              </w:numPr>
              <w:rPr>
                <w:rFonts w:hint="eastAsia" w:ascii="宋体" w:hAnsi="宋体" w:cs="宋体"/>
                <w:szCs w:val="21"/>
              </w:rPr>
            </w:pPr>
            <w:r>
              <w:rPr>
                <w:rFonts w:hint="eastAsia" w:ascii="宋体" w:hAnsi="宋体" w:cs="宋体"/>
                <w:szCs w:val="21"/>
              </w:rPr>
              <w:t>视频接入：流媒体服务器支持ONVIF、GB28181协议的视频接入；</w:t>
            </w:r>
          </w:p>
          <w:p w14:paraId="4E15D828">
            <w:pPr>
              <w:numPr>
                <w:ilvl w:val="0"/>
                <w:numId w:val="11"/>
              </w:numPr>
              <w:rPr>
                <w:rFonts w:hint="eastAsia" w:ascii="宋体" w:hAnsi="宋体" w:cs="宋体"/>
                <w:szCs w:val="21"/>
              </w:rPr>
            </w:pPr>
            <w:r>
              <w:rPr>
                <w:rFonts w:hint="eastAsia" w:ascii="宋体" w:hAnsi="宋体" w:cs="宋体"/>
                <w:szCs w:val="21"/>
              </w:rPr>
              <w:t>便捷使用：无需安装APP，通过微信关注即可进行水泵的远程操作；</w:t>
            </w:r>
          </w:p>
          <w:p w14:paraId="37126068">
            <w:pPr>
              <w:numPr>
                <w:ilvl w:val="0"/>
                <w:numId w:val="11"/>
              </w:numPr>
              <w:rPr>
                <w:rFonts w:hint="eastAsia" w:ascii="宋体" w:hAnsi="宋体" w:cs="宋体"/>
                <w:szCs w:val="21"/>
              </w:rPr>
            </w:pPr>
            <w:r>
              <w:rPr>
                <w:rFonts w:hint="eastAsia" w:ascii="宋体" w:hAnsi="宋体" w:cs="宋体"/>
                <w:szCs w:val="21"/>
              </w:rPr>
              <w:t>远程视频查看：通过微信公众号无插件实时查看视频；</w:t>
            </w:r>
          </w:p>
          <w:p w14:paraId="57094282">
            <w:pPr>
              <w:numPr>
                <w:ilvl w:val="0"/>
                <w:numId w:val="11"/>
              </w:numPr>
              <w:rPr>
                <w:rFonts w:hint="eastAsia" w:ascii="宋体" w:hAnsi="宋体" w:cs="宋体"/>
                <w:szCs w:val="21"/>
              </w:rPr>
            </w:pPr>
            <w:r>
              <w:rPr>
                <w:rFonts w:hint="eastAsia" w:ascii="宋体" w:hAnsi="宋体" w:cs="宋体"/>
                <w:szCs w:val="21"/>
              </w:rPr>
              <w:t>水泵自保护：在10秒内对异常的水泵电机采取基础保护措施；</w:t>
            </w:r>
          </w:p>
          <w:p w14:paraId="19494F11">
            <w:pPr>
              <w:numPr>
                <w:ilvl w:val="0"/>
                <w:numId w:val="11"/>
              </w:numPr>
              <w:rPr>
                <w:rFonts w:hint="eastAsia" w:ascii="宋体" w:hAnsi="宋体" w:cs="宋体"/>
                <w:szCs w:val="21"/>
              </w:rPr>
            </w:pPr>
            <w:r>
              <w:rPr>
                <w:rFonts w:hint="eastAsia" w:ascii="宋体" w:hAnsi="宋体" w:cs="宋体"/>
                <w:szCs w:val="21"/>
              </w:rPr>
              <w:t>拓展功能：可以连接基于Modbus协议的相关设备，用于泵房日常管理检测与策略配置；</w:t>
            </w:r>
          </w:p>
          <w:p w14:paraId="2C6B10D9">
            <w:pPr>
              <w:numPr>
                <w:ilvl w:val="0"/>
                <w:numId w:val="11"/>
              </w:numPr>
              <w:rPr>
                <w:rFonts w:hint="eastAsia" w:ascii="宋体" w:hAnsi="宋体" w:cs="宋体"/>
                <w:szCs w:val="21"/>
              </w:rPr>
            </w:pPr>
            <w:r>
              <w:rPr>
                <w:rFonts w:hint="eastAsia" w:ascii="宋体" w:hAnsi="宋体" w:cs="宋体"/>
                <w:szCs w:val="21"/>
              </w:rPr>
              <w:t>平台拓展：平台后期可按需平滑弹性扩展大田智能灌溉、四情监测等功能；</w:t>
            </w:r>
          </w:p>
        </w:tc>
      </w:tr>
      <w:tr w14:paraId="3273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11640EEF">
            <w:pPr>
              <w:jc w:val="center"/>
              <w:rPr>
                <w:rFonts w:hint="eastAsia" w:ascii="宋体" w:hAnsi="宋体" w:cs="宋体"/>
                <w:szCs w:val="21"/>
              </w:rPr>
            </w:pPr>
            <w:r>
              <w:rPr>
                <w:rFonts w:hint="eastAsia" w:ascii="宋体" w:hAnsi="宋体" w:cs="宋体"/>
                <w:szCs w:val="21"/>
              </w:rPr>
              <w:t>11</w:t>
            </w:r>
          </w:p>
        </w:tc>
        <w:tc>
          <w:tcPr>
            <w:tcW w:w="653" w:type="pct"/>
            <w:vAlign w:val="center"/>
          </w:tcPr>
          <w:p w14:paraId="469DB294">
            <w:pPr>
              <w:jc w:val="center"/>
              <w:rPr>
                <w:rFonts w:hint="eastAsia" w:ascii="宋体" w:hAnsi="宋体" w:cs="宋体"/>
                <w:szCs w:val="21"/>
              </w:rPr>
            </w:pPr>
            <w:r>
              <w:rPr>
                <w:rFonts w:hint="eastAsia" w:ascii="宋体" w:hAnsi="宋体" w:cs="宋体"/>
                <w:szCs w:val="21"/>
              </w:rPr>
              <w:t>气象站</w:t>
            </w:r>
          </w:p>
        </w:tc>
        <w:tc>
          <w:tcPr>
            <w:tcW w:w="510" w:type="pct"/>
            <w:vAlign w:val="center"/>
          </w:tcPr>
          <w:p w14:paraId="2AD8A3BF">
            <w:pPr>
              <w:jc w:val="center"/>
              <w:rPr>
                <w:rFonts w:hint="eastAsia" w:ascii="宋体" w:hAnsi="宋体" w:cs="宋体"/>
                <w:szCs w:val="21"/>
              </w:rPr>
            </w:pPr>
            <w:r>
              <w:rPr>
                <w:rFonts w:hint="eastAsia" w:ascii="宋体" w:hAnsi="宋体" w:cs="宋体"/>
                <w:szCs w:val="21"/>
              </w:rPr>
              <w:t>1套</w:t>
            </w:r>
          </w:p>
        </w:tc>
        <w:tc>
          <w:tcPr>
            <w:tcW w:w="3410" w:type="pct"/>
            <w:vAlign w:val="center"/>
          </w:tcPr>
          <w:p w14:paraId="540E90E8">
            <w:pPr>
              <w:pStyle w:val="21"/>
              <w:rPr>
                <w:rFonts w:hint="eastAsia" w:ascii="宋体" w:hAnsi="宋体"/>
                <w:szCs w:val="21"/>
              </w:rPr>
            </w:pPr>
            <w:r>
              <w:rPr>
                <w:rFonts w:hint="eastAsia" w:ascii="宋体" w:hAnsi="宋体"/>
                <w:szCs w:val="21"/>
              </w:rPr>
              <w:t>(1)空气温度 量程：-30℃～100℃，精度：≤±0.3℃</w:t>
            </w:r>
          </w:p>
          <w:p w14:paraId="4DD9E8CD">
            <w:pPr>
              <w:pStyle w:val="21"/>
              <w:rPr>
                <w:rFonts w:hint="eastAsia" w:ascii="宋体" w:hAnsi="宋体"/>
                <w:szCs w:val="21"/>
              </w:rPr>
            </w:pPr>
            <w:r>
              <w:rPr>
                <w:rFonts w:hint="eastAsia" w:ascii="宋体" w:hAnsi="宋体"/>
                <w:szCs w:val="21"/>
              </w:rPr>
              <w:t>(2)空气湿度 量程：0～100%RH，精度：≤±3%RH</w:t>
            </w:r>
          </w:p>
          <w:p w14:paraId="3BC4D61E">
            <w:pPr>
              <w:pStyle w:val="21"/>
              <w:rPr>
                <w:rFonts w:hint="eastAsia" w:ascii="宋体" w:hAnsi="宋体"/>
                <w:szCs w:val="21"/>
              </w:rPr>
            </w:pPr>
            <w:r>
              <w:rPr>
                <w:rFonts w:hint="eastAsia" w:ascii="宋体" w:hAnsi="宋体"/>
                <w:szCs w:val="21"/>
              </w:rPr>
              <w:t>(3)光照度 量程：0～200K Lux，精度：≤±3%F.S</w:t>
            </w:r>
          </w:p>
          <w:p w14:paraId="095707FB">
            <w:pPr>
              <w:pStyle w:val="21"/>
              <w:rPr>
                <w:rFonts w:hint="eastAsia" w:ascii="宋体" w:hAnsi="宋体"/>
                <w:szCs w:val="21"/>
              </w:rPr>
            </w:pPr>
            <w:r>
              <w:rPr>
                <w:rFonts w:hint="eastAsia" w:ascii="宋体" w:hAnsi="宋体"/>
                <w:szCs w:val="21"/>
              </w:rPr>
              <w:t>(4)大气压 量程：30-110Kpa，精度：≤±0.1Kpa</w:t>
            </w:r>
          </w:p>
          <w:p w14:paraId="6AD9DBCF">
            <w:pPr>
              <w:pStyle w:val="21"/>
              <w:rPr>
                <w:rFonts w:hint="eastAsia" w:ascii="宋体" w:hAnsi="宋体"/>
                <w:szCs w:val="21"/>
              </w:rPr>
            </w:pPr>
            <w:r>
              <w:rPr>
                <w:rFonts w:hint="eastAsia" w:ascii="宋体" w:hAnsi="宋体"/>
                <w:szCs w:val="21"/>
              </w:rPr>
              <w:t xml:space="preserve">(5)风速  量程：0-60m/s，精度：≤±（0.3+0.03×风速）m/s   </w:t>
            </w:r>
          </w:p>
          <w:p w14:paraId="42D273CF">
            <w:pPr>
              <w:pStyle w:val="21"/>
              <w:rPr>
                <w:rFonts w:hint="eastAsia" w:ascii="宋体" w:hAnsi="宋体"/>
                <w:szCs w:val="21"/>
              </w:rPr>
            </w:pPr>
            <w:r>
              <w:rPr>
                <w:rFonts w:hint="eastAsia" w:ascii="宋体" w:hAnsi="宋体"/>
                <w:szCs w:val="21"/>
              </w:rPr>
              <w:t xml:space="preserve">(6)风向  量程：16个方向（0~360度）， 精度：≤±5° </w:t>
            </w:r>
          </w:p>
          <w:p w14:paraId="1EB19D59">
            <w:pPr>
              <w:pStyle w:val="21"/>
              <w:rPr>
                <w:rFonts w:hint="eastAsia" w:ascii="宋体" w:hAnsi="宋体"/>
                <w:szCs w:val="21"/>
              </w:rPr>
            </w:pPr>
            <w:r>
              <w:rPr>
                <w:rFonts w:hint="eastAsia" w:ascii="宋体" w:hAnsi="宋体"/>
                <w:szCs w:val="21"/>
              </w:rPr>
              <w:t>(7)雨量量程：0.01mm～4mm/min（允许通过最大雨强8mm/min）精度：≤±3%</w:t>
            </w:r>
          </w:p>
          <w:p w14:paraId="1EEE2E4F">
            <w:pPr>
              <w:pStyle w:val="21"/>
              <w:rPr>
                <w:rFonts w:hint="eastAsia" w:ascii="宋体" w:hAnsi="宋体"/>
                <w:szCs w:val="21"/>
              </w:rPr>
            </w:pPr>
            <w:r>
              <w:rPr>
                <w:rFonts w:hint="eastAsia" w:ascii="宋体" w:hAnsi="宋体"/>
                <w:szCs w:val="21"/>
              </w:rPr>
              <w:t>（8）▲独特的ESIM 4G无线传输技术，数据传输稳定可靠。（标书内提供具有检验资质的省级以上检验机构出具的检验报告复印件加盖公章）</w:t>
            </w:r>
          </w:p>
        </w:tc>
      </w:tr>
      <w:tr w14:paraId="203E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0D06F247">
            <w:pPr>
              <w:jc w:val="center"/>
              <w:rPr>
                <w:rFonts w:hint="eastAsia" w:ascii="宋体" w:hAnsi="宋体" w:cs="宋体"/>
                <w:szCs w:val="21"/>
              </w:rPr>
            </w:pPr>
            <w:r>
              <w:rPr>
                <w:rFonts w:hint="eastAsia" w:ascii="宋体" w:hAnsi="宋体" w:cs="宋体"/>
                <w:szCs w:val="21"/>
              </w:rPr>
              <w:t>12</w:t>
            </w:r>
          </w:p>
        </w:tc>
        <w:tc>
          <w:tcPr>
            <w:tcW w:w="653" w:type="pct"/>
            <w:vAlign w:val="center"/>
          </w:tcPr>
          <w:p w14:paraId="5E894C0F">
            <w:pPr>
              <w:rPr>
                <w:rFonts w:hint="eastAsia" w:ascii="宋体" w:hAnsi="宋体" w:cs="宋体"/>
                <w:szCs w:val="21"/>
              </w:rPr>
            </w:pPr>
            <w:r>
              <w:rPr>
                <w:rFonts w:hint="eastAsia" w:ascii="宋体" w:hAnsi="宋体" w:cs="宋体"/>
                <w:szCs w:val="21"/>
              </w:rPr>
              <w:t>土壤墒情站</w:t>
            </w:r>
          </w:p>
        </w:tc>
        <w:tc>
          <w:tcPr>
            <w:tcW w:w="510" w:type="pct"/>
            <w:vAlign w:val="center"/>
          </w:tcPr>
          <w:p w14:paraId="5437B31D">
            <w:pPr>
              <w:jc w:val="center"/>
              <w:rPr>
                <w:rFonts w:hint="eastAsia" w:ascii="宋体" w:hAnsi="宋体" w:cs="宋体"/>
                <w:szCs w:val="21"/>
              </w:rPr>
            </w:pPr>
            <w:r>
              <w:rPr>
                <w:rFonts w:hint="eastAsia" w:ascii="宋体" w:hAnsi="宋体" w:cs="宋体"/>
                <w:szCs w:val="21"/>
              </w:rPr>
              <w:t>6台</w:t>
            </w:r>
          </w:p>
        </w:tc>
        <w:tc>
          <w:tcPr>
            <w:tcW w:w="3410" w:type="pct"/>
            <w:vAlign w:val="center"/>
          </w:tcPr>
          <w:p w14:paraId="77DF4D4D">
            <w:pPr>
              <w:pStyle w:val="21"/>
              <w:rPr>
                <w:rFonts w:hint="eastAsia" w:ascii="宋体" w:hAnsi="宋体"/>
                <w:szCs w:val="21"/>
              </w:rPr>
            </w:pPr>
            <w:r>
              <w:rPr>
                <w:rFonts w:hint="eastAsia" w:ascii="宋体" w:hAnsi="宋体"/>
                <w:szCs w:val="21"/>
              </w:rPr>
              <w:t>(1)土壤体积含水率：量程：0～100%， 精度：≤±4%；</w:t>
            </w:r>
          </w:p>
          <w:p w14:paraId="4CA58725">
            <w:pPr>
              <w:pStyle w:val="21"/>
              <w:rPr>
                <w:rFonts w:hint="eastAsia" w:ascii="宋体" w:hAnsi="宋体"/>
                <w:szCs w:val="21"/>
              </w:rPr>
            </w:pPr>
            <w:r>
              <w:rPr>
                <w:rFonts w:hint="eastAsia" w:ascii="宋体" w:hAnsi="宋体"/>
                <w:szCs w:val="21"/>
              </w:rPr>
              <w:t>(2)土壤温度：量程：－40～100℃，精度：≤±0.5℃；</w:t>
            </w:r>
          </w:p>
          <w:p w14:paraId="053E802B">
            <w:pPr>
              <w:pStyle w:val="21"/>
              <w:rPr>
                <w:rFonts w:hint="eastAsia" w:ascii="宋体" w:hAnsi="宋体"/>
                <w:szCs w:val="21"/>
              </w:rPr>
            </w:pPr>
            <w:r>
              <w:rPr>
                <w:rFonts w:hint="eastAsia" w:ascii="宋体" w:hAnsi="宋体"/>
                <w:szCs w:val="21"/>
              </w:rPr>
              <w:t>(3)土壤EC：量程：0～20ms/cm，精度：≤±2%F.S；</w:t>
            </w:r>
          </w:p>
          <w:p w14:paraId="49C7B069">
            <w:pPr>
              <w:pStyle w:val="21"/>
              <w:rPr>
                <w:rFonts w:hint="eastAsia" w:ascii="宋体" w:hAnsi="宋体"/>
                <w:szCs w:val="21"/>
              </w:rPr>
            </w:pPr>
            <w:r>
              <w:rPr>
                <w:rFonts w:hint="eastAsia" w:ascii="宋体" w:hAnsi="宋体"/>
                <w:szCs w:val="21"/>
              </w:rPr>
              <w:t>(4)土壤PH：量程：3～9，精度：≤±0.1%；</w:t>
            </w:r>
          </w:p>
          <w:p w14:paraId="0CC78E3B">
            <w:pPr>
              <w:pStyle w:val="21"/>
              <w:rPr>
                <w:rFonts w:hint="eastAsia" w:ascii="宋体" w:hAnsi="宋体"/>
                <w:szCs w:val="21"/>
              </w:rPr>
            </w:pPr>
            <w:r>
              <w:rPr>
                <w:rFonts w:hint="eastAsia" w:ascii="宋体" w:hAnsi="宋体"/>
                <w:szCs w:val="21"/>
              </w:rPr>
              <w:t>(5)土壤氮磷钾：量程 ：0-1999mg/kg,精度：≤±2%F.S；</w:t>
            </w:r>
          </w:p>
          <w:p w14:paraId="5EA817FE">
            <w:pPr>
              <w:pStyle w:val="21"/>
              <w:rPr>
                <w:rFonts w:hint="eastAsia" w:ascii="宋体" w:hAnsi="宋体"/>
                <w:szCs w:val="21"/>
              </w:rPr>
            </w:pPr>
            <w:r>
              <w:rPr>
                <w:rFonts w:hint="eastAsia" w:ascii="宋体" w:hAnsi="宋体"/>
                <w:szCs w:val="21"/>
              </w:rPr>
              <w:t>(6)</w:t>
            </w:r>
            <w:r>
              <w:rPr>
                <w:rFonts w:hint="eastAsia" w:ascii="宋体" w:hAnsi="宋体"/>
                <w:color w:val="000000"/>
                <w:szCs w:val="21"/>
                <w:lang w:bidi="ar"/>
              </w:rPr>
              <w:t>▲</w:t>
            </w:r>
            <w:r>
              <w:rPr>
                <w:rFonts w:hint="eastAsia" w:ascii="宋体" w:hAnsi="宋体"/>
                <w:szCs w:val="21"/>
              </w:rPr>
              <w:t>独特的ESIM 4G无线传输技术，保障设备在恶劣的野外环境中长期在线，稳定传输。支持TCP/IP透传协议。（标书内提供具有检验资质的省级以上检验机构出具的检验报告复印件加盖公章）</w:t>
            </w:r>
          </w:p>
          <w:p w14:paraId="71AD4BB4">
            <w:pPr>
              <w:pStyle w:val="21"/>
              <w:rPr>
                <w:rFonts w:hint="eastAsia" w:ascii="宋体" w:hAnsi="宋体"/>
                <w:szCs w:val="21"/>
              </w:rPr>
            </w:pPr>
            <w:r>
              <w:rPr>
                <w:rFonts w:hint="eastAsia" w:ascii="宋体" w:hAnsi="宋体"/>
                <w:szCs w:val="21"/>
              </w:rPr>
              <w:t>（</w:t>
            </w:r>
            <w:r>
              <w:rPr>
                <w:rFonts w:hint="eastAsia" w:ascii="宋体" w:hAnsi="宋体"/>
                <w:szCs w:val="21"/>
                <w:lang w:val="en-US" w:eastAsia="zh-CN"/>
              </w:rPr>
              <w:t>7</w:t>
            </w:r>
            <w:r>
              <w:rPr>
                <w:rFonts w:hint="eastAsia" w:ascii="宋体" w:hAnsi="宋体"/>
                <w:szCs w:val="21"/>
              </w:rPr>
              <w:t>）</w:t>
            </w:r>
            <w:r>
              <w:rPr>
                <w:rFonts w:hint="eastAsia" w:ascii="宋体" w:hAnsi="宋体"/>
                <w:color w:val="000000"/>
                <w:szCs w:val="21"/>
                <w:lang w:bidi="ar"/>
              </w:rPr>
              <w:t>▲</w:t>
            </w:r>
            <w:r>
              <w:rPr>
                <w:rFonts w:hint="eastAsia" w:ascii="宋体" w:hAnsi="宋体"/>
                <w:szCs w:val="21"/>
              </w:rPr>
              <w:t>主机设备耐低温，可在-30℃环境温度下持续稳定工作。（标书内提供具有检验资质的省级以上检验机构出具的检验报告复印件加盖公章）</w:t>
            </w:r>
          </w:p>
        </w:tc>
      </w:tr>
      <w:tr w14:paraId="3D74A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0CBDA02D">
            <w:pPr>
              <w:jc w:val="center"/>
              <w:rPr>
                <w:rFonts w:hint="eastAsia" w:ascii="宋体" w:hAnsi="宋体" w:cs="宋体"/>
                <w:szCs w:val="21"/>
              </w:rPr>
            </w:pPr>
            <w:r>
              <w:rPr>
                <w:rFonts w:hint="eastAsia" w:ascii="宋体" w:hAnsi="宋体" w:cs="宋体"/>
                <w:szCs w:val="21"/>
              </w:rPr>
              <w:t>13</w:t>
            </w:r>
          </w:p>
        </w:tc>
        <w:tc>
          <w:tcPr>
            <w:tcW w:w="653" w:type="pct"/>
            <w:vAlign w:val="center"/>
          </w:tcPr>
          <w:p w14:paraId="61B68EC0">
            <w:pPr>
              <w:rPr>
                <w:rFonts w:hint="eastAsia" w:ascii="宋体" w:hAnsi="宋体" w:cs="宋体"/>
                <w:szCs w:val="21"/>
              </w:rPr>
            </w:pPr>
            <w:r>
              <w:rPr>
                <w:rFonts w:hint="eastAsia" w:ascii="宋体" w:hAnsi="宋体" w:cs="宋体"/>
                <w:szCs w:val="21"/>
              </w:rPr>
              <w:t>苗情监测</w:t>
            </w:r>
          </w:p>
        </w:tc>
        <w:tc>
          <w:tcPr>
            <w:tcW w:w="510" w:type="pct"/>
            <w:vAlign w:val="center"/>
          </w:tcPr>
          <w:p w14:paraId="338F42A1">
            <w:pPr>
              <w:jc w:val="center"/>
              <w:rPr>
                <w:rFonts w:hint="eastAsia" w:ascii="宋体" w:hAnsi="宋体" w:cs="宋体"/>
                <w:szCs w:val="21"/>
              </w:rPr>
            </w:pPr>
            <w:r>
              <w:rPr>
                <w:rFonts w:hint="eastAsia" w:ascii="宋体" w:hAnsi="宋体" w:cs="宋体"/>
                <w:szCs w:val="21"/>
              </w:rPr>
              <w:t>6套</w:t>
            </w:r>
          </w:p>
        </w:tc>
        <w:tc>
          <w:tcPr>
            <w:tcW w:w="3410" w:type="pct"/>
            <w:vAlign w:val="center"/>
          </w:tcPr>
          <w:p w14:paraId="19FBDD07">
            <w:pPr>
              <w:rPr>
                <w:rFonts w:hint="eastAsia" w:ascii="宋体" w:hAnsi="宋体" w:cs="宋体"/>
                <w:szCs w:val="21"/>
              </w:rPr>
            </w:pPr>
            <w:r>
              <w:rPr>
                <w:rFonts w:hint="eastAsia" w:ascii="宋体" w:hAnsi="宋体" w:cs="宋体"/>
                <w:szCs w:val="21"/>
              </w:rPr>
              <w:t>(1)4寸红外球机，支持4G(移动、联通，电信)网络传输</w:t>
            </w:r>
          </w:p>
          <w:p w14:paraId="6E5B1468">
            <w:pPr>
              <w:rPr>
                <w:rFonts w:hint="eastAsia" w:ascii="宋体" w:hAnsi="宋体" w:cs="宋体"/>
                <w:szCs w:val="21"/>
              </w:rPr>
            </w:pPr>
            <w:r>
              <w:rPr>
                <w:rFonts w:hint="eastAsia" w:ascii="宋体" w:hAnsi="宋体" w:cs="宋体"/>
                <w:szCs w:val="21"/>
              </w:rPr>
              <w:t>(2)采用双光补光，红外补光≥100 m，白光≥30m</w:t>
            </w:r>
          </w:p>
          <w:p w14:paraId="372AC2D5">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3</w:t>
            </w:r>
            <w:r>
              <w:rPr>
                <w:rFonts w:hint="eastAsia" w:ascii="宋体" w:hAnsi="宋体" w:cs="宋体"/>
                <w:szCs w:val="21"/>
              </w:rPr>
              <w:t>)支持23倍以上光学变倍，16倍以上数字变倍</w:t>
            </w:r>
          </w:p>
          <w:p w14:paraId="7E813254">
            <w:pP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w:t>
            </w:r>
            <w:r>
              <w:rPr>
                <w:rFonts w:hint="eastAsia" w:ascii="宋体" w:hAnsi="宋体" w:cs="宋体"/>
                <w:szCs w:val="21"/>
              </w:rPr>
              <w:t>)太阳能供电系统≥120W/60AH锂电池</w:t>
            </w:r>
          </w:p>
        </w:tc>
      </w:tr>
      <w:tr w14:paraId="20B0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407462CC">
            <w:pPr>
              <w:jc w:val="center"/>
              <w:rPr>
                <w:rFonts w:hint="eastAsia" w:ascii="宋体" w:hAnsi="宋体" w:cs="宋体"/>
                <w:szCs w:val="21"/>
              </w:rPr>
            </w:pPr>
            <w:r>
              <w:rPr>
                <w:rFonts w:hint="eastAsia" w:ascii="宋体" w:hAnsi="宋体" w:cs="宋体"/>
                <w:szCs w:val="21"/>
              </w:rPr>
              <w:t>14</w:t>
            </w:r>
          </w:p>
        </w:tc>
        <w:tc>
          <w:tcPr>
            <w:tcW w:w="653" w:type="pct"/>
            <w:vAlign w:val="center"/>
          </w:tcPr>
          <w:p w14:paraId="4BFF148F">
            <w:pPr>
              <w:rPr>
                <w:rFonts w:hint="eastAsia" w:ascii="宋体" w:hAnsi="宋体" w:cs="宋体"/>
                <w:szCs w:val="21"/>
              </w:rPr>
            </w:pPr>
            <w:r>
              <w:rPr>
                <w:rFonts w:hint="eastAsia" w:ascii="宋体" w:hAnsi="宋体" w:cs="宋体"/>
                <w:szCs w:val="21"/>
              </w:rPr>
              <w:t>虫情测报灯</w:t>
            </w:r>
          </w:p>
        </w:tc>
        <w:tc>
          <w:tcPr>
            <w:tcW w:w="510" w:type="pct"/>
            <w:vAlign w:val="center"/>
          </w:tcPr>
          <w:p w14:paraId="13C493BC">
            <w:pPr>
              <w:jc w:val="center"/>
              <w:rPr>
                <w:rFonts w:hint="eastAsia" w:ascii="宋体" w:hAnsi="宋体" w:cs="宋体"/>
                <w:szCs w:val="21"/>
              </w:rPr>
            </w:pPr>
            <w:r>
              <w:rPr>
                <w:rFonts w:hint="eastAsia" w:ascii="宋体" w:hAnsi="宋体" w:cs="宋体"/>
                <w:szCs w:val="21"/>
              </w:rPr>
              <w:t>1台</w:t>
            </w:r>
          </w:p>
        </w:tc>
        <w:tc>
          <w:tcPr>
            <w:tcW w:w="3410" w:type="pct"/>
            <w:vAlign w:val="center"/>
          </w:tcPr>
          <w:p w14:paraId="77644858">
            <w:pPr>
              <w:pStyle w:val="16"/>
              <w:numPr>
                <w:ilvl w:val="0"/>
                <w:numId w:val="0"/>
              </w:numPr>
              <w:autoSpaceDE w:val="0"/>
              <w:autoSpaceDN w:val="0"/>
              <w:spacing w:after="0"/>
              <w:rPr>
                <w:rFonts w:hint="eastAsia" w:ascii="宋体" w:hAnsi="宋体" w:cs="宋体"/>
                <w:szCs w:val="21"/>
              </w:rPr>
            </w:pPr>
            <w:r>
              <w:rPr>
                <w:rFonts w:hint="eastAsia" w:ascii="宋体" w:hAnsi="宋体" w:cs="宋体"/>
                <w:szCs w:val="21"/>
                <w:lang w:eastAsia="zh-CN"/>
              </w:rPr>
              <w:t>（</w:t>
            </w:r>
            <w:r>
              <w:rPr>
                <w:rFonts w:hint="eastAsia" w:ascii="宋体" w:hAnsi="宋体" w:cs="宋体"/>
                <w:szCs w:val="21"/>
                <w:lang w:val="en-US" w:eastAsia="zh-CN"/>
              </w:rPr>
              <w:t>1</w:t>
            </w:r>
            <w:r>
              <w:rPr>
                <w:rFonts w:hint="eastAsia" w:ascii="宋体" w:hAnsi="宋体" w:cs="宋体"/>
                <w:szCs w:val="21"/>
                <w:lang w:eastAsia="zh-CN"/>
              </w:rPr>
              <w:t>）</w:t>
            </w:r>
            <w:r>
              <w:rPr>
                <w:rFonts w:hint="eastAsia" w:ascii="宋体" w:hAnsi="宋体" w:cs="宋体"/>
                <w:szCs w:val="21"/>
              </w:rPr>
              <w:t>采用光、电、数控技术，自动控制。</w:t>
            </w:r>
          </w:p>
          <w:p w14:paraId="5D3848E2">
            <w:pPr>
              <w:pStyle w:val="16"/>
              <w:numPr>
                <w:ilvl w:val="0"/>
                <w:numId w:val="0"/>
              </w:numPr>
              <w:autoSpaceDE w:val="0"/>
              <w:autoSpaceDN w:val="0"/>
              <w:spacing w:after="0"/>
              <w:rPr>
                <w:rFonts w:hint="eastAsia" w:ascii="宋体" w:hAnsi="宋体" w:cs="宋体"/>
                <w:szCs w:val="21"/>
              </w:rPr>
            </w:pPr>
            <w:r>
              <w:rPr>
                <w:rFonts w:hint="eastAsia" w:ascii="宋体" w:hAnsi="宋体" w:cs="宋体"/>
                <w:szCs w:val="21"/>
                <w:lang w:eastAsia="zh-CN"/>
              </w:rPr>
              <w:t>（</w:t>
            </w:r>
            <w:r>
              <w:rPr>
                <w:rFonts w:hint="eastAsia" w:ascii="宋体" w:hAnsi="宋体" w:cs="宋体"/>
                <w:szCs w:val="21"/>
                <w:lang w:val="en-US" w:eastAsia="zh-CN"/>
              </w:rPr>
              <w:t>2</w:t>
            </w:r>
            <w:r>
              <w:rPr>
                <w:rFonts w:hint="eastAsia" w:ascii="宋体" w:hAnsi="宋体" w:cs="宋体"/>
                <w:szCs w:val="21"/>
                <w:lang w:eastAsia="zh-CN"/>
              </w:rPr>
              <w:t>）</w:t>
            </w:r>
            <w:r>
              <w:rPr>
                <w:rFonts w:hint="eastAsia" w:ascii="宋体" w:hAnsi="宋体" w:cs="宋体"/>
                <w:szCs w:val="21"/>
              </w:rPr>
              <w:t>采用≥7寸触摸屏，可通过触摸屏现场控制及软件端远程手动监测控制设备，诱光灯开启、手动拍照、光控时控切换、拍照间隔时间等功能：Android7以上操作系统。（标书内提供具有检验资质的省级以上检验机构出具的具有cnas标识的检验报告复印件加盖公章）</w:t>
            </w:r>
          </w:p>
          <w:p w14:paraId="5350FC1D">
            <w:pPr>
              <w:pStyle w:val="16"/>
              <w:numPr>
                <w:ilvl w:val="0"/>
                <w:numId w:val="0"/>
              </w:numPr>
              <w:autoSpaceDE w:val="0"/>
              <w:autoSpaceDN w:val="0"/>
              <w:spacing w:after="0"/>
              <w:rPr>
                <w:rFonts w:hint="eastAsia" w:ascii="宋体" w:hAnsi="宋体" w:cs="宋体"/>
                <w:szCs w:val="21"/>
              </w:rPr>
            </w:pPr>
            <w:r>
              <w:rPr>
                <w:rFonts w:hint="eastAsia" w:ascii="宋体" w:hAnsi="宋体" w:cs="宋体"/>
                <w:szCs w:val="21"/>
                <w:lang w:eastAsia="zh-CN"/>
              </w:rPr>
              <w:t>（</w:t>
            </w:r>
            <w:r>
              <w:rPr>
                <w:rFonts w:hint="eastAsia" w:ascii="宋体" w:hAnsi="宋体" w:cs="宋体"/>
                <w:szCs w:val="21"/>
                <w:lang w:val="en-US" w:eastAsia="zh-CN"/>
              </w:rPr>
              <w:t>3</w:t>
            </w:r>
            <w:r>
              <w:rPr>
                <w:rFonts w:hint="eastAsia" w:ascii="宋体" w:hAnsi="宋体" w:cs="宋体"/>
                <w:szCs w:val="21"/>
                <w:lang w:eastAsia="zh-CN"/>
              </w:rPr>
              <w:t>）</w:t>
            </w:r>
            <w:r>
              <w:rPr>
                <w:rFonts w:hint="eastAsia" w:ascii="宋体" w:hAnsi="宋体" w:cs="宋体"/>
                <w:szCs w:val="21"/>
              </w:rPr>
              <w:t>测报灯内置≥1200W像素高清工业照相机。可调时段自动拍照。（标书内提供具有检验资质的省级以上检验机构出具的具有cnas标识的检验报告复印件加盖公章）</w:t>
            </w:r>
          </w:p>
          <w:p w14:paraId="64E4C198">
            <w:pPr>
              <w:pStyle w:val="16"/>
              <w:numPr>
                <w:ilvl w:val="0"/>
                <w:numId w:val="0"/>
              </w:numPr>
              <w:autoSpaceDE w:val="0"/>
              <w:autoSpaceDN w:val="0"/>
              <w:spacing w:after="0"/>
              <w:rPr>
                <w:rFonts w:hint="eastAsia" w:ascii="宋体" w:hAnsi="宋体" w:cs="宋体"/>
                <w:szCs w:val="21"/>
                <w:lang w:eastAsia="zh-CN"/>
              </w:rPr>
            </w:pPr>
            <w:r>
              <w:rPr>
                <w:rFonts w:hint="eastAsia" w:ascii="宋体" w:hAnsi="宋体" w:cs="宋体"/>
                <w:szCs w:val="21"/>
              </w:rPr>
              <w:t>（4）远程设置工作模式：远程无线拍照和终端设备参数远程设置。（标书内提供具有检验资质的省级以上检验机构出具的具有cnas标识的检验报</w:t>
            </w:r>
            <w:r>
              <w:rPr>
                <w:rFonts w:hint="eastAsia" w:ascii="宋体" w:hAnsi="宋体" w:cs="宋体"/>
                <w:szCs w:val="21"/>
                <w:lang w:eastAsia="zh-CN"/>
              </w:rPr>
              <w:t>告复印件加盖公章）</w:t>
            </w:r>
          </w:p>
          <w:p w14:paraId="36E3D4FD">
            <w:pPr>
              <w:pStyle w:val="16"/>
              <w:numPr>
                <w:ilvl w:val="0"/>
                <w:numId w:val="0"/>
              </w:numPr>
              <w:autoSpaceDE w:val="0"/>
              <w:autoSpaceDN w:val="0"/>
              <w:spacing w:after="0"/>
              <w:rPr>
                <w:rFonts w:hint="eastAsia" w:ascii="宋体" w:hAnsi="宋体" w:cs="宋体"/>
                <w:szCs w:val="21"/>
                <w:lang w:eastAsia="zh-CN"/>
              </w:rPr>
            </w:pPr>
            <w:r>
              <w:rPr>
                <w:rFonts w:hint="eastAsia" w:ascii="宋体" w:hAnsi="宋体" w:cs="宋体"/>
                <w:szCs w:val="21"/>
                <w:lang w:eastAsia="zh-CN"/>
              </w:rPr>
              <w:t>（5）可手动控制诱虫灯开关、上落虫开关、下落虫开关、加热开关、排水仓开关、拍照和扫虫等功能。</w:t>
            </w:r>
          </w:p>
          <w:p w14:paraId="5D6EAF8C">
            <w:pPr>
              <w:pStyle w:val="16"/>
              <w:numPr>
                <w:ilvl w:val="0"/>
                <w:numId w:val="0"/>
              </w:numPr>
              <w:autoSpaceDE w:val="0"/>
              <w:autoSpaceDN w:val="0"/>
              <w:spacing w:after="0"/>
              <w:rPr>
                <w:rFonts w:hint="eastAsia" w:ascii="宋体" w:hAnsi="宋体" w:cs="宋体"/>
                <w:szCs w:val="21"/>
                <w:lang w:eastAsia="zh-CN"/>
              </w:rPr>
            </w:pPr>
            <w:r>
              <w:rPr>
                <w:rFonts w:hint="eastAsia" w:ascii="宋体" w:hAnsi="宋体" w:cs="宋体"/>
                <w:szCs w:val="21"/>
                <w:lang w:eastAsia="zh-CN"/>
              </w:rPr>
              <w:t>（</w:t>
            </w:r>
            <w:r>
              <w:rPr>
                <w:rFonts w:hint="eastAsia" w:ascii="宋体" w:hAnsi="宋体" w:cs="宋体"/>
                <w:szCs w:val="21"/>
                <w:lang w:val="en-US" w:eastAsia="zh-CN"/>
              </w:rPr>
              <w:t>6</w:t>
            </w:r>
            <w:r>
              <w:rPr>
                <w:rFonts w:hint="eastAsia" w:ascii="宋体" w:hAnsi="宋体" w:cs="宋体"/>
                <w:szCs w:val="21"/>
                <w:lang w:eastAsia="zh-CN"/>
              </w:rPr>
              <w:t>）加热仓温度控制：自动温控，加热时间可调。</w:t>
            </w:r>
          </w:p>
          <w:p w14:paraId="7A516C31">
            <w:pPr>
              <w:pStyle w:val="16"/>
              <w:numPr>
                <w:ilvl w:val="0"/>
                <w:numId w:val="0"/>
              </w:numPr>
              <w:autoSpaceDE w:val="0"/>
              <w:autoSpaceDN w:val="0"/>
              <w:spacing w:after="0"/>
              <w:rPr>
                <w:rFonts w:hint="eastAsia" w:ascii="宋体" w:hAnsi="宋体"/>
                <w:szCs w:val="21"/>
              </w:rPr>
            </w:pPr>
            <w:r>
              <w:rPr>
                <w:rFonts w:hint="eastAsia" w:ascii="宋体" w:hAnsi="宋体" w:cs="宋体"/>
                <w:szCs w:val="21"/>
                <w:lang w:eastAsia="zh-CN"/>
              </w:rPr>
              <w:t>诱虫光源：≥18W诱虫灯管，灯管启动时间：＜5秒 。</w:t>
            </w:r>
          </w:p>
        </w:tc>
      </w:tr>
      <w:tr w14:paraId="6033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2F5BF102">
            <w:pPr>
              <w:jc w:val="center"/>
              <w:rPr>
                <w:rFonts w:hint="eastAsia" w:ascii="宋体" w:hAnsi="宋体" w:cs="宋体"/>
                <w:szCs w:val="21"/>
              </w:rPr>
            </w:pPr>
            <w:r>
              <w:rPr>
                <w:rFonts w:hint="eastAsia" w:ascii="宋体" w:hAnsi="宋体" w:cs="宋体"/>
                <w:szCs w:val="21"/>
              </w:rPr>
              <w:t>15</w:t>
            </w:r>
          </w:p>
        </w:tc>
        <w:tc>
          <w:tcPr>
            <w:tcW w:w="653" w:type="pct"/>
            <w:vAlign w:val="center"/>
          </w:tcPr>
          <w:p w14:paraId="7539A600">
            <w:pPr>
              <w:rPr>
                <w:rFonts w:hint="eastAsia" w:ascii="宋体" w:hAnsi="宋体" w:cs="宋体"/>
                <w:szCs w:val="21"/>
              </w:rPr>
            </w:pPr>
            <w:r>
              <w:rPr>
                <w:rFonts w:hint="eastAsia" w:ascii="宋体" w:hAnsi="宋体" w:cs="宋体"/>
                <w:szCs w:val="21"/>
              </w:rPr>
              <w:t>杀虫灯</w:t>
            </w:r>
          </w:p>
        </w:tc>
        <w:tc>
          <w:tcPr>
            <w:tcW w:w="510" w:type="pct"/>
            <w:vAlign w:val="center"/>
          </w:tcPr>
          <w:p w14:paraId="3FA24AC2">
            <w:pPr>
              <w:jc w:val="center"/>
              <w:rPr>
                <w:rFonts w:hint="eastAsia" w:ascii="宋体" w:hAnsi="宋体" w:cs="宋体"/>
                <w:szCs w:val="21"/>
              </w:rPr>
            </w:pPr>
            <w:r>
              <w:rPr>
                <w:rFonts w:hint="eastAsia" w:ascii="宋体" w:hAnsi="宋体" w:cs="宋体"/>
                <w:szCs w:val="21"/>
              </w:rPr>
              <w:t>15台</w:t>
            </w:r>
          </w:p>
        </w:tc>
        <w:tc>
          <w:tcPr>
            <w:tcW w:w="3410" w:type="pct"/>
            <w:vAlign w:val="center"/>
          </w:tcPr>
          <w:p w14:paraId="501AB896">
            <w:pPr>
              <w:pStyle w:val="16"/>
              <w:numPr>
                <w:ilvl w:val="0"/>
                <w:numId w:val="12"/>
              </w:numPr>
              <w:autoSpaceDE w:val="0"/>
              <w:autoSpaceDN w:val="0"/>
              <w:spacing w:after="0"/>
              <w:ind w:left="0" w:firstLine="400"/>
              <w:rPr>
                <w:rFonts w:hint="eastAsia" w:ascii="宋体" w:hAnsi="宋体" w:cs="宋体"/>
                <w:szCs w:val="21"/>
              </w:rPr>
            </w:pPr>
            <w:r>
              <w:rPr>
                <w:rFonts w:hint="eastAsia" w:ascii="宋体" w:hAnsi="宋体" w:cs="宋体"/>
                <w:szCs w:val="21"/>
              </w:rPr>
              <w:t>采用频振式高压电网触杀方式。</w:t>
            </w:r>
          </w:p>
          <w:p w14:paraId="2C28309B">
            <w:pPr>
              <w:pStyle w:val="16"/>
              <w:numPr>
                <w:ilvl w:val="0"/>
                <w:numId w:val="12"/>
              </w:numPr>
              <w:autoSpaceDE w:val="0"/>
              <w:autoSpaceDN w:val="0"/>
              <w:spacing w:after="0"/>
              <w:ind w:left="0" w:firstLine="400"/>
              <w:rPr>
                <w:rFonts w:hint="eastAsia" w:ascii="宋体" w:hAnsi="宋体" w:cs="宋体"/>
                <w:szCs w:val="21"/>
              </w:rPr>
            </w:pPr>
            <w:r>
              <w:rPr>
                <w:rFonts w:hint="eastAsia" w:ascii="宋体" w:hAnsi="宋体" w:cs="宋体"/>
                <w:szCs w:val="21"/>
              </w:rPr>
              <w:t>工作电压:DC12V，整灯功率:≤35W，启动时间≤5S，诱集光源波长:320-680nm，采用节能高效3面七彩色灯管。</w:t>
            </w:r>
          </w:p>
          <w:p w14:paraId="1CDD632F">
            <w:pPr>
              <w:pStyle w:val="16"/>
              <w:numPr>
                <w:ilvl w:val="0"/>
                <w:numId w:val="12"/>
              </w:numPr>
              <w:autoSpaceDE w:val="0"/>
              <w:autoSpaceDN w:val="0"/>
              <w:spacing w:after="0"/>
              <w:ind w:left="0" w:firstLine="400"/>
              <w:rPr>
                <w:rFonts w:hint="eastAsia" w:ascii="宋体" w:hAnsi="宋体" w:cs="宋体"/>
                <w:szCs w:val="21"/>
              </w:rPr>
            </w:pPr>
            <w:r>
              <w:rPr>
                <w:rFonts w:hint="eastAsia" w:ascii="宋体" w:hAnsi="宋体" w:cs="宋体"/>
                <w:szCs w:val="21"/>
              </w:rPr>
              <w:t>额定高压电网电压：4500V-5500V（标书内提供具有检验资质的省级以上检验机构出具的带有cnas标识的检验报告复印件加盖公章）</w:t>
            </w:r>
          </w:p>
          <w:p w14:paraId="7432B061">
            <w:pPr>
              <w:pStyle w:val="16"/>
              <w:numPr>
                <w:ilvl w:val="0"/>
                <w:numId w:val="12"/>
              </w:numPr>
              <w:autoSpaceDE w:val="0"/>
              <w:autoSpaceDN w:val="0"/>
              <w:spacing w:after="0"/>
              <w:ind w:left="0" w:firstLine="400"/>
              <w:rPr>
                <w:rFonts w:hint="eastAsia" w:ascii="宋体" w:hAnsi="宋体" w:cs="宋体"/>
                <w:szCs w:val="21"/>
              </w:rPr>
            </w:pPr>
            <w:r>
              <w:rPr>
                <w:rFonts w:hint="eastAsia" w:ascii="宋体" w:hAnsi="宋体" w:cs="宋体"/>
                <w:color w:val="000000"/>
                <w:szCs w:val="21"/>
                <w:lang w:bidi="ar"/>
              </w:rPr>
              <w:t>▲</w:t>
            </w:r>
            <w:r>
              <w:rPr>
                <w:rFonts w:hint="eastAsia" w:ascii="宋体" w:hAnsi="宋体" w:cs="宋体"/>
                <w:szCs w:val="21"/>
              </w:rPr>
              <w:t>电网撞击面积：≥0.25m²（标书内提供具有检验资质的省级以上检验机构出具的带有cnas标识的检验报告复印件加盖公章）</w:t>
            </w:r>
          </w:p>
          <w:p w14:paraId="57A55CD1">
            <w:pPr>
              <w:pStyle w:val="16"/>
              <w:numPr>
                <w:ilvl w:val="0"/>
                <w:numId w:val="12"/>
              </w:numPr>
              <w:autoSpaceDE w:val="0"/>
              <w:autoSpaceDN w:val="0"/>
              <w:spacing w:after="0"/>
              <w:ind w:left="0" w:firstLine="400"/>
              <w:rPr>
                <w:rFonts w:hint="eastAsia" w:ascii="宋体" w:hAnsi="宋体" w:cs="宋体"/>
                <w:szCs w:val="21"/>
              </w:rPr>
            </w:pPr>
            <w:r>
              <w:rPr>
                <w:rFonts w:hint="eastAsia" w:ascii="宋体" w:hAnsi="宋体" w:cs="宋体"/>
                <w:szCs w:val="21"/>
              </w:rPr>
              <w:t>整灯电气强度：500V，1min内无击穿现象</w:t>
            </w:r>
          </w:p>
          <w:p w14:paraId="7DE6A732">
            <w:pPr>
              <w:pStyle w:val="16"/>
              <w:numPr>
                <w:ilvl w:val="0"/>
                <w:numId w:val="12"/>
              </w:numPr>
              <w:autoSpaceDE w:val="0"/>
              <w:autoSpaceDN w:val="0"/>
              <w:spacing w:after="0"/>
              <w:ind w:left="0" w:firstLine="400"/>
              <w:rPr>
                <w:rFonts w:hint="eastAsia" w:ascii="宋体" w:hAnsi="宋体" w:cs="宋体"/>
                <w:szCs w:val="21"/>
              </w:rPr>
            </w:pPr>
            <w:r>
              <w:rPr>
                <w:rFonts w:hint="eastAsia" w:ascii="宋体" w:hAnsi="宋体" w:cs="宋体"/>
                <w:szCs w:val="21"/>
              </w:rPr>
              <w:t>太阳能板：功率≥50W 单品硅材质</w:t>
            </w:r>
          </w:p>
          <w:p w14:paraId="14A9313D">
            <w:pPr>
              <w:pStyle w:val="16"/>
              <w:numPr>
                <w:ilvl w:val="0"/>
                <w:numId w:val="12"/>
              </w:numPr>
              <w:autoSpaceDE w:val="0"/>
              <w:autoSpaceDN w:val="0"/>
              <w:spacing w:after="0"/>
              <w:ind w:left="0" w:firstLine="400"/>
              <w:rPr>
                <w:rFonts w:hint="eastAsia" w:ascii="宋体" w:hAnsi="宋体" w:cs="宋体"/>
                <w:szCs w:val="21"/>
              </w:rPr>
            </w:pPr>
            <w:r>
              <w:rPr>
                <w:rFonts w:hint="eastAsia" w:ascii="宋体" w:hAnsi="宋体" w:cs="宋体"/>
                <w:szCs w:val="21"/>
              </w:rPr>
              <w:t>工作模式：光控、时控（可设置6个工作时段）、温控、雨控，夜晚自动亮灯，在6小时亮灯模式下，阴雨天可持续工作≥3天。</w:t>
            </w:r>
          </w:p>
          <w:p w14:paraId="39D29F3E">
            <w:pPr>
              <w:pStyle w:val="16"/>
              <w:numPr>
                <w:ilvl w:val="0"/>
                <w:numId w:val="12"/>
              </w:numPr>
              <w:autoSpaceDE w:val="0"/>
              <w:autoSpaceDN w:val="0"/>
              <w:spacing w:after="0"/>
              <w:ind w:left="0" w:firstLine="400"/>
              <w:rPr>
                <w:rFonts w:hint="eastAsia" w:ascii="宋体" w:hAnsi="宋体" w:cs="宋体"/>
                <w:szCs w:val="21"/>
              </w:rPr>
            </w:pPr>
            <w:r>
              <w:rPr>
                <w:rFonts w:hint="eastAsia" w:ascii="宋体" w:hAnsi="宋体" w:cs="宋体"/>
                <w:szCs w:val="21"/>
              </w:rPr>
              <w:t>通过4G模块实现控制器远程连接，远程固件更新，实时监控太阳能板充电电压、电流,电池充放电电压、电流，负载放电电压、电流等系统参数和设备状态。（标书内提供具有检验资质的省级以上检验机构出具的带有cnas标识的检验报告复印件加盖公章）</w:t>
            </w:r>
          </w:p>
        </w:tc>
      </w:tr>
      <w:tr w14:paraId="4605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40935FBA">
            <w:pPr>
              <w:jc w:val="center"/>
              <w:rPr>
                <w:rFonts w:hint="eastAsia" w:ascii="宋体" w:hAnsi="宋体" w:cs="宋体"/>
                <w:szCs w:val="21"/>
              </w:rPr>
            </w:pPr>
            <w:r>
              <w:rPr>
                <w:rFonts w:hint="eastAsia" w:ascii="宋体" w:hAnsi="宋体" w:cs="宋体"/>
                <w:szCs w:val="21"/>
              </w:rPr>
              <w:t>16</w:t>
            </w:r>
          </w:p>
        </w:tc>
        <w:tc>
          <w:tcPr>
            <w:tcW w:w="653" w:type="pct"/>
            <w:vAlign w:val="center"/>
          </w:tcPr>
          <w:p w14:paraId="70CC3C2F">
            <w:pPr>
              <w:rPr>
                <w:rFonts w:hint="eastAsia" w:ascii="宋体" w:hAnsi="宋体" w:cs="宋体"/>
                <w:szCs w:val="21"/>
              </w:rPr>
            </w:pPr>
            <w:r>
              <w:rPr>
                <w:rFonts w:hint="eastAsia" w:ascii="宋体" w:hAnsi="宋体" w:cs="宋体"/>
                <w:szCs w:val="21"/>
              </w:rPr>
              <w:t>烘干机作业监测</w:t>
            </w:r>
          </w:p>
        </w:tc>
        <w:tc>
          <w:tcPr>
            <w:tcW w:w="510" w:type="pct"/>
            <w:vAlign w:val="center"/>
          </w:tcPr>
          <w:p w14:paraId="662DBA34">
            <w:pPr>
              <w:jc w:val="center"/>
              <w:rPr>
                <w:rFonts w:hint="eastAsia" w:ascii="宋体" w:hAnsi="宋体" w:cs="宋体"/>
                <w:szCs w:val="21"/>
              </w:rPr>
            </w:pPr>
            <w:r>
              <w:rPr>
                <w:rFonts w:hint="eastAsia" w:ascii="宋体" w:hAnsi="宋体" w:cs="宋体"/>
                <w:szCs w:val="21"/>
              </w:rPr>
              <w:t>1套</w:t>
            </w:r>
          </w:p>
        </w:tc>
        <w:tc>
          <w:tcPr>
            <w:tcW w:w="3410" w:type="pct"/>
            <w:vAlign w:val="center"/>
          </w:tcPr>
          <w:p w14:paraId="034D42B9">
            <w:pPr>
              <w:pStyle w:val="16"/>
              <w:autoSpaceDE w:val="0"/>
              <w:autoSpaceDN w:val="0"/>
              <w:ind w:firstLine="0"/>
              <w:rPr>
                <w:rFonts w:hint="eastAsia" w:ascii="宋体" w:hAnsi="宋体" w:cs="宋体"/>
                <w:szCs w:val="21"/>
              </w:rPr>
            </w:pPr>
            <w:r>
              <w:rPr>
                <w:rFonts w:hint="eastAsia" w:ascii="宋体" w:hAnsi="宋体" w:cs="宋体"/>
                <w:szCs w:val="21"/>
              </w:rPr>
              <w:t>实现监测温度、湿度、压力等关键参数，系统可以设定报警阈值，及时发现异常数据，提前预警潜在问题。</w:t>
            </w:r>
          </w:p>
        </w:tc>
      </w:tr>
      <w:tr w14:paraId="0ED8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5763C335">
            <w:pPr>
              <w:jc w:val="center"/>
              <w:rPr>
                <w:rFonts w:hint="eastAsia" w:ascii="宋体" w:hAnsi="宋体" w:cs="宋体"/>
                <w:szCs w:val="21"/>
              </w:rPr>
            </w:pPr>
            <w:r>
              <w:rPr>
                <w:rFonts w:hint="eastAsia" w:ascii="宋体" w:hAnsi="宋体" w:cs="宋体"/>
                <w:szCs w:val="21"/>
              </w:rPr>
              <w:t>17</w:t>
            </w:r>
          </w:p>
        </w:tc>
        <w:tc>
          <w:tcPr>
            <w:tcW w:w="653" w:type="pct"/>
            <w:vAlign w:val="center"/>
          </w:tcPr>
          <w:p w14:paraId="29449CB3">
            <w:pPr>
              <w:jc w:val="center"/>
              <w:rPr>
                <w:rFonts w:hint="eastAsia" w:ascii="宋体" w:hAnsi="宋体" w:cs="宋体"/>
                <w:szCs w:val="21"/>
                <w:lang w:eastAsia="zh-Hans"/>
              </w:rPr>
            </w:pPr>
            <w:r>
              <w:rPr>
                <w:rFonts w:hint="eastAsia" w:ascii="宋体" w:hAnsi="宋体" w:cs="宋体"/>
                <w:szCs w:val="21"/>
                <w:lang w:eastAsia="zh-Hans" w:bidi="ar"/>
              </w:rPr>
              <w:t>无人农场综合信息化管理平台</w:t>
            </w:r>
          </w:p>
        </w:tc>
        <w:tc>
          <w:tcPr>
            <w:tcW w:w="510" w:type="pct"/>
            <w:vAlign w:val="center"/>
          </w:tcPr>
          <w:p w14:paraId="483C4DB4">
            <w:pPr>
              <w:jc w:val="center"/>
              <w:rPr>
                <w:rFonts w:hint="eastAsia" w:ascii="宋体" w:hAnsi="宋体" w:cs="宋体"/>
                <w:szCs w:val="21"/>
              </w:rPr>
            </w:pPr>
            <w:r>
              <w:rPr>
                <w:rFonts w:hint="eastAsia" w:ascii="宋体" w:hAnsi="宋体" w:cs="宋体"/>
                <w:szCs w:val="21"/>
                <w:lang w:eastAsia="zh-Hans"/>
              </w:rPr>
              <w:t>1</w:t>
            </w:r>
            <w:r>
              <w:rPr>
                <w:rFonts w:hint="eastAsia" w:ascii="宋体" w:hAnsi="宋体" w:cs="宋体"/>
                <w:szCs w:val="21"/>
              </w:rPr>
              <w:t>套</w:t>
            </w:r>
          </w:p>
        </w:tc>
        <w:tc>
          <w:tcPr>
            <w:tcW w:w="3410" w:type="pct"/>
            <w:vAlign w:val="center"/>
          </w:tcPr>
          <w:p w14:paraId="4C7DC197">
            <w:pPr>
              <w:widowControl/>
              <w:jc w:val="left"/>
              <w:rPr>
                <w:rFonts w:hint="eastAsia" w:ascii="宋体" w:hAnsi="宋体" w:cs="宋体"/>
                <w:b/>
                <w:bCs/>
                <w:szCs w:val="21"/>
                <w:lang w:eastAsia="zh-Hans"/>
              </w:rPr>
            </w:pPr>
            <w:r>
              <w:rPr>
                <w:rFonts w:hint="eastAsia" w:ascii="宋体" w:hAnsi="宋体" w:cs="宋体"/>
                <w:b/>
                <w:bCs/>
                <w:szCs w:val="21"/>
                <w:lang w:eastAsia="zh-Hans"/>
              </w:rPr>
              <w:t>全场概况：</w:t>
            </w:r>
          </w:p>
          <w:p w14:paraId="0F789779">
            <w:pPr>
              <w:widowControl/>
              <w:numPr>
                <w:ilvl w:val="0"/>
                <w:numId w:val="13"/>
              </w:numPr>
              <w:jc w:val="left"/>
              <w:rPr>
                <w:rFonts w:hint="eastAsia" w:ascii="宋体" w:hAnsi="宋体" w:cs="宋体"/>
                <w:szCs w:val="21"/>
                <w:lang w:eastAsia="zh-Hans"/>
              </w:rPr>
            </w:pPr>
            <w:r>
              <w:rPr>
                <w:rFonts w:hint="eastAsia" w:ascii="宋体" w:hAnsi="宋体" w:cs="宋体"/>
                <w:szCs w:val="21"/>
                <w:lang w:eastAsia="zh-Hans"/>
              </w:rPr>
              <w:t>数字地图：</w:t>
            </w:r>
          </w:p>
          <w:p w14:paraId="2057B9BA">
            <w:pPr>
              <w:widowControl/>
              <w:jc w:val="left"/>
              <w:rPr>
                <w:rFonts w:hint="eastAsia" w:ascii="宋体" w:hAnsi="宋体" w:cs="宋体"/>
                <w:szCs w:val="21"/>
              </w:rPr>
            </w:pPr>
            <w:r>
              <w:rPr>
                <w:rFonts w:hint="eastAsia" w:ascii="宋体" w:hAnsi="宋体" w:cs="宋体"/>
                <w:szCs w:val="21"/>
              </w:rPr>
              <w:t>高精度数字农场地块展示</w:t>
            </w:r>
          </w:p>
          <w:p w14:paraId="607CD3F5">
            <w:pPr>
              <w:widowControl/>
              <w:jc w:val="left"/>
              <w:rPr>
                <w:rFonts w:hint="eastAsia" w:ascii="宋体" w:hAnsi="宋体" w:cs="宋体"/>
                <w:szCs w:val="21"/>
              </w:rPr>
            </w:pPr>
            <w:r>
              <w:rPr>
                <w:rFonts w:hint="eastAsia" w:ascii="宋体" w:hAnsi="宋体" w:cs="宋体"/>
                <w:szCs w:val="21"/>
              </w:rPr>
              <w:t>无人作业车辆的实时位置及状态显示</w:t>
            </w:r>
          </w:p>
          <w:p w14:paraId="2FDC5178">
            <w:pPr>
              <w:widowControl/>
              <w:jc w:val="left"/>
              <w:rPr>
                <w:rFonts w:hint="eastAsia" w:ascii="宋体" w:hAnsi="宋体" w:cs="宋体"/>
                <w:szCs w:val="21"/>
              </w:rPr>
            </w:pPr>
            <w:r>
              <w:rPr>
                <w:rFonts w:hint="eastAsia" w:ascii="宋体" w:hAnsi="宋体" w:cs="宋体"/>
                <w:szCs w:val="21"/>
              </w:rPr>
              <w:t>多类型的无人车辆控制面板</w:t>
            </w:r>
          </w:p>
          <w:p w14:paraId="322E3EEA">
            <w:pPr>
              <w:widowControl/>
              <w:jc w:val="left"/>
              <w:rPr>
                <w:rFonts w:hint="eastAsia" w:ascii="宋体" w:hAnsi="宋体" w:cs="宋体"/>
                <w:szCs w:val="21"/>
              </w:rPr>
            </w:pPr>
            <w:r>
              <w:rPr>
                <w:rFonts w:hint="eastAsia" w:ascii="宋体" w:hAnsi="宋体" w:cs="宋体"/>
                <w:szCs w:val="21"/>
              </w:rPr>
              <w:t>实时作业轨迹以及作业数据显示</w:t>
            </w:r>
          </w:p>
          <w:p w14:paraId="33305413">
            <w:pPr>
              <w:pStyle w:val="39"/>
              <w:numPr>
                <w:ilvl w:val="0"/>
                <w:numId w:val="13"/>
              </w:numPr>
              <w:spacing w:after="0"/>
              <w:ind w:left="0" w:leftChars="0" w:firstLine="0" w:firstLineChars="0"/>
              <w:rPr>
                <w:rFonts w:hint="eastAsia" w:ascii="宋体" w:hAnsi="宋体" w:eastAsia="宋体" w:cs="宋体"/>
                <w:bCs/>
                <w:szCs w:val="21"/>
                <w:lang w:eastAsia="zh-Hans"/>
              </w:rPr>
            </w:pPr>
            <w:r>
              <w:rPr>
                <w:rFonts w:hint="eastAsia" w:ascii="宋体" w:hAnsi="宋体" w:eastAsia="宋体" w:cs="宋体"/>
                <w:bCs/>
                <w:szCs w:val="21"/>
                <w:lang w:eastAsia="zh-Hans"/>
              </w:rPr>
              <w:t>实时监控</w:t>
            </w:r>
          </w:p>
          <w:p w14:paraId="6016382A">
            <w:pPr>
              <w:widowControl/>
              <w:jc w:val="left"/>
              <w:rPr>
                <w:rFonts w:hint="eastAsia" w:ascii="宋体" w:hAnsi="宋体" w:cs="宋体"/>
                <w:bCs/>
                <w:szCs w:val="21"/>
              </w:rPr>
            </w:pPr>
            <w:r>
              <w:rPr>
                <w:rFonts w:hint="eastAsia" w:ascii="宋体" w:hAnsi="宋体" w:cs="宋体"/>
                <w:bCs/>
                <w:szCs w:val="21"/>
              </w:rPr>
              <w:t>基于</w:t>
            </w:r>
            <w:r>
              <w:rPr>
                <w:rFonts w:hint="eastAsia" w:ascii="宋体" w:hAnsi="宋体" w:cs="宋体"/>
                <w:bCs/>
                <w:szCs w:val="21"/>
                <w:lang w:eastAsia="zh-Hans"/>
              </w:rPr>
              <w:t>移动网络</w:t>
            </w:r>
            <w:r>
              <w:rPr>
                <w:rFonts w:hint="eastAsia" w:ascii="宋体" w:hAnsi="宋体" w:cs="宋体"/>
                <w:bCs/>
                <w:szCs w:val="21"/>
              </w:rPr>
              <w:t>的作业现场实时视频综合展示</w:t>
            </w:r>
          </w:p>
          <w:p w14:paraId="4F75863D">
            <w:pPr>
              <w:widowControl/>
              <w:jc w:val="left"/>
              <w:rPr>
                <w:rFonts w:hint="eastAsia" w:ascii="宋体" w:hAnsi="宋体" w:cs="宋体"/>
                <w:bCs/>
                <w:szCs w:val="21"/>
              </w:rPr>
            </w:pPr>
            <w:r>
              <w:rPr>
                <w:rFonts w:hint="eastAsia" w:ascii="宋体" w:hAnsi="宋体" w:cs="宋体"/>
                <w:bCs/>
                <w:szCs w:val="21"/>
              </w:rPr>
              <w:t>作业机群的远程控制</w:t>
            </w:r>
          </w:p>
          <w:p w14:paraId="6AABA9F9">
            <w:pPr>
              <w:widowControl/>
              <w:jc w:val="left"/>
              <w:rPr>
                <w:rFonts w:hint="eastAsia" w:ascii="宋体" w:hAnsi="宋体" w:cs="宋体"/>
                <w:bCs/>
                <w:szCs w:val="21"/>
              </w:rPr>
            </w:pPr>
            <w:r>
              <w:rPr>
                <w:rFonts w:hint="eastAsia" w:ascii="宋体" w:hAnsi="宋体" w:cs="宋体"/>
                <w:bCs/>
                <w:szCs w:val="21"/>
              </w:rPr>
              <w:t>单机作业的远程控制</w:t>
            </w:r>
          </w:p>
          <w:p w14:paraId="56A4B12A">
            <w:pPr>
              <w:pStyle w:val="39"/>
              <w:spacing w:after="0"/>
              <w:ind w:left="0" w:leftChars="0" w:firstLine="0" w:firstLineChars="0"/>
              <w:rPr>
                <w:rFonts w:hint="eastAsia" w:ascii="宋体" w:hAnsi="宋体" w:eastAsia="宋体" w:cs="宋体"/>
                <w:bCs/>
                <w:szCs w:val="21"/>
              </w:rPr>
            </w:pPr>
            <w:r>
              <w:rPr>
                <w:rFonts w:hint="eastAsia" w:ascii="宋体" w:hAnsi="宋体" w:eastAsia="宋体" w:cs="宋体"/>
                <w:bCs/>
                <w:szCs w:val="21"/>
              </w:rPr>
              <w:t>多机协同作业的远程控制</w:t>
            </w:r>
          </w:p>
          <w:p w14:paraId="072D6DD4">
            <w:pPr>
              <w:widowControl/>
              <w:jc w:val="left"/>
              <w:rPr>
                <w:rFonts w:hint="eastAsia" w:ascii="宋体" w:hAnsi="宋体" w:cs="宋体"/>
                <w:bCs/>
                <w:szCs w:val="21"/>
                <w:lang w:eastAsia="zh-Hans"/>
              </w:rPr>
            </w:pPr>
            <w:r>
              <w:rPr>
                <w:rFonts w:hint="eastAsia" w:ascii="宋体" w:hAnsi="宋体" w:cs="宋体"/>
                <w:bCs/>
                <w:szCs w:val="21"/>
                <w:lang w:eastAsia="zh-Hans"/>
              </w:rPr>
              <w:t>2、云端部署</w:t>
            </w:r>
          </w:p>
          <w:p w14:paraId="74DB221F">
            <w:pPr>
              <w:widowControl/>
              <w:jc w:val="left"/>
              <w:rPr>
                <w:rFonts w:hint="eastAsia" w:ascii="宋体" w:hAnsi="宋体" w:cs="宋体"/>
                <w:bCs/>
                <w:szCs w:val="21"/>
              </w:rPr>
            </w:pPr>
            <w:r>
              <w:rPr>
                <w:rFonts w:hint="eastAsia" w:ascii="宋体" w:hAnsi="宋体" w:cs="宋体"/>
                <w:bCs/>
                <w:szCs w:val="21"/>
              </w:rPr>
              <w:t>（1）</w:t>
            </w:r>
            <w:r>
              <w:rPr>
                <w:rFonts w:hint="eastAsia" w:ascii="宋体" w:hAnsi="宋体" w:cs="宋体"/>
                <w:bCs/>
                <w:szCs w:val="21"/>
                <w:lang w:eastAsia="zh-Hans"/>
              </w:rPr>
              <w:t>单机作业部署</w:t>
            </w:r>
          </w:p>
          <w:p w14:paraId="15B903BD">
            <w:pPr>
              <w:widowControl/>
              <w:jc w:val="left"/>
              <w:rPr>
                <w:rFonts w:hint="eastAsia" w:ascii="宋体" w:hAnsi="宋体" w:cs="宋体"/>
                <w:bCs/>
                <w:szCs w:val="21"/>
              </w:rPr>
            </w:pPr>
            <w:r>
              <w:rPr>
                <w:rFonts w:hint="eastAsia" w:ascii="宋体" w:hAnsi="宋体" w:cs="宋体"/>
                <w:bCs/>
                <w:szCs w:val="21"/>
              </w:rPr>
              <w:t>基于高精度数字地图、车辆实时位置、指定农艺、作业类型的路径规划以及单机作业部署</w:t>
            </w:r>
          </w:p>
          <w:p w14:paraId="75D12287">
            <w:pPr>
              <w:pStyle w:val="39"/>
              <w:spacing w:after="0"/>
              <w:ind w:left="0" w:leftChars="0" w:firstLine="0" w:firstLineChars="0"/>
              <w:rPr>
                <w:rFonts w:hint="eastAsia" w:ascii="宋体" w:hAnsi="宋体" w:eastAsia="宋体" w:cs="宋体"/>
                <w:szCs w:val="21"/>
              </w:rPr>
            </w:pPr>
            <w:r>
              <w:rPr>
                <w:rFonts w:hint="eastAsia" w:ascii="宋体" w:hAnsi="宋体" w:eastAsia="宋体" w:cs="宋体"/>
                <w:bCs/>
                <w:szCs w:val="21"/>
              </w:rPr>
              <w:t>（2）</w:t>
            </w:r>
            <w:r>
              <w:rPr>
                <w:rFonts w:hint="eastAsia" w:ascii="宋体" w:hAnsi="宋体" w:eastAsia="宋体" w:cs="宋体"/>
                <w:bCs/>
                <w:szCs w:val="21"/>
                <w:lang w:eastAsia="zh-Hans"/>
              </w:rPr>
              <w:t>多机协同部署</w:t>
            </w:r>
          </w:p>
          <w:p w14:paraId="73269013">
            <w:pPr>
              <w:widowControl/>
              <w:jc w:val="left"/>
              <w:rPr>
                <w:rFonts w:hint="eastAsia" w:ascii="宋体" w:hAnsi="宋体" w:cs="宋体"/>
                <w:bCs/>
                <w:szCs w:val="21"/>
              </w:rPr>
            </w:pPr>
            <w:r>
              <w:rPr>
                <w:rFonts w:hint="eastAsia" w:ascii="宋体" w:hAnsi="宋体" w:cs="宋体"/>
                <w:bCs/>
                <w:szCs w:val="21"/>
              </w:rPr>
              <w:t>基于高精度数字地图、圆柱体安全机制、互斥工作区域的协同路径规划以及协同路径下发部署</w:t>
            </w:r>
          </w:p>
          <w:p w14:paraId="29720CA2">
            <w:pPr>
              <w:pStyle w:val="39"/>
              <w:spacing w:after="0"/>
              <w:ind w:left="0" w:leftChars="0" w:firstLine="0" w:firstLineChars="0"/>
              <w:rPr>
                <w:rFonts w:hint="eastAsia" w:ascii="宋体" w:hAnsi="宋体" w:eastAsia="宋体" w:cs="宋体"/>
                <w:bCs/>
                <w:szCs w:val="21"/>
              </w:rPr>
            </w:pPr>
            <w:r>
              <w:rPr>
                <w:rFonts w:hint="eastAsia" w:ascii="宋体" w:hAnsi="宋体" w:eastAsia="宋体" w:cs="宋体"/>
                <w:bCs/>
                <w:szCs w:val="21"/>
              </w:rPr>
              <w:t>（3）</w:t>
            </w:r>
            <w:r>
              <w:rPr>
                <w:rFonts w:hint="eastAsia" w:ascii="宋体" w:hAnsi="宋体" w:eastAsia="宋体" w:cs="宋体"/>
                <w:bCs/>
                <w:szCs w:val="21"/>
                <w:lang w:eastAsia="zh-Hans"/>
              </w:rPr>
              <w:t>车辆回库部署</w:t>
            </w:r>
          </w:p>
          <w:p w14:paraId="175B73B4">
            <w:pPr>
              <w:widowControl/>
              <w:jc w:val="left"/>
              <w:rPr>
                <w:rFonts w:hint="eastAsia" w:ascii="宋体" w:hAnsi="宋体" w:cs="宋体"/>
                <w:bCs/>
                <w:szCs w:val="21"/>
              </w:rPr>
            </w:pPr>
            <w:r>
              <w:rPr>
                <w:rFonts w:hint="eastAsia" w:ascii="宋体" w:hAnsi="宋体" w:cs="宋体"/>
                <w:bCs/>
                <w:szCs w:val="21"/>
              </w:rPr>
              <w:t>基于高精度的田间地块道路分布图，实现对车辆回库的路径规划以及路径下发部署</w:t>
            </w:r>
          </w:p>
          <w:p w14:paraId="2A72737E">
            <w:pPr>
              <w:widowControl/>
              <w:jc w:val="left"/>
              <w:rPr>
                <w:rFonts w:hint="eastAsia" w:ascii="宋体" w:hAnsi="宋体" w:cs="宋体"/>
                <w:bCs/>
                <w:szCs w:val="21"/>
                <w:lang w:eastAsia="zh-Hans"/>
              </w:rPr>
            </w:pPr>
            <w:r>
              <w:rPr>
                <w:rFonts w:hint="eastAsia" w:ascii="宋体" w:hAnsi="宋体" w:cs="宋体"/>
                <w:bCs/>
                <w:szCs w:val="21"/>
                <w:lang w:eastAsia="zh-Hans"/>
              </w:rPr>
              <w:t>3、无人终端</w:t>
            </w:r>
          </w:p>
          <w:p w14:paraId="03C57DF9">
            <w:pPr>
              <w:widowControl/>
              <w:jc w:val="left"/>
              <w:rPr>
                <w:rFonts w:hint="eastAsia" w:ascii="宋体" w:hAnsi="宋体" w:cs="宋体"/>
                <w:bCs/>
                <w:szCs w:val="21"/>
              </w:rPr>
            </w:pPr>
            <w:r>
              <w:rPr>
                <w:rFonts w:hint="eastAsia" w:ascii="宋体" w:hAnsi="宋体" w:cs="宋体"/>
                <w:bCs/>
                <w:szCs w:val="21"/>
              </w:rPr>
              <w:t>（1）</w:t>
            </w:r>
            <w:r>
              <w:rPr>
                <w:rFonts w:hint="eastAsia" w:ascii="宋体" w:hAnsi="宋体" w:cs="宋体"/>
                <w:bCs/>
                <w:szCs w:val="21"/>
                <w:lang w:eastAsia="zh-Hans"/>
              </w:rPr>
              <w:t>智能设备</w:t>
            </w:r>
          </w:p>
          <w:p w14:paraId="4A7E5ABA">
            <w:pPr>
              <w:widowControl/>
              <w:jc w:val="left"/>
              <w:rPr>
                <w:rFonts w:hint="eastAsia" w:ascii="宋体" w:hAnsi="宋体" w:cs="宋体"/>
                <w:bCs/>
                <w:szCs w:val="21"/>
              </w:rPr>
            </w:pPr>
            <w:r>
              <w:rPr>
                <w:rFonts w:hint="eastAsia" w:ascii="宋体" w:hAnsi="宋体" w:cs="宋体"/>
                <w:bCs/>
                <w:szCs w:val="21"/>
              </w:rPr>
              <w:t>对车辆搭载的若干智能设备的绑定、编辑、移除等管理</w:t>
            </w:r>
          </w:p>
          <w:p w14:paraId="6C6B5DEB">
            <w:pPr>
              <w:widowControl/>
              <w:jc w:val="left"/>
              <w:rPr>
                <w:rFonts w:hint="eastAsia" w:ascii="宋体" w:hAnsi="宋体" w:cs="宋体"/>
                <w:bCs/>
                <w:szCs w:val="21"/>
                <w:lang w:eastAsia="zh-Hans"/>
              </w:rPr>
            </w:pPr>
            <w:r>
              <w:rPr>
                <w:rFonts w:hint="eastAsia" w:ascii="宋体" w:hAnsi="宋体" w:cs="宋体"/>
                <w:bCs/>
                <w:szCs w:val="21"/>
                <w:lang w:eastAsia="zh-Hans"/>
              </w:rPr>
              <w:t>（2）作业工况</w:t>
            </w:r>
          </w:p>
          <w:p w14:paraId="6DFF0418">
            <w:pPr>
              <w:widowControl/>
              <w:jc w:val="left"/>
              <w:rPr>
                <w:rFonts w:hint="eastAsia" w:ascii="宋体" w:hAnsi="宋体" w:cs="宋体"/>
                <w:bCs/>
                <w:szCs w:val="21"/>
              </w:rPr>
            </w:pPr>
            <w:r>
              <w:rPr>
                <w:rFonts w:hint="eastAsia" w:ascii="宋体" w:hAnsi="宋体" w:cs="宋体"/>
                <w:bCs/>
                <w:szCs w:val="21"/>
              </w:rPr>
              <w:t>车辆作业工况数据的汇总展示</w:t>
            </w:r>
          </w:p>
          <w:p w14:paraId="6B4CF325">
            <w:pPr>
              <w:widowControl/>
              <w:jc w:val="left"/>
              <w:rPr>
                <w:rFonts w:hint="eastAsia" w:ascii="宋体" w:hAnsi="宋体" w:cs="宋体"/>
                <w:bCs/>
                <w:szCs w:val="21"/>
              </w:rPr>
            </w:pPr>
            <w:r>
              <w:rPr>
                <w:rFonts w:hint="eastAsia" w:ascii="宋体" w:hAnsi="宋体" w:cs="宋体"/>
                <w:bCs/>
                <w:szCs w:val="21"/>
              </w:rPr>
              <w:t>（3）</w:t>
            </w:r>
            <w:r>
              <w:rPr>
                <w:rFonts w:hint="eastAsia" w:ascii="宋体" w:hAnsi="宋体" w:cs="宋体"/>
                <w:bCs/>
                <w:szCs w:val="21"/>
                <w:lang w:eastAsia="zh-Hans"/>
              </w:rPr>
              <w:t>历史轨迹</w:t>
            </w:r>
          </w:p>
          <w:p w14:paraId="0218B7F9">
            <w:pPr>
              <w:widowControl/>
              <w:jc w:val="left"/>
              <w:rPr>
                <w:rFonts w:hint="eastAsia" w:ascii="宋体" w:hAnsi="宋体" w:cs="宋体"/>
                <w:bCs/>
                <w:szCs w:val="21"/>
              </w:rPr>
            </w:pPr>
            <w:r>
              <w:rPr>
                <w:rFonts w:hint="eastAsia" w:ascii="宋体" w:hAnsi="宋体" w:cs="宋体"/>
                <w:bCs/>
                <w:szCs w:val="21"/>
              </w:rPr>
              <w:t>车辆历史轨迹的汇总和回放</w:t>
            </w:r>
          </w:p>
          <w:p w14:paraId="095683BB">
            <w:pPr>
              <w:widowControl/>
              <w:jc w:val="left"/>
              <w:rPr>
                <w:rFonts w:hint="eastAsia" w:ascii="宋体" w:hAnsi="宋体" w:cs="宋体"/>
                <w:bCs/>
                <w:szCs w:val="21"/>
                <w:lang w:eastAsia="zh-Hans"/>
              </w:rPr>
            </w:pPr>
            <w:r>
              <w:rPr>
                <w:rFonts w:hint="eastAsia" w:ascii="宋体" w:hAnsi="宋体" w:cs="宋体"/>
                <w:bCs/>
                <w:szCs w:val="21"/>
                <w:lang w:eastAsia="zh-Hans"/>
              </w:rPr>
              <w:t>4、智能监管</w:t>
            </w:r>
          </w:p>
          <w:p w14:paraId="57086038">
            <w:pPr>
              <w:widowControl/>
              <w:jc w:val="left"/>
              <w:rPr>
                <w:rFonts w:hint="eastAsia" w:ascii="宋体" w:hAnsi="宋体" w:cs="宋体"/>
                <w:bCs/>
                <w:szCs w:val="21"/>
              </w:rPr>
            </w:pPr>
            <w:r>
              <w:rPr>
                <w:rFonts w:hint="eastAsia" w:ascii="宋体" w:hAnsi="宋体" w:cs="宋体"/>
                <w:bCs/>
                <w:szCs w:val="21"/>
                <w:lang w:eastAsia="zh-Hans"/>
              </w:rPr>
              <w:t>（1）作业任务</w:t>
            </w:r>
          </w:p>
          <w:p w14:paraId="77603985">
            <w:pPr>
              <w:widowControl/>
              <w:jc w:val="left"/>
              <w:rPr>
                <w:rFonts w:hint="eastAsia" w:ascii="宋体" w:hAnsi="宋体" w:cs="宋体"/>
                <w:bCs/>
                <w:szCs w:val="21"/>
              </w:rPr>
            </w:pPr>
            <w:r>
              <w:rPr>
                <w:rFonts w:hint="eastAsia" w:ascii="宋体" w:hAnsi="宋体" w:cs="宋体"/>
                <w:bCs/>
                <w:szCs w:val="21"/>
              </w:rPr>
              <w:t>农场作业历程、作业历史轨迹回放、历史作业统计等功能</w:t>
            </w:r>
          </w:p>
          <w:p w14:paraId="418B9788">
            <w:pPr>
              <w:widowControl/>
              <w:jc w:val="left"/>
              <w:rPr>
                <w:rFonts w:hint="eastAsia" w:ascii="宋体" w:hAnsi="宋体" w:cs="宋体"/>
                <w:bCs/>
                <w:szCs w:val="21"/>
                <w:lang w:eastAsia="zh-Hans"/>
              </w:rPr>
            </w:pPr>
            <w:r>
              <w:rPr>
                <w:rFonts w:hint="eastAsia" w:ascii="宋体" w:hAnsi="宋体" w:cs="宋体"/>
                <w:bCs/>
                <w:szCs w:val="21"/>
                <w:lang w:eastAsia="zh-Hans"/>
              </w:rPr>
              <w:t>5、全局管理</w:t>
            </w:r>
          </w:p>
          <w:p w14:paraId="23410BC2">
            <w:pPr>
              <w:widowControl/>
              <w:jc w:val="left"/>
              <w:rPr>
                <w:rFonts w:hint="eastAsia" w:ascii="宋体" w:hAnsi="宋体" w:cs="宋体"/>
                <w:bCs/>
                <w:szCs w:val="21"/>
                <w:lang w:eastAsia="zh-Hans"/>
              </w:rPr>
            </w:pPr>
            <w:r>
              <w:rPr>
                <w:rFonts w:hint="eastAsia" w:ascii="宋体" w:hAnsi="宋体" w:cs="宋体"/>
                <w:bCs/>
                <w:szCs w:val="21"/>
                <w:lang w:eastAsia="zh-Hans"/>
              </w:rPr>
              <w:t>（1）区域管理</w:t>
            </w:r>
          </w:p>
          <w:p w14:paraId="116CD2AB">
            <w:pPr>
              <w:widowControl/>
              <w:jc w:val="left"/>
              <w:rPr>
                <w:rFonts w:hint="eastAsia" w:ascii="宋体" w:hAnsi="宋体" w:cs="宋体"/>
                <w:bCs/>
                <w:szCs w:val="21"/>
              </w:rPr>
            </w:pPr>
            <w:r>
              <w:rPr>
                <w:rFonts w:hint="eastAsia" w:ascii="宋体" w:hAnsi="宋体" w:cs="宋体"/>
                <w:bCs/>
                <w:szCs w:val="21"/>
              </w:rPr>
              <w:t>对农场区域内无人作业地块的管理模块，包括增删改查、地块类型、面积统计以及区域看板等功能</w:t>
            </w:r>
          </w:p>
          <w:p w14:paraId="16DA9EA6">
            <w:pPr>
              <w:widowControl/>
              <w:jc w:val="left"/>
              <w:rPr>
                <w:rFonts w:hint="eastAsia" w:ascii="宋体" w:hAnsi="宋体" w:cs="宋体"/>
                <w:bCs/>
                <w:szCs w:val="21"/>
              </w:rPr>
            </w:pPr>
            <w:r>
              <w:rPr>
                <w:rFonts w:hint="eastAsia" w:ascii="宋体" w:hAnsi="宋体" w:cs="宋体"/>
                <w:bCs/>
                <w:szCs w:val="21"/>
              </w:rPr>
              <w:t>（2）</w:t>
            </w:r>
            <w:r>
              <w:rPr>
                <w:rFonts w:hint="eastAsia" w:ascii="宋体" w:hAnsi="宋体" w:cs="宋体"/>
                <w:bCs/>
                <w:szCs w:val="21"/>
                <w:lang w:eastAsia="zh-Hans"/>
              </w:rPr>
              <w:t>车辆管理</w:t>
            </w:r>
          </w:p>
          <w:p w14:paraId="5C050671">
            <w:pPr>
              <w:widowControl/>
              <w:jc w:val="left"/>
              <w:rPr>
                <w:rFonts w:hint="eastAsia" w:ascii="宋体" w:hAnsi="宋体" w:cs="宋体"/>
                <w:bCs/>
                <w:szCs w:val="21"/>
              </w:rPr>
            </w:pPr>
            <w:r>
              <w:rPr>
                <w:rFonts w:hint="eastAsia" w:ascii="宋体" w:hAnsi="宋体" w:cs="宋体"/>
                <w:bCs/>
                <w:szCs w:val="21"/>
              </w:rPr>
              <w:t>对农场区域内无人作业农机和作业机群的管理模块，包括单机的增删改查、机群的增删改查、机群作业的分配等功能</w:t>
            </w:r>
          </w:p>
          <w:p w14:paraId="47D50979">
            <w:pPr>
              <w:widowControl/>
              <w:jc w:val="left"/>
              <w:rPr>
                <w:rFonts w:hint="eastAsia" w:ascii="宋体" w:hAnsi="宋体" w:cs="宋体"/>
                <w:bCs/>
                <w:szCs w:val="21"/>
              </w:rPr>
            </w:pPr>
            <w:r>
              <w:rPr>
                <w:rFonts w:hint="eastAsia" w:ascii="宋体" w:hAnsi="宋体" w:cs="宋体"/>
                <w:bCs/>
                <w:szCs w:val="21"/>
              </w:rPr>
              <w:t>（3）</w:t>
            </w:r>
            <w:r>
              <w:rPr>
                <w:rFonts w:hint="eastAsia" w:ascii="宋体" w:hAnsi="宋体" w:cs="宋体"/>
                <w:bCs/>
                <w:szCs w:val="21"/>
                <w:lang w:eastAsia="zh-Hans"/>
              </w:rPr>
              <w:t>设备管理</w:t>
            </w:r>
          </w:p>
          <w:p w14:paraId="52D93A6D">
            <w:pPr>
              <w:widowControl/>
              <w:jc w:val="left"/>
              <w:rPr>
                <w:rFonts w:hint="eastAsia" w:ascii="宋体" w:hAnsi="宋体" w:cs="宋体"/>
                <w:bCs/>
                <w:szCs w:val="21"/>
              </w:rPr>
            </w:pPr>
            <w:r>
              <w:rPr>
                <w:rFonts w:hint="eastAsia" w:ascii="宋体" w:hAnsi="宋体" w:cs="宋体"/>
                <w:bCs/>
                <w:szCs w:val="21"/>
              </w:rPr>
              <w:t>对农场区域内只能设备的管理模块，包括公网流的监控视频管理、内网流的监控增删改查，以及后续拓展智能物联方面硬件等功能</w:t>
            </w:r>
          </w:p>
          <w:p w14:paraId="72A34EC5">
            <w:pPr>
              <w:widowControl/>
              <w:jc w:val="left"/>
              <w:rPr>
                <w:rFonts w:hint="eastAsia" w:ascii="宋体" w:hAnsi="宋体" w:cs="宋体"/>
                <w:bCs/>
                <w:szCs w:val="21"/>
              </w:rPr>
            </w:pPr>
            <w:r>
              <w:rPr>
                <w:rFonts w:hint="eastAsia" w:ascii="宋体" w:hAnsi="宋体" w:cs="宋体"/>
                <w:bCs/>
                <w:szCs w:val="21"/>
              </w:rPr>
              <w:t>（4）</w:t>
            </w:r>
            <w:r>
              <w:rPr>
                <w:rFonts w:hint="eastAsia" w:ascii="宋体" w:hAnsi="宋体" w:cs="宋体"/>
                <w:bCs/>
                <w:szCs w:val="21"/>
                <w:lang w:eastAsia="zh-Hans"/>
              </w:rPr>
              <w:t>路径管理</w:t>
            </w:r>
          </w:p>
          <w:p w14:paraId="7E11E056">
            <w:pPr>
              <w:rPr>
                <w:rFonts w:hint="eastAsia" w:ascii="宋体" w:hAnsi="宋体" w:cs="宋体"/>
                <w:szCs w:val="21"/>
              </w:rPr>
            </w:pPr>
            <w:r>
              <w:rPr>
                <w:rFonts w:hint="eastAsia" w:ascii="宋体" w:hAnsi="宋体" w:cs="宋体"/>
                <w:bCs/>
                <w:szCs w:val="21"/>
              </w:rPr>
              <w:t>对农场区域内规划路径的管理模块，包括单机路径的增删改查、协同路径的增删改查，以及建立各个路径关联不同的作业等功能</w:t>
            </w:r>
          </w:p>
        </w:tc>
      </w:tr>
      <w:tr w14:paraId="33AC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7" w:type="pct"/>
            <w:vAlign w:val="center"/>
          </w:tcPr>
          <w:p w14:paraId="18DCC6F5">
            <w:pPr>
              <w:jc w:val="center"/>
              <w:rPr>
                <w:rFonts w:hint="eastAsia" w:ascii="宋体" w:hAnsi="宋体" w:cs="宋体"/>
                <w:szCs w:val="21"/>
              </w:rPr>
            </w:pPr>
            <w:r>
              <w:rPr>
                <w:rFonts w:hint="eastAsia" w:ascii="宋体" w:hAnsi="宋体" w:cs="宋体"/>
                <w:szCs w:val="21"/>
              </w:rPr>
              <w:t>18</w:t>
            </w:r>
          </w:p>
        </w:tc>
        <w:tc>
          <w:tcPr>
            <w:tcW w:w="653" w:type="pct"/>
            <w:vAlign w:val="center"/>
          </w:tcPr>
          <w:p w14:paraId="68C96AAF">
            <w:pPr>
              <w:jc w:val="center"/>
              <w:rPr>
                <w:rFonts w:hint="eastAsia" w:ascii="宋体" w:hAnsi="宋体" w:cs="宋体"/>
                <w:szCs w:val="21"/>
                <w:lang w:bidi="ar"/>
              </w:rPr>
            </w:pPr>
            <w:r>
              <w:rPr>
                <w:rFonts w:hint="eastAsia" w:ascii="宋体" w:hAnsi="宋体" w:cs="宋体"/>
                <w:szCs w:val="21"/>
                <w:lang w:bidi="ar"/>
              </w:rPr>
              <w:t>LED大屏（含控制、音响部分）</w:t>
            </w:r>
          </w:p>
        </w:tc>
        <w:tc>
          <w:tcPr>
            <w:tcW w:w="510" w:type="pct"/>
            <w:vAlign w:val="center"/>
          </w:tcPr>
          <w:p w14:paraId="120EB8EF">
            <w:pPr>
              <w:jc w:val="center"/>
              <w:rPr>
                <w:rFonts w:hint="eastAsia" w:ascii="宋体" w:hAnsi="宋体" w:cs="宋体"/>
                <w:szCs w:val="21"/>
              </w:rPr>
            </w:pPr>
            <w:r>
              <w:rPr>
                <w:rFonts w:hint="eastAsia" w:ascii="宋体" w:hAnsi="宋体" w:cs="宋体"/>
                <w:szCs w:val="21"/>
                <w:lang w:eastAsia="zh-Hans"/>
              </w:rPr>
              <w:t>8.6</w:t>
            </w:r>
            <w:r>
              <w:rPr>
                <w:rFonts w:hint="eastAsia" w:ascii="宋体" w:hAnsi="宋体" w:cs="宋体"/>
                <w:szCs w:val="21"/>
              </w:rPr>
              <w:t>平方米</w:t>
            </w:r>
          </w:p>
        </w:tc>
        <w:tc>
          <w:tcPr>
            <w:tcW w:w="3410" w:type="pct"/>
            <w:vAlign w:val="center"/>
          </w:tcPr>
          <w:p w14:paraId="59D957E1">
            <w:pPr>
              <w:rPr>
                <w:rFonts w:hint="eastAsia" w:ascii="宋体" w:hAnsi="宋体" w:cs="宋体"/>
                <w:bCs/>
                <w:szCs w:val="21"/>
              </w:rPr>
            </w:pPr>
            <w:r>
              <w:rPr>
                <w:rFonts w:hint="eastAsia" w:ascii="宋体" w:hAnsi="宋体" w:cs="宋体"/>
                <w:szCs w:val="21"/>
              </w:rPr>
              <w:t>1、★</w:t>
            </w:r>
            <w:r>
              <w:rPr>
                <w:rFonts w:hint="eastAsia" w:ascii="宋体" w:hAnsi="宋体" w:cs="宋体"/>
                <w:bCs/>
                <w:szCs w:val="21"/>
              </w:rPr>
              <w:t>物理点间距：≤1.53mm（提供国家权威机构检测报告）；</w:t>
            </w:r>
          </w:p>
          <w:p w14:paraId="020D2F47">
            <w:pPr>
              <w:rPr>
                <w:rFonts w:hint="eastAsia" w:ascii="宋体" w:hAnsi="宋体" w:cs="宋体"/>
                <w:bCs/>
                <w:szCs w:val="21"/>
              </w:rPr>
            </w:pPr>
            <w:r>
              <w:rPr>
                <w:rFonts w:hint="eastAsia" w:ascii="宋体" w:hAnsi="宋体" w:cs="宋体"/>
                <w:bCs/>
                <w:szCs w:val="21"/>
              </w:rPr>
              <w:t xml:space="preserve">2、物理密度：≥422500点/m2 </w:t>
            </w:r>
          </w:p>
          <w:p w14:paraId="4EDB76C8">
            <w:pPr>
              <w:rPr>
                <w:rFonts w:hint="eastAsia" w:ascii="宋体" w:hAnsi="宋体" w:cs="宋体"/>
                <w:bCs/>
                <w:szCs w:val="21"/>
              </w:rPr>
            </w:pPr>
            <w:r>
              <w:rPr>
                <w:rFonts w:hint="eastAsia" w:ascii="宋体" w:hAnsi="宋体" w:cs="宋体"/>
                <w:bCs/>
                <w:szCs w:val="21"/>
              </w:rPr>
              <w:t>3、全屏分辨率：≥2704*1352</w:t>
            </w:r>
          </w:p>
          <w:p w14:paraId="5468B524">
            <w:pPr>
              <w:rPr>
                <w:rFonts w:hint="eastAsia" w:ascii="宋体" w:hAnsi="宋体" w:cs="宋体"/>
                <w:bCs/>
                <w:szCs w:val="21"/>
              </w:rPr>
            </w:pPr>
            <w:r>
              <w:rPr>
                <w:rFonts w:hint="eastAsia" w:ascii="宋体" w:hAnsi="宋体" w:cs="宋体"/>
                <w:bCs/>
                <w:szCs w:val="21"/>
              </w:rPr>
              <w:t>4、</w:t>
            </w:r>
            <w:r>
              <w:rPr>
                <w:rFonts w:hint="eastAsia" w:ascii="宋体" w:hAnsi="宋体" w:cs="宋体"/>
                <w:szCs w:val="21"/>
              </w:rPr>
              <w:t>★</w:t>
            </w:r>
            <w:r>
              <w:rPr>
                <w:rFonts w:hint="eastAsia" w:ascii="宋体" w:hAnsi="宋体" w:cs="宋体"/>
                <w:bCs/>
                <w:szCs w:val="21"/>
              </w:rPr>
              <w:t>刷新率≥3840HZ（提供国家权威机构检测报告）</w:t>
            </w:r>
          </w:p>
          <w:p w14:paraId="4FFA18CB">
            <w:pPr>
              <w:rPr>
                <w:rFonts w:hint="eastAsia" w:ascii="宋体" w:hAnsi="宋体" w:cs="宋体"/>
                <w:bCs/>
                <w:szCs w:val="21"/>
              </w:rPr>
            </w:pPr>
            <w:r>
              <w:rPr>
                <w:rFonts w:hint="eastAsia" w:ascii="宋体" w:hAnsi="宋体" w:cs="宋体"/>
                <w:bCs/>
                <w:szCs w:val="21"/>
              </w:rPr>
              <w:t>5、换帧速度：≥60帧/秒</w:t>
            </w:r>
          </w:p>
          <w:p w14:paraId="4896011B">
            <w:pPr>
              <w:rPr>
                <w:rFonts w:hint="eastAsia" w:ascii="宋体" w:hAnsi="宋体" w:cs="宋体"/>
                <w:bCs/>
                <w:szCs w:val="21"/>
              </w:rPr>
            </w:pPr>
            <w:r>
              <w:rPr>
                <w:rFonts w:hint="eastAsia" w:ascii="宋体" w:hAnsi="宋体" w:cs="宋体"/>
                <w:bCs/>
                <w:szCs w:val="21"/>
              </w:rPr>
              <w:t>6、灰度等级:红、绿、蓝各12-14bits</w:t>
            </w:r>
          </w:p>
          <w:p w14:paraId="3DB54F16">
            <w:pPr>
              <w:rPr>
                <w:rFonts w:hint="eastAsia" w:ascii="宋体" w:hAnsi="宋体" w:cs="宋体"/>
                <w:bCs/>
                <w:szCs w:val="21"/>
              </w:rPr>
            </w:pPr>
            <w:r>
              <w:rPr>
                <w:rFonts w:hint="eastAsia" w:ascii="宋体" w:hAnsi="宋体" w:cs="宋体"/>
                <w:bCs/>
                <w:szCs w:val="21"/>
              </w:rPr>
              <w:t>7、屏体色度均匀性需在±0.0025Cx,Cy之内</w:t>
            </w:r>
          </w:p>
          <w:p w14:paraId="6FA7D681">
            <w:pPr>
              <w:rPr>
                <w:rFonts w:hint="eastAsia" w:ascii="宋体" w:hAnsi="宋体" w:cs="宋体"/>
                <w:bCs/>
                <w:szCs w:val="21"/>
              </w:rPr>
            </w:pPr>
            <w:r>
              <w:rPr>
                <w:rFonts w:hint="eastAsia" w:ascii="宋体" w:hAnsi="宋体" w:cs="宋体"/>
                <w:bCs/>
                <w:szCs w:val="21"/>
              </w:rPr>
              <w:t>8、平均功耗≤200W/㎡；最大功耗≤450W/㎡；</w:t>
            </w:r>
          </w:p>
          <w:p w14:paraId="14DD1910">
            <w:pPr>
              <w:rPr>
                <w:rFonts w:hint="eastAsia" w:ascii="宋体" w:hAnsi="宋体" w:cs="宋体"/>
                <w:bCs/>
                <w:szCs w:val="21"/>
              </w:rPr>
            </w:pPr>
            <w:r>
              <w:rPr>
                <w:rFonts w:hint="eastAsia" w:ascii="宋体" w:hAnsi="宋体" w:cs="宋体"/>
                <w:bCs/>
                <w:szCs w:val="21"/>
              </w:rPr>
              <w:t>9、屏幕寿命：≥100,000小时；</w:t>
            </w:r>
          </w:p>
          <w:p w14:paraId="01173A95">
            <w:pPr>
              <w:rPr>
                <w:rFonts w:hint="eastAsia" w:ascii="宋体" w:hAnsi="宋体" w:cs="宋体"/>
                <w:bCs/>
                <w:szCs w:val="21"/>
              </w:rPr>
            </w:pPr>
            <w:r>
              <w:rPr>
                <w:rFonts w:hint="eastAsia" w:ascii="宋体" w:hAnsi="宋体" w:cs="宋体"/>
                <w:bCs/>
                <w:szCs w:val="21"/>
              </w:rPr>
              <w:t>10、</w:t>
            </w:r>
            <w:r>
              <w:rPr>
                <w:rFonts w:hint="eastAsia" w:ascii="宋体" w:hAnsi="宋体" w:cs="宋体"/>
                <w:szCs w:val="21"/>
              </w:rPr>
              <w:t>★</w:t>
            </w:r>
            <w:r>
              <w:rPr>
                <w:rFonts w:hint="eastAsia" w:ascii="宋体" w:hAnsi="宋体" w:cs="宋体"/>
                <w:bCs/>
                <w:szCs w:val="21"/>
              </w:rPr>
              <w:t>像素失控点:≤1/100000)（提供国家权威机构检测报告）</w:t>
            </w:r>
          </w:p>
          <w:p w14:paraId="6E865D0B">
            <w:pPr>
              <w:rPr>
                <w:rFonts w:hint="eastAsia" w:ascii="宋体" w:hAnsi="宋体" w:cs="宋体"/>
                <w:bCs/>
                <w:szCs w:val="21"/>
              </w:rPr>
            </w:pPr>
            <w:r>
              <w:rPr>
                <w:rFonts w:hint="eastAsia" w:ascii="宋体" w:hAnsi="宋体" w:cs="宋体"/>
                <w:bCs/>
                <w:szCs w:val="21"/>
              </w:rPr>
              <w:t>11、室内 P1.53全彩单元板显示效果更加清晰细腻、分辨率可达到 1080P 以上；实现高刷新率、高灰阶及较高灯管利用率；无残影、防“毛毛虫” 、低功耗、低突波等-1R1G1B-SMD1010黑灯。</w:t>
            </w:r>
          </w:p>
        </w:tc>
      </w:tr>
    </w:tbl>
    <w:p w14:paraId="76E863A7">
      <w:pPr>
        <w:pStyle w:val="209"/>
        <w:spacing w:line="360" w:lineRule="auto"/>
        <w:ind w:firstLine="440"/>
        <w:jc w:val="left"/>
        <w:rPr>
          <w:rFonts w:hint="eastAsia"/>
          <w:sz w:val="24"/>
          <w:szCs w:val="24"/>
          <w:lang w:val="en-US" w:eastAsia="zh-CN" w:bidi="en-US"/>
        </w:rPr>
      </w:pPr>
    </w:p>
    <w:p w14:paraId="60475619">
      <w:pPr>
        <w:pStyle w:val="209"/>
        <w:spacing w:line="360" w:lineRule="auto"/>
        <w:ind w:firstLine="440"/>
        <w:jc w:val="left"/>
        <w:rPr>
          <w:rFonts w:hint="eastAsia"/>
          <w:sz w:val="24"/>
          <w:szCs w:val="24"/>
          <w:lang w:val="en-US" w:eastAsia="zh-CN" w:bidi="en-US"/>
        </w:rPr>
        <w:sectPr>
          <w:pgSz w:w="11900" w:h="16840"/>
          <w:pgMar w:top="1270" w:right="1123" w:bottom="1270" w:left="1123" w:header="634" w:footer="6" w:gutter="0"/>
          <w:cols w:space="0" w:num="1"/>
          <w:docGrid w:linePitch="360" w:charSpace="0"/>
        </w:sectPr>
      </w:pPr>
    </w:p>
    <w:p w14:paraId="3DC00F75">
      <w:pPr>
        <w:jc w:val="center"/>
        <w:rPr>
          <w:rFonts w:hint="eastAsia" w:ascii="宋体" w:hAnsi="宋体" w:cs="宋体"/>
          <w:b/>
          <w:sz w:val="44"/>
          <w:szCs w:val="44"/>
        </w:rPr>
      </w:pPr>
      <w:bookmarkStart w:id="197" w:name="_Toc27538"/>
      <w:r>
        <w:rPr>
          <w:rFonts w:hint="eastAsia" w:ascii="宋体" w:hAnsi="宋体" w:cs="宋体"/>
          <w:b/>
          <w:sz w:val="44"/>
          <w:szCs w:val="44"/>
        </w:rPr>
        <w:t>第六章 评审方法和评审标准</w:t>
      </w:r>
      <w:bookmarkEnd w:id="196"/>
      <w:bookmarkEnd w:id="197"/>
    </w:p>
    <w:bookmarkEnd w:id="195"/>
    <w:p w14:paraId="718E0B9E">
      <w:pPr>
        <w:spacing w:line="400" w:lineRule="exact"/>
        <w:ind w:firstLine="482"/>
        <w:rPr>
          <w:rFonts w:hint="eastAsia" w:ascii="宋体" w:hAnsi="宋体"/>
          <w:b/>
          <w:szCs w:val="21"/>
        </w:rPr>
      </w:pPr>
      <w:bookmarkStart w:id="198" w:name="_Toc397699195"/>
      <w:r>
        <w:rPr>
          <w:rFonts w:hint="eastAsia" w:ascii="宋体" w:hAnsi="宋体"/>
          <w:b/>
          <w:szCs w:val="21"/>
        </w:rPr>
        <w:t>一、</w:t>
      </w:r>
      <w:r>
        <w:rPr>
          <w:rFonts w:hint="eastAsia" w:ascii="宋体" w:hAnsi="宋体"/>
          <w:b/>
          <w:bCs/>
          <w:szCs w:val="21"/>
        </w:rPr>
        <w:t>评标委员会构成</w:t>
      </w:r>
      <w:r>
        <w:rPr>
          <w:rFonts w:hint="eastAsia" w:ascii="宋体" w:hAnsi="宋体"/>
          <w:b/>
          <w:szCs w:val="21"/>
        </w:rPr>
        <w:t>：</w:t>
      </w:r>
    </w:p>
    <w:p w14:paraId="7160A781">
      <w:pPr>
        <w:spacing w:line="400" w:lineRule="exact"/>
        <w:ind w:firstLine="480"/>
        <w:rPr>
          <w:rFonts w:hint="eastAsia" w:ascii="宋体" w:hAnsi="宋体"/>
          <w:szCs w:val="21"/>
        </w:rPr>
      </w:pPr>
      <w:r>
        <w:rPr>
          <w:rFonts w:hint="eastAsia" w:ascii="宋体" w:hAnsi="宋体"/>
          <w:szCs w:val="21"/>
        </w:rPr>
        <w:t>本采购项目评标委员会的评委由采购人代表、相关专家组成。</w:t>
      </w:r>
    </w:p>
    <w:p w14:paraId="2406EA7D">
      <w:pPr>
        <w:spacing w:line="400" w:lineRule="exact"/>
        <w:ind w:firstLine="482"/>
        <w:rPr>
          <w:rFonts w:hint="eastAsia" w:ascii="宋体" w:hAnsi="宋体"/>
          <w:szCs w:val="21"/>
        </w:rPr>
      </w:pPr>
      <w:r>
        <w:rPr>
          <w:rFonts w:hint="eastAsia" w:ascii="宋体" w:hAnsi="宋体"/>
          <w:b/>
          <w:szCs w:val="21"/>
        </w:rPr>
        <w:t>二、</w:t>
      </w:r>
      <w:r>
        <w:rPr>
          <w:rFonts w:hint="eastAsia" w:ascii="宋体" w:hAnsi="宋体"/>
          <w:b/>
          <w:bCs/>
          <w:szCs w:val="21"/>
        </w:rPr>
        <w:t>评标方法</w:t>
      </w:r>
      <w:r>
        <w:rPr>
          <w:rFonts w:hint="eastAsia" w:ascii="宋体" w:hAnsi="宋体"/>
          <w:b/>
          <w:szCs w:val="21"/>
        </w:rPr>
        <w:t>：</w:t>
      </w:r>
    </w:p>
    <w:p w14:paraId="385E832B">
      <w:pPr>
        <w:spacing w:line="400" w:lineRule="exact"/>
        <w:ind w:firstLine="480"/>
        <w:rPr>
          <w:rFonts w:hint="eastAsia" w:ascii="宋体" w:hAnsi="宋体"/>
          <w:szCs w:val="21"/>
        </w:rPr>
      </w:pPr>
      <w:r>
        <w:rPr>
          <w:rFonts w:hint="eastAsia" w:ascii="宋体" w:hAnsi="宋体"/>
          <w:szCs w:val="21"/>
        </w:rPr>
        <w:t>本项目评标方法采用综合评分法。综合评分法，是指投标文件满足招标文件全部实质性要求，且按照评审因素的量化指标评审得分最高的投标人为中标候选人的评标方法。</w:t>
      </w:r>
    </w:p>
    <w:p w14:paraId="1CDAE695">
      <w:pPr>
        <w:spacing w:line="400" w:lineRule="exact"/>
        <w:ind w:firstLine="482"/>
        <w:rPr>
          <w:rFonts w:hint="eastAsia" w:ascii="宋体" w:hAnsi="宋体"/>
          <w:b/>
          <w:szCs w:val="21"/>
        </w:rPr>
      </w:pPr>
      <w:r>
        <w:rPr>
          <w:rFonts w:hint="eastAsia" w:ascii="宋体" w:hAnsi="宋体"/>
          <w:b/>
          <w:szCs w:val="21"/>
        </w:rPr>
        <w:t>三、</w:t>
      </w:r>
      <w:r>
        <w:rPr>
          <w:rFonts w:hint="eastAsia" w:ascii="宋体" w:hAnsi="宋体"/>
          <w:b/>
          <w:bCs/>
          <w:szCs w:val="21"/>
        </w:rPr>
        <w:t>评标原则</w:t>
      </w:r>
      <w:r>
        <w:rPr>
          <w:rFonts w:hint="eastAsia" w:ascii="宋体" w:hAnsi="宋体"/>
          <w:b/>
          <w:szCs w:val="21"/>
        </w:rPr>
        <w:t>：</w:t>
      </w:r>
    </w:p>
    <w:p w14:paraId="14CCB36E">
      <w:pPr>
        <w:spacing w:line="400" w:lineRule="exact"/>
        <w:ind w:firstLine="480"/>
        <w:rPr>
          <w:rFonts w:hint="eastAsia" w:ascii="宋体" w:hAnsi="宋体"/>
          <w:szCs w:val="21"/>
        </w:rPr>
      </w:pPr>
      <w:r>
        <w:rPr>
          <w:rFonts w:hint="eastAsia" w:ascii="宋体" w:hAnsi="宋体"/>
          <w:szCs w:val="21"/>
        </w:rPr>
        <w:t>评标委员会必须公平、公正、客观，不带任何倾向性和启发性；不得向外界透露任何与评标有关的内容；任何单位和个人不得干扰、影响评标的正常进行；评标委员会及有关工作人员不得私下与供应商接触。</w:t>
      </w:r>
    </w:p>
    <w:p w14:paraId="0C0C3983">
      <w:pPr>
        <w:spacing w:line="400" w:lineRule="exact"/>
        <w:ind w:firstLine="482"/>
        <w:rPr>
          <w:rFonts w:hint="eastAsia" w:ascii="宋体" w:hAnsi="宋体"/>
          <w:b/>
          <w:szCs w:val="21"/>
        </w:rPr>
      </w:pPr>
      <w:r>
        <w:rPr>
          <w:rFonts w:hint="eastAsia" w:ascii="宋体" w:hAnsi="宋体"/>
          <w:b/>
          <w:szCs w:val="21"/>
        </w:rPr>
        <w:t>四、</w:t>
      </w:r>
      <w:r>
        <w:rPr>
          <w:rFonts w:hint="eastAsia" w:ascii="宋体" w:hAnsi="宋体"/>
          <w:b/>
          <w:bCs/>
          <w:szCs w:val="21"/>
        </w:rPr>
        <w:t>评标标准</w:t>
      </w:r>
      <w:r>
        <w:rPr>
          <w:rFonts w:hint="eastAsia" w:ascii="宋体" w:hAnsi="宋体"/>
          <w:b/>
          <w:szCs w:val="21"/>
        </w:rPr>
        <w:t>：</w:t>
      </w:r>
    </w:p>
    <w:p w14:paraId="4C07130E">
      <w:pPr>
        <w:spacing w:line="400" w:lineRule="exact"/>
        <w:ind w:firstLine="480"/>
        <w:rPr>
          <w:rFonts w:hint="eastAsia" w:ascii="宋体" w:hAnsi="宋体"/>
          <w:szCs w:val="21"/>
        </w:rPr>
      </w:pPr>
      <w:r>
        <w:rPr>
          <w:rFonts w:hint="eastAsia" w:ascii="宋体" w:hAnsi="宋体"/>
          <w:szCs w:val="21"/>
        </w:rPr>
        <w:t>（一）评标时，评标委员会以招标文件为评标依据，评标委员会各成员独立对每个投标人的投标文件进行评价，并汇总每个投标人的得分。</w:t>
      </w:r>
    </w:p>
    <w:p w14:paraId="4672F054">
      <w:pPr>
        <w:spacing w:line="400" w:lineRule="exact"/>
        <w:ind w:firstLine="480"/>
        <w:rPr>
          <w:rFonts w:hint="eastAsia" w:ascii="宋体" w:hAnsi="宋体"/>
          <w:szCs w:val="21"/>
        </w:rPr>
      </w:pPr>
      <w:r>
        <w:rPr>
          <w:rFonts w:hint="eastAsia" w:ascii="宋体" w:hAnsi="宋体"/>
          <w:szCs w:val="21"/>
        </w:rPr>
        <w:t>（二）本项目评分总分为100分，按四舍五入取至小数点后两位。</w:t>
      </w:r>
    </w:p>
    <w:p w14:paraId="427AA41A">
      <w:pPr>
        <w:spacing w:line="400" w:lineRule="exact"/>
        <w:ind w:firstLine="480"/>
        <w:rPr>
          <w:rFonts w:hint="eastAsia" w:ascii="宋体" w:hAnsi="宋体"/>
          <w:szCs w:val="21"/>
        </w:rPr>
      </w:pPr>
      <w:r>
        <w:rPr>
          <w:rFonts w:hint="eastAsia" w:ascii="宋体" w:hAnsi="宋体"/>
          <w:szCs w:val="21"/>
        </w:rPr>
        <w:t xml:space="preserve">（三）总得分 =价格分 + 商务技术分 </w:t>
      </w:r>
    </w:p>
    <w:p w14:paraId="75F64E43">
      <w:pPr>
        <w:spacing w:line="400" w:lineRule="exact"/>
        <w:ind w:firstLine="480"/>
        <w:rPr>
          <w:rFonts w:hint="eastAsia" w:ascii="宋体" w:hAnsi="宋体"/>
          <w:szCs w:val="21"/>
        </w:rPr>
      </w:pPr>
      <w:r>
        <w:rPr>
          <w:rFonts w:hint="eastAsia" w:ascii="宋体" w:hAnsi="宋体"/>
          <w:szCs w:val="21"/>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FFF576B">
      <w:pPr>
        <w:spacing w:line="400" w:lineRule="exact"/>
        <w:ind w:firstLine="562" w:firstLineChars="200"/>
        <w:rPr>
          <w:rFonts w:hint="eastAsia" w:ascii="宋体" w:hAnsi="宋体" w:cs="宋体"/>
          <w:b/>
          <w:bCs/>
          <w:sz w:val="28"/>
          <w:szCs w:val="28"/>
        </w:rPr>
      </w:pPr>
      <w:r>
        <w:rPr>
          <w:rFonts w:hint="eastAsia" w:ascii="宋体" w:hAnsi="宋体" w:cs="宋体"/>
          <w:b/>
          <w:bCs/>
          <w:sz w:val="28"/>
          <w:szCs w:val="28"/>
        </w:rPr>
        <w:t>评分细则</w:t>
      </w:r>
    </w:p>
    <w:tbl>
      <w:tblPr>
        <w:tblStyle w:val="40"/>
        <w:tblW w:w="104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081"/>
        <w:gridCol w:w="709"/>
        <w:gridCol w:w="7991"/>
      </w:tblGrid>
      <w:tr w14:paraId="7A1D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10" w:type="dxa"/>
            <w:vAlign w:val="center"/>
          </w:tcPr>
          <w:p w14:paraId="4901E6CE">
            <w:pPr>
              <w:widowControl/>
              <w:jc w:val="center"/>
              <w:rPr>
                <w:b/>
                <w:szCs w:val="21"/>
              </w:rPr>
            </w:pPr>
            <w:r>
              <w:rPr>
                <w:b/>
                <w:szCs w:val="21"/>
              </w:rPr>
              <w:t>序号</w:t>
            </w:r>
          </w:p>
        </w:tc>
        <w:tc>
          <w:tcPr>
            <w:tcW w:w="1081" w:type="dxa"/>
            <w:vAlign w:val="center"/>
          </w:tcPr>
          <w:p w14:paraId="69005549">
            <w:pPr>
              <w:widowControl/>
              <w:jc w:val="center"/>
              <w:rPr>
                <w:b/>
                <w:szCs w:val="21"/>
              </w:rPr>
            </w:pPr>
            <w:r>
              <w:rPr>
                <w:b/>
                <w:szCs w:val="21"/>
              </w:rPr>
              <w:t>评分因素</w:t>
            </w:r>
          </w:p>
        </w:tc>
        <w:tc>
          <w:tcPr>
            <w:tcW w:w="709" w:type="dxa"/>
            <w:vAlign w:val="center"/>
          </w:tcPr>
          <w:p w14:paraId="4CD4B34D">
            <w:pPr>
              <w:widowControl/>
              <w:jc w:val="center"/>
              <w:rPr>
                <w:b/>
                <w:szCs w:val="21"/>
              </w:rPr>
            </w:pPr>
            <w:r>
              <w:rPr>
                <w:b/>
                <w:szCs w:val="21"/>
              </w:rPr>
              <w:t>分值</w:t>
            </w:r>
          </w:p>
        </w:tc>
        <w:tc>
          <w:tcPr>
            <w:tcW w:w="7991" w:type="dxa"/>
            <w:vAlign w:val="center"/>
          </w:tcPr>
          <w:p w14:paraId="16EF6C63">
            <w:pPr>
              <w:widowControl/>
              <w:jc w:val="center"/>
              <w:rPr>
                <w:b/>
                <w:szCs w:val="21"/>
              </w:rPr>
            </w:pPr>
            <w:r>
              <w:rPr>
                <w:b/>
                <w:szCs w:val="21"/>
              </w:rPr>
              <w:t>评分标准</w:t>
            </w:r>
          </w:p>
        </w:tc>
      </w:tr>
      <w:tr w14:paraId="4D59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1" w:type="dxa"/>
            <w:gridSpan w:val="4"/>
            <w:vAlign w:val="center"/>
          </w:tcPr>
          <w:p w14:paraId="21C2E863">
            <w:pPr>
              <w:widowControl/>
              <w:spacing w:line="360" w:lineRule="auto"/>
              <w:jc w:val="center"/>
              <w:rPr>
                <w:szCs w:val="21"/>
              </w:rPr>
            </w:pPr>
            <w:r>
              <w:rPr>
                <w:rFonts w:hint="eastAsia"/>
                <w:b/>
                <w:szCs w:val="21"/>
              </w:rPr>
              <w:t>一、</w:t>
            </w:r>
            <w:r>
              <w:rPr>
                <w:b/>
                <w:szCs w:val="21"/>
              </w:rPr>
              <w:t>报价</w:t>
            </w:r>
            <w:r>
              <w:rPr>
                <w:rFonts w:hint="eastAsia"/>
                <w:b/>
                <w:szCs w:val="21"/>
              </w:rPr>
              <w:t>部分（30分）</w:t>
            </w:r>
          </w:p>
        </w:tc>
      </w:tr>
      <w:tr w14:paraId="4B0CB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10" w:type="dxa"/>
            <w:vAlign w:val="center"/>
          </w:tcPr>
          <w:p w14:paraId="0B17DE77">
            <w:pPr>
              <w:widowControl/>
              <w:jc w:val="center"/>
              <w:rPr>
                <w:szCs w:val="21"/>
              </w:rPr>
            </w:pPr>
            <w:r>
              <w:rPr>
                <w:rFonts w:hint="eastAsia"/>
                <w:szCs w:val="21"/>
              </w:rPr>
              <w:t>1</w:t>
            </w:r>
          </w:p>
        </w:tc>
        <w:tc>
          <w:tcPr>
            <w:tcW w:w="1081" w:type="dxa"/>
            <w:vAlign w:val="center"/>
          </w:tcPr>
          <w:p w14:paraId="2DBE3AB2">
            <w:pPr>
              <w:widowControl/>
              <w:jc w:val="center"/>
              <w:rPr>
                <w:szCs w:val="21"/>
              </w:rPr>
            </w:pPr>
            <w:r>
              <w:rPr>
                <w:szCs w:val="21"/>
              </w:rPr>
              <w:t>投标</w:t>
            </w:r>
            <w:r>
              <w:rPr>
                <w:rFonts w:hint="eastAsia"/>
                <w:szCs w:val="21"/>
                <w:lang w:val="en-US" w:eastAsia="zh-CN"/>
              </w:rPr>
              <w:t>报</w:t>
            </w:r>
            <w:r>
              <w:rPr>
                <w:szCs w:val="21"/>
              </w:rPr>
              <w:t>价</w:t>
            </w:r>
          </w:p>
        </w:tc>
        <w:tc>
          <w:tcPr>
            <w:tcW w:w="709" w:type="dxa"/>
            <w:vAlign w:val="center"/>
          </w:tcPr>
          <w:p w14:paraId="75DE92BB">
            <w:pPr>
              <w:widowControl/>
              <w:jc w:val="center"/>
              <w:rPr>
                <w:bCs/>
                <w:szCs w:val="21"/>
              </w:rPr>
            </w:pPr>
            <w:r>
              <w:rPr>
                <w:bCs/>
                <w:szCs w:val="21"/>
              </w:rPr>
              <w:t>30</w:t>
            </w:r>
            <w:r>
              <w:rPr>
                <w:rFonts w:hint="eastAsia"/>
                <w:bCs/>
                <w:szCs w:val="21"/>
              </w:rPr>
              <w:t>分</w:t>
            </w:r>
          </w:p>
        </w:tc>
        <w:tc>
          <w:tcPr>
            <w:tcW w:w="7991" w:type="dxa"/>
            <w:vAlign w:val="center"/>
          </w:tcPr>
          <w:p w14:paraId="76B0087D">
            <w:pPr>
              <w:adjustRightInd w:val="0"/>
              <w:spacing w:line="360" w:lineRule="auto"/>
              <w:ind w:firstLine="420" w:firstLineChars="200"/>
              <w:jc w:val="left"/>
              <w:textAlignment w:val="baseline"/>
              <w:rPr>
                <w:rFonts w:hint="eastAsia" w:ascii="宋体" w:hAnsi="宋体"/>
                <w:szCs w:val="21"/>
              </w:rPr>
            </w:pPr>
            <w:r>
              <w:rPr>
                <w:rFonts w:hint="eastAsia" w:ascii="宋体" w:hAnsi="宋体"/>
                <w:szCs w:val="21"/>
              </w:rPr>
              <w:t>采用低价优先法计算，满足招标文件要求且有效报价最低的投标人的价格为评标基准价，其价格分为满分。其他投标人的报价得分统一按照下列公式计算：</w:t>
            </w:r>
          </w:p>
          <w:p w14:paraId="5A42ADA7">
            <w:pPr>
              <w:adjustRightInd w:val="0"/>
              <w:spacing w:line="360" w:lineRule="auto"/>
              <w:ind w:firstLine="420" w:firstLineChars="200"/>
              <w:jc w:val="left"/>
              <w:textAlignment w:val="baseline"/>
              <w:rPr>
                <w:rFonts w:hint="eastAsia" w:ascii="宋体" w:hAnsi="宋体"/>
                <w:szCs w:val="21"/>
              </w:rPr>
            </w:pPr>
            <w:r>
              <w:rPr>
                <w:rFonts w:hint="eastAsia" w:ascii="宋体" w:hAnsi="宋体"/>
                <w:szCs w:val="21"/>
              </w:rPr>
              <w:t>投标报价得分=（评标基准价/投标报价）×30分</w:t>
            </w:r>
          </w:p>
        </w:tc>
      </w:tr>
      <w:tr w14:paraId="780C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0491" w:type="dxa"/>
            <w:gridSpan w:val="4"/>
            <w:vAlign w:val="center"/>
          </w:tcPr>
          <w:p w14:paraId="31C89BC3">
            <w:pPr>
              <w:adjustRightInd w:val="0"/>
              <w:spacing w:line="360" w:lineRule="auto"/>
              <w:ind w:firstLine="422" w:firstLineChars="200"/>
              <w:jc w:val="center"/>
              <w:textAlignment w:val="baseline"/>
              <w:rPr>
                <w:rFonts w:hint="eastAsia" w:ascii="宋体" w:hAnsi="宋体"/>
                <w:szCs w:val="21"/>
              </w:rPr>
            </w:pPr>
            <w:r>
              <w:rPr>
                <w:rFonts w:hint="eastAsia"/>
                <w:b/>
                <w:szCs w:val="21"/>
              </w:rPr>
              <w:t>二、商务部分（25分）</w:t>
            </w:r>
          </w:p>
        </w:tc>
      </w:tr>
      <w:tr w14:paraId="61B93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10" w:type="dxa"/>
            <w:vAlign w:val="center"/>
          </w:tcPr>
          <w:p w14:paraId="42F3395D">
            <w:pPr>
              <w:widowControl/>
              <w:jc w:val="center"/>
              <w:rPr>
                <w:b/>
                <w:szCs w:val="21"/>
              </w:rPr>
            </w:pPr>
            <w:r>
              <w:rPr>
                <w:rFonts w:hint="eastAsia"/>
                <w:b/>
                <w:szCs w:val="21"/>
              </w:rPr>
              <w:t>1</w:t>
            </w:r>
          </w:p>
        </w:tc>
        <w:tc>
          <w:tcPr>
            <w:tcW w:w="1081" w:type="dxa"/>
            <w:vAlign w:val="center"/>
          </w:tcPr>
          <w:p w14:paraId="07EC7ABB">
            <w:pPr>
              <w:widowControl/>
              <w:jc w:val="center"/>
              <w:rPr>
                <w:b/>
                <w:szCs w:val="21"/>
              </w:rPr>
            </w:pPr>
            <w:r>
              <w:rPr>
                <w:rFonts w:hint="eastAsia"/>
                <w:bCs/>
                <w:szCs w:val="21"/>
              </w:rPr>
              <w:t>单位实力</w:t>
            </w:r>
          </w:p>
        </w:tc>
        <w:tc>
          <w:tcPr>
            <w:tcW w:w="709" w:type="dxa"/>
            <w:vAlign w:val="center"/>
          </w:tcPr>
          <w:p w14:paraId="162D1886">
            <w:pPr>
              <w:widowControl/>
              <w:jc w:val="center"/>
              <w:rPr>
                <w:rFonts w:hint="eastAsia" w:ascii="宋体" w:hAnsi="宋体" w:cs="宋体"/>
                <w:color w:val="000000"/>
                <w:szCs w:val="21"/>
                <w:lang w:bidi="ar"/>
              </w:rPr>
            </w:pPr>
            <w:r>
              <w:rPr>
                <w:rFonts w:hint="eastAsia" w:ascii="宋体" w:hAnsi="宋体" w:cs="宋体"/>
                <w:color w:val="000000"/>
                <w:szCs w:val="21"/>
                <w:lang w:bidi="ar"/>
              </w:rPr>
              <w:t>4分</w:t>
            </w:r>
          </w:p>
        </w:tc>
        <w:tc>
          <w:tcPr>
            <w:tcW w:w="7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F4C3">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1、投标人具有省级以上（含部级）认可的智慧农机技术装备重点实验室，得2分。具有市级认可智慧农机技术装备重点实验室，得1分。</w:t>
            </w:r>
          </w:p>
          <w:p w14:paraId="66B402BF">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2、投标人获得省部级及以上国家科技进步奖的得2分。具有市级科技进步奖的得1分。</w:t>
            </w:r>
          </w:p>
          <w:p w14:paraId="5C451811">
            <w:pPr>
              <w:widowControl/>
              <w:spacing w:line="360" w:lineRule="auto"/>
              <w:jc w:val="left"/>
              <w:rPr>
                <w:rFonts w:hint="default" w:ascii="宋体" w:hAnsi="宋体" w:eastAsia="宋体" w:cs="宋体"/>
                <w:color w:val="000000"/>
                <w:szCs w:val="21"/>
                <w:lang w:val="en-US" w:eastAsia="zh-CN" w:bidi="ar"/>
              </w:rPr>
            </w:pPr>
            <w:r>
              <w:rPr>
                <w:rFonts w:hint="eastAsia" w:ascii="宋体" w:hAnsi="宋体" w:cs="宋体"/>
                <w:color w:val="000000"/>
                <w:szCs w:val="21"/>
                <w:lang w:val="en-US" w:eastAsia="zh-CN" w:bidi="ar"/>
              </w:rPr>
              <w:t>以上需提供相关证明材料原件的扫描件上传在投标文件众，不提供不得分。</w:t>
            </w:r>
          </w:p>
        </w:tc>
      </w:tr>
      <w:tr w14:paraId="351D2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710" w:type="dxa"/>
            <w:vAlign w:val="center"/>
          </w:tcPr>
          <w:p w14:paraId="23E6950C">
            <w:pPr>
              <w:widowControl/>
              <w:jc w:val="center"/>
              <w:rPr>
                <w:b/>
                <w:szCs w:val="21"/>
              </w:rPr>
            </w:pPr>
            <w:r>
              <w:rPr>
                <w:rFonts w:hint="eastAsia"/>
                <w:b/>
                <w:szCs w:val="21"/>
              </w:rPr>
              <w:t>2</w:t>
            </w:r>
          </w:p>
        </w:tc>
        <w:tc>
          <w:tcPr>
            <w:tcW w:w="1081" w:type="dxa"/>
            <w:vAlign w:val="center"/>
          </w:tcPr>
          <w:p w14:paraId="5FF0C04E">
            <w:pPr>
              <w:widowControl/>
              <w:jc w:val="center"/>
              <w:rPr>
                <w:bCs/>
                <w:szCs w:val="21"/>
              </w:rPr>
            </w:pPr>
            <w:r>
              <w:rPr>
                <w:rFonts w:hint="eastAsia" w:ascii="宋体" w:hAnsi="宋体"/>
                <w:szCs w:val="21"/>
              </w:rPr>
              <w:t>人员配备</w:t>
            </w:r>
          </w:p>
        </w:tc>
        <w:tc>
          <w:tcPr>
            <w:tcW w:w="709" w:type="dxa"/>
            <w:vAlign w:val="center"/>
          </w:tcPr>
          <w:p w14:paraId="320E4D19">
            <w:pPr>
              <w:widowControl/>
              <w:jc w:val="center"/>
              <w:rPr>
                <w:rFonts w:hint="eastAsia" w:ascii="宋体" w:hAnsi="宋体" w:cs="宋体"/>
                <w:color w:val="000000"/>
                <w:szCs w:val="21"/>
                <w:lang w:bidi="ar"/>
              </w:rPr>
            </w:pPr>
            <w:r>
              <w:rPr>
                <w:rFonts w:hint="eastAsia" w:ascii="宋体" w:hAnsi="宋体" w:cs="宋体"/>
                <w:color w:val="000000"/>
                <w:szCs w:val="21"/>
                <w:lang w:bidi="ar"/>
              </w:rPr>
              <w:t>9分</w:t>
            </w:r>
          </w:p>
        </w:tc>
        <w:tc>
          <w:tcPr>
            <w:tcW w:w="7991" w:type="dxa"/>
            <w:vAlign w:val="center"/>
          </w:tcPr>
          <w:p w14:paraId="5D8AFD12">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1、技术人员配备合理，不</w:t>
            </w:r>
            <w:r>
              <w:rPr>
                <w:rFonts w:ascii="宋体" w:hAnsi="宋体" w:cs="宋体"/>
                <w:color w:val="000000"/>
                <w:szCs w:val="21"/>
                <w:lang w:bidi="ar"/>
              </w:rPr>
              <w:t>少于</w:t>
            </w:r>
            <w:r>
              <w:rPr>
                <w:rFonts w:hint="eastAsia" w:ascii="宋体" w:hAnsi="宋体" w:cs="宋体"/>
                <w:color w:val="000000"/>
                <w:szCs w:val="21"/>
                <w:lang w:bidi="ar"/>
              </w:rPr>
              <w:t>5人（含</w:t>
            </w:r>
            <w:r>
              <w:rPr>
                <w:rFonts w:ascii="宋体" w:hAnsi="宋体" w:cs="宋体"/>
                <w:color w:val="000000"/>
                <w:szCs w:val="21"/>
                <w:lang w:bidi="ar"/>
              </w:rPr>
              <w:t>组长），</w:t>
            </w:r>
            <w:r>
              <w:rPr>
                <w:rFonts w:hint="eastAsia" w:ascii="宋体" w:hAnsi="宋体" w:cs="宋体"/>
                <w:color w:val="000000"/>
                <w:szCs w:val="21"/>
                <w:lang w:bidi="ar"/>
              </w:rPr>
              <w:t>团队成员具有农</w:t>
            </w:r>
            <w:r>
              <w:rPr>
                <w:rFonts w:ascii="宋体" w:hAnsi="宋体" w:cs="宋体"/>
                <w:color w:val="000000"/>
                <w:szCs w:val="21"/>
                <w:lang w:bidi="ar"/>
              </w:rPr>
              <w:t>业机械、</w:t>
            </w:r>
            <w:r>
              <w:rPr>
                <w:rFonts w:hint="eastAsia" w:ascii="宋体" w:hAnsi="宋体" w:cs="宋体"/>
                <w:color w:val="000000"/>
                <w:szCs w:val="21"/>
                <w:lang w:bidi="ar"/>
              </w:rPr>
              <w:t>机械工程、自动化等专业背景（专业</w:t>
            </w:r>
            <w:r>
              <w:rPr>
                <w:rFonts w:ascii="宋体" w:hAnsi="宋体" w:cs="宋体"/>
                <w:color w:val="000000"/>
                <w:szCs w:val="21"/>
                <w:lang w:bidi="ar"/>
              </w:rPr>
              <w:t>背景</w:t>
            </w:r>
            <w:r>
              <w:rPr>
                <w:rFonts w:hint="eastAsia" w:ascii="宋体" w:hAnsi="宋体" w:cs="宋体"/>
                <w:color w:val="000000"/>
                <w:szCs w:val="21"/>
                <w:lang w:bidi="ar"/>
              </w:rPr>
              <w:t>以提供毕业证书</w:t>
            </w:r>
            <w:r>
              <w:rPr>
                <w:rFonts w:ascii="宋体" w:hAnsi="宋体" w:cs="宋体"/>
                <w:color w:val="000000"/>
                <w:szCs w:val="21"/>
                <w:lang w:bidi="ar"/>
              </w:rPr>
              <w:t>或学位证书复印件</w:t>
            </w:r>
            <w:r>
              <w:rPr>
                <w:rFonts w:hint="eastAsia" w:ascii="宋体" w:hAnsi="宋体" w:cs="宋体"/>
                <w:color w:val="000000"/>
                <w:szCs w:val="21"/>
                <w:lang w:bidi="ar"/>
              </w:rPr>
              <w:t>并加</w:t>
            </w:r>
            <w:r>
              <w:rPr>
                <w:rFonts w:ascii="宋体" w:hAnsi="宋体" w:cs="宋体"/>
                <w:color w:val="000000"/>
                <w:szCs w:val="21"/>
                <w:lang w:bidi="ar"/>
              </w:rPr>
              <w:t>盖公章</w:t>
            </w:r>
            <w:r>
              <w:rPr>
                <w:rFonts w:hint="eastAsia" w:ascii="宋体" w:hAnsi="宋体" w:cs="宋体"/>
                <w:color w:val="000000"/>
                <w:szCs w:val="21"/>
                <w:lang w:bidi="ar"/>
              </w:rPr>
              <w:t>扫描上传</w:t>
            </w:r>
            <w:r>
              <w:rPr>
                <w:rFonts w:ascii="宋体" w:hAnsi="宋体" w:cs="宋体"/>
                <w:color w:val="000000"/>
                <w:szCs w:val="21"/>
                <w:lang w:bidi="ar"/>
              </w:rPr>
              <w:t>）</w:t>
            </w:r>
            <w:r>
              <w:rPr>
                <w:rFonts w:hint="eastAsia" w:ascii="宋体" w:hAnsi="宋体" w:cs="宋体"/>
                <w:color w:val="000000"/>
                <w:szCs w:val="21"/>
                <w:lang w:bidi="ar"/>
              </w:rPr>
              <w:t>，技术力量满足项目要求，得5分，每缺一人扣1分；</w:t>
            </w:r>
          </w:p>
          <w:p w14:paraId="381B7CB9">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2、项目团队</w:t>
            </w:r>
            <w:r>
              <w:rPr>
                <w:rFonts w:ascii="宋体" w:hAnsi="宋体" w:cs="宋体"/>
                <w:color w:val="000000"/>
                <w:szCs w:val="21"/>
                <w:lang w:bidi="ar"/>
              </w:rPr>
              <w:t>人员</w:t>
            </w:r>
            <w:r>
              <w:rPr>
                <w:rFonts w:hint="eastAsia" w:ascii="宋体" w:hAnsi="宋体" w:cs="宋体"/>
                <w:color w:val="000000"/>
                <w:szCs w:val="21"/>
                <w:lang w:bidi="ar"/>
              </w:rPr>
              <w:t>配备有1名副高级职称人员得2分，最多得4分，提供</w:t>
            </w:r>
            <w:r>
              <w:rPr>
                <w:rFonts w:ascii="宋体" w:hAnsi="宋体" w:cs="宋体"/>
                <w:color w:val="000000"/>
                <w:szCs w:val="21"/>
                <w:lang w:bidi="ar"/>
              </w:rPr>
              <w:t>职称证书复印件加盖单位公章</w:t>
            </w:r>
            <w:r>
              <w:rPr>
                <w:rFonts w:hint="eastAsia" w:ascii="宋体" w:hAnsi="宋体" w:cs="宋体"/>
                <w:color w:val="000000"/>
                <w:szCs w:val="21"/>
                <w:lang w:bidi="ar"/>
              </w:rPr>
              <w:t>扫描上传。</w:t>
            </w:r>
          </w:p>
          <w:p w14:paraId="69B08CF9">
            <w:pPr>
              <w:spacing w:line="360" w:lineRule="auto"/>
              <w:rPr>
                <w:rFonts w:hint="eastAsia" w:ascii="宋体" w:hAnsi="宋体" w:cs="宋体"/>
                <w:color w:val="000000"/>
                <w:szCs w:val="21"/>
                <w:lang w:bidi="ar"/>
              </w:rPr>
            </w:pPr>
            <w:r>
              <w:rPr>
                <w:rFonts w:hint="eastAsia" w:ascii="宋体" w:hAnsi="宋体" w:cs="宋体"/>
                <w:color w:val="000000"/>
                <w:szCs w:val="21"/>
                <w:lang w:bidi="ar"/>
              </w:rPr>
              <w:t>以上团</w:t>
            </w:r>
            <w:r>
              <w:rPr>
                <w:rFonts w:ascii="宋体" w:hAnsi="宋体" w:cs="宋体"/>
                <w:color w:val="000000"/>
                <w:szCs w:val="21"/>
                <w:lang w:bidi="ar"/>
              </w:rPr>
              <w:t>队</w:t>
            </w:r>
            <w:r>
              <w:rPr>
                <w:rFonts w:hint="eastAsia" w:ascii="宋体" w:hAnsi="宋体" w:cs="宋体"/>
                <w:color w:val="000000"/>
                <w:szCs w:val="21"/>
                <w:lang w:bidi="ar"/>
              </w:rPr>
              <w:t>所有人员均需提供在投标单位202</w:t>
            </w:r>
            <w:r>
              <w:rPr>
                <w:rFonts w:hint="eastAsia" w:ascii="宋体" w:hAnsi="宋体" w:cs="宋体"/>
                <w:color w:val="000000"/>
                <w:szCs w:val="21"/>
                <w:lang w:val="en-US" w:eastAsia="zh-CN" w:bidi="ar"/>
              </w:rPr>
              <w:t>5</w:t>
            </w:r>
            <w:r>
              <w:rPr>
                <w:rFonts w:hint="eastAsia" w:ascii="宋体" w:hAnsi="宋体" w:cs="宋体"/>
                <w:color w:val="000000"/>
                <w:szCs w:val="21"/>
                <w:lang w:bidi="ar"/>
              </w:rPr>
              <w:t>年</w:t>
            </w:r>
            <w:r>
              <w:rPr>
                <w:rFonts w:hint="eastAsia" w:ascii="宋体" w:hAnsi="宋体" w:cs="宋体"/>
                <w:color w:val="000000"/>
                <w:szCs w:val="21"/>
                <w:lang w:val="en-US" w:eastAsia="zh-CN" w:bidi="ar"/>
              </w:rPr>
              <w:t>1</w:t>
            </w:r>
            <w:r>
              <w:rPr>
                <w:rFonts w:hint="eastAsia" w:ascii="宋体" w:hAnsi="宋体" w:cs="宋体"/>
                <w:color w:val="000000"/>
                <w:szCs w:val="21"/>
                <w:lang w:bidi="ar"/>
              </w:rPr>
              <w:t>月份的社保缴纳证明材料并加</w:t>
            </w:r>
            <w:r>
              <w:rPr>
                <w:rFonts w:ascii="宋体" w:hAnsi="宋体" w:cs="宋体"/>
                <w:color w:val="000000"/>
                <w:szCs w:val="21"/>
                <w:lang w:bidi="ar"/>
              </w:rPr>
              <w:t>盖</w:t>
            </w:r>
            <w:r>
              <w:rPr>
                <w:rFonts w:hint="eastAsia" w:ascii="宋体" w:hAnsi="宋体" w:cs="宋体"/>
                <w:color w:val="000000"/>
                <w:szCs w:val="21"/>
                <w:lang w:bidi="ar"/>
              </w:rPr>
              <w:t>社保中心</w:t>
            </w:r>
            <w:r>
              <w:rPr>
                <w:rFonts w:ascii="宋体" w:hAnsi="宋体" w:cs="宋体"/>
                <w:color w:val="000000"/>
                <w:szCs w:val="21"/>
                <w:lang w:bidi="ar"/>
              </w:rPr>
              <w:t>公章</w:t>
            </w:r>
            <w:r>
              <w:rPr>
                <w:rFonts w:hint="eastAsia" w:ascii="宋体" w:hAnsi="宋体" w:cs="宋体"/>
                <w:color w:val="000000"/>
                <w:szCs w:val="21"/>
                <w:lang w:bidi="ar"/>
              </w:rPr>
              <w:t>扫描上传。</w:t>
            </w:r>
          </w:p>
        </w:tc>
      </w:tr>
      <w:tr w14:paraId="69A38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710" w:type="dxa"/>
            <w:vAlign w:val="center"/>
          </w:tcPr>
          <w:p w14:paraId="72AEF6F6">
            <w:pPr>
              <w:widowControl/>
              <w:jc w:val="center"/>
              <w:rPr>
                <w:b/>
                <w:szCs w:val="21"/>
              </w:rPr>
            </w:pPr>
            <w:r>
              <w:rPr>
                <w:rFonts w:hint="eastAsia"/>
                <w:b/>
                <w:szCs w:val="21"/>
              </w:rPr>
              <w:t>3</w:t>
            </w:r>
          </w:p>
        </w:tc>
        <w:tc>
          <w:tcPr>
            <w:tcW w:w="1081" w:type="dxa"/>
            <w:vAlign w:val="center"/>
          </w:tcPr>
          <w:p w14:paraId="3D453547">
            <w:pPr>
              <w:widowControl/>
              <w:jc w:val="center"/>
              <w:rPr>
                <w:rFonts w:hint="eastAsia" w:ascii="宋体" w:hAnsi="宋体"/>
                <w:szCs w:val="21"/>
              </w:rPr>
            </w:pPr>
            <w:r>
              <w:rPr>
                <w:rFonts w:hint="eastAsia" w:ascii="宋体" w:hAnsi="宋体"/>
                <w:szCs w:val="21"/>
              </w:rPr>
              <w:t>售后质保</w:t>
            </w:r>
          </w:p>
        </w:tc>
        <w:tc>
          <w:tcPr>
            <w:tcW w:w="709" w:type="dxa"/>
            <w:vAlign w:val="center"/>
          </w:tcPr>
          <w:p w14:paraId="2319ACA7">
            <w:pPr>
              <w:widowControl/>
              <w:jc w:val="center"/>
              <w:rPr>
                <w:rFonts w:hint="eastAsia" w:ascii="宋体" w:hAnsi="宋体"/>
                <w:szCs w:val="21"/>
              </w:rPr>
            </w:pPr>
            <w:r>
              <w:rPr>
                <w:rFonts w:hint="eastAsia" w:ascii="宋体" w:hAnsi="宋体"/>
                <w:szCs w:val="21"/>
              </w:rPr>
              <w:t>2分</w:t>
            </w:r>
          </w:p>
        </w:tc>
        <w:tc>
          <w:tcPr>
            <w:tcW w:w="7991" w:type="dxa"/>
            <w:vAlign w:val="center"/>
          </w:tcPr>
          <w:p w14:paraId="2B013D90">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本项目质保期为2年，在此基础上承诺每增加一年得1分，最高得2分。提供承诺，不提供不得分。</w:t>
            </w:r>
          </w:p>
        </w:tc>
      </w:tr>
      <w:tr w14:paraId="2417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710" w:type="dxa"/>
            <w:vAlign w:val="center"/>
          </w:tcPr>
          <w:p w14:paraId="264792FD">
            <w:pPr>
              <w:widowControl/>
              <w:jc w:val="center"/>
              <w:rPr>
                <w:b/>
                <w:szCs w:val="21"/>
              </w:rPr>
            </w:pPr>
            <w:r>
              <w:rPr>
                <w:rFonts w:hint="eastAsia"/>
                <w:b/>
                <w:szCs w:val="21"/>
              </w:rPr>
              <w:t>4</w:t>
            </w:r>
          </w:p>
        </w:tc>
        <w:tc>
          <w:tcPr>
            <w:tcW w:w="1081" w:type="dxa"/>
            <w:vAlign w:val="center"/>
          </w:tcPr>
          <w:p w14:paraId="22DEBF11">
            <w:pPr>
              <w:widowControl/>
              <w:jc w:val="center"/>
              <w:rPr>
                <w:rFonts w:hint="eastAsia" w:ascii="宋体" w:hAnsi="宋体"/>
                <w:szCs w:val="21"/>
              </w:rPr>
            </w:pPr>
            <w:r>
              <w:rPr>
                <w:rFonts w:hint="eastAsia" w:ascii="宋体" w:hAnsi="宋体"/>
                <w:szCs w:val="21"/>
              </w:rPr>
              <w:t>业绩</w:t>
            </w:r>
          </w:p>
        </w:tc>
        <w:tc>
          <w:tcPr>
            <w:tcW w:w="709" w:type="dxa"/>
            <w:vAlign w:val="center"/>
          </w:tcPr>
          <w:p w14:paraId="5654A9C5">
            <w:pPr>
              <w:widowControl/>
              <w:jc w:val="center"/>
              <w:rPr>
                <w:rFonts w:hint="eastAsia" w:ascii="宋体" w:hAnsi="宋体"/>
                <w:szCs w:val="21"/>
              </w:rPr>
            </w:pPr>
            <w:r>
              <w:rPr>
                <w:rFonts w:hint="eastAsia" w:ascii="宋体" w:hAnsi="宋体"/>
                <w:szCs w:val="21"/>
              </w:rPr>
              <w:t>10分</w:t>
            </w:r>
          </w:p>
        </w:tc>
        <w:tc>
          <w:tcPr>
            <w:tcW w:w="7991" w:type="dxa"/>
            <w:vAlign w:val="center"/>
          </w:tcPr>
          <w:p w14:paraId="0901C60F">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投标人提供自 2021 年 1月 以来承接过类似项目的业绩(以合同签订时间为准），每提供一份得 2分，满分10分。（需提供合同及验收凭证原件的扫描件上传）</w:t>
            </w:r>
          </w:p>
        </w:tc>
      </w:tr>
      <w:tr w14:paraId="53783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491" w:type="dxa"/>
            <w:gridSpan w:val="4"/>
            <w:vAlign w:val="center"/>
          </w:tcPr>
          <w:p w14:paraId="79CD490C">
            <w:pPr>
              <w:widowControl/>
              <w:spacing w:line="360" w:lineRule="auto"/>
              <w:jc w:val="center"/>
              <w:rPr>
                <w:b/>
                <w:szCs w:val="21"/>
              </w:rPr>
            </w:pPr>
            <w:r>
              <w:rPr>
                <w:rFonts w:hint="eastAsia"/>
                <w:b/>
                <w:szCs w:val="21"/>
              </w:rPr>
              <w:t>三、技术方案（45分）</w:t>
            </w:r>
          </w:p>
        </w:tc>
      </w:tr>
      <w:tr w14:paraId="23E7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710" w:type="dxa"/>
            <w:vAlign w:val="center"/>
          </w:tcPr>
          <w:p w14:paraId="46A7B80C">
            <w:pPr>
              <w:widowControl/>
              <w:spacing w:line="360" w:lineRule="auto"/>
              <w:jc w:val="center"/>
              <w:rPr>
                <w:b/>
                <w:szCs w:val="21"/>
              </w:rPr>
            </w:pPr>
            <w:r>
              <w:rPr>
                <w:rFonts w:hint="eastAsia"/>
                <w:b/>
                <w:szCs w:val="21"/>
              </w:rPr>
              <w:t>1</w:t>
            </w:r>
          </w:p>
        </w:tc>
        <w:tc>
          <w:tcPr>
            <w:tcW w:w="1081" w:type="dxa"/>
            <w:vAlign w:val="center"/>
          </w:tcPr>
          <w:p w14:paraId="2B4C7A14">
            <w:pPr>
              <w:widowControl/>
              <w:jc w:val="center"/>
              <w:rPr>
                <w:rFonts w:hint="eastAsia" w:ascii="宋体" w:hAnsi="宋体"/>
                <w:szCs w:val="21"/>
              </w:rPr>
            </w:pPr>
            <w:r>
              <w:rPr>
                <w:rFonts w:hint="eastAsia" w:ascii="宋体" w:hAnsi="宋体"/>
                <w:szCs w:val="21"/>
              </w:rPr>
              <w:t>产品功能、性能、配置要求</w:t>
            </w:r>
          </w:p>
        </w:tc>
        <w:tc>
          <w:tcPr>
            <w:tcW w:w="709" w:type="dxa"/>
            <w:vAlign w:val="center"/>
          </w:tcPr>
          <w:p w14:paraId="2FF42350">
            <w:pPr>
              <w:widowControl/>
              <w:spacing w:line="360" w:lineRule="auto"/>
              <w:jc w:val="center"/>
              <w:rPr>
                <w:rFonts w:hint="eastAsia" w:ascii="宋体" w:hAnsi="宋体"/>
                <w:szCs w:val="21"/>
              </w:rPr>
            </w:pPr>
            <w:r>
              <w:rPr>
                <w:rFonts w:hint="eastAsia" w:ascii="宋体" w:hAnsi="宋体"/>
                <w:szCs w:val="21"/>
              </w:rPr>
              <w:t>10分</w:t>
            </w:r>
          </w:p>
        </w:tc>
        <w:tc>
          <w:tcPr>
            <w:tcW w:w="7991" w:type="dxa"/>
            <w:vAlign w:val="center"/>
          </w:tcPr>
          <w:p w14:paraId="43FB89EE">
            <w:pPr>
              <w:widowControl/>
              <w:spacing w:line="360" w:lineRule="auto"/>
              <w:jc w:val="left"/>
              <w:rPr>
                <w:rFonts w:hint="eastAsia" w:ascii="宋体" w:hAnsi="宋体" w:cs="宋体"/>
                <w:szCs w:val="21"/>
              </w:rPr>
            </w:pPr>
            <w:r>
              <w:rPr>
                <w:rFonts w:hint="eastAsia" w:ascii="宋体" w:hAnsi="宋体" w:cs="宋体"/>
                <w:color w:val="000000"/>
                <w:szCs w:val="21"/>
                <w:lang w:bidi="ar"/>
              </w:rPr>
              <w:t>技术参数全部满足招标要求的得满分 10分；标注★指标为必须满足项，如有负偏离将作为无效投标；标注▲的为重要参数项，有一项负偏离扣</w:t>
            </w:r>
            <w:r>
              <w:rPr>
                <w:rFonts w:ascii="宋体" w:hAnsi="宋体" w:cs="宋体"/>
                <w:color w:val="000000"/>
                <w:szCs w:val="21"/>
                <w:lang w:bidi="ar"/>
              </w:rPr>
              <w:t>1</w:t>
            </w:r>
            <w:r>
              <w:rPr>
                <w:rFonts w:hint="eastAsia" w:ascii="宋体" w:hAnsi="宋体" w:cs="宋体"/>
                <w:color w:val="000000"/>
                <w:szCs w:val="21"/>
                <w:lang w:bidi="ar"/>
              </w:rPr>
              <w:t>分，其他为普通参数项，有一项负偏离扣0.</w:t>
            </w:r>
            <w:r>
              <w:rPr>
                <w:rFonts w:ascii="宋体" w:hAnsi="宋体" w:cs="宋体"/>
                <w:color w:val="000000"/>
                <w:szCs w:val="21"/>
                <w:lang w:bidi="ar"/>
              </w:rPr>
              <w:t>5</w:t>
            </w:r>
            <w:r>
              <w:rPr>
                <w:rFonts w:hint="eastAsia" w:ascii="宋体" w:hAnsi="宋体" w:cs="宋体"/>
                <w:color w:val="000000"/>
                <w:szCs w:val="21"/>
                <w:lang w:bidi="ar"/>
              </w:rPr>
              <w:t>分，</w:t>
            </w:r>
            <w:r>
              <w:rPr>
                <w:rFonts w:ascii="宋体" w:hAnsi="宋体" w:cs="宋体"/>
                <w:color w:val="000000"/>
                <w:szCs w:val="21"/>
                <w:lang w:bidi="ar"/>
              </w:rPr>
              <w:t>扣完为</w:t>
            </w:r>
            <w:r>
              <w:rPr>
                <w:rFonts w:hint="eastAsia" w:ascii="宋体" w:hAnsi="宋体" w:cs="宋体"/>
                <w:color w:val="000000"/>
                <w:szCs w:val="21"/>
                <w:lang w:bidi="ar"/>
              </w:rPr>
              <w:t>止。</w:t>
            </w:r>
          </w:p>
        </w:tc>
      </w:tr>
      <w:tr w14:paraId="5B03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0" w:type="dxa"/>
            <w:vAlign w:val="center"/>
          </w:tcPr>
          <w:p w14:paraId="0D45B442">
            <w:pPr>
              <w:widowControl/>
              <w:spacing w:line="360" w:lineRule="auto"/>
              <w:jc w:val="center"/>
              <w:rPr>
                <w:rFonts w:hint="eastAsia" w:ascii="宋体" w:hAnsi="宋体"/>
                <w:b/>
                <w:szCs w:val="21"/>
              </w:rPr>
            </w:pPr>
            <w:r>
              <w:rPr>
                <w:rFonts w:hint="eastAsia" w:ascii="宋体" w:hAnsi="宋体"/>
                <w:b/>
                <w:szCs w:val="21"/>
              </w:rPr>
              <w:t>2</w:t>
            </w:r>
          </w:p>
        </w:tc>
        <w:tc>
          <w:tcPr>
            <w:tcW w:w="1081" w:type="dxa"/>
            <w:vAlign w:val="center"/>
          </w:tcPr>
          <w:p w14:paraId="4620F648">
            <w:pPr>
              <w:widowControl/>
              <w:spacing w:line="360" w:lineRule="auto"/>
              <w:jc w:val="center"/>
              <w:rPr>
                <w:rFonts w:hint="eastAsia" w:ascii="宋体" w:hAnsi="宋体"/>
                <w:szCs w:val="21"/>
              </w:rPr>
            </w:pPr>
            <w:r>
              <w:rPr>
                <w:rFonts w:hint="eastAsia" w:ascii="宋体" w:hAnsi="宋体" w:cs="宋体"/>
                <w:color w:val="000000"/>
                <w:szCs w:val="21"/>
                <w:lang w:bidi="ar"/>
              </w:rPr>
              <w:t>技术方案</w:t>
            </w:r>
          </w:p>
        </w:tc>
        <w:tc>
          <w:tcPr>
            <w:tcW w:w="709" w:type="dxa"/>
            <w:vAlign w:val="center"/>
          </w:tcPr>
          <w:p w14:paraId="79950BBC">
            <w:pPr>
              <w:widowControl/>
              <w:spacing w:line="360" w:lineRule="auto"/>
              <w:jc w:val="center"/>
              <w:rPr>
                <w:rFonts w:hint="eastAsia" w:ascii="宋体" w:hAnsi="宋体"/>
                <w:szCs w:val="21"/>
              </w:rPr>
            </w:pPr>
            <w:r>
              <w:rPr>
                <w:rFonts w:hint="eastAsia" w:ascii="宋体" w:hAnsi="宋体"/>
                <w:szCs w:val="21"/>
              </w:rPr>
              <w:t>10分</w:t>
            </w:r>
          </w:p>
        </w:tc>
        <w:tc>
          <w:tcPr>
            <w:tcW w:w="7991" w:type="dxa"/>
            <w:vAlign w:val="center"/>
          </w:tcPr>
          <w:p w14:paraId="4AD041A1">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根据投标人提供的针对本项目实际需求给出合理的技术方案（包含对项目需求理解、技术路线、关键技术分析等）综合评分：</w:t>
            </w:r>
          </w:p>
          <w:p w14:paraId="32729455">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 xml:space="preserve">1.技术方案内容非常完整详实，思路清晰，分析透彻，可行性强得10分。（包含项目背景、项目现状分析、技术路线、关键技术及创新点等） </w:t>
            </w:r>
          </w:p>
          <w:p w14:paraId="70B1485C">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2.技术方案内容基本完整，思路基本清晰，分析相对透彻，具有基本可行性。包含主要技术特点、技术路线，但细节不够充分，项目紧密性不强，技术先进性不突出，具备进一步优化的空间得</w:t>
            </w:r>
            <w:r>
              <w:rPr>
                <w:rFonts w:hint="eastAsia" w:ascii="宋体" w:hAnsi="宋体" w:cs="宋体"/>
                <w:color w:val="000000"/>
                <w:szCs w:val="21"/>
                <w:lang w:val="en-US" w:eastAsia="zh-CN" w:bidi="ar"/>
              </w:rPr>
              <w:t>8</w:t>
            </w:r>
            <w:r>
              <w:rPr>
                <w:rFonts w:hint="eastAsia" w:ascii="宋体" w:hAnsi="宋体" w:cs="宋体"/>
                <w:color w:val="000000"/>
                <w:szCs w:val="21"/>
                <w:lang w:bidi="ar"/>
              </w:rPr>
              <w:t>分。</w:t>
            </w:r>
          </w:p>
          <w:p w14:paraId="38060BEB">
            <w:pPr>
              <w:widowControl/>
              <w:spacing w:line="360" w:lineRule="auto"/>
              <w:jc w:val="left"/>
              <w:rPr>
                <w:rFonts w:hint="eastAsia" w:ascii="宋体" w:hAnsi="宋体" w:cs="宋体"/>
                <w:szCs w:val="21"/>
              </w:rPr>
            </w:pPr>
            <w:r>
              <w:rPr>
                <w:rFonts w:hint="eastAsia" w:ascii="宋体" w:hAnsi="宋体" w:cs="宋体"/>
                <w:color w:val="000000"/>
                <w:szCs w:val="21"/>
                <w:lang w:bidi="ar"/>
              </w:rPr>
              <w:t>3.技术方案内容不完整，分析有偏差，不具备可行性。仅包括项目需求理解、简单的技术陈述，不具备技术先进性和创新性分析得</w:t>
            </w:r>
            <w:r>
              <w:rPr>
                <w:rFonts w:hint="eastAsia" w:ascii="宋体" w:hAnsi="宋体" w:cs="宋体"/>
                <w:color w:val="000000"/>
                <w:szCs w:val="21"/>
                <w:lang w:val="en-US" w:eastAsia="zh-CN" w:bidi="ar"/>
              </w:rPr>
              <w:t>6</w:t>
            </w:r>
            <w:r>
              <w:rPr>
                <w:rFonts w:hint="eastAsia" w:ascii="宋体" w:hAnsi="宋体" w:cs="宋体"/>
                <w:color w:val="000000"/>
                <w:szCs w:val="21"/>
                <w:lang w:bidi="ar"/>
              </w:rPr>
              <w:t>分。不提供方案不得分。</w:t>
            </w:r>
          </w:p>
        </w:tc>
      </w:tr>
      <w:tr w14:paraId="6EF7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710" w:type="dxa"/>
            <w:vAlign w:val="center"/>
          </w:tcPr>
          <w:p w14:paraId="433CD854">
            <w:pPr>
              <w:widowControl/>
              <w:spacing w:line="360" w:lineRule="auto"/>
              <w:jc w:val="center"/>
              <w:rPr>
                <w:rFonts w:hint="eastAsia" w:ascii="宋体" w:hAnsi="宋体"/>
                <w:b/>
                <w:szCs w:val="21"/>
              </w:rPr>
            </w:pPr>
            <w:r>
              <w:rPr>
                <w:rFonts w:hint="eastAsia" w:ascii="宋体" w:hAnsi="宋体"/>
                <w:b/>
                <w:szCs w:val="21"/>
              </w:rPr>
              <w:t>3</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3DF84">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rPr>
              <w:t>安装、调试方案</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8BFE">
            <w:pPr>
              <w:widowControl/>
              <w:spacing w:line="360" w:lineRule="auto"/>
              <w:jc w:val="center"/>
              <w:rPr>
                <w:rFonts w:hint="eastAsia" w:ascii="宋体" w:hAnsi="宋体"/>
                <w:szCs w:val="21"/>
              </w:rPr>
            </w:pPr>
            <w:r>
              <w:rPr>
                <w:rFonts w:hint="eastAsia" w:ascii="宋体" w:hAnsi="宋体"/>
                <w:szCs w:val="21"/>
              </w:rPr>
              <w:t>7分</w:t>
            </w:r>
          </w:p>
        </w:tc>
        <w:tc>
          <w:tcPr>
            <w:tcW w:w="7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6BEBE">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根据投标人提供的针对本项目的安装调试计划方案（包含供货计划、系统安装计划安排等）综合评分：</w:t>
            </w:r>
          </w:p>
          <w:p w14:paraId="24E04B87">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1.安装调试计划非常全面、合理可行、清晰明确。包含详细的供货计划、安装步骤、时间表和应急预案。计划考虑到了各种可能的风险因素，并提供了相应的解决方案的得7分。</w:t>
            </w:r>
          </w:p>
          <w:p w14:paraId="4BBE3EFA">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2.安装调试计划基本全面、合理可行、清晰明确。包含主要的供货计划和系统安装步骤，但细节不够详尽。虽然考虑了一些风险因素，但应对措施不够具体。描述较为简单的得5分。</w:t>
            </w:r>
          </w:p>
          <w:p w14:paraId="74940E5D">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3.安装调试计划不全面、不合理可行、不清晰明确。仅包含基础信息，很多重要环节缺失或描述模糊。没有充分考虑到潜在的风险因素，缺乏应对措施。计划杂乱无章，难以执行的得3分。不提供方案不得分。</w:t>
            </w:r>
          </w:p>
        </w:tc>
      </w:tr>
      <w:tr w14:paraId="41E2F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0" w:type="dxa"/>
            <w:vAlign w:val="center"/>
          </w:tcPr>
          <w:p w14:paraId="39C5E6C8">
            <w:pPr>
              <w:widowControl/>
              <w:spacing w:line="360" w:lineRule="auto"/>
              <w:jc w:val="center"/>
              <w:rPr>
                <w:rFonts w:hint="eastAsia" w:ascii="宋体" w:hAnsi="宋体"/>
                <w:b/>
                <w:szCs w:val="21"/>
              </w:rPr>
            </w:pPr>
            <w:r>
              <w:rPr>
                <w:rFonts w:hint="eastAsia" w:ascii="宋体" w:hAnsi="宋体"/>
                <w:b/>
                <w:szCs w:val="21"/>
              </w:rPr>
              <w:t>4</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35B8C">
            <w:pPr>
              <w:widowControl/>
              <w:spacing w:line="360" w:lineRule="auto"/>
              <w:jc w:val="left"/>
              <w:rPr>
                <w:rFonts w:hint="eastAsia" w:ascii="宋体" w:hAnsi="宋体"/>
                <w:szCs w:val="21"/>
              </w:rPr>
            </w:pPr>
            <w:r>
              <w:rPr>
                <w:rFonts w:hint="eastAsia" w:ascii="宋体" w:hAnsi="宋体" w:cs="宋体"/>
                <w:color w:val="000000"/>
                <w:szCs w:val="21"/>
              </w:rPr>
              <w:t>使用培训方案</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0258">
            <w:pPr>
              <w:widowControl/>
              <w:spacing w:line="360" w:lineRule="auto"/>
              <w:jc w:val="center"/>
              <w:rPr>
                <w:rFonts w:hint="eastAsia" w:ascii="宋体" w:hAnsi="宋体"/>
                <w:szCs w:val="21"/>
              </w:rPr>
            </w:pPr>
            <w:r>
              <w:rPr>
                <w:rFonts w:hint="eastAsia" w:ascii="宋体" w:hAnsi="宋体"/>
                <w:szCs w:val="21"/>
              </w:rPr>
              <w:t>7分</w:t>
            </w:r>
          </w:p>
        </w:tc>
        <w:tc>
          <w:tcPr>
            <w:tcW w:w="7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DE959">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根据投标人提供的针对本项目的日常使用培训方案（包含培训内容、培训计划、培训人员配备等）综合评分：</w:t>
            </w:r>
          </w:p>
          <w:p w14:paraId="3AFDA5F8">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1.培训方案非常全面、合理可行、清晰明确。包括操作员培训、管理人员培训等多个层次的内容。培训材料丰富多样，形式灵活，包括线上课程、实操训练等得7分。</w:t>
            </w:r>
          </w:p>
          <w:p w14:paraId="2FD4DC22">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2.培训方案基本全面、合理可行、清晰明确。包含了主要的培训内容，但细节不够详尽。培训材料较为单一，形式较为传统得5分。</w:t>
            </w:r>
          </w:p>
          <w:p w14:paraId="0ABE4ED5">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3.培训方案不全面、不合理可行、不清晰明确。仅包含基础的培训信息得3分。不提供方案不得分。</w:t>
            </w:r>
          </w:p>
        </w:tc>
      </w:tr>
      <w:tr w14:paraId="639C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0" w:type="dxa"/>
            <w:vAlign w:val="center"/>
          </w:tcPr>
          <w:p w14:paraId="5529A884">
            <w:pPr>
              <w:widowControl/>
              <w:spacing w:line="360" w:lineRule="auto"/>
              <w:jc w:val="center"/>
              <w:rPr>
                <w:rFonts w:hint="eastAsia" w:ascii="宋体" w:hAnsi="宋体"/>
                <w:b/>
                <w:szCs w:val="21"/>
              </w:rPr>
            </w:pPr>
            <w:r>
              <w:rPr>
                <w:rFonts w:hint="eastAsia" w:ascii="宋体" w:hAnsi="宋体"/>
                <w:b/>
                <w:szCs w:val="21"/>
              </w:rPr>
              <w:t>5</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BA80">
            <w:pPr>
              <w:widowControl/>
              <w:spacing w:line="360" w:lineRule="auto"/>
              <w:jc w:val="left"/>
              <w:rPr>
                <w:rFonts w:hint="eastAsia" w:ascii="宋体" w:hAnsi="宋体"/>
                <w:szCs w:val="21"/>
              </w:rPr>
            </w:pPr>
            <w:r>
              <w:rPr>
                <w:rFonts w:hint="eastAsia" w:ascii="宋体" w:hAnsi="宋体" w:cs="宋体"/>
                <w:szCs w:val="21"/>
              </w:rPr>
              <w:t>接口方案</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9A594">
            <w:pPr>
              <w:widowControl/>
              <w:spacing w:line="360" w:lineRule="auto"/>
              <w:jc w:val="center"/>
              <w:rPr>
                <w:rFonts w:hint="eastAsia" w:ascii="宋体" w:hAnsi="宋体"/>
                <w:szCs w:val="21"/>
              </w:rPr>
            </w:pPr>
            <w:r>
              <w:rPr>
                <w:rFonts w:hint="eastAsia" w:ascii="宋体" w:hAnsi="宋体"/>
                <w:szCs w:val="21"/>
              </w:rPr>
              <w:t>6分</w:t>
            </w:r>
          </w:p>
        </w:tc>
        <w:tc>
          <w:tcPr>
            <w:tcW w:w="7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D2256">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 xml:space="preserve">针对本项目，提供详细的与苏农云数据平台对接方案，投标人须提供项目实施过程中的数据对接方案，（包含数据接口对接协议、在线联调方案等）方面要求详细、合理，可落地执行。 </w:t>
            </w:r>
            <w:r>
              <w:rPr>
                <w:rFonts w:ascii="宋体" w:hAnsi="宋体" w:cs="宋体"/>
                <w:color w:val="000000"/>
                <w:szCs w:val="21"/>
                <w:lang w:bidi="ar"/>
              </w:rPr>
              <w:t xml:space="preserve"> </w:t>
            </w:r>
          </w:p>
          <w:p w14:paraId="679B302E">
            <w:pPr>
              <w:widowControl/>
              <w:tabs>
                <w:tab w:val="left" w:pos="312"/>
              </w:tabs>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1.接口方案内容非常完整详实、合理、可行强，分析透彻。包括数据对接人员配备，后期运维方案以及数据的安全性保障等得6分。</w:t>
            </w:r>
          </w:p>
          <w:p w14:paraId="47944720">
            <w:pPr>
              <w:widowControl/>
              <w:tabs>
                <w:tab w:val="left" w:pos="312"/>
              </w:tabs>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2.接口方案内容基本完整，分析贴近项目实际，具有较强可行性。包含接口对接的主要内容，但细节不够详尽。人员配备比较随意，没有系统的安全保障方案得4分。</w:t>
            </w:r>
          </w:p>
          <w:p w14:paraId="23C1F9E1">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3.接口方案内容不完善，分析有偏差，可行性不强。仅包含基础的接口对接信息得2分。不提供方案不得分。</w:t>
            </w:r>
          </w:p>
        </w:tc>
      </w:tr>
      <w:tr w14:paraId="1058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10" w:type="dxa"/>
            <w:vAlign w:val="center"/>
          </w:tcPr>
          <w:p w14:paraId="4BEB9529">
            <w:pPr>
              <w:widowControl/>
              <w:spacing w:line="360" w:lineRule="auto"/>
              <w:jc w:val="center"/>
              <w:rPr>
                <w:rFonts w:hint="eastAsia" w:ascii="宋体" w:hAnsi="宋体"/>
                <w:b/>
                <w:szCs w:val="21"/>
              </w:rPr>
            </w:pPr>
            <w:r>
              <w:rPr>
                <w:rFonts w:hint="eastAsia" w:ascii="宋体" w:hAnsi="宋体"/>
                <w:b/>
                <w:szCs w:val="21"/>
              </w:rPr>
              <w:t>6</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353D">
            <w:pPr>
              <w:widowControl/>
              <w:spacing w:line="360" w:lineRule="auto"/>
              <w:jc w:val="left"/>
              <w:rPr>
                <w:rFonts w:hint="eastAsia" w:ascii="宋体" w:hAnsi="宋体" w:cs="宋体"/>
                <w:szCs w:val="21"/>
              </w:rPr>
            </w:pPr>
            <w:r>
              <w:rPr>
                <w:rFonts w:hint="eastAsia" w:ascii="宋体" w:hAnsi="宋体" w:cs="宋体"/>
                <w:color w:val="000000"/>
                <w:szCs w:val="21"/>
              </w:rPr>
              <w:t>维保服务方案</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3BD9">
            <w:pPr>
              <w:widowControl/>
              <w:spacing w:line="360" w:lineRule="auto"/>
              <w:jc w:val="center"/>
              <w:rPr>
                <w:rFonts w:hint="eastAsia" w:ascii="宋体" w:hAnsi="宋体"/>
                <w:szCs w:val="21"/>
              </w:rPr>
            </w:pPr>
            <w:r>
              <w:rPr>
                <w:rFonts w:hint="eastAsia" w:ascii="宋体" w:hAnsi="宋体"/>
                <w:szCs w:val="21"/>
              </w:rPr>
              <w:t>5分</w:t>
            </w:r>
          </w:p>
        </w:tc>
        <w:tc>
          <w:tcPr>
            <w:tcW w:w="7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68BB5">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根据投标人提供的针对本项目的售后服务及维保培训方案（包含售后服务、维保培训计划安排等）综合评分：</w:t>
            </w:r>
          </w:p>
          <w:p w14:paraId="269A8795">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1.维保服务方案非常全面、合理可行、清晰明确。包括定期检查、远程监控、故障响应机制等详细内容。提供了明确的服务流程和服务标准。承诺快速响应时间和高效的解决方案得5分。</w:t>
            </w:r>
          </w:p>
          <w:p w14:paraId="1150171B">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2.维保服务方案基本全面、合理可行、清晰明确。包含了主要的服务内容，但细节不够详尽。服务流程和服务标准较为简单，需要进一步完善。响应时间和解决方案较为合理，但可改进得3分。</w:t>
            </w:r>
          </w:p>
          <w:p w14:paraId="5005FA1A">
            <w:pPr>
              <w:widowControl/>
              <w:spacing w:line="360" w:lineRule="auto"/>
              <w:jc w:val="left"/>
              <w:rPr>
                <w:rFonts w:hint="eastAsia" w:ascii="宋体" w:hAnsi="宋体" w:cs="宋体"/>
                <w:color w:val="000000"/>
                <w:szCs w:val="21"/>
                <w:lang w:bidi="ar"/>
              </w:rPr>
            </w:pPr>
            <w:r>
              <w:rPr>
                <w:rFonts w:hint="eastAsia" w:ascii="宋体" w:hAnsi="宋体" w:cs="宋体"/>
                <w:color w:val="000000"/>
                <w:szCs w:val="21"/>
                <w:lang w:bidi="ar"/>
              </w:rPr>
              <w:t>3.维保服务方案不全面、不合理可行、不清晰明确。仅包含基本的服务条款，缺乏具体的实施方案。服务流程和服务标准模糊不清，难以执行。没有明确的响应时间和解决方案。不提供方案不得分得1分。</w:t>
            </w:r>
          </w:p>
        </w:tc>
      </w:tr>
    </w:tbl>
    <w:p w14:paraId="138FFCCE">
      <w:pPr>
        <w:adjustRightInd w:val="0"/>
        <w:spacing w:line="360" w:lineRule="auto"/>
        <w:ind w:firstLine="441" w:firstLineChars="183"/>
        <w:jc w:val="left"/>
        <w:textAlignment w:val="baseline"/>
        <w:rPr>
          <w:rFonts w:ascii="Arial" w:hAnsi="Arial" w:cs="Arial"/>
          <w:b/>
          <w:bCs/>
          <w:sz w:val="24"/>
        </w:rPr>
      </w:pPr>
      <w:r>
        <w:rPr>
          <w:rFonts w:hint="eastAsia" w:ascii="Arial" w:hAnsi="Arial" w:cs="Arial"/>
          <w:b/>
          <w:bCs/>
          <w:sz w:val="24"/>
        </w:rPr>
        <w:t>五、中标标准：</w:t>
      </w:r>
    </w:p>
    <w:p w14:paraId="15E21DCA">
      <w:pPr>
        <w:adjustRightInd w:val="0"/>
        <w:spacing w:line="360" w:lineRule="auto"/>
        <w:ind w:firstLine="480" w:firstLineChars="200"/>
        <w:jc w:val="left"/>
        <w:textAlignment w:val="baseline"/>
        <w:rPr>
          <w:rFonts w:ascii="Arial" w:hAnsi="Arial"/>
          <w:sz w:val="24"/>
        </w:rPr>
      </w:pPr>
      <w:r>
        <w:rPr>
          <w:rFonts w:hint="eastAsia" w:ascii="Arial" w:hAnsi="Arial"/>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bookmarkEnd w:id="198"/>
    <w:p w14:paraId="1E9D95A4">
      <w:pPr>
        <w:spacing w:line="360" w:lineRule="auto"/>
        <w:jc w:val="left"/>
        <w:rPr>
          <w:rFonts w:hint="eastAsia" w:ascii="宋体" w:hAnsi="宋体" w:cs="宋体"/>
          <w:szCs w:val="21"/>
        </w:rPr>
      </w:pPr>
    </w:p>
    <w:sectPr>
      <w:headerReference r:id="rId10" w:type="first"/>
      <w:footerReference r:id="rId13" w:type="first"/>
      <w:headerReference r:id="rId9" w:type="default"/>
      <w:footerReference r:id="rId11" w:type="default"/>
      <w:footerReference r:id="rId12" w:type="even"/>
      <w:pgSz w:w="11906" w:h="16838"/>
      <w:pgMar w:top="1213" w:right="1080" w:bottom="1213" w:left="1080" w:header="1020" w:footer="720" w:gutter="0"/>
      <w:pgNumType w:start="1"/>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auto"/>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华康简魏碑">
    <w:altName w:val="Calibri"/>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方正仿宋_GBK">
    <w:altName w:val="微软雅黑"/>
    <w:panose1 w:val="00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A74F7">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87348">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FA87348">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FF983">
    <w:pPr>
      <w:pStyle w:val="25"/>
      <w:jc w:val="center"/>
      <w:rPr>
        <w:rFonts w:hint="eastAsia" w:eastAsia="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4BE69A">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94BE69A">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2112694"/>
    </w:sdtPr>
    <w:sdtContent>
      <w:p w14:paraId="538BD2E7">
        <w:pPr>
          <w:pStyle w:val="25"/>
          <w:jc w:val="center"/>
        </w:pPr>
        <w:r>
          <w:fldChar w:fldCharType="begin"/>
        </w:r>
        <w:r>
          <w:instrText xml:space="preserve">PAGE   \* MERGEFORMAT</w:instrText>
        </w:r>
        <w:r>
          <w:fldChar w:fldCharType="separate"/>
        </w:r>
        <w:r>
          <w:rPr>
            <w:lang w:val="zh-CN"/>
          </w:rPr>
          <w:t>2</w:t>
        </w:r>
        <w:r>
          <w:fldChar w:fldCharType="end"/>
        </w:r>
      </w:p>
    </w:sdtContent>
  </w:sdt>
  <w:p w14:paraId="3626C7AD">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7958E">
    <w:pPr>
      <w:pStyle w:val="25"/>
      <w:jc w:val="center"/>
      <w:rPr>
        <w:rFonts w:hint="eastAsia"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A6BE0B">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scI4k2AgAAYwQAAA4AAABkcnMvZTJvRG9jLnhtbK1UzW7UMBC+I/EO&#10;lu8020VUS9RstbRahLTQSgVx9jpOE8n2WLZ3k+UB4A04cemd5+pz8Dk/CyoceuBiTWbG38z3zTjn&#10;F53RbK98aMgW/PRkxpmyksrG3hX808f1iwVnIQpbCk1WFfygAr9YPn923rpczakmXSrPAGJD3rqC&#10;1zG6PMuCrJUR4YScsghW5I2I+PR3WelFC3Sjs/lsdpa15EvnSaoQ4L0agnxE9E8BpKpqpLoiuTPK&#10;xgHVKy0iKIW6cYEv+26rSsl4XVVBRaYLDqaxP1EE9jad2fJc5HdeuLqRYwviKS084mREY1H0CHUl&#10;omA73/wFZRrpKVAVTySZbCDSKwIWp7NH2tzWwqmeC6QO7ih6+H+w8sP+xrOmxCZwZoXBwB++f3v4&#10;8fPh/it7neRpXciRdeuQF7s31KXU0R+Sc9u+pxL3xC5Sr0FXeZO0ADuGbEh9OEqtushkgljMF4sZ&#10;QhKx6QOomcin686H+FaRYckouMcse3ix34Q4pE4pqZqldaM1/CLXlrUFP3v5atZfOEYAri1qJEqp&#10;9YFc7LbdyGdL5QGMPA17EpxcNyi+ESHeCI/FQMN4OvEaR6UJRWi0OKvJf/mXP+VjXohy1mLRCm7x&#10;rjjT7yzmCMA4GX4ytpNhd+aSsLmYDXrpTVzwUU9m5cl8xntapRoICStRqeBxMi/jsOx4j1KtVn0S&#10;Ns+JuLG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FscI4k2AgAAYwQAAA4AAAAAAAAAAQAgAAAAHwEAAGRycy9lMm9Eb2MueG1s&#10;UEsFBgAAAAAGAAYAWQEAAMcFAAAAAA==&#10;">
              <v:fill on="f" focussize="0,0"/>
              <v:stroke on="f" weight="0.5pt"/>
              <v:imagedata o:title=""/>
              <o:lock v:ext="edit" aspectratio="f"/>
              <v:textbox inset="0mm,0mm,0mm,0mm" style="mso-fit-shape-to-text:t;">
                <w:txbxContent>
                  <w:p w14:paraId="05A6BE0B">
                    <w:pPr>
                      <w:pStyle w:val="25"/>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eastAsia="宋体"/>
      </w:rPr>
      <w:t>46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1E8B3">
    <w:pPr>
      <w:ind w:right="360"/>
    </w:pPr>
  </w:p>
  <w:p w14:paraId="3F48E6B5">
    <w:pPr>
      <w:tabs>
        <w:tab w:val="left" w:pos="5445"/>
      </w:tabs>
    </w:pPr>
    <w:r>
      <w:tab/>
    </w:r>
  </w:p>
  <w:p w14:paraId="6AC772C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0A023">
    <w:pPr>
      <w:pStyle w:val="25"/>
      <w:framePr w:wrap="around" w:vAnchor="text" w:hAnchor="margin" w:xAlign="right" w:y="1"/>
      <w:rPr>
        <w:rStyle w:val="45"/>
        <w:sz w:val="21"/>
      </w:rPr>
    </w:pPr>
    <w:r>
      <w:rPr>
        <w:rStyle w:val="45"/>
        <w:sz w:val="21"/>
      </w:rPr>
      <w:fldChar w:fldCharType="begin"/>
    </w:r>
    <w:r>
      <w:rPr>
        <w:rStyle w:val="45"/>
        <w:sz w:val="21"/>
      </w:rPr>
      <w:instrText xml:space="preserve">PAGE  </w:instrText>
    </w:r>
    <w:r>
      <w:rPr>
        <w:rStyle w:val="45"/>
        <w:sz w:val="21"/>
      </w:rPr>
      <w:fldChar w:fldCharType="separate"/>
    </w:r>
    <w:r>
      <w:rPr>
        <w:rStyle w:val="45"/>
        <w:sz w:val="21"/>
      </w:rPr>
      <w:t>31</w:t>
    </w:r>
    <w:r>
      <w:rPr>
        <w:rStyle w:val="45"/>
        <w:sz w:val="21"/>
      </w:rPr>
      <w:fldChar w:fldCharType="end"/>
    </w:r>
  </w:p>
  <w:p w14:paraId="3A4C2107">
    <w:pPr>
      <w:pStyle w:val="25"/>
      <w:ind w:right="360"/>
      <w:rPr>
        <w:sz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E54AC">
    <w:pPr>
      <w:pStyle w:val="25"/>
      <w:jc w:val="center"/>
      <w:rPr>
        <w:rFonts w:hint="eastAsia" w:eastAsiaTheme="minorEastAsia"/>
      </w:rPr>
    </w:pPr>
    <w:r>
      <w:rPr>
        <w:rFonts w:hint="eastAsia" w:eastAsiaTheme="minorEastAsia"/>
      </w:rPr>
      <w:t>46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AFE67">
    <w:pPr>
      <w:pStyle w:val="26"/>
      <w:pBdr>
        <w:bottom w:val="single" w:color="auto" w:sz="4" w:space="1"/>
      </w:pBdr>
      <w:jc w:val="both"/>
    </w:pPr>
  </w:p>
  <w:p w14:paraId="2D5E79D4">
    <w:pPr>
      <w:pStyle w:val="26"/>
      <w:pBdr>
        <w:bottom w:val="single" w:color="auto" w:sz="4" w:space="1"/>
      </w:pBdr>
      <w:jc w:val="both"/>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A360D">
    <w:pPr>
      <w:pStyle w:val="26"/>
      <w:pBdr>
        <w:bottom w:val="none" w:color="auto" w:sz="0" w:space="1"/>
      </w:pBdr>
      <w:tabs>
        <w:tab w:val="clear" w:pos="4153"/>
      </w:tabs>
      <w:ind w:firstLine="508"/>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0023B">
    <w:pPr>
      <w:pStyle w:val="2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A3D9D">
    <w:pPr>
      <w:pStyle w:val="26"/>
      <w:pBdr>
        <w:bottom w:val="single" w:color="auto" w:sz="4" w:space="1"/>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BDDC38"/>
    <w:multiLevelType w:val="singleLevel"/>
    <w:tmpl w:val="B7BDDC38"/>
    <w:lvl w:ilvl="0" w:tentative="0">
      <w:start w:val="1"/>
      <w:numFmt w:val="decimal"/>
      <w:suff w:val="nothing"/>
      <w:lvlText w:val="（%1）"/>
      <w:lvlJc w:val="left"/>
    </w:lvl>
  </w:abstractNum>
  <w:abstractNum w:abstractNumId="1">
    <w:nsid w:val="CABF3785"/>
    <w:multiLevelType w:val="singleLevel"/>
    <w:tmpl w:val="CABF3785"/>
    <w:lvl w:ilvl="0" w:tentative="0">
      <w:start w:val="1"/>
      <w:numFmt w:val="chineseCounting"/>
      <w:suff w:val="nothing"/>
      <w:lvlText w:val="（%1）"/>
      <w:lvlJc w:val="left"/>
      <w:rPr>
        <w:rFonts w:hint="eastAsia"/>
      </w:rPr>
    </w:lvl>
  </w:abstractNum>
  <w:abstractNum w:abstractNumId="2">
    <w:nsid w:val="DC27211C"/>
    <w:multiLevelType w:val="singleLevel"/>
    <w:tmpl w:val="DC27211C"/>
    <w:lvl w:ilvl="0" w:tentative="0">
      <w:start w:val="1"/>
      <w:numFmt w:val="decimal"/>
      <w:suff w:val="nothing"/>
      <w:lvlText w:val="（%1）"/>
      <w:lvlJc w:val="left"/>
    </w:lvl>
  </w:abstractNum>
  <w:abstractNum w:abstractNumId="3">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0943796"/>
    <w:multiLevelType w:val="singleLevel"/>
    <w:tmpl w:val="10943796"/>
    <w:lvl w:ilvl="0" w:tentative="0">
      <w:start w:val="1"/>
      <w:numFmt w:val="decimal"/>
      <w:suff w:val="space"/>
      <w:lvlText w:val="(%1)"/>
      <w:lvlJc w:val="left"/>
      <w:pPr>
        <w:ind w:left="425" w:hanging="425"/>
      </w:pPr>
      <w:rPr>
        <w:rFonts w:hint="default"/>
      </w:rPr>
    </w:lvl>
  </w:abstractNum>
  <w:abstractNum w:abstractNumId="5">
    <w:nsid w:val="109D19ED"/>
    <w:multiLevelType w:val="singleLevel"/>
    <w:tmpl w:val="109D19ED"/>
    <w:lvl w:ilvl="0" w:tentative="0">
      <w:start w:val="1"/>
      <w:numFmt w:val="decimal"/>
      <w:suff w:val="nothing"/>
      <w:lvlText w:val="（%1）"/>
      <w:lvlJc w:val="left"/>
    </w:lvl>
  </w:abstractNum>
  <w:abstractNum w:abstractNumId="6">
    <w:nsid w:val="1DF21949"/>
    <w:multiLevelType w:val="singleLevel"/>
    <w:tmpl w:val="1DF21949"/>
    <w:lvl w:ilvl="0" w:tentative="0">
      <w:start w:val="1"/>
      <w:numFmt w:val="decimal"/>
      <w:suff w:val="nothing"/>
      <w:lvlText w:val="（%1）"/>
      <w:lvlJc w:val="left"/>
    </w:lvl>
  </w:abstractNum>
  <w:abstractNum w:abstractNumId="7">
    <w:nsid w:val="33D46D32"/>
    <w:multiLevelType w:val="singleLevel"/>
    <w:tmpl w:val="33D46D32"/>
    <w:lvl w:ilvl="0" w:tentative="0">
      <w:start w:val="1"/>
      <w:numFmt w:val="decimal"/>
      <w:suff w:val="nothing"/>
      <w:lvlText w:val="（%1）"/>
      <w:lvlJc w:val="left"/>
    </w:lvl>
  </w:abstractNum>
  <w:abstractNum w:abstractNumId="8">
    <w:nsid w:val="43F43525"/>
    <w:multiLevelType w:val="multilevel"/>
    <w:tmpl w:val="43F43525"/>
    <w:lvl w:ilvl="0" w:tentative="0">
      <w:start w:val="1"/>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4E348EB8"/>
    <w:multiLevelType w:val="singleLevel"/>
    <w:tmpl w:val="4E348EB8"/>
    <w:lvl w:ilvl="0" w:tentative="0">
      <w:start w:val="1"/>
      <w:numFmt w:val="decimal"/>
      <w:suff w:val="nothing"/>
      <w:lvlText w:val="（%1）"/>
      <w:lvlJc w:val="left"/>
    </w:lvl>
  </w:abstractNum>
  <w:abstractNum w:abstractNumId="10">
    <w:nsid w:val="5375A07C"/>
    <w:multiLevelType w:val="singleLevel"/>
    <w:tmpl w:val="5375A07C"/>
    <w:lvl w:ilvl="0" w:tentative="0">
      <w:start w:val="1"/>
      <w:numFmt w:val="decimal"/>
      <w:suff w:val="nothing"/>
      <w:lvlText w:val="%1、"/>
      <w:lvlJc w:val="left"/>
    </w:lvl>
  </w:abstractNum>
  <w:abstractNum w:abstractNumId="11">
    <w:nsid w:val="5E5A75F4"/>
    <w:multiLevelType w:val="singleLevel"/>
    <w:tmpl w:val="5E5A75F4"/>
    <w:lvl w:ilvl="0" w:tentative="0">
      <w:start w:val="1"/>
      <w:numFmt w:val="decimal"/>
      <w:suff w:val="nothing"/>
      <w:lvlText w:val="（%1）"/>
      <w:lvlJc w:val="left"/>
    </w:lvl>
  </w:abstractNum>
  <w:abstractNum w:abstractNumId="12">
    <w:nsid w:val="6267DABA"/>
    <w:multiLevelType w:val="singleLevel"/>
    <w:tmpl w:val="6267DABA"/>
    <w:lvl w:ilvl="0" w:tentative="0">
      <w:start w:val="1"/>
      <w:numFmt w:val="decimal"/>
      <w:suff w:val="nothing"/>
      <w:lvlText w:val="（%1）"/>
      <w:lvlJc w:val="left"/>
    </w:lvl>
  </w:abstractNum>
  <w:num w:numId="1">
    <w:abstractNumId w:val="3"/>
  </w:num>
  <w:num w:numId="2">
    <w:abstractNumId w:val="8"/>
  </w:num>
  <w:num w:numId="3">
    <w:abstractNumId w:val="10"/>
  </w:num>
  <w:num w:numId="4">
    <w:abstractNumId w:val="1"/>
  </w:num>
  <w:num w:numId="5">
    <w:abstractNumId w:val="6"/>
  </w:num>
  <w:num w:numId="6">
    <w:abstractNumId w:val="11"/>
  </w:num>
  <w:num w:numId="7">
    <w:abstractNumId w:val="9"/>
  </w:num>
  <w:num w:numId="8">
    <w:abstractNumId w:val="7"/>
  </w:num>
  <w:num w:numId="9">
    <w:abstractNumId w:val="0"/>
  </w:num>
  <w:num w:numId="10">
    <w:abstractNumId w:val="5"/>
  </w:num>
  <w:num w:numId="11">
    <w:abstractNumId w:val="2"/>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xMmQzYjVjYzAxZDlkNWJiZmJlMWI2MWVlOTZmNmUifQ=="/>
  </w:docVars>
  <w:rsids>
    <w:rsidRoot w:val="00264FC3"/>
    <w:rsid w:val="0001120E"/>
    <w:rsid w:val="00014754"/>
    <w:rsid w:val="00021F07"/>
    <w:rsid w:val="000310D5"/>
    <w:rsid w:val="00056128"/>
    <w:rsid w:val="00062D49"/>
    <w:rsid w:val="0006365A"/>
    <w:rsid w:val="00075125"/>
    <w:rsid w:val="000A1B66"/>
    <w:rsid w:val="000A3CDE"/>
    <w:rsid w:val="000D3881"/>
    <w:rsid w:val="000E23AB"/>
    <w:rsid w:val="00111F59"/>
    <w:rsid w:val="00116F6B"/>
    <w:rsid w:val="00121E25"/>
    <w:rsid w:val="001279DE"/>
    <w:rsid w:val="001352BF"/>
    <w:rsid w:val="001354AA"/>
    <w:rsid w:val="0013702D"/>
    <w:rsid w:val="001472E6"/>
    <w:rsid w:val="0014788A"/>
    <w:rsid w:val="00150348"/>
    <w:rsid w:val="001A0629"/>
    <w:rsid w:val="001A3A67"/>
    <w:rsid w:val="001A4444"/>
    <w:rsid w:val="001A7520"/>
    <w:rsid w:val="001C2BD2"/>
    <w:rsid w:val="001C3E3E"/>
    <w:rsid w:val="001E7336"/>
    <w:rsid w:val="001F0A09"/>
    <w:rsid w:val="0020753C"/>
    <w:rsid w:val="002206FF"/>
    <w:rsid w:val="0022782A"/>
    <w:rsid w:val="00250457"/>
    <w:rsid w:val="00261BD9"/>
    <w:rsid w:val="00264FC3"/>
    <w:rsid w:val="0027190A"/>
    <w:rsid w:val="002747C9"/>
    <w:rsid w:val="002A5D8F"/>
    <w:rsid w:val="002A768A"/>
    <w:rsid w:val="002B3CD4"/>
    <w:rsid w:val="002C4750"/>
    <w:rsid w:val="002D63AE"/>
    <w:rsid w:val="002E5478"/>
    <w:rsid w:val="002F17D9"/>
    <w:rsid w:val="002F4660"/>
    <w:rsid w:val="003134E7"/>
    <w:rsid w:val="00314A2B"/>
    <w:rsid w:val="00333E4C"/>
    <w:rsid w:val="00347F9F"/>
    <w:rsid w:val="00356A59"/>
    <w:rsid w:val="00361917"/>
    <w:rsid w:val="00384C8D"/>
    <w:rsid w:val="003917AF"/>
    <w:rsid w:val="003A5545"/>
    <w:rsid w:val="003B7A58"/>
    <w:rsid w:val="003C55CC"/>
    <w:rsid w:val="0040070B"/>
    <w:rsid w:val="00421755"/>
    <w:rsid w:val="00432E9D"/>
    <w:rsid w:val="0043307A"/>
    <w:rsid w:val="004446B3"/>
    <w:rsid w:val="004762B0"/>
    <w:rsid w:val="004A11A9"/>
    <w:rsid w:val="004A6DE5"/>
    <w:rsid w:val="004C2FF2"/>
    <w:rsid w:val="004E0828"/>
    <w:rsid w:val="004F619E"/>
    <w:rsid w:val="00516EC8"/>
    <w:rsid w:val="00541658"/>
    <w:rsid w:val="00566371"/>
    <w:rsid w:val="005A343B"/>
    <w:rsid w:val="005B1398"/>
    <w:rsid w:val="005E1713"/>
    <w:rsid w:val="005E4423"/>
    <w:rsid w:val="005E4F29"/>
    <w:rsid w:val="005F653F"/>
    <w:rsid w:val="00601DA4"/>
    <w:rsid w:val="00653762"/>
    <w:rsid w:val="00655FD5"/>
    <w:rsid w:val="006669B6"/>
    <w:rsid w:val="006711D9"/>
    <w:rsid w:val="00672879"/>
    <w:rsid w:val="00676AAD"/>
    <w:rsid w:val="00686B08"/>
    <w:rsid w:val="006935D4"/>
    <w:rsid w:val="006A208F"/>
    <w:rsid w:val="006E2860"/>
    <w:rsid w:val="006F3191"/>
    <w:rsid w:val="007235B9"/>
    <w:rsid w:val="007527FD"/>
    <w:rsid w:val="0077368D"/>
    <w:rsid w:val="00774597"/>
    <w:rsid w:val="00780EF6"/>
    <w:rsid w:val="00785C0F"/>
    <w:rsid w:val="007860B1"/>
    <w:rsid w:val="007B3C3A"/>
    <w:rsid w:val="007C0BCE"/>
    <w:rsid w:val="007C5641"/>
    <w:rsid w:val="007D4EFB"/>
    <w:rsid w:val="007D6DCA"/>
    <w:rsid w:val="0081470E"/>
    <w:rsid w:val="00841EDD"/>
    <w:rsid w:val="00877FB8"/>
    <w:rsid w:val="00881480"/>
    <w:rsid w:val="008932DE"/>
    <w:rsid w:val="008B1436"/>
    <w:rsid w:val="008C2CC6"/>
    <w:rsid w:val="008E3B6B"/>
    <w:rsid w:val="00940C22"/>
    <w:rsid w:val="00963D67"/>
    <w:rsid w:val="00976DA1"/>
    <w:rsid w:val="009810D6"/>
    <w:rsid w:val="00982BB7"/>
    <w:rsid w:val="009960DE"/>
    <w:rsid w:val="009A20B5"/>
    <w:rsid w:val="009B58EA"/>
    <w:rsid w:val="009E0CC9"/>
    <w:rsid w:val="00A04B4B"/>
    <w:rsid w:val="00A1067A"/>
    <w:rsid w:val="00A32392"/>
    <w:rsid w:val="00A35F43"/>
    <w:rsid w:val="00A43C9E"/>
    <w:rsid w:val="00A60A4F"/>
    <w:rsid w:val="00A62A29"/>
    <w:rsid w:val="00A6501E"/>
    <w:rsid w:val="00A65970"/>
    <w:rsid w:val="00A7713E"/>
    <w:rsid w:val="00A86803"/>
    <w:rsid w:val="00AE4FE6"/>
    <w:rsid w:val="00AE748F"/>
    <w:rsid w:val="00B00A70"/>
    <w:rsid w:val="00B058D7"/>
    <w:rsid w:val="00B12A74"/>
    <w:rsid w:val="00B14B7C"/>
    <w:rsid w:val="00B20AA2"/>
    <w:rsid w:val="00B55F7A"/>
    <w:rsid w:val="00B614D7"/>
    <w:rsid w:val="00B73947"/>
    <w:rsid w:val="00B95ABB"/>
    <w:rsid w:val="00BA60C3"/>
    <w:rsid w:val="00BC03B9"/>
    <w:rsid w:val="00BC1EF8"/>
    <w:rsid w:val="00BD2F3E"/>
    <w:rsid w:val="00BE50A3"/>
    <w:rsid w:val="00C035DB"/>
    <w:rsid w:val="00C13D4D"/>
    <w:rsid w:val="00C31458"/>
    <w:rsid w:val="00C35A30"/>
    <w:rsid w:val="00C47007"/>
    <w:rsid w:val="00C53637"/>
    <w:rsid w:val="00C57AFB"/>
    <w:rsid w:val="00C61842"/>
    <w:rsid w:val="00C83135"/>
    <w:rsid w:val="00C85F71"/>
    <w:rsid w:val="00C93C1B"/>
    <w:rsid w:val="00CA36D4"/>
    <w:rsid w:val="00CA6A78"/>
    <w:rsid w:val="00CB41F7"/>
    <w:rsid w:val="00CB6E5E"/>
    <w:rsid w:val="00CC021E"/>
    <w:rsid w:val="00CC47E9"/>
    <w:rsid w:val="00D03D29"/>
    <w:rsid w:val="00D063F4"/>
    <w:rsid w:val="00D12860"/>
    <w:rsid w:val="00D22066"/>
    <w:rsid w:val="00D233C0"/>
    <w:rsid w:val="00D464E2"/>
    <w:rsid w:val="00D501E3"/>
    <w:rsid w:val="00D536E9"/>
    <w:rsid w:val="00D77237"/>
    <w:rsid w:val="00D86EE7"/>
    <w:rsid w:val="00DC14DE"/>
    <w:rsid w:val="00DC3F81"/>
    <w:rsid w:val="00DC7834"/>
    <w:rsid w:val="00DE37E3"/>
    <w:rsid w:val="00DF1F2B"/>
    <w:rsid w:val="00DF3E75"/>
    <w:rsid w:val="00E04C76"/>
    <w:rsid w:val="00E21806"/>
    <w:rsid w:val="00E415E4"/>
    <w:rsid w:val="00E50AFC"/>
    <w:rsid w:val="00E536CA"/>
    <w:rsid w:val="00E56456"/>
    <w:rsid w:val="00E606F1"/>
    <w:rsid w:val="00E65617"/>
    <w:rsid w:val="00E666E4"/>
    <w:rsid w:val="00E80D06"/>
    <w:rsid w:val="00EC05EE"/>
    <w:rsid w:val="00EC3542"/>
    <w:rsid w:val="00ED0311"/>
    <w:rsid w:val="00EF61CF"/>
    <w:rsid w:val="00F25706"/>
    <w:rsid w:val="00F34D25"/>
    <w:rsid w:val="00F40E96"/>
    <w:rsid w:val="00F41AE9"/>
    <w:rsid w:val="00F42405"/>
    <w:rsid w:val="00F546DE"/>
    <w:rsid w:val="00F55E9D"/>
    <w:rsid w:val="00F76B14"/>
    <w:rsid w:val="00F86534"/>
    <w:rsid w:val="00F91CAB"/>
    <w:rsid w:val="00F94689"/>
    <w:rsid w:val="00FA6E80"/>
    <w:rsid w:val="00FB1B0B"/>
    <w:rsid w:val="00FB2199"/>
    <w:rsid w:val="00FC7B5B"/>
    <w:rsid w:val="00FD15AF"/>
    <w:rsid w:val="00FE413C"/>
    <w:rsid w:val="01057174"/>
    <w:rsid w:val="011C65E1"/>
    <w:rsid w:val="01785675"/>
    <w:rsid w:val="0186020E"/>
    <w:rsid w:val="01B62F5C"/>
    <w:rsid w:val="01BB4E65"/>
    <w:rsid w:val="01D54820"/>
    <w:rsid w:val="022D3042"/>
    <w:rsid w:val="02470F6E"/>
    <w:rsid w:val="025C53EC"/>
    <w:rsid w:val="02840131"/>
    <w:rsid w:val="02A75D67"/>
    <w:rsid w:val="02C43119"/>
    <w:rsid w:val="02C7409E"/>
    <w:rsid w:val="02FD4578"/>
    <w:rsid w:val="02FE1FF9"/>
    <w:rsid w:val="030054FC"/>
    <w:rsid w:val="032F1FE7"/>
    <w:rsid w:val="03771E7F"/>
    <w:rsid w:val="038B331D"/>
    <w:rsid w:val="03C97144"/>
    <w:rsid w:val="03E2379C"/>
    <w:rsid w:val="04946B2A"/>
    <w:rsid w:val="04AE2C39"/>
    <w:rsid w:val="04E9501D"/>
    <w:rsid w:val="0510745B"/>
    <w:rsid w:val="057448C8"/>
    <w:rsid w:val="05A80ABE"/>
    <w:rsid w:val="05C22B02"/>
    <w:rsid w:val="060E737E"/>
    <w:rsid w:val="06413050"/>
    <w:rsid w:val="06447858"/>
    <w:rsid w:val="064F5BE9"/>
    <w:rsid w:val="0685283F"/>
    <w:rsid w:val="06EB12EA"/>
    <w:rsid w:val="07051E94"/>
    <w:rsid w:val="074E7D0A"/>
    <w:rsid w:val="076247AC"/>
    <w:rsid w:val="07E76C04"/>
    <w:rsid w:val="07F01A92"/>
    <w:rsid w:val="08950021"/>
    <w:rsid w:val="08D8672E"/>
    <w:rsid w:val="0906705B"/>
    <w:rsid w:val="090D69E6"/>
    <w:rsid w:val="091F0FEF"/>
    <w:rsid w:val="09223108"/>
    <w:rsid w:val="092A6FF7"/>
    <w:rsid w:val="098F5CBA"/>
    <w:rsid w:val="0A1215F6"/>
    <w:rsid w:val="0A27573A"/>
    <w:rsid w:val="0A470CEC"/>
    <w:rsid w:val="0A503B7A"/>
    <w:rsid w:val="0A552200"/>
    <w:rsid w:val="0AAD3F14"/>
    <w:rsid w:val="0AB97D26"/>
    <w:rsid w:val="0AEF0200"/>
    <w:rsid w:val="0AFE7B68"/>
    <w:rsid w:val="0B493D92"/>
    <w:rsid w:val="0B8317C8"/>
    <w:rsid w:val="0B911F88"/>
    <w:rsid w:val="0BA8751B"/>
    <w:rsid w:val="0BB25D40"/>
    <w:rsid w:val="0C7E418F"/>
    <w:rsid w:val="0CC94E56"/>
    <w:rsid w:val="0D0A6AE1"/>
    <w:rsid w:val="0D8F1A4E"/>
    <w:rsid w:val="0DFE2437"/>
    <w:rsid w:val="0E1651AA"/>
    <w:rsid w:val="0E183F30"/>
    <w:rsid w:val="0E247D43"/>
    <w:rsid w:val="0E3634E0"/>
    <w:rsid w:val="0E7145BF"/>
    <w:rsid w:val="0E856AE3"/>
    <w:rsid w:val="0E8A515C"/>
    <w:rsid w:val="0F126346"/>
    <w:rsid w:val="0F3341F4"/>
    <w:rsid w:val="0F634A4E"/>
    <w:rsid w:val="0F8F6F95"/>
    <w:rsid w:val="0FA12732"/>
    <w:rsid w:val="0FB35ED0"/>
    <w:rsid w:val="0FC264EA"/>
    <w:rsid w:val="104B7348"/>
    <w:rsid w:val="10734692"/>
    <w:rsid w:val="10885A77"/>
    <w:rsid w:val="1097230C"/>
    <w:rsid w:val="10BA31FF"/>
    <w:rsid w:val="10E55348"/>
    <w:rsid w:val="111A18E7"/>
    <w:rsid w:val="1122192A"/>
    <w:rsid w:val="11477AC8"/>
    <w:rsid w:val="119F4776"/>
    <w:rsid w:val="11C500FE"/>
    <w:rsid w:val="11EA1373"/>
    <w:rsid w:val="1203449B"/>
    <w:rsid w:val="12105471"/>
    <w:rsid w:val="121E634A"/>
    <w:rsid w:val="123F5A0A"/>
    <w:rsid w:val="128D65FD"/>
    <w:rsid w:val="12BE4BCE"/>
    <w:rsid w:val="12DC417E"/>
    <w:rsid w:val="137006A5"/>
    <w:rsid w:val="1380270E"/>
    <w:rsid w:val="13AC0FD3"/>
    <w:rsid w:val="13DD5026"/>
    <w:rsid w:val="13DF0529"/>
    <w:rsid w:val="14052967"/>
    <w:rsid w:val="14247998"/>
    <w:rsid w:val="144968D3"/>
    <w:rsid w:val="1456618D"/>
    <w:rsid w:val="14B7278A"/>
    <w:rsid w:val="14D2665C"/>
    <w:rsid w:val="15151529"/>
    <w:rsid w:val="15660ADD"/>
    <w:rsid w:val="156A222E"/>
    <w:rsid w:val="157C124F"/>
    <w:rsid w:val="15A81A8B"/>
    <w:rsid w:val="15D54839"/>
    <w:rsid w:val="15DE42B6"/>
    <w:rsid w:val="1609580A"/>
    <w:rsid w:val="162E04EF"/>
    <w:rsid w:val="16565924"/>
    <w:rsid w:val="16F26832"/>
    <w:rsid w:val="17045852"/>
    <w:rsid w:val="17761009"/>
    <w:rsid w:val="17A708DF"/>
    <w:rsid w:val="17C90A93"/>
    <w:rsid w:val="17E23BBC"/>
    <w:rsid w:val="18381DD3"/>
    <w:rsid w:val="183D2FD1"/>
    <w:rsid w:val="183F1D57"/>
    <w:rsid w:val="184B7D68"/>
    <w:rsid w:val="18787932"/>
    <w:rsid w:val="18966EAD"/>
    <w:rsid w:val="18966EE2"/>
    <w:rsid w:val="18AC4909"/>
    <w:rsid w:val="18F5277F"/>
    <w:rsid w:val="19175E1D"/>
    <w:rsid w:val="193D63F7"/>
    <w:rsid w:val="195E692B"/>
    <w:rsid w:val="19C553D6"/>
    <w:rsid w:val="19FD2FB1"/>
    <w:rsid w:val="1A002DB1"/>
    <w:rsid w:val="1A491DAC"/>
    <w:rsid w:val="1A501737"/>
    <w:rsid w:val="1A563640"/>
    <w:rsid w:val="1A761976"/>
    <w:rsid w:val="1A7F5B09"/>
    <w:rsid w:val="1A9234A5"/>
    <w:rsid w:val="1A973959"/>
    <w:rsid w:val="1AB723E0"/>
    <w:rsid w:val="1AB91166"/>
    <w:rsid w:val="1B240815"/>
    <w:rsid w:val="1B4B094A"/>
    <w:rsid w:val="1B6D668B"/>
    <w:rsid w:val="1B837AB4"/>
    <w:rsid w:val="1B8617B4"/>
    <w:rsid w:val="1BAC5276"/>
    <w:rsid w:val="1C1C0DAE"/>
    <w:rsid w:val="1C3D0093"/>
    <w:rsid w:val="1C8D5047"/>
    <w:rsid w:val="1C9673F2"/>
    <w:rsid w:val="1CB731AA"/>
    <w:rsid w:val="1CC63792"/>
    <w:rsid w:val="1CFA7117"/>
    <w:rsid w:val="1D5929B3"/>
    <w:rsid w:val="1D71005A"/>
    <w:rsid w:val="1DB92E78"/>
    <w:rsid w:val="1DC7686B"/>
    <w:rsid w:val="1DE94821"/>
    <w:rsid w:val="1E356E9F"/>
    <w:rsid w:val="1E3B0DA8"/>
    <w:rsid w:val="1E964873"/>
    <w:rsid w:val="1E9C7B48"/>
    <w:rsid w:val="1EA530A3"/>
    <w:rsid w:val="1EC14EF2"/>
    <w:rsid w:val="1ED32220"/>
    <w:rsid w:val="1F13300A"/>
    <w:rsid w:val="1F254419"/>
    <w:rsid w:val="1F2B32C1"/>
    <w:rsid w:val="1F4D40E8"/>
    <w:rsid w:val="1F531875"/>
    <w:rsid w:val="1F5D746C"/>
    <w:rsid w:val="1FAB4482"/>
    <w:rsid w:val="1FB44D91"/>
    <w:rsid w:val="1FCA77A2"/>
    <w:rsid w:val="20076D9A"/>
    <w:rsid w:val="203A2A6C"/>
    <w:rsid w:val="20531055"/>
    <w:rsid w:val="20584B10"/>
    <w:rsid w:val="20704CAA"/>
    <w:rsid w:val="208C4A25"/>
    <w:rsid w:val="208E24F6"/>
    <w:rsid w:val="20A42459"/>
    <w:rsid w:val="20AB3FCD"/>
    <w:rsid w:val="20BD4367"/>
    <w:rsid w:val="211C0E60"/>
    <w:rsid w:val="21772473"/>
    <w:rsid w:val="21A70A44"/>
    <w:rsid w:val="22DD68C3"/>
    <w:rsid w:val="233A33D9"/>
    <w:rsid w:val="234F06FC"/>
    <w:rsid w:val="23510E00"/>
    <w:rsid w:val="2357078B"/>
    <w:rsid w:val="236A19AA"/>
    <w:rsid w:val="23913DE8"/>
    <w:rsid w:val="239A6C76"/>
    <w:rsid w:val="23D14BD1"/>
    <w:rsid w:val="23D22653"/>
    <w:rsid w:val="23E53872"/>
    <w:rsid w:val="242B221D"/>
    <w:rsid w:val="2441618A"/>
    <w:rsid w:val="244C451B"/>
    <w:rsid w:val="246C4A50"/>
    <w:rsid w:val="247A3D65"/>
    <w:rsid w:val="24FF3FBE"/>
    <w:rsid w:val="25477C36"/>
    <w:rsid w:val="256A6EF1"/>
    <w:rsid w:val="257E5B91"/>
    <w:rsid w:val="25832019"/>
    <w:rsid w:val="25C61809"/>
    <w:rsid w:val="25D3309D"/>
    <w:rsid w:val="267E7EE2"/>
    <w:rsid w:val="26C24F24"/>
    <w:rsid w:val="277549C7"/>
    <w:rsid w:val="278065DC"/>
    <w:rsid w:val="278E0648"/>
    <w:rsid w:val="2808523B"/>
    <w:rsid w:val="281C7F63"/>
    <w:rsid w:val="28666199"/>
    <w:rsid w:val="286B1A5C"/>
    <w:rsid w:val="28844B85"/>
    <w:rsid w:val="28845678"/>
    <w:rsid w:val="28A85473"/>
    <w:rsid w:val="28A902E6"/>
    <w:rsid w:val="28D45C09"/>
    <w:rsid w:val="28D5110C"/>
    <w:rsid w:val="28E45EA3"/>
    <w:rsid w:val="29420A80"/>
    <w:rsid w:val="295A1365"/>
    <w:rsid w:val="29606AF1"/>
    <w:rsid w:val="299D30D3"/>
    <w:rsid w:val="29B84F82"/>
    <w:rsid w:val="29C33313"/>
    <w:rsid w:val="29C81999"/>
    <w:rsid w:val="29DB09B9"/>
    <w:rsid w:val="29E95A0B"/>
    <w:rsid w:val="29F724E8"/>
    <w:rsid w:val="2A057F48"/>
    <w:rsid w:val="2A582A2A"/>
    <w:rsid w:val="2A614116"/>
    <w:rsid w:val="2AD640D4"/>
    <w:rsid w:val="2AF12700"/>
    <w:rsid w:val="2B143BB9"/>
    <w:rsid w:val="2B381DB4"/>
    <w:rsid w:val="2B6C11A9"/>
    <w:rsid w:val="2BAC2E33"/>
    <w:rsid w:val="2BD674FA"/>
    <w:rsid w:val="2BFE2C3D"/>
    <w:rsid w:val="2BFF4E3C"/>
    <w:rsid w:val="2C2759D2"/>
    <w:rsid w:val="2C320B0E"/>
    <w:rsid w:val="2C451D2D"/>
    <w:rsid w:val="2C493FB6"/>
    <w:rsid w:val="2C641513"/>
    <w:rsid w:val="2C676DE9"/>
    <w:rsid w:val="2CB368C6"/>
    <w:rsid w:val="2CD46119"/>
    <w:rsid w:val="2CF00FC2"/>
    <w:rsid w:val="2CF72E55"/>
    <w:rsid w:val="2D090B71"/>
    <w:rsid w:val="2D3F3249"/>
    <w:rsid w:val="2D73499D"/>
    <w:rsid w:val="2DFD4901"/>
    <w:rsid w:val="2E334DDB"/>
    <w:rsid w:val="2E396CE5"/>
    <w:rsid w:val="2E4140F1"/>
    <w:rsid w:val="2E596EAD"/>
    <w:rsid w:val="2ED01514"/>
    <w:rsid w:val="2EE93605"/>
    <w:rsid w:val="2F4F0A2B"/>
    <w:rsid w:val="2F6A4E58"/>
    <w:rsid w:val="2F6B18E1"/>
    <w:rsid w:val="2F850F05"/>
    <w:rsid w:val="2FD43406"/>
    <w:rsid w:val="2FFE314D"/>
    <w:rsid w:val="30191779"/>
    <w:rsid w:val="30305B1B"/>
    <w:rsid w:val="303654A5"/>
    <w:rsid w:val="30401638"/>
    <w:rsid w:val="30646847"/>
    <w:rsid w:val="306D4DAF"/>
    <w:rsid w:val="306F40B0"/>
    <w:rsid w:val="30A04ED5"/>
    <w:rsid w:val="30C70618"/>
    <w:rsid w:val="30E346C5"/>
    <w:rsid w:val="30EC0A07"/>
    <w:rsid w:val="310F5189"/>
    <w:rsid w:val="31362E4A"/>
    <w:rsid w:val="31930FE5"/>
    <w:rsid w:val="31946A67"/>
    <w:rsid w:val="31B34A74"/>
    <w:rsid w:val="31B35C97"/>
    <w:rsid w:val="31CE567B"/>
    <w:rsid w:val="31D85760"/>
    <w:rsid w:val="32291158"/>
    <w:rsid w:val="329E499A"/>
    <w:rsid w:val="335331C4"/>
    <w:rsid w:val="337F1A8A"/>
    <w:rsid w:val="33B40C5F"/>
    <w:rsid w:val="3400465A"/>
    <w:rsid w:val="34207E78"/>
    <w:rsid w:val="349E1EE2"/>
    <w:rsid w:val="349F4C19"/>
    <w:rsid w:val="350D7F97"/>
    <w:rsid w:val="351D0231"/>
    <w:rsid w:val="35216984"/>
    <w:rsid w:val="35281E46"/>
    <w:rsid w:val="35284044"/>
    <w:rsid w:val="352A5349"/>
    <w:rsid w:val="354748F9"/>
    <w:rsid w:val="355E1379"/>
    <w:rsid w:val="356409D9"/>
    <w:rsid w:val="35987B7B"/>
    <w:rsid w:val="35A66E91"/>
    <w:rsid w:val="35BA6F50"/>
    <w:rsid w:val="35C267C1"/>
    <w:rsid w:val="35C360C5"/>
    <w:rsid w:val="35D72EE3"/>
    <w:rsid w:val="361D65EC"/>
    <w:rsid w:val="362F1373"/>
    <w:rsid w:val="363B2C08"/>
    <w:rsid w:val="366053C6"/>
    <w:rsid w:val="367A26EC"/>
    <w:rsid w:val="36832FFC"/>
    <w:rsid w:val="369A2C21"/>
    <w:rsid w:val="36B23B4B"/>
    <w:rsid w:val="371E516A"/>
    <w:rsid w:val="374024B5"/>
    <w:rsid w:val="37521A1A"/>
    <w:rsid w:val="375C17A0"/>
    <w:rsid w:val="37DF32B8"/>
    <w:rsid w:val="384148C6"/>
    <w:rsid w:val="384E136E"/>
    <w:rsid w:val="386B221B"/>
    <w:rsid w:val="386F5126"/>
    <w:rsid w:val="388E3DA8"/>
    <w:rsid w:val="38FF1191"/>
    <w:rsid w:val="3908621E"/>
    <w:rsid w:val="390A7522"/>
    <w:rsid w:val="391D0741"/>
    <w:rsid w:val="39210D22"/>
    <w:rsid w:val="39515718"/>
    <w:rsid w:val="3968533E"/>
    <w:rsid w:val="39856E6C"/>
    <w:rsid w:val="39B90520"/>
    <w:rsid w:val="39BB7346"/>
    <w:rsid w:val="39CE0565"/>
    <w:rsid w:val="39DC4EF9"/>
    <w:rsid w:val="3A2556F1"/>
    <w:rsid w:val="3A307305"/>
    <w:rsid w:val="3A500E60"/>
    <w:rsid w:val="3A6B16E8"/>
    <w:rsid w:val="3A6C716A"/>
    <w:rsid w:val="3A815E0A"/>
    <w:rsid w:val="3A93434A"/>
    <w:rsid w:val="3AB45085"/>
    <w:rsid w:val="3AC03371"/>
    <w:rsid w:val="3AF955D5"/>
    <w:rsid w:val="3B425EC8"/>
    <w:rsid w:val="3B4B2729"/>
    <w:rsid w:val="3B564B69"/>
    <w:rsid w:val="3B8C75C1"/>
    <w:rsid w:val="3BA46E66"/>
    <w:rsid w:val="3BCA35EE"/>
    <w:rsid w:val="3BD244B2"/>
    <w:rsid w:val="3BDA6645"/>
    <w:rsid w:val="3BF16F66"/>
    <w:rsid w:val="3C271900"/>
    <w:rsid w:val="3C2A03C4"/>
    <w:rsid w:val="3C2F484C"/>
    <w:rsid w:val="3C535D05"/>
    <w:rsid w:val="3C566C8A"/>
    <w:rsid w:val="3CF01087"/>
    <w:rsid w:val="3D394CFE"/>
    <w:rsid w:val="3D477897"/>
    <w:rsid w:val="3D4C3277"/>
    <w:rsid w:val="3D6A54CD"/>
    <w:rsid w:val="3D6E7757"/>
    <w:rsid w:val="3DC945ED"/>
    <w:rsid w:val="3E4B38C2"/>
    <w:rsid w:val="3E6B4177"/>
    <w:rsid w:val="3E9165B5"/>
    <w:rsid w:val="3EBF43EF"/>
    <w:rsid w:val="3EE86FC3"/>
    <w:rsid w:val="3F3D66CD"/>
    <w:rsid w:val="3F5056EE"/>
    <w:rsid w:val="3F8A45CE"/>
    <w:rsid w:val="3F8A67CD"/>
    <w:rsid w:val="3F8D155A"/>
    <w:rsid w:val="3FB64B12"/>
    <w:rsid w:val="3FEE64F1"/>
    <w:rsid w:val="3FF82684"/>
    <w:rsid w:val="3FFB233D"/>
    <w:rsid w:val="401A060A"/>
    <w:rsid w:val="40202543"/>
    <w:rsid w:val="402F4D5C"/>
    <w:rsid w:val="4036253F"/>
    <w:rsid w:val="408B1BF3"/>
    <w:rsid w:val="408F05F9"/>
    <w:rsid w:val="4091285F"/>
    <w:rsid w:val="40B9143D"/>
    <w:rsid w:val="40B94CC0"/>
    <w:rsid w:val="40E43586"/>
    <w:rsid w:val="4123306B"/>
    <w:rsid w:val="413A2C90"/>
    <w:rsid w:val="415006B7"/>
    <w:rsid w:val="4166795E"/>
    <w:rsid w:val="41700B81"/>
    <w:rsid w:val="41BD4DC5"/>
    <w:rsid w:val="41CD7C80"/>
    <w:rsid w:val="41EC71D1"/>
    <w:rsid w:val="42212F8E"/>
    <w:rsid w:val="422B3542"/>
    <w:rsid w:val="425C406C"/>
    <w:rsid w:val="42651AFD"/>
    <w:rsid w:val="42C936F7"/>
    <w:rsid w:val="42E80753"/>
    <w:rsid w:val="434A0702"/>
    <w:rsid w:val="434F5B3E"/>
    <w:rsid w:val="43D403D5"/>
    <w:rsid w:val="43F23209"/>
    <w:rsid w:val="449851D6"/>
    <w:rsid w:val="44A818BD"/>
    <w:rsid w:val="44DB3186"/>
    <w:rsid w:val="450155C4"/>
    <w:rsid w:val="453E0BE5"/>
    <w:rsid w:val="454D7C42"/>
    <w:rsid w:val="45585FD3"/>
    <w:rsid w:val="457A1A0B"/>
    <w:rsid w:val="4586581D"/>
    <w:rsid w:val="45CB0510"/>
    <w:rsid w:val="4619280E"/>
    <w:rsid w:val="4664740A"/>
    <w:rsid w:val="46683C12"/>
    <w:rsid w:val="467576A4"/>
    <w:rsid w:val="4685644F"/>
    <w:rsid w:val="46884147"/>
    <w:rsid w:val="46B67C10"/>
    <w:rsid w:val="46F91E7C"/>
    <w:rsid w:val="46FC2E01"/>
    <w:rsid w:val="470A0D34"/>
    <w:rsid w:val="471B36B5"/>
    <w:rsid w:val="472A1751"/>
    <w:rsid w:val="473F46FE"/>
    <w:rsid w:val="4764152B"/>
    <w:rsid w:val="47A16E12"/>
    <w:rsid w:val="47C322B0"/>
    <w:rsid w:val="47F90B25"/>
    <w:rsid w:val="48123C4D"/>
    <w:rsid w:val="481B4154"/>
    <w:rsid w:val="484F5472"/>
    <w:rsid w:val="48942F22"/>
    <w:rsid w:val="489B6016"/>
    <w:rsid w:val="48E36524"/>
    <w:rsid w:val="48FD3838"/>
    <w:rsid w:val="4953205B"/>
    <w:rsid w:val="49626DF3"/>
    <w:rsid w:val="49974882"/>
    <w:rsid w:val="49C66341"/>
    <w:rsid w:val="49D217F6"/>
    <w:rsid w:val="49FC6FF1"/>
    <w:rsid w:val="4A192D1E"/>
    <w:rsid w:val="4A2A5F8F"/>
    <w:rsid w:val="4A4E1756"/>
    <w:rsid w:val="4A603492"/>
    <w:rsid w:val="4A6F5CAB"/>
    <w:rsid w:val="4A901A63"/>
    <w:rsid w:val="4AA71688"/>
    <w:rsid w:val="4AD124CC"/>
    <w:rsid w:val="4B150BE3"/>
    <w:rsid w:val="4B1871BC"/>
    <w:rsid w:val="4B373818"/>
    <w:rsid w:val="4B434D8A"/>
    <w:rsid w:val="4B5375A2"/>
    <w:rsid w:val="4B547222"/>
    <w:rsid w:val="4B6C60FC"/>
    <w:rsid w:val="4B80136B"/>
    <w:rsid w:val="4BA24DA3"/>
    <w:rsid w:val="4BAF1EBA"/>
    <w:rsid w:val="4C143DDD"/>
    <w:rsid w:val="4C4705C8"/>
    <w:rsid w:val="4C9011A8"/>
    <w:rsid w:val="4D3651B9"/>
    <w:rsid w:val="4D4D1229"/>
    <w:rsid w:val="4D621710"/>
    <w:rsid w:val="4D9664D8"/>
    <w:rsid w:val="4DAB5178"/>
    <w:rsid w:val="4DB53509"/>
    <w:rsid w:val="4DDF214F"/>
    <w:rsid w:val="4E023609"/>
    <w:rsid w:val="4E045E40"/>
    <w:rsid w:val="4E1216A5"/>
    <w:rsid w:val="4E2B0F4A"/>
    <w:rsid w:val="4E85035F"/>
    <w:rsid w:val="4F1E505A"/>
    <w:rsid w:val="4F26376B"/>
    <w:rsid w:val="4F3F1EE3"/>
    <w:rsid w:val="4F460C2D"/>
    <w:rsid w:val="4FD97BC6"/>
    <w:rsid w:val="50677322"/>
    <w:rsid w:val="507054A4"/>
    <w:rsid w:val="50774392"/>
    <w:rsid w:val="507D3D1D"/>
    <w:rsid w:val="50854950"/>
    <w:rsid w:val="50927F38"/>
    <w:rsid w:val="50E43D72"/>
    <w:rsid w:val="50EE52D5"/>
    <w:rsid w:val="510074C2"/>
    <w:rsid w:val="510164F4"/>
    <w:rsid w:val="51147713"/>
    <w:rsid w:val="516A6CD3"/>
    <w:rsid w:val="516C3C72"/>
    <w:rsid w:val="51727AAD"/>
    <w:rsid w:val="51BB11A6"/>
    <w:rsid w:val="51DE4BDE"/>
    <w:rsid w:val="51E333FD"/>
    <w:rsid w:val="52100AA2"/>
    <w:rsid w:val="52677785"/>
    <w:rsid w:val="532603F8"/>
    <w:rsid w:val="53294C00"/>
    <w:rsid w:val="532C2301"/>
    <w:rsid w:val="53A854CE"/>
    <w:rsid w:val="53DA11A0"/>
    <w:rsid w:val="540D4E72"/>
    <w:rsid w:val="54124B7D"/>
    <w:rsid w:val="541D768B"/>
    <w:rsid w:val="54440BD0"/>
    <w:rsid w:val="5472041A"/>
    <w:rsid w:val="54C46B9F"/>
    <w:rsid w:val="54CE752D"/>
    <w:rsid w:val="550D2817"/>
    <w:rsid w:val="55275D58"/>
    <w:rsid w:val="55346855"/>
    <w:rsid w:val="55473382"/>
    <w:rsid w:val="55574B5A"/>
    <w:rsid w:val="55D05DD8"/>
    <w:rsid w:val="560A4CB8"/>
    <w:rsid w:val="56153049"/>
    <w:rsid w:val="56646CFF"/>
    <w:rsid w:val="56792D6E"/>
    <w:rsid w:val="568F2634"/>
    <w:rsid w:val="56A243B3"/>
    <w:rsid w:val="56C45044"/>
    <w:rsid w:val="571254EA"/>
    <w:rsid w:val="57227D03"/>
    <w:rsid w:val="57514FCF"/>
    <w:rsid w:val="575E2A44"/>
    <w:rsid w:val="5796443F"/>
    <w:rsid w:val="580A21FF"/>
    <w:rsid w:val="581F6921"/>
    <w:rsid w:val="58436AD0"/>
    <w:rsid w:val="585225F3"/>
    <w:rsid w:val="589C176E"/>
    <w:rsid w:val="58CF083D"/>
    <w:rsid w:val="58D376CA"/>
    <w:rsid w:val="58DD7FD9"/>
    <w:rsid w:val="592B22D7"/>
    <w:rsid w:val="59A654A4"/>
    <w:rsid w:val="59B212B6"/>
    <w:rsid w:val="59BB1BC6"/>
    <w:rsid w:val="59EC0196"/>
    <w:rsid w:val="5A214DED"/>
    <w:rsid w:val="5A35600C"/>
    <w:rsid w:val="5A5F26D4"/>
    <w:rsid w:val="5A6F2DBE"/>
    <w:rsid w:val="5AF32970"/>
    <w:rsid w:val="5AF812BC"/>
    <w:rsid w:val="5B2E6224"/>
    <w:rsid w:val="5B355BAF"/>
    <w:rsid w:val="5B4C57D4"/>
    <w:rsid w:val="5B6466FE"/>
    <w:rsid w:val="5B991157"/>
    <w:rsid w:val="5BCF5DAD"/>
    <w:rsid w:val="5C052497"/>
    <w:rsid w:val="5C3D1C65"/>
    <w:rsid w:val="5CA85A91"/>
    <w:rsid w:val="5CE91D7D"/>
    <w:rsid w:val="5CEA77FF"/>
    <w:rsid w:val="5D1276BE"/>
    <w:rsid w:val="5D54142D"/>
    <w:rsid w:val="5D641697"/>
    <w:rsid w:val="5D657148"/>
    <w:rsid w:val="5D6D410D"/>
    <w:rsid w:val="5D7661A8"/>
    <w:rsid w:val="5D851BFC"/>
    <w:rsid w:val="5D8C4A6C"/>
    <w:rsid w:val="5D923490"/>
    <w:rsid w:val="5D9D50A4"/>
    <w:rsid w:val="5DC5158A"/>
    <w:rsid w:val="5DF247AE"/>
    <w:rsid w:val="5E1075E1"/>
    <w:rsid w:val="5E4E2182"/>
    <w:rsid w:val="5E531759"/>
    <w:rsid w:val="5E910E34"/>
    <w:rsid w:val="5EBF6480"/>
    <w:rsid w:val="5ECD7994"/>
    <w:rsid w:val="5ED2769F"/>
    <w:rsid w:val="5EE37C8F"/>
    <w:rsid w:val="5F205220"/>
    <w:rsid w:val="5FB32210"/>
    <w:rsid w:val="5FE813E6"/>
    <w:rsid w:val="6077540C"/>
    <w:rsid w:val="60837066"/>
    <w:rsid w:val="61277B74"/>
    <w:rsid w:val="6138200C"/>
    <w:rsid w:val="61445E1F"/>
    <w:rsid w:val="614D1FB2"/>
    <w:rsid w:val="615F7CCE"/>
    <w:rsid w:val="616D4A65"/>
    <w:rsid w:val="618C281E"/>
    <w:rsid w:val="621C3904"/>
    <w:rsid w:val="626A3683"/>
    <w:rsid w:val="634C1A77"/>
    <w:rsid w:val="63656DBD"/>
    <w:rsid w:val="63B0179C"/>
    <w:rsid w:val="63C66D9A"/>
    <w:rsid w:val="64014A1E"/>
    <w:rsid w:val="641038BF"/>
    <w:rsid w:val="64367476"/>
    <w:rsid w:val="64D150F6"/>
    <w:rsid w:val="64D751A7"/>
    <w:rsid w:val="64E40894"/>
    <w:rsid w:val="651F2C77"/>
    <w:rsid w:val="655D371D"/>
    <w:rsid w:val="65663BD4"/>
    <w:rsid w:val="65B60BEC"/>
    <w:rsid w:val="65D649A4"/>
    <w:rsid w:val="663E4AEE"/>
    <w:rsid w:val="66647A8B"/>
    <w:rsid w:val="667F60B7"/>
    <w:rsid w:val="66854513"/>
    <w:rsid w:val="669811DF"/>
    <w:rsid w:val="66D200BF"/>
    <w:rsid w:val="67282CCC"/>
    <w:rsid w:val="676E7F3D"/>
    <w:rsid w:val="676F5583"/>
    <w:rsid w:val="678655C6"/>
    <w:rsid w:val="67C71FBE"/>
    <w:rsid w:val="68332285"/>
    <w:rsid w:val="68706867"/>
    <w:rsid w:val="687F3E33"/>
    <w:rsid w:val="688E3ACF"/>
    <w:rsid w:val="688F3898"/>
    <w:rsid w:val="68965501"/>
    <w:rsid w:val="68FE20FD"/>
    <w:rsid w:val="692F7608"/>
    <w:rsid w:val="69326925"/>
    <w:rsid w:val="69461D42"/>
    <w:rsid w:val="69696A7E"/>
    <w:rsid w:val="698044A5"/>
    <w:rsid w:val="699A504F"/>
    <w:rsid w:val="699E5C54"/>
    <w:rsid w:val="69FF27F5"/>
    <w:rsid w:val="6A411A19"/>
    <w:rsid w:val="6A724D32"/>
    <w:rsid w:val="6A9816EF"/>
    <w:rsid w:val="6A9A0475"/>
    <w:rsid w:val="6ACD4147"/>
    <w:rsid w:val="6ADD43E2"/>
    <w:rsid w:val="6B1967C5"/>
    <w:rsid w:val="6B313E6C"/>
    <w:rsid w:val="6B656D94"/>
    <w:rsid w:val="6B8425F1"/>
    <w:rsid w:val="6BD31477"/>
    <w:rsid w:val="6C1C72EC"/>
    <w:rsid w:val="6C475BB2"/>
    <w:rsid w:val="6C9D0B3F"/>
    <w:rsid w:val="6C9E1E44"/>
    <w:rsid w:val="6CD162FC"/>
    <w:rsid w:val="6D282CA2"/>
    <w:rsid w:val="6D473557"/>
    <w:rsid w:val="6DDA0547"/>
    <w:rsid w:val="6DF67E77"/>
    <w:rsid w:val="6E3269D7"/>
    <w:rsid w:val="6E675BAD"/>
    <w:rsid w:val="6EEB3C07"/>
    <w:rsid w:val="6EF44517"/>
    <w:rsid w:val="6F293971"/>
    <w:rsid w:val="6F3E5C10"/>
    <w:rsid w:val="6F460A9E"/>
    <w:rsid w:val="6F9A0476"/>
    <w:rsid w:val="6FF061AA"/>
    <w:rsid w:val="6FFB1846"/>
    <w:rsid w:val="706B2DFF"/>
    <w:rsid w:val="7091303E"/>
    <w:rsid w:val="709D6E51"/>
    <w:rsid w:val="71170D19"/>
    <w:rsid w:val="71180999"/>
    <w:rsid w:val="7120731A"/>
    <w:rsid w:val="71445785"/>
    <w:rsid w:val="716C0423"/>
    <w:rsid w:val="719A5A6F"/>
    <w:rsid w:val="71A63A80"/>
    <w:rsid w:val="71A7678D"/>
    <w:rsid w:val="71D2144C"/>
    <w:rsid w:val="71D80DD7"/>
    <w:rsid w:val="72062BA0"/>
    <w:rsid w:val="72286AD7"/>
    <w:rsid w:val="72442685"/>
    <w:rsid w:val="725F0CB0"/>
    <w:rsid w:val="727047CE"/>
    <w:rsid w:val="72866971"/>
    <w:rsid w:val="72DA63FB"/>
    <w:rsid w:val="73334ACA"/>
    <w:rsid w:val="73707BF4"/>
    <w:rsid w:val="73C43909"/>
    <w:rsid w:val="73CD34FD"/>
    <w:rsid w:val="741F0C91"/>
    <w:rsid w:val="74264F74"/>
    <w:rsid w:val="744A2530"/>
    <w:rsid w:val="74872895"/>
    <w:rsid w:val="74AC62F7"/>
    <w:rsid w:val="74C701A5"/>
    <w:rsid w:val="74CB5A00"/>
    <w:rsid w:val="74D00AB5"/>
    <w:rsid w:val="74D16536"/>
    <w:rsid w:val="74E93BDD"/>
    <w:rsid w:val="74F457F1"/>
    <w:rsid w:val="74F53273"/>
    <w:rsid w:val="751F40B7"/>
    <w:rsid w:val="75255FC0"/>
    <w:rsid w:val="75B73EEA"/>
    <w:rsid w:val="75BA64B4"/>
    <w:rsid w:val="75E727FB"/>
    <w:rsid w:val="764A4A9E"/>
    <w:rsid w:val="764C7C69"/>
    <w:rsid w:val="766F725C"/>
    <w:rsid w:val="76B41F4F"/>
    <w:rsid w:val="76CB1B74"/>
    <w:rsid w:val="7781259C"/>
    <w:rsid w:val="77997C43"/>
    <w:rsid w:val="779B69C9"/>
    <w:rsid w:val="77A41857"/>
    <w:rsid w:val="77BF23F7"/>
    <w:rsid w:val="78173D95"/>
    <w:rsid w:val="78306EBD"/>
    <w:rsid w:val="783A77CC"/>
    <w:rsid w:val="785C1A9B"/>
    <w:rsid w:val="787005A5"/>
    <w:rsid w:val="78A965FC"/>
    <w:rsid w:val="78BC2324"/>
    <w:rsid w:val="78CF5AC2"/>
    <w:rsid w:val="78F53708"/>
    <w:rsid w:val="79504D96"/>
    <w:rsid w:val="79757554"/>
    <w:rsid w:val="79AF6F1F"/>
    <w:rsid w:val="79C066CF"/>
    <w:rsid w:val="7A0A7A48"/>
    <w:rsid w:val="7A284DF9"/>
    <w:rsid w:val="7A2E02FE"/>
    <w:rsid w:val="7A4543A9"/>
    <w:rsid w:val="7A50273A"/>
    <w:rsid w:val="7A6B0670"/>
    <w:rsid w:val="7A8A161B"/>
    <w:rsid w:val="7A8C4B1E"/>
    <w:rsid w:val="7AC34C78"/>
    <w:rsid w:val="7B7C6624"/>
    <w:rsid w:val="7BC05E14"/>
    <w:rsid w:val="7BDE2E46"/>
    <w:rsid w:val="7BE13DCA"/>
    <w:rsid w:val="7BF043E5"/>
    <w:rsid w:val="7C6F27F4"/>
    <w:rsid w:val="7CA141B5"/>
    <w:rsid w:val="7CA85BD2"/>
    <w:rsid w:val="7CB918AF"/>
    <w:rsid w:val="7CC70BC5"/>
    <w:rsid w:val="7CCC504D"/>
    <w:rsid w:val="7CE86B7B"/>
    <w:rsid w:val="7D1C2375"/>
    <w:rsid w:val="7D4E4321"/>
    <w:rsid w:val="7D5909DE"/>
    <w:rsid w:val="7D5E7E3F"/>
    <w:rsid w:val="7D69612A"/>
    <w:rsid w:val="7DBB4D9B"/>
    <w:rsid w:val="7E0405CD"/>
    <w:rsid w:val="7E132DE5"/>
    <w:rsid w:val="7E4E0919"/>
    <w:rsid w:val="7EEE5FCC"/>
    <w:rsid w:val="7F32132B"/>
    <w:rsid w:val="7F3541C2"/>
    <w:rsid w:val="7F664991"/>
    <w:rsid w:val="7F6D431C"/>
    <w:rsid w:val="7F7A3631"/>
    <w:rsid w:val="7FC21827"/>
    <w:rsid w:val="7FDE58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03"/>
    <w:qFormat/>
    <w:uiPriority w:val="9"/>
    <w:pPr>
      <w:keepNext/>
      <w:keepLines/>
      <w:tabs>
        <w:tab w:val="left" w:pos="360"/>
      </w:tabs>
      <w:spacing w:before="120" w:line="360" w:lineRule="auto"/>
      <w:ind w:left="284" w:hanging="284"/>
      <w:outlineLvl w:val="0"/>
    </w:pPr>
    <w:rPr>
      <w:b/>
      <w:sz w:val="28"/>
      <w:szCs w:val="20"/>
    </w:rPr>
  </w:style>
  <w:style w:type="paragraph" w:styleId="3">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9"/>
    <w:pPr>
      <w:tabs>
        <w:tab w:val="left" w:pos="2155"/>
      </w:tabs>
      <w:spacing w:before="120" w:line="360" w:lineRule="auto"/>
      <w:ind w:left="2155" w:hanging="1078"/>
      <w:outlineLvl w:val="3"/>
    </w:pPr>
    <w:rPr>
      <w:rFonts w:ascii="仿宋_GB2312" w:eastAsia="Times New Roman"/>
      <w:sz w:val="28"/>
      <w:szCs w:val="20"/>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eastAsia="Times New Roman"/>
      <w:sz w:val="24"/>
      <w:szCs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qFormat/>
    <w:uiPriority w:val="99"/>
    <w:pPr>
      <w:jc w:val="left"/>
    </w:pPr>
  </w:style>
  <w:style w:type="paragraph" w:styleId="15">
    <w:name w:val="Body Text"/>
    <w:basedOn w:val="1"/>
    <w:next w:val="16"/>
    <w:qFormat/>
    <w:uiPriority w:val="0"/>
    <w:rPr>
      <w:rFonts w:ascii="隶书" w:hAnsi="黑体" w:eastAsia="隶书"/>
      <w:b/>
      <w:spacing w:val="-8"/>
      <w:sz w:val="44"/>
      <w:szCs w:val="20"/>
    </w:rPr>
  </w:style>
  <w:style w:type="paragraph" w:styleId="16">
    <w:name w:val="Body Text First Indent"/>
    <w:basedOn w:val="15"/>
    <w:qFormat/>
    <w:uiPriority w:val="99"/>
    <w:pPr>
      <w:spacing w:after="120"/>
      <w:ind w:firstLine="420"/>
    </w:pPr>
    <w:rPr>
      <w:rFonts w:ascii="Times New Roman" w:hAnsi="Times New Roman" w:eastAsia="宋体"/>
      <w:b w:val="0"/>
      <w:spacing w:val="0"/>
      <w:sz w:val="21"/>
      <w:szCs w:val="24"/>
    </w:rPr>
  </w:style>
  <w:style w:type="paragraph" w:styleId="17">
    <w:name w:val="Body Text Indent"/>
    <w:basedOn w:val="1"/>
    <w:next w:val="18"/>
    <w:link w:val="223"/>
    <w:qFormat/>
    <w:uiPriority w:val="99"/>
    <w:pPr>
      <w:spacing w:line="200" w:lineRule="exact"/>
      <w:ind w:firstLine="301"/>
    </w:pPr>
    <w:rPr>
      <w:rFonts w:ascii="Tahoma" w:hAnsi="黑体"/>
      <w:spacing w:val="-4"/>
      <w:sz w:val="18"/>
      <w:szCs w:val="20"/>
    </w:rPr>
  </w:style>
  <w:style w:type="paragraph" w:styleId="18">
    <w:name w:val="envelope return"/>
    <w:basedOn w:val="1"/>
    <w:qFormat/>
    <w:uiPriority w:val="99"/>
    <w:rPr>
      <w:rFonts w:ascii="Arial" w:hAnsi="Arial"/>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99"/>
    <w:rPr>
      <w:rFonts w:ascii="Tahoma" w:hAnsi="黑体" w:cs="方正小标宋_GBK"/>
      <w:szCs w:val="20"/>
    </w:rPr>
  </w:style>
  <w:style w:type="paragraph" w:styleId="22">
    <w:name w:val="toc 8"/>
    <w:basedOn w:val="1"/>
    <w:next w:val="1"/>
    <w:unhideWhenUsed/>
    <w:qFormat/>
    <w:uiPriority w:val="39"/>
    <w:pPr>
      <w:spacing w:after="57"/>
      <w:ind w:left="1984"/>
    </w:pPr>
  </w:style>
  <w:style w:type="paragraph" w:styleId="23">
    <w:name w:val="Body Text Indent 2"/>
    <w:basedOn w:val="1"/>
    <w:link w:val="204"/>
    <w:qFormat/>
    <w:uiPriority w:val="99"/>
    <w:pPr>
      <w:spacing w:after="120" w:line="480" w:lineRule="auto"/>
      <w:ind w:left="420"/>
    </w:pPr>
  </w:style>
  <w:style w:type="paragraph" w:styleId="24">
    <w:name w:val="endnote text"/>
    <w:basedOn w:val="1"/>
    <w:link w:val="196"/>
    <w:semiHidden/>
    <w:unhideWhenUsed/>
    <w:qFormat/>
    <w:uiPriority w:val="99"/>
    <w:rPr>
      <w:sz w:val="20"/>
    </w:rPr>
  </w:style>
  <w:style w:type="paragraph" w:styleId="25">
    <w:name w:val="footer"/>
    <w:basedOn w:val="1"/>
    <w:link w:val="211"/>
    <w:qFormat/>
    <w:uiPriority w:val="0"/>
    <w:pPr>
      <w:tabs>
        <w:tab w:val="center" w:pos="4153"/>
        <w:tab w:val="right" w:pos="8306"/>
      </w:tabs>
      <w:jc w:val="left"/>
    </w:pPr>
    <w:rPr>
      <w:rFonts w:ascii="Tahoma" w:hAnsi="黑体" w:eastAsia="Times New Roman"/>
      <w:sz w:val="18"/>
      <w:szCs w:val="20"/>
    </w:rPr>
  </w:style>
  <w:style w:type="paragraph" w:styleId="26">
    <w:name w:val="header"/>
    <w:basedOn w:val="1"/>
    <w:next w:val="27"/>
    <w:link w:val="222"/>
    <w:qFormat/>
    <w:uiPriority w:val="0"/>
    <w:pPr>
      <w:pBdr>
        <w:bottom w:val="single" w:color="auto" w:sz="6" w:space="1"/>
      </w:pBdr>
      <w:tabs>
        <w:tab w:val="center" w:pos="4153"/>
        <w:tab w:val="right" w:pos="8306"/>
      </w:tabs>
      <w:jc w:val="center"/>
    </w:pPr>
    <w:rPr>
      <w:sz w:val="18"/>
      <w:szCs w:val="18"/>
    </w:rPr>
  </w:style>
  <w:style w:type="paragraph" w:customStyle="1" w:styleId="27">
    <w:name w:val="Quote1"/>
    <w:basedOn w:val="1"/>
    <w:next w:val="1"/>
    <w:qFormat/>
    <w:uiPriority w:val="99"/>
    <w:pPr>
      <w:widowControl/>
      <w:spacing w:before="200" w:after="160"/>
      <w:ind w:left="864" w:right="864"/>
      <w:jc w:val="center"/>
    </w:pPr>
    <w:rPr>
      <w:rFonts w:ascii="宋体"/>
      <w:i/>
      <w:color w:val="404040"/>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2"/>
    <w:qFormat/>
    <w:uiPriority w:val="11"/>
    <w:pPr>
      <w:spacing w:before="200" w:after="200"/>
    </w:pPr>
    <w:rPr>
      <w:sz w:val="24"/>
    </w:rPr>
  </w:style>
  <w:style w:type="paragraph" w:styleId="31">
    <w:name w:val="footnote text"/>
    <w:basedOn w:val="1"/>
    <w:link w:val="195"/>
    <w:semiHidden/>
    <w:unhideWhenUsed/>
    <w:qFormat/>
    <w:uiPriority w:val="99"/>
    <w:pPr>
      <w:spacing w:after="40"/>
    </w:pPr>
    <w:rPr>
      <w:sz w:val="18"/>
    </w:rPr>
  </w:style>
  <w:style w:type="paragraph" w:styleId="32">
    <w:name w:val="toc 6"/>
    <w:basedOn w:val="1"/>
    <w:next w:val="1"/>
    <w:unhideWhenUsed/>
    <w:qFormat/>
    <w:uiPriority w:val="39"/>
    <w:pPr>
      <w:ind w:left="1050"/>
      <w:jc w:val="left"/>
    </w:pPr>
    <w:rPr>
      <w:rFonts w:ascii="Calibri" w:hAnsi="Calibri" w:cs="Calibri"/>
      <w:sz w:val="18"/>
      <w:szCs w:val="18"/>
    </w:r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Tahoma" w:hAnsi="Tahoma"/>
      <w:sz w:val="24"/>
    </w:rPr>
  </w:style>
  <w:style w:type="paragraph" w:styleId="37">
    <w:name w:val="Normal (Web)"/>
    <w:basedOn w:val="1"/>
    <w:qFormat/>
    <w:uiPriority w:val="0"/>
    <w:pPr>
      <w:widowControl/>
      <w:spacing w:before="100" w:beforeAutospacing="1" w:after="100" w:afterAutospacing="1"/>
      <w:jc w:val="left"/>
    </w:pPr>
    <w:rPr>
      <w:rFonts w:ascii="Tahoma" w:hAnsi="Tahoma"/>
      <w:sz w:val="24"/>
    </w:rPr>
  </w:style>
  <w:style w:type="paragraph" w:styleId="38">
    <w:name w:val="Title"/>
    <w:basedOn w:val="1"/>
    <w:next w:val="1"/>
    <w:link w:val="61"/>
    <w:qFormat/>
    <w:uiPriority w:val="10"/>
    <w:pPr>
      <w:spacing w:before="300" w:after="200"/>
      <w:contextualSpacing/>
    </w:pPr>
    <w:rPr>
      <w:sz w:val="48"/>
      <w:szCs w:val="48"/>
    </w:rPr>
  </w:style>
  <w:style w:type="paragraph" w:styleId="39">
    <w:name w:val="Body Text First Indent 2"/>
    <w:basedOn w:val="17"/>
    <w:link w:val="224"/>
    <w:qFormat/>
    <w:uiPriority w:val="0"/>
    <w:pPr>
      <w:spacing w:after="120" w:line="240" w:lineRule="auto"/>
      <w:ind w:left="420" w:leftChars="200" w:firstLine="420" w:firstLineChars="200"/>
    </w:pPr>
    <w:rPr>
      <w:rFonts w:asciiTheme="minorHAnsi" w:hAnsiTheme="minorHAnsi" w:eastAsiaTheme="minorEastAsia" w:cstheme="minorBidi"/>
      <w:spacing w:val="0"/>
      <w:kern w:val="2"/>
      <w:sz w:val="21"/>
      <w:szCs w:val="24"/>
    </w:rPr>
  </w:style>
  <w:style w:type="table" w:styleId="41">
    <w:name w:val="Table Grid"/>
    <w:basedOn w:val="40"/>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0"/>
    <w:rPr>
      <w:rFonts w:cs="Times New Roman"/>
      <w:b/>
    </w:rPr>
  </w:style>
  <w:style w:type="character" w:styleId="44">
    <w:name w:val="endnote reference"/>
    <w:basedOn w:val="42"/>
    <w:semiHidden/>
    <w:unhideWhenUsed/>
    <w:qFormat/>
    <w:uiPriority w:val="99"/>
    <w:rPr>
      <w:vertAlign w:val="superscript"/>
    </w:rPr>
  </w:style>
  <w:style w:type="character" w:styleId="45">
    <w:name w:val="page number"/>
    <w:basedOn w:val="42"/>
    <w:qFormat/>
    <w:uiPriority w:val="99"/>
    <w:rPr>
      <w:rFonts w:cs="Times New Roman"/>
    </w:rPr>
  </w:style>
  <w:style w:type="character" w:styleId="46">
    <w:name w:val="Emphasis"/>
    <w:basedOn w:val="42"/>
    <w:qFormat/>
    <w:uiPriority w:val="20"/>
    <w:rPr>
      <w:i/>
    </w:rPr>
  </w:style>
  <w:style w:type="character" w:styleId="47">
    <w:name w:val="Hyperlink"/>
    <w:unhideWhenUsed/>
    <w:qFormat/>
    <w:uiPriority w:val="99"/>
    <w:rPr>
      <w:color w:val="0026E5" w:themeColor="hyperlink"/>
      <w:u w:val="single"/>
      <w14:textFill>
        <w14:solidFill>
          <w14:schemeClr w14:val="hlink"/>
        </w14:solidFill>
      </w14:textFill>
    </w:rPr>
  </w:style>
  <w:style w:type="character" w:styleId="48">
    <w:name w:val="footnote reference"/>
    <w:basedOn w:val="42"/>
    <w:unhideWhenUsed/>
    <w:qFormat/>
    <w:uiPriority w:val="99"/>
    <w:rPr>
      <w:vertAlign w:val="superscript"/>
    </w:rPr>
  </w:style>
  <w:style w:type="paragraph" w:customStyle="1" w:styleId="49">
    <w:name w:val="Default"/>
    <w:unhideWhenUsed/>
    <w:qFormat/>
    <w:uiPriority w:val="99"/>
    <w:pPr>
      <w:widowControl w:val="0"/>
    </w:pPr>
    <w:rPr>
      <w:rFonts w:hint="eastAsia" w:ascii="黑体" w:hAnsi="黑体" w:eastAsia="黑体" w:cs="Times New Roman"/>
      <w:color w:val="000000"/>
      <w:sz w:val="24"/>
      <w:szCs w:val="22"/>
      <w:lang w:val="en-US" w:eastAsia="zh-CN" w:bidi="ar-SA"/>
    </w:rPr>
  </w:style>
  <w:style w:type="character" w:customStyle="1" w:styleId="50">
    <w:name w:val="Heading 1 Char"/>
    <w:basedOn w:val="42"/>
    <w:qFormat/>
    <w:uiPriority w:val="9"/>
    <w:rPr>
      <w:rFonts w:ascii="Arial" w:hAnsi="Arial" w:eastAsia="Arial" w:cs="Arial"/>
      <w:sz w:val="40"/>
      <w:szCs w:val="40"/>
    </w:rPr>
  </w:style>
  <w:style w:type="character" w:customStyle="1" w:styleId="51">
    <w:name w:val="标题 2 字符"/>
    <w:basedOn w:val="42"/>
    <w:link w:val="3"/>
    <w:qFormat/>
    <w:uiPriority w:val="9"/>
    <w:rPr>
      <w:rFonts w:ascii="Arial" w:hAnsi="Arial" w:eastAsia="Arial" w:cs="Arial"/>
      <w:sz w:val="34"/>
    </w:rPr>
  </w:style>
  <w:style w:type="character" w:customStyle="1" w:styleId="52">
    <w:name w:val="标题 3 字符"/>
    <w:basedOn w:val="42"/>
    <w:link w:val="4"/>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标题 5 字符"/>
    <w:basedOn w:val="42"/>
    <w:link w:val="6"/>
    <w:qFormat/>
    <w:uiPriority w:val="9"/>
    <w:rPr>
      <w:rFonts w:ascii="Arial" w:hAnsi="Arial" w:eastAsia="Arial" w:cs="Arial"/>
      <w:b/>
      <w:bCs/>
      <w:sz w:val="24"/>
      <w:szCs w:val="24"/>
    </w:rPr>
  </w:style>
  <w:style w:type="character" w:customStyle="1" w:styleId="55">
    <w:name w:val="标题 6 字符"/>
    <w:basedOn w:val="42"/>
    <w:link w:val="7"/>
    <w:qFormat/>
    <w:uiPriority w:val="9"/>
    <w:rPr>
      <w:rFonts w:ascii="Arial" w:hAnsi="Arial" w:eastAsia="Arial" w:cs="Arial"/>
      <w:b/>
      <w:bCs/>
      <w:sz w:val="22"/>
      <w:szCs w:val="22"/>
    </w:rPr>
  </w:style>
  <w:style w:type="character" w:customStyle="1" w:styleId="56">
    <w:name w:val="标题 7 字符"/>
    <w:basedOn w:val="42"/>
    <w:link w:val="8"/>
    <w:qFormat/>
    <w:uiPriority w:val="9"/>
    <w:rPr>
      <w:rFonts w:ascii="Arial" w:hAnsi="Arial" w:eastAsia="Arial" w:cs="Arial"/>
      <w:b/>
      <w:bCs/>
      <w:i/>
      <w:iCs/>
      <w:sz w:val="22"/>
      <w:szCs w:val="22"/>
    </w:rPr>
  </w:style>
  <w:style w:type="character" w:customStyle="1" w:styleId="57">
    <w:name w:val="标题 8 字符"/>
    <w:basedOn w:val="42"/>
    <w:link w:val="9"/>
    <w:qFormat/>
    <w:uiPriority w:val="9"/>
    <w:rPr>
      <w:rFonts w:ascii="Arial" w:hAnsi="Arial" w:eastAsia="Arial" w:cs="Arial"/>
      <w:i/>
      <w:iCs/>
      <w:sz w:val="22"/>
      <w:szCs w:val="22"/>
    </w:rPr>
  </w:style>
  <w:style w:type="character" w:customStyle="1" w:styleId="58">
    <w:name w:val="标题 9 字符"/>
    <w:basedOn w:val="42"/>
    <w:link w:val="10"/>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rPr>
      <w:rFonts w:ascii="Times New Roman" w:hAnsi="Times New Roman" w:eastAsia="宋体" w:cs="Times New Roman"/>
      <w:lang w:val="en-US" w:eastAsia="zh-CN" w:bidi="ar-SA"/>
    </w:rPr>
  </w:style>
  <w:style w:type="character" w:customStyle="1" w:styleId="61">
    <w:name w:val="标题 字符"/>
    <w:basedOn w:val="42"/>
    <w:link w:val="38"/>
    <w:qFormat/>
    <w:uiPriority w:val="10"/>
    <w:rPr>
      <w:sz w:val="48"/>
      <w:szCs w:val="48"/>
    </w:rPr>
  </w:style>
  <w:style w:type="character" w:customStyle="1" w:styleId="62">
    <w:name w:val="副标题 字符"/>
    <w:basedOn w:val="42"/>
    <w:link w:val="30"/>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Header Char"/>
    <w:basedOn w:val="42"/>
    <w:qFormat/>
    <w:uiPriority w:val="99"/>
  </w:style>
  <w:style w:type="character" w:customStyle="1" w:styleId="68">
    <w:name w:val="Footer Char"/>
    <w:basedOn w:val="42"/>
    <w:uiPriority w:val="99"/>
  </w:style>
  <w:style w:type="character" w:customStyle="1" w:styleId="69">
    <w:name w:val="Caption Char"/>
    <w:qFormat/>
    <w:uiPriority w:val="99"/>
  </w:style>
  <w:style w:type="table" w:customStyle="1" w:styleId="70">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1">
    <w:name w:val="无格式表格 11"/>
    <w:basedOn w:val="40"/>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40"/>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8">
    <w:name w:val="Grid Table 1 Light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9">
    <w:name w:val="Grid Table 1 Light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0">
    <w:name w:val="Grid Table 1 Light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1">
    <w:name w:val="Grid Table 1 Light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2">
    <w:name w:val="Grid Table 1 Light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3">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5">
    <w:name w:val="Grid Table 2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6">
    <w:name w:val="Grid Table 2 - Accent 3"/>
    <w:basedOn w:val="40"/>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7">
    <w:name w:val="Grid Table 2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8">
    <w:name w:val="Grid Table 2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9">
    <w:name w:val="Grid Table 2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0">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2">
    <w:name w:val="Grid Table 3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3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3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3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3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0"/>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9">
    <w:name w:val="Grid Table 4 - Accent 2"/>
    <w:basedOn w:val="40"/>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0">
    <w:name w:val="Grid Table 4 - Accent 3"/>
    <w:basedOn w:val="40"/>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1">
    <w:name w:val="Grid Table 4 - Accent 4"/>
    <w:basedOn w:val="40"/>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2">
    <w:name w:val="Grid Table 4 - Accent 5"/>
    <w:basedOn w:val="40"/>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3">
    <w:name w:val="Grid Table 4 - Accent 6"/>
    <w:basedOn w:val="40"/>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4">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6">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7">
    <w:name w:val="Grid Table 5 Dark - Accent 3"/>
    <w:basedOn w:val="4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8">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9">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10">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1">
    <w:name w:val="网格表 6 彩色1"/>
    <w:basedOn w:val="40"/>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0"/>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0"/>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5">
    <w:name w:val="Grid Table 6 Colorful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0"/>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7">
    <w:name w:val="Grid Table 6 Colorful - Accent 6"/>
    <w:basedOn w:val="40"/>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8">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0"/>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0"/>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0"/>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22">
    <w:name w:val="Grid Table 7 Colorful - Accent 4"/>
    <w:basedOn w:val="40"/>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0"/>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4">
    <w:name w:val="Grid Table 7 Colorful - Accent 6"/>
    <w:basedOn w:val="40"/>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5">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0"/>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7">
    <w:name w:val="List Table 1 Light - Accent 2"/>
    <w:basedOn w:val="40"/>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8">
    <w:name w:val="List Table 1 Light - Accent 3"/>
    <w:basedOn w:val="40"/>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9">
    <w:name w:val="List Table 1 Light - Accent 4"/>
    <w:basedOn w:val="40"/>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30">
    <w:name w:val="List Table 1 Light - Accent 5"/>
    <w:basedOn w:val="40"/>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1">
    <w:name w:val="List Table 1 Light - Accent 6"/>
    <w:basedOn w:val="40"/>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2">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0"/>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4">
    <w:name w:val="List Table 2 - Accent 2"/>
    <w:basedOn w:val="40"/>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5">
    <w:name w:val="List Table 2 - Accent 3"/>
    <w:basedOn w:val="40"/>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6">
    <w:name w:val="List Table 2 - Accent 4"/>
    <w:basedOn w:val="40"/>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7">
    <w:name w:val="List Table 2 - Accent 5"/>
    <w:basedOn w:val="40"/>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8">
    <w:name w:val="List Table 2 - Accent 6"/>
    <w:basedOn w:val="40"/>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9">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0"/>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1">
    <w:name w:val="List Table 3 - Accent 2"/>
    <w:basedOn w:val="40"/>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2">
    <w:name w:val="List Table 3 - Accent 3"/>
    <w:basedOn w:val="40"/>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3">
    <w:name w:val="List Table 3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4">
    <w:name w:val="List Table 3 - Accent 5"/>
    <w:basedOn w:val="40"/>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5">
    <w:name w:val="List Table 3 - Accent 6"/>
    <w:basedOn w:val="40"/>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6">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0"/>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8">
    <w:name w:val="List Table 4 - Accent 2"/>
    <w:basedOn w:val="40"/>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9">
    <w:name w:val="List Table 4 - Accent 3"/>
    <w:basedOn w:val="40"/>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0">
    <w:name w:val="List Table 4 - Accent 4"/>
    <w:basedOn w:val="40"/>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1">
    <w:name w:val="List Table 4 - Accent 5"/>
    <w:basedOn w:val="40"/>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2">
    <w:name w:val="List Table 4 - Accent 6"/>
    <w:basedOn w:val="40"/>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3">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0"/>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5">
    <w:name w:val="List Table 5 Dark - Accent 2"/>
    <w:basedOn w:val="40"/>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6">
    <w:name w:val="List Table 5 Dark - Accent 3"/>
    <w:basedOn w:val="40"/>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7">
    <w:name w:val="List Table 5 Dark - Accent 4"/>
    <w:basedOn w:val="40"/>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8">
    <w:name w:val="List Table 5 Dark - Accent 5"/>
    <w:basedOn w:val="40"/>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9">
    <w:name w:val="List Table 5 Dark - Accent 6"/>
    <w:basedOn w:val="40"/>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0">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0"/>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2">
    <w:name w:val="List Table 6 Colorful - Accent 2"/>
    <w:basedOn w:val="40"/>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0"/>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0"/>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0"/>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0"/>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7">
    <w:name w:val="清单表 7 彩色1"/>
    <w:basedOn w:val="40"/>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0"/>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9">
    <w:name w:val="List Table 7 Colorful - Accent 2"/>
    <w:basedOn w:val="40"/>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0"/>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0"/>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0"/>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0"/>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0"/>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6">
    <w:name w:val="Lined - Accent 2"/>
    <w:basedOn w:val="40"/>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7">
    <w:name w:val="Lined - Accent 3"/>
    <w:basedOn w:val="40"/>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8">
    <w:name w:val="Lined - Accent 4"/>
    <w:basedOn w:val="40"/>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9">
    <w:name w:val="Lined - Accent 5"/>
    <w:basedOn w:val="40"/>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0">
    <w:name w:val="Lined - Accent 6"/>
    <w:basedOn w:val="40"/>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1">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0"/>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3">
    <w:name w:val="Bordered &amp; Lined - Accent 2"/>
    <w:basedOn w:val="40"/>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4">
    <w:name w:val="Bordered &amp; Lined - Accent 3"/>
    <w:basedOn w:val="40"/>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5">
    <w:name w:val="Bordered &amp; Lined - Accent 4"/>
    <w:basedOn w:val="40"/>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6">
    <w:name w:val="Bordered &amp; Lined - Accent 5"/>
    <w:basedOn w:val="40"/>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7">
    <w:name w:val="Bordered &amp; Lined - Accent 6"/>
    <w:basedOn w:val="40"/>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8">
    <w:name w:val="Bordered"/>
    <w:basedOn w:val="40"/>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0"/>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0">
    <w:name w:val="Bordered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1">
    <w:name w:val="Bordered - Accent 3"/>
    <w:basedOn w:val="40"/>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2">
    <w:name w:val="Bordered - Accent 4"/>
    <w:basedOn w:val="40"/>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3">
    <w:name w:val="Bordered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4">
    <w:name w:val="Bordered - Accent 6"/>
    <w:basedOn w:val="40"/>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5">
    <w:name w:val="脚注文本 字符"/>
    <w:link w:val="31"/>
    <w:qFormat/>
    <w:uiPriority w:val="99"/>
    <w:rPr>
      <w:sz w:val="18"/>
    </w:rPr>
  </w:style>
  <w:style w:type="character" w:customStyle="1" w:styleId="196">
    <w:name w:val="尾注文本 字符"/>
    <w:link w:val="24"/>
    <w:qFormat/>
    <w:uiPriority w:val="99"/>
    <w:rPr>
      <w:sz w:val="20"/>
    </w:rPr>
  </w:style>
  <w:style w:type="paragraph" w:customStyle="1" w:styleId="197">
    <w:name w:val="TOC 标题1"/>
    <w:unhideWhenUsed/>
    <w:uiPriority w:val="39"/>
    <w:rPr>
      <w:rFonts w:ascii="Times New Roman" w:hAnsi="Times New Roman" w:eastAsia="宋体" w:cs="Times New Roman"/>
      <w:lang w:val="en-US" w:eastAsia="zh-CN" w:bidi="ar-SA"/>
    </w:rPr>
  </w:style>
  <w:style w:type="paragraph" w:customStyle="1" w:styleId="198">
    <w:name w:val="首行缩进"/>
    <w:basedOn w:val="1"/>
    <w:qFormat/>
    <w:uiPriority w:val="99"/>
    <w:pPr>
      <w:spacing w:line="360" w:lineRule="auto"/>
      <w:ind w:firstLine="480"/>
      <w:jc w:val="left"/>
    </w:pPr>
    <w:rPr>
      <w:rFonts w:ascii="宋体" w:hAnsi="宋体" w:eastAsia="楷体_GB2312"/>
      <w:sz w:val="24"/>
      <w:szCs w:val="20"/>
    </w:rPr>
  </w:style>
  <w:style w:type="paragraph" w:customStyle="1" w:styleId="199">
    <w:name w:val="正文首行缩进11"/>
    <w:basedOn w:val="200"/>
    <w:next w:val="1"/>
    <w:unhideWhenUsed/>
    <w:qFormat/>
    <w:uiPriority w:val="99"/>
    <w:pPr>
      <w:ind w:firstLine="420"/>
    </w:pPr>
    <w:rPr>
      <w:szCs w:val="24"/>
    </w:rPr>
  </w:style>
  <w:style w:type="paragraph" w:customStyle="1" w:styleId="200">
    <w:name w:val="正文文本111"/>
    <w:basedOn w:val="1"/>
    <w:next w:val="1"/>
    <w:qFormat/>
    <w:uiPriority w:val="0"/>
    <w:rPr>
      <w:rFonts w:eastAsia="楷体_GB2312"/>
      <w:b/>
      <w:bCs/>
      <w:color w:val="FF0000"/>
      <w:sz w:val="32"/>
      <w:szCs w:val="32"/>
      <w:lang w:val="zh-CN"/>
    </w:rPr>
  </w:style>
  <w:style w:type="paragraph" w:customStyle="1" w:styleId="201">
    <w:name w:val="正文1"/>
    <w:basedOn w:val="12"/>
    <w:next w:val="1"/>
    <w:qFormat/>
    <w:uiPriority w:val="0"/>
    <w:pPr>
      <w:spacing w:line="500" w:lineRule="exact"/>
    </w:pPr>
    <w:rPr>
      <w:rFonts w:hAnsi="新宋体"/>
    </w:rPr>
  </w:style>
  <w:style w:type="paragraph" w:customStyle="1" w:styleId="202">
    <w:name w:val="WPSOffice手动目录 1"/>
    <w:qFormat/>
    <w:uiPriority w:val="0"/>
    <w:rPr>
      <w:rFonts w:ascii="Times New Roman" w:hAnsi="Times New Roman" w:eastAsia="宋体" w:cs="Times New Roman"/>
      <w:lang w:val="en-US" w:eastAsia="zh-CN" w:bidi="ar-SA"/>
    </w:rPr>
  </w:style>
  <w:style w:type="character" w:customStyle="1" w:styleId="203">
    <w:name w:val="标题 1 字符"/>
    <w:basedOn w:val="42"/>
    <w:link w:val="2"/>
    <w:qFormat/>
    <w:uiPriority w:val="9"/>
    <w:rPr>
      <w:b/>
      <w:sz w:val="28"/>
      <w:szCs w:val="20"/>
    </w:rPr>
  </w:style>
  <w:style w:type="character" w:customStyle="1" w:styleId="204">
    <w:name w:val="正文文本缩进 2 字符"/>
    <w:basedOn w:val="42"/>
    <w:link w:val="23"/>
    <w:qFormat/>
    <w:uiPriority w:val="99"/>
  </w:style>
  <w:style w:type="paragraph" w:customStyle="1" w:styleId="205">
    <w:name w:val="普通正文"/>
    <w:basedOn w:val="1"/>
    <w:qFormat/>
    <w:uiPriority w:val="0"/>
    <w:pPr>
      <w:spacing w:before="120" w:after="120" w:line="360" w:lineRule="auto"/>
      <w:ind w:firstLine="480"/>
      <w:jc w:val="left"/>
    </w:pPr>
    <w:rPr>
      <w:rFonts w:ascii="Arial" w:hAnsi="Arial"/>
      <w:sz w:val="24"/>
    </w:rPr>
  </w:style>
  <w:style w:type="paragraph" w:customStyle="1" w:styleId="206">
    <w:name w:val="Char"/>
    <w:basedOn w:val="1"/>
    <w:qFormat/>
    <w:uiPriority w:val="0"/>
    <w:pPr>
      <w:tabs>
        <w:tab w:val="left" w:pos="360"/>
      </w:tabs>
    </w:pPr>
    <w:rPr>
      <w:sz w:val="24"/>
    </w:rPr>
  </w:style>
  <w:style w:type="paragraph" w:customStyle="1" w:styleId="207">
    <w:name w:val="索引 81"/>
    <w:basedOn w:val="1"/>
    <w:next w:val="1"/>
    <w:unhideWhenUsed/>
    <w:qFormat/>
    <w:uiPriority w:val="99"/>
    <w:pPr>
      <w:spacing w:line="276" w:lineRule="auto"/>
      <w:jc w:val="left"/>
    </w:pPr>
    <w:rPr>
      <w:rFonts w:ascii="宋体" w:hAnsi="宋体"/>
      <w:color w:val="FF0000"/>
      <w:szCs w:val="21"/>
    </w:rPr>
  </w:style>
  <w:style w:type="paragraph" w:customStyle="1" w:styleId="208">
    <w:name w:val="WPSOffice手动目录 2"/>
    <w:qFormat/>
    <w:uiPriority w:val="0"/>
    <w:rPr>
      <w:rFonts w:asciiTheme="minorHAnsi" w:hAnsiTheme="minorHAnsi" w:eastAsiaTheme="minorEastAsia" w:cstheme="minorBidi"/>
      <w:lang w:val="en-US" w:eastAsia="zh-CN" w:bidi="ar-SA"/>
    </w:rPr>
  </w:style>
  <w:style w:type="paragraph" w:customStyle="1" w:styleId="209">
    <w:name w:val="Body text|1"/>
    <w:basedOn w:val="1"/>
    <w:qFormat/>
    <w:uiPriority w:val="0"/>
    <w:pPr>
      <w:spacing w:line="425" w:lineRule="auto"/>
      <w:ind w:firstLine="200"/>
    </w:pPr>
    <w:rPr>
      <w:rFonts w:ascii="宋体" w:hAnsi="宋体" w:cs="宋体"/>
      <w:sz w:val="20"/>
      <w:szCs w:val="20"/>
      <w:lang w:val="zh-TW" w:eastAsia="zh-TW" w:bidi="zh-TW"/>
    </w:rPr>
  </w:style>
  <w:style w:type="paragraph" w:customStyle="1" w:styleId="210">
    <w:name w:val="正文文本1"/>
    <w:basedOn w:val="1"/>
    <w:qFormat/>
    <w:uiPriority w:val="0"/>
    <w:rPr>
      <w:rFonts w:ascii="楷体_GB2312" w:hAnsi="Arial" w:eastAsia="楷体_GB2312"/>
      <w:kern w:val="2"/>
      <w:sz w:val="28"/>
      <w:szCs w:val="20"/>
    </w:rPr>
  </w:style>
  <w:style w:type="character" w:customStyle="1" w:styleId="211">
    <w:name w:val="页脚 字符"/>
    <w:basedOn w:val="42"/>
    <w:link w:val="25"/>
    <w:qFormat/>
    <w:uiPriority w:val="0"/>
    <w:rPr>
      <w:rFonts w:ascii="Tahoma" w:hAnsi="黑体" w:eastAsia="Times New Roman"/>
      <w:sz w:val="18"/>
    </w:rPr>
  </w:style>
  <w:style w:type="paragraph" w:customStyle="1" w:styleId="212">
    <w:name w:val="Table Paragraph"/>
    <w:basedOn w:val="1"/>
    <w:qFormat/>
    <w:uiPriority w:val="1"/>
    <w:pPr>
      <w:jc w:val="left"/>
    </w:pPr>
    <w:rPr>
      <w:sz w:val="24"/>
    </w:rPr>
  </w:style>
  <w:style w:type="character" w:customStyle="1" w:styleId="213">
    <w:name w:val="font21"/>
    <w:basedOn w:val="42"/>
    <w:uiPriority w:val="0"/>
    <w:rPr>
      <w:rFonts w:hint="eastAsia" w:ascii="宋体" w:hAnsi="宋体" w:eastAsia="宋体" w:cs="宋体"/>
      <w:color w:val="000000"/>
      <w:sz w:val="18"/>
      <w:szCs w:val="18"/>
      <w:u w:val="none"/>
    </w:rPr>
  </w:style>
  <w:style w:type="character" w:customStyle="1" w:styleId="214">
    <w:name w:val="font41"/>
    <w:basedOn w:val="42"/>
    <w:uiPriority w:val="0"/>
    <w:rPr>
      <w:rFonts w:hint="eastAsia" w:ascii="宋体" w:hAnsi="宋体" w:eastAsia="宋体" w:cs="宋体"/>
      <w:color w:val="FF0000"/>
      <w:sz w:val="18"/>
      <w:szCs w:val="18"/>
      <w:u w:val="none"/>
    </w:rPr>
  </w:style>
  <w:style w:type="character" w:customStyle="1" w:styleId="215">
    <w:name w:val="font11"/>
    <w:basedOn w:val="42"/>
    <w:uiPriority w:val="0"/>
    <w:rPr>
      <w:rFonts w:hint="eastAsia" w:ascii="宋体" w:hAnsi="宋体" w:eastAsia="宋体" w:cs="宋体"/>
      <w:color w:val="000000"/>
      <w:sz w:val="18"/>
      <w:szCs w:val="18"/>
      <w:u w:val="none"/>
    </w:rPr>
  </w:style>
  <w:style w:type="character" w:customStyle="1" w:styleId="216">
    <w:name w:val="font51"/>
    <w:basedOn w:val="42"/>
    <w:uiPriority w:val="0"/>
    <w:rPr>
      <w:rFonts w:hint="eastAsia" w:ascii="宋体" w:hAnsi="宋体" w:eastAsia="宋体" w:cs="宋体"/>
      <w:color w:val="000000"/>
      <w:sz w:val="18"/>
      <w:szCs w:val="18"/>
      <w:u w:val="none"/>
    </w:rPr>
  </w:style>
  <w:style w:type="character" w:customStyle="1" w:styleId="217">
    <w:name w:val="font61"/>
    <w:basedOn w:val="42"/>
    <w:uiPriority w:val="0"/>
    <w:rPr>
      <w:rFonts w:ascii="Arial" w:hAnsi="Arial" w:cs="Arial"/>
      <w:color w:val="000000"/>
      <w:sz w:val="18"/>
      <w:szCs w:val="18"/>
      <w:u w:val="none"/>
    </w:rPr>
  </w:style>
  <w:style w:type="character" w:customStyle="1" w:styleId="218">
    <w:name w:val="font01"/>
    <w:basedOn w:val="42"/>
    <w:uiPriority w:val="0"/>
    <w:rPr>
      <w:rFonts w:ascii="Wingdings 2" w:hAnsi="Wingdings 2" w:eastAsia="Wingdings 2" w:cs="Wingdings 2"/>
      <w:color w:val="000000"/>
      <w:sz w:val="18"/>
      <w:szCs w:val="18"/>
      <w:u w:val="none"/>
    </w:rPr>
  </w:style>
  <w:style w:type="character" w:customStyle="1" w:styleId="219">
    <w:name w:val="NormalCharacter"/>
    <w:semiHidden/>
    <w:qFormat/>
    <w:uiPriority w:val="0"/>
    <w:rPr>
      <w:kern w:val="2"/>
      <w:sz w:val="21"/>
      <w:szCs w:val="24"/>
      <w:lang w:val="en-US" w:eastAsia="zh-CN" w:bidi="ar-SA"/>
    </w:rPr>
  </w:style>
  <w:style w:type="paragraph" w:customStyle="1" w:styleId="220">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sz w:val="22"/>
      <w:szCs w:val="22"/>
      <w:lang w:eastAsia="en-US"/>
    </w:rPr>
  </w:style>
  <w:style w:type="table" w:customStyle="1" w:styleId="221">
    <w:name w:val="Table Normal"/>
    <w:semiHidden/>
    <w:unhideWhenUsed/>
    <w:qFormat/>
    <w:uiPriority w:val="0"/>
    <w:tblPr>
      <w:tblCellMar>
        <w:top w:w="0" w:type="dxa"/>
        <w:left w:w="0" w:type="dxa"/>
        <w:bottom w:w="0" w:type="dxa"/>
        <w:right w:w="0" w:type="dxa"/>
      </w:tblCellMar>
    </w:tblPr>
  </w:style>
  <w:style w:type="character" w:customStyle="1" w:styleId="222">
    <w:name w:val="页眉 字符"/>
    <w:basedOn w:val="42"/>
    <w:link w:val="26"/>
    <w:uiPriority w:val="0"/>
    <w:rPr>
      <w:sz w:val="18"/>
      <w:szCs w:val="18"/>
    </w:rPr>
  </w:style>
  <w:style w:type="character" w:customStyle="1" w:styleId="223">
    <w:name w:val="正文文本缩进 字符"/>
    <w:basedOn w:val="42"/>
    <w:link w:val="17"/>
    <w:uiPriority w:val="99"/>
    <w:rPr>
      <w:rFonts w:ascii="Tahoma" w:hAnsi="黑体"/>
      <w:spacing w:val="-4"/>
      <w:sz w:val="18"/>
    </w:rPr>
  </w:style>
  <w:style w:type="character" w:customStyle="1" w:styleId="224">
    <w:name w:val="正文文本首行缩进 2 字符"/>
    <w:basedOn w:val="223"/>
    <w:link w:val="39"/>
    <w:qFormat/>
    <w:uiPriority w:val="0"/>
    <w:rPr>
      <w:rFonts w:asciiTheme="minorHAnsi" w:hAnsiTheme="minorHAnsi" w:eastAsiaTheme="minorEastAsia" w:cstheme="minorBidi"/>
      <w:spacing w:val="-4"/>
      <w:kern w:val="2"/>
      <w:sz w:val="21"/>
      <w:szCs w:val="24"/>
    </w:rPr>
  </w:style>
  <w:style w:type="paragraph" w:customStyle="1" w:styleId="225">
    <w:name w:val="Heading6"/>
    <w:basedOn w:val="1"/>
    <w:next w:val="1"/>
    <w:qFormat/>
    <w:uiPriority w:val="99"/>
    <w:pPr>
      <w:keepNext/>
      <w:keepLines/>
      <w:spacing w:before="240" w:after="64" w:line="317" w:lineRule="auto"/>
      <w:textAlignment w:val="baseline"/>
    </w:pPr>
    <w:rPr>
      <w:rFonts w:ascii="Arial" w:hAnsi="Arial" w:eastAsia="黑体" w:cs="Arial"/>
      <w:b/>
      <w:bCs/>
      <w:kern w:val="2"/>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18308</Words>
  <Characters>19594</Characters>
  <Lines>249</Lines>
  <Paragraphs>70</Paragraphs>
  <TotalTime>0</TotalTime>
  <ScaleCrop>false</ScaleCrop>
  <LinksUpToDate>false</LinksUpToDate>
  <CharactersWithSpaces>20661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2024-01-11T02:30:00Z</dcterms:created>
  <dc:creator>Administrator</dc:creator>
  <cp:lastModifiedBy>李彩～水晶珠宝</cp:lastModifiedBy>
  <dcterms:modified xsi:type="dcterms:W3CDTF">2025-02-08T06:37:14Z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D50029A8F311460FAF2C3762F88AA120_12</vt:lpwstr>
  </property>
  <property fmtid="{D5CDD505-2E9C-101B-9397-08002B2CF9AE}" pid="4" name="KSOTemplateDocerSaveRecord">
    <vt:lpwstr>eyJoZGlkIjoiMmE4Mzg3OWZmOWU2ZDk4MWNiMzMwNDY3M2E1NTg5ODgiLCJ1c2VySWQiOiI2NDEyODM5MDcifQ==</vt:lpwstr>
  </property>
</Properties>
</file>