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firstLine="0"/>
        <w:tabs>
          <w:tab w:val="left" w:pos="7642" w:leader="none"/>
        </w:tabs>
        <w:rPr>
          <w:rFonts w:hint="eastAsia"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tab/>
      </w:r>
      <w:r/>
    </w:p>
    <w:p>
      <w:pPr>
        <w:pStyle w:val="1066"/>
        <w:ind w:firstLine="0"/>
        <w:tabs>
          <w:tab w:val="left" w:pos="7642" w:leader="none"/>
        </w:tabs>
        <w:rPr>
          <w:rFonts w:hint="eastAsia" w:ascii="宋体" w:hAnsi="宋体"/>
          <w:b/>
          <w:color w:val="000000" w:themeColor="text1"/>
          <w:sz w:val="52"/>
          <w:szCs w:val="52"/>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r>
      <w:r/>
    </w:p>
    <w:p>
      <w:pPr>
        <w:pStyle w:val="1066"/>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 </w:t>
      </w:r>
      <w:r>
        <w:rPr>
          <w:rFonts w:hint="eastAsia" w:ascii="方正小标宋_GBK" w:hAnsi="方正小标宋_GBK" w:eastAsia="方正小标宋_GBK" w:cs="方正小标宋_GBK"/>
          <w:bCs/>
          <w:color w:val="000000" w:themeColor="text1"/>
          <w:sz w:val="84"/>
          <w:szCs w:val="21"/>
          <w:highlight w:val="none"/>
          <w14:textFill>
            <w14:solidFill>
              <w14:schemeClr w14:val="tx1"/>
            </w14:solidFill>
          </w14:textFill>
        </w:rPr>
        <w:t xml:space="preserve">竞争性磋商文件</w:t>
      </w:r>
      <w:r/>
    </w:p>
    <w:p>
      <w:pPr>
        <w:pStyle w:val="1066"/>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66"/>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66"/>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1084"/>
        <w:rPr>
          <w:rFonts w:ascii="宋体"/>
          <w:b/>
          <w:color w:val="000000" w:themeColor="text1"/>
          <w:sz w:val="36"/>
          <w:highlight w:val="none"/>
          <w14:textFill>
            <w14:solidFill>
              <w14:schemeClr w14:val="tx1"/>
            </w14:solidFill>
          </w14:textFill>
        </w:rPr>
      </w:pPr>
      <w:r>
        <w:rPr>
          <w:rFonts w:hint="eastAsia" w:ascii="宋体"/>
          <w:b/>
          <w:color w:val="000000" w:themeColor="text1"/>
          <w:sz w:val="36"/>
          <w:highlight w:val="none"/>
          <w14:textFill>
            <w14:solidFill>
              <w14:schemeClr w14:val="tx1"/>
            </w14:solidFill>
          </w14:textFill>
        </w:rPr>
        <w:t xml:space="preserve">项目编号：JSZC-320900-RHHH-C2025-0100</w:t>
      </w:r>
      <w:r/>
    </w:p>
    <w:p>
      <w:pPr>
        <w:jc w:val="center"/>
        <w:rPr>
          <w:rFonts w:eastAsia="黑体"/>
          <w:b/>
          <w:color w:val="000000" w:themeColor="text1"/>
          <w:sz w:val="32"/>
          <w:highlight w:val="none"/>
          <w14:textFill>
            <w14:solidFill>
              <w14:schemeClr w14:val="tx1"/>
            </w14:solidFill>
          </w14:textFill>
        </w:rPr>
      </w:pPr>
      <w:r>
        <w:rPr>
          <w:rFonts w:eastAsia="黑体"/>
          <w:b/>
          <w:color w:val="000000" w:themeColor="text1"/>
          <w:sz w:val="32"/>
          <w:highlight w:val="none"/>
          <w14:textFill>
            <w14:solidFill>
              <w14:schemeClr w14:val="tx1"/>
            </w14:solidFill>
          </w14:textFill>
        </w:rPr>
      </w:r>
      <w:r/>
    </w:p>
    <w:p>
      <w:pPr>
        <w:jc w:val="center"/>
        <w:rPr>
          <w:rFonts w:eastAsia="黑体"/>
          <w:b/>
          <w:color w:val="000000" w:themeColor="text1"/>
          <w:sz w:val="32"/>
          <w:highlight w:val="none"/>
          <w14:textFill>
            <w14:solidFill>
              <w14:schemeClr w14:val="tx1"/>
            </w14:solidFill>
          </w14:textFill>
        </w:rPr>
      </w:pPr>
      <w:r>
        <w:rPr>
          <w:rFonts w:eastAsia="黑体"/>
          <w:b/>
          <w:color w:val="000000" w:themeColor="text1"/>
          <w:sz w:val="32"/>
          <w:highlight w:val="none"/>
          <w14:textFill>
            <w14:solidFill>
              <w14:schemeClr w14:val="tx1"/>
            </w14:solidFill>
          </w14:textFill>
        </w:rPr>
      </w:r>
      <w:r/>
    </w:p>
    <w:p>
      <w:pPr>
        <w:jc w:val="left"/>
        <w:rPr>
          <w:rFonts w:hint="default"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b/>
          <w:color w:val="000000" w:themeColor="text1"/>
          <w:sz w:val="36"/>
          <w:szCs w:val="36"/>
          <w:highlight w:val="none"/>
          <w14:textFill>
            <w14:solidFill>
              <w14:schemeClr w14:val="tx1"/>
            </w14:solidFill>
          </w14:textFill>
        </w:rPr>
        <w:t xml:space="preserve">项</w:t>
      </w:r>
      <w:r>
        <w:rPr>
          <w:rFonts w:hint="eastAsia" w:ascii="宋体" w:hAnsi="宋体" w:cs="宋体"/>
          <w:b/>
          <w:color w:val="000000" w:themeColor="text1"/>
          <w:sz w:val="36"/>
          <w:szCs w:val="36"/>
          <w:highlight w:val="none"/>
          <w14:textFill>
            <w14:solidFill>
              <w14:schemeClr w14:val="tx1"/>
            </w14:solidFill>
          </w14:textFill>
        </w:rPr>
        <w:t xml:space="preserve">目名称：</w:t>
      </w:r>
      <w:r>
        <w:rPr>
          <w:rFonts w:hint="eastAsia" w:ascii="宋体" w:hAnsi="宋体" w:cs="宋体"/>
          <w:b/>
          <w:color w:val="000000" w:themeColor="text1"/>
          <w:sz w:val="36"/>
          <w:szCs w:val="36"/>
          <w:highlight w:val="none"/>
          <w:lang w:eastAsia="zh-CN"/>
          <w14:textFill>
            <w14:solidFill>
              <w14:schemeClr w14:val="tx1"/>
            </w14:solidFill>
          </w14:textFill>
        </w:rPr>
        <w:t xml:space="preserve">盐城市耕地保护和利用专项规划编制项目（</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三次）</w:t>
      </w:r>
      <w:r/>
    </w:p>
    <w:p>
      <w:pP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jc w:val="cente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jc w:val="cente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jc w:val="center"/>
        <w:rPr>
          <w:rFonts w:ascii="宋体"/>
          <w:bCs/>
          <w:color w:val="000000" w:themeColor="text1"/>
          <w:sz w:val="36"/>
          <w:szCs w:val="36"/>
          <w:highlight w:val="none"/>
          <w14:textFill>
            <w14:solidFill>
              <w14:schemeClr w14:val="tx1"/>
            </w14:solidFill>
          </w14:textFill>
        </w:rPr>
      </w:pPr>
      <w:r>
        <w:rPr>
          <w:rFonts w:hint="eastAsia" w:ascii="黑体" w:hAnsi="黑体" w:eastAsia="黑体" w:cs="黑体"/>
          <w:bCs/>
          <w:color w:val="000000" w:themeColor="text1"/>
          <w:spacing w:val="15"/>
          <w:sz w:val="36"/>
          <w:szCs w:val="36"/>
          <w:highlight w:val="none"/>
          <w14:textFill>
            <w14:solidFill>
              <w14:schemeClr w14:val="tx1"/>
            </w14:solidFill>
          </w14:textFill>
        </w:rPr>
        <w:t xml:space="preserve">盐城市自然资源和规划局</w:t>
      </w:r>
      <w:r/>
    </w:p>
    <w:p>
      <w:pPr>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2025</w:t>
      </w:r>
      <w:r>
        <w:rPr>
          <w:rFonts w:ascii="黑体" w:eastAsia="黑体"/>
          <w:color w:val="000000" w:themeColor="text1"/>
          <w:sz w:val="36"/>
          <w:szCs w:val="36"/>
          <w:highlight w:val="none"/>
          <w14:textFill>
            <w14:solidFill>
              <w14:schemeClr w14:val="tx1"/>
            </w14:solidFill>
          </w14:textFill>
        </w:rPr>
        <w:t xml:space="preserve">年</w:t>
      </w:r>
      <w:r>
        <w:rPr>
          <w:rFonts w:hint="eastAsia" w:ascii="黑体" w:eastAsia="黑体"/>
          <w:color w:val="000000" w:themeColor="text1"/>
          <w:sz w:val="36"/>
          <w:szCs w:val="36"/>
          <w:highlight w:val="none"/>
          <w:lang w:val="en-US" w:eastAsia="zh-CN"/>
          <w14:textFill>
            <w14:solidFill>
              <w14:schemeClr w14:val="tx1"/>
            </w14:solidFill>
          </w14:textFill>
        </w:rPr>
        <w:t xml:space="preserve">9</w:t>
      </w:r>
      <w:r>
        <w:rPr>
          <w:rFonts w:ascii="黑体" w:eastAsia="黑体"/>
          <w:color w:val="000000" w:themeColor="text1"/>
          <w:sz w:val="36"/>
          <w:szCs w:val="36"/>
          <w:highlight w:val="none"/>
          <w14:textFill>
            <w14:solidFill>
              <w14:schemeClr w14:val="tx1"/>
            </w14:solidFill>
          </w14:textFill>
        </w:rPr>
        <w:t xml:space="preserve">月</w:t>
      </w:r>
      <w:r/>
    </w:p>
    <w:p>
      <w:pPr>
        <w:pStyle w:val="1066"/>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rPr>
          <w:rFonts w:ascii="黑体" w:hAnsi="Arial" w:eastAsia="黑体"/>
          <w:b/>
          <w:color w:val="000000" w:themeColor="text1"/>
          <w:sz w:val="44"/>
          <w:szCs w:val="21"/>
          <w:highlight w:val="none"/>
          <w14:textFill>
            <w14:solidFill>
              <w14:schemeClr w14:val="tx1"/>
            </w14:solidFill>
          </w14:textFill>
        </w:rPr>
      </w:pPr>
      <w:r>
        <w:rPr>
          <w:rFonts w:ascii="黑体" w:hAnsi="Arial" w:eastAsia="黑体"/>
          <w:b/>
          <w:color w:val="000000" w:themeColor="text1"/>
          <w:sz w:val="44"/>
          <w:szCs w:val="21"/>
          <w:highlight w:val="none"/>
          <w14:textFill>
            <w14:solidFill>
              <w14:schemeClr w14:val="tx1"/>
            </w14:solidFill>
          </w14:textFill>
        </w:rPr>
      </w:r>
      <w:r/>
    </w:p>
    <w:p>
      <w:pPr>
        <w:rPr>
          <w:rFonts w:ascii="黑体" w:hAnsi="Arial" w:eastAsia="黑体"/>
          <w:b/>
          <w:color w:val="000000" w:themeColor="text1"/>
          <w:sz w:val="44"/>
          <w:szCs w:val="21"/>
          <w:highlight w:val="none"/>
          <w14:textFill>
            <w14:solidFill>
              <w14:schemeClr w14:val="tx1"/>
            </w14:solidFill>
          </w14:textFill>
        </w:rPr>
      </w:pPr>
      <w:r>
        <w:rPr>
          <w:rFonts w:ascii="黑体" w:hAnsi="Arial" w:eastAsia="黑体"/>
          <w:b/>
          <w:color w:val="000000" w:themeColor="text1"/>
          <w:sz w:val="44"/>
          <w:szCs w:val="21"/>
          <w:highlight w:val="none"/>
          <w14:textFill>
            <w14:solidFill>
              <w14:schemeClr w14:val="tx1"/>
            </w14:solidFill>
          </w14:textFill>
        </w:rPr>
      </w:r>
      <w:r/>
    </w:p>
    <w:p>
      <w:pPr>
        <w:ind w:firstLine="3313"/>
        <w:rPr>
          <w:rFonts w:ascii="黑体" w:hAnsi="Arial" w:eastAsia="黑体"/>
          <w:b/>
          <w:color w:val="000000" w:themeColor="text1"/>
          <w:sz w:val="44"/>
          <w:szCs w:val="21"/>
          <w:highlight w:val="none"/>
          <w14:textFill>
            <w14:solidFill>
              <w14:schemeClr w14:val="tx1"/>
            </w14:solidFill>
          </w14:textFill>
        </w:rPr>
        <w:sectPr>
          <w:footerReference w:type="default" r:id="rId10"/>
          <w:footerReference w:type="first" r:id="rId11"/>
          <w:footnotePr/>
          <w:endnotePr/>
          <w:type w:val="nextPage"/>
          <w:pgSz w:w="11906" w:h="16838" w:orient="portrait"/>
          <w:pgMar w:top="1015" w:right="1196" w:bottom="868" w:left="1259" w:header="851" w:footer="907" w:gutter="0"/>
          <w:pgNumType w:start="1"/>
          <w:cols w:num="1" w:sep="0" w:space="720" w:equalWidth="1"/>
          <w:docGrid w:linePitch="360"/>
        </w:sectPr>
      </w:pPr>
      <w:r>
        <w:rPr>
          <w:rFonts w:ascii="黑体" w:hAnsi="Arial" w:eastAsia="黑体"/>
          <w:b/>
          <w:color w:val="000000" w:themeColor="text1"/>
          <w:sz w:val="44"/>
          <w:szCs w:val="21"/>
          <w:highlight w:val="none"/>
          <w14:textFill>
            <w14:solidFill>
              <w14:schemeClr w14:val="tx1"/>
            </w14:solidFill>
          </w14:textFill>
        </w:rPr>
      </w:r>
      <w:r/>
    </w:p>
    <w:p>
      <w:pPr>
        <w:jc w:val="center"/>
        <w:rPr>
          <w:rFonts w:hint="eastAsia" w:ascii="宋体" w:hAnsi="宋体"/>
          <w:b/>
          <w:color w:val="000000" w:themeColor="text1"/>
          <w:sz w:val="48"/>
          <w:szCs w:val="48"/>
          <w:highlight w:val="none"/>
          <w14:textFill>
            <w14:solidFill>
              <w14:schemeClr w14:val="tx1"/>
            </w14:solidFill>
          </w14:textFill>
        </w:rPr>
      </w:pPr>
      <w:r>
        <w:rPr>
          <w:rFonts w:hint="eastAsia" w:ascii="黑体" w:hAnsi="Arial" w:eastAsia="黑体"/>
          <w:b/>
          <w:color w:val="000000" w:themeColor="text1"/>
          <w:sz w:val="48"/>
          <w:szCs w:val="22"/>
          <w:highlight w:val="none"/>
          <w14:textFill>
            <w14:solidFill>
              <w14:schemeClr w14:val="tx1"/>
            </w14:solidFill>
          </w14:textFill>
        </w:rPr>
        <w:t xml:space="preserve">总 目 录</w:t>
      </w:r>
      <w:r/>
    </w:p>
    <w:p>
      <w:pPr>
        <w:pStyle w:val="1047"/>
        <w:spacing w:line="360" w:lineRule="auto"/>
        <w:rPr>
          <w:rFonts w:hint="eastAsia" w:ascii="宋体" w:hAnsi="宋体" w:eastAsia="宋体"/>
          <w:b w:val="0"/>
          <w:color w:val="000000" w:themeColor="text1"/>
          <w:sz w:val="24"/>
          <w:szCs w:val="24"/>
          <w:highlight w:val="none"/>
          <w14:textFill>
            <w14:solidFill>
              <w14:schemeClr w14:val="tx1"/>
            </w14:solidFill>
          </w14:textFill>
        </w:rPr>
      </w:pPr>
      <w:r>
        <w:rPr>
          <w:rFonts w:hint="eastAsia" w:ascii="宋体" w:hAnsi="宋体" w:eastAsia="宋体"/>
          <w:b w:val="0"/>
          <w:color w:val="000000" w:themeColor="text1"/>
          <w:sz w:val="24"/>
          <w:szCs w:val="24"/>
          <w:highlight w:val="none"/>
          <w14:textFill>
            <w14:solidFill>
              <w14:schemeClr w14:val="tx1"/>
            </w14:solidFill>
          </w14:textFill>
        </w:rPr>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第一章   竞争性磋商采购公告                                       </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第二章   供应商须知</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第三章   合同条款及格式</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第四章   项目需求</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第五章   评审方法和评审标准</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第六章   竞争性磋商响应文件格式</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1680"/>
        <w:rPr>
          <w:rFonts w:ascii="黑体" w:eastAsia="黑体"/>
          <w:color w:val="000000" w:themeColor="text1"/>
          <w:sz w:val="44"/>
          <w:szCs w:val="4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   </w:t>
      </w:r>
      <w:r>
        <w:rPr>
          <w:rFonts w:hint="eastAsia" w:ascii="黑体" w:eastAsia="黑体"/>
          <w:color w:val="000000" w:themeColor="text1"/>
          <w:sz w:val="44"/>
          <w:szCs w:val="44"/>
          <w:highlight w:val="none"/>
          <w14:textFill>
            <w14:solidFill>
              <w14:schemeClr w14:val="tx1"/>
            </w14:solidFill>
          </w14:textFill>
        </w:rPr>
        <w:t xml:space="preserve">第一章 竞争性磋商公告</w:t>
      </w:r>
      <w:r/>
    </w:p>
    <w:p>
      <w:pPr>
        <w:ind w:firstLine="480"/>
        <w:rPr>
          <w:rFonts w:hint="eastAsia" w:ascii="宋体" w:hAnsi="宋体" w:cs="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0" w:name="_Toc513029209"/>
      <w:r/>
      <w:bookmarkStart w:id="1" w:name="_Toc14577347"/>
      <w:r/>
      <w:bookmarkStart w:id="2" w:name="_Toc61149549"/>
      <w:r>
        <w:rPr>
          <w:rFonts w:hint="eastAsia" w:ascii="宋体" w:hAnsi="宋体" w:cs="宋体"/>
          <w:color w:val="000000" w:themeColor="text1"/>
          <w:sz w:val="24"/>
          <w:highlight w:val="none"/>
          <w14:textFill>
            <w14:solidFill>
              <w14:schemeClr w14:val="tx1"/>
            </w14:solidFill>
          </w14:textFill>
        </w:rPr>
        <w:t xml:space="preserve">项目概况</w:t>
      </w:r>
      <w:r/>
    </w:p>
    <w:p>
      <w:pPr>
        <w:ind w:firstLine="480"/>
        <w:spacing w:line="500" w:lineRule="exact"/>
        <w:rPr>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3" w:name="_Toc35393798"/>
      <w:r/>
      <w:bookmarkStart w:id="4" w:name="_Toc28359012"/>
      <w:r/>
      <w:bookmarkStart w:id="5" w:name="_Toc35393629"/>
      <w:r/>
      <w:bookmarkStart w:id="6" w:name="_Toc28359089"/>
      <w:r>
        <w:rPr>
          <w:rFonts w:hint="eastAsia" w:ascii="宋体" w:hAnsi="宋体" w:cs="宋体"/>
          <w:color w:val="000000" w:themeColor="text1"/>
          <w:sz w:val="24"/>
          <w:highlight w:val="none"/>
          <w:lang w:eastAsia="zh-CN"/>
          <w14:textFill>
            <w14:solidFill>
              <w14:schemeClr w14:val="tx1"/>
            </w14:solidFill>
          </w14:textFill>
        </w:rPr>
        <w:t xml:space="preserve">盐城市耕地保护和利用专项规划编制项目（三次）</w:t>
      </w:r>
      <w:r>
        <w:rPr>
          <w:rFonts w:hint="eastAsia" w:ascii="宋体" w:hAnsi="宋体"/>
          <w:color w:val="000000" w:themeColor="text1"/>
          <w:sz w:val="24"/>
          <w:highlight w:val="none"/>
          <w14:textFill>
            <w14:solidFill>
              <w14:schemeClr w14:val="tx1"/>
            </w14:solidFill>
          </w14:textFill>
        </w:rPr>
        <w:t xml:space="preserve">的潜在投标人</w:t>
      </w:r>
      <w:r>
        <w:rPr>
          <w:rFonts w:hint="eastAsia" w:ascii="宋体" w:hAnsi="宋体"/>
          <w:color w:val="000000" w:themeColor="text1"/>
          <w:sz w:val="24"/>
          <w:highlight w:val="none"/>
          <w:lang w:val="en-US" w:eastAsia="zh-CN"/>
          <w14:textFill>
            <w14:solidFill>
              <w14:schemeClr w14:val="tx1"/>
            </w14:solidFill>
          </w14:textFill>
        </w:rPr>
        <w:t xml:space="preserve">可</w:t>
      </w:r>
      <w:r>
        <w:rPr>
          <w:rFonts w:hint="eastAsia" w:ascii="宋体" w:hAnsi="宋体"/>
          <w:color w:val="000000" w:themeColor="text1"/>
          <w:sz w:val="24"/>
          <w:highlight w:val="none"/>
          <w14:textFill>
            <w14:solidFill>
              <w14:schemeClr w14:val="tx1"/>
            </w14:solidFill>
          </w14:textFill>
        </w:rPr>
        <w:t xml:space="preserve">在“苏采云”系统内免费下载（投标人必须在苏采云系统中获取采购文件，方能参与政府采购项目）获取招标文件，并于2025年10</w:t>
      </w:r>
      <w:r>
        <w:rPr>
          <w:rFonts w:hint="eastAsia" w:ascii="宋体" w:hAnsi="宋体"/>
          <w:color w:val="000000" w:themeColor="text1"/>
          <w:sz w:val="24"/>
          <w:highlight w:val="none"/>
          <w14:textFill>
            <w14:solidFill>
              <w14:schemeClr w14:val="tx1"/>
            </w14:solidFill>
          </w14:textFill>
        </w:rPr>
        <w:t xml:space="preserve">月10</w:t>
      </w:r>
      <w:r>
        <w:rPr>
          <w:rFonts w:hint="eastAsia" w:ascii="宋体" w:hAnsi="宋体"/>
          <w:color w:val="000000" w:themeColor="text1"/>
          <w:sz w:val="24"/>
          <w:highlight w:val="none"/>
          <w14:textFill>
            <w14:solidFill>
              <w14:schemeClr w14:val="tx1"/>
            </w14:solidFill>
          </w14:textFill>
        </w:rPr>
        <w:t xml:space="preserve">日</w:t>
      </w:r>
      <w:r>
        <w:rPr>
          <w:rFonts w:hint="eastAsia" w:ascii="宋体" w:hAnsi="宋体"/>
          <w:color w:val="000000" w:themeColor="text1"/>
          <w:sz w:val="24"/>
          <w:highlight w:val="none"/>
          <w:lang w:val="en-US" w:eastAsia="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:00（北京时间）前递交投标文件</w:t>
      </w:r>
      <w:r>
        <w:rPr>
          <w:rFonts w:hint="eastAsia" w:ascii="宋体" w:hAnsi="宋体" w:cs="宋体"/>
          <w:color w:val="000000" w:themeColor="text1"/>
          <w:sz w:val="24"/>
          <w:highlight w:val="none"/>
          <w14:textFill>
            <w14:solidFill>
              <w14:schemeClr w14:val="tx1"/>
            </w14:solidFill>
          </w14:textFill>
        </w:rPr>
        <w:t xml:space="preserve">。</w:t>
      </w:r>
      <w:r/>
    </w:p>
    <w:p>
      <w:pPr>
        <w:pStyle w:val="1021"/>
        <w:jc w:val="both"/>
        <w:pageBreakBefore w:val="0"/>
        <w:spacing w:line="480" w:lineRule="exac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一、项目基本情况</w:t>
      </w:r>
      <w:bookmarkEnd w:id="3"/>
      <w:r/>
      <w:bookmarkEnd w:id="4"/>
      <w:r/>
      <w:bookmarkEnd w:id="5"/>
      <w:r/>
      <w:bookmarkEnd w:id="6"/>
      <w:r/>
      <w:r/>
    </w:p>
    <w:p>
      <w:pPr>
        <w:ind w:firstLine="480"/>
        <w:pageBreakBefore w:val="0"/>
        <w:spacing w:line="48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themeColor="text1"/>
          <w:sz w:val="24"/>
          <w:highlight w:val="none"/>
          <w:u w:val="single"/>
          <w14:textFill>
            <w14:solidFill>
              <w14:schemeClr w14:val="tx1"/>
            </w14:solidFill>
          </w14:textFill>
        </w:rPr>
        <w:t xml:space="preserve">JSZC-320900-RHHH-C2025-0100</w:t>
      </w:r>
      <w:r/>
    </w:p>
    <w:p>
      <w:pPr>
        <w:ind w:firstLine="480"/>
        <w:pageBreakBefore w:val="0"/>
        <w:spacing w:line="480" w:lineRule="exact"/>
        <w:rPr>
          <w:rFonts w:hint="default"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盐城市耕地保护和利用专项规划编制项目（三次）</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w:t>
      </w:r>
      <w:r>
        <w:rPr>
          <w:rFonts w:hint="eastAsia" w:ascii="宋体" w:hAnsi="宋体" w:cs="宋体"/>
          <w:color w:val="000000" w:themeColor="text1"/>
          <w:sz w:val="24"/>
          <w:highlight w:val="none"/>
          <w:u w:val="single"/>
          <w14:textFill>
            <w14:solidFill>
              <w14:schemeClr w14:val="tx1"/>
            </w14:solidFill>
          </w14:textFill>
        </w:rPr>
        <w:t xml:space="preserve">竞争性磋商</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4.预算金额：</w:t>
      </w:r>
      <w:r>
        <w:rPr>
          <w:rFonts w:hint="eastAsia" w:ascii="宋体" w:hAnsi="宋体" w:cs="宋体"/>
          <w:sz w:val="24"/>
          <w:highlight w:val="none"/>
          <w:u w:val="single"/>
          <w:lang w:val="en-US" w:eastAsia="zh-CN"/>
        </w:rPr>
        <w:t xml:space="preserve">100</w:t>
      </w:r>
      <w:r>
        <w:rPr>
          <w:rFonts w:hint="eastAsia" w:ascii="宋体" w:hAnsi="宋体"/>
          <w:sz w:val="24"/>
          <w:highlight w:val="none"/>
          <w:u w:val="single"/>
        </w:rPr>
        <w:t xml:space="preserve">万元</w:t>
      </w:r>
      <w:r>
        <w:rPr>
          <w:rFonts w:hint="eastAsia" w:ascii="宋体" w:hAnsi="宋体" w:cs="宋体"/>
          <w:color w:val="000000" w:themeColor="text1"/>
          <w:sz w:val="24"/>
          <w:highlight w:val="none"/>
          <w14:textFill>
            <w14:solidFill>
              <w14:schemeClr w14:val="tx1"/>
            </w14:solidFill>
          </w14:textFill>
        </w:rPr>
        <w:t xml:space="preserve">。</w:t>
      </w:r>
      <w:r/>
    </w:p>
    <w:p>
      <w:pPr>
        <w:ind w:firstLine="480"/>
        <w:pageBreakBefore w:val="0"/>
        <w:spacing w:line="480" w:lineRule="exact"/>
        <w:rPr>
          <w:highlight w:val="none"/>
        </w:rPr>
      </w:pPr>
      <w:r>
        <w:rPr>
          <w:rFonts w:hint="eastAsia" w:ascii="宋体" w:hAnsi="宋体" w:cs="宋体"/>
          <w:color w:val="000000" w:themeColor="text1"/>
          <w:sz w:val="24"/>
          <w:highlight w:val="none"/>
          <w14:textFill>
            <w14:solidFill>
              <w14:schemeClr w14:val="tx1"/>
            </w14:solidFill>
          </w14:textFill>
        </w:rPr>
        <w:t xml:space="preserve">5.最高限价：</w:t>
      </w:r>
      <w:r>
        <w:rPr>
          <w:rFonts w:hint="eastAsia" w:ascii="宋体" w:hAnsi="宋体" w:cs="宋体"/>
          <w:sz w:val="24"/>
          <w:highlight w:val="none"/>
          <w:u w:val="single"/>
          <w:lang w:val="en-US" w:eastAsia="zh-CN"/>
        </w:rPr>
        <w:t xml:space="preserve">100</w:t>
      </w:r>
      <w:r>
        <w:rPr>
          <w:rFonts w:hint="eastAsia" w:ascii="宋体" w:hAnsi="宋体"/>
          <w:sz w:val="24"/>
          <w:highlight w:val="none"/>
          <w:u w:val="single"/>
        </w:rPr>
        <w:t xml:space="preserve">万元</w:t>
      </w:r>
      <w:r>
        <w:rPr>
          <w:rFonts w:hint="eastAsia" w:ascii="宋体" w:hAnsi="宋体"/>
          <w:sz w:val="24"/>
          <w:highlight w:val="none"/>
        </w:rPr>
        <w:t xml:space="preserve">（响应报价高于最高限价的作无效标处理）。</w:t>
      </w:r>
      <w:bookmarkStart w:id="7" w:name="_Toc35393799"/>
      <w:r/>
      <w:bookmarkStart w:id="8" w:name="_Toc28359090"/>
      <w:r/>
      <w:bookmarkStart w:id="9" w:name="_Toc28359013"/>
      <w:r/>
      <w:bookmarkStart w:id="10" w:name="_Toc35393630"/>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6.采购需求：</w:t>
      </w:r>
      <w:r>
        <w:rPr>
          <w:rFonts w:hint="eastAsia" w:ascii="宋体" w:hAnsi="宋体" w:cs="宋体"/>
          <w:color w:val="000000" w:themeColor="text1"/>
          <w:sz w:val="24"/>
          <w:highlight w:val="none"/>
          <w:lang w:eastAsia="zh-CN"/>
          <w14:textFill>
            <w14:solidFill>
              <w14:schemeClr w14:val="tx1"/>
            </w14:solidFill>
          </w14:textFill>
        </w:rPr>
        <w:t xml:space="preserve">盐城市耕地保护和利用专项规划编制项目</w:t>
      </w:r>
      <w:r>
        <w:rPr>
          <w:rFonts w:hint="eastAsia" w:ascii="宋体" w:hAnsi="宋体" w:cs="宋体"/>
          <w:color w:val="000000" w:themeColor="text1"/>
          <w:sz w:val="24"/>
          <w:highlight w:val="none"/>
          <w14:textFill>
            <w14:solidFill>
              <w14:schemeClr w14:val="tx1"/>
            </w14:solidFill>
          </w14:textFill>
        </w:rPr>
        <w:t xml:space="preserve">，具体详见招标文件项目需求。</w:t>
      </w:r>
      <w:r/>
    </w:p>
    <w:p>
      <w:pPr>
        <w:ind w:firstLine="480"/>
        <w:pageBreakBefore w:val="0"/>
        <w:spacing w:line="480" w:lineRule="exact"/>
        <w:rPr>
          <w:rFonts w:hint="eastAsia" w:ascii="宋体" w:hAnsi="宋体" w:cs="宋体"/>
          <w:sz w:val="24"/>
          <w:highlight w:val="none"/>
          <w:lang w:eastAsia="zh-CN"/>
        </w:rPr>
      </w:pPr>
      <w:r>
        <w:rPr>
          <w:rFonts w:hint="eastAsia" w:ascii="宋体" w:hAnsi="宋体" w:cs="宋体"/>
          <w:color w:val="000000" w:themeColor="text1"/>
          <w:sz w:val="24"/>
          <w:highlight w:val="none"/>
          <w14:textFill>
            <w14:solidFill>
              <w14:schemeClr w14:val="tx1"/>
            </w14:solidFill>
          </w14:textFill>
        </w:rPr>
        <w:t xml:space="preserve">7.合同履行期限：</w:t>
      </w:r>
      <w:r>
        <w:rPr>
          <w:rFonts w:hint="eastAsia" w:ascii="宋体" w:hAnsi="宋体" w:cs="宋体"/>
          <w:sz w:val="24"/>
          <w:highlight w:val="none"/>
          <w:lang w:val="en-US" w:eastAsia="zh-CN"/>
        </w:rPr>
        <w:t xml:space="preserve">2025年11月底前完成成果编制工作，</w:t>
      </w:r>
      <w:r>
        <w:rPr>
          <w:rFonts w:hint="eastAsia" w:ascii="宋体" w:hAnsi="宋体" w:cs="宋体"/>
          <w:sz w:val="24"/>
          <w:highlight w:val="none"/>
          <w:lang w:eastAsia="zh-CN"/>
        </w:rPr>
        <w:t xml:space="preserve">并在规划批准后30个工作日内报省厅备案，并确保通过备案。</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8.本项目</w:t>
      </w:r>
      <w:r>
        <w:rPr>
          <w:rFonts w:hint="eastAsia" w:ascii="宋体" w:hAnsi="宋体" w:cs="宋体"/>
          <w:sz w:val="24"/>
          <w:highlight w:val="none"/>
          <w:u w:val="single"/>
        </w:rPr>
        <w:t xml:space="preserve">不接受</w:t>
      </w:r>
      <w:r>
        <w:rPr>
          <w:rFonts w:hint="eastAsia" w:ascii="宋体" w:hAnsi="宋体" w:cs="宋体"/>
          <w:color w:val="000000" w:themeColor="text1"/>
          <w:sz w:val="24"/>
          <w:highlight w:val="none"/>
          <w14:textFill>
            <w14:solidFill>
              <w14:schemeClr w14:val="tx1"/>
            </w14:solidFill>
          </w14:textFill>
        </w:rPr>
        <w:t xml:space="preserve">联合体投标。</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二、申请人的资格要求：</w:t>
      </w:r>
      <w:bookmarkEnd w:id="7"/>
      <w:r/>
      <w:bookmarkEnd w:id="8"/>
      <w:r/>
      <w:bookmarkEnd w:id="9"/>
      <w:r/>
      <w:bookmarkEnd w:id="10"/>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bookmarkStart w:id="11" w:name="_Toc28359014"/>
      <w:r/>
      <w:bookmarkStart w:id="12" w:name="_Toc28359091"/>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1.满足《中华人民共和国政府采购法》第二十二条规定，并提供下列材料：</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法人或者其他组织的营业执照等证明文件，自然人的身份证明；</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1.2上一年度的财务状况报</w:t>
      </w:r>
      <w:r>
        <w:rPr>
          <w:rFonts w:hint="eastAsia" w:ascii="宋体" w:hAnsi="宋体" w:cs="宋体"/>
          <w:color w:val="000000" w:themeColor="text1"/>
          <w:sz w:val="24"/>
          <w:highlight w:val="none"/>
          <w:lang w:val="en-US" w:eastAsia="zh-CN"/>
          <w14:textFill>
            <w14:solidFill>
              <w14:schemeClr w14:val="tx1"/>
            </w14:solidFill>
          </w14:textFill>
        </w:rPr>
        <w:t xml:space="preserve">告</w:t>
      </w:r>
      <w:r>
        <w:rPr>
          <w:rFonts w:hint="eastAsia" w:ascii="宋体" w:hAnsi="宋体" w:cs="宋体"/>
          <w:color w:val="000000" w:themeColor="text1"/>
          <w:sz w:val="24"/>
          <w:highlight w:val="none"/>
          <w14:textFill>
            <w14:solidFill>
              <w14:schemeClr w14:val="tx1"/>
            </w14:solidFill>
          </w14:textFill>
        </w:rPr>
        <w:t xml:space="preserve">（成立不满一年无需提供）；</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1.3具备履行合同所必需的设备和专业技术能力的书面声明；</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1.5参加政府采购活动前3年内在经营活动中没有重大违法记录的书面声明。</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1.8单位负责人为同一人或者存在直接控股、管理关系的不同供应商，不得参加同一合同项下的政府采购活动。</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2.落实政府采购政策需满足的资格要求：无</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bookmarkStart w:id="13" w:name="_Toc35393800"/>
      <w:r/>
      <w:bookmarkStart w:id="14" w:name="_Toc35393631"/>
      <w:r>
        <w:rPr>
          <w:rFonts w:hint="eastAsia" w:ascii="宋体" w:hAnsi="宋体" w:cs="宋体"/>
          <w:bCs/>
          <w:sz w:val="24"/>
          <w:highlight w:val="none"/>
        </w:rPr>
        <w:t xml:space="preserve">投标人须具有土地规划</w:t>
      </w:r>
      <w:r>
        <w:rPr>
          <w:rFonts w:hint="eastAsia" w:ascii="宋体" w:hAnsi="宋体" w:cs="宋体"/>
          <w:bCs/>
          <w:sz w:val="24"/>
          <w:highlight w:val="none"/>
          <w:lang w:val="en-US" w:eastAsia="zh-CN"/>
        </w:rPr>
        <w:t xml:space="preserve">乙</w:t>
      </w:r>
      <w:r>
        <w:rPr>
          <w:rFonts w:hint="eastAsia" w:ascii="宋体" w:hAnsi="宋体" w:cs="宋体"/>
          <w:bCs/>
          <w:sz w:val="24"/>
          <w:highlight w:val="none"/>
        </w:rPr>
        <w:t xml:space="preserve">级</w:t>
      </w:r>
      <w:r>
        <w:rPr>
          <w:rFonts w:hint="eastAsia" w:ascii="宋体" w:hAnsi="宋体" w:cs="宋体"/>
          <w:bCs/>
          <w:sz w:val="24"/>
          <w:highlight w:val="none"/>
          <w:lang w:val="en-US" w:eastAsia="zh-CN"/>
        </w:rPr>
        <w:t xml:space="preserve">及以上</w:t>
      </w:r>
      <w:r>
        <w:rPr>
          <w:rFonts w:hint="eastAsia" w:ascii="宋体" w:hAnsi="宋体" w:cs="宋体"/>
          <w:bCs/>
          <w:sz w:val="24"/>
          <w:highlight w:val="none"/>
        </w:rPr>
        <w:t xml:space="preserve">资质(因政策原因导致的土地规划资质证书无法延期或换证的，原资质证书视同有效)</w:t>
      </w:r>
      <w:r>
        <w:rPr>
          <w:rFonts w:hint="eastAsia" w:ascii="宋体" w:hAnsi="宋体" w:cs="宋体"/>
          <w:bCs/>
          <w:color w:val="000000" w:themeColor="text1"/>
          <w:sz w:val="24"/>
          <w:highlight w:val="none"/>
          <w14:textFill>
            <w14:solidFill>
              <w14:schemeClr w14:val="tx1"/>
            </w14:solidFill>
          </w14:textFill>
        </w:rPr>
        <w:t xml:space="preserve">。</w:t>
      </w:r>
      <w:bookmarkEnd w:id="11"/>
      <w:r/>
      <w:bookmarkEnd w:id="12"/>
      <w:r/>
      <w:bookmarkEnd w:id="13"/>
      <w:r/>
      <w:bookmarkEnd w:id="14"/>
      <w:r/>
      <w:r/>
    </w:p>
    <w:p>
      <w:pPr>
        <w:ind w:firstLine="482"/>
        <w:pageBreakBefore w:val="0"/>
        <w:spacing w:line="480" w:lineRule="exact"/>
        <w:rPr>
          <w:rFonts w:hint="eastAsia" w:ascii="宋体" w:hAnsi="宋体" w:cs="宋体"/>
          <w:b/>
          <w:color w:val="000000" w:themeColor="text1"/>
          <w:sz w:val="24"/>
          <w:highlight w:val="none"/>
          <w14:textFill>
            <w14:solidFill>
              <w14:schemeClr w14:val="tx1"/>
            </w14:solidFill>
          </w14:textFill>
        </w:rPr>
      </w:pPr>
      <w:r/>
      <w:bookmarkStart w:id="15" w:name="_Toc35393632"/>
      <w:r/>
      <w:bookmarkStart w:id="16" w:name="_Toc35393801"/>
      <w:r/>
      <w:bookmarkStart w:id="17" w:name="_Toc28359092"/>
      <w:r/>
      <w:bookmarkStart w:id="18" w:name="_Toc28359015"/>
      <w:r>
        <w:rPr>
          <w:rFonts w:hint="eastAsia" w:ascii="宋体" w:hAnsi="宋体" w:cs="宋体"/>
          <w:b/>
          <w:color w:val="000000" w:themeColor="text1"/>
          <w:sz w:val="24"/>
          <w:highlight w:val="none"/>
          <w14:textFill>
            <w14:solidFill>
              <w14:schemeClr w14:val="tx1"/>
            </w14:solidFill>
          </w14:textFill>
        </w:rPr>
        <w:t xml:space="preserve">三、获取</w:t>
      </w:r>
      <w:r>
        <w:rPr>
          <w:rFonts w:hint="eastAsia" w:ascii="宋体" w:hAnsi="宋体" w:cs="宋体"/>
          <w:b/>
          <w:sz w:val="24"/>
          <w:highlight w:val="none"/>
        </w:rPr>
        <w:t xml:space="preserve">磋商文件</w:t>
      </w:r>
      <w:bookmarkEnd w:id="15"/>
      <w:r/>
      <w:bookmarkEnd w:id="16"/>
      <w:r/>
      <w:bookmarkEnd w:id="17"/>
      <w:r/>
      <w:bookmarkEnd w:id="18"/>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bookmarkStart w:id="19" w:name="_Toc28359082"/>
      <w:r/>
      <w:bookmarkStart w:id="20" w:name="_Toc35393793"/>
      <w:r/>
      <w:bookmarkStart w:id="21" w:name="_Toc35393624"/>
      <w:r/>
      <w:bookmarkStart w:id="22" w:name="_Toc28359005"/>
      <w:r/>
      <w:bookmarkStart w:id="23" w:name="_Toc28359007"/>
      <w:r/>
      <w:bookmarkStart w:id="24" w:name="_Toc35393794"/>
      <w:r/>
      <w:bookmarkStart w:id="25" w:name="_Toc28359084"/>
      <w:r/>
      <w:bookmarkStart w:id="26" w:name="_Toc35393625"/>
      <w:r/>
      <w:bookmarkStart w:id="27" w:name="_Toc35393805"/>
      <w:r/>
      <w:bookmarkStart w:id="28" w:name="_Toc28359095"/>
      <w:r/>
      <w:bookmarkStart w:id="29" w:name="_Toc35393636"/>
      <w:r/>
      <w:bookmarkStart w:id="30" w:name="_Toc28359018"/>
      <w:r>
        <w:rPr>
          <w:rFonts w:hint="eastAsia" w:ascii="宋体" w:hAnsi="宋体" w:cs="宋体"/>
          <w:sz w:val="24"/>
          <w:highlight w:val="none"/>
        </w:rPr>
        <w:t xml:space="preserve">1.</w:t>
      </w:r>
      <w:r>
        <w:rPr>
          <w:rFonts w:hint="eastAsia" w:ascii="宋体" w:hAnsi="宋体" w:cs="宋体"/>
          <w:color w:val="000000" w:themeColor="text1"/>
          <w:sz w:val="24"/>
          <w:highlight w:val="none"/>
          <w14:textFill>
            <w14:solidFill>
              <w14:schemeClr w14:val="tx1"/>
            </w14:solidFill>
          </w14:textFill>
        </w:rPr>
        <w:t xml:space="preserve">时间：自招标文件公告发布之日起5个工作日 </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sz w:val="24"/>
          <w:highlight w:val="none"/>
        </w:rPr>
        <w:t xml:space="preserve">2.</w:t>
      </w:r>
      <w:r>
        <w:rPr>
          <w:rFonts w:hint="eastAsia" w:ascii="宋体" w:hAnsi="宋体" w:cs="宋体"/>
          <w:color w:val="000000" w:themeColor="text1"/>
          <w:sz w:val="24"/>
          <w:highlight w:val="none"/>
          <w14:textFill>
            <w14:solidFill>
              <w14:schemeClr w14:val="tx1"/>
            </w14:solidFill>
          </w14:textFill>
        </w:rPr>
        <w:t xml:space="preserve">地点：“苏采云”系统内免费下载（投标人必须在苏采云系统中获取采购文件，方能参与政府采购项目）</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sz w:val="24"/>
          <w:highlight w:val="none"/>
        </w:rPr>
        <w:t xml:space="preserve">3.</w:t>
      </w:r>
      <w:r>
        <w:rPr>
          <w:rFonts w:hint="eastAsia" w:ascii="宋体" w:hAnsi="宋体" w:cs="宋体"/>
          <w:color w:val="000000" w:themeColor="text1"/>
          <w:sz w:val="24"/>
          <w:highlight w:val="none"/>
          <w14:textFill>
            <w14:solidFill>
              <w14:schemeClr w14:val="tx1"/>
            </w14:solidFill>
          </w14:textFill>
        </w:rPr>
        <w:t xml:space="preserve">方式：本项目采用网上注册登记方式。  </w:t>
      </w:r>
      <w:r/>
    </w:p>
    <w:p>
      <w:pPr>
        <w:pStyle w:val="1055"/>
        <w:ind w:firstLine="498"/>
        <w:jc w:val="both"/>
        <w:keepLines/>
        <w:keepNext/>
        <w:pageBreakBefore w:val="0"/>
        <w:spacing w:before="145" w:beforeAutospacing="0" w:after="145" w:afterAutospacing="0"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4.售价：0.00元</w:t>
      </w:r>
      <w:bookmarkEnd w:id="19"/>
      <w:r/>
      <w:bookmarkEnd w:id="20"/>
      <w:r/>
      <w:bookmarkEnd w:id="21"/>
      <w:r/>
      <w:bookmarkEnd w:id="22"/>
      <w:r/>
      <w:r/>
    </w:p>
    <w:p>
      <w:pPr>
        <w:pStyle w:val="1055"/>
        <w:ind w:firstLine="498"/>
        <w:jc w:val="both"/>
        <w:keepLines/>
        <w:keepNext/>
        <w:pageBreakBefore w:val="0"/>
        <w:spacing w:before="145" w:beforeAutospacing="0" w:after="145" w:afterAutospacing="0" w:line="480" w:lineRule="exact"/>
        <w:rPr>
          <w:rFonts w:hint="eastAsia"/>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四、响应文件提交</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1.截止时间：</w:t>
      </w:r>
      <w:r>
        <w:rPr>
          <w:rFonts w:hint="eastAsia" w:ascii="宋体" w:hAnsi="宋体" w:cs="宋体"/>
          <w:color w:val="000000" w:themeColor="text1"/>
          <w:sz w:val="24"/>
          <w:highlight w:val="none"/>
          <w:u w:val="single"/>
          <w14:textFill>
            <w14:solidFill>
              <w14:schemeClr w14:val="tx1"/>
            </w14:solidFill>
          </w14:textFill>
        </w:rPr>
        <w:t xml:space="preserve">2025年10</w:t>
      </w:r>
      <w:r>
        <w:rPr>
          <w:rFonts w:hint="eastAsia" w:ascii="宋体" w:hAnsi="宋体" w:cs="宋体"/>
          <w:color w:val="000000" w:themeColor="text1"/>
          <w:sz w:val="24"/>
          <w:highlight w:val="none"/>
          <w:u w:val="single"/>
          <w14:textFill>
            <w14:solidFill>
              <w14:schemeClr w14:val="tx1"/>
            </w14:solidFill>
          </w14:textFill>
        </w:rPr>
        <w:t xml:space="preserve">月10</w:t>
      </w:r>
      <w:r>
        <w:rPr>
          <w:rFonts w:hint="eastAsia" w:ascii="宋体" w:hAnsi="宋体" w:cs="宋体"/>
          <w:color w:val="000000" w:themeColor="text1"/>
          <w:sz w:val="24"/>
          <w:highlight w:val="none"/>
          <w:u w:val="single"/>
          <w14:textFill>
            <w14:solidFill>
              <w14:schemeClr w14:val="tx1"/>
            </w14:solidFill>
          </w14:textFill>
        </w:rPr>
        <w:t xml:space="preserve">日</w:t>
      </w:r>
      <w:r>
        <w:rPr>
          <w:rFonts w:hint="eastAsia" w:ascii="宋体" w:hAnsi="宋体" w:cs="宋体"/>
          <w:color w:val="000000" w:themeColor="text1"/>
          <w:sz w:val="24"/>
          <w:highlight w:val="none"/>
          <w:u w:val="single"/>
          <w:lang w:val="en-US" w:eastAsia="zh-CN"/>
          <w14:textFill>
            <w14:solidFill>
              <w14:schemeClr w14:val="tx1"/>
            </w14:solidFill>
          </w14:textFill>
        </w:rPr>
        <w:t xml:space="preserve">15</w:t>
      </w:r>
      <w:r>
        <w:rPr>
          <w:rFonts w:hint="eastAsia" w:ascii="宋体" w:hAnsi="宋体" w:cs="宋体"/>
          <w:color w:val="000000" w:themeColor="text1"/>
          <w:sz w:val="24"/>
          <w:highlight w:val="none"/>
          <w:u w:val="single"/>
          <w14:textFill>
            <w14:solidFill>
              <w14:schemeClr w14:val="tx1"/>
            </w14:solidFill>
          </w14:textFill>
        </w:rPr>
        <w:t xml:space="preserve">点00分</w:t>
      </w:r>
      <w:r>
        <w:rPr>
          <w:rFonts w:hint="eastAsia" w:ascii="宋体" w:hAnsi="宋体" w:cs="宋体"/>
          <w:color w:val="000000" w:themeColor="text1"/>
          <w:sz w:val="24"/>
          <w:highlight w:val="none"/>
          <w14:textFill>
            <w14:solidFill>
              <w14:schemeClr w14:val="tx1"/>
            </w14:solidFill>
          </w14:textFill>
        </w:rPr>
        <w:t xml:space="preserve">（北京时间）。</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苏采云“不见面”开标大厅</w:t>
      </w:r>
      <w:r>
        <w:rPr>
          <w:rFonts w:ascii="宋体" w:hAnsi="宋体" w:cs="宋体"/>
          <w:color w:val="000000" w:themeColor="text1"/>
          <w:sz w:val="24"/>
          <w:highlight w:val="none"/>
          <w14:textFill>
            <w14:solidFill>
              <w14:schemeClr w14:val="tx1"/>
            </w14:solidFill>
          </w14:textFill>
        </w:rPr>
        <w:t xml:space="preserve">。</w:t>
      </w:r>
      <w:bookmarkEnd w:id="23"/>
      <w:r/>
      <w:bookmarkEnd w:id="24"/>
      <w:r/>
      <w:bookmarkEnd w:id="25"/>
      <w:r/>
      <w:bookmarkEnd w:id="26"/>
      <w:r/>
      <w:r/>
    </w:p>
    <w:p>
      <w:pPr>
        <w:pStyle w:val="1055"/>
        <w:ind w:firstLine="498"/>
        <w:jc w:val="both"/>
        <w:keepLines/>
        <w:keepNext/>
        <w:pageBreakBefore w:val="0"/>
        <w:spacing w:before="145" w:beforeAutospacing="0" w:after="145" w:afterAutospacing="0" w:line="480" w:lineRule="exact"/>
        <w:rPr>
          <w:rFonts w:hint="eastAsia"/>
          <w:b/>
          <w:color w:val="000000" w:themeColor="text1"/>
          <w:highlight w:val="none"/>
          <w14:textFill>
            <w14:solidFill>
              <w14:schemeClr w14:val="tx1"/>
            </w14:solidFill>
          </w14:textFill>
        </w:rPr>
      </w:pPr>
      <w:r/>
      <w:bookmarkStart w:id="31" w:name="_Toc35393626"/>
      <w:r/>
      <w:bookmarkStart w:id="32" w:name="_Toc35393795"/>
      <w:r/>
      <w:bookmarkStart w:id="33" w:name="_Toc38985268"/>
      <w:r>
        <w:rPr>
          <w:rFonts w:hint="eastAsia"/>
          <w:b/>
          <w:color w:val="000000" w:themeColor="text1"/>
          <w:highlight w:val="none"/>
          <w14:textFill>
            <w14:solidFill>
              <w14:schemeClr w14:val="tx1"/>
            </w14:solidFill>
          </w14:textFill>
        </w:rPr>
        <w:t xml:space="preserve">五、开启</w:t>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1.时间：</w:t>
      </w:r>
      <w:r>
        <w:rPr>
          <w:rFonts w:hint="eastAsia" w:ascii="宋体" w:hAnsi="宋体" w:cs="宋体"/>
          <w:color w:val="000000" w:themeColor="text1"/>
          <w:sz w:val="24"/>
          <w:highlight w:val="none"/>
          <w:u w:val="single"/>
          <w14:textFill>
            <w14:solidFill>
              <w14:schemeClr w14:val="tx1"/>
            </w14:solidFill>
          </w14:textFill>
        </w:rPr>
        <w:t xml:space="preserve">2025年10</w:t>
      </w:r>
      <w:r>
        <w:rPr>
          <w:rFonts w:hint="eastAsia" w:ascii="宋体" w:hAnsi="宋体" w:cs="宋体"/>
          <w:color w:val="000000" w:themeColor="text1"/>
          <w:sz w:val="24"/>
          <w:highlight w:val="none"/>
          <w:u w:val="single"/>
          <w14:textFill>
            <w14:solidFill>
              <w14:schemeClr w14:val="tx1"/>
            </w14:solidFill>
          </w14:textFill>
        </w:rPr>
        <w:t xml:space="preserve">月10</w:t>
      </w:r>
      <w:r>
        <w:rPr>
          <w:rFonts w:hint="eastAsia" w:ascii="宋体" w:hAnsi="宋体" w:cs="宋体"/>
          <w:color w:val="000000" w:themeColor="text1"/>
          <w:sz w:val="24"/>
          <w:highlight w:val="none"/>
          <w:u w:val="single"/>
          <w14:textFill>
            <w14:solidFill>
              <w14:schemeClr w14:val="tx1"/>
            </w14:solidFill>
          </w14:textFill>
        </w:rPr>
        <w:t xml:space="preserve">日</w:t>
      </w:r>
      <w:r>
        <w:rPr>
          <w:rFonts w:hint="eastAsia" w:ascii="宋体" w:hAnsi="宋体" w:cs="宋体"/>
          <w:color w:val="000000" w:themeColor="text1"/>
          <w:sz w:val="24"/>
          <w:highlight w:val="none"/>
          <w:u w:val="single"/>
          <w:lang w:val="en-US" w:eastAsia="zh-CN"/>
          <w14:textFill>
            <w14:solidFill>
              <w14:schemeClr w14:val="tx1"/>
            </w14:solidFill>
          </w14:textFill>
        </w:rPr>
        <w:t xml:space="preserve">15</w:t>
      </w:r>
      <w:r>
        <w:rPr>
          <w:rFonts w:hint="eastAsia" w:ascii="宋体" w:hAnsi="宋体" w:cs="宋体"/>
          <w:color w:val="000000" w:themeColor="text1"/>
          <w:sz w:val="24"/>
          <w:highlight w:val="none"/>
          <w:u w:val="single"/>
          <w14:textFill>
            <w14:solidFill>
              <w14:schemeClr w14:val="tx1"/>
            </w14:solidFill>
          </w14:textFill>
        </w:rPr>
        <w:t xml:space="preserve">点00分</w:t>
      </w:r>
      <w:r>
        <w:rPr>
          <w:rFonts w:hint="eastAsia" w:ascii="宋体" w:hAnsi="宋体" w:cs="宋体"/>
          <w:color w:val="000000" w:themeColor="text1"/>
          <w:sz w:val="24"/>
          <w:highlight w:val="none"/>
          <w14:textFill>
            <w14:solidFill>
              <w14:schemeClr w14:val="tx1"/>
            </w14:solidFill>
          </w14:textFill>
        </w:rPr>
        <w:t xml:space="preserve">（北京时间）。</w:t>
      </w:r>
      <w:bookmarkEnd w:id="31"/>
      <w:r/>
      <w:bookmarkEnd w:id="32"/>
      <w:r/>
      <w:bookmarkEnd w:id="33"/>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2.地点：苏采云“不见面”开标大厅。</w:t>
      </w:r>
      <w:r/>
    </w:p>
    <w:p>
      <w:pPr>
        <w:pStyle w:val="1055"/>
        <w:ind w:firstLine="498"/>
        <w:jc w:val="both"/>
        <w:keepLines/>
        <w:keepNext/>
        <w:pageBreakBefore w:val="0"/>
        <w:spacing w:before="145" w:beforeAutospacing="0" w:after="145" w:afterAutospacing="0" w:line="480" w:lineRule="exact"/>
        <w:rPr>
          <w:rFonts w:hint="eastAsia"/>
          <w:b/>
          <w:color w:val="000000" w:themeColor="text1"/>
          <w:highlight w:val="none"/>
          <w14:textFill>
            <w14:solidFill>
              <w14:schemeClr w14:val="tx1"/>
            </w14:solidFill>
          </w14:textFill>
        </w:rPr>
      </w:pPr>
      <w:r/>
      <w:bookmarkStart w:id="34" w:name="_Toc28359094"/>
      <w:r>
        <w:rPr>
          <w:rFonts w:hint="eastAsia"/>
          <w:b/>
          <w:color w:val="000000" w:themeColor="text1"/>
          <w:highlight w:val="none"/>
          <w14:textFill>
            <w14:solidFill>
              <w14:schemeClr w14:val="tx1"/>
            </w14:solidFill>
          </w14:textFill>
        </w:rPr>
        <w:t xml:space="preserve">六、公告期限</w:t>
      </w:r>
      <w:bookmarkEnd w:id="34"/>
      <w:r/>
      <w:r/>
    </w:p>
    <w:p>
      <w:pPr>
        <w:ind w:firstLine="48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numPr>
          <w:ilvl w:val="0"/>
          <w:numId w:val="3"/>
        </w:numPr>
        <w:ind w:firstLine="422"/>
        <w:keepLines w:val="0"/>
        <w:keepNext w:val="0"/>
        <w:pageBreakBefore w:val="0"/>
        <w:spacing w:line="440" w:lineRule="exact"/>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其他补充事宜</w:t>
      </w:r>
      <w:r/>
    </w:p>
    <w:p>
      <w:pPr>
        <w:ind w:firstLine="480"/>
        <w:keepLines w:val="0"/>
        <w:keepNext w:val="0"/>
        <w:pageBreakBefore w:val="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2.潜在供应商访问电子招标响应交易平台的网络地址和方法： </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潜在投标人访问“苏采云”系统方法：江苏省政府采购网首页-“苏采云”链接。 </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磋商文件（后缀名为“.kedt”）、供应商操作手册及政府采购客户端 工具可通过“苏采云”系统相应链接进行下载。 </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采购代理机构将数据电文形式的磋商文件加载至“苏采云”系统，供潜在供应商下载或者查阅。 </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如潜在投标人未按上述要求操作，将自行承担所产生的风险。</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有关本次磋商的事项若存在变动或修改，敬请及时关注“中国政府采购网”、“江苏政府采购网”、“盐城市政府采购网”发布的更正公告。</w:t>
      </w:r>
      <w:r/>
    </w:p>
    <w:p>
      <w:pPr>
        <w:ind w:firstLine="480"/>
        <w:jc w:val="left"/>
        <w:keepLines w:val="0"/>
        <w:keepNext w:val="0"/>
        <w:pageBreakBefore w:val="0"/>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本次磋商不收取磋商保证金，不收取质量保证金。</w:t>
      </w:r>
      <w:r/>
    </w:p>
    <w:p>
      <w:pPr>
        <w:ind w:firstLine="482"/>
        <w:keepLines w:val="0"/>
        <w:keepNext w:val="0"/>
        <w:pageBreakBefore w:val="0"/>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八、凡对本次采购提出询问，请按以下方式联系。</w:t>
      </w:r>
      <w:bookmarkEnd w:id="27"/>
      <w:r/>
      <w:bookmarkEnd w:id="28"/>
      <w:r/>
      <w:bookmarkEnd w:id="29"/>
      <w:r/>
      <w:bookmarkEnd w:id="30"/>
      <w:r/>
      <w:r/>
    </w:p>
    <w:p>
      <w:pPr>
        <w:ind w:firstLine="723"/>
        <w:jc w:val="left"/>
        <w:keepLines w:val="0"/>
        <w:keepNext w:val="0"/>
        <w:pageBreakBefore w:val="0"/>
        <w:spacing w:line="440" w:lineRule="exact"/>
        <w:shd w:val="clear" w:color="auto" w:fill="ffffff"/>
        <w:widowControl/>
        <w:rPr>
          <w:rFonts w:ascii="宋体" w:hAnsi="宋体" w:cs="宋体"/>
          <w:b/>
          <w:color w:val="auto"/>
          <w:sz w:val="24"/>
          <w:highlight w:val="none"/>
        </w:rPr>
        <w:outlineLvl w:val="9"/>
      </w:pPr>
      <w:r>
        <w:rPr>
          <w:rFonts w:hint="eastAsia" w:ascii="宋体" w:hAnsi="宋体" w:cs="宋体"/>
          <w:b/>
          <w:color w:val="auto"/>
          <w:sz w:val="24"/>
          <w:highlight w:val="none"/>
        </w:rPr>
        <w:t xml:space="preserve">1.采购人信息</w:t>
      </w:r>
      <w:r/>
    </w:p>
    <w:p>
      <w:pPr>
        <w:ind w:left="1078" w:hanging="60"/>
        <w:jc w:val="left"/>
        <w:keepLines w:val="0"/>
        <w:keepNext w:val="0"/>
        <w:pageBreakBefore w:val="0"/>
        <w:spacing w:line="440" w:lineRule="exact"/>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盐城市自然资源和规划局</w:t>
      </w:r>
      <w:r/>
    </w:p>
    <w:p>
      <w:pPr>
        <w:ind w:left="1078" w:hanging="60"/>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地    址：盐城市亭湖区毓龙东路59号</w:t>
      </w:r>
      <w:r/>
    </w:p>
    <w:p>
      <w:pPr>
        <w:ind w:left="1078" w:hanging="60"/>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联 系 人：</w:t>
      </w:r>
      <w:r>
        <w:rPr>
          <w:rFonts w:hint="eastAsia" w:ascii="宋体" w:hAnsi="宋体" w:cs="宋体"/>
          <w:color w:val="auto"/>
          <w:sz w:val="24"/>
          <w:highlight w:val="none"/>
          <w:lang w:val="en-US" w:eastAsia="zh-CN"/>
        </w:rPr>
        <w:t xml:space="preserve">卢先生</w:t>
      </w:r>
      <w:r>
        <w:rPr>
          <w:rFonts w:hint="eastAsia" w:ascii="宋体" w:hAnsi="宋体" w:cs="宋体"/>
          <w:color w:val="auto"/>
          <w:sz w:val="24"/>
          <w:highlight w:val="none"/>
        </w:rPr>
        <w:t xml:space="preserve"> </w:t>
      </w:r>
      <w:r/>
    </w:p>
    <w:p>
      <w:pPr>
        <w:ind w:left="1078" w:hanging="60"/>
        <w:jc w:val="left"/>
        <w:keepLines w:val="0"/>
        <w:keepNext w:val="0"/>
        <w:pageBreakBefore w:val="0"/>
        <w:spacing w:line="440" w:lineRule="exact"/>
        <w:rPr>
          <w:rFonts w:hint="default"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0515-88187131  </w:t>
      </w:r>
      <w:r/>
    </w:p>
    <w:p>
      <w:pPr>
        <w:ind w:left="1080" w:hanging="301"/>
        <w:jc w:val="left"/>
        <w:keepLines w:val="0"/>
        <w:keepNext w:val="0"/>
        <w:pageBreakBefore w:val="0"/>
        <w:spacing w:line="440" w:lineRule="exact"/>
        <w:rPr>
          <w:rFonts w:ascii="宋体" w:hAnsi="宋体" w:cs="宋体"/>
          <w:b/>
          <w:bCs/>
          <w:color w:val="auto"/>
          <w:sz w:val="24"/>
          <w:highlight w:val="none"/>
        </w:rPr>
        <w:outlineLvl w:val="9"/>
      </w:pPr>
      <w:r>
        <w:rPr>
          <w:rFonts w:hint="eastAsia" w:ascii="宋体" w:hAnsi="宋体" w:cs="宋体"/>
          <w:b/>
          <w:bCs/>
          <w:color w:val="auto"/>
          <w:sz w:val="24"/>
          <w:highlight w:val="none"/>
        </w:rPr>
        <w:t xml:space="preserve">2.招标代理机构信息</w:t>
      </w:r>
      <w:r/>
    </w:p>
    <w:p>
      <w:pPr>
        <w:ind w:left="989"/>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名    称：江苏仁禾中衡工程咨询房地产估价有限公司</w:t>
      </w:r>
      <w:r/>
    </w:p>
    <w:p>
      <w:pPr>
        <w:ind w:left="989"/>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地　　址：盐城市世纪大道1188号服务大厦2007室</w:t>
      </w:r>
      <w:r/>
    </w:p>
    <w:p>
      <w:pPr>
        <w:ind w:left="989"/>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联 系 人：徐女士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王先生</w:t>
      </w:r>
      <w:r>
        <w:rPr>
          <w:rFonts w:hint="eastAsia" w:ascii="宋体" w:hAnsi="宋体" w:cs="宋体"/>
          <w:color w:val="auto"/>
          <w:sz w:val="24"/>
          <w:highlight w:val="none"/>
        </w:rPr>
        <w:t xml:space="preserve">      </w:t>
      </w:r>
      <w:r/>
    </w:p>
    <w:p>
      <w:pPr>
        <w:ind w:left="989"/>
        <w:jc w:val="left"/>
        <w:keepLines w:val="0"/>
        <w:keepNext w:val="0"/>
        <w:pageBreakBefore w:val="0"/>
        <w:spacing w:line="440" w:lineRule="exact"/>
        <w:rPr>
          <w:rFonts w:hint="default"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联系电话：0515-69085191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15950234320</w:t>
      </w:r>
      <w:r/>
    </w:p>
    <w:p>
      <w:pPr>
        <w:ind w:left="-13" w:firstLine="723"/>
        <w:jc w:val="left"/>
        <w:keepLines w:val="0"/>
        <w:keepNext w:val="0"/>
        <w:pageBreakBefore w:val="0"/>
        <w:spacing w:line="440" w:lineRule="exact"/>
        <w:shd w:val="clear" w:color="auto" w:fill="ffffff"/>
        <w:widowControl/>
        <w:rPr>
          <w:rFonts w:ascii="宋体" w:hAnsi="宋体" w:cs="宋体"/>
          <w:b/>
          <w:color w:val="auto"/>
          <w:sz w:val="24"/>
          <w:highlight w:val="none"/>
        </w:rPr>
        <w:outlineLvl w:val="9"/>
      </w:pPr>
      <w:r/>
      <w:bookmarkStart w:id="35" w:name="_Hlt26954810"/>
      <w:r/>
      <w:bookmarkEnd w:id="35"/>
      <w:r/>
      <w:bookmarkStart w:id="36" w:name="_Hlt26670330"/>
      <w:r/>
      <w:bookmarkEnd w:id="36"/>
      <w:r/>
      <w:bookmarkStart w:id="37" w:name="_Hlt26954824"/>
      <w:r/>
      <w:bookmarkEnd w:id="37"/>
      <w:r/>
      <w:bookmarkStart w:id="38" w:name="_Hlt26954907"/>
      <w:r/>
      <w:bookmarkEnd w:id="38"/>
      <w:r/>
      <w:bookmarkStart w:id="39" w:name="_Hlt26668836"/>
      <w:r/>
      <w:bookmarkEnd w:id="39"/>
      <w:r>
        <w:rPr>
          <w:rFonts w:hint="eastAsia" w:ascii="宋体" w:hAnsi="宋体" w:cs="宋体"/>
          <w:b/>
          <w:color w:val="auto"/>
          <w:sz w:val="24"/>
          <w:highlight w:val="none"/>
        </w:rPr>
        <w:t xml:space="preserve">3.项目联系方式</w:t>
      </w:r>
      <w:r/>
    </w:p>
    <w:p>
      <w:pPr>
        <w:ind w:left="1078" w:hanging="60"/>
        <w:jc w:val="left"/>
        <w:keepLines w:val="0"/>
        <w:keepNext w:val="0"/>
        <w:pageBreakBefore w:val="0"/>
        <w:spacing w:line="440" w:lineRule="exact"/>
        <w:rPr>
          <w:rFonts w:hint="eastAsia" w:ascii="宋体" w:hAnsi="宋体" w:cs="宋体"/>
          <w:color w:val="auto"/>
          <w:sz w:val="24"/>
          <w:highlight w:val="none"/>
        </w:rPr>
        <w:outlineLvl w:val="9"/>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赵先生</w:t>
      </w:r>
      <w:r/>
    </w:p>
    <w:p>
      <w:pPr>
        <w:ind w:left="1078" w:hanging="60"/>
        <w:jc w:val="left"/>
        <w:keepLines w:val="0"/>
        <w:keepNext w:val="0"/>
        <w:pageBreakBefore w:val="0"/>
        <w:spacing w:line="440" w:lineRule="exact"/>
        <w:rPr>
          <w:rFonts w:hint="eastAsia" w:ascii="宋体" w:hAnsi="宋体" w:cs="宋体"/>
          <w:color w:val="auto"/>
          <w:sz w:val="24"/>
          <w:highlight w:val="none"/>
        </w:rPr>
        <w:outlineLvl w:val="9"/>
      </w:pPr>
      <w:r>
        <w:rPr>
          <w:rFonts w:hint="eastAsia" w:ascii="宋体" w:hAnsi="宋体" w:cs="宋体"/>
          <w:color w:val="auto"/>
          <w:sz w:val="24"/>
          <w:highlight w:val="none"/>
        </w:rPr>
        <w:t xml:space="preserve">电话：</w:t>
      </w:r>
      <w:r>
        <w:rPr>
          <w:rFonts w:hint="eastAsia" w:ascii="宋体" w:hAnsi="宋体" w:cs="宋体"/>
          <w:color w:val="auto"/>
          <w:sz w:val="24"/>
          <w:highlight w:val="none"/>
          <w:lang w:val="en-US" w:eastAsia="zh-CN"/>
        </w:rPr>
        <w:t xml:space="preserve">0515-88335401</w:t>
      </w:r>
      <w:r/>
    </w:p>
    <w:p>
      <w:pPr>
        <w:pStyle w:val="1021"/>
        <w:tabs>
          <w:tab w:val="left" w:pos="3492" w:leader="none"/>
        </w:tabs>
        <w:rPr>
          <w:rFonts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t xml:space="preserve">第二章 </w:t>
      </w:r>
      <w:r>
        <w:rPr>
          <w:rFonts w:hint="eastAsia" w:ascii="黑体" w:hAnsi="宋体" w:eastAsia="黑体" w:cs="黑体"/>
          <w:color w:val="000000" w:themeColor="text1"/>
          <w:szCs w:val="44"/>
          <w:highlight w:val="none"/>
          <w14:textFill>
            <w14:solidFill>
              <w14:schemeClr w14:val="tx1"/>
            </w14:solidFill>
          </w14:textFill>
        </w:rPr>
        <w:t xml:space="preserve">供应商须知</w:t>
      </w:r>
      <w:bookmarkEnd w:id="0"/>
      <w:r/>
      <w:bookmarkEnd w:id="1"/>
      <w:r/>
      <w:bookmarkEnd w:id="2"/>
      <w:r/>
      <w:r/>
    </w:p>
    <w:p>
      <w:pPr>
        <w:ind w:firstLine="585"/>
        <w:spacing w:line="460" w:lineRule="exact"/>
        <w:tabs>
          <w:tab w:val="left" w:pos="90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一、总则</w:t>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40" w:name="_Toc20823276"/>
      <w:r/>
      <w:bookmarkStart w:id="41" w:name="_Toc16938520"/>
      <w:r/>
      <w:bookmarkStart w:id="42" w:name="_Toc513029204"/>
      <w:r/>
      <w:bookmarkStart w:id="43" w:name="_Toc458694821"/>
      <w:r>
        <w:rPr>
          <w:rFonts w:hint="eastAsia" w:ascii="宋体" w:hAnsi="宋体"/>
          <w:color w:val="000000" w:themeColor="text1"/>
          <w:sz w:val="24"/>
          <w:highlight w:val="none"/>
          <w14:textFill>
            <w14:solidFill>
              <w14:schemeClr w14:val="tx1"/>
            </w14:solidFill>
          </w14:textFill>
        </w:rPr>
        <w:t xml:space="preserve">1</w:t>
      </w:r>
      <w:bookmarkEnd w:id="40"/>
      <w:r>
        <w:rPr>
          <w:rFonts w:hint="eastAsia" w:ascii="宋体" w:hAnsi="宋体"/>
          <w:color w:val="000000" w:themeColor="text1"/>
          <w:sz w:val="24"/>
          <w:highlight w:val="none"/>
          <w14:textFill>
            <w14:solidFill>
              <w14:schemeClr w14:val="tx1"/>
            </w14:solidFill>
          </w14:textFill>
        </w:rPr>
        <w:t xml:space="preserve">、采购方式</w:t>
      </w:r>
      <w:bookmarkEnd w:id="41"/>
      <w:r/>
      <w:bookmarkEnd w:id="42"/>
      <w:r/>
      <w:bookmarkEnd w:id="43"/>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本次政府采购活动采取竞争性磋商(以下简称磋商)方式，本磋商文件仅适用于磋商公告中所述项目。</w:t>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44" w:name="_Toc20823277"/>
      <w:r/>
      <w:bookmarkStart w:id="45" w:name="_Toc513029205"/>
      <w:r/>
      <w:bookmarkStart w:id="46" w:name="_Toc16938521"/>
      <w:r>
        <w:rPr>
          <w:rFonts w:hint="eastAsia" w:ascii="宋体" w:hAnsi="宋体"/>
          <w:color w:val="000000" w:themeColor="text1"/>
          <w:sz w:val="24"/>
          <w:highlight w:val="none"/>
          <w14:textFill>
            <w14:solidFill>
              <w14:schemeClr w14:val="tx1"/>
            </w14:solidFill>
          </w14:textFill>
        </w:rPr>
        <w:t xml:space="preserve">2、合格的</w:t>
      </w:r>
      <w:bookmarkEnd w:id="44"/>
      <w:r/>
      <w:bookmarkEnd w:id="45"/>
      <w:r/>
      <w:bookmarkEnd w:id="46"/>
      <w:r>
        <w:rPr>
          <w:rFonts w:hint="eastAsia" w:ascii="宋体" w:hAnsi="宋体"/>
          <w:color w:val="000000" w:themeColor="text1"/>
          <w:sz w:val="24"/>
          <w:highlight w:val="none"/>
          <w14:textFill>
            <w14:solidFill>
              <w14:schemeClr w14:val="tx1"/>
            </w14:solidFill>
          </w14:textFill>
        </w:rPr>
        <w:t xml:space="preserve">供应商</w:t>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2.1满足磋商公告中供应商资格要求的规定。</w:t>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满足本磋商文件实质性要求和条件的规定。</w:t>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47" w:name="_Toc16938522"/>
      <w:r/>
      <w:bookmarkStart w:id="48" w:name="_Toc513029206"/>
      <w:r/>
      <w:bookmarkStart w:id="49" w:name="_Toc20823278"/>
      <w:r>
        <w:rPr>
          <w:rFonts w:hint="eastAsia" w:ascii="宋体" w:hAnsi="宋体"/>
          <w:color w:val="000000" w:themeColor="text1"/>
          <w:sz w:val="24"/>
          <w:highlight w:val="none"/>
          <w14:textFill>
            <w14:solidFill>
              <w14:schemeClr w14:val="tx1"/>
            </w14:solidFill>
          </w14:textFill>
        </w:rPr>
        <w:t xml:space="preserve">3、适用法律</w:t>
      </w:r>
      <w:bookmarkEnd w:id="47"/>
      <w:r/>
      <w:bookmarkEnd w:id="48"/>
      <w:r/>
      <w:bookmarkEnd w:id="49"/>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本次磋商及由此产生的合同受中华人民共和国有关的法律法规制约和保护。</w:t>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4、磋商费用</w:t>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4.1参加磋商供应商应自行承担所有与参加磋商有关的费用。不论最终的成交结果如何，采购代理机构和采购人在任何情况下均无义务和责任承担这些费用。</w:t>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4.2其它费用处理</w:t>
      </w:r>
      <w:r/>
    </w:p>
    <w:p>
      <w:pPr>
        <w:ind w:firstLine="59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招标代理服务费（中标/成交服务费）：</w:t>
      </w:r>
      <w:r>
        <w:rPr>
          <w:rFonts w:hint="eastAsia" w:ascii="宋体" w:hAnsi="宋体"/>
          <w:color w:val="0d0d0d" w:themeColor="text1" w:themeTint="F2"/>
          <w:sz w:val="24"/>
          <w:highlight w:val="none"/>
          <w14:textFill>
            <w14:solidFill>
              <w14:schemeClr w14:val="tx1">
                <w14:lumMod w14:val="95000"/>
                <w14:lumOff w14:val="5000"/>
              </w14:schemeClr>
            </w14:solidFill>
          </w14:textFill>
        </w:rPr>
        <w:t xml:space="preserve">根据代理合同约定的收费标准的35%收取代理服务费，即50万元以内按1万元的35%计取，50-400万元按</w:t>
      </w:r>
      <w:r>
        <w:rPr>
          <w:rFonts w:hint="eastAsia" w:ascii="宋体" w:hAnsi="宋体"/>
          <w:color w:val="0d0d0d" w:themeColor="text1" w:themeTint="F2"/>
          <w:sz w:val="24"/>
          <w:highlight w:val="none"/>
          <w:lang w:eastAsia="zh-CN"/>
          <w14:textFill>
            <w14:solidFill>
              <w14:schemeClr w14:val="tx1">
                <w14:lumMod w14:val="95000"/>
                <w14:lumOff w14:val="5000"/>
              </w14:schemeClr>
            </w14:solidFill>
          </w14:textFill>
        </w:rPr>
        <w:t xml:space="preserve">（</w:t>
      </w:r>
      <w:r>
        <w:rPr>
          <w:rFonts w:hint="eastAsia" w:ascii="宋体" w:hAnsi="宋体"/>
          <w:color w:val="0d0d0d" w:themeColor="text1" w:themeTint="F2"/>
          <w:sz w:val="24"/>
          <w:highlight w:val="none"/>
          <w:lang w:val="en-US" w:eastAsia="zh-CN"/>
          <w14:textFill>
            <w14:solidFill>
              <w14:schemeClr w14:val="tx1">
                <w14:lumMod w14:val="95000"/>
                <w14:lumOff w14:val="5000"/>
              </w14:schemeClr>
            </w14:solidFill>
          </w14:textFill>
        </w:rPr>
        <w:t xml:space="preserve">中标价-50万）的</w:t>
      </w:r>
      <w:r>
        <w:rPr>
          <w:rFonts w:hint="eastAsia" w:ascii="宋体" w:hAnsi="宋体"/>
          <w:color w:val="0d0d0d" w:themeColor="text1" w:themeTint="F2"/>
          <w:sz w:val="24"/>
          <w:highlight w:val="none"/>
          <w14:textFill>
            <w14:solidFill>
              <w14:schemeClr w14:val="tx1">
                <w14:lumMod w14:val="95000"/>
                <w14:lumOff w14:val="5000"/>
              </w14:schemeClr>
            </w14:solidFill>
          </w14:textFill>
        </w:rPr>
        <w:t xml:space="preserve">1.5%的35%计取</w:t>
      </w:r>
      <w:r>
        <w:rPr>
          <w:rFonts w:hint="eastAsia" w:ascii="宋体" w:hAnsi="宋体"/>
          <w:color w:val="000000" w:themeColor="text1"/>
          <w:sz w:val="24"/>
          <w:highlight w:val="none"/>
          <w14:textFill>
            <w14:solidFill>
              <w14:schemeClr w14:val="tx1"/>
            </w14:solidFill>
          </w14:textFill>
        </w:rPr>
        <w:t xml:space="preserve">，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bookmarkStart w:id="50" w:name="七、合同签订相关事项"/>
      <w:r/>
      <w:bookmarkEnd w:id="50"/>
      <w:r>
        <w:rPr>
          <w:rFonts w:hint="eastAsia" w:ascii="宋体" w:hAnsi="宋体"/>
          <w:color w:val="000000" w:themeColor="text1"/>
          <w:sz w:val="24"/>
          <w:highlight w:val="none"/>
          <w14:textFill>
            <w14:solidFill>
              <w14:schemeClr w14:val="tx1"/>
            </w14:solidFill>
          </w14:textFill>
        </w:rPr>
        <w:t xml:space="preserve">。 </w:t>
      </w:r>
      <w:r/>
    </w:p>
    <w:p>
      <w:pPr>
        <w:ind w:firstLine="477"/>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5、磋商文件的约束力</w:t>
      </w:r>
      <w:r/>
    </w:p>
    <w:p>
      <w:pPr>
        <w:ind w:firstLine="480"/>
        <w:spacing w:line="4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供应商一旦下载了本磋商文件并决定参加磋商，即被认为接受了本磋商文件的规定和约束，并且视为自竞争性磋商公告期限届满之日起已经知道或应当知道自身权益是否受到了损害。</w:t>
      </w:r>
      <w:r/>
    </w:p>
    <w:p>
      <w:pPr>
        <w:pStyle w:val="1055"/>
        <w:ind w:firstLine="321"/>
        <w:jc w:val="both"/>
        <w:keepLines/>
        <w:keepNext/>
        <w:spacing w:before="145" w:beforeAutospacing="0" w:after="145" w:afterAutospacing="0" w:line="460" w:lineRule="exact"/>
        <w:rPr>
          <w:rFonts w:hint="eastAsia"/>
          <w:color w:val="000000" w:themeColor="text1"/>
          <w:highlight w:val="none"/>
          <w14:textFill>
            <w14:solidFill>
              <w14:schemeClr w14:val="tx1"/>
            </w14:solidFill>
          </w14:textFill>
        </w:rPr>
      </w:pPr>
      <w:r/>
      <w:bookmarkStart w:id="51" w:name="_Toc120614215"/>
      <w:r/>
      <w:bookmarkStart w:id="52" w:name="_Toc16938525"/>
      <w:r/>
      <w:bookmarkStart w:id="53" w:name="_Toc20823281"/>
      <w:r>
        <w:rPr>
          <w:rFonts w:ascii="Times New Roman" w:hAnsi="Times New Roman"/>
          <w:b/>
          <w:color w:val="000000" w:themeColor="text1"/>
          <w:sz w:val="32"/>
          <w:szCs w:val="32"/>
          <w:highlight w:val="none"/>
          <w14:textFill>
            <w14:solidFill>
              <w14:schemeClr w14:val="tx1"/>
            </w14:solidFill>
          </w14:textFill>
        </w:rPr>
        <w:t xml:space="preserve">二、</w:t>
      </w:r>
      <w:bookmarkEnd w:id="51"/>
      <w:r/>
      <w:bookmarkEnd w:id="52"/>
      <w:r/>
      <w:bookmarkEnd w:id="53"/>
      <w:r>
        <w:rPr>
          <w:rFonts w:ascii="Times New Roman" w:hAnsi="Times New Roman"/>
          <w:b/>
          <w:color w:val="000000" w:themeColor="text1"/>
          <w:sz w:val="32"/>
          <w:szCs w:val="32"/>
          <w:highlight w:val="none"/>
          <w14:textFill>
            <w14:solidFill>
              <w14:schemeClr w14:val="tx1"/>
            </w14:solidFill>
          </w14:textFill>
        </w:rPr>
        <w:t xml:space="preserve">磋商文件</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54" w:name="_Toc20823282"/>
      <w:r/>
      <w:bookmarkStart w:id="55" w:name="_Toc513029210"/>
      <w:r/>
      <w:bookmarkStart w:id="56" w:name="_Toc16938526"/>
      <w:r>
        <w:rPr>
          <w:rFonts w:ascii="Arial" w:hAnsi="Arial" w:cs="Arial"/>
          <w:color w:val="000000" w:themeColor="text1"/>
          <w:sz w:val="28"/>
          <w:szCs w:val="28"/>
          <w:highlight w:val="none"/>
          <w14:textFill>
            <w14:solidFill>
              <w14:schemeClr w14:val="tx1"/>
            </w14:solidFill>
          </w14:textFill>
        </w:rPr>
        <w:t xml:space="preserve">6、磋商文件构成</w:t>
      </w:r>
      <w:bookmarkEnd w:id="54"/>
      <w:r/>
      <w:bookmarkEnd w:id="55"/>
      <w:r/>
      <w:bookmarkEnd w:id="56"/>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6.1磋商文件由以下部分组成：</w:t>
      </w:r>
      <w:r/>
    </w:p>
    <w:p>
      <w:pPr>
        <w:pStyle w:val="1055"/>
        <w:numPr>
          <w:ilvl w:val="0"/>
          <w:numId w:val="4"/>
        </w:numPr>
        <w:ind w:firstLine="36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磋商公告</w:t>
      </w:r>
      <w:r/>
    </w:p>
    <w:p>
      <w:pPr>
        <w:pStyle w:val="1055"/>
        <w:numPr>
          <w:ilvl w:val="0"/>
          <w:numId w:val="4"/>
        </w:numPr>
        <w:ind w:firstLine="36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供应商须知</w:t>
      </w:r>
      <w:r/>
    </w:p>
    <w:p>
      <w:pPr>
        <w:pStyle w:val="1055"/>
        <w:ind w:firstLine="36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（3）合同文本</w:t>
      </w:r>
      <w:r/>
    </w:p>
    <w:p>
      <w:pPr>
        <w:pStyle w:val="1055"/>
        <w:ind w:firstLine="36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（4）采购需求</w:t>
      </w:r>
      <w:r/>
    </w:p>
    <w:p>
      <w:pPr>
        <w:pStyle w:val="1055"/>
        <w:ind w:firstLine="36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ascii="Times New Roman" w:hAnsi="Times New Roman"/>
          <w:color w:val="000000" w:themeColor="text1"/>
          <w:highlight w:val="none"/>
          <w14:textFill>
            <w14:solidFill>
              <w14:schemeClr w14:val="tx1"/>
            </w14:solidFill>
          </w14:textFill>
        </w:rPr>
        <w:t xml:space="preserve">评审方法与评审标准</w:t>
      </w:r>
      <w:r/>
    </w:p>
    <w:p>
      <w:pPr>
        <w:pStyle w:val="1055"/>
        <w:ind w:firstLine="36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（6）响应文件格式</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请仔细检查磋商文件是否齐全，如有缺漏请立即与</w:t>
      </w:r>
      <w:r>
        <w:rPr>
          <w:rFonts w:hint="eastAsia"/>
          <w:color w:val="000000" w:themeColor="text1"/>
          <w:szCs w:val="21"/>
          <w:highlight w:val="none"/>
          <w14:textFill>
            <w14:solidFill>
              <w14:schemeClr w14:val="tx1"/>
            </w14:solidFill>
          </w14:textFill>
        </w:rPr>
        <w:t xml:space="preserve">采购人或代理公司</w:t>
      </w:r>
      <w:r>
        <w:rPr>
          <w:rFonts w:hint="eastAsia"/>
          <w:color w:val="000000" w:themeColor="text1"/>
          <w:highlight w:val="none"/>
          <w14:textFill>
            <w14:solidFill>
              <w14:schemeClr w14:val="tx1"/>
            </w14:solidFill>
          </w14:textFill>
        </w:rPr>
        <w:t xml:space="preserve">联系解决。</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6.3中标人在中标公告结束后将加盖公章的投标文件（正本份数：1份，副本份数：4份）书面送至采购代理机构。</w:t>
      </w:r>
      <w:r/>
    </w:p>
    <w:p>
      <w:pPr>
        <w:pStyle w:val="1055"/>
        <w:ind w:firstLine="56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57" w:name="_Toc16938527"/>
      <w:r/>
      <w:bookmarkStart w:id="58" w:name="_Toc513029211"/>
      <w:r/>
      <w:bookmarkStart w:id="59" w:name="_Toc20823283"/>
      <w:r/>
      <w:bookmarkStart w:id="60" w:name="_Toc462564070"/>
      <w:r>
        <w:rPr>
          <w:rFonts w:ascii="Arial" w:hAnsi="Arial" w:cs="Arial"/>
          <w:color w:val="000000" w:themeColor="text1"/>
          <w:sz w:val="28"/>
          <w:szCs w:val="28"/>
          <w:highlight w:val="none"/>
          <w14:textFill>
            <w14:solidFill>
              <w14:schemeClr w14:val="tx1"/>
            </w14:solidFill>
          </w14:textFill>
        </w:rPr>
        <w:t xml:space="preserve">7、磋商文件的澄清</w:t>
      </w:r>
      <w:bookmarkEnd w:id="57"/>
      <w:r/>
      <w:bookmarkEnd w:id="58"/>
      <w:r/>
      <w:bookmarkEnd w:id="59"/>
      <w:r/>
      <w:bookmarkEnd w:id="60"/>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任何要求对磋商文件进行澄清的供应商，应在磋商截止期5日</w:t>
      </w:r>
      <w:r>
        <w:rPr>
          <w:rFonts w:ascii="仿宋_GB2312" w:eastAsia="仿宋_GB2312" w:cs="仿宋_GB2312"/>
          <w:color w:val="000000" w:themeColor="text1"/>
          <w:highlight w:val="none"/>
          <w14:textFill>
            <w14:solidFill>
              <w14:schemeClr w14:val="tx1"/>
            </w14:solidFill>
          </w14:textFill>
        </w:rPr>
        <w:t xml:space="preserve">前</w:t>
      </w:r>
      <w:r>
        <w:rPr>
          <w:rFonts w:hint="eastAsia"/>
          <w:color w:val="000000" w:themeColor="text1"/>
          <w:highlight w:val="none"/>
          <w14:textFill>
            <w14:solidFill>
              <w14:schemeClr w14:val="tx1"/>
            </w14:solidFill>
          </w14:textFill>
        </w:rPr>
        <w:t xml:space="preserve">按磋商公告中的通讯地址，以书面形式通知</w:t>
      </w:r>
      <w:r>
        <w:rPr>
          <w:rFonts w:hint="eastAsia"/>
          <w:color w:val="000000" w:themeColor="text1"/>
          <w:szCs w:val="21"/>
          <w:highlight w:val="none"/>
          <w14:textFill>
            <w14:solidFill>
              <w14:schemeClr w14:val="tx1"/>
            </w14:solidFill>
          </w14:textFill>
        </w:rPr>
        <w:t xml:space="preserve">采购人或代理公司</w:t>
      </w:r>
      <w:r>
        <w:rPr>
          <w:rFonts w:hint="eastAsia"/>
          <w:color w:val="000000" w:themeColor="text1"/>
          <w:highlight w:val="none"/>
          <w14:textFill>
            <w14:solidFill>
              <w14:schemeClr w14:val="tx1"/>
            </w14:solidFill>
          </w14:textFill>
        </w:rPr>
        <w:t xml:space="preserve">。</w:t>
      </w:r>
      <w:r/>
    </w:p>
    <w:p>
      <w:pPr>
        <w:pStyle w:val="1055"/>
        <w:ind w:firstLine="56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61" w:name="_Toc16938528"/>
      <w:r/>
      <w:bookmarkStart w:id="62" w:name="_Toc513029212"/>
      <w:r/>
      <w:bookmarkStart w:id="63" w:name="_Toc462564071"/>
      <w:r/>
      <w:bookmarkStart w:id="64" w:name="_Toc20823284"/>
      <w:r>
        <w:rPr>
          <w:rFonts w:ascii="Arial" w:hAnsi="Arial" w:cs="Arial"/>
          <w:color w:val="000000" w:themeColor="text1"/>
          <w:sz w:val="28"/>
          <w:szCs w:val="28"/>
          <w:highlight w:val="none"/>
          <w14:textFill>
            <w14:solidFill>
              <w14:schemeClr w14:val="tx1"/>
            </w14:solidFill>
          </w14:textFill>
        </w:rPr>
        <w:t xml:space="preserve">8、磋商文件的澄清和修改</w:t>
      </w:r>
      <w:bookmarkEnd w:id="61"/>
      <w:r/>
      <w:bookmarkEnd w:id="62"/>
      <w:r/>
      <w:bookmarkEnd w:id="63"/>
      <w:r/>
      <w:bookmarkEnd w:id="64"/>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在响应文件提交截止时间</w:t>
      </w:r>
      <w:r>
        <w:rPr>
          <w:rFonts w:ascii="仿宋_GB2312" w:eastAsia="仿宋_GB2312" w:cs="仿宋_GB2312"/>
          <w:color w:val="000000" w:themeColor="text1"/>
          <w:highlight w:val="none"/>
          <w14:textFill>
            <w14:solidFill>
              <w14:schemeClr w14:val="tx1"/>
            </w14:solidFill>
          </w14:textFill>
        </w:rPr>
        <w:t xml:space="preserve">前</w:t>
      </w:r>
      <w:r>
        <w:rPr>
          <w:rFonts w:hint="eastAsia"/>
          <w:color w:val="000000" w:themeColor="text1"/>
          <w:highlight w:val="none"/>
          <w14:textFill>
            <w14:solidFill>
              <w14:schemeClr w14:val="tx1"/>
            </w14:solidFill>
          </w14:textFill>
        </w:rPr>
        <w:t xml:space="preserve">，采购人可以对磋商文件进行澄清和修改,</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8.2采购人可以视采购项目的具体情况，组织供应商进行现场考察或召开磋商前答疑会，但不单独或分别组织只有一个供应商参加的现场考察和答疑会。</w:t>
      </w:r>
      <w:r/>
    </w:p>
    <w:p>
      <w:pPr>
        <w:pStyle w:val="1055"/>
        <w:ind w:firstLine="482"/>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65" w:name="_Toc16938529"/>
      <w:r/>
      <w:bookmarkStart w:id="66" w:name="_Toc120614216"/>
      <w:r/>
      <w:bookmarkStart w:id="67" w:name="_Toc462564072"/>
      <w:r/>
      <w:bookmarkStart w:id="68" w:name="_Toc20823285"/>
      <w:r/>
      <w:bookmarkStart w:id="69" w:name="_Toc513029213"/>
      <w:r>
        <w:rPr>
          <w:rFonts w:ascii="Times New Roman" w:hAnsi="Times New Roman"/>
          <w:b/>
          <w:color w:val="000000" w:themeColor="text1"/>
          <w:sz w:val="32"/>
          <w:szCs w:val="32"/>
          <w:highlight w:val="none"/>
          <w14:textFill>
            <w14:solidFill>
              <w14:schemeClr w14:val="tx1"/>
            </w14:solidFill>
          </w14:textFill>
        </w:rPr>
        <w:t xml:space="preserve">三、响应文件的编制</w:t>
      </w:r>
      <w:bookmarkEnd w:id="65"/>
      <w:r/>
      <w:bookmarkEnd w:id="66"/>
      <w:r/>
      <w:bookmarkEnd w:id="67"/>
      <w:r/>
      <w:bookmarkEnd w:id="68"/>
      <w:r/>
      <w:bookmarkEnd w:id="69"/>
      <w:r/>
      <w:r/>
    </w:p>
    <w:p>
      <w:pPr>
        <w:pStyle w:val="1055"/>
        <w:ind w:firstLine="56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70" w:name="_Toc20823286"/>
      <w:r/>
      <w:bookmarkStart w:id="71" w:name="_Toc16938530"/>
      <w:r/>
      <w:bookmarkStart w:id="72" w:name="_Toc462564073"/>
      <w:r/>
      <w:bookmarkStart w:id="73" w:name="_Toc513029214"/>
      <w:r>
        <w:rPr>
          <w:rFonts w:ascii="Arial" w:hAnsi="Arial" w:cs="Arial"/>
          <w:color w:val="000000" w:themeColor="text1"/>
          <w:sz w:val="28"/>
          <w:szCs w:val="28"/>
          <w:highlight w:val="none"/>
          <w14:textFill>
            <w14:solidFill>
              <w14:schemeClr w14:val="tx1"/>
            </w14:solidFill>
          </w14:textFill>
        </w:rPr>
        <w:t xml:space="preserve">9、响应文件的语言及度量衡单位</w:t>
      </w:r>
      <w:bookmarkEnd w:id="70"/>
      <w:r/>
      <w:bookmarkEnd w:id="71"/>
      <w:r/>
      <w:bookmarkEnd w:id="72"/>
      <w:r/>
      <w:bookmarkEnd w:id="73"/>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9.1供应商提交的响应文件以及供应商与</w:t>
      </w:r>
      <w:r>
        <w:rPr>
          <w:rFonts w:hint="eastAsia"/>
          <w:color w:val="000000" w:themeColor="text1"/>
          <w:szCs w:val="21"/>
          <w:highlight w:val="none"/>
          <w14:textFill>
            <w14:solidFill>
              <w14:schemeClr w14:val="tx1"/>
            </w14:solidFill>
          </w14:textFill>
        </w:rPr>
        <w:t xml:space="preserve">采购人（或代理公司）</w:t>
      </w:r>
      <w:r>
        <w:rPr>
          <w:rFonts w:hint="eastAsia"/>
          <w:color w:val="000000" w:themeColor="text1"/>
          <w:highlight w:val="none"/>
          <w14:textFill>
            <w14:solidFill>
              <w14:schemeClr w14:val="tx1"/>
            </w14:solidFill>
          </w14:textFill>
        </w:rPr>
        <w:t xml:space="preserve">就有关磋商的所有来往通知、函件和文件均应使用</w:t>
      </w:r>
      <w:r>
        <w:rPr>
          <w:rFonts w:hint="eastAsia"/>
          <w:b/>
          <w:color w:val="000000" w:themeColor="text1"/>
          <w:highlight w:val="none"/>
          <w14:textFill>
            <w14:solidFill>
              <w14:schemeClr w14:val="tx1"/>
            </w14:solidFill>
          </w14:textFill>
        </w:rPr>
        <w:t xml:space="preserve">简体中文</w:t>
      </w:r>
      <w:r>
        <w:rPr>
          <w:rFonts w:hint="eastAsia"/>
          <w:color w:val="000000" w:themeColor="text1"/>
          <w:highlight w:val="none"/>
          <w14:textFill>
            <w14:solidFill>
              <w14:schemeClr w14:val="tx1"/>
            </w14:solidFill>
          </w14:textFill>
        </w:rPr>
        <w:t xml:space="preserve">。</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除技术性能另有规定外，响应文件所使用的度量衡单位，均须采用国家法定计量单位。</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74" w:name="_Toc513029215"/>
      <w:r/>
      <w:bookmarkStart w:id="75" w:name="_Toc16938531"/>
      <w:r/>
      <w:bookmarkStart w:id="76" w:name="_Toc20823287"/>
      <w:r/>
      <w:bookmarkStart w:id="77" w:name="_Toc462564074"/>
      <w:r>
        <w:rPr>
          <w:rFonts w:ascii="Arial" w:hAnsi="Arial" w:cs="Arial"/>
          <w:color w:val="000000" w:themeColor="text1"/>
          <w:sz w:val="28"/>
          <w:szCs w:val="28"/>
          <w:highlight w:val="none"/>
          <w14:textFill>
            <w14:solidFill>
              <w14:schemeClr w14:val="tx1"/>
            </w14:solidFill>
          </w14:textFill>
        </w:rPr>
        <w:t xml:space="preserve">10、响应文件构成</w:t>
      </w:r>
      <w:bookmarkEnd w:id="74"/>
      <w:r/>
      <w:bookmarkEnd w:id="75"/>
      <w:r/>
      <w:bookmarkEnd w:id="76"/>
      <w:r/>
      <w:bookmarkEnd w:id="77"/>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10.1供应商编写的响应文件应包括资格证明文件、符合性证明文件、分项报价表、技术要求响应及偏离表、商务要求响应及偏离表、其他证明文件、磋商响应函等部分。</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78" w:name="_Toc14577355"/>
      <w:r/>
      <w:bookmarkStart w:id="79" w:name="_Toc49090509"/>
      <w:r/>
      <w:bookmarkStart w:id="80" w:name="_Toc513029216"/>
      <w:r/>
      <w:bookmarkStart w:id="81" w:name="_Toc49090508"/>
      <w:r/>
      <w:bookmarkStart w:id="82" w:name="_Toc49090507"/>
      <w:r/>
      <w:bookmarkStart w:id="83" w:name="_Toc513029219"/>
      <w:r/>
      <w:bookmarkStart w:id="84" w:name="_Toc14577354"/>
      <w:r/>
      <w:bookmarkStart w:id="85" w:name="_Toc14577357"/>
      <w:r>
        <w:rPr>
          <w:rFonts w:ascii="Arial" w:hAnsi="Arial" w:cs="Arial"/>
          <w:color w:val="000000" w:themeColor="text1"/>
          <w:sz w:val="28"/>
          <w:szCs w:val="28"/>
          <w:highlight w:val="none"/>
          <w14:textFill>
            <w14:solidFill>
              <w14:schemeClr w14:val="tx1"/>
            </w14:solidFill>
          </w14:textFill>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11.1供应商应按照磋商文件要求提交证明文件，证明其及磋商响应标的符合磋商文件规定。</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11.2磋商文件对证明文件无明确形式要求的，证明文件可以以文字资料、图纸和数据等形式提交。</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 xml:space="preserve">12、分项报价表</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12.1供应商应按照磋商文件规定格式填报分项报价表。</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12.2磋商货币。响应文件中的单价和总价无特殊规定的采用人民币报价，以元为单位标注。磋商文件中另有规定的按规定执行。</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 xml:space="preserve">13、技术要求响应及偏离表、商务要求响应及偏离表</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13.1供应商需对磋商文件中的技术要求与商务要求逐项作出响应或偏离，并说明原因。</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13.2供应商可在响应文件中提供认为需要的其他技术文件或说明。</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 xml:space="preserve">14、</w:t>
      </w:r>
      <w:r>
        <w:rPr>
          <w:rFonts w:hint="eastAsia" w:ascii="Arial" w:hAnsi="Arial" w:cs="Arial"/>
          <w:color w:val="000000" w:themeColor="text1"/>
          <w:sz w:val="28"/>
          <w:szCs w:val="28"/>
          <w:highlight w:val="none"/>
          <w14:textFill>
            <w14:solidFill>
              <w14:schemeClr w14:val="tx1"/>
            </w14:solidFill>
          </w14:textFill>
        </w:rPr>
        <w:t xml:space="preserve">服务承诺、培训计划、人员安排及其他</w:t>
      </w:r>
      <w:r/>
    </w:p>
    <w:p>
      <w:pPr>
        <w:pStyle w:val="1055"/>
        <w:ind w:firstLine="480"/>
        <w:jc w:val="both"/>
        <w:spacing w:beforeAutospacing="0" w:afterAutospacing="0" w:line="460" w:lineRule="exact"/>
        <w:rPr>
          <w:rFonts w:hint="eastAsia"/>
          <w:color w:val="000000" w:themeColor="text1"/>
          <w:highlight w:val="none"/>
          <w14:textFill>
            <w14:solidFill>
              <w14:schemeClr w14:val="tx1"/>
            </w14:solidFill>
          </w14:textFill>
        </w:rPr>
      </w:pPr>
      <w:r/>
      <w:bookmarkStart w:id="86" w:name="_Toc49090510"/>
      <w:r/>
      <w:bookmarkStart w:id="87" w:name="_Toc14577359"/>
      <w:r>
        <w:rPr>
          <w:rFonts w:hint="eastAsia"/>
          <w:color w:val="000000" w:themeColor="text1"/>
          <w:highlight w:val="none"/>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pStyle w:val="1055"/>
        <w:ind w:firstLine="480"/>
        <w:jc w:val="both"/>
        <w:spacing w:beforeAutospacing="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14.2供应商需根据磋商文件要求提供培训计划。</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14.3供应商需根据磋商文件要求提供磋商响应标的的主要组成部分、功能设计、实现思路及关键技术等。</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 xml:space="preserve">15、磋商响应函</w:t>
      </w:r>
      <w:bookmarkEnd w:id="86"/>
      <w:r/>
      <w:bookmarkEnd w:id="87"/>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15.1供应商应按照磋商文件中提供的格式完整、正确填写磋商响应函。</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88" w:name="_Toc14577360"/>
      <w:r/>
      <w:bookmarkStart w:id="89" w:name="_Toc49090511"/>
      <w:r>
        <w:rPr>
          <w:rFonts w:ascii="Arial" w:hAnsi="Arial" w:cs="Arial"/>
          <w:color w:val="000000" w:themeColor="text1"/>
          <w:sz w:val="28"/>
          <w:szCs w:val="28"/>
          <w:highlight w:val="none"/>
          <w14:textFill>
            <w14:solidFill>
              <w14:schemeClr w14:val="tx1"/>
            </w14:solidFill>
          </w14:textFill>
        </w:rPr>
        <w:t xml:space="preserve">16、磋商有效期</w:t>
      </w:r>
      <w:bookmarkEnd w:id="88"/>
      <w:r/>
      <w:bookmarkEnd w:id="89"/>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16.1磋商有效期为采购人规定的提交响应文件截止之日后</w:t>
      </w:r>
      <w:r>
        <w:rPr>
          <w:rFonts w:ascii="仿宋_GB2312" w:eastAsia="仿宋_GB2312" w:cs="仿宋_GB2312"/>
          <w:b/>
          <w:color w:val="000000" w:themeColor="text1"/>
          <w:highlight w:val="none"/>
          <w:u w:val="single"/>
          <w14:textFill>
            <w14:solidFill>
              <w14:schemeClr w14:val="tx1"/>
            </w14:solidFill>
          </w14:textFill>
        </w:rPr>
        <w:t xml:space="preserve">六十（60）天</w:t>
      </w:r>
      <w:r>
        <w:rPr>
          <w:rFonts w:hint="eastAsia"/>
          <w:color w:val="000000" w:themeColor="text1"/>
          <w:highlight w:val="none"/>
          <w14:textFill>
            <w14:solidFill>
              <w14:schemeClr w14:val="tx1"/>
            </w14:solidFill>
          </w14:textFill>
        </w:rPr>
        <w:t xml:space="preserve">。磋商有效期比规定短的将被视为非实质性响应磋商文件而予以拒绝。</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 xml:space="preserve">17、磋商有效期的延长</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90" w:name="_Toc20823296"/>
      <w:r/>
      <w:bookmarkStart w:id="91" w:name="_Toc120614217"/>
      <w:r/>
      <w:bookmarkStart w:id="92" w:name="_Toc16938540"/>
      <w:r/>
      <w:bookmarkStart w:id="93" w:name="_Toc513029224"/>
      <w:r/>
      <w:r/>
    </w:p>
    <w:p>
      <w:pPr>
        <w:pStyle w:val="1055"/>
        <w:numPr>
          <w:ilvl w:val="0"/>
          <w:numId w:val="5"/>
        </w:numPr>
        <w:ind w:firstLine="480"/>
        <w:jc w:val="both"/>
        <w:spacing w:before="0" w:beforeAutospacing="0" w:after="0" w:afterAutospacing="0" w:line="460" w:lineRule="exact"/>
        <w:rPr>
          <w:rFonts w:ascii="Times New Roman" w:hAnsi="Times New Roman"/>
          <w:b/>
          <w:color w:val="000000" w:themeColor="text1"/>
          <w:sz w:val="32"/>
          <w:szCs w:val="32"/>
          <w:highlight w:val="none"/>
          <w14:textFill>
            <w14:solidFill>
              <w14:schemeClr w14:val="tx1"/>
            </w14:solidFill>
          </w14:textFill>
        </w:rPr>
      </w:pPr>
      <w:r>
        <w:rPr>
          <w:rFonts w:ascii="Times New Roman" w:hAnsi="Times New Roman"/>
          <w:b/>
          <w:color w:val="000000" w:themeColor="text1"/>
          <w:sz w:val="32"/>
          <w:szCs w:val="32"/>
          <w:highlight w:val="none"/>
          <w14:textFill>
            <w14:solidFill>
              <w14:schemeClr w14:val="tx1"/>
            </w14:solidFill>
          </w14:textFill>
        </w:rPr>
        <w:t xml:space="preserve">响应文件的递交</w:t>
      </w:r>
      <w:bookmarkEnd w:id="90"/>
      <w:r/>
      <w:bookmarkEnd w:id="91"/>
      <w:r/>
      <w:bookmarkEnd w:id="92"/>
      <w:r/>
      <w:bookmarkEnd w:id="93"/>
      <w:r/>
      <w:bookmarkStart w:id="94" w:name="_Toc462564084"/>
      <w:r/>
      <w:bookmarkStart w:id="95" w:name="_Toc513029225"/>
      <w:r/>
      <w:bookmarkStart w:id="96" w:name="_Toc20823297"/>
      <w:r/>
      <w:bookmarkStart w:id="97" w:name="_Toc16938541"/>
      <w:r/>
      <w:r/>
    </w:p>
    <w:p>
      <w:pPr>
        <w:pStyle w:val="1055"/>
        <w:ind w:firstLine="560"/>
        <w:jc w:val="both"/>
        <w:spacing w:before="0" w:beforeAutospacing="0" w:after="0" w:afterAutospacing="0" w:line="460" w:lineRule="exact"/>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 xml:space="preserve">18、电子</w:t>
      </w:r>
      <w:r>
        <w:rPr>
          <w:rFonts w:hint="eastAsia" w:ascii="Arial" w:hAnsi="Arial" w:cs="Arial"/>
          <w:color w:val="000000" w:themeColor="text1"/>
          <w:sz w:val="28"/>
          <w:szCs w:val="28"/>
          <w:highlight w:val="none"/>
          <w14:textFill>
            <w14:solidFill>
              <w14:schemeClr w14:val="tx1"/>
            </w14:solidFill>
          </w14:textFill>
        </w:rPr>
        <w:t xml:space="preserve">磋商</w:t>
      </w:r>
      <w:bookmarkEnd w:id="94"/>
      <w:r/>
      <w:bookmarkEnd w:id="95"/>
      <w:r/>
      <w:bookmarkEnd w:id="96"/>
      <w:r/>
      <w:bookmarkEnd w:id="97"/>
      <w:r>
        <w:rPr>
          <w:rFonts w:hint="eastAsia" w:ascii="Arial" w:hAnsi="Arial" w:cs="Arial"/>
          <w:color w:val="000000" w:themeColor="text1"/>
          <w:sz w:val="28"/>
          <w:szCs w:val="28"/>
          <w:highlight w:val="none"/>
          <w14:textFill>
            <w14:solidFill>
              <w14:schemeClr w14:val="tx1"/>
            </w14:solidFill>
          </w14:textFill>
        </w:rPr>
        <w:t xml:space="preserve">响应文件的递交</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18.1供应商应当按照《操作手册》规定，在提交响应文件截止时间前制作并上传电子响应文件。</w:t>
      </w:r>
      <w:bookmarkStart w:id="98" w:name="_Toc16938542"/>
      <w:r/>
      <w:bookmarkEnd w:id="98"/>
      <w:r/>
      <w:bookmarkStart w:id="99" w:name="_Toc20823298"/>
      <w:r/>
      <w:bookmarkEnd w:id="99"/>
      <w:r/>
      <w:r/>
    </w:p>
    <w:p>
      <w:pPr>
        <w:pStyle w:val="1055"/>
        <w:ind w:firstLine="420"/>
        <w:jc w:val="both"/>
        <w:keepLines/>
        <w:keepNext/>
        <w:spacing w:before="0" w:beforeAutospacing="0" w:after="0" w:afterAutospacing="0" w:line="460" w:lineRule="exact"/>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 xml:space="preserve">19、提交响应文件截止时间</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i/>
          <w:color w:val="000000" w:themeColor="text1"/>
          <w:highlight w:val="none"/>
          <w:u w:val="single"/>
          <w14:textFill>
            <w14:solidFill>
              <w14:schemeClr w14:val="tx1"/>
            </w14:solidFill>
          </w14:textFill>
        </w:rPr>
        <w:t xml:space="preserve">19.1供应商上传电子响应文件的时间不得迟于磋商公告中规定的提交响应文件截止时间。</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00" w:name="_Toc16938543"/>
      <w:r/>
      <w:bookmarkStart w:id="101" w:name="_Toc513029227"/>
      <w:r/>
      <w:bookmarkStart w:id="102" w:name="_Toc20823299"/>
      <w:r>
        <w:rPr>
          <w:rFonts w:ascii="Arial" w:hAnsi="Arial" w:cs="Arial"/>
          <w:color w:val="000000" w:themeColor="text1"/>
          <w:sz w:val="28"/>
          <w:szCs w:val="28"/>
          <w:highlight w:val="none"/>
          <w14:textFill>
            <w14:solidFill>
              <w14:schemeClr w14:val="tx1"/>
            </w14:solidFill>
          </w14:textFill>
        </w:rPr>
        <w:t xml:space="preserve">20、响应文件</w:t>
      </w:r>
      <w:bookmarkEnd w:id="100"/>
      <w:r/>
      <w:bookmarkEnd w:id="101"/>
      <w:r/>
      <w:bookmarkEnd w:id="102"/>
      <w:r>
        <w:rPr>
          <w:rFonts w:ascii="Arial" w:hAnsi="Arial" w:cs="Arial"/>
          <w:color w:val="000000" w:themeColor="text1"/>
          <w:sz w:val="28"/>
          <w:szCs w:val="28"/>
          <w:highlight w:val="none"/>
          <w14:textFill>
            <w14:solidFill>
              <w14:schemeClr w14:val="tx1"/>
            </w14:solidFill>
          </w14:textFill>
        </w:rPr>
        <w:t xml:space="preserve">的拒收</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采购人拒绝接收在其规定的提交响应文件截止时间后上传的任何电子响应文件。</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03" w:name="_Toc20823300"/>
      <w:r/>
      <w:bookmarkStart w:id="104" w:name="_Toc513029228"/>
      <w:r/>
      <w:bookmarkStart w:id="105" w:name="_Toc16938544"/>
      <w:r>
        <w:rPr>
          <w:rFonts w:ascii="Arial" w:hAnsi="Arial" w:cs="Arial"/>
          <w:color w:val="000000" w:themeColor="text1"/>
          <w:sz w:val="28"/>
          <w:szCs w:val="28"/>
          <w:highlight w:val="none"/>
          <w14:textFill>
            <w14:solidFill>
              <w14:schemeClr w14:val="tx1"/>
            </w14:solidFill>
          </w14:textFill>
        </w:rPr>
        <w:t xml:space="preserve">21、响应文件的撤回和修改</w:t>
      </w:r>
      <w:bookmarkEnd w:id="103"/>
      <w:r/>
      <w:bookmarkEnd w:id="104"/>
      <w:r/>
      <w:bookmarkEnd w:id="105"/>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21.1响应文件的撤回</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21.1.1 电子响应文件的撤回</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供应商可在提交响应文件截止时间前，撤回其电子响应文件，具体操作方法见《操作手册》。</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21.1.2供应商撤回电子响应文件，则认为其不再参与本项目磋商活动。</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21.2响应文件的修改</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供应商可在提交响应文件截止时间前，对其电子响应文件进行修改，具体操作方法见《操作手册》。</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21.3 在提交响应文件截止时间之后，供应商不得对其电子响应文件作任何修改。</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21.4 在提交响应文件截止时间至磋商文件中规定的磋商有效期满之间的这段时间内，供应商不得撤回其响应文件。</w:t>
      </w:r>
      <w:r/>
    </w:p>
    <w:p>
      <w:pPr>
        <w:pStyle w:val="1055"/>
        <w:ind w:firstLine="482"/>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06" w:name="_Toc20823301"/>
      <w:r/>
      <w:bookmarkStart w:id="107" w:name="_Toc513029229"/>
      <w:r/>
      <w:bookmarkStart w:id="108" w:name="_Toc120614218"/>
      <w:r/>
      <w:bookmarkStart w:id="109" w:name="_Toc16938545"/>
      <w:r>
        <w:rPr>
          <w:rFonts w:ascii="Times New Roman" w:hAnsi="Times New Roman"/>
          <w:b/>
          <w:color w:val="000000" w:themeColor="text1"/>
          <w:sz w:val="32"/>
          <w:szCs w:val="32"/>
          <w:highlight w:val="none"/>
          <w14:textFill>
            <w14:solidFill>
              <w14:schemeClr w14:val="tx1"/>
            </w14:solidFill>
          </w14:textFill>
        </w:rPr>
        <w:t xml:space="preserve">五、响应文件的解密与评审</w:t>
      </w:r>
      <w:bookmarkEnd w:id="106"/>
      <w:r/>
      <w:bookmarkEnd w:id="107"/>
      <w:r/>
      <w:bookmarkEnd w:id="108"/>
      <w:r/>
      <w:bookmarkEnd w:id="109"/>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10" w:name="_Toc16938546"/>
      <w:r/>
      <w:bookmarkStart w:id="111" w:name="_Toc513029230"/>
      <w:r/>
      <w:bookmarkStart w:id="112" w:name="_Toc20823302"/>
      <w:r>
        <w:rPr>
          <w:rFonts w:ascii="Arial" w:hAnsi="Arial" w:cs="Arial"/>
          <w:color w:val="000000" w:themeColor="text1"/>
          <w:sz w:val="28"/>
          <w:szCs w:val="28"/>
          <w:highlight w:val="none"/>
          <w14:textFill>
            <w14:solidFill>
              <w14:schemeClr w14:val="tx1"/>
            </w14:solidFill>
          </w14:textFill>
        </w:rPr>
        <w:t xml:space="preserve">22、</w:t>
      </w:r>
      <w:bookmarkEnd w:id="110"/>
      <w:r/>
      <w:bookmarkEnd w:id="111"/>
      <w:r/>
      <w:bookmarkEnd w:id="112"/>
      <w:r>
        <w:rPr>
          <w:rFonts w:ascii="Arial" w:hAnsi="Arial" w:cs="Arial"/>
          <w:color w:val="000000" w:themeColor="text1"/>
          <w:sz w:val="28"/>
          <w:szCs w:val="28"/>
          <w:highlight w:val="none"/>
          <w14:textFill>
            <w14:solidFill>
              <w14:schemeClr w14:val="tx1"/>
            </w14:solidFill>
          </w14:textFill>
        </w:rPr>
        <w:t xml:space="preserve">响应文件解密</w:t>
      </w:r>
      <w:r/>
    </w:p>
    <w:p>
      <w:pPr>
        <w:pStyle w:val="1055"/>
        <w:ind w:firstLine="36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22.1供应商应当按照《操作手册》规定，在苏采云系统规定的时间内对磋商响应文件进行解密。</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13" w:name="_Toc16938547"/>
      <w:r/>
      <w:bookmarkStart w:id="114" w:name="_Toc513029231"/>
      <w:r/>
      <w:bookmarkStart w:id="115" w:name="_Toc20823303"/>
      <w:r>
        <w:rPr>
          <w:rFonts w:ascii="Arial" w:hAnsi="Arial" w:cs="Arial"/>
          <w:color w:val="000000" w:themeColor="text1"/>
          <w:sz w:val="28"/>
          <w:szCs w:val="28"/>
          <w:highlight w:val="none"/>
          <w14:textFill>
            <w14:solidFill>
              <w14:schemeClr w14:val="tx1"/>
            </w14:solidFill>
          </w14:textFill>
        </w:rPr>
        <w:t xml:space="preserve">23、磋商小组</w:t>
      </w:r>
      <w:bookmarkEnd w:id="113"/>
      <w:r/>
      <w:bookmarkEnd w:id="114"/>
      <w:r/>
      <w:bookmarkEnd w:id="115"/>
      <w:r/>
      <w:r/>
    </w:p>
    <w:p>
      <w:pPr>
        <w:pStyle w:val="1055"/>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23.1采购人将组织磋商小组对响应文件进行评审。磋商小组由采购人代表和有关技术、经济等方面的专家组成，且人员构成符合政府采购有关规定。</w:t>
      </w:r>
      <w:r/>
    </w:p>
    <w:p>
      <w:pPr>
        <w:pStyle w:val="1055"/>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23.2磋商小组独立工作，负责评审所有响应文件并确定成交侯选人。</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ascii="黑体" w:eastAsia="黑体" w:cs="黑体"/>
          <w:color w:val="000000" w:themeColor="text1"/>
          <w:sz w:val="28"/>
          <w:szCs w:val="28"/>
          <w:highlight w:val="none"/>
          <w14:textFill>
            <w14:solidFill>
              <w14:schemeClr w14:val="tx1"/>
            </w14:solidFill>
          </w14:textFill>
        </w:rPr>
        <w:t xml:space="preserve">24、评审过程的保密与公正</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24.1磋商小组、采购人和代理公司工作人员、相关监督人员等与评审工作有关的人员，对评审情况以及在评审过程中获悉的国家秘密、商业秘密负有保密责任。</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24.2在评审过程中，供应商不得以任何行为影响磋商评审过程，否则其响应文件将被作为无效响应文件。</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24.3在项目评审期间，采购人将设专门人员与供应商联系。</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24.4 采购人和磋商小组不向未成交的供应商解释未成交原因，也不公布评审过程中的相关细节。</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16" w:name="_Toc513029232"/>
      <w:r/>
      <w:bookmarkStart w:id="117" w:name="_Toc16938548"/>
      <w:r/>
      <w:bookmarkStart w:id="118" w:name="_Toc20823304"/>
      <w:r>
        <w:rPr>
          <w:rFonts w:ascii="Arial" w:hAnsi="Arial" w:cs="Arial"/>
          <w:color w:val="000000" w:themeColor="text1"/>
          <w:sz w:val="28"/>
          <w:szCs w:val="28"/>
          <w:highlight w:val="none"/>
          <w14:textFill>
            <w14:solidFill>
              <w14:schemeClr w14:val="tx1"/>
            </w14:solidFill>
          </w14:textFill>
        </w:rPr>
        <w:t xml:space="preserve">25、评审过程中的的澄清</w:t>
      </w:r>
      <w:bookmarkEnd w:id="116"/>
      <w:r/>
      <w:bookmarkEnd w:id="117"/>
      <w:r/>
      <w:bookmarkEnd w:id="118"/>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磋商小组并非对每个供应商都作澄清要求。</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接到磋商小组澄清、说明和更正要求的供应商如未按规定做出澄清、说明和 更正，其风险由供应商自行承担。</w:t>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19" w:name="_Toc513029233"/>
      <w:r/>
      <w:bookmarkStart w:id="120" w:name="_Toc16938549"/>
      <w:r/>
      <w:bookmarkStart w:id="121" w:name="_Toc20823305"/>
      <w:r>
        <w:rPr>
          <w:rFonts w:ascii="Arial" w:hAnsi="Arial" w:cs="Arial"/>
          <w:color w:val="000000" w:themeColor="text1"/>
          <w:sz w:val="28"/>
          <w:szCs w:val="28"/>
          <w:highlight w:val="none"/>
          <w14:textFill>
            <w14:solidFill>
              <w14:schemeClr w14:val="tx1"/>
            </w14:solidFill>
          </w14:textFill>
        </w:rPr>
        <w:t xml:space="preserve">26、对响应文件的审</w:t>
      </w:r>
      <w:bookmarkEnd w:id="119"/>
      <w:r/>
      <w:bookmarkEnd w:id="120"/>
      <w:r/>
      <w:bookmarkEnd w:id="121"/>
      <w:r>
        <w:rPr>
          <w:rFonts w:ascii="Arial" w:hAnsi="Arial" w:cs="Arial"/>
          <w:color w:val="000000" w:themeColor="text1"/>
          <w:sz w:val="28"/>
          <w:szCs w:val="28"/>
          <w:highlight w:val="none"/>
          <w14:textFill>
            <w14:solidFill>
              <w14:schemeClr w14:val="tx1"/>
            </w14:solidFill>
          </w14:textFill>
        </w:rPr>
        <w:t xml:space="preserve">查</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26.1响应文件审查分为资格审查和符合性审查。</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磋商小组在进行资格审查的同时，将在“信用中国”网站查询供应商的信用记录，以确定供应商是否具备磋商资格,查询结果留存并归档。</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26.3未实质性响应磋商文件的情形</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26.3.1供应商在苏采云系统规定的时间内未成功解密电子响应文件的。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26.3.2供应商未按照磋商文件要求上传电子响应文件的。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26.3.3同一供应商提交两个（含两个）以上不同的响应文件或者最后报价的。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26.3.4供应商不具备磋商文件中规定资格要求的。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26.3.5供应商的最后报价超过了采购预算。</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26.3.6不符合磋商文件中规定的实质性要求和条件的</w:t>
      </w:r>
      <w:r>
        <w:rPr>
          <w:rFonts w:hint="eastAsia"/>
          <w:i/>
          <w:color w:val="000000" w:themeColor="text1"/>
          <w:highlight w:val="none"/>
          <w:u w:val="single"/>
          <w14:textFill>
            <w14:solidFill>
              <w14:schemeClr w14:val="tx1"/>
            </w14:solidFill>
          </w14:textFill>
        </w:rPr>
        <w:t xml:space="preserve">（本磋商文件中斜体且有下划线部分为实质性要求和条件）。</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26.3.8 响应文件含有采购人不能接受的附加条件的。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1055"/>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应当启动异常低价响应审查程序：</w:t>
      </w:r>
      <w:r/>
    </w:p>
    <w:p>
      <w:pPr>
        <w:pStyle w:val="1055"/>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1.响应报价低于采购项目预算50%的，即响应报价&lt;采购项目预算×50%；</w:t>
      </w:r>
      <w:r/>
    </w:p>
    <w:p>
      <w:pPr>
        <w:pStyle w:val="1055"/>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2.响应报价低于采购项目最高限价45%的，即响应报价&lt;采购项目最高限价×45%；</w:t>
      </w:r>
      <w:r/>
    </w:p>
    <w:p>
      <w:pPr>
        <w:pStyle w:val="1055"/>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认定的供应商报价过低、有可能影响产品质量或者不能诚信履约的其他情形。</w:t>
      </w:r>
      <w:r/>
    </w:p>
    <w:p>
      <w:pPr>
        <w:pStyle w:val="10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（二）启动异常低价响应审查后，</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应当将其作为无效响应处理。审查相关情况应当在评审报告中进行记录。</w:t>
      </w:r>
      <w:r/>
    </w:p>
    <w:p>
      <w:pPr>
        <w:pStyle w:val="10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10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10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1055"/>
        <w:ind w:firstLine="420"/>
        <w:jc w:val="both"/>
        <w:keepLines/>
        <w:keepNext/>
        <w:spacing w:before="0" w:beforeAutospacing="0" w:after="0" w:afterAutospacing="0" w:line="460" w:lineRule="exact"/>
        <w:rPr>
          <w:rFonts w:hint="eastAsia" w:ascii="宋体" w:hAnsi="宋体" w:eastAsia="宋体" w:cs="宋体"/>
          <w:color w:val="auto"/>
          <w:sz w:val="24"/>
          <w:szCs w:val="24"/>
          <w:highlight w:val="none"/>
        </w:rPr>
      </w:pPr>
      <w:r/>
      <w:bookmarkStart w:id="122" w:name="_Toc513029234"/>
      <w:r/>
      <w:bookmarkStart w:id="123" w:name="_Toc20823306"/>
      <w:r/>
      <w:bookmarkStart w:id="124" w:name="_Toc16938550"/>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，并安排专人与采购中心及磋商小组联系。</w:t>
      </w:r>
      <w:bookmarkEnd w:id="122"/>
      <w:r/>
      <w:bookmarkEnd w:id="123"/>
      <w:r/>
      <w:bookmarkEnd w:id="124"/>
      <w:r/>
      <w:r/>
    </w:p>
    <w:p>
      <w:pPr>
        <w:pStyle w:val="1055"/>
        <w:ind w:firstLine="42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 xml:space="preserve">27、磋商程序及评审方法和评审标准</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27.1磋商程序</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55"/>
        <w:ind w:firstLine="480"/>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27.2 评审方法和评审标准</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27.2.2评审标准</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见本磋商文件第五章规定。</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27.3采购活动终止的情况</w:t>
      </w:r>
      <w:r/>
    </w:p>
    <w:p>
      <w:pPr>
        <w:pStyle w:val="1055"/>
        <w:ind w:firstLine="360"/>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出现下列情形之一的，本次竞争性磋商采购活动将被终止：</w:t>
      </w:r>
      <w:r/>
    </w:p>
    <w:p>
      <w:pPr>
        <w:pStyle w:val="1055"/>
        <w:ind w:firstLine="360"/>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27.3.1因情况变化，不再符合规定的竞争性磋商采购方式适用情形的。</w:t>
      </w:r>
      <w:r/>
    </w:p>
    <w:p>
      <w:pPr>
        <w:pStyle w:val="1055"/>
        <w:ind w:firstLine="360"/>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27.3.2出现影响采购公正的违法、违规行为的。</w:t>
      </w:r>
      <w:r/>
    </w:p>
    <w:p>
      <w:pPr>
        <w:pStyle w:val="1055"/>
        <w:ind w:firstLine="360"/>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pStyle w:val="1055"/>
        <w:ind w:firstLine="360"/>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27.3.4在苏采云系统规定时间内成功解密电子响应文件的供应商不足3家的。</w:t>
      </w:r>
      <w:r/>
    </w:p>
    <w:p>
      <w:pPr>
        <w:pStyle w:val="1055"/>
        <w:ind w:firstLine="482"/>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25" w:name="_Toc513029235"/>
      <w:r/>
      <w:bookmarkStart w:id="126" w:name="_Toc16938551"/>
      <w:r/>
      <w:bookmarkStart w:id="127" w:name="_Toc20823307"/>
      <w:r/>
      <w:bookmarkStart w:id="128" w:name="_Toc120614219"/>
      <w:r>
        <w:rPr>
          <w:rFonts w:ascii="Times New Roman" w:hAnsi="Times New Roman"/>
          <w:b/>
          <w:color w:val="000000" w:themeColor="text1"/>
          <w:sz w:val="32"/>
          <w:szCs w:val="32"/>
          <w:highlight w:val="none"/>
          <w14:textFill>
            <w14:solidFill>
              <w14:schemeClr w14:val="tx1"/>
            </w14:solidFill>
          </w14:textFill>
        </w:rPr>
        <w:t xml:space="preserve">六、</w:t>
      </w:r>
      <w:bookmarkEnd w:id="125"/>
      <w:r/>
      <w:bookmarkEnd w:id="126"/>
      <w:r/>
      <w:bookmarkEnd w:id="127"/>
      <w:r/>
      <w:bookmarkEnd w:id="128"/>
      <w:r>
        <w:rPr>
          <w:rFonts w:ascii="Times New Roman" w:hAnsi="Times New Roman"/>
          <w:b/>
          <w:color w:val="000000" w:themeColor="text1"/>
          <w:sz w:val="32"/>
          <w:szCs w:val="32"/>
          <w:highlight w:val="none"/>
          <w14:textFill>
            <w14:solidFill>
              <w14:schemeClr w14:val="tx1"/>
            </w14:solidFill>
          </w14:textFill>
        </w:rPr>
        <w:t xml:space="preserve">成交</w:t>
      </w:r>
      <w:r/>
    </w:p>
    <w:p>
      <w:pPr>
        <w:pStyle w:val="1055"/>
        <w:ind w:firstLine="60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29" w:name="_Toc20823310"/>
      <w:r/>
      <w:bookmarkStart w:id="130" w:name="_Toc513029238"/>
      <w:r/>
      <w:bookmarkStart w:id="131" w:name="_Toc16938554"/>
      <w:r>
        <w:rPr>
          <w:rFonts w:hint="eastAsia" w:ascii="黑体" w:eastAsia="黑体" w:cs="黑体"/>
          <w:color w:val="000000" w:themeColor="text1"/>
          <w:sz w:val="30"/>
          <w:szCs w:val="30"/>
          <w:highlight w:val="none"/>
          <w14:textFill>
            <w14:solidFill>
              <w14:schemeClr w14:val="tx1"/>
            </w14:solidFill>
          </w14:textFill>
        </w:rPr>
        <w:t xml:space="preserve">28、</w:t>
      </w:r>
      <w:bookmarkEnd w:id="129"/>
      <w:r>
        <w:rPr>
          <w:rFonts w:hint="eastAsia" w:ascii="黑体" w:eastAsia="黑体" w:cs="黑体"/>
          <w:color w:val="000000" w:themeColor="text1"/>
          <w:sz w:val="30"/>
          <w:szCs w:val="30"/>
          <w:highlight w:val="none"/>
          <w14:textFill>
            <w14:solidFill>
              <w14:schemeClr w14:val="tx1"/>
            </w14:solidFill>
          </w14:textFill>
        </w:rPr>
        <w:t xml:space="preserve">确定</w:t>
      </w:r>
      <w:bookmarkEnd w:id="130"/>
      <w:r/>
      <w:bookmarkEnd w:id="131"/>
      <w:r>
        <w:rPr>
          <w:rFonts w:hint="eastAsia" w:ascii="黑体" w:eastAsia="黑体" w:cs="黑体"/>
          <w:color w:val="000000" w:themeColor="text1"/>
          <w:sz w:val="30"/>
          <w:szCs w:val="30"/>
          <w:highlight w:val="none"/>
          <w14:textFill>
            <w14:solidFill>
              <w14:schemeClr w14:val="tx1"/>
            </w14:solidFill>
          </w14:textFill>
        </w:rPr>
        <w:t xml:space="preserve">成交单位</w:t>
      </w:r>
      <w:r/>
    </w:p>
    <w:p>
      <w:pPr>
        <w:pStyle w:val="1055"/>
        <w:ind w:firstLine="478"/>
        <w:jc w:val="both"/>
        <w:spacing w:before="0" w:beforeAutospacing="0" w:after="0" w:afterAutospacing="0" w:line="460" w:lineRule="exact"/>
        <w:tabs>
          <w:tab w:val="left" w:pos="901"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28.3若有充分证据证明，成交供应商出现下列情况之一的，一经查实，将被取消成交资格：</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28.3.1提供虚假材料谋取成交的。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28.3.2与评审专家、采购人、其他供应商或者代理公司工作人员恶意串通的。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28.3.3向评审专家、采购人或代理公司工作人员行贿或者提供其他不正当利益的。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28.3.4恶意竞争，最后报价明显低于其自身合理成本且又无法提供证明的。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28.3.5不满足本磋商文件规定的实质性要求，但在评审过程中又未被磋商小组发现的。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28.3.6成交后无正当理由拒不与采购人签订政府采购合同或者未按照磋商文件确定的事项签订政府采购合同的。</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28.3.7将政府采购合同转包的。</w:t>
      </w:r>
      <w:r/>
    </w:p>
    <w:p>
      <w:pPr>
        <w:pStyle w:val="1055"/>
        <w:ind w:firstLine="60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32" w:name="_Toc200451960"/>
      <w:r>
        <w:rPr>
          <w:rFonts w:hint="eastAsia" w:ascii="黑体" w:eastAsia="黑体" w:cs="黑体"/>
          <w:color w:val="000000" w:themeColor="text1"/>
          <w:sz w:val="30"/>
          <w:szCs w:val="30"/>
          <w:highlight w:val="none"/>
          <w14:textFill>
            <w14:solidFill>
              <w14:schemeClr w14:val="tx1"/>
            </w14:solidFill>
          </w14:textFill>
        </w:rPr>
        <w:t xml:space="preserve">29、质疑处理</w:t>
      </w:r>
      <w:bookmarkEnd w:id="132"/>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1055"/>
        <w:ind w:firstLine="480"/>
        <w:jc w:val="both"/>
        <w:spacing w:before="0" w:beforeAutospacing="0" w:after="0" w:afterAutospacing="0" w:line="460" w:lineRule="exact"/>
        <w:rPr>
          <w:rFonts w:ascii="Times New Roman" w:hAnsi="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29.2.1</w:t>
      </w:r>
      <w:r>
        <w:rPr>
          <w:rFonts w:ascii="Times New Roman" w:hAnsi="Times New Roman"/>
          <w:color w:val="000000" w:themeColor="text1"/>
          <w:highlight w:val="none"/>
          <w14:textFill>
            <w14:solidFill>
              <w14:schemeClr w14:val="tx1"/>
            </w14:solidFill>
          </w14:textFill>
        </w:rPr>
        <w:t xml:space="preserve">对可以质疑的采购文件提出质疑的，为收到采购文件之日或者采购文件公告期限届满之日。</w:t>
      </w:r>
      <w:r/>
    </w:p>
    <w:p>
      <w:pPr>
        <w:pStyle w:val="1055"/>
        <w:ind w:firstLine="480"/>
        <w:jc w:val="both"/>
        <w:spacing w:before="0" w:beforeAutospacing="0" w:after="0" w:afterAutospacing="0" w:line="460" w:lineRule="exact"/>
        <w:rPr>
          <w:rFonts w:ascii="Times New Roman" w:hAnsi="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29.2.2</w:t>
      </w:r>
      <w:r>
        <w:rPr>
          <w:rFonts w:ascii="Times New Roman" w:hAnsi="Times New Roman"/>
          <w:color w:val="000000" w:themeColor="text1"/>
          <w:highlight w:val="none"/>
          <w14:textFill>
            <w14:solidFill>
              <w14:schemeClr w14:val="tx1"/>
            </w14:solidFill>
          </w14:textFill>
        </w:rPr>
        <w:t xml:space="preserve">对采购过程提出质疑的，为各采购程序环节结束之日。</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29.2.3</w:t>
      </w:r>
      <w:r>
        <w:rPr>
          <w:rFonts w:ascii="Times New Roman" w:hAnsi="Times New Roman"/>
          <w:color w:val="000000" w:themeColor="text1"/>
          <w:highlight w:val="none"/>
          <w14:textFill>
            <w14:solidFill>
              <w14:schemeClr w14:val="tx1"/>
            </w14:solidFill>
          </w14:textFill>
        </w:rPr>
        <w:t xml:space="preserve">对成交结果提出质疑的，为成交结果公告期限届满之日。</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color w:val="000000" w:themeColor="text1"/>
          <w:szCs w:val="21"/>
          <w:highlight w:val="none"/>
          <w14:textFill>
            <w14:solidFill>
              <w14:schemeClr w14:val="tx1"/>
            </w14:solidFill>
          </w14:textFill>
        </w:rPr>
        <w:t xml:space="preserve">采购人、代理公司</w:t>
      </w:r>
      <w:r>
        <w:rPr>
          <w:rFonts w:ascii="Times New Roman" w:hAnsi="Times New Roman"/>
          <w:color w:val="000000" w:themeColor="text1"/>
          <w:highlight w:val="none"/>
          <w14:textFill>
            <w14:solidFill>
              <w14:schemeClr w14:val="tx1"/>
            </w14:solidFill>
          </w14:textFill>
        </w:rPr>
        <w:t xml:space="preserve">将只对供应商第一次质疑作出答复。</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29.4 以下情形的质疑不予受理</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29.4.1 内容不符合《政府采购质疑和投诉办法》第十二条规定的质疑。</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29.4.2 超出政府采购法定期限的质疑。</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29.4.3 以传真、电子邮件等方式递交的非原件形式的质疑。</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29.4.4 未参加磋商活动的供应商或在磋商活动中自身权益未受到损害的供应商所提出的质疑。</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29.4.5供应商组成联合体参加磋商，联合体中任何一方或多方未按要求签字、盖章、加盖公章的质疑。</w:t>
      </w:r>
      <w:r/>
    </w:p>
    <w:p>
      <w:pPr>
        <w:pStyle w:val="1055"/>
        <w:ind w:firstLine="468"/>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55"/>
        <w:ind w:firstLine="60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ascii="黑体" w:eastAsia="黑体" w:cs="黑体"/>
          <w:color w:val="000000" w:themeColor="text1"/>
          <w:sz w:val="30"/>
          <w:szCs w:val="30"/>
          <w:highlight w:val="none"/>
          <w14:textFill>
            <w14:solidFill>
              <w14:schemeClr w14:val="tx1"/>
            </w14:solidFill>
          </w14:textFill>
        </w:rPr>
        <w:t xml:space="preserve">30、成交通知书</w:t>
      </w:r>
      <w:r/>
    </w:p>
    <w:p>
      <w:pPr>
        <w:pStyle w:val="1055"/>
        <w:ind w:firstLine="60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55"/>
        <w:ind w:firstLine="60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55"/>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33" w:name="_Toc120614220"/>
      <w:r/>
      <w:bookmarkStart w:id="134" w:name="_Toc20823308"/>
      <w:r/>
      <w:bookmarkStart w:id="135" w:name="_Toc16938552"/>
      <w:r/>
      <w:bookmarkStart w:id="136" w:name="_Toc513029236"/>
      <w:r>
        <w:rPr>
          <w:rFonts w:ascii="Times New Roman" w:hAnsi="Times New Roman"/>
          <w:b/>
          <w:color w:val="000000" w:themeColor="text1"/>
          <w:sz w:val="32"/>
          <w:szCs w:val="32"/>
          <w:highlight w:val="none"/>
          <w14:textFill>
            <w14:solidFill>
              <w14:schemeClr w14:val="tx1"/>
            </w14:solidFill>
          </w14:textFill>
        </w:rPr>
        <w:t xml:space="preserve">七、授予合同</w:t>
      </w:r>
      <w:bookmarkEnd w:id="133"/>
      <w:r/>
      <w:bookmarkEnd w:id="134"/>
      <w:r/>
      <w:bookmarkEnd w:id="135"/>
      <w:r/>
      <w:bookmarkEnd w:id="136"/>
      <w:r/>
      <w:r/>
    </w:p>
    <w:p>
      <w:pPr>
        <w:pStyle w:val="1055"/>
        <w:ind w:firstLine="60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bookmarkStart w:id="137" w:name="_Toc16938553"/>
      <w:r/>
      <w:bookmarkStart w:id="138" w:name="_Toc20823309"/>
      <w:r/>
      <w:bookmarkStart w:id="139" w:name="_Toc513029237"/>
      <w:r>
        <w:rPr>
          <w:rFonts w:hint="eastAsia" w:ascii="黑体" w:eastAsia="黑体" w:cs="黑体"/>
          <w:color w:val="000000" w:themeColor="text1"/>
          <w:sz w:val="30"/>
          <w:szCs w:val="30"/>
          <w:highlight w:val="none"/>
          <w14:textFill>
            <w14:solidFill>
              <w14:schemeClr w14:val="tx1"/>
            </w14:solidFill>
          </w14:textFill>
        </w:rPr>
        <w:t xml:space="preserve">31.签订合同</w:t>
      </w:r>
      <w:bookmarkEnd w:id="137"/>
      <w:r/>
      <w:bookmarkEnd w:id="138"/>
      <w:r/>
      <w:bookmarkEnd w:id="139"/>
      <w:r/>
      <w:r/>
    </w:p>
    <w:p>
      <w:pPr>
        <w:pStyle w:val="1055"/>
        <w:ind w:firstLine="60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31.l成交供应商应当在成交通知书发出之日起三十日内，按照磋商文件确定的事项与采购人签订政府采购合同。</w:t>
      </w:r>
      <w:r/>
    </w:p>
    <w:p>
      <w:pPr>
        <w:pStyle w:val="1055"/>
        <w:ind w:firstLine="60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31.2磋商文件、成交供应商的响应文件及磋商过程中有关澄清、承诺文件均应作为合同附件。</w:t>
      </w:r>
      <w:r/>
    </w:p>
    <w:p>
      <w:pPr>
        <w:pStyle w:val="1055"/>
        <w:ind w:firstLine="60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31.3 签订合同后，</w:t>
      </w:r>
      <w:r>
        <w:rPr>
          <w:rFonts w:hint="eastAsia"/>
          <w:i/>
          <w:color w:val="000000" w:themeColor="text1"/>
          <w:highlight w:val="none"/>
          <w:u w:val="single"/>
          <w14:textFill>
            <w14:solidFill>
              <w14:schemeClr w14:val="tx1"/>
            </w14:solidFill>
          </w14:textFill>
        </w:rPr>
        <w:t xml:space="preserve">成交供应商不得将合同标的进行转包</w:t>
      </w:r>
      <w:r>
        <w:rPr>
          <w:rFonts w:hint="eastAsia"/>
          <w:color w:val="000000" w:themeColor="text1"/>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1055"/>
        <w:ind w:firstLine="600"/>
        <w:jc w:val="both"/>
        <w:keepLines/>
        <w:keepNext/>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ascii="黑体" w:eastAsia="黑体" w:cs="黑体"/>
          <w:color w:val="000000" w:themeColor="text1"/>
          <w:sz w:val="30"/>
          <w:szCs w:val="30"/>
          <w:highlight w:val="none"/>
          <w14:textFill>
            <w14:solidFill>
              <w14:schemeClr w14:val="tx1"/>
            </w14:solidFill>
          </w14:textFill>
        </w:rPr>
        <w:t xml:space="preserve">32、标的物的追加</w:t>
      </w:r>
      <w:r/>
    </w:p>
    <w:p>
      <w:pPr>
        <w:pStyle w:val="1055"/>
        <w:ind w:firstLine="480"/>
        <w:jc w:val="both"/>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32.1政府采购合同履行中，采购人需追加与合同标的相同的工程的，在不改变合同其他条款的前提下，可以与成交供应商协商签订补充合同，但所有补充合同的采购金额不超过原合同金额10%。</w:t>
      </w:r>
      <w:bookmarkStart w:id="140" w:name="_Toc120614221"/>
      <w:r/>
      <w:bookmarkStart w:id="141" w:name="_Toc16938558"/>
      <w:r/>
      <w:bookmarkStart w:id="142" w:name="_Toc20823314"/>
      <w:r/>
      <w:bookmarkStart w:id="143" w:name="_Toc479757207"/>
      <w:r/>
      <w:bookmarkStart w:id="144" w:name="_Toc513029242"/>
      <w:r/>
      <w:bookmarkEnd w:id="140"/>
      <w:r/>
      <w:bookmarkEnd w:id="141"/>
      <w:r/>
      <w:bookmarkEnd w:id="142"/>
      <w:r/>
      <w:bookmarkEnd w:id="143"/>
      <w:r/>
      <w:bookmarkEnd w:id="144"/>
      <w:r/>
      <w:r/>
    </w:p>
    <w:p>
      <w:pPr>
        <w:pStyle w:val="1055"/>
        <w:ind w:firstLine="600"/>
        <w:jc w:val="both"/>
        <w:keepLines/>
        <w:keepNext/>
        <w:pageBreakBefore w:val="0"/>
        <w:spacing w:before="0" w:beforeAutospacing="0" w:after="0" w:afterAutospacing="0" w:line="480" w:lineRule="exact"/>
        <w:rPr>
          <w:rFonts w:hint="eastAsia" w:ascii="黑体" w:eastAsia="黑体" w:cs="黑体"/>
          <w:color w:val="000000" w:themeColor="text1"/>
          <w:sz w:val="30"/>
          <w:szCs w:val="30"/>
          <w:highlight w:val="none"/>
          <w:lang w:val="en-US" w:eastAsia="zh-CN"/>
          <w14:textFill>
            <w14:solidFill>
              <w14:schemeClr w14:val="tx1"/>
            </w14:solidFill>
          </w14:textFill>
        </w:rPr>
      </w:pPr>
      <w:r>
        <w:rPr>
          <w:rFonts w:hint="eastAsia" w:ascii="黑体" w:eastAsia="黑体" w:cs="黑体"/>
          <w:color w:val="000000" w:themeColor="text1"/>
          <w:sz w:val="30"/>
          <w:szCs w:val="30"/>
          <w:highlight w:val="none"/>
          <w:lang w:val="en-US" w:eastAsia="zh-CN"/>
          <w14:textFill>
            <w14:solidFill>
              <w14:schemeClr w14:val="tx1"/>
            </w14:solidFill>
          </w14:textFill>
        </w:rPr>
        <w:t xml:space="preserve">33.政府采购政策功能落实</w:t>
      </w:r>
      <w:r/>
    </w:p>
    <w:p>
      <w:pPr>
        <w:pStyle w:val="1055"/>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105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1119"/>
        <w:ind w:left="0" w:firstLine="560"/>
        <w:pageBreakBefore w:val="0"/>
        <w:spacing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pStyle w:val="1108"/>
        <w:pageBreakBefore w:val="0"/>
        <w:spacing w:line="480" w:lineRule="exact"/>
        <w:rPr>
          <w:rFonts w:hint="eastAsia"/>
          <w:color w:val="000000" w:themeColor="text1"/>
          <w:highlight w:val="none"/>
          <w14:textFill>
            <w14:solidFill>
              <w14:schemeClr w14:val="tx1"/>
            </w14:solidFill>
          </w14:textFill>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1058"/>
        <w:ind w:firstLine="210"/>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pStyle w:val="1021"/>
        <w:spacing w:before="0" w:after="0" w:line="360" w:lineRule="auto"/>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pStyle w:val="1021"/>
        <w:spacing w:before="0" w:after="0" w:line="360" w:lineRule="auto"/>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rPr>
          <w:rFonts w:ascii="黑体" w:eastAsia="黑体" w:cs="Arial"/>
          <w:bCs/>
          <w:color w:val="000000" w:themeColor="text1"/>
          <w:szCs w:val="44"/>
          <w:highlight w:val="none"/>
          <w14:textFill>
            <w14:solidFill>
              <w14:schemeClr w14:val="tx1"/>
            </w14:solidFill>
          </w14:textFill>
        </w:rPr>
      </w:pPr>
      <w:r>
        <w:rPr>
          <w:rFonts w:ascii="黑体" w:eastAsia="黑体" w:cs="Arial"/>
          <w:bCs/>
          <w:color w:val="000000" w:themeColor="text1"/>
          <w:szCs w:val="44"/>
          <w:highlight w:val="none"/>
          <w14:textFill>
            <w14:solidFill>
              <w14:schemeClr w14:val="tx1"/>
            </w14:solidFill>
          </w14:textFill>
        </w:rPr>
      </w:r>
      <w:r/>
    </w:p>
    <w:p>
      <w:pPr>
        <w:pStyle w:val="1021"/>
        <w:spacing w:before="0" w:after="0" w:line="460" w:lineRule="exact"/>
        <w:rPr>
          <w:rFonts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t xml:space="preserve">第三章  合同条款及格式</w:t>
      </w:r>
      <w:r/>
    </w:p>
    <w:p>
      <w:pPr>
        <w:ind w:firstLine="480"/>
        <w:spacing w:line="460" w:lineRule="exact"/>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以下为成交后签定本项目合同的通用条款，成交供应商不得提出实质性的修改，关于专用条款将由采购人与成交供应商结合本项目具体情况协商后签订。</w:t>
      </w:r>
      <w:r/>
    </w:p>
    <w:p>
      <w:pPr>
        <w:pStyle w:val="1040"/>
        <w:ind w:firstLine="482"/>
        <w:jc w:val="center"/>
        <w:rPr>
          <w:rFonts w:asciiTheme="minorEastAsia" w:hAnsiTheme="minorEastAsia" w:eastAsiaTheme="minorEastAsia" w:cstheme="minorEastAsia"/>
          <w:b/>
          <w:color w:val="auto"/>
          <w:sz w:val="24"/>
          <w:szCs w:val="24"/>
          <w:highlight w:val="none"/>
        </w:rPr>
      </w:pPr>
      <w:r/>
      <w:bookmarkStart w:id="145" w:name="_Hlt16619369"/>
      <w:r/>
      <w:bookmarkEnd w:id="145"/>
      <w:r>
        <w:rPr>
          <w:rFonts w:hint="eastAsia" w:asciiTheme="minorEastAsia" w:hAnsiTheme="minorEastAsia" w:eastAsiaTheme="minorEastAsia" w:cstheme="minorEastAsia"/>
          <w:b/>
          <w:color w:val="auto"/>
          <w:sz w:val="24"/>
          <w:szCs w:val="24"/>
          <w:highlight w:val="none"/>
        </w:rPr>
        <w:t xml:space="preserve">政府采购合同（服务类）</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项目名称：</w:t>
      </w:r>
      <w:r>
        <w:rPr>
          <w:rFonts w:hint="eastAsia" w:hAnsi="宋体" w:cs="宋体"/>
          <w:color w:val="auto"/>
          <w:sz w:val="24"/>
          <w:szCs w:val="24"/>
          <w:highlight w:val="none"/>
          <w:lang w:eastAsia="zh-CN"/>
        </w:rPr>
        <w:t xml:space="preserve">盐城市耕地保护和利用专项规划编制项目</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甲方：</w:t>
      </w:r>
      <w:r>
        <w:rPr>
          <w:rFonts w:hint="eastAsia" w:hAnsi="宋体" w:cs="宋体"/>
          <w:color w:val="auto"/>
          <w:sz w:val="24"/>
          <w:szCs w:val="24"/>
          <w:highlight w:val="none"/>
          <w:lang w:eastAsia="zh-CN"/>
        </w:rPr>
        <w:t xml:space="preserve">盐城市自然资源和规划局</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                              </w:t>
      </w:r>
      <w:r/>
    </w:p>
    <w:p>
      <w:pPr>
        <w:pStyle w:val="1040"/>
        <w:ind w:firstLine="480"/>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甲、乙双方根据盐城市政府采购（</w:t>
      </w:r>
      <w:r>
        <w:rPr>
          <w:rFonts w:hint="eastAsia" w:ascii="宋体" w:hAnsi="宋体" w:eastAsia="宋体" w:cs="宋体"/>
          <w:color w:val="auto"/>
          <w:sz w:val="24"/>
          <w:szCs w:val="24"/>
          <w:highlight w:val="none"/>
          <w:u w:val="single"/>
        </w:rPr>
        <w:t xml:space="preserve">项目编号：            </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u w:val="single"/>
          <w:lang w:eastAsia="zh-CN"/>
        </w:rPr>
        <w:t xml:space="preserve">盐城市耕地保护和利用专项规划编制项目</w:t>
      </w:r>
      <w:r>
        <w:rPr>
          <w:rFonts w:hint="eastAsia" w:ascii="宋体" w:hAnsi="宋体" w:eastAsia="宋体" w:cs="宋体"/>
          <w:color w:val="auto"/>
          <w:sz w:val="24"/>
          <w:szCs w:val="24"/>
          <w:highlight w:val="none"/>
        </w:rPr>
        <w:t xml:space="preserve">公开招标的结果，签署本合同。</w:t>
      </w:r>
      <w:r/>
    </w:p>
    <w:p>
      <w:pPr>
        <w:pStyle w:val="104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一、合同内容</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1.1服务名称：</w:t>
      </w:r>
      <w:r>
        <w:rPr>
          <w:rFonts w:hint="eastAsia" w:hAnsi="宋体" w:cs="宋体"/>
          <w:color w:val="auto"/>
          <w:sz w:val="24"/>
          <w:szCs w:val="24"/>
          <w:highlight w:val="none"/>
          <w:lang w:eastAsia="zh-CN"/>
        </w:rPr>
        <w:t xml:space="preserve">盐城市耕地保护和利用专项规划编制项目</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1.2服务内容：</w:t>
      </w:r>
      <w:r>
        <w:rPr>
          <w:rFonts w:hint="eastAsia" w:hAnsi="宋体" w:cs="宋体"/>
          <w:color w:val="auto"/>
          <w:sz w:val="24"/>
          <w:szCs w:val="24"/>
          <w:highlight w:val="none"/>
          <w:lang w:eastAsia="zh-CN"/>
        </w:rPr>
        <w:t xml:space="preserve">盐城市耕地保护和利用专项规划编制项目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具体服务内容包含（不限于）招标文件的项目需求中的全部内容。</w:t>
      </w:r>
      <w:r/>
    </w:p>
    <w:p>
      <w:pPr>
        <w:pStyle w:val="1040"/>
        <w:ind w:firstLine="480"/>
        <w:keepLines w:val="0"/>
        <w:keepNext w:val="0"/>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1.3履行时间（期限）：</w:t>
      </w:r>
      <w:r>
        <w:rPr>
          <w:rFonts w:hint="eastAsia" w:ascii="宋体" w:hAnsi="宋体" w:cs="宋体"/>
          <w:color w:val="auto"/>
          <w:sz w:val="24"/>
          <w:highlight w:val="none"/>
          <w:lang w:val="en-US" w:eastAsia="zh-CN"/>
        </w:rPr>
        <w:t xml:space="preserve">2025年11月底前完成成果编制工作，</w:t>
      </w:r>
      <w:r>
        <w:rPr>
          <w:rFonts w:hint="eastAsia" w:ascii="宋体" w:hAnsi="宋体" w:cs="宋体"/>
          <w:color w:val="auto"/>
          <w:sz w:val="24"/>
          <w:highlight w:val="none"/>
          <w:lang w:eastAsia="zh-CN"/>
        </w:rPr>
        <w:t xml:space="preserve">并在规划批准后30个工作日内报省厅备案，并确保通过备案。</w:t>
      </w:r>
      <w:r/>
    </w:p>
    <w:p>
      <w:pPr>
        <w:pStyle w:val="1055"/>
        <w:ind w:firstLine="480"/>
        <w:jc w:val="both"/>
        <w:keepLines w:val="0"/>
        <w:keepNext w:val="0"/>
        <w:pageBreakBefore w:val="0"/>
        <w:spacing w:before="0" w:beforeAutospacing="0" w:after="0" w:afterAutospacing="0" w:line="520" w:lineRule="exact"/>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1.4履行地点：甲方指定的具体地点。</w:t>
      </w:r>
      <w:r/>
    </w:p>
    <w:p>
      <w:pPr>
        <w:pStyle w:val="1055"/>
        <w:ind w:firstLine="480"/>
        <w:jc w:val="both"/>
        <w:keepLines w:val="0"/>
        <w:keepNext w:val="0"/>
        <w:pageBreakBefore w:val="0"/>
        <w:spacing w:before="0" w:beforeAutospacing="0" w:after="0" w:afterAutospacing="0" w:line="52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1.5履行方式：到甲方指定地点并通过甲方审查。</w:t>
      </w:r>
      <w:r/>
    </w:p>
    <w:p>
      <w:pPr>
        <w:pStyle w:val="104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二、合同金额</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2.1本合同总金额为：人民币（大写）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圆整（¥</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2.2本合同价是指乙方为完成采购文件、项目需求中确定的所有内容</w:t>
      </w:r>
      <w:r>
        <w:rPr>
          <w:rFonts w:hint="eastAsia" w:ascii="宋体" w:hAnsi="宋体" w:cs="宋体"/>
          <w:color w:val="auto"/>
          <w:sz w:val="24"/>
          <w:highlight w:val="none"/>
          <w:lang w:eastAsia="zh-CN"/>
        </w:rPr>
        <w:t xml:space="preserve">的全部费用</w:t>
      </w:r>
      <w:r>
        <w:rPr>
          <w:rFonts w:hint="eastAsia" w:ascii="宋体" w:hAnsi="宋体" w:eastAsia="宋体" w:cs="宋体"/>
          <w:color w:val="auto"/>
          <w:sz w:val="24"/>
          <w:highlight w:val="none"/>
        </w:rPr>
        <w:t xml:space="preserve">。乙方已充分考虑为完成上述内容所必须的全部服务所需的所有费用，即包括全部技术服务</w:t>
      </w:r>
      <w:r>
        <w:rPr>
          <w:rFonts w:hint="eastAsia" w:ascii="宋体" w:hAnsi="宋体" w:cs="宋体"/>
          <w:color w:val="auto"/>
          <w:sz w:val="24"/>
          <w:highlight w:val="none"/>
          <w:lang w:eastAsia="zh-CN"/>
        </w:rPr>
        <w:t xml:space="preserve">费</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材料费、交通费、调查费、</w:t>
      </w:r>
      <w:r>
        <w:rPr>
          <w:rFonts w:hint="eastAsia" w:ascii="宋体" w:hAnsi="宋体" w:eastAsia="宋体" w:cs="宋体"/>
          <w:color w:val="auto"/>
          <w:sz w:val="24"/>
          <w:highlight w:val="none"/>
        </w:rPr>
        <w:t xml:space="preserve">利润、</w:t>
      </w:r>
      <w:r>
        <w:rPr>
          <w:rFonts w:hint="eastAsia" w:ascii="宋体" w:hAnsi="宋体" w:cs="宋体"/>
          <w:color w:val="auto"/>
          <w:sz w:val="24"/>
          <w:highlight w:val="none"/>
          <w:lang w:eastAsia="zh-CN"/>
        </w:rPr>
        <w:t xml:space="preserve">不可预见费、</w:t>
      </w:r>
      <w:r>
        <w:rPr>
          <w:rFonts w:hint="eastAsia" w:ascii="宋体" w:hAnsi="宋体" w:eastAsia="宋体" w:cs="宋体"/>
          <w:color w:val="auto"/>
          <w:sz w:val="24"/>
          <w:highlight w:val="none"/>
        </w:rPr>
        <w:t xml:space="preserve">各类风险</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w:t>
      </w:r>
      <w:r>
        <w:rPr>
          <w:rFonts w:hint="eastAsia" w:ascii="宋体" w:hAnsi="宋体" w:cs="宋体"/>
          <w:color w:val="auto"/>
          <w:sz w:val="24"/>
          <w:highlight w:val="none"/>
          <w:lang w:val="en-US" w:eastAsia="zh-CN"/>
        </w:rPr>
        <w:t xml:space="preserve">调整</w:t>
      </w:r>
      <w:r>
        <w:rPr>
          <w:rFonts w:hint="eastAsia" w:ascii="宋体" w:hAnsi="宋体" w:eastAsia="宋体" w:cs="宋体"/>
          <w:color w:val="auto"/>
          <w:sz w:val="24"/>
          <w:highlight w:val="none"/>
        </w:rPr>
        <w:t xml:space="preserve">。</w:t>
      </w:r>
      <w:r/>
    </w:p>
    <w:p>
      <w:pPr>
        <w:pStyle w:val="104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line="520" w:lineRule="exact"/>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3.1</w:t>
      </w:r>
      <w:r>
        <w:rPr>
          <w:rFonts w:hint="eastAsia" w:ascii="宋体" w:hAnsi="宋体" w:cs="宋体"/>
          <w:color w:val="auto"/>
          <w:sz w:val="24"/>
          <w:highlight w:val="none"/>
        </w:rPr>
        <w:t xml:space="preserve">甲方向乙方提供有关服务的基础资料，乙方向甲方提供最终的成果资料</w:t>
      </w:r>
      <w:r>
        <w:rPr>
          <w:rFonts w:hint="eastAsia" w:ascii="宋体" w:hAnsi="宋体" w:cs="宋体"/>
          <w:color w:val="auto"/>
          <w:sz w:val="24"/>
          <w:highlight w:val="none"/>
          <w:lang w:eastAsia="zh-CN"/>
        </w:rPr>
        <w:t xml:space="preserve">。</w:t>
      </w:r>
      <w:r/>
    </w:p>
    <w:p>
      <w:pPr>
        <w:pStyle w:val="104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四、知识产权及成果权属</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乙方保证所交付标的的所有权完全属于甲方。</w:t>
      </w:r>
      <w:r/>
    </w:p>
    <w:p>
      <w:pPr>
        <w:pStyle w:val="104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五、安全与保密</w:t>
      </w:r>
      <w:r/>
    </w:p>
    <w:p>
      <w:pPr>
        <w:ind w:firstLine="482"/>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5.1项目服务过程中涉及到的涉密和敏感图文资料、电子数据，编制单位应严格执行保密的相关规定，不得以任何方式向任何第三人披露、泄露或许可第三人使用。</w:t>
      </w:r>
      <w:r>
        <w:rPr>
          <w:rFonts w:hint="eastAsia" w:ascii="宋体" w:hAnsi="宋体" w:eastAsia="宋体" w:cs="宋体"/>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4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六、履约保证金</w:t>
      </w:r>
      <w:r/>
    </w:p>
    <w:p>
      <w:pPr>
        <w:pStyle w:val="1040"/>
        <w:ind w:firstLine="480"/>
        <w:keepLines w:val="0"/>
        <w:keepNext w:val="0"/>
        <w:pageBreakBefore w:val="0"/>
        <w:spacing w:line="520" w:lineRule="exact"/>
        <w:rPr>
          <w:rFonts w:hint="eastAsia" w:ascii="宋体" w:hAnsi="宋体" w:eastAsia="宋体" w:cs="宋体"/>
          <w:sz w:val="24"/>
          <w:szCs w:val="24"/>
        </w:rPr>
        <w:outlineLvl w:val="9"/>
      </w:pPr>
      <w:r>
        <w:rPr>
          <w:rFonts w:hint="eastAsia" w:ascii="宋体" w:hAnsi="宋体" w:eastAsia="宋体" w:cs="宋体"/>
          <w:sz w:val="24"/>
          <w:szCs w:val="24"/>
        </w:rPr>
        <w:t xml:space="preserve">6.1乙方交纳人民币（大写）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圆整（¥</w:t>
      </w:r>
      <w:r>
        <w:rPr>
          <w:rFonts w:hint="eastAsia" w:ascii="宋体" w:hAnsi="宋体" w:eastAsia="宋体" w:cs="宋体"/>
          <w:sz w:val="24"/>
          <w:szCs w:val="24"/>
          <w:u w:val="single"/>
        </w:rPr>
        <w:t xml:space="preserve">         元</w:t>
      </w:r>
      <w:r>
        <w:rPr>
          <w:rFonts w:hint="eastAsia" w:ascii="宋体" w:hAnsi="宋体" w:eastAsia="宋体" w:cs="宋体"/>
          <w:sz w:val="24"/>
          <w:szCs w:val="24"/>
        </w:rPr>
        <w:t xml:space="preserve">）作为本合同的履约保证金（合同金额的5%）</w:t>
      </w:r>
      <w:r>
        <w:rPr>
          <w:rFonts w:hint="eastAsia" w:ascii="宋体" w:hAnsi="宋体" w:eastAsia="宋体" w:cs="宋体"/>
          <w:color w:val="000000" w:themeColor="text1"/>
          <w:sz w:val="24"/>
          <w:szCs w:val="24"/>
          <w14:textFill>
            <w14:solidFill>
              <w14:schemeClr w14:val="tx1"/>
            </w14:solidFill>
          </w14:textFill>
        </w:rPr>
        <w:t xml:space="preserve">。引用盐城信用办推行的第三方信用报告，</w:t>
      </w:r>
      <w:r>
        <w:rPr>
          <w:rFonts w:hint="eastAsia" w:hAnsi="宋体" w:cs="宋体"/>
          <w:color w:val="000000" w:themeColor="text1"/>
          <w:sz w:val="24"/>
          <w:szCs w:val="24"/>
          <w:lang w:val="en-US" w:eastAsia="zh-CN"/>
          <w14:textFill>
            <w14:solidFill>
              <w14:schemeClr w14:val="tx1"/>
            </w14:solidFill>
          </w14:textFill>
        </w:rPr>
        <w:t xml:space="preserve">AA</w:t>
      </w:r>
      <w:r>
        <w:rPr>
          <w:rFonts w:hint="eastAsia" w:ascii="宋体" w:hAnsi="宋体" w:eastAsia="宋体" w:cs="宋体"/>
          <w:color w:val="000000" w:themeColor="text1"/>
          <w:sz w:val="24"/>
          <w:szCs w:val="24"/>
          <w14:textFill>
            <w14:solidFill>
              <w14:schemeClr w14:val="tx1"/>
            </w14:solidFill>
          </w14:textFill>
        </w:rPr>
        <w:t xml:space="preserve">A的供应商免交履约保证金，</w:t>
      </w:r>
      <w:r>
        <w:rPr>
          <w:rFonts w:hint="eastAsia" w:hAnsi="宋体" w:cs="宋体"/>
          <w:color w:val="000000" w:themeColor="text1"/>
          <w:sz w:val="24"/>
          <w:szCs w:val="24"/>
          <w:lang w:val="en-US" w:eastAsia="zh-CN"/>
          <w14:textFill>
            <w14:solidFill>
              <w14:schemeClr w14:val="tx1"/>
            </w14:solidFill>
          </w14:textFill>
        </w:rPr>
        <w:t xml:space="preserve">A</w:t>
      </w:r>
      <w:r>
        <w:rPr>
          <w:rFonts w:hint="eastAsia" w:ascii="宋体" w:hAnsi="宋体" w:eastAsia="宋体" w:cs="宋体"/>
          <w:color w:val="000000" w:themeColor="text1"/>
          <w:sz w:val="24"/>
          <w:szCs w:val="24"/>
          <w14:textFill>
            <w14:solidFill>
              <w14:schemeClr w14:val="tx1"/>
            </w14:solidFill>
          </w14:textFill>
        </w:rPr>
        <w:t xml:space="preserve">A的供应商按一半金额缴纳(需提供信用管理部门备案的第三方信用报告)。</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6.2确需收取履约保证金的，履约保证金的缴纳形式：</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6.2.2 如以履约保函（保险）形式缴纳履约保证金，供应商可通过政府采购电子履约保函（保险）平台（www.jsdzbh.com）在线申请履约保函（保险）。</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6.3合同履行结束后，甲方应及时退还交纳的履约保证金。</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6.4履约保证金的退还：</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6.4.1方式：无息退还至投标人缴纳履约保证金的账户。如为保函，在到期时自行失效。</w:t>
      </w:r>
      <w:r/>
    </w:p>
    <w:p>
      <w:pPr>
        <w:ind w:firstLine="480"/>
        <w:keepLines w:val="0"/>
        <w:keepNext w:val="0"/>
        <w:pageBreakBefore w:val="0"/>
        <w:spacing w:line="460" w:lineRule="exact"/>
        <w:rPr>
          <w:rFonts w:hAnsi="宋体"/>
          <w:sz w:val="24"/>
          <w:szCs w:val="24"/>
          <w:highlight w:val="none"/>
        </w:rPr>
      </w:pPr>
      <w:r>
        <w:rPr>
          <w:rFonts w:hint="eastAsia" w:ascii="宋体" w:hAnsi="宋体" w:eastAsia="宋体" w:cs="宋体"/>
          <w:color w:val="auto"/>
          <w:sz w:val="24"/>
          <w:szCs w:val="24"/>
          <w:highlight w:val="none"/>
        </w:rPr>
        <w:t xml:space="preserve">6.4.2时间：</w:t>
      </w:r>
      <w:r>
        <w:rPr>
          <w:rFonts w:hint="eastAsia" w:ascii="宋体" w:hAnsi="宋体" w:eastAsia="宋体" w:cs="宋体"/>
          <w:color w:val="auto"/>
          <w:sz w:val="24"/>
          <w:highlight w:val="none"/>
        </w:rPr>
        <w:t xml:space="preserve">验收合格且采购人收到发票后</w:t>
      </w:r>
      <w:r>
        <w:rPr>
          <w:rFonts w:hint="eastAsia" w:ascii="宋体" w:hAnsi="宋体" w:cs="宋体"/>
          <w:color w:val="auto"/>
          <w:sz w:val="24"/>
          <w:highlight w:val="none"/>
          <w:lang w:val="en-US" w:eastAsia="zh-CN"/>
        </w:rPr>
        <w:t xml:space="preserve">10个工作</w:t>
      </w:r>
      <w:r>
        <w:rPr>
          <w:rFonts w:hint="eastAsia" w:ascii="宋体" w:hAnsi="宋体" w:eastAsia="宋体" w:cs="宋体"/>
          <w:color w:val="auto"/>
          <w:sz w:val="24"/>
          <w:highlight w:val="none"/>
        </w:rPr>
        <w:t xml:space="preserve">日内。</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6.4.3条件：按合同要求全部履约完成并经采购人验收合格，且采购人收到中标人出具的发票。</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6.4.4不予退还情形：</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（2）中标人不履行与采购人订立的合同的；</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（3）中标人所供货物或服务不符合招标文件规定要求的；</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（4）中标人采取欺骗、弄虚作假方式投标的或与其它投标人串通投标的；</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（5）中标人将合同内容转包、违法分包的；</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（6）中标人故意捏造事实或伪造证明材料，进行虚假恶意投诉或反映的。</w:t>
      </w:r>
      <w:r/>
    </w:p>
    <w:p>
      <w:pPr>
        <w:pStyle w:val="1040"/>
        <w:ind w:firstLine="480"/>
        <w:keepLines w:val="0"/>
        <w:keepNext w:val="0"/>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before="143" w:after="143" w:line="52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七、合同转包或分包</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7.1乙方不得将合同标的转包给他人履行。</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7.2乙方不得将合同标的分包给他人履行。</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7.3乙方如有转包或未经甲方同意的分包行为，甲方有权给予终止合同。</w:t>
      </w:r>
      <w:r/>
    </w:p>
    <w:p>
      <w:pPr>
        <w:pStyle w:val="104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八、付款方式</w:t>
      </w:r>
      <w:r/>
    </w:p>
    <w:p>
      <w:pPr>
        <w:ind w:firstLine="480"/>
        <w:jc w:val="both"/>
        <w:spacing w:before="120" w:after="12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8.1付款方式：</w:t>
      </w:r>
      <w:r>
        <w:rPr>
          <w:rFonts w:hint="eastAsia" w:hAnsi="宋体"/>
          <w:b w:val="0"/>
          <w:bCs w:val="0"/>
          <w:color w:val="auto"/>
          <w:sz w:val="24"/>
          <w:szCs w:val="24"/>
          <w:highlight w:val="none"/>
          <w:lang w:val="en-US" w:eastAsia="zh-CN"/>
        </w:rPr>
        <w:t xml:space="preserve">合同预付款的比例为30%，合同签订后</w:t>
      </w:r>
      <w:r>
        <w:rPr>
          <w:rFonts w:hint="eastAsia" w:hAnsi="宋体"/>
          <w:b w:val="0"/>
          <w:bCs w:val="0"/>
          <w:color w:val="auto"/>
          <w:sz w:val="24"/>
          <w:szCs w:val="24"/>
          <w:highlight w:val="none"/>
        </w:rPr>
        <w:t xml:space="preserve">，</w:t>
      </w:r>
      <w:r>
        <w:rPr>
          <w:rFonts w:hint="eastAsia" w:hAnsi="宋体"/>
          <w:b w:val="0"/>
          <w:bCs w:val="0"/>
          <w:color w:val="auto"/>
          <w:sz w:val="24"/>
          <w:szCs w:val="24"/>
          <w:highlight w:val="none"/>
          <w:lang w:val="en-US" w:eastAsia="zh-CN"/>
        </w:rPr>
        <w:t xml:space="preserve">甲方在收到发票后10个工作日内将预付款支付到合同约定的乙方账户，乙方按照甲方要求和规定期限合格完成全部合同义务、符合合同约定的验收条件后，甲方在2025年底前向乙方支付不超过50万元整，2026年支付剩余款项。</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注：以上付款均不计任何利息和相关费用，付款一律通过银行结转。每次付款前提是乙方已提供合法票据。</w:t>
      </w:r>
      <w:r/>
    </w:p>
    <w:p>
      <w:pPr>
        <w:ind w:firstLine="482"/>
        <w:keepLines w:val="0"/>
        <w:keepNext w:val="0"/>
        <w:pageBreakBefore w:val="0"/>
        <w:spacing w:before="143" w:after="143" w:line="52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九、</w:t>
      </w:r>
      <w:r>
        <w:rPr>
          <w:rFonts w:hint="eastAsia" w:ascii="宋体" w:hAnsi="宋体" w:cs="宋体"/>
          <w:b/>
          <w:color w:val="auto"/>
          <w:sz w:val="24"/>
          <w:highlight w:val="none"/>
          <w:lang w:val="en-US" w:eastAsia="zh-CN"/>
        </w:rPr>
        <w:t xml:space="preserve">履约</w:t>
      </w:r>
      <w:r>
        <w:rPr>
          <w:rFonts w:hint="eastAsia" w:ascii="宋体" w:hAnsi="宋体" w:eastAsia="宋体" w:cs="宋体"/>
          <w:b/>
          <w:color w:val="auto"/>
          <w:sz w:val="24"/>
          <w:highlight w:val="none"/>
        </w:rPr>
        <w:t xml:space="preserve">验收</w:t>
      </w:r>
      <w:r/>
    </w:p>
    <w:p>
      <w:pPr>
        <w:ind w:firstLine="480"/>
        <w:keepLines w:val="0"/>
        <w:keepNext w:val="0"/>
        <w:pageBreakBefore w:val="0"/>
        <w:spacing w:before="143" w:after="143" w:line="460" w:lineRule="exact"/>
        <w:widowControl w:val="off"/>
        <w:rPr>
          <w:rFonts w:hint="default" w:ascii="宋体" w:hAnsi="宋体"/>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9.1</w:t>
      </w:r>
      <w:r>
        <w:rPr>
          <w:rFonts w:hint="eastAsia" w:ascii="宋体" w:hAnsi="宋体" w:eastAsia="宋体" w:cs="宋体"/>
          <w:b w:val="0"/>
          <w:bCs/>
          <w:color w:val="auto"/>
          <w:sz w:val="24"/>
          <w:highlight w:val="none"/>
        </w:rPr>
        <w:t xml:space="preserve">甲方依法组织履约验收工作。</w:t>
      </w:r>
      <w:r>
        <w:rPr>
          <w:rFonts w:hint="eastAsia" w:ascii="宋体" w:hAnsi="宋体"/>
          <w:color w:val="auto"/>
          <w:sz w:val="24"/>
          <w:highlight w:val="none"/>
          <w:lang w:val="en-US" w:eastAsia="zh-CN"/>
        </w:rPr>
        <w:t xml:space="preserve">验收的依据包括招标文件的各项要求、乙方的投标文件以及甲方上级部门要求、国家相关法规政策规定。</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9.2</w:t>
      </w:r>
      <w:r>
        <w:rPr>
          <w:rFonts w:hint="eastAsia" w:ascii="宋体" w:hAnsi="宋体" w:eastAsia="宋体" w:cs="宋体"/>
          <w:b w:val="0"/>
          <w:bCs/>
          <w:color w:val="auto"/>
          <w:sz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9.3</w:t>
      </w:r>
      <w:r>
        <w:rPr>
          <w:rFonts w:hint="eastAsia" w:ascii="宋体" w:hAnsi="宋体" w:eastAsia="宋体" w:cs="宋体"/>
          <w:b w:val="0"/>
          <w:bCs/>
          <w:color w:val="auto"/>
          <w:sz w:val="24"/>
          <w:highlight w:val="none"/>
        </w:rPr>
        <w:t xml:space="preserve">对于实际使用人和甲方分离的项目，甲方邀请实际使用人参与验收。</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9.4</w:t>
      </w:r>
      <w:r>
        <w:rPr>
          <w:rFonts w:hint="eastAsia" w:ascii="宋体" w:hAnsi="宋体" w:eastAsia="宋体" w:cs="宋体"/>
          <w:b w:val="0"/>
          <w:bCs/>
          <w:color w:val="auto"/>
          <w:sz w:val="24"/>
          <w:highlight w:val="none"/>
        </w:rPr>
        <w:t xml:space="preserve">如有必要，甲方邀请参加本项目的其他供应商或第三方专业机构及专家参与验收，相关意见将作为验收书的参考资料。</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9.5</w:t>
      </w:r>
      <w:r>
        <w:rPr>
          <w:rFonts w:hint="eastAsia" w:ascii="宋体" w:hAnsi="宋体" w:eastAsia="宋体" w:cs="宋体"/>
          <w:b w:val="0"/>
          <w:bCs/>
          <w:color w:val="auto"/>
          <w:sz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60" w:lineRule="exact"/>
        <w:widowControl w:val="off"/>
        <w:rPr>
          <w:rFonts w:hint="eastAsia" w:hAnsi="宋体"/>
          <w:b/>
          <w:color w:val="auto"/>
          <w:sz w:val="24"/>
          <w:szCs w:val="24"/>
          <w:highlight w:val="none"/>
          <w:lang w:val="en-US" w:eastAsia="zh-CN"/>
        </w:rPr>
      </w:pPr>
      <w:r>
        <w:rPr>
          <w:rFonts w:hint="eastAsia" w:ascii="宋体" w:hAnsi="宋体" w:cs="宋体"/>
          <w:b w:val="0"/>
          <w:bCs/>
          <w:color w:val="auto"/>
          <w:sz w:val="24"/>
          <w:highlight w:val="none"/>
          <w:lang w:val="en-US" w:eastAsia="zh-CN"/>
        </w:rPr>
        <w:t xml:space="preserve">9.6</w:t>
      </w:r>
      <w:r>
        <w:rPr>
          <w:rFonts w:hint="eastAsia" w:ascii="宋体" w:hAnsi="宋体" w:eastAsia="宋体" w:cs="宋体"/>
          <w:b w:val="0"/>
          <w:bCs/>
          <w:color w:val="auto"/>
          <w:sz w:val="24"/>
          <w:highlight w:val="none"/>
        </w:rPr>
        <w:t xml:space="preserve">验收合格的项目,甲方根据采购合同的约定及时向乙方支付合同款项、退还履约保证金。验收不合格的项目，甲方</w:t>
      </w:r>
      <w:r>
        <w:rPr>
          <w:rFonts w:hint="eastAsia" w:ascii="宋体" w:hAnsi="宋体" w:cs="宋体"/>
          <w:b w:val="0"/>
          <w:bCs/>
          <w:color w:val="auto"/>
          <w:sz w:val="24"/>
          <w:highlight w:val="none"/>
          <w:lang w:val="en-US" w:eastAsia="zh-CN"/>
        </w:rPr>
        <w:t xml:space="preserve">有权解除合同，并要求乙方退还已支付的费用</w:t>
      </w:r>
      <w:r>
        <w:rPr>
          <w:rFonts w:hint="eastAsia" w:ascii="宋体" w:hAnsi="宋体" w:eastAsia="宋体" w:cs="宋体"/>
          <w:b w:val="0"/>
          <w:bCs/>
          <w:color w:val="auto"/>
          <w:sz w:val="24"/>
          <w:highlight w:val="none"/>
        </w:rPr>
        <w:t xml:space="preserve">。采购合同的履行、违约责任和解决争议的方式等适用《</w:t>
      </w:r>
      <w:r>
        <w:rPr>
          <w:rFonts w:hint="eastAsia" w:ascii="宋体" w:hAnsi="宋体" w:cs="宋体"/>
          <w:b w:val="0"/>
          <w:bCs/>
          <w:color w:val="auto"/>
          <w:sz w:val="24"/>
          <w:highlight w:val="none"/>
          <w:lang w:val="en-US" w:eastAsia="zh-CN"/>
        </w:rPr>
        <w:t xml:space="preserve">中华人民共和国</w:t>
      </w:r>
      <w:r>
        <w:rPr>
          <w:rFonts w:hint="eastAsia" w:ascii="宋体" w:hAnsi="宋体" w:eastAsia="宋体" w:cs="宋体"/>
          <w:b w:val="0"/>
          <w:bCs/>
          <w:color w:val="auto"/>
          <w:sz w:val="24"/>
          <w:highlight w:val="none"/>
        </w:rPr>
        <w:t xml:space="preserve">民法典》。乙方在履约过程中有政府采购法律法规规定的违法违规情形的,甲方将及时报告本级财政部门。</w:t>
      </w:r>
      <w:r/>
    </w:p>
    <w:p>
      <w:pPr>
        <w:pStyle w:val="1040"/>
        <w:ind w:firstLine="482"/>
        <w:keepLines w:val="0"/>
        <w:keepNext w:val="0"/>
        <w:pageBreakBefore w:val="0"/>
        <w:spacing w:before="120" w:after="120" w:line="520" w:lineRule="exact"/>
        <w:tabs>
          <w:tab w:val="left" w:pos="454"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十、双方的权利及义务</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10.1甲方根据乙方需要，参与项目的相关讨论和调研活动，给予支持与指导。</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10.2甲方对乙方的工作进度和阶段性成果进行监督、检查。</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10.3甲方应在合同签订后三日内，提供项目各项背景材料及政策性文件。</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10.4乙方按照合同规定及甲方要求，按时按量完成工作，按甲方需要提交书面及电子文件。</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10.5乙方须按照本项目所涉要求制定项目实施方案并报甲方同意后实施项目，履行承诺，保证质量。</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10.6甲方对乙方在项目实施中发生的违法、违规、违约行为，按法律规定、协议约定进行处理。</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10.7甲方须为乙方提供政策咨询及必要支持，在政策允许范围内协助乙方做好项目实施工作。</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10.8在项目实施过程中，乙方不得向甲方提供虚假资料或信息。</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10.9乙方应主动接受并配合甲方及相关财政、审计等部门对本项目的检查、指导和监督。</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10.11双方应对在合同签订、履行过程中知悉的对方不公开信息予以保密，且该保密义务不因合同解除或履行完毕而终止。</w:t>
      </w:r>
      <w:r/>
    </w:p>
    <w:p>
      <w:pPr>
        <w:ind w:firstLine="482"/>
        <w:keepLines w:val="0"/>
        <w:keepNext w:val="0"/>
        <w:pageBreakBefore w:val="0"/>
        <w:spacing w:line="52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十一、违约责任</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keepLines w:val="0"/>
        <w:keepNext w:val="0"/>
        <w:pageBreakBefore w:val="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keepLines w:val="0"/>
        <w:keepNext w:val="0"/>
        <w:pageBreakBefore w:val="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11.4乙方所交的成果的技术参数、质量不符合合同规定及招标文件规定标准的，甲方有权拒收。</w:t>
      </w:r>
      <w:r/>
    </w:p>
    <w:p>
      <w:pPr>
        <w:ind w:firstLine="480"/>
        <w:keepLines w:val="0"/>
        <w:keepNext w:val="0"/>
        <w:pageBreakBefore w:val="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11.5若乙方违反知识产权、保密条款，除支付违约金外，还应立即停止侵权行为，消除影响，并赔偿甲方因此遭受的损失。</w:t>
      </w:r>
      <w:r/>
    </w:p>
    <w:p>
      <w:pPr>
        <w:ind w:firstLine="480"/>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十二、不可抗力事件处理</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1040"/>
        <w:ind w:firstLine="482"/>
        <w:keepLines w:val="0"/>
        <w:keepNext w:val="0"/>
        <w:pageBreakBefore w:val="0"/>
        <w:spacing w:before="120" w:after="120"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十三、解决争议的方法</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w:t>
      </w:r>
      <w:r>
        <w:rPr>
          <w:rFonts w:hint="eastAsia" w:hAnsi="宋体" w:cs="宋体"/>
          <w:color w:val="auto"/>
          <w:sz w:val="24"/>
          <w:szCs w:val="24"/>
          <w:highlight w:val="none"/>
          <w:lang w:val="en-US" w:eastAsia="zh-CN"/>
        </w:rPr>
        <w:t xml:space="preserve">所在地</w:t>
      </w:r>
      <w:r>
        <w:rPr>
          <w:rFonts w:hint="eastAsia" w:ascii="宋体" w:hAnsi="宋体" w:eastAsia="宋体" w:cs="宋体"/>
          <w:color w:val="auto"/>
          <w:sz w:val="24"/>
          <w:szCs w:val="24"/>
          <w:highlight w:val="none"/>
        </w:rPr>
        <w:t xml:space="preserve">人民法院管辖。</w:t>
      </w:r>
      <w:r/>
    </w:p>
    <w:p>
      <w:pPr>
        <w:pStyle w:val="104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十四、合同生效及其它</w:t>
      </w:r>
      <w:r/>
    </w:p>
    <w:p>
      <w:pPr>
        <w:pStyle w:val="104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14.1合同经双方法定代表人或授权委托代表人签字并加盖单位公章后生效。</w:t>
      </w:r>
      <w:r/>
    </w:p>
    <w:p>
      <w:pPr>
        <w:pStyle w:val="1040"/>
        <w:numPr>
          <w:ilvl w:val="0"/>
          <w:numId w:val="0"/>
        </w:numPr>
        <w:ind w:firstLine="480"/>
        <w:keepLines w:val="0"/>
        <w:keepNext w:val="0"/>
        <w:pageBreakBefore w:val="0"/>
        <w:spacing w:before="120" w:after="120" w:line="520" w:lineRule="exact"/>
        <w:widowControl w:val="off"/>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w:t>
      </w:r>
      <w:r>
        <w:rPr>
          <w:rFonts w:hint="eastAsia" w:hAnsi="宋体"/>
          <w:color w:val="auto"/>
          <w:sz w:val="24"/>
          <w:szCs w:val="24"/>
          <w:highlight w:val="none"/>
        </w:rPr>
        <w:t xml:space="preserve">本合同未尽事宜，遵照《中华人民共和国民法典》</w:t>
      </w:r>
      <w:r>
        <w:rPr>
          <w:rFonts w:hint="eastAsia" w:hAnsi="宋体"/>
          <w:color w:val="auto"/>
          <w:sz w:val="24"/>
          <w:szCs w:val="24"/>
          <w:highlight w:val="none"/>
          <w:lang w:eastAsia="zh-CN"/>
        </w:rPr>
        <w:t xml:space="preserve">《中华人民共和国政府采购法》</w:t>
      </w:r>
      <w:r>
        <w:rPr>
          <w:rFonts w:hint="eastAsia" w:hAnsi="宋体"/>
          <w:color w:val="auto"/>
          <w:sz w:val="24"/>
          <w:szCs w:val="24"/>
          <w:highlight w:val="none"/>
        </w:rPr>
        <w:t xml:space="preserve">有关条文执行。</w:t>
      </w:r>
      <w:r/>
    </w:p>
    <w:p>
      <w:pPr>
        <w:pStyle w:val="104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w:t>
      </w:r>
      <w:r>
        <w:rPr>
          <w:rFonts w:hint="eastAsia" w:hAnsi="宋体" w:cs="宋体"/>
          <w:color w:val="auto"/>
          <w:sz w:val="24"/>
          <w:szCs w:val="24"/>
          <w:highlight w:val="none"/>
        </w:rPr>
        <w:t xml:space="preserve">本合同一式陆份，甲方执叁份，乙方执叁份，自甲乙双方签字、盖章之日起生效</w:t>
      </w:r>
      <w:r>
        <w:rPr>
          <w:rFonts w:hint="eastAsia" w:ascii="宋体" w:hAnsi="宋体" w:eastAsia="宋体" w:cs="宋体"/>
          <w:color w:val="auto"/>
          <w:sz w:val="24"/>
          <w:szCs w:val="24"/>
          <w:highlight w:val="none"/>
        </w:rPr>
        <w:t xml:space="preserve">。</w:t>
      </w:r>
      <w:r/>
    </w:p>
    <w:p>
      <w:pPr>
        <w:pStyle w:val="1040"/>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pStyle w:val="1040"/>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pStyle w:val="1040"/>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1040"/>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1040"/>
        <w:ind w:firstLine="1200"/>
        <w:spacing w:line="460" w:lineRule="exact"/>
        <w:rPr>
          <w:rFonts w:hAnsi="宋体"/>
          <w:sz w:val="24"/>
          <w:szCs w:val="24"/>
          <w:highlight w:val="none"/>
        </w:rPr>
      </w:pPr>
      <w:r>
        <w:rPr>
          <w:rFonts w:hint="eastAsia" w:ascii="宋体" w:hAnsi="宋体" w:eastAsia="宋体" w:cs="宋体"/>
          <w:color w:val="auto"/>
          <w:sz w:val="24"/>
          <w:szCs w:val="24"/>
          <w:highlight w:val="none"/>
        </w:rPr>
        <w:t xml:space="preserve">年   月   日                              年   月   日</w:t>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40"/>
        <w:ind w:firstLine="720"/>
        <w:spacing w:line="460" w:lineRule="exact"/>
        <w:rPr>
          <w:rFonts w:hAnsi="宋体"/>
          <w:sz w:val="24"/>
          <w:szCs w:val="24"/>
          <w:highlight w:val="none"/>
        </w:rPr>
      </w:pPr>
      <w:r>
        <w:rPr>
          <w:rFonts w:hAnsi="宋体"/>
          <w:sz w:val="24"/>
          <w:szCs w:val="24"/>
          <w:highlight w:val="none"/>
        </w:rPr>
      </w:r>
      <w:r/>
    </w:p>
    <w:p>
      <w:pPr>
        <w:pStyle w:val="1021"/>
        <w:numPr>
          <w:ilvl w:val="0"/>
          <w:numId w:val="6"/>
        </w:numPr>
        <w:spacing w:before="0" w:after="0" w:line="360" w:lineRule="auto"/>
        <w:rPr>
          <w:rFonts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t xml:space="preserve">项目需求</w:t>
      </w:r>
      <w:r/>
    </w:p>
    <w:p>
      <w:pPr>
        <w:ind w:left="0" w:firstLine="482"/>
        <w:jc w:val="left"/>
        <w:keepLines w:val="0"/>
        <w:keepNext w:val="0"/>
        <w:pageBreakBefore w:val="0"/>
        <w:spacing w:line="420" w:lineRule="exact"/>
        <w:widowControl/>
        <w:rPr>
          <w:rFonts w:hint="eastAsia"/>
          <w:color w:val="auto"/>
          <w:highlight w:val="none"/>
        </w:rPr>
      </w:pPr>
      <w:r/>
      <w:bookmarkStart w:id="146" w:name="_Toc61149622"/>
      <w:r/>
      <w:bookmarkStart w:id="147" w:name="_Toc26554097"/>
      <w:r/>
      <w:bookmarkStart w:id="148" w:name="_Toc23828480"/>
      <w:r>
        <w:rPr>
          <w:rFonts w:hint="eastAsia" w:ascii="宋体" w:hAnsi="宋体" w:eastAsia="宋体" w:cs="Times New Roman"/>
          <w:b/>
          <w:bCs/>
          <w:color w:val="auto"/>
          <w:sz w:val="24"/>
          <w:highlight w:val="none"/>
        </w:rPr>
        <w:t xml:space="preserve">项目属性:服务类项目。</w:t>
      </w:r>
      <w:r/>
    </w:p>
    <w:p>
      <w:pPr>
        <w:pStyle w:val="1109"/>
        <w:numPr>
          <w:ilvl w:val="0"/>
          <w:numId w:val="0"/>
        </w:numPr>
        <w:ind w:left="0" w:firstLine="482"/>
        <w:keepLines w:val="0"/>
        <w:keepNext w:val="0"/>
        <w:pageBreakBefore w:val="0"/>
        <w:spacing w:line="520" w:lineRule="exact"/>
        <w:widowControl w:val="off"/>
        <w:tabs>
          <w:tab w:val="left" w:pos="1250" w:leader="none"/>
        </w:tabs>
        <w:rPr>
          <w:rFonts w:hint="eastAsia" w:ascii="宋体" w:hAnsi="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（一）项目概况</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为贯彻耕地“数量、质量、生态”三位一体保护要求，落实耕地保护党政同责的决策部署和最严格的耕地保护制度。《自然资源部 农业农村部关于改革完善耕地占补平衡管理的通知》（自然资发〔2024〕204号）要求“探索编制耕地保护专项规划，合理安排耕地和永久基本农田布局”，《江苏省委办公厅 省政府办公厅 关于加强耕地保护提升耕地质量完善占补平衡的实施意见》（苏发〔2024〕17号）要求“编制实施省、市、县三级耕地保护和利用专项规划，系统谋划、合理优化耕地资源空间布局”。</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2024年12月省厅下发了《江苏省自然资源厅关于开展耕地保护和利用专项规划编制工作的通知》，为及时响应落实国家、省有关耕地保护要求，细化落实规划期内耕地数量、质量和生态保护，统筹谋划耕地恢复、补充耕地、耕地集中连片整治，优化耕地和永久基本农田空间布局，因地制宜提出耕地和永久基本农田保护利用策略，支撑耕地保护目标任务落实，强化耕地布局与管控，支撑耕地整治恢复工作，我市需开展耕地保护</w:t>
      </w:r>
      <w:bookmarkStart w:id="149" w:name="OLE_LINK1"/>
      <w:r>
        <w:rPr>
          <w:rFonts w:hint="eastAsia" w:ascii="宋体" w:hAnsi="宋体" w:cs="宋体"/>
          <w:b w:val="0"/>
          <w:bCs/>
          <w:color w:val="auto"/>
          <w:sz w:val="24"/>
          <w:szCs w:val="24"/>
          <w:highlight w:val="none"/>
          <w:lang w:val="en-US" w:eastAsia="zh-CN" w:bidi="ar-SA"/>
        </w:rPr>
        <w:t xml:space="preserve">和利用专项规划</w:t>
      </w:r>
      <w:bookmarkEnd w:id="149"/>
      <w:r>
        <w:rPr>
          <w:rFonts w:hint="eastAsia" w:ascii="宋体" w:hAnsi="宋体" w:cs="宋体"/>
          <w:b w:val="0"/>
          <w:bCs/>
          <w:color w:val="auto"/>
          <w:sz w:val="24"/>
          <w:szCs w:val="24"/>
          <w:highlight w:val="none"/>
          <w:lang w:val="en-US" w:eastAsia="zh-CN" w:bidi="ar-SA"/>
        </w:rPr>
        <w:t xml:space="preserve">编制工作。</w:t>
      </w:r>
      <w:r/>
    </w:p>
    <w:p>
      <w:pPr>
        <w:pStyle w:val="1109"/>
        <w:numPr>
          <w:ilvl w:val="0"/>
          <w:numId w:val="0"/>
        </w:numPr>
        <w:ind w:left="0" w:firstLine="482"/>
        <w:keepLines w:val="0"/>
        <w:keepNext w:val="0"/>
        <w:pageBreakBefore w:val="0"/>
        <w:spacing w:line="520" w:lineRule="exact"/>
        <w:widowControl w:val="off"/>
        <w:tabs>
          <w:tab w:val="left" w:pos="1250" w:leader="none"/>
        </w:tabs>
        <w:rPr>
          <w:rFonts w:hint="eastAsia" w:ascii="宋体" w:hAnsi="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（二）服务内容</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本次项目通过规划背景与形势研判，全力构建耕地保护新格局，创新耕地保护价值空间与引导，严守耕地和永久基本农田保护红线，引导耕地布局、国土绿化空间优化，谋划耕地占补平衡，稳步推进提质工程，着力提升耕地质量，持续改善农田生态，推动实施重大工程，完善规划机制，强化实施保障。本次主要内容包括以下几个方面：</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1、前期工作</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包括制定工作方案、人员培训及基础资料收集及内业整理。</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2、现状分析</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依据最新变更调查成果、“三区三线”、高标准农田、耕地资源质量分类成果等资料，全面分析耕地保护破碎程度、潜在耕地流出风险以及当前耕地保护措施等内容，评价耕地保护和占补平衡的执行情况，总结耕地保护的成效与存在问题。</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3、潜力分析及目标任务制定</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通过潜力摸底、恢复资源评价，结合城镇开发边界、重点建设项目等内容，充分分析拟占用耕地、补充耕地以及高标准农田建设潜力，研究提出规划期间耕地保护的总体目标、耕地布局、国土绿化空间优化措施，推进耕地占补平衡重点任务，并结合实际分解相关指标。</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4、优化耕地空间布局</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与相关部门对接，统筹自然资源禀赋以及各类补充耕地潜力，构建耕地保护格局，分类提出耕地、园地、林地以及水产养殖等不同种植片区以及正负面清单，明确补充耕地以及耕地集中连片区域。</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5、谋划重大工程项目</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与相关部门对接，分析实施潜力，确定重点项目。引入高标准农田建设和土地整治联合实施机制，谋划一批重大项目推进集中连片耕地片区内的零散非耕地的退出形成补充耕地指标，推进多田套合，进一步促进小田变大田、农田布局更集中、空间更集聚。</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6、方案编制</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按照国家、省相关政策要求，开展方案编制工作。</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7、上报审查</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方案报同级政府批准实施，并在规划批准后报省厅备案纳入国土空间规划“一张图”。</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另外，在编制过程中需要深入研究以下五个方面内容，形成专项规划成果，包含5个行动方案：耕地现状情况及后备资源调查专项行动方案、耕地整治恢复专项行动方案、推进高标准农田建设试点专项行动方案、耕地布局国土绿化空间优化集聚提升专项行动方案、耕地保护激励监管专项行动方案。</w:t>
      </w:r>
      <w:r/>
    </w:p>
    <w:p>
      <w:pPr>
        <w:pStyle w:val="1109"/>
        <w:numPr>
          <w:ilvl w:val="0"/>
          <w:numId w:val="0"/>
        </w:numPr>
        <w:ind w:left="0" w:firstLine="482"/>
        <w:keepLines w:val="0"/>
        <w:keepNext w:val="0"/>
        <w:pageBreakBefore w:val="0"/>
        <w:spacing w:line="520" w:lineRule="exact"/>
        <w:widowControl w:val="off"/>
        <w:tabs>
          <w:tab w:val="left" w:pos="1250" w:leader="none"/>
        </w:tabs>
        <w:rPr>
          <w:rFonts w:hint="eastAsia" w:ascii="宋体" w:hAnsi="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（三）成果要求</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规划成果包括文本、图纸、附表、数据库及相关附件。</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（1）《盐城市耕地保护和利用专项规划》文本：与规划内容保持一致，以条款格式表述规划结论，包括文本条文、必要的表格。表述应准确规范、简明扼要，明确表述规划强制性内容。</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（2）图纸：</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土地利用现状图、现状耕地分布图、永久基本农田分布图、高标准农田分布图、耕地资源潜力分布局、总体格局图、补充耕地规划图、国土绿化空间布局图、土地综合整治重点区域图等。</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（3）附表：</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指标分解表、耕地重点保护区域表、耕地保护重大工程安排表、农业生产空间布局调整潜力表等。</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（4）数据库：</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图形和属性数据均采用Personal Geodatabase数据库文件格式，具体数据库标准以江苏省自然资源厅下发的技术标准为准。</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（5）相关附件：</w:t>
      </w:r>
      <w:r/>
    </w:p>
    <w:p>
      <w:pPr>
        <w:pStyle w:val="1109"/>
        <w:numPr>
          <w:ilvl w:val="0"/>
          <w:numId w:val="0"/>
        </w:numPr>
        <w:ind w:left="0" w:firstLine="480"/>
        <w:keepLines w:val="0"/>
        <w:keepNext w:val="0"/>
        <w:pageBreakBefore w:val="0"/>
        <w:spacing w:line="520" w:lineRule="exact"/>
        <w:widowControl w:val="off"/>
        <w:tabs>
          <w:tab w:val="left" w:pos="1250" w:leader="none"/>
        </w:tabs>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方案编制过程中的调研材料、征求意见以及江苏省自然资源厅统一要求的相关附件材料。</w:t>
      </w:r>
      <w:r/>
    </w:p>
    <w:p>
      <w:pPr>
        <w:pStyle w:val="1109"/>
        <w:numPr>
          <w:ilvl w:val="0"/>
          <w:numId w:val="0"/>
        </w:numPr>
        <w:ind w:left="0" w:firstLine="482"/>
        <w:keepLines w:val="0"/>
        <w:keepNext w:val="0"/>
        <w:pageBreakBefore w:val="0"/>
        <w:spacing w:line="520" w:lineRule="exact"/>
        <w:widowControl w:val="off"/>
        <w:tabs>
          <w:tab w:val="left" w:pos="1250" w:leader="none"/>
        </w:tabs>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（四）</w:t>
      </w:r>
      <w:r>
        <w:rPr>
          <w:rFonts w:hint="eastAsia" w:ascii="宋体" w:hAnsi="宋体" w:eastAsia="宋体" w:cs="宋体"/>
          <w:b/>
          <w:bCs w:val="0"/>
          <w:color w:val="auto"/>
          <w:sz w:val="24"/>
          <w:szCs w:val="24"/>
          <w:highlight w:val="none"/>
          <w:lang w:val="en-US" w:eastAsia="zh-CN" w:bidi="ar-SA"/>
        </w:rPr>
        <w:t xml:space="preserve">项目组人员配备要求</w:t>
      </w:r>
      <w:r/>
    </w:p>
    <w:p>
      <w:pPr>
        <w:numPr>
          <w:ilvl w:val="0"/>
          <w:numId w:val="0"/>
        </w:num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本项目需配备项目负责人1名，具体负责项目的整体规划与策略，对项目的质量和进度目标进行总体把控；</w:t>
      </w:r>
      <w:r>
        <w:rPr>
          <w:rFonts w:hint="eastAsia" w:ascii="宋体" w:hAnsi="宋体" w:cs="宋体"/>
          <w:color w:val="auto"/>
          <w:sz w:val="24"/>
          <w:szCs w:val="24"/>
          <w:highlight w:val="none"/>
          <w:lang w:val="en-US" w:eastAsia="zh-CN" w:bidi="ar-SA"/>
        </w:rPr>
        <w:t xml:space="preserve">技术负责人1名，协助项目负责人进行项目的技术、质量管理等工作</w:t>
      </w:r>
      <w:r>
        <w:rPr>
          <w:rFonts w:hint="eastAsia" w:ascii="宋体" w:hAnsi="宋体" w:eastAsia="宋体" w:cs="宋体"/>
          <w:color w:val="auto"/>
          <w:sz w:val="24"/>
          <w:szCs w:val="24"/>
          <w:highlight w:val="none"/>
          <w:lang w:val="en-US" w:eastAsia="zh-CN" w:bidi="ar-SA"/>
        </w:rPr>
        <w:t xml:space="preserve">；项目组人员（不含项目负责人）不少于1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名，需配合项目负责人</w:t>
      </w:r>
      <w:r>
        <w:rPr>
          <w:rFonts w:hint="eastAsia" w:ascii="宋体" w:hAnsi="宋体" w:cs="宋体"/>
          <w:color w:val="auto"/>
          <w:sz w:val="24"/>
          <w:szCs w:val="24"/>
          <w:highlight w:val="none"/>
          <w:lang w:val="en-US" w:eastAsia="zh-CN" w:bidi="ar-SA"/>
        </w:rPr>
        <w:t xml:space="preserve">、技术负责人</w:t>
      </w:r>
      <w:r>
        <w:rPr>
          <w:rFonts w:hint="eastAsia" w:ascii="宋体" w:hAnsi="宋体" w:eastAsia="宋体" w:cs="宋体"/>
          <w:color w:val="auto"/>
          <w:sz w:val="24"/>
          <w:szCs w:val="24"/>
          <w:highlight w:val="none"/>
          <w:lang w:val="en-US" w:eastAsia="zh-CN" w:bidi="ar-SA"/>
        </w:rPr>
        <w:t xml:space="preserve">完成项目各项工作，最终配合招标人完成项目的全部工作任务。</w:t>
      </w:r>
      <w:r/>
    </w:p>
    <w:p>
      <w:pPr>
        <w:numPr>
          <w:ilvl w:val="0"/>
          <w:numId w:val="0"/>
        </w:num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拟派人员必须为投标单位正式职工，中标后签订合同前需提供至投标截止之日当月向前6个月内任意至少1个月在本单位缴纳养老保险的证明材料报采购人核查，核查通过，中标人进场服务，如核查不通过，中标人须在采购人指定时间内完成整改，否则采购人有权解除合同并报监管部门按有关规定处理，同时保留追究中标人违约责任的权利。</w:t>
      </w:r>
      <w:r/>
    </w:p>
    <w:p>
      <w:pPr>
        <w:pStyle w:val="1109"/>
        <w:numPr>
          <w:ilvl w:val="0"/>
          <w:numId w:val="0"/>
        </w:numPr>
        <w:ind w:left="0" w:right="0" w:firstLine="482"/>
        <w:jc w:val="both"/>
        <w:keepLines w:val="0"/>
        <w:keepNext w:val="0"/>
        <w:pageBreakBefore w:val="0"/>
        <w:spacing w:before="0" w:after="0" w:line="520" w:lineRule="exact"/>
        <w:widowControl w:val="off"/>
        <w:tabs>
          <w:tab w:val="left" w:pos="1250" w:leader="none"/>
        </w:tabs>
        <w:rPr>
          <w:rFonts w:hint="eastAsia" w:ascii="宋体" w:hAnsi="宋体" w:cs="宋体"/>
          <w:b/>
          <w:bCs w:val="0"/>
          <w:color w:val="auto"/>
          <w:sz w:val="24"/>
          <w:szCs w:val="24"/>
          <w:highlight w:val="none"/>
          <w:lang w:eastAsia="zh-CN"/>
        </w:rPr>
        <w:pBdr>
          <w:top w:val="none" w:color="000000" w:sz="0" w:space="0"/>
          <w:left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五</w:t>
      </w:r>
      <w:r>
        <w:rPr>
          <w:rFonts w:hint="eastAsia" w:ascii="宋体" w:hAnsi="宋体" w:cs="宋体"/>
          <w:b/>
          <w:bCs w:val="0"/>
          <w:color w:val="auto"/>
          <w:sz w:val="24"/>
          <w:szCs w:val="24"/>
          <w:highlight w:val="none"/>
          <w:lang w:eastAsia="zh-CN"/>
        </w:rPr>
        <w:t xml:space="preserve">）项目实施方案</w:t>
      </w:r>
      <w:r/>
    </w:p>
    <w:p>
      <w:pPr>
        <w:numPr>
          <w:ilvl w:val="0"/>
          <w:numId w:val="0"/>
        </w:numPr>
        <w:ind w:firstLine="480"/>
        <w:keepLines w:val="0"/>
        <w:keepNext w:val="0"/>
        <w:pageBreakBefore w:val="0"/>
        <w:spacing w:line="470" w:lineRule="exact"/>
        <w:rPr>
          <w:rStyle w:val="1118"/>
          <w:rFonts w:hint="eastAsia" w:ascii="宋体" w:hAnsi="宋体" w:eastAsia="宋体" w:cs="宋体"/>
          <w:color w:val="000000"/>
          <w:sz w:val="24"/>
          <w:szCs w:val="24"/>
          <w:highlight w:val="none"/>
          <w:lang w:val="en-US" w:eastAsia="zh-CN"/>
        </w:rPr>
      </w:pPr>
      <w:r>
        <w:rPr>
          <w:rStyle w:val="1118"/>
          <w:rFonts w:hint="eastAsia" w:ascii="宋体" w:hAnsi="宋体" w:cs="宋体"/>
          <w:color w:val="000000"/>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lang w:val="en-US" w:eastAsia="zh-CN"/>
        </w:rPr>
        <w:t xml:space="preserve">技术路线</w:t>
      </w:r>
      <w:r>
        <w:rPr>
          <w:rStyle w:val="1118"/>
          <w:rFonts w:hint="eastAsia" w:ascii="宋体" w:hAnsi="宋体" w:eastAsia="宋体" w:cs="宋体"/>
          <w:color w:val="000000"/>
          <w:sz w:val="24"/>
          <w:szCs w:val="24"/>
          <w:highlight w:val="none"/>
          <w:lang w:val="en-US" w:eastAsia="zh-CN"/>
        </w:rPr>
        <w:t xml:space="preserve">：根据</w:t>
      </w:r>
      <w:r>
        <w:rPr>
          <w:rStyle w:val="1118"/>
          <w:rFonts w:hint="eastAsia" w:ascii="宋体" w:hAnsi="宋体" w:cs="宋体"/>
          <w:color w:val="000000"/>
          <w:sz w:val="24"/>
          <w:szCs w:val="24"/>
          <w:highlight w:val="none"/>
          <w:lang w:val="en-US" w:eastAsia="zh-CN"/>
        </w:rPr>
        <w:t xml:space="preserve">对</w:t>
      </w:r>
      <w:r>
        <w:rPr>
          <w:rStyle w:val="1118"/>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lang w:val="en-US" w:eastAsia="zh-CN"/>
        </w:rPr>
        <w:t xml:space="preserve">的</w:t>
      </w:r>
      <w:r>
        <w:rPr>
          <w:rFonts w:hint="eastAsia" w:asciiTheme="minorEastAsia" w:hAnsiTheme="minorEastAsia" w:eastAsiaTheme="minorEastAsia" w:cstheme="minorEastAsia"/>
          <w:b w:val="0"/>
          <w:bCs/>
          <w:color w:val="auto"/>
          <w:sz w:val="24"/>
          <w:szCs w:val="24"/>
          <w:highlight w:val="none"/>
          <w:lang w:val="zh-CN"/>
        </w:rPr>
        <w:t xml:space="preserve">方案</w:t>
      </w:r>
      <w:r>
        <w:rPr>
          <w:rFonts w:hint="eastAsia" w:eastAsia="宋体" w:asciiTheme="minorEastAsia" w:hAnsiTheme="minorEastAsia" w:cstheme="minorEastAsia"/>
          <w:b w:val="0"/>
          <w:bCs/>
          <w:color w:val="auto"/>
          <w:sz w:val="24"/>
          <w:szCs w:val="24"/>
          <w:highlight w:val="none"/>
          <w:lang w:val="en-US" w:eastAsia="zh-CN"/>
        </w:rPr>
        <w:t xml:space="preserve">内容</w:t>
      </w:r>
      <w:r>
        <w:rPr>
          <w:rFonts w:hint="eastAsia" w:asciiTheme="minorEastAsia" w:hAnsiTheme="minorEastAsia" w:eastAsiaTheme="minorEastAsia" w:cstheme="minorEastAsia"/>
          <w:b w:val="0"/>
          <w:bCs/>
          <w:color w:val="auto"/>
          <w:sz w:val="24"/>
          <w:szCs w:val="24"/>
          <w:highlight w:val="none"/>
          <w:lang w:val="zh-CN"/>
        </w:rPr>
        <w:t xml:space="preserve">编制完整、科学、可行</w:t>
      </w:r>
      <w:r>
        <w:rPr>
          <w:rFonts w:hint="eastAsia" w:asciiTheme="minorEastAsia" w:hAnsiTheme="minorEastAsia" w:eastAsiaTheme="minorEastAsia" w:cstheme="minorEastAsia"/>
          <w:b w:val="0"/>
          <w:bCs/>
          <w:color w:val="auto"/>
          <w:sz w:val="24"/>
          <w:szCs w:val="24"/>
          <w:highlight w:val="none"/>
          <w:lang w:val="en-US" w:eastAsia="zh-CN"/>
        </w:rPr>
        <w:t xml:space="preserve">性，针对</w:t>
      </w:r>
      <w:r>
        <w:rPr>
          <w:rFonts w:hint="eastAsia" w:asciiTheme="minorEastAsia" w:hAnsiTheme="minorEastAsia" w:eastAsiaTheme="minorEastAsia" w:cstheme="minorEastAsia"/>
          <w:b w:val="0"/>
          <w:bCs/>
          <w:color w:val="auto"/>
          <w:sz w:val="24"/>
          <w:szCs w:val="24"/>
          <w:highlight w:val="none"/>
          <w:lang w:val="zh-CN"/>
        </w:rPr>
        <w:t xml:space="preserve">本项目</w:t>
      </w:r>
      <w:r>
        <w:rPr>
          <w:rFonts w:hint="eastAsia" w:asciiTheme="minorEastAsia" w:hAnsiTheme="minorEastAsia" w:eastAsiaTheme="minorEastAsia" w:cstheme="minorEastAsia"/>
          <w:b w:val="0"/>
          <w:bCs/>
          <w:color w:val="auto"/>
          <w:sz w:val="24"/>
          <w:szCs w:val="24"/>
          <w:highlight w:val="none"/>
          <w:lang w:val="en-US" w:eastAsia="zh-CN"/>
        </w:rPr>
        <w:t xml:space="preserve">工作思路和技术路线</w:t>
      </w:r>
      <w:r>
        <w:rPr>
          <w:rFonts w:hint="eastAsia" w:asciiTheme="minorEastAsia" w:hAnsiTheme="minorEastAsia" w:eastAsiaTheme="minorEastAsia" w:cstheme="minorEastAsia"/>
          <w:b w:val="0"/>
          <w:bCs/>
          <w:color w:val="auto"/>
          <w:sz w:val="24"/>
          <w:szCs w:val="24"/>
          <w:highlight w:val="none"/>
          <w:lang w:val="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至少包含</w:t>
      </w:r>
      <w:r>
        <w:rPr>
          <w:rFonts w:hint="eastAsia" w:asciiTheme="minorEastAsia" w:hAnsiTheme="minorEastAsia" w:eastAsiaTheme="minorEastAsia" w:cstheme="minorEastAsia"/>
          <w:b w:val="0"/>
          <w:bCs/>
          <w:color w:val="auto"/>
          <w:sz w:val="24"/>
          <w:szCs w:val="24"/>
          <w:highlight w:val="none"/>
          <w:lang w:val="zh-CN"/>
        </w:rPr>
        <w:t xml:space="preserve">对</w:t>
      </w:r>
      <w:r>
        <w:rPr>
          <w:rFonts w:hint="eastAsia" w:asciiTheme="minorEastAsia" w:hAnsiTheme="minorEastAsia" w:eastAsiaTheme="minorEastAsia" w:cstheme="minorEastAsia"/>
          <w:b w:val="0"/>
          <w:bCs/>
          <w:color w:val="auto"/>
          <w:sz w:val="24"/>
          <w:szCs w:val="24"/>
          <w:highlight w:val="none"/>
          <w:lang w:val="en-US" w:eastAsia="zh-CN"/>
        </w:rPr>
        <w:t xml:space="preserve">本次项目的</w:t>
      </w:r>
      <w:r>
        <w:rPr>
          <w:rFonts w:hint="eastAsia" w:asciiTheme="minorEastAsia" w:hAnsiTheme="minorEastAsia" w:eastAsiaTheme="minorEastAsia" w:cstheme="minorEastAsia"/>
          <w:b w:val="0"/>
          <w:bCs/>
          <w:color w:val="auto"/>
          <w:sz w:val="24"/>
          <w:szCs w:val="24"/>
          <w:highlight w:val="none"/>
          <w:lang w:val="zh-CN"/>
        </w:rPr>
        <w:t xml:space="preserve">工作技术路线等方面</w:t>
      </w:r>
      <w:r>
        <w:rPr>
          <w:rFonts w:hint="eastAsia" w:asciiTheme="minorEastAsia" w:hAnsiTheme="minorEastAsia" w:eastAsiaTheme="minorEastAsia" w:cstheme="minorEastAsia"/>
          <w:b w:val="0"/>
          <w:bCs/>
          <w:color w:val="auto"/>
          <w:sz w:val="24"/>
          <w:szCs w:val="24"/>
          <w:highlight w:val="none"/>
          <w:lang w:val="en-US" w:eastAsia="zh-CN"/>
        </w:rPr>
        <w:t xml:space="preserve">进行</w:t>
      </w:r>
      <w:r>
        <w:rPr>
          <w:rFonts w:hint="eastAsia" w:asciiTheme="minorEastAsia" w:hAnsiTheme="minorEastAsia" w:eastAsiaTheme="minorEastAsia" w:cstheme="minorEastAsia"/>
          <w:b w:val="0"/>
          <w:bCs/>
          <w:color w:val="auto"/>
          <w:sz w:val="24"/>
          <w:szCs w:val="24"/>
          <w:highlight w:val="none"/>
        </w:rPr>
        <w:t xml:space="preserve">评分</w:t>
      </w:r>
      <w:r>
        <w:rPr>
          <w:rFonts w:hint="eastAsia" w:eastAsia="宋体" w:asciiTheme="minorEastAsia" w:hAnsiTheme="minorEastAsia" w:cstheme="minorEastAsia"/>
          <w:b w:val="0"/>
          <w:bCs/>
          <w:color w:val="auto"/>
          <w:sz w:val="24"/>
          <w:szCs w:val="24"/>
          <w:highlight w:val="none"/>
          <w:lang w:eastAsia="zh-CN"/>
        </w:rPr>
        <w:t xml:space="preserve">。</w:t>
      </w:r>
      <w:r/>
    </w:p>
    <w:p>
      <w:pPr>
        <w:ind w:firstLine="480"/>
        <w:keepLines w:val="0"/>
        <w:keepNext w:val="0"/>
        <w:pageBreakBefore w:val="0"/>
        <w:spacing w:line="470" w:lineRule="exact"/>
        <w:widowControl w:val="off"/>
        <w:rPr>
          <w:rStyle w:val="1118"/>
          <w:rFonts w:hint="eastAsia" w:ascii="宋体" w:hAnsi="宋体" w:eastAsia="宋体" w:cs="宋体"/>
          <w:color w:val="000000"/>
          <w:sz w:val="24"/>
          <w:szCs w:val="24"/>
          <w:highlight w:val="none"/>
          <w:lang w:val="en-US" w:eastAsia="zh-CN"/>
        </w:rPr>
      </w:pPr>
      <w:r>
        <w:rPr>
          <w:rStyle w:val="1118"/>
          <w:rFonts w:hint="eastAsia" w:ascii="宋体" w:hAnsi="宋体" w:eastAsia="宋体" w:cs="宋体"/>
          <w:color w:val="000000"/>
          <w:sz w:val="24"/>
          <w:szCs w:val="24"/>
          <w:highlight w:val="none"/>
          <w:lang w:val="en-US" w:eastAsia="zh-CN"/>
        </w:rPr>
        <w:t xml:space="preserve">为深入贯彻党中央、国务院和省委、省政府关于严格落实耕地保护和粮食安全的重要决策部署，坚守江苏“责任田”、端牢“粮食碗”，统筹高质量发展和高水平安全，为支持乡村振兴提供空间支撑。根据江苏省自然资源厅《2024年全省耕地保护监督工作要点》和《江苏省自然资源厅关于开展耕地保护和利用专项规划编制工作的通知》要求，落实藏粮于地、藏粮于技战略，坚持耕地数量、质量、生态“三位一体”保护，重视耕地空间布局优化，建立“大农业观”、“大食物观”需求的耕地用途管制制度，推动耕地可持续集约利用，开展编制耕地保护和利用专项规划。</w:t>
      </w:r>
      <w:r/>
    </w:p>
    <w:p>
      <w:pPr>
        <w:numPr>
          <w:ilvl w:val="0"/>
          <w:numId w:val="0"/>
        </w:numPr>
        <w:ind w:firstLine="480"/>
        <w:keepLines w:val="0"/>
        <w:keepNext w:val="0"/>
        <w:pageBreakBefore w:val="0"/>
        <w:spacing w:line="470" w:lineRule="exact"/>
        <w:rPr>
          <w:rStyle w:val="1118"/>
          <w:rFonts w:hint="eastAsia" w:ascii="宋体" w:hAnsi="宋体" w:eastAsia="宋体" w:cs="宋体"/>
          <w:color w:val="000000"/>
          <w:sz w:val="24"/>
          <w:szCs w:val="24"/>
          <w:highlight w:val="none"/>
          <w:lang w:val="en-US" w:eastAsia="zh-CN"/>
        </w:rPr>
      </w:pPr>
      <w:r>
        <w:rPr>
          <w:rStyle w:val="1118"/>
          <w:rFonts w:hint="eastAsia" w:ascii="宋体" w:hAnsi="宋体" w:cs="宋体"/>
          <w:color w:val="000000"/>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lang w:val="en-US" w:eastAsia="zh-CN"/>
        </w:rPr>
        <w:t xml:space="preserve">技术方案</w:t>
      </w:r>
      <w:r>
        <w:rPr>
          <w:rStyle w:val="1118"/>
          <w:rFonts w:hint="eastAsia" w:ascii="宋体" w:hAnsi="宋体" w:eastAsia="宋体" w:cs="宋体"/>
          <w:color w:val="000000"/>
          <w:sz w:val="24"/>
          <w:szCs w:val="24"/>
          <w:highlight w:val="none"/>
          <w:lang w:val="en-US" w:eastAsia="zh-CN"/>
        </w:rPr>
        <w:t xml:space="preserve">：根据</w:t>
      </w:r>
      <w:r>
        <w:rPr>
          <w:rStyle w:val="1118"/>
          <w:rFonts w:hint="eastAsia" w:ascii="宋体" w:hAnsi="宋体" w:cs="宋体"/>
          <w:color w:val="000000"/>
          <w:sz w:val="24"/>
          <w:szCs w:val="24"/>
          <w:highlight w:val="none"/>
          <w:lang w:val="en-US" w:eastAsia="zh-CN"/>
        </w:rPr>
        <w:t xml:space="preserve">对</w:t>
      </w:r>
      <w:r>
        <w:rPr>
          <w:rStyle w:val="1118"/>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lang w:val="en-US" w:eastAsia="zh-CN"/>
        </w:rPr>
        <w:t xml:space="preserve">的</w:t>
      </w:r>
      <w:r>
        <w:rPr>
          <w:rFonts w:hint="eastAsia" w:asciiTheme="minorEastAsia" w:hAnsiTheme="minorEastAsia" w:eastAsiaTheme="minorEastAsia" w:cstheme="minorEastAsia"/>
          <w:b w:val="0"/>
          <w:bCs/>
          <w:color w:val="auto"/>
          <w:sz w:val="24"/>
          <w:szCs w:val="24"/>
          <w:highlight w:val="none"/>
          <w:lang w:val="zh-CN"/>
        </w:rPr>
        <w:t xml:space="preserve">方案</w:t>
      </w:r>
      <w:r>
        <w:rPr>
          <w:rFonts w:hint="eastAsia" w:eastAsia="宋体" w:asciiTheme="minorEastAsia" w:hAnsiTheme="minorEastAsia" w:cstheme="minorEastAsia"/>
          <w:b w:val="0"/>
          <w:bCs/>
          <w:color w:val="auto"/>
          <w:sz w:val="24"/>
          <w:szCs w:val="24"/>
          <w:highlight w:val="none"/>
          <w:lang w:val="en-US" w:eastAsia="zh-CN"/>
        </w:rPr>
        <w:t xml:space="preserve">内容</w:t>
      </w:r>
      <w:r>
        <w:rPr>
          <w:rFonts w:hint="eastAsia" w:asciiTheme="minorEastAsia" w:hAnsiTheme="minorEastAsia" w:eastAsiaTheme="minorEastAsia" w:cstheme="minorEastAsia"/>
          <w:b w:val="0"/>
          <w:bCs/>
          <w:color w:val="auto"/>
          <w:sz w:val="24"/>
          <w:szCs w:val="24"/>
          <w:highlight w:val="none"/>
          <w:lang w:val="zh-CN"/>
        </w:rPr>
        <w:t xml:space="preserve">编制完整、科学、可行</w:t>
      </w:r>
      <w:r>
        <w:rPr>
          <w:rFonts w:hint="eastAsia" w:asciiTheme="minorEastAsia" w:hAnsiTheme="minorEastAsia" w:eastAsiaTheme="minorEastAsia" w:cstheme="minorEastAsia"/>
          <w:b w:val="0"/>
          <w:bCs/>
          <w:color w:val="auto"/>
          <w:sz w:val="24"/>
          <w:szCs w:val="24"/>
          <w:highlight w:val="none"/>
          <w:lang w:val="en-US" w:eastAsia="zh-CN"/>
        </w:rPr>
        <w:t xml:space="preserve">性，针对</w:t>
      </w:r>
      <w:r>
        <w:rPr>
          <w:rFonts w:hint="eastAsia" w:asciiTheme="minorEastAsia" w:hAnsiTheme="minorEastAsia" w:eastAsiaTheme="minorEastAsia" w:cstheme="minorEastAsia"/>
          <w:b w:val="0"/>
          <w:bCs/>
          <w:color w:val="auto"/>
          <w:sz w:val="24"/>
          <w:szCs w:val="24"/>
          <w:highlight w:val="none"/>
          <w:lang w:val="zh-CN"/>
        </w:rPr>
        <w:t xml:space="preserve">本项目设计科学的技术程序和方法，</w:t>
      </w:r>
      <w:r>
        <w:rPr>
          <w:rFonts w:hint="eastAsia" w:asciiTheme="minorEastAsia" w:hAnsiTheme="minorEastAsia" w:eastAsiaTheme="minorEastAsia" w:cstheme="minorEastAsia"/>
          <w:b w:val="0"/>
          <w:bCs/>
          <w:color w:val="auto"/>
          <w:sz w:val="24"/>
          <w:szCs w:val="24"/>
          <w:highlight w:val="none"/>
          <w:lang w:val="en-US" w:eastAsia="zh-CN"/>
        </w:rPr>
        <w:t xml:space="preserve">至少包含</w:t>
      </w:r>
      <w:r>
        <w:rPr>
          <w:rFonts w:hint="eastAsia" w:asciiTheme="minorEastAsia" w:hAnsiTheme="minorEastAsia" w:eastAsiaTheme="minorEastAsia" w:cstheme="minorEastAsia"/>
          <w:b w:val="0"/>
          <w:bCs/>
          <w:color w:val="auto"/>
          <w:sz w:val="24"/>
          <w:szCs w:val="24"/>
          <w:highlight w:val="none"/>
          <w:lang w:val="zh-CN"/>
        </w:rPr>
        <w:t xml:space="preserve">对</w:t>
      </w:r>
      <w:r>
        <w:rPr>
          <w:rFonts w:hint="eastAsia" w:asciiTheme="minorEastAsia" w:hAnsiTheme="minorEastAsia" w:eastAsiaTheme="minorEastAsia" w:cstheme="minorEastAsia"/>
          <w:b w:val="0"/>
          <w:bCs/>
          <w:color w:val="auto"/>
          <w:sz w:val="24"/>
          <w:szCs w:val="24"/>
          <w:highlight w:val="none"/>
          <w:lang w:val="en-US" w:eastAsia="zh-CN"/>
        </w:rPr>
        <w:t xml:space="preserve">本次项目的</w:t>
      </w:r>
      <w:r>
        <w:rPr>
          <w:rStyle w:val="1118"/>
          <w:rFonts w:hint="eastAsia" w:ascii="宋体" w:hAnsi="宋体" w:eastAsia="宋体" w:cs="宋体"/>
          <w:color w:val="000000"/>
          <w:sz w:val="24"/>
          <w:szCs w:val="24"/>
          <w:highlight w:val="none"/>
          <w:lang w:val="en-US" w:eastAsia="zh-CN"/>
        </w:rPr>
        <w:t xml:space="preserve">厘清耕地资源</w:t>
      </w:r>
      <w:r>
        <w:rPr>
          <w:rFonts w:hint="eastAsia" w:asciiTheme="minorEastAsia" w:hAnsiTheme="minorEastAsia" w:eastAsiaTheme="minorEastAsia" w:cstheme="minorEastAsia"/>
          <w:b w:val="0"/>
          <w:bCs/>
          <w:color w:val="auto"/>
          <w:sz w:val="24"/>
          <w:szCs w:val="24"/>
          <w:highlight w:val="none"/>
          <w:lang w:val="en-US" w:eastAsia="zh-CN"/>
        </w:rPr>
        <w:t xml:space="preserve">、</w:t>
      </w:r>
      <w:r>
        <w:rPr>
          <w:rStyle w:val="1118"/>
          <w:rFonts w:hint="eastAsia" w:ascii="宋体" w:hAnsi="宋体" w:eastAsia="宋体" w:cs="宋体"/>
          <w:color w:val="000000"/>
          <w:sz w:val="24"/>
          <w:szCs w:val="24"/>
          <w:highlight w:val="none"/>
          <w:lang w:val="en-US" w:eastAsia="zh-CN"/>
        </w:rPr>
        <w:t xml:space="preserve">摸排耕地恢复潜力</w:t>
      </w:r>
      <w:r>
        <w:rPr>
          <w:rFonts w:hint="eastAsia" w:asciiTheme="minorEastAsia" w:hAnsiTheme="minorEastAsia" w:eastAsiaTheme="minorEastAsia" w:cstheme="minorEastAsia"/>
          <w:b w:val="0"/>
          <w:bCs/>
          <w:color w:val="auto"/>
          <w:sz w:val="24"/>
          <w:szCs w:val="24"/>
          <w:highlight w:val="none"/>
          <w:lang w:val="en-US" w:eastAsia="zh-CN"/>
        </w:rPr>
        <w:t xml:space="preserve">、</w:t>
      </w:r>
      <w:r>
        <w:rPr>
          <w:rStyle w:val="1118"/>
          <w:rFonts w:hint="eastAsia" w:ascii="宋体" w:hAnsi="宋体" w:eastAsia="宋体" w:cs="宋体"/>
          <w:color w:val="000000"/>
          <w:sz w:val="24"/>
          <w:szCs w:val="24"/>
          <w:highlight w:val="none"/>
          <w:lang w:val="en-US" w:eastAsia="zh-CN"/>
        </w:rPr>
        <w:t xml:space="preserve">确定主要规划目标</w:t>
      </w:r>
      <w:r>
        <w:rPr>
          <w:rFonts w:hint="eastAsia" w:asciiTheme="minorEastAsia" w:hAnsiTheme="minorEastAsia" w:eastAsiaTheme="minorEastAsia" w:cstheme="minorEastAsia"/>
          <w:b w:val="0"/>
          <w:bCs/>
          <w:color w:val="auto"/>
          <w:sz w:val="24"/>
          <w:szCs w:val="24"/>
          <w:highlight w:val="none"/>
          <w:lang w:val="en-US" w:eastAsia="zh-CN"/>
        </w:rPr>
        <w:t xml:space="preserve">、</w:t>
      </w:r>
      <w:r>
        <w:rPr>
          <w:rStyle w:val="1118"/>
          <w:rFonts w:hint="eastAsia" w:ascii="宋体" w:hAnsi="宋体" w:eastAsia="宋体" w:cs="宋体"/>
          <w:color w:val="000000"/>
          <w:sz w:val="24"/>
          <w:szCs w:val="24"/>
          <w:highlight w:val="none"/>
          <w:lang w:val="en-US" w:eastAsia="zh-CN"/>
        </w:rPr>
        <w:t xml:space="preserve">优化耕地空间布局</w:t>
      </w:r>
      <w:r>
        <w:rPr>
          <w:rFonts w:hint="eastAsia" w:asciiTheme="minorEastAsia" w:hAnsiTheme="minorEastAsia" w:eastAsiaTheme="minorEastAsia" w:cstheme="minorEastAsia"/>
          <w:b w:val="0"/>
          <w:bCs/>
          <w:color w:val="auto"/>
          <w:sz w:val="24"/>
          <w:szCs w:val="24"/>
          <w:highlight w:val="none"/>
          <w:lang w:val="en-US" w:eastAsia="zh-CN"/>
        </w:rPr>
        <w:t xml:space="preserve">、</w:t>
      </w:r>
      <w:r>
        <w:rPr>
          <w:rStyle w:val="1118"/>
          <w:rFonts w:hint="eastAsia" w:ascii="宋体" w:hAnsi="宋体" w:eastAsia="宋体" w:cs="宋体"/>
          <w:color w:val="000000"/>
          <w:sz w:val="24"/>
          <w:szCs w:val="24"/>
          <w:highlight w:val="none"/>
          <w:lang w:val="en-US" w:eastAsia="zh-CN"/>
        </w:rPr>
        <w:t xml:space="preserve">积极谋划重大工程项目</w:t>
      </w:r>
      <w:r>
        <w:rPr>
          <w:rFonts w:hint="eastAsia" w:asciiTheme="minorEastAsia" w:hAnsiTheme="minorEastAsia" w:eastAsiaTheme="minorEastAsia" w:cstheme="minorEastAsia"/>
          <w:b w:val="0"/>
          <w:bCs/>
          <w:color w:val="auto"/>
          <w:sz w:val="24"/>
          <w:szCs w:val="24"/>
          <w:highlight w:val="none"/>
          <w:lang w:val="zh-CN"/>
        </w:rPr>
        <w:t xml:space="preserve">、</w:t>
      </w:r>
      <w:r>
        <w:rPr>
          <w:rStyle w:val="1118"/>
          <w:rFonts w:hint="eastAsia" w:ascii="宋体" w:hAnsi="宋体" w:eastAsia="宋体" w:cs="宋体"/>
          <w:color w:val="000000"/>
          <w:sz w:val="24"/>
          <w:szCs w:val="24"/>
          <w:highlight w:val="none"/>
          <w:lang w:val="en-US" w:eastAsia="zh-CN"/>
        </w:rPr>
        <w:t xml:space="preserve">明确规划时序安排</w:t>
      </w:r>
      <w:r>
        <w:rPr>
          <w:rFonts w:hint="eastAsia" w:asciiTheme="minorEastAsia" w:hAnsiTheme="minorEastAsia" w:eastAsiaTheme="minorEastAsia" w:cstheme="minorEastAsia"/>
          <w:b w:val="0"/>
          <w:bCs/>
          <w:color w:val="auto"/>
          <w:sz w:val="24"/>
          <w:szCs w:val="24"/>
          <w:highlight w:val="none"/>
          <w:lang w:val="zh-CN"/>
        </w:rPr>
        <w:t xml:space="preserve">等方面</w:t>
      </w:r>
      <w:r>
        <w:rPr>
          <w:rFonts w:hint="eastAsia" w:asciiTheme="minorEastAsia" w:hAnsiTheme="minorEastAsia" w:eastAsiaTheme="minorEastAsia" w:cstheme="minorEastAsia"/>
          <w:b w:val="0"/>
          <w:bCs/>
          <w:color w:val="auto"/>
          <w:sz w:val="24"/>
          <w:szCs w:val="24"/>
          <w:highlight w:val="none"/>
          <w:lang w:val="en-US" w:eastAsia="zh-CN"/>
        </w:rPr>
        <w:t xml:space="preserve">进行</w:t>
      </w:r>
      <w:r>
        <w:rPr>
          <w:rFonts w:hint="eastAsia" w:asciiTheme="minorEastAsia" w:hAnsiTheme="minorEastAsia" w:eastAsiaTheme="minorEastAsia" w:cstheme="minorEastAsia"/>
          <w:b w:val="0"/>
          <w:bCs/>
          <w:color w:val="auto"/>
          <w:sz w:val="24"/>
          <w:szCs w:val="24"/>
          <w:highlight w:val="none"/>
        </w:rPr>
        <w:t xml:space="preserve">评分</w:t>
      </w:r>
      <w:r>
        <w:rPr>
          <w:rFonts w:hint="eastAsia" w:eastAsia="宋体" w:asciiTheme="minorEastAsia" w:hAnsiTheme="minorEastAsia" w:cstheme="minorEastAsia"/>
          <w:b w:val="0"/>
          <w:bCs/>
          <w:color w:val="auto"/>
          <w:sz w:val="24"/>
          <w:szCs w:val="24"/>
          <w:highlight w:val="none"/>
          <w:lang w:eastAsia="zh-CN"/>
        </w:rPr>
        <w:t xml:space="preserve">。</w:t>
      </w:r>
      <w:r/>
    </w:p>
    <w:p>
      <w:pPr>
        <w:ind w:firstLine="420"/>
        <w:keepLines w:val="0"/>
        <w:keepNext w:val="0"/>
        <w:pageBreakBefore w:val="0"/>
        <w:spacing w:line="470" w:lineRule="exact"/>
        <w:widowControl w:val="off"/>
        <w:rPr>
          <w:rStyle w:val="1118"/>
          <w:rFonts w:hint="eastAsia" w:ascii="宋体" w:hAnsi="宋体" w:eastAsia="宋体" w:cs="宋体"/>
          <w:color w:val="000000"/>
          <w:sz w:val="24"/>
          <w:szCs w:val="24"/>
          <w:highlight w:val="none"/>
          <w:lang w:val="en-US" w:eastAsia="zh-CN"/>
        </w:rPr>
      </w:pPr>
      <w:r>
        <w:rPr>
          <w:rStyle w:val="1118"/>
          <w:rFonts w:hint="eastAsia" w:ascii="宋体" w:hAnsi="宋体" w:eastAsia="宋体" w:cs="宋体"/>
          <w:color w:val="000000"/>
          <w:sz w:val="24"/>
          <w:szCs w:val="24"/>
          <w:highlight w:val="none"/>
          <w:lang w:val="en-US" w:eastAsia="zh-CN"/>
        </w:rPr>
        <w:t xml:space="preserve">（1）厘清耕地资源。依据国土“三调”数据，结合历年国土变更调查成果，分析耕地总量变化与流向情况，理清现状耕地、永久基本农田、永久基本农田储备区</w:t>
      </w:r>
      <w:r>
        <w:rPr>
          <w:rStyle w:val="1118"/>
          <w:rFonts w:hint="eastAsia" w:ascii="宋体" w:hAnsi="宋体" w:cs="宋体"/>
          <w:color w:val="000000"/>
          <w:sz w:val="24"/>
          <w:szCs w:val="24"/>
          <w:highlight w:val="none"/>
          <w:lang w:val="en-US" w:eastAsia="zh-CN"/>
        </w:rPr>
        <w:t xml:space="preserve">、</w:t>
      </w:r>
      <w:r>
        <w:rPr>
          <w:rStyle w:val="1118"/>
          <w:rFonts w:hint="eastAsia" w:ascii="宋体" w:hAnsi="宋体" w:eastAsia="宋体" w:cs="宋体"/>
          <w:color w:val="000000"/>
          <w:sz w:val="24"/>
          <w:szCs w:val="24"/>
          <w:highlight w:val="none"/>
          <w:lang w:val="en-US" w:eastAsia="zh-CN"/>
        </w:rPr>
        <w:t xml:space="preserve">长期稳定利用耕地、耕地保护目标等耕地资源基础。借助最新遥感影像、航片等数据，起底现状地类为耕地、但实际为非耕地特征的存量问题，为编制规划莫定基础。</w:t>
      </w:r>
      <w:r/>
    </w:p>
    <w:p>
      <w:pPr>
        <w:ind w:firstLine="420"/>
        <w:keepLines w:val="0"/>
        <w:keepNext w:val="0"/>
        <w:pageBreakBefore w:val="0"/>
        <w:spacing w:line="470" w:lineRule="exact"/>
        <w:widowControl w:val="off"/>
        <w:rPr>
          <w:rStyle w:val="1118"/>
          <w:rFonts w:hint="eastAsia" w:ascii="宋体" w:hAnsi="宋体" w:eastAsia="宋体" w:cs="宋体"/>
          <w:color w:val="000000"/>
          <w:sz w:val="24"/>
          <w:szCs w:val="24"/>
          <w:highlight w:val="none"/>
          <w:lang w:val="en-US" w:eastAsia="zh-CN"/>
        </w:rPr>
      </w:pPr>
      <w:r>
        <w:rPr>
          <w:rStyle w:val="1118"/>
          <w:rFonts w:hint="eastAsia" w:ascii="宋体" w:hAnsi="宋体" w:eastAsia="宋体" w:cs="宋体"/>
          <w:color w:val="000000"/>
          <w:sz w:val="24"/>
          <w:szCs w:val="24"/>
          <w:highlight w:val="none"/>
          <w:lang w:val="en-US" w:eastAsia="zh-CN"/>
        </w:rPr>
        <w:t xml:space="preserve">（2）摸排耕地恢复潜力。以最新年度国土变更调查成果为基础，按照“恢复优质耕地为主、新开垦耕地为辅”的原则，采取外业实地</w:t>
      </w:r>
      <w:r>
        <w:rPr>
          <w:rStyle w:val="1118"/>
          <w:rFonts w:hint="eastAsia" w:ascii="宋体" w:hAnsi="宋体" w:cs="宋体"/>
          <w:color w:val="000000"/>
          <w:sz w:val="24"/>
          <w:szCs w:val="24"/>
          <w:highlight w:val="none"/>
          <w:lang w:val="en-US" w:eastAsia="zh-CN"/>
        </w:rPr>
        <w:t xml:space="preserve">调查</w:t>
      </w:r>
      <w:r>
        <w:rPr>
          <w:rStyle w:val="1118"/>
          <w:rFonts w:hint="eastAsia" w:ascii="宋体" w:hAnsi="宋体" w:eastAsia="宋体" w:cs="宋体"/>
          <w:color w:val="000000"/>
          <w:sz w:val="24"/>
          <w:szCs w:val="24"/>
          <w:highlight w:val="none"/>
          <w:lang w:val="en-US" w:eastAsia="zh-CN"/>
        </w:rPr>
        <w:t xml:space="preserve">与内业</w:t>
      </w:r>
      <w:r>
        <w:rPr>
          <w:rStyle w:val="1118"/>
          <w:rFonts w:hint="eastAsia" w:ascii="宋体" w:hAnsi="宋体" w:cs="宋体"/>
          <w:color w:val="000000"/>
          <w:sz w:val="24"/>
          <w:szCs w:val="24"/>
          <w:highlight w:val="none"/>
          <w:lang w:val="en-US" w:eastAsia="zh-CN"/>
        </w:rPr>
        <w:t xml:space="preserve">遥感</w:t>
      </w:r>
      <w:r>
        <w:rPr>
          <w:rStyle w:val="1118"/>
          <w:rFonts w:hint="eastAsia" w:ascii="宋体" w:hAnsi="宋体" w:eastAsia="宋体" w:cs="宋体"/>
          <w:color w:val="000000"/>
          <w:sz w:val="24"/>
          <w:szCs w:val="24"/>
          <w:highlight w:val="none"/>
          <w:lang w:val="en-US" w:eastAsia="zh-CN"/>
        </w:rPr>
        <w:t xml:space="preserve">图上</w:t>
      </w:r>
      <w:r>
        <w:rPr>
          <w:rStyle w:val="1118"/>
          <w:rFonts w:hint="eastAsia" w:ascii="宋体" w:hAnsi="宋体" w:cs="宋体"/>
          <w:color w:val="000000"/>
          <w:sz w:val="24"/>
          <w:szCs w:val="24"/>
          <w:highlight w:val="none"/>
          <w:lang w:val="en-US" w:eastAsia="zh-CN"/>
        </w:rPr>
        <w:t xml:space="preserve">对比等</w:t>
      </w:r>
      <w:r>
        <w:rPr>
          <w:rStyle w:val="1118"/>
          <w:rFonts w:hint="eastAsia" w:ascii="宋体" w:hAnsi="宋体" w:eastAsia="宋体" w:cs="宋体"/>
          <w:color w:val="000000"/>
          <w:sz w:val="24"/>
          <w:szCs w:val="24"/>
          <w:highlight w:val="none"/>
          <w:lang w:val="en-US" w:eastAsia="zh-CN"/>
        </w:rPr>
        <w:t xml:space="preserve">方式，兼顾农业生产周期、恢复成本及农民恢复耕地意愿，综合考虑土壤、水资源状况等农业生产条件，扎实摸排耕地恢复潜力，明确潜力分布范围。</w:t>
      </w:r>
      <w:r/>
    </w:p>
    <w:p>
      <w:pPr>
        <w:ind w:firstLine="420"/>
        <w:keepLines w:val="0"/>
        <w:keepNext w:val="0"/>
        <w:pageBreakBefore w:val="0"/>
        <w:spacing w:line="470" w:lineRule="exact"/>
        <w:widowControl w:val="off"/>
        <w:rPr>
          <w:rStyle w:val="1118"/>
          <w:rFonts w:hint="eastAsia" w:ascii="宋体" w:hAnsi="宋体" w:eastAsia="宋体" w:cs="宋体"/>
          <w:color w:val="000000"/>
          <w:sz w:val="24"/>
          <w:szCs w:val="24"/>
          <w:highlight w:val="none"/>
          <w:lang w:val="en-US" w:eastAsia="zh-CN"/>
        </w:rPr>
      </w:pPr>
      <w:r>
        <w:rPr>
          <w:rStyle w:val="1118"/>
          <w:rFonts w:hint="eastAsia" w:ascii="宋体" w:hAnsi="宋体" w:eastAsia="宋体" w:cs="宋体"/>
          <w:color w:val="000000"/>
          <w:sz w:val="24"/>
          <w:szCs w:val="24"/>
          <w:highlight w:val="none"/>
          <w:lang w:val="en-US" w:eastAsia="zh-CN"/>
        </w:rPr>
        <w:t xml:space="preserve">（3）确定主要规划目标。综合分析规划期内农业、生态、城镇等占用耕地需求以及永久基本农田调整补划要求，参照近年来国土变更调查成果反映的耕地流出情况，在落实国土空间规划确定的耕地保有量和永久基本农田保护任务前提下，明确稳定利用耕地总量、水田面积、永久基本农田储备区</w:t>
      </w:r>
      <w:r>
        <w:rPr>
          <w:rStyle w:val="1118"/>
          <w:rFonts w:hint="eastAsia" w:ascii="宋体" w:hAnsi="宋体" w:cs="宋体"/>
          <w:color w:val="000000"/>
          <w:sz w:val="24"/>
          <w:szCs w:val="24"/>
          <w:highlight w:val="none"/>
          <w:lang w:val="en-US" w:eastAsia="zh-CN"/>
        </w:rPr>
        <w:t xml:space="preserve">、</w:t>
      </w:r>
      <w:r>
        <w:rPr>
          <w:rStyle w:val="1118"/>
          <w:rFonts w:hint="eastAsia" w:ascii="宋体" w:hAnsi="宋体" w:eastAsia="宋体" w:cs="宋体"/>
          <w:color w:val="000000"/>
          <w:sz w:val="24"/>
          <w:szCs w:val="24"/>
          <w:highlight w:val="none"/>
          <w:lang w:val="en-US" w:eastAsia="zh-CN"/>
        </w:rPr>
        <w:t xml:space="preserve">耕地恢复补充计划等规划目标。</w:t>
      </w:r>
      <w:r/>
    </w:p>
    <w:p>
      <w:pPr>
        <w:ind w:firstLine="420"/>
        <w:keepLines w:val="0"/>
        <w:keepNext w:val="0"/>
        <w:pageBreakBefore w:val="0"/>
        <w:spacing w:line="470" w:lineRule="exact"/>
        <w:widowControl w:val="off"/>
        <w:rPr>
          <w:rStyle w:val="1118"/>
          <w:rFonts w:hint="eastAsia" w:ascii="宋体" w:hAnsi="宋体" w:eastAsia="宋体" w:cs="宋体"/>
          <w:color w:val="000000"/>
          <w:sz w:val="24"/>
          <w:szCs w:val="24"/>
          <w:highlight w:val="none"/>
          <w:lang w:val="en-US" w:eastAsia="zh-CN"/>
        </w:rPr>
      </w:pPr>
      <w:r>
        <w:rPr>
          <w:rStyle w:val="1118"/>
          <w:rFonts w:hint="eastAsia" w:ascii="宋体" w:hAnsi="宋体" w:eastAsia="宋体" w:cs="宋体"/>
          <w:color w:val="000000"/>
          <w:sz w:val="24"/>
          <w:szCs w:val="24"/>
          <w:highlight w:val="none"/>
          <w:lang w:val="en-US" w:eastAsia="zh-CN"/>
        </w:rPr>
        <w:t xml:space="preserve">（4）优化耕地空间布局。立足</w:t>
      </w:r>
      <w:r>
        <w:rPr>
          <w:rStyle w:val="1118"/>
          <w:rFonts w:hint="eastAsia" w:ascii="宋体" w:hAnsi="宋体" w:cs="宋体"/>
          <w:color w:val="000000"/>
          <w:sz w:val="24"/>
          <w:szCs w:val="24"/>
          <w:highlight w:val="none"/>
          <w:lang w:val="en-US" w:eastAsia="zh-CN"/>
        </w:rPr>
        <w:t xml:space="preserve">盐城市</w:t>
      </w:r>
      <w:r>
        <w:rPr>
          <w:rStyle w:val="1118"/>
          <w:rFonts w:hint="eastAsia" w:ascii="宋体" w:hAnsi="宋体" w:eastAsia="宋体" w:cs="宋体"/>
          <w:color w:val="000000"/>
          <w:sz w:val="24"/>
          <w:szCs w:val="24"/>
          <w:highlight w:val="none"/>
          <w:lang w:val="en-US" w:eastAsia="zh-CN"/>
        </w:rPr>
        <w:t xml:space="preserve">自然资源禀赋、农业生产空间和耕地资源本底，明确耕地保护总体空间格局，划定耕地保护重点区域。统筹耕地和林地、草地等其他农用地保护，</w:t>
      </w:r>
      <w:r>
        <w:rPr>
          <w:rStyle w:val="1118"/>
          <w:rFonts w:hint="eastAsia" w:ascii="宋体" w:hAnsi="宋体" w:cs="宋体"/>
          <w:color w:val="000000"/>
          <w:sz w:val="24"/>
          <w:szCs w:val="24"/>
          <w:highlight w:val="none"/>
          <w:lang w:val="en-US" w:eastAsia="zh-CN"/>
        </w:rPr>
        <w:t xml:space="preserve">优化</w:t>
      </w:r>
      <w:r>
        <w:rPr>
          <w:rStyle w:val="1118"/>
          <w:rFonts w:hint="eastAsia" w:ascii="宋体" w:hAnsi="宋体" w:eastAsia="宋体" w:cs="宋体"/>
          <w:color w:val="000000"/>
          <w:sz w:val="24"/>
          <w:szCs w:val="24"/>
          <w:highlight w:val="none"/>
          <w:lang w:val="en-US" w:eastAsia="zh-CN"/>
        </w:rPr>
        <w:t xml:space="preserve">国土绿化空间</w:t>
      </w:r>
      <w:r>
        <w:rPr>
          <w:rStyle w:val="1118"/>
          <w:rFonts w:hint="eastAsia" w:ascii="宋体" w:hAnsi="宋体" w:cs="宋体"/>
          <w:color w:val="000000"/>
          <w:sz w:val="24"/>
          <w:szCs w:val="24"/>
          <w:highlight w:val="none"/>
          <w:lang w:val="en-US" w:eastAsia="zh-CN"/>
        </w:rPr>
        <w:t xml:space="preserve">，</w:t>
      </w:r>
      <w:r>
        <w:rPr>
          <w:rStyle w:val="1118"/>
          <w:rFonts w:hint="eastAsia" w:ascii="宋体" w:hAnsi="宋体" w:eastAsia="宋体" w:cs="宋体"/>
          <w:color w:val="000000"/>
          <w:sz w:val="24"/>
          <w:szCs w:val="24"/>
          <w:highlight w:val="none"/>
          <w:lang w:val="en-US" w:eastAsia="zh-CN"/>
        </w:rPr>
        <w:t xml:space="preserve">合理解决耕地不稳定利用、零散破碎，以及与建设发展、生态保护矛盾冲突问题，促进耕地和永久基本农田集中连片保护。</w:t>
      </w:r>
      <w:r/>
    </w:p>
    <w:p>
      <w:pPr>
        <w:ind w:firstLine="420"/>
        <w:keepLines w:val="0"/>
        <w:keepNext w:val="0"/>
        <w:pageBreakBefore w:val="0"/>
        <w:spacing w:line="470" w:lineRule="exact"/>
        <w:widowControl w:val="off"/>
        <w:rPr>
          <w:rStyle w:val="1118"/>
          <w:rFonts w:hint="eastAsia" w:ascii="宋体" w:hAnsi="宋体" w:eastAsia="宋体" w:cs="宋体"/>
          <w:color w:val="000000"/>
          <w:sz w:val="24"/>
          <w:szCs w:val="24"/>
          <w:highlight w:val="none"/>
          <w:lang w:val="en-US" w:eastAsia="zh-CN"/>
        </w:rPr>
      </w:pPr>
      <w:r>
        <w:rPr>
          <w:rStyle w:val="1118"/>
          <w:rFonts w:hint="eastAsia" w:ascii="宋体" w:hAnsi="宋体" w:eastAsia="宋体" w:cs="宋体"/>
          <w:color w:val="000000"/>
          <w:sz w:val="24"/>
          <w:szCs w:val="24"/>
          <w:highlight w:val="none"/>
          <w:lang w:val="en-US" w:eastAsia="zh-CN"/>
        </w:rPr>
        <w:t xml:space="preserve">（5）积极谋划重大工程项目。结合全域土地综合整治、高标准农田建设、耕地恢复补充等重大工作部署，提出重大工程项目计划，打造耕地保护亮点工程。以重大工程项目为抓手，建设一批“百亩方、千亩方、万亩方</w:t>
      </w:r>
      <w:r>
        <w:rPr>
          <w:rStyle w:val="1118"/>
          <w:rFonts w:hint="eastAsia" w:ascii="宋体" w:hAnsi="宋体" w:cs="宋体"/>
          <w:color w:val="000000"/>
          <w:sz w:val="24"/>
          <w:szCs w:val="24"/>
          <w:highlight w:val="none"/>
          <w:lang w:val="en-US" w:eastAsia="zh-CN"/>
        </w:rPr>
        <w:t xml:space="preserve">”</w:t>
      </w:r>
      <w:r>
        <w:rPr>
          <w:rStyle w:val="1118"/>
          <w:rFonts w:hint="eastAsia" w:ascii="宋体" w:hAnsi="宋体" w:eastAsia="宋体" w:cs="宋体"/>
          <w:color w:val="000000"/>
          <w:sz w:val="24"/>
          <w:szCs w:val="24"/>
          <w:highlight w:val="none"/>
          <w:lang w:val="en-US" w:eastAsia="zh-CN"/>
        </w:rPr>
        <w:t xml:space="preserve">耕地与永久基本农田集中连片保护区。</w:t>
      </w:r>
      <w:r/>
    </w:p>
    <w:p>
      <w:pPr>
        <w:ind w:firstLine="420"/>
        <w:keepLines w:val="0"/>
        <w:keepNext w:val="0"/>
        <w:pageBreakBefore w:val="0"/>
        <w:spacing w:line="470" w:lineRule="exact"/>
        <w:widowControl w:val="off"/>
        <w:rPr>
          <w:rStyle w:val="1118"/>
          <w:rFonts w:hint="eastAsia" w:ascii="宋体" w:hAnsi="宋体" w:eastAsia="宋体" w:cs="宋体"/>
          <w:color w:val="000000"/>
          <w:sz w:val="24"/>
          <w:szCs w:val="24"/>
          <w:highlight w:val="none"/>
          <w:lang w:val="en-US" w:eastAsia="zh-CN"/>
        </w:rPr>
      </w:pPr>
      <w:r>
        <w:rPr>
          <w:rStyle w:val="1118"/>
          <w:rFonts w:hint="eastAsia" w:ascii="宋体" w:hAnsi="宋体" w:eastAsia="宋体" w:cs="宋体"/>
          <w:color w:val="000000"/>
          <w:sz w:val="24"/>
          <w:szCs w:val="24"/>
          <w:highlight w:val="none"/>
          <w:lang w:val="en-US" w:eastAsia="zh-CN"/>
        </w:rPr>
        <w:t xml:space="preserve">（6）明确规划时序安排。规划期限与国土空间规划的主要节点保持一致，规划期为2021-2035年，近期至2027年，目标年为2035年。结合不同时期耕地保护面临形势，提出到2027年、2035年分阶段的耕地保护任务安排、分步实施的重点区域，确保主要规划目标落实到位。</w:t>
      </w:r>
      <w:r/>
    </w:p>
    <w:p>
      <w:pPr>
        <w:numPr>
          <w:ilvl w:val="0"/>
          <w:numId w:val="0"/>
        </w:numPr>
        <w:ind w:firstLine="480"/>
        <w:keepLines w:val="0"/>
        <w:keepNext w:val="0"/>
        <w:pageBreakBefore w:val="0"/>
        <w:spacing w:line="470" w:lineRule="exact"/>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Theme="minorEastAsia" w:hAnsiTheme="minorEastAsia" w:eastAsiaTheme="minorEastAsia" w:cstheme="minorEastAsia"/>
          <w:b w:val="0"/>
          <w:bCs/>
          <w:color w:val="auto"/>
          <w:sz w:val="24"/>
          <w:szCs w:val="24"/>
          <w:highlight w:val="none"/>
          <w:lang w:val="en-US" w:eastAsia="zh-CN"/>
        </w:rPr>
        <w:t xml:space="preserve">质量保证体系及保证措施</w:t>
      </w:r>
      <w:r>
        <w:rPr>
          <w:rFonts w:hint="eastAsia" w:ascii="宋体" w:hAnsi="宋体" w:eastAsia="宋体" w:cs="宋体"/>
          <w:sz w:val="24"/>
          <w:szCs w:val="24"/>
          <w:highlight w:val="none"/>
          <w:lang w:eastAsia="zh-CN"/>
        </w:rPr>
        <w:t xml:space="preserve">：</w:t>
      </w:r>
      <w:r>
        <w:rPr>
          <w:rStyle w:val="1118"/>
          <w:rFonts w:hint="eastAsia" w:ascii="宋体" w:hAnsi="宋体" w:eastAsia="宋体" w:cs="宋体"/>
          <w:color w:val="000000"/>
          <w:sz w:val="24"/>
          <w:szCs w:val="24"/>
          <w:highlight w:val="none"/>
          <w:lang w:val="en-US" w:eastAsia="zh-CN"/>
        </w:rPr>
        <w:t xml:space="preserve">投标人应根据采购需求和本项目实际，制订相应的</w:t>
      </w:r>
      <w:r>
        <w:rPr>
          <w:rFonts w:hint="eastAsia" w:asciiTheme="minorEastAsia" w:hAnsiTheme="minorEastAsia" w:eastAsiaTheme="minorEastAsia" w:cstheme="minorEastAsia"/>
          <w:b w:val="0"/>
          <w:bCs/>
          <w:color w:val="auto"/>
          <w:sz w:val="24"/>
          <w:szCs w:val="24"/>
          <w:highlight w:val="none"/>
          <w:lang w:val="en-US" w:eastAsia="zh-CN"/>
        </w:rPr>
        <w:t xml:space="preserve">质量保证体系及保证措</w:t>
      </w:r>
      <w:r>
        <w:rPr>
          <w:rStyle w:val="1118"/>
          <w:rFonts w:hint="eastAsia" w:ascii="宋体" w:hAnsi="宋体" w:eastAsia="宋体" w:cs="宋体"/>
          <w:color w:val="000000"/>
          <w:sz w:val="24"/>
          <w:szCs w:val="24"/>
          <w:highlight w:val="none"/>
          <w:lang w:val="en-US" w:eastAsia="zh-CN"/>
        </w:rPr>
        <w:t xml:space="preserve">施，</w:t>
      </w:r>
      <w:r>
        <w:rPr>
          <w:rStyle w:val="1118"/>
          <w:rFonts w:hint="eastAsia" w:ascii="宋体" w:hAnsi="宋体" w:cs="宋体"/>
          <w:color w:val="000000"/>
          <w:sz w:val="24"/>
          <w:szCs w:val="24"/>
          <w:highlight w:val="none"/>
          <w:lang w:val="en-US" w:eastAsia="zh-CN"/>
        </w:rPr>
        <w:t xml:space="preserve">至少包含</w:t>
      </w:r>
      <w:r>
        <w:rPr>
          <w:rStyle w:val="1118"/>
          <w:rFonts w:hint="eastAsia" w:ascii="宋体" w:hAnsi="宋体" w:eastAsia="宋体" w:cs="宋体"/>
          <w:color w:val="000000"/>
          <w:sz w:val="24"/>
          <w:szCs w:val="24"/>
          <w:highlight w:val="none"/>
          <w:lang w:val="en-US"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质量保证体系</w:t>
      </w:r>
      <w:r>
        <w:rPr>
          <w:rStyle w:val="1118"/>
          <w:rFonts w:hint="eastAsia" w:ascii="宋体" w:hAnsi="宋体" w:eastAsia="宋体" w:cs="宋体"/>
          <w:color w:val="000000"/>
          <w:sz w:val="24"/>
          <w:szCs w:val="24"/>
          <w:highlight w:val="none"/>
          <w:lang w:val="en-US" w:eastAsia="zh-CN"/>
        </w:rPr>
        <w:t xml:space="preserve">、质量保</w:t>
      </w:r>
      <w:r>
        <w:rPr>
          <w:rStyle w:val="1118"/>
          <w:rFonts w:hint="eastAsia" w:ascii="宋体" w:hAnsi="宋体" w:cs="宋体"/>
          <w:color w:val="000000"/>
          <w:sz w:val="24"/>
          <w:szCs w:val="24"/>
          <w:highlight w:val="none"/>
          <w:lang w:val="en-US" w:eastAsia="zh-CN"/>
        </w:rPr>
        <w:t xml:space="preserve">证</w:t>
      </w:r>
      <w:r>
        <w:rPr>
          <w:rStyle w:val="1118"/>
          <w:rFonts w:hint="eastAsia" w:ascii="宋体" w:hAnsi="宋体" w:eastAsia="宋体" w:cs="宋体"/>
          <w:color w:val="000000"/>
          <w:sz w:val="24"/>
          <w:szCs w:val="24"/>
          <w:highlight w:val="none"/>
          <w:lang w:val="en-US" w:eastAsia="zh-CN"/>
        </w:rPr>
        <w:t xml:space="preserve">措施等。</w:t>
      </w:r>
      <w:r/>
    </w:p>
    <w:p>
      <w:pPr>
        <w:ind w:firstLine="420"/>
        <w:keepLines w:val="0"/>
        <w:keepNext w:val="0"/>
        <w:pageBreakBefore w:val="0"/>
        <w:spacing w:line="470" w:lineRule="exact"/>
        <w:widowControl w:val="off"/>
        <w:rPr>
          <w:rStyle w:val="1118"/>
          <w:rFonts w:hint="eastAsia" w:ascii="宋体" w:hAnsi="宋体" w:eastAsia="宋体" w:cs="宋体"/>
          <w:color w:val="000000"/>
          <w:sz w:val="24"/>
          <w:szCs w:val="24"/>
          <w:highlight w:val="none"/>
          <w:lang w:val="en-US" w:eastAsia="zh-CN"/>
        </w:rPr>
      </w:pPr>
      <w:r>
        <w:rPr>
          <w:rStyle w:val="1118"/>
          <w:rFonts w:hint="eastAsia" w:ascii="宋体" w:hAnsi="宋体" w:eastAsia="宋体" w:cs="宋体"/>
          <w:color w:val="000000"/>
          <w:sz w:val="24"/>
          <w:szCs w:val="24"/>
          <w:highlight w:val="none"/>
          <w:lang w:val="en-US" w:eastAsia="zh-CN"/>
        </w:rPr>
        <w:t xml:space="preserve">项目主要成果包括耕地保护和利用专项规划文本、相关图件、表格和数据库等相关材料。按照省厅的相关要求，结合我市实际情况，编制完成耕地保护和利用专项规划，将成果提交上级审查，通过审查论证，并按规定获得批复。</w:t>
      </w:r>
      <w:r/>
    </w:p>
    <w:p>
      <w:pPr>
        <w:numPr>
          <w:ilvl w:val="0"/>
          <w:numId w:val="0"/>
        </w:numPr>
        <w:ind w:firstLine="480"/>
        <w:keepLines w:val="0"/>
        <w:keepNext w:val="0"/>
        <w:pageBreakBefore w:val="0"/>
        <w:spacing w:line="470" w:lineRule="exact"/>
        <w:widowControl/>
        <w:rPr>
          <w:rStyle w:val="1118"/>
          <w:rFonts w:hint="eastAsia" w:ascii="宋体" w:hAnsi="宋体" w:eastAsia="宋体" w:cs="宋体"/>
          <w:color w:val="000000"/>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Theme="minorEastAsia" w:hAnsiTheme="minorEastAsia" w:eastAsiaTheme="minorEastAsia" w:cstheme="minorEastAsia"/>
          <w:b w:val="0"/>
          <w:bCs/>
          <w:color w:val="auto"/>
          <w:sz w:val="24"/>
          <w:szCs w:val="24"/>
          <w:highlight w:val="none"/>
          <w:lang w:val="en-US" w:eastAsia="zh-CN"/>
        </w:rPr>
        <w:t xml:space="preserve">进度计划及保障措施</w:t>
      </w:r>
      <w:r>
        <w:rPr>
          <w:rStyle w:val="1118"/>
          <w:rFonts w:hint="eastAsia" w:ascii="宋体" w:hAnsi="宋体" w:eastAsia="宋体" w:cs="宋体"/>
          <w:color w:val="000000"/>
          <w:sz w:val="24"/>
          <w:szCs w:val="24"/>
          <w:highlight w:val="none"/>
          <w:lang w:val="en-US" w:eastAsia="zh-CN"/>
        </w:rPr>
        <w:t xml:space="preserve">：投标人应根据采购需求和本项目实际，制订相应的</w:t>
      </w:r>
      <w:r>
        <w:rPr>
          <w:rFonts w:hint="eastAsia" w:asciiTheme="minorEastAsia" w:hAnsiTheme="minorEastAsia" w:eastAsiaTheme="minorEastAsia" w:cstheme="minorEastAsia"/>
          <w:b w:val="0"/>
          <w:bCs/>
          <w:color w:val="auto"/>
          <w:sz w:val="24"/>
          <w:szCs w:val="24"/>
          <w:highlight w:val="none"/>
          <w:lang w:val="en-US" w:eastAsia="zh-CN"/>
        </w:rPr>
        <w:t xml:space="preserve">进度计划及保障措施</w:t>
      </w:r>
      <w:r>
        <w:rPr>
          <w:rStyle w:val="1118"/>
          <w:rFonts w:hint="eastAsia" w:ascii="宋体" w:hAnsi="宋体" w:eastAsia="宋体" w:cs="宋体"/>
          <w:color w:val="000000"/>
          <w:sz w:val="24"/>
          <w:szCs w:val="24"/>
          <w:highlight w:val="none"/>
          <w:lang w:val="en-US" w:eastAsia="zh-CN"/>
        </w:rPr>
        <w:t xml:space="preserve">，</w:t>
      </w:r>
      <w:r>
        <w:rPr>
          <w:rStyle w:val="1118"/>
          <w:rFonts w:hint="eastAsia" w:ascii="宋体" w:hAnsi="宋体" w:cs="宋体"/>
          <w:color w:val="000000"/>
          <w:sz w:val="24"/>
          <w:szCs w:val="24"/>
          <w:highlight w:val="none"/>
          <w:lang w:val="en-US" w:eastAsia="zh-CN"/>
        </w:rPr>
        <w:t xml:space="preserve">至少包含</w:t>
      </w:r>
      <w:r>
        <w:rPr>
          <w:rStyle w:val="1118"/>
          <w:rFonts w:hint="eastAsia" w:ascii="宋体" w:hAnsi="宋体" w:eastAsia="宋体" w:cs="宋体"/>
          <w:color w:val="000000"/>
          <w:sz w:val="24"/>
          <w:szCs w:val="24"/>
          <w:highlight w:val="none"/>
          <w:lang w:val="en-US"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进度计划</w:t>
      </w:r>
      <w:r>
        <w:rPr>
          <w:rStyle w:val="1118"/>
          <w:rFonts w:hint="eastAsia" w:ascii="宋体" w:hAnsi="宋体" w:eastAsia="宋体" w:cs="宋体"/>
          <w:color w:val="000000"/>
          <w:sz w:val="24"/>
          <w:szCs w:val="24"/>
          <w:highlight w:val="none"/>
          <w:lang w:val="en-US" w:eastAsia="zh-CN"/>
        </w:rPr>
        <w:t xml:space="preserve">、保障措施等。</w:t>
      </w:r>
      <w:r/>
    </w:p>
    <w:p>
      <w:pPr>
        <w:numPr>
          <w:ilvl w:val="0"/>
          <w:numId w:val="0"/>
        </w:numPr>
        <w:ind w:firstLine="480"/>
        <w:keepLines w:val="0"/>
        <w:keepNext w:val="0"/>
        <w:pageBreakBefore w:val="0"/>
        <w:spacing w:line="470" w:lineRule="exact"/>
        <w:rPr>
          <w:rStyle w:val="1118"/>
          <w:rFonts w:hint="eastAsia" w:ascii="宋体" w:hAnsi="宋体" w:eastAsia="宋体" w:cs="宋体"/>
          <w:color w:val="000000"/>
          <w:sz w:val="24"/>
          <w:szCs w:val="24"/>
          <w:highlight w:val="none"/>
          <w:lang w:val="en-US" w:eastAsia="zh-CN"/>
        </w:rPr>
      </w:pPr>
      <w:r>
        <w:rPr>
          <w:rStyle w:val="1118"/>
          <w:rFonts w:hint="eastAsia" w:ascii="宋体" w:hAnsi="宋体" w:cs="宋体"/>
          <w:color w:val="000000"/>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val="en-US" w:eastAsia="zh-CN"/>
        </w:rPr>
        <w:t xml:space="preserve">安全保密措施</w:t>
      </w:r>
      <w:r>
        <w:rPr>
          <w:rStyle w:val="1118"/>
          <w:rFonts w:hint="eastAsia" w:ascii="宋体" w:hAnsi="宋体" w:eastAsia="宋体" w:cs="宋体"/>
          <w:color w:val="000000"/>
          <w:sz w:val="24"/>
          <w:szCs w:val="24"/>
          <w:highlight w:val="none"/>
          <w:lang w:val="en-US" w:eastAsia="zh-CN"/>
        </w:rPr>
        <w:t xml:space="preserve">：投标人应根据采购需求和本项目实际，制订相应的</w:t>
      </w:r>
      <w:r>
        <w:rPr>
          <w:rFonts w:hint="eastAsia" w:ascii="宋体" w:hAnsi="宋体" w:eastAsia="宋体" w:cs="宋体"/>
          <w:sz w:val="24"/>
          <w:szCs w:val="24"/>
          <w:highlight w:val="none"/>
        </w:rPr>
        <w:t xml:space="preserve">安全保密措施</w:t>
      </w:r>
      <w:r>
        <w:rPr>
          <w:rStyle w:val="1118"/>
          <w:rFonts w:hint="eastAsia" w:ascii="宋体" w:hAnsi="宋体" w:eastAsia="宋体" w:cs="宋体"/>
          <w:color w:val="000000"/>
          <w:sz w:val="24"/>
          <w:szCs w:val="24"/>
          <w:highlight w:val="none"/>
          <w:lang w:val="en-US" w:eastAsia="zh-CN"/>
        </w:rPr>
        <w:t xml:space="preserve">，</w:t>
      </w:r>
      <w:r>
        <w:rPr>
          <w:rStyle w:val="1118"/>
          <w:rFonts w:hint="eastAsia" w:ascii="宋体" w:hAnsi="宋体" w:cs="宋体"/>
          <w:color w:val="000000"/>
          <w:sz w:val="24"/>
          <w:szCs w:val="24"/>
          <w:highlight w:val="none"/>
          <w:lang w:val="en-US" w:eastAsia="zh-CN"/>
        </w:rPr>
        <w:t xml:space="preserve">至少包含</w:t>
      </w:r>
      <w:r>
        <w:rPr>
          <w:rStyle w:val="1118"/>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rPr>
        <w:t xml:space="preserve">建立安全责任制度、应急预案及数据资料保密管理</w:t>
      </w:r>
      <w:r>
        <w:rPr>
          <w:rFonts w:hint="eastAsia" w:ascii="宋体" w:hAnsi="宋体" w:eastAsia="宋体" w:cs="宋体"/>
          <w:sz w:val="24"/>
          <w:szCs w:val="24"/>
          <w:highlight w:val="none"/>
          <w:lang w:val="en-US" w:eastAsia="zh-CN"/>
        </w:rPr>
        <w:t xml:space="preserve">制度等。</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）其它要求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投标人应对本次招标的工作内容和要求进行整体报价，投标报价一次报定不得更改，报价应包括完成本项目服务工作期间所需的人工、材料、车辆、会务、审查等全部费用。</w:t>
      </w:r>
      <w:r/>
    </w:p>
    <w:p>
      <w:pPr>
        <w:numPr>
          <w:ilvl w:val="0"/>
          <w:numId w:val="0"/>
        </w:numPr>
        <w:ind w:firstLine="482"/>
        <w:keepLines w:val="0"/>
        <w:keepNext w:val="0"/>
        <w:pageBreakBefore w:val="0"/>
        <w:spacing w:line="400" w:lineRule="exact"/>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t xml:space="preserve">七、其他</w:t>
      </w:r>
      <w:r/>
    </w:p>
    <w:p>
      <w:pPr>
        <w:numPr>
          <w:ilvl w:val="0"/>
          <w:numId w:val="0"/>
        </w:numPr>
        <w:ind w:firstLine="480"/>
        <w:keepLines w:val="0"/>
        <w:keepNext w:val="0"/>
        <w:pageBreakBefore w:val="0"/>
        <w:spacing w:line="400" w:lineRule="exact"/>
        <w:rPr>
          <w:rFonts w:hint="eastAsia" w:ascii="宋体" w:hAnsi="宋体" w:eastAsia="宋体" w:cs="宋体"/>
          <w:color w:val="auto"/>
          <w:sz w:val="24"/>
          <w:szCs w:val="24"/>
          <w:highlight w:val="none"/>
        </w:rPr>
      </w:pPr>
      <w:r>
        <w:rPr>
          <w:rFonts w:hint="default" w:ascii="宋体" w:hAnsi="宋体" w:eastAsiaTheme="minorEastAsia" w:cstheme="minorBidi"/>
          <w:color w:val="auto"/>
          <w:sz w:val="24"/>
          <w:szCs w:val="24"/>
          <w:highlight w:val="none"/>
          <w:lang w:val="en-US" w:eastAsia="zh-CN" w:bidi="ar-SA"/>
        </w:rPr>
        <w:t xml:space="preserve">1.为了</w:t>
      </w:r>
      <w:r>
        <w:rPr>
          <w:rFonts w:hint="eastAsia" w:ascii="宋体" w:hAnsi="宋体" w:eastAsiaTheme="minorEastAsia" w:cstheme="minorBidi"/>
          <w:color w:val="auto"/>
          <w:sz w:val="24"/>
          <w:szCs w:val="24"/>
          <w:highlight w:val="none"/>
          <w:lang w:val="en-US" w:eastAsia="zh-CN" w:bidi="ar-SA"/>
        </w:rPr>
        <w:t xml:space="preserve">盐城市耕地保护和利用专项规划编制项目</w:t>
      </w:r>
      <w:r>
        <w:rPr>
          <w:rFonts w:hint="default" w:ascii="宋体" w:hAnsi="宋体" w:eastAsiaTheme="minorEastAsia" w:cstheme="minorBidi"/>
          <w:color w:val="auto"/>
          <w:sz w:val="24"/>
          <w:szCs w:val="24"/>
          <w:highlight w:val="none"/>
          <w:lang w:val="en-US" w:eastAsia="zh-CN" w:bidi="ar-SA"/>
        </w:rPr>
        <w:t xml:space="preserve">更好的实施，供应商能够提供</w:t>
      </w:r>
      <w:r>
        <w:rPr>
          <w:rFonts w:hint="eastAsia" w:ascii="宋体" w:hAnsi="宋体" w:eastAsiaTheme="minorEastAsia" w:cstheme="minorBidi"/>
          <w:color w:val="auto"/>
          <w:sz w:val="24"/>
          <w:szCs w:val="24"/>
          <w:highlight w:val="none"/>
          <w:lang w:val="en-US" w:eastAsia="zh-CN" w:bidi="ar-SA"/>
        </w:rPr>
        <w:t xml:space="preserve">的</w:t>
      </w:r>
      <w:r>
        <w:rPr>
          <w:rFonts w:hint="eastAsia" w:ascii="宋体" w:hAnsi="宋体" w:eastAsia="宋体" w:cs="宋体"/>
          <w:color w:val="auto"/>
          <w:sz w:val="24"/>
          <w:szCs w:val="24"/>
          <w:highlight w:val="none"/>
        </w:rPr>
        <w:t xml:space="preserve">项目组成员中（含项目负责人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技术负责人</w:t>
      </w:r>
      <w:r>
        <w:rPr>
          <w:rFonts w:hint="eastAsia" w:ascii="宋体" w:hAnsi="宋体" w:eastAsia="宋体" w:cs="宋体"/>
          <w:color w:val="auto"/>
          <w:sz w:val="24"/>
          <w:szCs w:val="24"/>
          <w:highlight w:val="none"/>
        </w:rPr>
        <w:t xml:space="preserve">）具有</w:t>
      </w:r>
      <w:r>
        <w:rPr>
          <w:rFonts w:hint="eastAsia" w:asciiTheme="minorEastAsia" w:hAnsiTheme="minorEastAsia" w:eastAsiaTheme="minorEastAsia" w:cstheme="minorEastAsia"/>
          <w:b w:val="0"/>
          <w:bCs/>
          <w:color w:val="auto"/>
          <w:sz w:val="24"/>
          <w:szCs w:val="24"/>
          <w:highlight w:val="none"/>
          <w:lang w:val="zh-CN" w:eastAsia="zh-CN"/>
        </w:rPr>
        <w:t xml:space="preserve">土地、</w:t>
      </w:r>
      <w:r>
        <w:rPr>
          <w:rFonts w:hint="eastAsia" w:asciiTheme="minorEastAsia" w:hAnsiTheme="minorEastAsia" w:eastAsiaTheme="minorEastAsia" w:cstheme="minorEastAsia"/>
          <w:b w:val="0"/>
          <w:bCs/>
          <w:color w:val="auto"/>
          <w:sz w:val="24"/>
          <w:szCs w:val="24"/>
          <w:highlight w:val="none"/>
          <w:lang w:val="en-US" w:eastAsia="zh-CN"/>
        </w:rPr>
        <w:t xml:space="preserve">规划或测绘等相关专业职称</w:t>
      </w:r>
      <w:r>
        <w:rPr>
          <w:rFonts w:hint="eastAsia" w:ascii="宋体" w:hAnsi="宋体" w:cs="宋体"/>
          <w:color w:val="auto"/>
          <w:sz w:val="24"/>
          <w:szCs w:val="24"/>
          <w:highlight w:val="none"/>
          <w:lang w:val="en-US" w:eastAsia="zh-CN"/>
        </w:rPr>
        <w:t xml:space="preserve">、获奖的优先</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400" w:lineRule="exact"/>
        <w:rPr>
          <w:rFonts w:hint="default" w:ascii="宋体" w:hAnsi="宋体" w:eastAsiaTheme="minorEastAsia" w:cstheme="minorBidi"/>
          <w:color w:val="auto"/>
          <w:sz w:val="24"/>
          <w:szCs w:val="24"/>
          <w:highlight w:val="none"/>
          <w:lang w:val="en-US" w:eastAsia="zh-CN" w:bidi="ar-SA"/>
        </w:rPr>
      </w:pPr>
      <w:r>
        <w:rPr>
          <w:rFonts w:hint="default" w:ascii="宋体" w:hAnsi="宋体" w:eastAsiaTheme="minorEastAsia" w:cstheme="minorBidi"/>
          <w:color w:val="auto"/>
          <w:sz w:val="24"/>
          <w:szCs w:val="24"/>
          <w:highlight w:val="none"/>
          <w:lang w:val="en-US" w:eastAsia="zh-CN" w:bidi="ar-SA"/>
        </w:rPr>
        <w:t xml:space="preserve">2.为了择优选择中标单位，展现企业实力，鼓励供应商提供</w:t>
      </w:r>
      <w:r>
        <w:rPr>
          <w:rFonts w:hint="eastAsia" w:ascii="宋体" w:hAnsi="宋体" w:eastAsia="宋体" w:cs="宋体"/>
          <w:color w:val="auto"/>
          <w:sz w:val="24"/>
          <w:szCs w:val="24"/>
          <w:highlight w:val="none"/>
        </w:rPr>
        <w:t xml:space="preserve">投标人具有</w:t>
      </w:r>
      <w:r>
        <w:rPr>
          <w:rFonts w:hint="eastAsia" w:ascii="宋体" w:hAnsi="宋体" w:cs="宋体"/>
          <w:color w:val="000000"/>
          <w:sz w:val="24"/>
          <w:highlight w:val="none"/>
        </w:rPr>
        <w:t xml:space="preserve">有效且通过年检</w:t>
      </w:r>
      <w:r>
        <w:rPr>
          <w:rFonts w:hint="eastAsia" w:ascii="宋体" w:hAnsi="宋体" w:eastAsia="宋体" w:cs="宋体"/>
          <w:color w:val="auto"/>
          <w:sz w:val="24"/>
          <w:szCs w:val="24"/>
          <w:highlight w:val="none"/>
        </w:rPr>
        <w:t xml:space="preserve">的</w:t>
      </w:r>
      <w:r>
        <w:rPr>
          <w:rFonts w:hint="eastAsia" w:ascii="宋体" w:hAnsi="宋体" w:cs="宋体"/>
          <w:color w:val="auto"/>
          <w:sz w:val="24"/>
          <w:highlight w:val="none"/>
        </w:rPr>
        <w:t xml:space="preserve">质量管理体系认证、环境管理体系认证和职业健康安全管理体系认证证书</w:t>
      </w:r>
      <w:r>
        <w:rPr>
          <w:rFonts w:hint="default" w:ascii="宋体" w:hAnsi="宋体" w:eastAsiaTheme="minorEastAsia" w:cstheme="minorBidi"/>
          <w:color w:val="auto"/>
          <w:sz w:val="24"/>
          <w:szCs w:val="24"/>
          <w:highlight w:val="none"/>
          <w:lang w:val="en-US" w:eastAsia="zh-CN" w:bidi="ar-SA"/>
        </w:rPr>
        <w:t xml:space="preserve">的优先。</w:t>
      </w:r>
      <w:r/>
    </w:p>
    <w:p>
      <w:pPr>
        <w:numPr>
          <w:ilvl w:val="0"/>
          <w:numId w:val="0"/>
        </w:numPr>
        <w:ind w:firstLine="480"/>
        <w:keepLines w:val="0"/>
        <w:keepNext w:val="0"/>
        <w:pageBreakBefore w:val="0"/>
        <w:spacing w:line="400" w:lineRule="exact"/>
        <w:rPr>
          <w:rFonts w:hint="default" w:ascii="宋体" w:hAnsi="宋体" w:eastAsiaTheme="minorEastAsia" w:cstheme="minorBidi"/>
          <w:color w:val="auto"/>
          <w:sz w:val="24"/>
          <w:szCs w:val="24"/>
          <w:highlight w:val="none"/>
          <w:lang w:val="en-US" w:eastAsia="zh-CN" w:bidi="ar-SA"/>
        </w:rPr>
      </w:pPr>
      <w:r>
        <w:rPr>
          <w:rFonts w:hint="default" w:ascii="宋体" w:hAnsi="宋体" w:eastAsiaTheme="minorEastAsia" w:cstheme="minorBidi"/>
          <w:color w:val="auto"/>
          <w:sz w:val="24"/>
          <w:szCs w:val="24"/>
          <w:highlight w:val="none"/>
          <w:lang w:val="en-US" w:eastAsia="zh-CN" w:bidi="ar-SA"/>
        </w:rPr>
        <w:t xml:space="preserve">3. 供应商有丰富的</w:t>
      </w:r>
      <w:r>
        <w:rPr>
          <w:rFonts w:hint="eastAsia" w:ascii="宋体" w:hAnsi="宋体" w:eastAsiaTheme="minorEastAsia" w:cstheme="minorBidi"/>
          <w:color w:val="auto"/>
          <w:sz w:val="24"/>
          <w:szCs w:val="24"/>
          <w:highlight w:val="none"/>
          <w:lang w:val="en-US" w:eastAsia="zh-CN" w:bidi="ar-SA"/>
        </w:rPr>
        <w:t xml:space="preserve">耕地保护和利用专项规划编制</w:t>
      </w:r>
      <w:r>
        <w:rPr>
          <w:rFonts w:hint="default" w:ascii="宋体" w:hAnsi="宋体" w:eastAsiaTheme="minorEastAsia" w:cstheme="minorBidi"/>
          <w:color w:val="auto"/>
          <w:sz w:val="24"/>
          <w:szCs w:val="24"/>
          <w:highlight w:val="none"/>
          <w:lang w:val="en-US" w:eastAsia="zh-CN" w:bidi="ar-SA"/>
        </w:rPr>
        <w:t xml:space="preserve">相关承接经验，为了确保项目的顺利实施，投标人自</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年1月1日</w:t>
      </w:r>
      <w:r>
        <w:rPr>
          <w:rFonts w:hint="default" w:ascii="宋体" w:hAnsi="宋体" w:eastAsiaTheme="minorEastAsia" w:cstheme="minorBidi"/>
          <w:color w:val="auto"/>
          <w:sz w:val="24"/>
          <w:szCs w:val="24"/>
          <w:highlight w:val="none"/>
          <w:lang w:val="en-US" w:eastAsia="zh-CN" w:bidi="ar-SA"/>
        </w:rPr>
        <w:t xml:space="preserve">起承担过以上类似案例业绩的优先。</w:t>
      </w:r>
      <w:r/>
    </w:p>
    <w:p>
      <w:pPr>
        <w:pStyle w:val="1055"/>
        <w:ind w:firstLine="480"/>
        <w:jc w:val="both"/>
        <w:keepLines w:val="0"/>
        <w:keepNext w:val="0"/>
        <w:pageBreakBefore w:val="0"/>
        <w:spacing w:beforeAutospacing="0" w:afterAutospacing="0" w:line="400" w:lineRule="exact"/>
        <w:rPr>
          <w:rFonts w:cs="宋体"/>
          <w:color w:val="auto"/>
          <w:highlight w:val="none"/>
        </w:rPr>
      </w:pPr>
      <w:r>
        <w:rPr>
          <w:rFonts w:hint="eastAsia" w:cs="宋体"/>
          <w:color w:val="auto"/>
          <w:highlight w:val="none"/>
        </w:rPr>
        <w:t xml:space="preserve">本项目</w:t>
      </w:r>
      <w:r>
        <w:rPr>
          <w:rFonts w:hint="eastAsia" w:cs="宋体"/>
          <w:color w:val="auto"/>
          <w:highlight w:val="none"/>
          <w:u w:val="single"/>
        </w:rPr>
        <w:t xml:space="preserve">不接受</w:t>
      </w:r>
      <w:r>
        <w:rPr>
          <w:rFonts w:hint="eastAsia" w:cs="宋体"/>
          <w:color w:val="auto"/>
          <w:highlight w:val="none"/>
        </w:rPr>
        <w:t xml:space="preserve">进口产品投标。</w:t>
      </w:r>
      <w:r/>
    </w:p>
    <w:p>
      <w:pPr>
        <w:pStyle w:val="1055"/>
        <w:jc w:val="both"/>
        <w:keepLines w:val="0"/>
        <w:keepNext w:val="0"/>
        <w:pageBreakBefore w:val="0"/>
        <w:spacing w:beforeAutospacing="0" w:afterAutospacing="0" w:line="400" w:lineRule="exact"/>
        <w:rPr>
          <w:color w:val="auto"/>
          <w:highlight w:val="none"/>
        </w:rPr>
      </w:pPr>
      <w:r>
        <w:rPr>
          <w:rFonts w:hint="eastAsia" w:cs="宋体"/>
          <w:color w:val="auto"/>
          <w:highlight w:val="none"/>
        </w:rPr>
        <w:t xml:space="preserve">    采购标的对应的中小企业划分标准所属行业一览表</w:t>
      </w:r>
      <w:r/>
    </w:p>
    <w:tbl>
      <w:tblPr>
        <w:tblStyle w:val="1026"/>
        <w:tblW w:w="745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08"/>
        <w:gridCol w:w="3882"/>
        <w:gridCol w:w="266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55"/>
              <w:jc w:val="center"/>
              <w:spacing w:beforeAutospacing="0" w:afterAutospacing="0" w:line="0" w:lineRule="atLeast"/>
              <w:rPr>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82" w:type="dxa"/>
            <w:vAlign w:val="center"/>
            <w:textDirection w:val="lrTb"/>
            <w:noWrap w:val="false"/>
          </w:tcPr>
          <w:p>
            <w:pPr>
              <w:pStyle w:val="1055"/>
              <w:jc w:val="center"/>
              <w:spacing w:beforeAutospacing="0" w:afterAutospacing="0" w:line="0" w:lineRule="atLeast"/>
              <w:rPr>
                <w:color w:val="auto"/>
                <w:highlight w:val="none"/>
              </w:rPr>
            </w:pPr>
            <w:r>
              <w:rPr>
                <w:rFonts w:hint="eastAsia"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1055"/>
              <w:jc w:val="center"/>
              <w:spacing w:beforeAutospacing="0" w:afterAutospacing="0" w:line="0" w:lineRule="atLeast"/>
              <w:rPr>
                <w:color w:val="auto"/>
                <w:highlight w:val="none"/>
              </w:rPr>
            </w:pPr>
            <w:r>
              <w:rPr>
                <w:rFonts w:hint="eastAsia" w:cs="宋体"/>
                <w:color w:val="auto"/>
                <w:highlight w:val="none"/>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1055"/>
              <w:jc w:val="center"/>
              <w:spacing w:beforeAutospacing="0" w:afterAutospacing="0" w:line="0" w:lineRule="atLeast"/>
              <w:rPr>
                <w:color w:val="auto"/>
                <w:highlight w:val="none"/>
              </w:rPr>
            </w:pPr>
            <w:r>
              <w:rPr>
                <w:rFonts w:hint="eastAsia"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82" w:type="dxa"/>
            <w:vAlign w:val="center"/>
            <w:textDirection w:val="lrTb"/>
            <w:noWrap w:val="false"/>
          </w:tcPr>
          <w:p>
            <w:pPr>
              <w:pStyle w:val="1055"/>
              <w:jc w:val="center"/>
              <w:spacing w:beforeAutospacing="0" w:afterAutospacing="0" w:line="0" w:lineRule="atLeast"/>
              <w:rPr>
                <w:rFonts w:hint="eastAsia" w:eastAsia="宋体"/>
                <w:color w:val="auto"/>
                <w:highlight w:val="none"/>
                <w:lang w:eastAsia="zh-CN"/>
              </w:rPr>
            </w:pPr>
            <w:r>
              <w:rPr>
                <w:rFonts w:hint="eastAsia"/>
                <w:color w:val="auto"/>
                <w:highlight w:val="none"/>
                <w:lang w:eastAsia="zh-CN"/>
              </w:rPr>
              <w:t xml:space="preserve">盐城市耕地保护和利用专项规划编制项目</w:t>
            </w:r>
            <w:r/>
          </w:p>
        </w:tc>
        <w:tc>
          <w:tcPr>
            <w:shd w:val="clear" w:color="auto" w:fill="auto"/>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1055"/>
              <w:jc w:val="center"/>
              <w:spacing w:beforeAutospacing="0" w:afterAutospacing="0" w:line="0" w:lineRule="atLeast"/>
              <w:rPr>
                <w:color w:val="auto"/>
                <w:highlight w:val="none"/>
              </w:rPr>
            </w:pPr>
            <w:r>
              <w:rPr>
                <w:rFonts w:hint="eastAsia"/>
                <w:color w:val="auto"/>
                <w:highlight w:val="none"/>
              </w:rPr>
              <w:t xml:space="preserve">其他未列明行业</w:t>
            </w:r>
            <w:r/>
          </w:p>
        </w:tc>
      </w:tr>
    </w:tbl>
    <w:p>
      <w:pPr>
        <w:pStyle w:val="1027"/>
        <w:rPr>
          <w:rFonts w:hint="eastAsia"/>
          <w:highlight w:val="none"/>
        </w:rPr>
      </w:pPr>
      <w:r>
        <w:rPr>
          <w:rFonts w:hint="eastAsia"/>
          <w:highlight w:val="none"/>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rPr>
          <w:rFonts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t xml:space="preserve">第五章  定标原则和评审标准</w:t>
      </w:r>
      <w:r/>
    </w:p>
    <w:p>
      <w:pPr>
        <w:pStyle w:val="1066"/>
        <w:spacing w:before="0" w:after="0" w:line="48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一、</w:t>
      </w:r>
      <w:r>
        <w:rPr>
          <w:rFonts w:hint="eastAsia" w:ascii="宋体" w:hAnsi="宋体"/>
          <w:color w:val="000000" w:themeColor="text1"/>
          <w:highlight w:val="none"/>
          <w14:textFill>
            <w14:solidFill>
              <w14:schemeClr w14:val="tx1"/>
            </w14:solidFill>
          </w14:textFill>
        </w:rPr>
        <w:t xml:space="preserve">磋商小组</w:t>
      </w:r>
      <w:r/>
    </w:p>
    <w:p>
      <w:pPr>
        <w:pStyle w:val="1066"/>
        <w:spacing w:before="0" w:after="0" w:line="48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本采购项目磋商小组的评委由相关的专家、采购人代表等有关人员构成。</w:t>
      </w:r>
      <w:r/>
    </w:p>
    <w:p>
      <w:pPr>
        <w:pStyle w:val="1066"/>
        <w:spacing w:before="0" w:after="0" w:line="480" w:lineRule="exact"/>
        <w:rPr>
          <w:rFonts w:hint="eastAsia"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二</w:t>
      </w:r>
      <w:r>
        <w:rPr>
          <w:rFonts w:hint="eastAsia" w:ascii="宋体" w:hAnsi="宋体"/>
          <w:color w:val="000000" w:themeColor="text1"/>
          <w:highlight w:val="none"/>
          <w14:textFill>
            <w14:solidFill>
              <w14:schemeClr w14:val="tx1"/>
            </w14:solidFill>
          </w14:textFill>
        </w:rPr>
        <w:t xml:space="preserve">、定标原则</w:t>
      </w:r>
      <w:r/>
    </w:p>
    <w:p>
      <w:pPr>
        <w:pStyle w:val="1066"/>
        <w:spacing w:before="0" w:after="0" w:line="48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77"/>
        <w:spacing w:line="480" w:lineRule="exact"/>
        <w:tabs>
          <w:tab w:val="left" w:pos="900" w:leader="none"/>
        </w:tabs>
        <w:rPr>
          <w:rFonts w:hint="eastAsia" w:ascii="宋体" w:hAnsi="宋体" w:cs="Arial"/>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rPr>
          <w:rFonts w:hint="eastAsia" w:ascii="宋体" w:hAnsi="宋体" w:cs="Arial"/>
          <w:color w:val="000000" w:themeColor="text1"/>
          <w:sz w:val="24"/>
          <w:highlight w:val="none"/>
          <w14:textFill>
            <w14:solidFill>
              <w14:schemeClr w14:val="tx1"/>
            </w14:solidFill>
          </w14:textFill>
        </w:rPr>
        <w:t xml:space="preserve">本项目选取1名成交候选人。</w:t>
      </w:r>
      <w:r/>
    </w:p>
    <w:p>
      <w:pPr>
        <w:pStyle w:val="1066"/>
        <w:ind w:firstLine="441"/>
        <w:spacing w:before="0" w:after="0" w:line="480" w:lineRule="exac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政府采购政策功能落实</w:t>
      </w:r>
      <w:r/>
    </w:p>
    <w:p>
      <w:pPr>
        <w:pStyle w:val="1055"/>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1、小微型企业价格扣除</w:t>
      </w:r>
      <w:r/>
    </w:p>
    <w:p>
      <w:pPr>
        <w:pStyle w:val="1055"/>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（1）本项目对小型和微型企业产品给予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的扣除价格，用扣除后的价格参与评审。</w:t>
      </w:r>
      <w:r/>
    </w:p>
    <w:p>
      <w:pPr>
        <w:pStyle w:val="1055"/>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pStyle w:val="1055"/>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pStyle w:val="1055"/>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2、残疾人福利单位价格扣除</w:t>
      </w:r>
      <w:r/>
    </w:p>
    <w:p>
      <w:pPr>
        <w:pStyle w:val="1055"/>
        <w:ind w:left="120"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（1）本项目对残疾人福利性单位视同小型、微型企业，给予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20%</w:t>
      </w:r>
      <w:r/>
    </w:p>
    <w:p>
      <w:pPr>
        <w:pStyle w:val="1055"/>
        <w:ind w:left="120"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（2）残疾人福利单位需按照采购文件的要求提供《残疾人福利性单位声明函》。</w:t>
      </w:r>
      <w:r/>
    </w:p>
    <w:p>
      <w:pPr>
        <w:pStyle w:val="1055"/>
        <w:ind w:left="120"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pStyle w:val="1055"/>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3、监狱和戒毒企业价格扣除</w:t>
      </w:r>
      <w:r/>
    </w:p>
    <w:p>
      <w:pPr>
        <w:pStyle w:val="1055"/>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（1）本项目对监狱和戒毒企业（简称监狱企业）视同小型、微型企业，给予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20%</w:t>
      </w:r>
      <w:r/>
    </w:p>
    <w:p>
      <w:pPr>
        <w:pStyle w:val="1055"/>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5"/>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pStyle w:val="1058"/>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pStyle w:val="1055"/>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1055"/>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价格扣除，用扣除后的价格参与评审。</w:t>
      </w:r>
      <w:r/>
    </w:p>
    <w:p>
      <w:pPr>
        <w:pStyle w:val="1058"/>
        <w:ind w:firstLine="480"/>
        <w:rPr>
          <w:rFonts w:hint="eastAsia" w:ascii="宋体" w:hAnsi="宋体" w:eastAsia="宋体" w:cs="宋体"/>
          <w:sz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1066"/>
        <w:spacing w:line="5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三、评标标准</w:t>
      </w:r>
      <w:bookmarkEnd w:id="146"/>
      <w:r/>
      <w:bookmarkEnd w:id="147"/>
      <w:r/>
      <w:bookmarkEnd w:id="148"/>
      <w:r/>
      <w:r/>
    </w:p>
    <w:p>
      <w:pPr>
        <w:ind w:right="0" w:firstLine="480"/>
        <w:pageBreakBefore w:val="0"/>
        <w:spacing w:line="400" w:lineRule="exact"/>
        <w:rPr>
          <w:rFonts w:ascii="宋体" w:hAnsi="宋体" w:cs="Courier New"/>
          <w:bCs/>
          <w:color w:val="auto"/>
          <w:sz w:val="24"/>
          <w:highlight w:val="none"/>
        </w:rPr>
      </w:pPr>
      <w:r/>
      <w:bookmarkStart w:id="150" w:name="_Hlt26955039"/>
      <w:r/>
      <w:bookmarkStart w:id="151" w:name="_Hlt26671244"/>
      <w:r/>
      <w:bookmarkStart w:id="152" w:name="_Toc26554094"/>
      <w:r>
        <w:rPr>
          <w:rFonts w:hint="eastAsia" w:ascii="宋体" w:hAnsi="宋体" w:cs="Arial"/>
          <w:color w:val="auto"/>
          <w:sz w:val="24"/>
          <w:highlight w:val="none"/>
        </w:rPr>
        <w:t xml:space="preserve">评标时，评标委员会各成员独立对每个投标人的投标文件进行评价，并汇总每个投标人的得分。</w:t>
      </w:r>
      <w:r>
        <w:rPr>
          <w:rFonts w:hint="eastAsia" w:ascii="宋体" w:hAnsi="宋体" w:cs="Courier New"/>
          <w:bCs/>
          <w:color w:val="auto"/>
          <w:sz w:val="24"/>
          <w:highlight w:val="none"/>
        </w:rPr>
        <w:t xml:space="preserve">本项目评分总分值为</w:t>
      </w:r>
      <w:r>
        <w:rPr>
          <w:rFonts w:ascii="宋体" w:hAnsi="宋体" w:cs="Courier New"/>
          <w:bCs/>
          <w:color w:val="auto"/>
          <w:sz w:val="24"/>
          <w:highlight w:val="none"/>
        </w:rPr>
        <w:t xml:space="preserve">100</w:t>
      </w:r>
      <w:r>
        <w:rPr>
          <w:rFonts w:hint="eastAsia" w:ascii="宋体" w:hAnsi="宋体" w:cs="Courier New"/>
          <w:bCs/>
          <w:color w:val="auto"/>
          <w:sz w:val="24"/>
          <w:highlight w:val="none"/>
        </w:rPr>
        <w:t xml:space="preserve">分。</w:t>
      </w:r>
      <w:r/>
    </w:p>
    <w:tbl>
      <w:tblPr>
        <w:tblStyle w:val="1026"/>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482"/>
        <w:gridCol w:w="7460"/>
      </w:tblGrid>
      <w:tr>
        <w:trPr>
          <w:jc w:val="center"/>
          <w:trHeight w:val="456"/>
        </w:trPr>
        <w:tc>
          <w:tcPr>
            <w:tcW w:w="725" w:type="dxa"/>
            <w:vAlign w:val="center"/>
            <w:textDirection w:val="lrTb"/>
            <w:noWrap w:val="false"/>
          </w:tcPr>
          <w:p>
            <w:pPr>
              <w:jc w:val="center"/>
              <w:keepLines w:val="0"/>
              <w:keepNext w:val="0"/>
              <w:pageBreakBefore w:val="0"/>
              <w:spacing w:line="240" w:lineRule="auto"/>
              <w:widowControl w:val="off"/>
              <w:tabs>
                <w:tab w:val="left" w:pos="3000" w:leader="none"/>
              </w:tabs>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序号</w:t>
            </w:r>
            <w:r/>
          </w:p>
        </w:tc>
        <w:tc>
          <w:tcPr>
            <w:tcW w:w="1482" w:type="dxa"/>
            <w:vAlign w:val="center"/>
            <w:textDirection w:val="lrTb"/>
            <w:noWrap w:val="false"/>
          </w:tcPr>
          <w:p>
            <w:pPr>
              <w:jc w:val="center"/>
              <w:keepLines w:val="0"/>
              <w:keepNext w:val="0"/>
              <w:pageBreakBefore w:val="0"/>
              <w:spacing w:line="240" w:lineRule="auto"/>
              <w:widowControl w:val="off"/>
              <w:tabs>
                <w:tab w:val="left" w:pos="3000" w:leader="none"/>
              </w:tabs>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评审因素</w:t>
            </w:r>
            <w:r/>
          </w:p>
        </w:tc>
        <w:tc>
          <w:tcPr>
            <w:tcW w:w="7460" w:type="dxa"/>
            <w:vAlign w:val="center"/>
            <w:textDirection w:val="lrTb"/>
            <w:noWrap w:val="false"/>
          </w:tcPr>
          <w:p>
            <w:pPr>
              <w:jc w:val="center"/>
              <w:keepLines w:val="0"/>
              <w:keepNext w:val="0"/>
              <w:pageBreakBefore w:val="0"/>
              <w:spacing w:line="240" w:lineRule="auto"/>
              <w:widowControl w:val="off"/>
              <w:tabs>
                <w:tab w:val="left" w:pos="3000" w:leader="none"/>
              </w:tabs>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评审内容</w:t>
            </w:r>
            <w:r/>
          </w:p>
        </w:tc>
      </w:tr>
      <w:tr>
        <w:trPr>
          <w:jc w:val="center"/>
          <w:trHeight w:val="1030"/>
        </w:trPr>
        <w:tc>
          <w:tcPr>
            <w:tcW w:w="725" w:type="dxa"/>
            <w:vAlign w:val="center"/>
            <w:textDirection w:val="lrTb"/>
            <w:noWrap w:val="false"/>
          </w:tcPr>
          <w:p>
            <w:pPr>
              <w:jc w:val="center"/>
              <w:keepLines w:val="0"/>
              <w:keepNext w:val="0"/>
              <w:pageBreakBefore w:val="0"/>
              <w:spacing w:line="360" w:lineRule="exact"/>
              <w:widowControl w:val="off"/>
              <w:tabs>
                <w:tab w:val="left" w:pos="9000" w:leader="none"/>
              </w:tabs>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w:t>
            </w:r>
            <w:r/>
          </w:p>
        </w:tc>
        <w:tc>
          <w:tcPr>
            <w:tcW w:w="1482" w:type="dxa"/>
            <w:vAlign w:val="center"/>
            <w:textDirection w:val="lrTb"/>
            <w:noWrap w:val="false"/>
          </w:tcPr>
          <w:p>
            <w:pPr>
              <w:jc w:val="center"/>
              <w:keepLines w:val="0"/>
              <w:keepNext w:val="0"/>
              <w:pageBreakBefore w:val="0"/>
              <w:spacing w:line="360" w:lineRule="exact"/>
              <w:widowControl w:val="off"/>
              <w:tabs>
                <w:tab w:val="left" w:pos="9000" w:leader="none"/>
              </w:tabs>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价格部分</w:t>
            </w:r>
            <w:r/>
          </w:p>
          <w:p>
            <w:pPr>
              <w:jc w:val="center"/>
              <w:keepLines w:val="0"/>
              <w:keepNext w:val="0"/>
              <w:pageBreakBefore w:val="0"/>
              <w:spacing w:line="360" w:lineRule="exact"/>
              <w:widowControl w:val="off"/>
              <w:tabs>
                <w:tab w:val="left" w:pos="9000" w:leader="none"/>
              </w:tabs>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20</w:t>
            </w:r>
            <w:r>
              <w:rPr>
                <w:rFonts w:hint="eastAsia" w:asciiTheme="minorEastAsia" w:hAnsiTheme="minorEastAsia" w:eastAsiaTheme="minorEastAsia" w:cstheme="minorEastAsia"/>
                <w:b w:val="0"/>
                <w:bCs/>
                <w:color w:val="auto"/>
                <w:sz w:val="24"/>
                <w:szCs w:val="24"/>
                <w:highlight w:val="none"/>
              </w:rPr>
              <w:t xml:space="preserve">分）</w:t>
            </w:r>
            <w:r/>
          </w:p>
        </w:tc>
        <w:tc>
          <w:tcPr>
            <w:tcW w:w="7460" w:type="dxa"/>
            <w:vAlign w:val="center"/>
            <w:textDirection w:val="lrTb"/>
            <w:noWrap w:val="false"/>
          </w:tcPr>
          <w:p>
            <w:pPr>
              <w:pStyle w:val="1121"/>
              <w:jc w:val="both"/>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满足</w:t>
            </w:r>
            <w:r>
              <w:rPr>
                <w:rFonts w:hint="eastAsia" w:asciiTheme="minorEastAsia" w:hAnsiTheme="minorEastAsia" w:eastAsiaTheme="minorEastAsia" w:cstheme="minorEastAsia"/>
                <w:b w:val="0"/>
                <w:bCs/>
                <w:color w:val="auto"/>
                <w:sz w:val="24"/>
                <w:szCs w:val="24"/>
                <w:highlight w:val="none"/>
                <w:lang w:val="en-US" w:eastAsia="zh-CN"/>
              </w:rPr>
              <w:t xml:space="preserve">磋商</w:t>
            </w:r>
            <w:r>
              <w:rPr>
                <w:rFonts w:hint="eastAsia" w:asciiTheme="minorEastAsia" w:hAnsiTheme="minorEastAsia" w:eastAsiaTheme="minorEastAsia" w:cstheme="minorEastAsia"/>
                <w:b w:val="0"/>
                <w:bCs/>
                <w:color w:val="auto"/>
                <w:sz w:val="24"/>
                <w:szCs w:val="24"/>
                <w:highlight w:val="none"/>
              </w:rPr>
              <w:t xml:space="preserve">文件要求且投标价格最低的投标报价为评标基准价，其价格分为满分。其他投标人的价格分，统一按照下列公式计算：</w:t>
            </w:r>
            <w:r/>
          </w:p>
          <w:p>
            <w:pPr>
              <w:pStyle w:val="1121"/>
              <w:jc w:val="both"/>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投标报价得分=(评标基准价／投标报价)×</w:t>
            </w:r>
            <w:r>
              <w:rPr>
                <w:rFonts w:hint="eastAsia" w:asciiTheme="minorEastAsia" w:hAnsiTheme="minorEastAsia" w:eastAsiaTheme="minorEastAsia" w:cstheme="minorEastAsia"/>
                <w:b w:val="0"/>
                <w:bCs/>
                <w:color w:val="auto"/>
                <w:sz w:val="24"/>
                <w:szCs w:val="24"/>
                <w:highlight w:val="none"/>
                <w:lang w:val="en-US" w:eastAsia="zh-CN"/>
              </w:rPr>
              <w:t xml:space="preserve">20</w:t>
            </w:r>
            <w:r>
              <w:rPr>
                <w:rFonts w:hint="eastAsia" w:asciiTheme="minorEastAsia" w:hAnsiTheme="minorEastAsia" w:eastAsiaTheme="minorEastAsia" w:cstheme="minorEastAsia"/>
                <w:b w:val="0"/>
                <w:bCs/>
                <w:color w:val="auto"/>
                <w:sz w:val="24"/>
                <w:szCs w:val="24"/>
                <w:highlight w:val="none"/>
              </w:rPr>
              <w:t xml:space="preserve">（该结果四舍五入，保留两位小数）</w:t>
            </w:r>
            <w:r/>
          </w:p>
        </w:tc>
      </w:tr>
      <w:tr>
        <w:trPr>
          <w:jc w:val="center"/>
          <w:trHeight w:val="910"/>
        </w:trPr>
        <w:tc>
          <w:tcPr>
            <w:tcW w:w="72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w:t>
            </w:r>
            <w:r/>
          </w:p>
        </w:tc>
        <w:tc>
          <w:tcPr>
            <w:tcW w:w="1482" w:type="dxa"/>
            <w:vAlign w:val="center"/>
            <w:textDirection w:val="lrTb"/>
            <w:noWrap w:val="false"/>
          </w:tcPr>
          <w:p>
            <w:pPr>
              <w:pStyle w:val="1027"/>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业绩</w:t>
            </w:r>
            <w:r/>
          </w:p>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10</w:t>
            </w:r>
            <w:r>
              <w:rPr>
                <w:rFonts w:hint="eastAsia" w:asciiTheme="minorEastAsia" w:hAnsiTheme="minorEastAsia" w:eastAsiaTheme="minorEastAsia" w:cstheme="minorEastAsia"/>
                <w:b w:val="0"/>
                <w:bCs/>
                <w:color w:val="auto"/>
                <w:sz w:val="24"/>
                <w:szCs w:val="24"/>
                <w:highlight w:val="none"/>
              </w:rPr>
              <w:t xml:space="preserve">分）</w:t>
            </w:r>
            <w:r/>
          </w:p>
        </w:tc>
        <w:tc>
          <w:tcPr>
            <w:tcW w:w="7460" w:type="dxa"/>
            <w:vAlign w:val="center"/>
            <w:textDirection w:val="lrTb"/>
            <w:noWrap w:val="false"/>
          </w:tcPr>
          <w:p>
            <w:pPr>
              <w:pStyle w:val="1027"/>
              <w:jc w:val="both"/>
              <w:keepLines w:val="0"/>
              <w:keepNext w:val="0"/>
              <w:pageBreakBefore w:val="0"/>
              <w:spacing w:line="360" w:lineRule="exact"/>
              <w:widowControl w:val="off"/>
            </w:pPr>
            <w:r>
              <w:rPr>
                <w:rFonts w:hint="eastAsia" w:asciiTheme="minorEastAsia" w:hAnsiTheme="minorEastAsia" w:eastAsiaTheme="minorEastAsia" w:cstheme="minorEastAsia"/>
                <w:b w:val="0"/>
                <w:bCs/>
                <w:color w:val="auto"/>
                <w:sz w:val="24"/>
                <w:szCs w:val="24"/>
                <w:highlight w:val="none"/>
                <w:lang w:eastAsia="zh-CN"/>
              </w:rPr>
              <w:t xml:space="preserve">投标人自2020年1月1日以来（以合同签订时间为准）承担过类似项目（如耕地保护专项规划、国土空间规划等）业绩的每个得3.5分，最高得10分。</w:t>
            </w:r>
            <w:r>
              <w:rPr>
                <w:rFonts w:hint="eastAsia" w:asciiTheme="minorEastAsia" w:hAnsiTheme="minorEastAsia" w:eastAsiaTheme="minorEastAsia" w:cstheme="minorEastAsia"/>
                <w:b w:val="0"/>
                <w:bCs/>
                <w:color w:val="auto"/>
                <w:sz w:val="24"/>
                <w:szCs w:val="24"/>
                <w:highlight w:val="none"/>
                <w:lang w:eastAsia="zh-CN"/>
              </w:rPr>
            </w:r>
            <w:r/>
          </w:p>
          <w:p>
            <w:pPr>
              <w:pStyle w:val="1027"/>
              <w:jc w:val="both"/>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 xml:space="preserve">注：提供合同原件扫描件，合同须能反映项目名称、主要标的物、签订时间、单位公章或专用合同章,如不能反映的，另须提供盖有原委托单位公章的证明，否则不予认可。</w:t>
            </w:r>
            <w:r>
              <w:rPr>
                <w:rFonts w:hint="eastAsia" w:asciiTheme="minorEastAsia" w:hAnsiTheme="minorEastAsia" w:eastAsiaTheme="minorEastAsia" w:cstheme="minorEastAsia"/>
                <w:b w:val="0"/>
                <w:bCs/>
                <w:color w:val="auto"/>
                <w:sz w:val="24"/>
                <w:szCs w:val="24"/>
                <w:highlight w:val="none"/>
                <w:lang w:eastAsia="zh-CN"/>
              </w:rPr>
            </w:r>
            <w:r/>
          </w:p>
        </w:tc>
      </w:tr>
      <w:tr>
        <w:trPr>
          <w:jc w:val="center"/>
          <w:trHeight w:val="551"/>
        </w:trPr>
        <w:tc>
          <w:tcPr>
            <w:tcW w:w="72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3</w:t>
            </w:r>
            <w:r/>
          </w:p>
        </w:tc>
        <w:tc>
          <w:tcPr>
            <w:tcW w:w="1482"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eastAsia="宋体" w:asciiTheme="minorEastAsia" w:hAnsiTheme="minorEastAsia" w:cstheme="minorEastAsia"/>
                <w:b w:val="0"/>
                <w:bCs/>
                <w:color w:val="auto"/>
                <w:sz w:val="24"/>
                <w:szCs w:val="24"/>
                <w:highlight w:val="none"/>
                <w:lang w:val="en-US" w:eastAsia="zh-CN"/>
              </w:rPr>
              <w:t xml:space="preserve">企业综合实力</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7</w:t>
            </w:r>
            <w:r>
              <w:rPr>
                <w:rFonts w:hint="eastAsia" w:asciiTheme="minorEastAsia" w:hAnsiTheme="minorEastAsia" w:eastAsiaTheme="minorEastAsia" w:cstheme="minorEastAsia"/>
                <w:b w:val="0"/>
                <w:bCs/>
                <w:color w:val="auto"/>
                <w:sz w:val="24"/>
                <w:szCs w:val="24"/>
                <w:highlight w:val="none"/>
              </w:rPr>
              <w:t xml:space="preserve">分）</w:t>
            </w:r>
            <w:r/>
          </w:p>
        </w:tc>
        <w:tc>
          <w:tcPr>
            <w:tcW w:w="7460" w:type="dxa"/>
            <w:vAlign w:val="center"/>
            <w:textDirection w:val="lrTb"/>
            <w:noWrap w:val="false"/>
          </w:tcPr>
          <w:p>
            <w:pPr>
              <w:pStyle w:val="1027"/>
              <w:jc w:val="both"/>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lang w:eastAsia="zh-CN" w:bidi="zh-CN"/>
              </w:rPr>
            </w:pPr>
            <w:r>
              <w:rPr>
                <w:rFonts w:hint="eastAsia" w:asciiTheme="minorEastAsia" w:hAnsiTheme="minorEastAsia" w:eastAsiaTheme="minorEastAsia" w:cstheme="minorEastAsia"/>
                <w:b w:val="0"/>
                <w:bCs/>
                <w:color w:val="auto"/>
                <w:sz w:val="24"/>
                <w:szCs w:val="24"/>
                <w:highlight w:val="none"/>
                <w:lang w:val="en-US" w:eastAsia="zh-CN" w:bidi="zh-CN"/>
              </w:rPr>
              <w:t xml:space="preserve">1、</w:t>
            </w:r>
            <w:r>
              <w:rPr>
                <w:rFonts w:hint="eastAsia" w:asciiTheme="minorEastAsia" w:hAnsiTheme="minorEastAsia" w:eastAsiaTheme="minorEastAsia" w:cstheme="minorEastAsia"/>
                <w:b w:val="0"/>
                <w:bCs/>
                <w:color w:val="auto"/>
                <w:sz w:val="24"/>
                <w:szCs w:val="24"/>
                <w:highlight w:val="none"/>
                <w:lang w:eastAsia="zh-CN" w:bidi="zh-CN"/>
              </w:rPr>
              <w:t xml:space="preserve">供应商具有有效且通过年检的质量管理体系认证、环境管理体系认证和职业健康安全管理体系认证证书的，每个得</w:t>
            </w:r>
            <w:r>
              <w:rPr>
                <w:rFonts w:hint="eastAsia" w:asciiTheme="minorEastAsia" w:hAnsiTheme="minorEastAsia" w:eastAsiaTheme="minorEastAsia" w:cstheme="minorEastAsia"/>
                <w:b w:val="0"/>
                <w:bCs/>
                <w:color w:val="auto"/>
                <w:sz w:val="24"/>
                <w:szCs w:val="24"/>
                <w:highlight w:val="none"/>
                <w:lang w:val="en-US" w:eastAsia="zh-CN" w:bidi="zh-CN"/>
              </w:rPr>
              <w:t xml:space="preserve">1</w:t>
            </w:r>
            <w:r>
              <w:rPr>
                <w:rFonts w:hint="eastAsia" w:asciiTheme="minorEastAsia" w:hAnsiTheme="minorEastAsia" w:eastAsiaTheme="minorEastAsia" w:cstheme="minorEastAsia"/>
                <w:b w:val="0"/>
                <w:bCs/>
                <w:color w:val="auto"/>
                <w:sz w:val="24"/>
                <w:szCs w:val="24"/>
                <w:highlight w:val="none"/>
                <w:lang w:eastAsia="zh-CN" w:bidi="zh-CN"/>
              </w:rPr>
              <w:t xml:space="preserve">分，最高得</w:t>
            </w:r>
            <w:r>
              <w:rPr>
                <w:rFonts w:hint="eastAsia" w:asciiTheme="minorEastAsia" w:hAnsiTheme="minorEastAsia" w:eastAsiaTheme="minorEastAsia" w:cstheme="minorEastAsia"/>
                <w:b w:val="0"/>
                <w:bCs/>
                <w:color w:val="auto"/>
                <w:sz w:val="24"/>
                <w:szCs w:val="24"/>
                <w:highlight w:val="none"/>
                <w:lang w:val="en-US" w:eastAsia="zh-CN" w:bidi="zh-CN"/>
              </w:rPr>
              <w:t xml:space="preserve">3</w:t>
            </w:r>
            <w:r>
              <w:rPr>
                <w:rFonts w:hint="eastAsia" w:asciiTheme="minorEastAsia" w:hAnsiTheme="minorEastAsia" w:eastAsiaTheme="minorEastAsia" w:cstheme="minorEastAsia"/>
                <w:b w:val="0"/>
                <w:bCs/>
                <w:color w:val="auto"/>
                <w:sz w:val="24"/>
                <w:szCs w:val="24"/>
                <w:highlight w:val="none"/>
                <w:lang w:eastAsia="zh-CN" w:bidi="zh-CN"/>
              </w:rPr>
              <w:t xml:space="preserve">分。</w:t>
            </w:r>
            <w:r/>
          </w:p>
          <w:p>
            <w:pPr>
              <w:pStyle w:val="1027"/>
              <w:jc w:val="both"/>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lang w:eastAsia="zh-CN" w:bidi="zh-CN"/>
              </w:rPr>
            </w:pPr>
            <w:r>
              <w:rPr>
                <w:rFonts w:hint="eastAsia" w:asciiTheme="minorEastAsia" w:hAnsiTheme="minorEastAsia" w:eastAsiaTheme="minorEastAsia" w:cstheme="minorEastAsia"/>
                <w:b w:val="0"/>
                <w:bCs/>
                <w:color w:val="auto"/>
                <w:sz w:val="24"/>
                <w:szCs w:val="24"/>
                <w:highlight w:val="none"/>
                <w:lang w:val="en-US" w:eastAsia="zh-CN" w:bidi="zh-CN"/>
              </w:rPr>
              <w:t xml:space="preserve">注：</w:t>
            </w:r>
            <w:r>
              <w:rPr>
                <w:rFonts w:hint="eastAsia" w:asciiTheme="minorEastAsia" w:hAnsiTheme="minorEastAsia" w:eastAsiaTheme="minorEastAsia" w:cstheme="minorEastAsia"/>
                <w:b w:val="0"/>
                <w:bCs/>
                <w:color w:val="auto"/>
                <w:sz w:val="24"/>
                <w:szCs w:val="24"/>
                <w:highlight w:val="none"/>
                <w:lang w:val="zh-CN" w:eastAsia="zh-CN" w:bidi="zh-CN"/>
              </w:rPr>
              <w:t xml:space="preserve">提供</w:t>
            </w:r>
            <w:r>
              <w:rPr>
                <w:rFonts w:hint="eastAsia" w:asciiTheme="minorEastAsia" w:hAnsiTheme="minorEastAsia" w:eastAsiaTheme="minorEastAsia" w:cstheme="minorEastAsia"/>
                <w:b w:val="0"/>
                <w:bCs/>
                <w:color w:val="auto"/>
                <w:sz w:val="24"/>
                <w:szCs w:val="24"/>
                <w:highlight w:val="none"/>
                <w:lang w:val="en-US" w:eastAsia="zh-CN" w:bidi="zh-CN"/>
              </w:rPr>
              <w:t xml:space="preserve">相关</w:t>
            </w:r>
            <w:r>
              <w:rPr>
                <w:rFonts w:hint="eastAsia" w:asciiTheme="minorEastAsia" w:hAnsiTheme="minorEastAsia" w:eastAsiaTheme="minorEastAsia" w:cstheme="minorEastAsia"/>
                <w:b w:val="0"/>
                <w:bCs/>
                <w:color w:val="auto"/>
                <w:sz w:val="24"/>
                <w:szCs w:val="24"/>
                <w:highlight w:val="none"/>
                <w:lang w:val="zh-CN" w:eastAsia="zh-CN" w:bidi="zh-CN"/>
              </w:rPr>
              <w:t xml:space="preserve">证书</w:t>
            </w:r>
            <w:r>
              <w:rPr>
                <w:rFonts w:hint="eastAsia" w:asciiTheme="minorEastAsia" w:hAnsiTheme="minorEastAsia" w:eastAsiaTheme="minorEastAsia" w:cstheme="minorEastAsia"/>
                <w:b w:val="0"/>
                <w:bCs/>
                <w:color w:val="auto"/>
                <w:sz w:val="24"/>
                <w:szCs w:val="24"/>
                <w:highlight w:val="none"/>
                <w:lang w:val="en-US" w:eastAsia="zh-CN" w:bidi="zh-CN"/>
              </w:rPr>
              <w:t xml:space="preserve">原件扫描件。</w:t>
            </w:r>
            <w:r/>
          </w:p>
          <w:p>
            <w:pPr>
              <w:pStyle w:val="1027"/>
              <w:jc w:val="both"/>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lang w:eastAsia="zh-CN" w:bidi="zh-CN"/>
              </w:rPr>
            </w:pPr>
            <w:r>
              <w:rPr>
                <w:rFonts w:hint="eastAsia" w:asciiTheme="minorEastAsia" w:hAnsiTheme="minorEastAsia" w:eastAsiaTheme="minorEastAsia" w:cstheme="minorEastAsia"/>
                <w:b w:val="0"/>
                <w:bCs/>
                <w:color w:val="auto"/>
                <w:sz w:val="24"/>
                <w:szCs w:val="24"/>
                <w:highlight w:val="none"/>
                <w:lang w:val="en-US" w:eastAsia="zh-CN" w:bidi="zh-CN"/>
              </w:rPr>
              <w:t xml:space="preserve">2、供应商自2020年1月1日以来主持或参与编制的土地类、规划类相关项目获得相关主管部门颁发的省部级及以上奖项或表彰的每一项得4分，获得相关主管部门颁发的市厅级奖项或表彰的每一项得2分，获得相关主管部门颁发的区县级奖项或表彰的每一项得1分，本项最高得4分。</w:t>
            </w:r>
            <w:r/>
          </w:p>
          <w:p>
            <w:pPr>
              <w:pStyle w:val="1027"/>
              <w:jc w:val="both"/>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注：</w:t>
            </w:r>
            <w:r>
              <w:rPr>
                <w:rFonts w:hint="eastAsia" w:asciiTheme="minorEastAsia" w:hAnsiTheme="minorEastAsia" w:eastAsiaTheme="minorEastAsia" w:cstheme="minorEastAsia"/>
                <w:b w:val="0"/>
                <w:bCs/>
                <w:color w:val="auto"/>
                <w:sz w:val="24"/>
                <w:szCs w:val="24"/>
                <w:highlight w:val="none"/>
                <w:lang w:val="zh-CN"/>
              </w:rPr>
              <w:t xml:space="preserve">提供</w:t>
            </w:r>
            <w:r>
              <w:rPr>
                <w:rFonts w:hint="eastAsia" w:eastAsia="宋体" w:asciiTheme="minorEastAsia" w:hAnsiTheme="minorEastAsia" w:cstheme="minorEastAsia"/>
                <w:b w:val="0"/>
                <w:bCs/>
                <w:color w:val="auto"/>
                <w:sz w:val="24"/>
                <w:szCs w:val="24"/>
                <w:highlight w:val="none"/>
                <w:lang w:val="en-US" w:eastAsia="zh-CN"/>
              </w:rPr>
              <w:t xml:space="preserve">表彰材料</w:t>
            </w:r>
            <w:r>
              <w:rPr>
                <w:rFonts w:hint="eastAsia" w:asciiTheme="minorEastAsia" w:hAnsiTheme="minorEastAsia" w:eastAsiaTheme="minorEastAsia" w:cstheme="minorEastAsia"/>
                <w:b w:val="0"/>
                <w:bCs/>
                <w:color w:val="auto"/>
                <w:sz w:val="24"/>
                <w:szCs w:val="24"/>
                <w:highlight w:val="none"/>
                <w:lang w:val="en-US" w:eastAsia="zh-CN"/>
              </w:rPr>
              <w:t xml:space="preserve">原件扫描件。</w:t>
            </w:r>
            <w:r/>
          </w:p>
        </w:tc>
      </w:tr>
      <w:tr>
        <w:trPr>
          <w:jc w:val="center"/>
          <w:trHeight w:val="0"/>
        </w:trPr>
        <w:tc>
          <w:tcPr>
            <w:tcW w:w="72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4</w:t>
            </w:r>
            <w:r/>
          </w:p>
        </w:tc>
        <w:tc>
          <w:tcPr>
            <w:tcW w:w="1482" w:type="dxa"/>
            <w:vAlign w:val="center"/>
            <w:textDirection w:val="lrTb"/>
            <w:noWrap w:val="false"/>
          </w:tcPr>
          <w:p>
            <w:pPr>
              <w:pStyle w:val="1033"/>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人员配备</w:t>
            </w:r>
            <w:r/>
          </w:p>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10</w:t>
            </w:r>
            <w:r>
              <w:rPr>
                <w:rFonts w:hint="eastAsia" w:asciiTheme="minorEastAsia" w:hAnsiTheme="minorEastAsia" w:eastAsiaTheme="minorEastAsia" w:cstheme="minorEastAsia"/>
                <w:b w:val="0"/>
                <w:bCs/>
                <w:color w:val="auto"/>
                <w:sz w:val="24"/>
                <w:szCs w:val="24"/>
                <w:highlight w:val="none"/>
              </w:rPr>
              <w:t xml:space="preserve">分）</w:t>
            </w:r>
            <w:r/>
          </w:p>
        </w:tc>
        <w:tc>
          <w:tcPr>
            <w:tcW w:w="7460" w:type="dxa"/>
            <w:vAlign w:val="center"/>
            <w:textDirection w:val="lrTb"/>
            <w:noWrap w:val="false"/>
          </w:tcPr>
          <w:p>
            <w:pPr>
              <w:pStyle w:val="1027"/>
              <w:jc w:val="both"/>
              <w:keepLines w:val="0"/>
              <w:keepNext w:val="0"/>
              <w:pageBreakBefore w:val="0"/>
              <w:spacing w:line="360" w:lineRule="exact"/>
              <w:widowControl w:val="off"/>
            </w:pPr>
            <w:r>
              <w:rPr>
                <w:rFonts w:hint="eastAsia"/>
                <w:color w:val="auto"/>
                <w:highlight w:val="none"/>
                <w:lang w:val="zh-CN" w:eastAsia="zh-CN"/>
              </w:rPr>
              <w:t xml:space="preserve">1.投标人拟派本项目的项目负责人具有土地、规划或测绘等相关专业高级及以上职称的得2分，中级职称的得1分，本项最高得2分。</w:t>
            </w:r>
            <w:r>
              <w:rPr>
                <w:rFonts w:hint="eastAsia"/>
                <w:color w:val="auto"/>
                <w:highlight w:val="none"/>
                <w:lang w:val="zh-CN" w:eastAsia="zh-CN"/>
              </w:rPr>
            </w:r>
            <w:r/>
          </w:p>
          <w:p>
            <w:pPr>
              <w:pStyle w:val="1027"/>
              <w:jc w:val="both"/>
              <w:keepLines w:val="0"/>
              <w:keepNext w:val="0"/>
              <w:pageBreakBefore w:val="0"/>
              <w:spacing w:line="360" w:lineRule="exact"/>
              <w:widowControl w:val="off"/>
            </w:pPr>
            <w:r>
              <w:rPr>
                <w:rFonts w:hint="eastAsia"/>
                <w:color w:val="auto"/>
                <w:highlight w:val="none"/>
                <w:lang w:val="zh-CN" w:eastAsia="zh-CN"/>
              </w:rPr>
              <w:t xml:space="preserve">2.投标人拟派本项目的技术负责人具有土地、规划或测绘等相关专业高级及以上职称的得2分，中级职称的得1分，该人员获得土地、规划类奖项的，有1个得2分，最高得4分，本项最高得6分。</w:t>
            </w:r>
            <w:r>
              <w:rPr>
                <w:rFonts w:hint="eastAsia"/>
                <w:color w:val="auto"/>
                <w:highlight w:val="none"/>
                <w:lang w:val="zh-CN" w:eastAsia="zh-CN"/>
              </w:rPr>
            </w:r>
            <w:r/>
          </w:p>
          <w:p>
            <w:pPr>
              <w:pStyle w:val="1027"/>
              <w:jc w:val="both"/>
              <w:keepLines w:val="0"/>
              <w:keepNext w:val="0"/>
              <w:pageBreakBefore w:val="0"/>
              <w:spacing w:line="360" w:lineRule="exact"/>
              <w:widowControl w:val="off"/>
            </w:pPr>
            <w:r>
              <w:rPr>
                <w:rFonts w:hint="eastAsia"/>
                <w:color w:val="auto"/>
                <w:highlight w:val="none"/>
                <w:lang w:val="zh-CN" w:eastAsia="zh-CN"/>
              </w:rPr>
              <w:t xml:space="preserve">3.项目组成员（除项目负责人、项目技术负责人外）专业配置齐全（规划、土地、测绘），项目组成员中每有1人具有上述专业高级及以上职称的得2分，中级职称的得1分，本项最高得2分。</w:t>
            </w:r>
            <w:r>
              <w:rPr>
                <w:rFonts w:hint="eastAsia"/>
                <w:color w:val="auto"/>
                <w:highlight w:val="none"/>
                <w:lang w:val="zh-CN" w:eastAsia="zh-CN"/>
              </w:rPr>
            </w:r>
            <w:r/>
          </w:p>
          <w:p>
            <w:pPr>
              <w:pStyle w:val="1027"/>
              <w:jc w:val="both"/>
              <w:keepLines w:val="0"/>
              <w:keepNext w:val="0"/>
              <w:pageBreakBefore w:val="0"/>
              <w:spacing w:line="360" w:lineRule="exact"/>
              <w:widowControl w:val="off"/>
              <w:rPr>
                <w:rFonts w:hint="eastAsia"/>
                <w:color w:val="auto"/>
                <w:highlight w:val="none"/>
                <w:lang w:val="zh-CN" w:eastAsia="zh-CN"/>
              </w:rPr>
            </w:pPr>
            <w:r>
              <w:rPr>
                <w:rFonts w:hint="eastAsia"/>
                <w:color w:val="auto"/>
                <w:highlight w:val="none"/>
                <w:lang w:val="zh-CN" w:eastAsia="zh-CN"/>
              </w:rPr>
              <w:t xml:space="preserve">注：需提供人员职称证书原件扫描件。</w:t>
            </w:r>
            <w:r>
              <w:rPr>
                <w:rFonts w:hint="eastAsia"/>
                <w:color w:val="auto"/>
                <w:highlight w:val="none"/>
                <w:lang w:val="zh-CN" w:eastAsia="zh-CN"/>
              </w:rPr>
            </w:r>
            <w:r/>
          </w:p>
        </w:tc>
      </w:tr>
      <w:tr>
        <w:trPr>
          <w:jc w:val="center"/>
          <w:trHeight w:val="90"/>
        </w:trPr>
        <w:tc>
          <w:tcPr>
            <w:tcW w:w="725"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w:t>
            </w:r>
            <w:r/>
          </w:p>
        </w:tc>
        <w:tc>
          <w:tcPr>
            <w:tcW w:w="1482"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技术部分</w:t>
            </w:r>
            <w:r/>
          </w:p>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53</w:t>
            </w:r>
            <w:r>
              <w:rPr>
                <w:rFonts w:hint="eastAsia" w:asciiTheme="minorEastAsia" w:hAnsiTheme="minorEastAsia" w:eastAsiaTheme="minorEastAsia" w:cstheme="minorEastAsia"/>
                <w:b w:val="0"/>
                <w:bCs/>
                <w:color w:val="auto"/>
                <w:sz w:val="24"/>
                <w:szCs w:val="24"/>
                <w:highlight w:val="none"/>
              </w:rPr>
              <w:t xml:space="preserve">分）</w:t>
            </w:r>
            <w:r/>
          </w:p>
        </w:tc>
        <w:tc>
          <w:tcPr>
            <w:tcBorders>
              <w:top w:val="single" w:color="auto" w:sz="4" w:space="0"/>
            </w:tcBorders>
            <w:tcW w:w="7460" w:type="dxa"/>
            <w:vAlign w:val="center"/>
            <w:textDirection w:val="lrTb"/>
            <w:noWrap w:val="false"/>
          </w:tcPr>
          <w:p>
            <w:pPr>
              <w:pStyle w:val="1027"/>
              <w:jc w:val="both"/>
              <w:keepLines w:val="0"/>
              <w:keepNext w:val="0"/>
              <w:pageBreakBefore w:val="0"/>
              <w:widowControl w:val="off"/>
            </w:pPr>
            <w:r>
              <w:rPr>
                <w:rFonts w:hint="eastAsia" w:asciiTheme="minorEastAsia" w:hAnsiTheme="minorEastAsia" w:eastAsiaTheme="minorEastAsia" w:cstheme="minorEastAsia"/>
                <w:color w:val="auto"/>
                <w:sz w:val="24"/>
                <w:szCs w:val="24"/>
                <w:highlight w:val="none"/>
                <w:lang w:val="zh-CN"/>
              </w:rPr>
              <w:t xml:space="preserve">1、技术路线（9分）</w:t>
            </w:r>
            <w:r>
              <w:rPr>
                <w:rFonts w:hint="eastAsia" w:asciiTheme="minorEastAsia" w:hAnsiTheme="minorEastAsia" w:eastAsiaTheme="minorEastAsia" w:cstheme="minorEastAsia"/>
                <w:color w:val="auto"/>
                <w:sz w:val="24"/>
                <w:szCs w:val="24"/>
                <w:highlight w:val="none"/>
                <w:lang w:val="zh-CN"/>
              </w:rPr>
            </w:r>
            <w:r/>
          </w:p>
          <w:p>
            <w:pPr>
              <w:pStyle w:val="1027"/>
              <w:jc w:val="both"/>
              <w:keepLines w:val="0"/>
              <w:keepNext w:val="0"/>
              <w:pageBreakBefore w:val="0"/>
              <w:widowControl w:val="off"/>
            </w:pPr>
            <w:r>
              <w:rPr>
                <w:rFonts w:hint="eastAsia" w:asciiTheme="minorEastAsia" w:hAnsiTheme="minorEastAsia" w:eastAsiaTheme="minorEastAsia" w:cstheme="minorEastAsia"/>
                <w:color w:val="auto"/>
                <w:sz w:val="24"/>
                <w:szCs w:val="24"/>
                <w:highlight w:val="none"/>
                <w:lang w:val="zh-CN"/>
              </w:rPr>
              <w:t xml:space="preserve">供应商根据本项目第四章中“项目需求”要求，提供有针对性的、科学合理的技术路线，至少包含:①工作技术路线等方面内容。</w:t>
            </w:r>
            <w:r>
              <w:rPr>
                <w:rFonts w:hint="eastAsia" w:asciiTheme="minorEastAsia" w:hAnsiTheme="minorEastAsia" w:eastAsiaTheme="minorEastAsia" w:cstheme="minorEastAsia"/>
                <w:color w:val="auto"/>
                <w:sz w:val="24"/>
                <w:szCs w:val="24"/>
                <w:highlight w:val="none"/>
                <w:lang w:val="zh-CN"/>
              </w:rPr>
            </w:r>
            <w:r/>
          </w:p>
          <w:p>
            <w:pPr>
              <w:pStyle w:val="1027"/>
              <w:jc w:val="both"/>
              <w:keepLines w:val="0"/>
              <w:keepNext w:val="0"/>
              <w:pageBreakBefore w:val="0"/>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以上方案内容完整得9分，每有一内容缺失的扣4.5分;每有一处存在缺陷(缺陷是指不适用于本项目，表述前后不一致或内容矛盾，语句有歧义，仅有框架或标题，涉及的规范及标准错误，套用其他项目内容等任意一种情形)的扣0.9分，直至该项分值4.5分扣完为止，不提供本项不得分。</w:t>
            </w:r>
            <w:r>
              <w:rPr>
                <w:rFonts w:hint="eastAsia" w:asciiTheme="minorEastAsia" w:hAnsiTheme="minorEastAsia" w:eastAsiaTheme="minorEastAsia" w:cstheme="minorEastAsia"/>
                <w:color w:val="auto"/>
                <w:sz w:val="24"/>
                <w:szCs w:val="24"/>
                <w:highlight w:val="none"/>
                <w:lang w:val="zh-CN"/>
              </w:rPr>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en-US" w:eastAsia="zh-CN"/>
              </w:rPr>
              <w:t xml:space="preserve">2、技术方案（12分）</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供应商根据本项目第四章中“项目需求”要求，提供有针对性的、科学合理的技术方案，至少包含:①</w:t>
            </w:r>
            <w:r>
              <w:rPr>
                <w:rStyle w:val="1118"/>
                <w:rFonts w:hint="eastAsia" w:ascii="宋体" w:hAnsi="宋体" w:eastAsia="宋体" w:cs="宋体"/>
                <w:color w:val="000000"/>
                <w:sz w:val="24"/>
                <w:szCs w:val="24"/>
                <w:highlight w:val="none"/>
                <w:lang w:val="en-US" w:eastAsia="zh-CN"/>
              </w:rPr>
              <w:t xml:space="preserve">厘清耕地资源</w:t>
            </w:r>
            <w:r>
              <w:rPr>
                <w:rFonts w:hint="eastAsia" w:asciiTheme="minorEastAsia" w:hAnsiTheme="minorEastAsia" w:eastAsiaTheme="minorEastAsia" w:cstheme="minorEastAsia"/>
                <w:b w:val="0"/>
                <w:bCs/>
                <w:color w:val="auto"/>
                <w:sz w:val="24"/>
                <w:szCs w:val="24"/>
                <w:highlight w:val="none"/>
                <w:lang w:val="en-US" w:eastAsia="zh-CN"/>
              </w:rPr>
              <w:t xml:space="preserve">②</w:t>
            </w:r>
            <w:r>
              <w:rPr>
                <w:rStyle w:val="1118"/>
                <w:rFonts w:hint="eastAsia" w:ascii="宋体" w:hAnsi="宋体" w:eastAsia="宋体" w:cs="宋体"/>
                <w:color w:val="000000"/>
                <w:sz w:val="24"/>
                <w:szCs w:val="24"/>
                <w:highlight w:val="none"/>
                <w:lang w:val="en-US" w:eastAsia="zh-CN"/>
              </w:rPr>
              <w:t xml:space="preserve">摸排耕地恢复潜力</w:t>
            </w:r>
            <w:r>
              <w:rPr>
                <w:rFonts w:hint="eastAsia" w:asciiTheme="minorEastAsia" w:hAnsiTheme="minorEastAsia" w:eastAsiaTheme="minorEastAsia" w:cstheme="minorEastAsia"/>
                <w:b w:val="0"/>
                <w:bCs/>
                <w:color w:val="auto"/>
                <w:sz w:val="24"/>
                <w:szCs w:val="24"/>
                <w:highlight w:val="none"/>
                <w:lang w:val="en-US" w:eastAsia="zh-CN"/>
              </w:rPr>
              <w:t xml:space="preserve">③</w:t>
            </w:r>
            <w:r>
              <w:rPr>
                <w:rStyle w:val="1118"/>
                <w:rFonts w:hint="eastAsia" w:ascii="宋体" w:hAnsi="宋体" w:eastAsia="宋体" w:cs="宋体"/>
                <w:color w:val="000000"/>
                <w:sz w:val="24"/>
                <w:szCs w:val="24"/>
                <w:highlight w:val="none"/>
                <w:lang w:val="en-US" w:eastAsia="zh-CN"/>
              </w:rPr>
              <w:t xml:space="preserve">确定主要规划目标</w:t>
            </w:r>
            <w:r>
              <w:rPr>
                <w:rFonts w:hint="eastAsia" w:asciiTheme="minorEastAsia" w:hAnsiTheme="minorEastAsia" w:eastAsiaTheme="minorEastAsia" w:cstheme="minorEastAsia"/>
                <w:b w:val="0"/>
                <w:bCs/>
                <w:color w:val="auto"/>
                <w:sz w:val="24"/>
                <w:szCs w:val="24"/>
                <w:highlight w:val="none"/>
                <w:lang w:val="en-US" w:eastAsia="zh-CN"/>
              </w:rPr>
              <w:t xml:space="preserve">④</w:t>
            </w:r>
            <w:r>
              <w:rPr>
                <w:rStyle w:val="1118"/>
                <w:rFonts w:hint="eastAsia" w:ascii="宋体" w:hAnsi="宋体" w:eastAsia="宋体" w:cs="宋体"/>
                <w:color w:val="000000"/>
                <w:sz w:val="24"/>
                <w:szCs w:val="24"/>
                <w:highlight w:val="none"/>
                <w:lang w:val="en-US" w:eastAsia="zh-CN"/>
              </w:rPr>
              <w:t xml:space="preserve">优化耕地空间布局</w:t>
            </w:r>
            <w:r>
              <w:rPr>
                <w:rFonts w:hint="eastAsia" w:asciiTheme="minorEastAsia" w:hAnsiTheme="minorEastAsia" w:eastAsiaTheme="minorEastAsia" w:cstheme="minorEastAsia"/>
                <w:b w:val="0"/>
                <w:bCs/>
                <w:color w:val="auto"/>
                <w:sz w:val="24"/>
                <w:szCs w:val="24"/>
                <w:highlight w:val="none"/>
                <w:lang w:val="en-US" w:eastAsia="zh-CN"/>
              </w:rPr>
              <w:t xml:space="preserve">⑤</w:t>
            </w:r>
            <w:r>
              <w:rPr>
                <w:rStyle w:val="1118"/>
                <w:rFonts w:hint="eastAsia" w:ascii="宋体" w:hAnsi="宋体" w:eastAsia="宋体" w:cs="宋体"/>
                <w:color w:val="000000"/>
                <w:sz w:val="24"/>
                <w:szCs w:val="24"/>
                <w:highlight w:val="none"/>
                <w:lang w:val="en-US" w:eastAsia="zh-CN"/>
              </w:rPr>
              <w:t xml:space="preserve">积极谋划重大工程项目</w:t>
            </w:r>
            <w:r>
              <w:rPr>
                <w:rFonts w:hint="eastAsia" w:asciiTheme="minorEastAsia" w:hAnsiTheme="minorEastAsia" w:eastAsiaTheme="minorEastAsia" w:cstheme="minorEastAsia"/>
                <w:b w:val="0"/>
                <w:bCs/>
                <w:color w:val="auto"/>
                <w:sz w:val="24"/>
                <w:szCs w:val="24"/>
                <w:highlight w:val="none"/>
                <w:lang w:val="zh-CN"/>
              </w:rPr>
              <w:t xml:space="preserve">⑥</w:t>
            </w:r>
            <w:r>
              <w:rPr>
                <w:rStyle w:val="1118"/>
                <w:rFonts w:hint="eastAsia" w:ascii="宋体" w:hAnsi="宋体" w:eastAsia="宋体" w:cs="宋体"/>
                <w:color w:val="000000"/>
                <w:sz w:val="24"/>
                <w:szCs w:val="24"/>
                <w:highlight w:val="none"/>
                <w:lang w:val="en-US" w:eastAsia="zh-CN"/>
              </w:rPr>
              <w:t xml:space="preserve">明确规划时序安排</w:t>
            </w:r>
            <w:r>
              <w:rPr>
                <w:rFonts w:hint="eastAsia" w:asciiTheme="minorEastAsia" w:hAnsiTheme="minorEastAsia" w:eastAsiaTheme="minorEastAsia" w:cstheme="minorEastAsia"/>
                <w:b w:val="0"/>
                <w:bCs/>
                <w:color w:val="auto"/>
                <w:sz w:val="24"/>
                <w:szCs w:val="24"/>
                <w:highlight w:val="none"/>
                <w:lang w:val="en-US" w:eastAsia="zh-CN"/>
              </w:rPr>
              <w:t xml:space="preserve">等方面内容。</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以上方案内容完整得12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en-US" w:eastAsia="zh-CN"/>
              </w:rPr>
              <w:t xml:space="preserve">3、质量保证体系及保证措施（12分）</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供应商根据本项目第四章中“项目需求”要求，提供有针对性的、科学合理的质量保证体系及保证措施，至少包含:①质量保证体系;②</w:t>
            </w:r>
            <w:r>
              <w:rPr>
                <w:rStyle w:val="1118"/>
                <w:rFonts w:hint="eastAsia" w:ascii="宋体" w:hAnsi="宋体" w:eastAsia="宋体" w:cs="宋体"/>
                <w:color w:val="000000"/>
                <w:sz w:val="24"/>
                <w:szCs w:val="24"/>
                <w:highlight w:val="none"/>
                <w:lang w:val="en-US" w:eastAsia="zh-CN"/>
              </w:rPr>
              <w:t xml:space="preserve">质量保</w:t>
            </w:r>
            <w:r>
              <w:rPr>
                <w:rStyle w:val="1118"/>
                <w:rFonts w:hint="eastAsia" w:ascii="宋体" w:hAnsi="宋体" w:cs="宋体"/>
                <w:color w:val="000000"/>
                <w:sz w:val="24"/>
                <w:szCs w:val="24"/>
                <w:highlight w:val="none"/>
                <w:lang w:val="en-US" w:eastAsia="zh-CN"/>
              </w:rPr>
              <w:t xml:space="preserve">证</w:t>
            </w:r>
            <w:r>
              <w:rPr>
                <w:rStyle w:val="1118"/>
                <w:rFonts w:hint="eastAsia" w:ascii="宋体" w:hAnsi="宋体" w:eastAsia="宋体" w:cs="宋体"/>
                <w:color w:val="000000"/>
                <w:sz w:val="24"/>
                <w:szCs w:val="24"/>
                <w:highlight w:val="none"/>
                <w:lang w:val="en-US" w:eastAsia="zh-CN"/>
              </w:rPr>
              <w:t xml:space="preserve">措施</w:t>
            </w:r>
            <w:r>
              <w:rPr>
                <w:rFonts w:hint="eastAsia" w:asciiTheme="minorEastAsia" w:hAnsiTheme="minorEastAsia" w:eastAsiaTheme="minorEastAsia" w:cstheme="minorEastAsia"/>
                <w:b w:val="0"/>
                <w:bCs/>
                <w:color w:val="auto"/>
                <w:sz w:val="24"/>
                <w:szCs w:val="24"/>
                <w:highlight w:val="none"/>
                <w:lang w:val="en-US" w:eastAsia="zh-CN"/>
              </w:rPr>
              <w:t xml:space="preserve">等方面内容。</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以上方案内容完整得12分，每有一内容缺失的扣6分;每有一处存在缺陷(缺陷是指不适用于本项目，表述前后不一致或内容矛盾，语句有歧义，仅有框架或标题，涉及的规范及标准错误，套用其他项目内容等任意一种情形)的扣1.2分，直至该项分值6分扣完为止，不提供本项不得分。</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4、进度计划及保障措施（10分）</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供应商根据本项目第四章中“项目需求”要求，提供有针对性的、科学合理的进度计划及保障措施，至少包含:①进度计划;②</w:t>
            </w:r>
            <w:r>
              <w:rPr>
                <w:rStyle w:val="1118"/>
                <w:rFonts w:hint="eastAsia" w:ascii="宋体" w:hAnsi="宋体" w:eastAsia="宋体" w:cs="宋体"/>
                <w:color w:val="000000"/>
                <w:sz w:val="24"/>
                <w:szCs w:val="24"/>
                <w:highlight w:val="none"/>
                <w:lang w:val="en-US" w:eastAsia="zh-CN"/>
              </w:rPr>
              <w:t xml:space="preserve">保障措施</w:t>
            </w:r>
            <w:r>
              <w:rPr>
                <w:rFonts w:hint="eastAsia" w:asciiTheme="minorEastAsia" w:hAnsiTheme="minorEastAsia" w:eastAsiaTheme="minorEastAsia" w:cstheme="minorEastAsia"/>
                <w:b w:val="0"/>
                <w:bCs/>
                <w:color w:val="auto"/>
                <w:sz w:val="24"/>
                <w:szCs w:val="24"/>
                <w:highlight w:val="none"/>
                <w:lang w:val="en-US" w:eastAsia="zh-CN"/>
              </w:rPr>
              <w:t xml:space="preserve">等方面内容。</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5、安全保密措施（10分）</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供应商根据本项目第四章中“项目需求”要求，提供有针对性的、科学合理的安全保密措施，至少包含:①</w:t>
            </w:r>
            <w:r>
              <w:rPr>
                <w:rFonts w:hint="eastAsia" w:ascii="宋体" w:hAnsi="宋体" w:eastAsia="宋体" w:cs="宋体"/>
                <w:sz w:val="24"/>
                <w:szCs w:val="24"/>
                <w:highlight w:val="none"/>
              </w:rPr>
              <w:t xml:space="preserve">建立安全责任制度</w:t>
            </w:r>
            <w:r>
              <w:rPr>
                <w:rFonts w:hint="eastAsia" w:asciiTheme="minorEastAsia" w:hAnsiTheme="minorEastAsia" w:eastAsiaTheme="minorEastAsia" w:cstheme="minorEastAsia"/>
                <w:b w:val="0"/>
                <w:bCs/>
                <w:color w:val="auto"/>
                <w:sz w:val="24"/>
                <w:szCs w:val="24"/>
                <w:highlight w:val="none"/>
                <w:lang w:val="en-US" w:eastAsia="zh-CN"/>
              </w:rPr>
              <w:t xml:space="preserve">;②</w:t>
            </w:r>
            <w:r>
              <w:rPr>
                <w:rFonts w:hint="eastAsia" w:ascii="宋体" w:hAnsi="宋体" w:eastAsia="宋体" w:cs="宋体"/>
                <w:sz w:val="24"/>
                <w:szCs w:val="24"/>
                <w:highlight w:val="none"/>
              </w:rPr>
              <w:t xml:space="preserve">应急预案及数据资料保密管理</w:t>
            </w:r>
            <w:r>
              <w:rPr>
                <w:rFonts w:hint="eastAsia" w:ascii="宋体" w:hAnsi="宋体" w:eastAsia="宋体" w:cs="宋体"/>
                <w:sz w:val="24"/>
                <w:szCs w:val="24"/>
                <w:highlight w:val="none"/>
                <w:lang w:val="en-US" w:eastAsia="zh-CN"/>
              </w:rPr>
              <w:t xml:space="preserve">制度</w:t>
            </w:r>
            <w:r>
              <w:rPr>
                <w:rFonts w:hint="eastAsia" w:eastAsia="宋体" w:cs="宋体"/>
                <w:sz w:val="24"/>
                <w:szCs w:val="24"/>
                <w:highlight w:val="none"/>
                <w:lang w:val="en-US" w:eastAsia="zh-CN"/>
              </w:rPr>
              <w:t xml:space="preserve">等</w:t>
            </w:r>
            <w:r>
              <w:rPr>
                <w:rFonts w:hint="eastAsia" w:asciiTheme="minorEastAsia" w:hAnsiTheme="minorEastAsia" w:eastAsiaTheme="minorEastAsia" w:cstheme="minorEastAsia"/>
                <w:b w:val="0"/>
                <w:bCs/>
                <w:color w:val="auto"/>
                <w:sz w:val="24"/>
                <w:szCs w:val="24"/>
                <w:highlight w:val="none"/>
                <w:lang w:val="en-US" w:eastAsia="zh-CN"/>
              </w:rPr>
              <w:t xml:space="preserve">方面内容。</w:t>
            </w:r>
            <w:r/>
          </w:p>
          <w:p>
            <w:pPr>
              <w:pStyle w:val="1027"/>
              <w:jc w:val="both"/>
              <w:keepLines w:val="0"/>
              <w:keepNext w:val="0"/>
              <w:pageBreakBefore w:val="0"/>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p>
          <w:p>
            <w:pPr>
              <w:pStyle w:val="1027"/>
              <w:jc w:val="left"/>
              <w:keepLines w:val="0"/>
              <w:keepNext w:val="0"/>
              <w:pageBreakBefore w:val="0"/>
              <w:spacing w:line="35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r>
            <w:r/>
          </w:p>
        </w:tc>
      </w:tr>
    </w:tbl>
    <w:p>
      <w:pPr>
        <w:pStyle w:val="1055"/>
        <w:jc w:val="center"/>
        <w:keepLines w:val="0"/>
        <w:keepNext/>
        <w:pageBreakBefore w:val="0"/>
        <w:spacing w:before="0" w:beforeAutospacing="0" w:after="0" w:afterAutospacing="0"/>
        <w:widowControl/>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Lines w:val="0"/>
        <w:keepNext/>
        <w:pageBreakBefore w:val="0"/>
        <w:spacing w:before="0" w:beforeAutospacing="0" w:after="0" w:afterAutospacing="0"/>
        <w:widowControl/>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Lines w:val="0"/>
        <w:keepNext/>
        <w:pageBreakBefore w:val="0"/>
        <w:spacing w:before="0" w:beforeAutospacing="0" w:after="0" w:afterAutospacing="0"/>
        <w:widowControl/>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Lines w:val="0"/>
        <w:keepNext/>
        <w:pageBreakBefore w:val="0"/>
        <w:spacing w:before="0" w:beforeAutospacing="0" w:after="0" w:afterAutospacing="0"/>
        <w:widowControl/>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Lines w:val="0"/>
        <w:keepNext/>
        <w:pageBreakBefore w:val="0"/>
        <w:spacing w:before="0" w:beforeAutospacing="0" w:after="0" w:afterAutospacing="0"/>
        <w:widowControl/>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Lines w:val="0"/>
        <w:keepNext/>
        <w:pageBreakBefore w:val="0"/>
        <w:spacing w:before="0" w:beforeAutospacing="0" w:after="0" w:afterAutospacing="0"/>
        <w:widowControl/>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Lines w:val="0"/>
        <w:keepNext/>
        <w:pageBreakBefore w:val="0"/>
        <w:spacing w:before="0" w:beforeAutospacing="0" w:after="0" w:afterAutospacing="0"/>
        <w:widowControl/>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Lines w:val="0"/>
        <w:keepNext/>
        <w:pageBreakBefore w:val="0"/>
        <w:spacing w:before="0" w:beforeAutospacing="0" w:after="0" w:afterAutospacing="0"/>
        <w:widowControl/>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t xml:space="preserve">第六章  响应文件格式</w:t>
      </w:r>
      <w:r/>
    </w:p>
    <w:p>
      <w:pPr>
        <w:pStyle w:val="1055"/>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keepNext/>
        <w:spacing w:before="0" w:beforeAutospacing="0" w:after="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055"/>
        <w:jc w:val="center"/>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 xml:space="preserve">响  应  文  件</w:t>
      </w:r>
      <w:r/>
    </w:p>
    <w:p>
      <w:pPr>
        <w:pStyle w:val="1055"/>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55"/>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55"/>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55"/>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55"/>
        <w:jc w:val="center"/>
        <w:spacing w:before="0" w:beforeAutospacing="0" w:after="0" w:afterAutospacing="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55"/>
        <w:ind w:firstLine="1084"/>
        <w:jc w:val="both"/>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 目名 称：</w:t>
      </w:r>
      <w:r>
        <w:rPr>
          <w:rFonts w:hint="eastAsia"/>
          <w:b/>
          <w:color w:val="000000" w:themeColor="text1"/>
          <w:sz w:val="36"/>
          <w:szCs w:val="36"/>
          <w:highlight w:val="none"/>
          <w:u w:val="single"/>
          <w14:textFill>
            <w14:solidFill>
              <w14:schemeClr w14:val="tx1"/>
            </w14:solidFill>
          </w14:textFill>
        </w:rPr>
        <w:t xml:space="preserve">               </w:t>
      </w:r>
      <w:r/>
    </w:p>
    <w:p>
      <w:pPr>
        <w:pStyle w:val="1055"/>
        <w:ind w:firstLine="1084"/>
        <w:jc w:val="both"/>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 目编 号：</w:t>
      </w:r>
      <w:r>
        <w:rPr>
          <w:rFonts w:hint="eastAsia"/>
          <w:b/>
          <w:color w:val="000000" w:themeColor="text1"/>
          <w:sz w:val="36"/>
          <w:szCs w:val="36"/>
          <w:highlight w:val="none"/>
          <w:u w:val="single"/>
          <w14:textFill>
            <w14:solidFill>
              <w14:schemeClr w14:val="tx1"/>
            </w14:solidFill>
          </w14:textFill>
        </w:rPr>
        <w:t xml:space="preserve">               </w:t>
      </w:r>
      <w:r/>
    </w:p>
    <w:p>
      <w:pPr>
        <w:pStyle w:val="1055"/>
        <w:jc w:val="both"/>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供应商名称 ：</w:t>
      </w:r>
      <w:r>
        <w:rPr>
          <w:rFonts w:hint="eastAsia"/>
          <w:b/>
          <w:color w:val="000000" w:themeColor="text1"/>
          <w:sz w:val="36"/>
          <w:szCs w:val="36"/>
          <w:highlight w:val="none"/>
          <w:u w:val="single"/>
          <w14:textFill>
            <w14:solidFill>
              <w14:schemeClr w14:val="tx1"/>
            </w14:solidFill>
          </w14:textFill>
        </w:rPr>
        <w:t xml:space="preserve">（加盖CA电子公章）</w:t>
      </w:r>
      <w:r/>
    </w:p>
    <w:p>
      <w:pPr>
        <w:pStyle w:val="1055"/>
        <w:jc w:val="both"/>
        <w:spacing w:before="0" w:beforeAutospacing="0" w:after="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日   期 ：</w:t>
      </w:r>
      <w:r>
        <w:rPr>
          <w:rFonts w:hint="eastAsia"/>
          <w:b/>
          <w:color w:val="000000" w:themeColor="text1"/>
          <w:sz w:val="36"/>
          <w:szCs w:val="36"/>
          <w:highlight w:val="none"/>
          <w:u w:val="single"/>
          <w14:textFill>
            <w14:solidFill>
              <w14:schemeClr w14:val="tx1"/>
            </w14:solidFill>
          </w14:textFill>
        </w:rPr>
        <w:t xml:space="preserve">           </w:t>
      </w:r>
      <w:r/>
    </w:p>
    <w:p>
      <w:pPr>
        <w:pStyle w:val="1055"/>
        <w:jc w:val="center"/>
        <w:spacing w:before="0" w:beforeAutospacing="0" w:after="0" w:afterAutospacing="0" w:line="0" w:lineRule="atLeas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r/>
    </w:p>
    <w:p>
      <w:pPr>
        <w:pStyle w:val="1055"/>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bookmarkEnd w:id="150"/>
      <w:r/>
      <w:bookmarkEnd w:id="151"/>
      <w:r/>
      <w:bookmarkEnd w:id="152"/>
      <w:r/>
      <w:r/>
    </w:p>
    <w:p>
      <w:pPr>
        <w:pStyle w:val="1055"/>
        <w:jc w:val="center"/>
        <w:spacing w:before="0" w:beforeAutospacing="0" w:after="0" w:afterAutospacing="0" w:line="0" w:lineRule="atLeast"/>
        <w:widowControl w:val="off"/>
        <w:rPr>
          <w:rFonts w:hint="eastAsia"/>
          <w:highlight w:val="none"/>
        </w:rPr>
      </w:pPr>
      <w:r>
        <w:rPr>
          <w:rFonts w:hint="eastAsia"/>
          <w:b/>
          <w:color w:val="000000"/>
          <w:sz w:val="32"/>
          <w:szCs w:val="32"/>
          <w:highlight w:val="none"/>
        </w:rPr>
        <w:t xml:space="preserve">响应文件目录</w:t>
      </w:r>
      <w:r/>
    </w:p>
    <w:p>
      <w:pPr>
        <w:pStyle w:val="1055"/>
        <w:jc w:val="center"/>
        <w:spacing w:before="0" w:beforeAutospacing="0" w:after="0" w:afterAutospacing="0" w:line="0" w:lineRule="atLeast"/>
        <w:widowControl w:val="off"/>
        <w:rPr>
          <w:rFonts w:hint="eastAsia"/>
          <w:highlight w:val="none"/>
        </w:rPr>
      </w:pPr>
      <w:r>
        <w:rPr>
          <w:rFonts w:hint="eastAsia"/>
          <w:highlight w:val="none"/>
        </w:rPr>
      </w:r>
      <w:r/>
    </w:p>
    <w:p>
      <w:pPr>
        <w:pStyle w:val="1055"/>
        <w:ind w:left="480"/>
        <w:jc w:val="both"/>
        <w:spacing w:beforeAutospacing="0" w:afterAutospacing="0"/>
        <w:rPr>
          <w:rFonts w:hint="eastAsia"/>
          <w:highlight w:val="none"/>
        </w:rPr>
      </w:pPr>
      <w:r>
        <w:rPr>
          <w:rFonts w:hint="eastAsia"/>
          <w:i/>
          <w:color w:val="000000"/>
          <w:highlight w:val="none"/>
          <w:u w:val="single"/>
        </w:rPr>
        <w:t xml:space="preserve">一、法人或者其他组织的营业执照等证明文件，自然人的身份证明</w:t>
      </w:r>
      <w:r/>
    </w:p>
    <w:p>
      <w:pPr>
        <w:pStyle w:val="1055"/>
        <w:ind w:firstLine="480"/>
        <w:jc w:val="both"/>
        <w:spacing w:beforeAutospacing="0" w:afterAutospacing="0"/>
        <w:rPr>
          <w:rFonts w:hint="eastAsia"/>
          <w:i/>
          <w:color w:val="000000"/>
          <w:highlight w:val="none"/>
          <w:u w:val="single"/>
        </w:rPr>
      </w:pPr>
      <w:r>
        <w:rPr>
          <w:rFonts w:hint="eastAsia"/>
          <w:i/>
          <w:color w:val="000000"/>
          <w:highlight w:val="none"/>
          <w:u w:val="single"/>
        </w:rPr>
        <w:t xml:space="preserve">二、上一年度的财务状况报</w:t>
      </w:r>
      <w:r>
        <w:rPr>
          <w:rFonts w:hint="eastAsia"/>
          <w:i/>
          <w:color w:val="000000"/>
          <w:highlight w:val="none"/>
          <w:u w:val="single"/>
          <w:lang w:val="en-US" w:eastAsia="zh-CN"/>
        </w:rPr>
        <w:t xml:space="preserve">告</w:t>
      </w:r>
      <w:r>
        <w:rPr>
          <w:rFonts w:hint="eastAsia"/>
          <w:i/>
          <w:color w:val="000000"/>
          <w:highlight w:val="none"/>
          <w:u w:val="single"/>
        </w:rPr>
        <w:t xml:space="preserve">（至少提供资产负债表、利润表、现金流量表，磋商供应商成立不满一年无需提供）</w:t>
      </w:r>
      <w:r/>
    </w:p>
    <w:p>
      <w:pPr>
        <w:pStyle w:val="1055"/>
        <w:ind w:left="480"/>
        <w:jc w:val="both"/>
        <w:spacing w:beforeAutospacing="0" w:afterAutospacing="0"/>
        <w:rPr>
          <w:rFonts w:hint="eastAsia"/>
          <w:i/>
          <w:color w:val="000000"/>
          <w:highlight w:val="none"/>
          <w:u w:val="single"/>
        </w:rPr>
      </w:pPr>
      <w:r>
        <w:rPr>
          <w:rFonts w:hint="eastAsia"/>
          <w:i/>
          <w:color w:val="000000"/>
          <w:highlight w:val="none"/>
          <w:u w:val="single"/>
        </w:rPr>
        <w:t xml:space="preserve">三、具备履行合同所必需的设备和专业技术能力的书面声明</w:t>
      </w:r>
      <w:r/>
    </w:p>
    <w:p>
      <w:pPr>
        <w:pStyle w:val="1055"/>
        <w:ind w:firstLine="480"/>
        <w:jc w:val="both"/>
        <w:spacing w:beforeAutospacing="0" w:afterAutospacing="0"/>
        <w:rPr>
          <w:rFonts w:hint="eastAsia"/>
          <w:highlight w:val="none"/>
        </w:rPr>
      </w:pPr>
      <w:r>
        <w:rPr>
          <w:rFonts w:hint="eastAsia"/>
          <w:i/>
          <w:color w:val="000000"/>
          <w:highlight w:val="non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1055"/>
        <w:ind w:firstLine="480"/>
        <w:jc w:val="both"/>
        <w:spacing w:beforeAutospacing="0" w:afterAutospacing="0" w:line="0" w:lineRule="atLeast"/>
        <w:rPr>
          <w:rFonts w:hint="eastAsia"/>
          <w:highlight w:val="none"/>
        </w:rPr>
      </w:pPr>
      <w:r>
        <w:rPr>
          <w:rFonts w:hint="eastAsia"/>
          <w:i/>
          <w:color w:val="000000"/>
          <w:highlight w:val="none"/>
          <w:u w:val="single"/>
        </w:rPr>
        <w:t xml:space="preserve">五、参加政府采购活动前 3 年内在经营活动中没有重大违法记录的书面声明</w:t>
      </w:r>
      <w:r/>
    </w:p>
    <w:p>
      <w:pPr>
        <w:pStyle w:val="1055"/>
        <w:ind w:firstLine="480"/>
        <w:jc w:val="both"/>
        <w:spacing w:beforeAutospacing="0" w:afterAutospacing="0" w:line="0" w:lineRule="atLeast"/>
        <w:rPr>
          <w:rFonts w:hint="eastAsia"/>
          <w:highlight w:val="none"/>
        </w:rPr>
      </w:pPr>
      <w:r>
        <w:rPr>
          <w:rFonts w:hint="eastAsia"/>
          <w:i/>
          <w:color w:val="000000"/>
          <w:highlight w:val="none"/>
          <w:u w:val="single"/>
        </w:rPr>
        <w:t xml:space="preserve">六、特定资格要求的证明文件（如果本项目设置特定资格要求，则需要提供）</w:t>
      </w:r>
      <w:r/>
    </w:p>
    <w:p>
      <w:pPr>
        <w:pStyle w:val="1055"/>
        <w:ind w:firstLine="480"/>
        <w:jc w:val="both"/>
        <w:spacing w:beforeAutospacing="0" w:afterAutospacing="0" w:line="0" w:lineRule="atLeast"/>
        <w:rPr>
          <w:rFonts w:hint="eastAsia"/>
          <w:highlight w:val="none"/>
        </w:rPr>
      </w:pPr>
      <w:r>
        <w:rPr>
          <w:rFonts w:hint="eastAsia"/>
          <w:i/>
          <w:color w:val="000000"/>
          <w:highlight w:val="none"/>
          <w:u w:val="single"/>
        </w:rPr>
        <w:t xml:space="preserve">七、法人授权书</w:t>
      </w:r>
      <w:r/>
    </w:p>
    <w:p>
      <w:pPr>
        <w:pStyle w:val="1055"/>
        <w:ind w:firstLine="480"/>
        <w:jc w:val="both"/>
        <w:spacing w:beforeAutospacing="0" w:afterAutospacing="0" w:line="0" w:lineRule="atLeast"/>
        <w:rPr>
          <w:rFonts w:hint="eastAsia"/>
          <w:highlight w:val="none"/>
        </w:rPr>
      </w:pPr>
      <w:r>
        <w:rPr>
          <w:rFonts w:hint="eastAsia"/>
          <w:i/>
          <w:color w:val="000000"/>
          <w:highlight w:val="none"/>
          <w:u w:val="single"/>
        </w:rPr>
        <w:t xml:space="preserve">八、磋商响应函</w:t>
      </w:r>
      <w:r/>
    </w:p>
    <w:p>
      <w:pPr>
        <w:pStyle w:val="1055"/>
        <w:ind w:firstLine="480"/>
        <w:jc w:val="both"/>
        <w:spacing w:beforeAutospacing="0" w:afterAutospacing="0" w:line="0" w:lineRule="atLeast"/>
        <w:rPr>
          <w:rFonts w:hint="eastAsia"/>
          <w:highlight w:val="none"/>
        </w:rPr>
      </w:pPr>
      <w:r>
        <w:rPr>
          <w:rFonts w:hint="eastAsia"/>
          <w:color w:val="000000"/>
          <w:highlight w:val="none"/>
        </w:rPr>
        <w:t xml:space="preserve">九、中小企业声明函</w:t>
      </w:r>
      <w:r/>
    </w:p>
    <w:p>
      <w:pPr>
        <w:pStyle w:val="1055"/>
        <w:ind w:firstLine="480"/>
        <w:jc w:val="both"/>
        <w:spacing w:beforeAutospacing="0" w:afterAutospacing="0" w:line="0" w:lineRule="atLeast"/>
        <w:rPr>
          <w:rFonts w:hint="eastAsia"/>
          <w:color w:val="000000"/>
          <w:highlight w:val="none"/>
        </w:rPr>
      </w:pPr>
      <w:r>
        <w:rPr>
          <w:rFonts w:hint="eastAsia"/>
          <w:color w:val="000000"/>
          <w:highlight w:val="none"/>
        </w:rPr>
        <w:t xml:space="preserve">十、残疾人福利性单位声明函</w:t>
      </w:r>
      <w:r/>
    </w:p>
    <w:p>
      <w:pPr>
        <w:pStyle w:val="105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一</w:t>
      </w:r>
      <w:r>
        <w:rPr>
          <w:rFonts w:hint="eastAsia" w:asciiTheme="minorEastAsia" w:hAnsiTheme="minorEastAsia" w:eastAsiaTheme="minorEastAsia" w:cstheme="minorEastAsia"/>
          <w:i w:val="0"/>
          <w:iCs/>
          <w:color w:val="auto"/>
          <w:sz w:val="24"/>
          <w:szCs w:val="24"/>
          <w:highlight w:val="none"/>
          <w:u w:val="none"/>
        </w:rPr>
        <w:t xml:space="preserve">、分项报价表</w:t>
      </w:r>
      <w:r/>
    </w:p>
    <w:p>
      <w:pPr>
        <w:pStyle w:val="105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color w:val="auto"/>
          <w:sz w:val="24"/>
          <w:szCs w:val="24"/>
          <w:highlight w:val="none"/>
          <w:u w:val="none"/>
        </w:rPr>
        <w:t xml:space="preserve">、技术要求响应及偏离表</w:t>
      </w:r>
      <w:r/>
    </w:p>
    <w:p>
      <w:pPr>
        <w:pStyle w:val="105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、商务要求响应及偏离表</w:t>
      </w:r>
      <w:r/>
    </w:p>
    <w:p>
      <w:pPr>
        <w:pStyle w:val="1055"/>
        <w:ind w:left="480"/>
        <w:jc w:val="both"/>
        <w:spacing w:beforeAutospacing="0" w:afterAutospacing="0"/>
        <w:rPr>
          <w:rFonts w:hint="default" w:asciiTheme="minorEastAsia" w:hAnsiTheme="minorEastAsia" w:eastAsiaTheme="minorEastAsia" w:cstheme="minorEastAsia"/>
          <w:i w:val="0"/>
          <w:iCs/>
          <w:color w:val="000000"/>
          <w:sz w:val="24"/>
          <w:szCs w:val="24"/>
          <w:highlight w:val="none"/>
          <w:u w:val="none"/>
          <w:lang w:val="en-US" w:eastAsia="zh-CN"/>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eastAsiaTheme="minorEastAsia" w:cstheme="minorEastAsia"/>
          <w:i w:val="0"/>
          <w:iCs/>
          <w:color w:val="000000"/>
          <w:sz w:val="24"/>
          <w:szCs w:val="24"/>
          <w:highlight w:val="none"/>
          <w:u w:val="none"/>
          <w:lang w:val="en-US" w:eastAsia="zh-CN"/>
        </w:rPr>
        <w:t xml:space="preserve">四</w:t>
      </w:r>
      <w:r>
        <w:rPr>
          <w:rFonts w:hint="eastAsia" w:asciiTheme="minorEastAsia" w:hAnsiTheme="minorEastAsia" w:eastAsiaTheme="minorEastAsia" w:cstheme="minorEastAsia"/>
          <w:i w:val="0"/>
          <w:iCs/>
          <w:color w:val="000000"/>
          <w:sz w:val="24"/>
          <w:szCs w:val="24"/>
          <w:highlight w:val="none"/>
          <w:u w:val="none"/>
        </w:rPr>
        <w:t xml:space="preserve">、</w:t>
      </w:r>
      <w:r>
        <w:rPr>
          <w:rFonts w:hint="eastAsia" w:asciiTheme="minorEastAsia" w:hAnsiTheme="minorEastAsia" w:eastAsiaTheme="minorEastAsia" w:cstheme="minorEastAsia"/>
          <w:i w:val="0"/>
          <w:iCs/>
          <w:color w:val="000000"/>
          <w:sz w:val="24"/>
          <w:szCs w:val="24"/>
          <w:highlight w:val="none"/>
          <w:u w:val="none"/>
          <w:lang w:val="en-US" w:eastAsia="zh-CN"/>
        </w:rPr>
        <w:t xml:space="preserve">磋商报价表</w:t>
      </w:r>
      <w:r/>
    </w:p>
    <w:p>
      <w:pPr>
        <w:ind w:firstLine="480"/>
        <w:spacing w:before="50" w:after="50"/>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color w:val="auto"/>
          <w:sz w:val="24"/>
          <w:szCs w:val="24"/>
          <w:highlight w:val="none"/>
          <w:u w:val="none"/>
        </w:rPr>
        <w:t xml:space="preserve">、技术方案、服务承诺、培训承诺等</w:t>
      </w:r>
      <w:r/>
    </w:p>
    <w:p>
      <w:pPr>
        <w:pStyle w:val="1027"/>
        <w:ind w:firstLine="480"/>
        <w:rPr>
          <w:rFonts w:hint="eastAsia"/>
          <w:highlight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1055"/>
        <w:jc w:val="both"/>
        <w:spacing w:beforeAutospacing="0" w:afterAutospacing="0" w:line="0" w:lineRule="atLeast"/>
        <w:rPr>
          <w:rFonts w:hint="eastAsia"/>
          <w:color w:val="000000"/>
          <w:highlight w:val="none"/>
        </w:rPr>
      </w:pPr>
      <w:r>
        <w:rPr>
          <w:rFonts w:hint="eastAsia"/>
          <w:color w:val="000000"/>
          <w:highlight w:val="none"/>
        </w:rPr>
      </w:r>
      <w:r/>
    </w:p>
    <w:p>
      <w:pPr>
        <w:rPr>
          <w:highlight w:val="none"/>
        </w:rPr>
      </w:pPr>
      <w:r>
        <w:rPr>
          <w:highlight w:val="none"/>
        </w:rPr>
        <w:t xml:space="preserve"> </w:t>
      </w:r>
      <w:r/>
    </w:p>
    <w:p>
      <w:pPr>
        <w:rPr>
          <w:highlight w:val="none"/>
        </w:rPr>
      </w:pPr>
      <w:r>
        <w:rPr>
          <w:highlight w:val="non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27"/>
      </w:pPr>
      <w:r/>
      <w:r/>
    </w:p>
    <w:p>
      <w:pPr>
        <w:pStyle w:val="1027"/>
      </w:pPr>
      <w:r/>
      <w:r/>
    </w:p>
    <w:p>
      <w:pPr>
        <w:rPr>
          <w:highlight w:val="none"/>
        </w:rPr>
      </w:pPr>
      <w:r>
        <w:rPr>
          <w:highlight w:val="none"/>
        </w:rPr>
      </w:r>
      <w:r/>
    </w:p>
    <w:p>
      <w:pPr>
        <w:rPr>
          <w:highlight w:val="none"/>
        </w:rPr>
      </w:pPr>
      <w:r>
        <w:rPr>
          <w:highlight w:val="none"/>
        </w:rPr>
        <w:t xml:space="preserve"> </w:t>
      </w:r>
      <w:r/>
    </w:p>
    <w:p>
      <w:pPr>
        <w:rPr>
          <w:highlight w:val="none"/>
        </w:rPr>
      </w:pPr>
      <w:r>
        <w:rPr>
          <w:highlight w:val="none"/>
        </w:rPr>
        <w:t xml:space="preserve">  </w:t>
      </w:r>
      <w:r>
        <w:rPr>
          <w:rFonts w:hint="eastAsia" w:ascii="黑体" w:eastAsia="黑体" w:cs="黑体"/>
          <w:i/>
          <w:color w:val="000000"/>
          <w:sz w:val="32"/>
          <w:szCs w:val="32"/>
          <w:highlight w:val="none"/>
          <w:u w:val="single"/>
        </w:rPr>
        <w:t xml:space="preserve">一、法人或者其他组织的营业执照等证明文件，自然人的身份证明</w:t>
      </w:r>
      <w:r/>
    </w:p>
    <w:p>
      <w:pPr>
        <w:pStyle w:val="1055"/>
        <w:ind w:firstLine="480"/>
        <w:jc w:val="both"/>
        <w:spacing w:before="0" w:beforeAutospacing="0" w:after="0" w:afterAutospacing="0" w:line="0" w:lineRule="atLeast"/>
        <w:widowControl w:val="off"/>
        <w:rPr>
          <w:rFonts w:hint="eastAsia"/>
          <w:highlight w:val="none"/>
        </w:rPr>
      </w:pPr>
      <w:r>
        <w:rPr>
          <w:highlight w:val="none"/>
        </w:rPr>
        <w:t xml:space="preserve"> </w:t>
      </w:r>
      <w:r/>
    </w:p>
    <w:p>
      <w:pPr>
        <w:pStyle w:val="1055"/>
        <w:jc w:val="both"/>
        <w:spacing w:before="0" w:beforeAutospacing="0" w:after="0" w:afterAutospacing="0"/>
        <w:widowControl w:val="off"/>
        <w:rPr>
          <w:rFonts w:hint="eastAsia" w:eastAsia="黑体"/>
          <w:highlight w:val="none"/>
        </w:rPr>
      </w:pPr>
      <w:r>
        <w:rPr>
          <w:rFonts w:hint="eastAsia" w:ascii="黑体" w:eastAsia="黑体" w:cs="黑体"/>
          <w:i/>
          <w:color w:val="000000"/>
          <w:sz w:val="32"/>
          <w:szCs w:val="32"/>
          <w:highlight w:val="none"/>
          <w:u w:val="single"/>
        </w:rPr>
        <w:t xml:space="preserve">二、上一年度的财务状况报表</w:t>
      </w:r>
      <w:r/>
    </w:p>
    <w:p>
      <w:pPr>
        <w:pStyle w:val="1055"/>
        <w:ind w:firstLine="480"/>
        <w:jc w:val="both"/>
        <w:spacing w:before="0" w:beforeAutospacing="0" w:after="0" w:afterAutospacing="0" w:line="0" w:lineRule="atLeast"/>
        <w:widowControl w:val="off"/>
        <w:rPr>
          <w:rFonts w:hint="eastAsia"/>
          <w:highlight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1055"/>
        <w:jc w:val="both"/>
        <w:spacing w:before="0" w:beforeAutospacing="0" w:after="0" w:afterAutospacing="0"/>
        <w:widowControl w:val="off"/>
        <w:rPr>
          <w:rFonts w:hint="eastAsia"/>
          <w:highlight w:val="none"/>
        </w:rPr>
      </w:pPr>
      <w:r>
        <w:rPr>
          <w:highlight w:val="none"/>
        </w:rPr>
        <w:t xml:space="preserve"> </w:t>
      </w:r>
      <w:r/>
    </w:p>
    <w:p>
      <w:pPr>
        <w:pStyle w:val="1055"/>
        <w:jc w:val="both"/>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p>
    <w:p>
      <w:pPr>
        <w:pStyle w:val="1055"/>
        <w:ind w:firstLine="492"/>
        <w:jc w:val="both"/>
        <w:spacing w:before="0" w:beforeAutospacing="0" w:after="0" w:afterAutospacing="0" w:line="0" w:lineRule="atLeast"/>
        <w:widowControl w:val="off"/>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1055"/>
        <w:ind w:firstLine="492"/>
        <w:jc w:val="both"/>
        <w:spacing w:before="0" w:beforeAutospacing="0" w:after="0" w:afterAutospacing="0" w:line="0" w:lineRule="atLeast"/>
        <w:widowControl w:val="off"/>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p>
    <w:p>
      <w:pPr>
        <w:pStyle w:val="1055"/>
        <w:ind w:firstLine="480"/>
        <w:jc w:val="both"/>
        <w:spacing w:before="0" w:beforeAutospacing="0" w:after="0" w:afterAutospacing="0"/>
        <w:widowControl w:val="off"/>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pStyle w:val="1055"/>
        <w:jc w:val="both"/>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四、依法缴纳税收和社会保障资金的相关材料</w:t>
      </w:r>
      <w:r/>
    </w:p>
    <w:p>
      <w:pPr>
        <w:pStyle w:val="1055"/>
        <w:ind w:firstLine="480"/>
        <w:jc w:val="both"/>
        <w:spacing w:before="0" w:beforeAutospacing="0" w:after="0" w:afterAutospacing="0"/>
        <w:widowControl w:val="off"/>
        <w:rPr>
          <w:rFonts w:hint="eastAsia"/>
          <w:highlight w:val="none"/>
        </w:rPr>
      </w:pPr>
      <w:r>
        <w:rPr>
          <w:rFonts w:hint="eastAsia"/>
          <w:color w:val="000000"/>
          <w:highlight w:val="none"/>
        </w:rPr>
        <w:t xml:space="preserve">提供提交响应文件截止时间前一年内至少一个月依法缴纳税收及缴纳社会保障资金的证明材料。供应商依法享受缓缴、免缴税收、社会保障资金的提供证明材料。</w:t>
      </w:r>
      <w:r/>
    </w:p>
    <w:p>
      <w:pPr>
        <w:pStyle w:val="1055"/>
        <w:jc w:val="both"/>
        <w:spacing w:before="0" w:beforeAutospacing="0" w:after="0" w:afterAutospacing="0" w:line="0" w:lineRule="atLeast"/>
        <w:widowControl w:val="off"/>
        <w:rPr>
          <w:rFonts w:hint="eastAsia"/>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p>
    <w:p>
      <w:pPr>
        <w:pStyle w:val="1055"/>
        <w:jc w:val="center"/>
        <w:spacing w:before="0" w:beforeAutospacing="0" w:after="0" w:afterAutospacing="0" w:line="0" w:lineRule="atLeast"/>
        <w:widowControl w:val="off"/>
        <w:rPr>
          <w:rFonts w:hint="eastAsia"/>
          <w:highlight w:val="none"/>
        </w:rPr>
      </w:pPr>
      <w:r>
        <w:rPr>
          <w:rFonts w:hint="eastAsia"/>
          <w:b/>
          <w:color w:val="000000"/>
          <w:sz w:val="44"/>
          <w:szCs w:val="44"/>
          <w:highlight w:val="none"/>
        </w:rPr>
        <w:t xml:space="preserve">声  明</w:t>
      </w:r>
      <w:r/>
    </w:p>
    <w:p>
      <w:pPr>
        <w:pStyle w:val="1055"/>
        <w:jc w:val="both"/>
        <w:spacing w:before="0" w:beforeAutospacing="0" w:after="0" w:afterAutospacing="0" w:line="0" w:lineRule="atLeast"/>
        <w:widowControl w:val="off"/>
        <w:rPr>
          <w:rFonts w:hint="eastAsia"/>
          <w:highlight w:val="none"/>
        </w:rPr>
      </w:pPr>
      <w:r>
        <w:rPr>
          <w:rFonts w:hint="eastAsia"/>
          <w:b/>
          <w:color w:val="000000"/>
          <w:highlight w:val="none"/>
        </w:rPr>
        <w:t xml:space="preserve">  </w:t>
      </w:r>
      <w:r>
        <w:rPr>
          <w:rFonts w:hint="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55"/>
        <w:jc w:val="both"/>
        <w:spacing w:before="0" w:beforeAutospacing="0" w:after="0" w:afterAutospacing="0"/>
        <w:widowControl w:val="off"/>
        <w:rPr>
          <w:rFonts w:hint="eastAsia"/>
          <w:highlight w:val="none"/>
        </w:rPr>
      </w:pPr>
      <w:r>
        <w:rPr>
          <w:highlight w:val="none"/>
        </w:rPr>
        <w:t xml:space="preserve"> </w:t>
      </w:r>
      <w:r/>
    </w:p>
    <w:p>
      <w:pPr>
        <w:pStyle w:val="1055"/>
        <w:jc w:val="both"/>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六、特定资格要求的证明文件</w:t>
      </w:r>
      <w:r/>
    </w:p>
    <w:p>
      <w:pPr>
        <w:pStyle w:val="1055"/>
        <w:jc w:val="both"/>
        <w:spacing w:before="0" w:beforeAutospacing="0" w:after="0" w:afterAutospacing="0" w:line="0" w:lineRule="atLeast"/>
        <w:widowControl w:val="off"/>
        <w:rPr>
          <w:rFonts w:hint="eastAsia" w:ascii="黑体" w:eastAsia="黑体" w:cs="黑体"/>
          <w:i/>
          <w:color w:val="000000"/>
          <w:sz w:val="32"/>
          <w:szCs w:val="32"/>
          <w:highlight w:val="none"/>
          <w:u w:val="single"/>
        </w:rPr>
      </w:pPr>
      <w:r>
        <w:rPr>
          <w:rFonts w:hint="eastAsia"/>
          <w:color w:val="000000"/>
          <w:highlight w:val="none"/>
        </w:rPr>
        <w:t xml:space="preserve">   如果本项目申请人的特定资格要求中要求提供的，必须提供。</w:t>
      </w:r>
      <w:r/>
    </w:p>
    <w:p>
      <w:pPr>
        <w:pStyle w:val="1055"/>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055"/>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055"/>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055"/>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055"/>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055"/>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055"/>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055"/>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055"/>
        <w:jc w:val="center"/>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七、法人授权书</w:t>
      </w:r>
      <w:r/>
    </w:p>
    <w:p>
      <w:pPr>
        <w:pStyle w:val="1055"/>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本授权书声明：____________（供应商名称）授权________________（被授权人的姓名）为我方就JSZC-</w:t>
      </w:r>
      <w:r>
        <w:rPr>
          <w:rFonts w:cs="Times New Roman"/>
          <w:color w:val="000000"/>
          <w:highlight w:val="none"/>
          <w:u w:val="single"/>
        </w:rPr>
        <w:t xml:space="preserve">        </w:t>
      </w:r>
      <w:r>
        <w:rPr>
          <w:rFonts w:cs="Times New Roman"/>
          <w:color w:val="000000"/>
          <w:highlight w:val="none"/>
        </w:rPr>
        <w:t xml:space="preserve">号项目采购活动的合法代理人，以本单位名义全权处理一切与该项目采购有关的事务。</w:t>
      </w:r>
      <w:r/>
    </w:p>
    <w:p>
      <w:pPr>
        <w:pStyle w:val="1055"/>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本授权书于______年____月____日起生效，特此声明。</w:t>
      </w:r>
      <w:r/>
    </w:p>
    <w:p>
      <w:pPr>
        <w:pStyle w:val="1055"/>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被授权人身份证号码：</w:t>
      </w:r>
      <w:r>
        <w:rPr>
          <w:rFonts w:cs="Times New Roman"/>
          <w:color w:val="000000"/>
          <w:highlight w:val="none"/>
          <w:u w:val="single"/>
        </w:rPr>
        <w:t xml:space="preserve">             </w:t>
      </w:r>
      <w:r/>
    </w:p>
    <w:p>
      <w:pPr>
        <w:pStyle w:val="1055"/>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被授权人联系电话：（手机）</w:t>
      </w:r>
      <w:r>
        <w:rPr>
          <w:rFonts w:cs="Times New Roman"/>
          <w:color w:val="000000"/>
          <w:highlight w:val="none"/>
          <w:u w:val="single"/>
        </w:rPr>
        <w:t xml:space="preserve">     </w:t>
      </w:r>
      <w:r>
        <w:rPr>
          <w:rFonts w:hint="eastAsia" w:cs="Times New Roman"/>
          <w:color w:val="000000"/>
          <w:highlight w:val="none"/>
          <w:u w:val="single"/>
        </w:rPr>
        <w:t xml:space="preserve">  </w:t>
      </w:r>
      <w:r>
        <w:rPr>
          <w:rFonts w:cs="Times New Roman"/>
          <w:color w:val="000000"/>
          <w:highlight w:val="none"/>
          <w:u w:val="single"/>
        </w:rPr>
        <w:t xml:space="preserve">    </w:t>
      </w:r>
      <w:r/>
    </w:p>
    <w:p>
      <w:pPr>
        <w:pStyle w:val="1055"/>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授权单位名称：</w:t>
      </w:r>
      <w:r>
        <w:rPr>
          <w:rFonts w:hint="eastAsia" w:cs="Times New Roman"/>
          <w:color w:val="000000"/>
          <w:highlight w:val="none"/>
          <w:u w:val="single"/>
        </w:rPr>
        <w:t xml:space="preserve">       </w:t>
      </w:r>
      <w:r>
        <w:rPr>
          <w:rFonts w:cs="Times New Roman"/>
          <w:color w:val="000000"/>
          <w:highlight w:val="none"/>
          <w:u w:val="single"/>
        </w:rPr>
        <w:t xml:space="preserve">（加盖公章）</w:t>
      </w:r>
      <w:r>
        <w:rPr>
          <w:rFonts w:hint="eastAsia" w:cs="Times New Roman"/>
          <w:color w:val="000000"/>
          <w:highlight w:val="none"/>
          <w:u w:val="single"/>
        </w:rPr>
        <w:t xml:space="preserve">             </w:t>
      </w:r>
      <w:r/>
    </w:p>
    <w:p>
      <w:pPr>
        <w:pStyle w:val="1055"/>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单位地址：</w:t>
      </w:r>
      <w:r>
        <w:rPr>
          <w:rFonts w:cs="Times New Roman"/>
          <w:color w:val="000000"/>
          <w:highlight w:val="none"/>
          <w:u w:val="single"/>
        </w:rPr>
        <w:t xml:space="preserve">        </w:t>
      </w:r>
      <w:r>
        <w:rPr>
          <w:rFonts w:hint="eastAsia" w:cs="Times New Roman"/>
          <w:color w:val="000000"/>
          <w:highlight w:val="none"/>
          <w:u w:val="single"/>
        </w:rPr>
        <w:t xml:space="preserve"> </w:t>
      </w:r>
      <w:r>
        <w:rPr>
          <w:rFonts w:cs="Times New Roman"/>
          <w:color w:val="000000"/>
          <w:highlight w:val="none"/>
          <w:u w:val="single"/>
        </w:rPr>
        <w:t xml:space="preserve">          </w:t>
      </w:r>
      <w:r/>
    </w:p>
    <w:p>
      <w:pPr>
        <w:pStyle w:val="1055"/>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日期：</w:t>
      </w:r>
      <w:bookmarkStart w:id="153" w:name="_Hlt26671380"/>
      <w:r/>
      <w:bookmarkStart w:id="154" w:name="_Hlt26955070"/>
      <w:r/>
      <w:bookmarkStart w:id="155" w:name="_格式3__银行出具的资信证明"/>
      <w:r>
        <w:rPr>
          <w:rFonts w:cs="Times New Roman"/>
          <w:color w:val="000000"/>
          <w:highlight w:val="none"/>
          <w:u w:val="single"/>
        </w:rPr>
        <w:t xml:space="preserve">        </w:t>
      </w:r>
      <w:r>
        <w:rPr>
          <w:rFonts w:hint="eastAsia" w:cs="Times New Roman"/>
          <w:color w:val="000000"/>
          <w:highlight w:val="none"/>
          <w:u w:val="single"/>
        </w:rPr>
        <w:t xml:space="preserve"> </w:t>
      </w:r>
      <w:r>
        <w:rPr>
          <w:rFonts w:cs="Times New Roman"/>
          <w:color w:val="000000"/>
          <w:highlight w:val="none"/>
          <w:u w:val="single"/>
        </w:rPr>
        <w:t xml:space="preserve">            </w:t>
      </w:r>
      <w:r/>
    </w:p>
    <w:p>
      <w:pPr>
        <w:spacing w:line="480" w:lineRule="exact"/>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55"/>
        <w:ind w:firstLine="3390"/>
        <w:jc w:val="both"/>
        <w:keepLines/>
        <w:keepNext/>
        <w:spacing w:before="260" w:beforeAutospacing="0" w:after="260" w:afterAutospacing="0" w:line="415" w:lineRule="auto"/>
        <w:rPr>
          <w:rFonts w:hint="eastAsia"/>
          <w:highlight w:val="none"/>
        </w:rPr>
      </w:pPr>
      <w:r>
        <w:rPr>
          <w:rFonts w:hint="eastAsia" w:ascii="黑体" w:eastAsia="黑体" w:cs="黑体"/>
          <w:b/>
          <w:i/>
          <w:color w:val="000000"/>
          <w:sz w:val="32"/>
          <w:szCs w:val="32"/>
          <w:highlight w:val="none"/>
          <w:u w:val="single"/>
        </w:rPr>
        <w:t xml:space="preserve">八、磋商响应函</w:t>
      </w:r>
      <w:r/>
    </w:p>
    <w:p>
      <w:pPr>
        <w:pStyle w:val="1055"/>
        <w:spacing w:before="0" w:beforeAutospacing="0" w:after="0" w:afterAutospacing="0" w:line="360" w:lineRule="exact"/>
        <w:rPr>
          <w:rFonts w:hint="eastAsia"/>
          <w:highlight w:val="none"/>
        </w:rPr>
      </w:pPr>
      <w:r>
        <w:rPr>
          <w:rFonts w:hint="eastAsia"/>
          <w:color w:val="000000"/>
          <w:highlight w:val="none"/>
        </w:rPr>
        <w:t xml:space="preserve">致：</w:t>
      </w:r>
      <w:r>
        <w:rPr>
          <w:rFonts w:hint="eastAsia"/>
          <w:color w:val="000000"/>
          <w:highlight w:val="none"/>
          <w:u w:val="single"/>
        </w:rPr>
        <w:t xml:space="preserve">                    </w:t>
      </w:r>
      <w:r>
        <w:rPr>
          <w:highlight w:val="none"/>
          <w:u w:val="single"/>
        </w:rPr>
        <w:t xml:space="preserve"> </w:t>
      </w:r>
      <w:r/>
    </w:p>
    <w:p>
      <w:pPr>
        <w:pStyle w:val="1055"/>
        <w:ind w:firstLine="480"/>
        <w:spacing w:before="0" w:beforeAutospacing="0" w:after="0" w:afterAutospacing="0" w:line="360" w:lineRule="exact"/>
        <w:rPr>
          <w:rFonts w:hint="eastAsia"/>
          <w:highlight w:val="none"/>
        </w:rPr>
      </w:pPr>
      <w:r>
        <w:rPr>
          <w:rFonts w:hint="eastAsia"/>
          <w:color w:val="000000"/>
          <w:highlight w:val="none"/>
        </w:rPr>
        <w:t xml:space="preserve">根据贵方的JSZC-3209</w:t>
      </w:r>
      <w:r>
        <w:rPr>
          <w:rFonts w:hint="eastAsia"/>
          <w:b/>
          <w:color w:val="000000"/>
          <w:sz w:val="36"/>
          <w:szCs w:val="36"/>
          <w:highlight w:val="none"/>
          <w:u w:val="single"/>
        </w:rPr>
        <w:t xml:space="preserve">    </w:t>
      </w:r>
      <w:r>
        <w:rPr>
          <w:rFonts w:hint="eastAsia"/>
          <w:color w:val="000000"/>
          <w:highlight w:val="none"/>
        </w:rPr>
        <w:t xml:space="preserve">号磋商文件，正式授权下述签字人______(姓名)代表我方______________（供应商的名称），全权处理本次项目磋商的有关事宜。</w:t>
      </w:r>
      <w:r/>
    </w:p>
    <w:p>
      <w:pPr>
        <w:pStyle w:val="1055"/>
        <w:ind w:firstLine="480"/>
        <w:spacing w:before="0" w:beforeAutospacing="0" w:after="0" w:afterAutospacing="0" w:line="360" w:lineRule="exact"/>
        <w:rPr>
          <w:rFonts w:hint="eastAsia"/>
          <w:highlight w:val="none"/>
        </w:rPr>
      </w:pPr>
      <w:r>
        <w:rPr>
          <w:rFonts w:hint="eastAsia"/>
          <w:color w:val="000000"/>
          <w:highlight w:val="none"/>
        </w:rPr>
        <w:t xml:space="preserve">据此函，__________签字人兹宣布同意如下：</w:t>
      </w:r>
      <w:r/>
    </w:p>
    <w:p>
      <w:pPr>
        <w:pStyle w:val="1055"/>
        <w:ind w:firstLine="480"/>
        <w:spacing w:before="0" w:beforeAutospacing="0" w:after="0" w:afterAutospacing="0" w:line="360" w:lineRule="exact"/>
        <w:rPr>
          <w:rFonts w:hint="eastAsia"/>
          <w:highlight w:val="none"/>
        </w:rPr>
      </w:pPr>
      <w:r>
        <w:rPr>
          <w:rFonts w:hint="eastAsia"/>
          <w:color w:val="000000"/>
          <w:highlight w:val="none"/>
        </w:rPr>
        <w:t xml:space="preserve">1.按磋商文件规定的各项要求，向买方提供所需服务（包含与服务相关的货物）。</w:t>
      </w:r>
      <w:r/>
    </w:p>
    <w:p>
      <w:pPr>
        <w:pStyle w:val="1055"/>
        <w:ind w:firstLine="480"/>
        <w:spacing w:before="0" w:beforeAutospacing="0" w:after="0" w:afterAutospacing="0" w:line="360" w:lineRule="exact"/>
        <w:rPr>
          <w:rFonts w:hint="eastAsia"/>
          <w:highlight w:val="none"/>
        </w:rPr>
      </w:pPr>
      <w:r>
        <w:rPr>
          <w:rFonts w:hint="eastAsia"/>
          <w:color w:val="000000"/>
          <w:highlight w:val="none"/>
        </w:rPr>
        <w:t xml:space="preserve">2.我们完全理解贵方不一定将合同授予最低报价的供应商。</w:t>
      </w:r>
      <w:r/>
    </w:p>
    <w:p>
      <w:pPr>
        <w:pStyle w:val="1055"/>
        <w:ind w:firstLine="480"/>
        <w:spacing w:before="0" w:beforeAutospacing="0" w:after="0" w:afterAutospacing="0" w:line="360" w:lineRule="exact"/>
        <w:rPr>
          <w:rFonts w:hint="eastAsia"/>
          <w:highlight w:val="none"/>
        </w:rPr>
      </w:pPr>
      <w:r>
        <w:rPr>
          <w:rFonts w:hint="eastAsia"/>
          <w:color w:val="000000"/>
          <w:highlight w:val="none"/>
        </w:rPr>
        <w:t xml:space="preserve">3.我们已详细审核全部磋商文件及其有效补充文件，我们知道必须放弃提出含糊不清或误解问题的权利。</w:t>
      </w:r>
      <w:r/>
    </w:p>
    <w:p>
      <w:pPr>
        <w:pStyle w:val="1055"/>
        <w:ind w:firstLine="480"/>
        <w:spacing w:before="0" w:beforeAutospacing="0" w:after="0" w:afterAutospacing="0" w:line="360" w:lineRule="exact"/>
        <w:rPr>
          <w:rFonts w:hint="eastAsia"/>
          <w:highlight w:val="none"/>
        </w:rPr>
      </w:pPr>
      <w:r>
        <w:rPr>
          <w:rFonts w:hint="eastAsia"/>
          <w:color w:val="000000"/>
          <w:highlight w:val="none"/>
        </w:rPr>
        <w:t xml:space="preserve">4.我们同意从规定的开标日期起遵循本响应文件，并在规定的磋商有效期期满之前均具有约束力。</w:t>
      </w:r>
      <w:r/>
    </w:p>
    <w:p>
      <w:pPr>
        <w:pStyle w:val="1055"/>
        <w:ind w:firstLine="480"/>
        <w:spacing w:before="0" w:beforeAutospacing="0" w:after="0" w:afterAutospacing="0" w:line="360" w:lineRule="exact"/>
        <w:rPr>
          <w:rFonts w:hint="eastAsia"/>
          <w:highlight w:val="none"/>
        </w:rPr>
      </w:pPr>
      <w:r>
        <w:rPr>
          <w:rFonts w:hint="eastAsia"/>
          <w:color w:val="000000"/>
          <w:highlight w:val="none"/>
        </w:rPr>
        <w:t xml:space="preserve">5.同意向贵方提供贵方可能另外要求的与磋商有关的任何证据或资料，并保证我方已提供和将要提供的文件是真实的、准确的。</w:t>
      </w:r>
      <w:r/>
    </w:p>
    <w:p>
      <w:pPr>
        <w:pStyle w:val="1055"/>
        <w:ind w:firstLine="480"/>
        <w:spacing w:before="0" w:beforeAutospacing="0" w:after="0" w:afterAutospacing="0" w:line="360" w:lineRule="exact"/>
        <w:rPr>
          <w:rFonts w:hint="eastAsia"/>
          <w:highlight w:val="none"/>
        </w:rPr>
      </w:pPr>
      <w:r>
        <w:rPr>
          <w:rFonts w:hint="eastAsia"/>
          <w:color w:val="000000"/>
          <w:highlight w:val="none"/>
        </w:rPr>
        <w:t xml:space="preserve">6.一旦我方成交,我方将根据磋商文件的规定，严格履行合同的责任和义务,并保证在磋商文件规定的时间完成项目，交付买方验收、使用。</w:t>
      </w:r>
      <w:r/>
    </w:p>
    <w:p>
      <w:pPr>
        <w:pStyle w:val="1055"/>
        <w:ind w:firstLine="480"/>
        <w:spacing w:before="0" w:beforeAutospacing="0" w:after="0" w:afterAutospacing="0" w:line="360" w:lineRule="exact"/>
        <w:rPr>
          <w:rFonts w:hint="eastAsia"/>
          <w:highlight w:val="none"/>
        </w:rPr>
      </w:pPr>
      <w:r>
        <w:rPr>
          <w:rFonts w:hint="eastAsia"/>
          <w:color w:val="000000"/>
          <w:highlight w:val="none"/>
        </w:rPr>
        <w:t xml:space="preserve">7.我方与本磋商有关的正式通讯地址为：</w:t>
      </w:r>
      <w:r/>
    </w:p>
    <w:p>
      <w:pPr>
        <w:pStyle w:val="1055"/>
        <w:ind w:left="420" w:firstLine="480"/>
        <w:spacing w:beforeAutospacing="0" w:afterAutospacing="0" w:line="0" w:lineRule="atLeast"/>
        <w:rPr>
          <w:rFonts w:hint="eastAsia"/>
          <w:highlight w:val="none"/>
        </w:rPr>
      </w:pPr>
      <w:r>
        <w:rPr>
          <w:rFonts w:hint="eastAsia"/>
          <w:color w:val="000000"/>
          <w:highlight w:val="none"/>
        </w:rPr>
        <w:t xml:space="preserve">地    址：</w:t>
      </w:r>
      <w:r/>
    </w:p>
    <w:p>
      <w:pPr>
        <w:pStyle w:val="1055"/>
        <w:ind w:left="420" w:firstLine="480"/>
        <w:spacing w:beforeAutospacing="0" w:afterAutospacing="0" w:line="0" w:lineRule="atLeast"/>
        <w:rPr>
          <w:rFonts w:hint="eastAsia"/>
          <w:highlight w:val="none"/>
        </w:rPr>
      </w:pPr>
      <w:r>
        <w:rPr>
          <w:rFonts w:hint="eastAsia"/>
          <w:color w:val="000000"/>
          <w:highlight w:val="none"/>
        </w:rPr>
        <w:t xml:space="preserve">邮    编：</w:t>
      </w:r>
      <w:r/>
    </w:p>
    <w:p>
      <w:pPr>
        <w:pStyle w:val="1055"/>
        <w:ind w:left="420" w:firstLine="480"/>
        <w:spacing w:beforeAutospacing="0" w:afterAutospacing="0" w:line="0" w:lineRule="atLeast"/>
        <w:rPr>
          <w:rFonts w:hint="eastAsia"/>
          <w:highlight w:val="none"/>
        </w:rPr>
      </w:pPr>
      <w:r>
        <w:rPr>
          <w:rFonts w:hint="eastAsia"/>
          <w:color w:val="000000"/>
          <w:highlight w:val="none"/>
        </w:rPr>
        <w:t xml:space="preserve">电    话：</w:t>
      </w:r>
      <w:r/>
    </w:p>
    <w:p>
      <w:pPr>
        <w:pStyle w:val="1055"/>
        <w:ind w:left="420" w:firstLine="480"/>
        <w:spacing w:beforeAutospacing="0" w:afterAutospacing="0" w:line="0" w:lineRule="atLeast"/>
        <w:rPr>
          <w:rFonts w:hint="eastAsia"/>
          <w:highlight w:val="none"/>
        </w:rPr>
      </w:pPr>
      <w:r>
        <w:rPr>
          <w:rFonts w:hint="eastAsia"/>
          <w:color w:val="000000"/>
          <w:highlight w:val="none"/>
        </w:rPr>
        <w:t xml:space="preserve">传    真：</w:t>
      </w:r>
      <w:r/>
    </w:p>
    <w:p>
      <w:pPr>
        <w:pStyle w:val="1055"/>
        <w:ind w:left="420" w:firstLine="480"/>
        <w:spacing w:beforeAutospacing="0" w:afterAutospacing="0" w:line="0" w:lineRule="atLeast"/>
        <w:rPr>
          <w:rFonts w:hint="eastAsia"/>
          <w:highlight w:val="none"/>
        </w:rPr>
      </w:pPr>
      <w:r>
        <w:rPr>
          <w:rFonts w:hint="eastAsia"/>
          <w:color w:val="000000"/>
          <w:highlight w:val="none"/>
        </w:rPr>
        <w:t xml:space="preserve">供应商开户行：</w:t>
      </w:r>
      <w:r/>
    </w:p>
    <w:p>
      <w:pPr>
        <w:pStyle w:val="1055"/>
        <w:ind w:left="420" w:firstLine="480"/>
        <w:spacing w:beforeAutospacing="0" w:afterAutospacing="0" w:line="0" w:lineRule="atLeast"/>
        <w:rPr>
          <w:rFonts w:hint="eastAsia"/>
          <w:highlight w:val="none"/>
        </w:rPr>
      </w:pPr>
      <w:r>
        <w:rPr>
          <w:rFonts w:hint="eastAsia"/>
          <w:color w:val="000000"/>
          <w:highlight w:val="none"/>
        </w:rPr>
        <w:t xml:space="preserve">账    号：</w:t>
      </w:r>
      <w:r/>
    </w:p>
    <w:p>
      <w:pPr>
        <w:pStyle w:val="1055"/>
        <w:ind w:left="420" w:firstLine="480"/>
        <w:spacing w:beforeAutospacing="0" w:afterAutospacing="0" w:line="0" w:lineRule="atLeast"/>
        <w:rPr>
          <w:rFonts w:hint="eastAsia"/>
          <w:highlight w:val="none"/>
        </w:rPr>
      </w:pPr>
      <w:r>
        <w:rPr>
          <w:rFonts w:hint="eastAsia"/>
          <w:color w:val="000000"/>
          <w:highlight w:val="none"/>
        </w:rPr>
        <w:t xml:space="preserve">日    期：________年____月____日</w:t>
      </w:r>
      <w:r/>
    </w:p>
    <w:p>
      <w:pPr>
        <w:pStyle w:val="1055"/>
        <w:ind w:firstLine="240"/>
        <w:jc w:val="center"/>
        <w:spacing w:beforeAutospacing="0" w:afterAutospacing="0" w:line="0" w:lineRule="atLeast"/>
        <w:rPr>
          <w:rFonts w:hint="eastAsia"/>
          <w:highlight w:val="none"/>
        </w:rPr>
      </w:pPr>
      <w:r>
        <w:rPr>
          <w:rFonts w:hint="eastAsia"/>
          <w:highlight w:val="none"/>
        </w:rPr>
      </w:r>
      <w:r/>
    </w:p>
    <w:p>
      <w:pPr>
        <w:pStyle w:val="1055"/>
        <w:ind w:firstLine="240"/>
        <w:jc w:val="center"/>
        <w:spacing w:beforeAutospacing="0" w:afterAutospacing="0" w:line="0" w:lineRule="atLeast"/>
        <w:rPr>
          <w:rFonts w:hint="eastAsia"/>
          <w:highlight w:val="none"/>
        </w:rPr>
      </w:pPr>
      <w:r>
        <w:rPr>
          <w:rFonts w:hint="eastAsia"/>
          <w:highlight w:val="none"/>
        </w:rPr>
      </w:r>
      <w:r/>
    </w:p>
    <w:p>
      <w:pPr>
        <w:pStyle w:val="1055"/>
        <w:ind w:firstLine="240"/>
        <w:jc w:val="center"/>
        <w:spacing w:beforeAutospacing="0" w:afterAutospacing="0" w:line="0" w:lineRule="atLeast"/>
        <w:rPr>
          <w:rFonts w:hint="eastAsia"/>
          <w:highlight w:val="none"/>
        </w:rPr>
      </w:pPr>
      <w:r>
        <w:rPr>
          <w:rFonts w:hint="eastAsia"/>
          <w:highlight w:val="none"/>
        </w:rPr>
      </w:r>
      <w:r/>
    </w:p>
    <w:p>
      <w:pPr>
        <w:pStyle w:val="1055"/>
        <w:ind w:firstLine="240"/>
        <w:jc w:val="center"/>
        <w:spacing w:beforeAutospacing="0" w:afterAutospacing="0" w:line="0" w:lineRule="atLeast"/>
        <w:rPr>
          <w:rFonts w:hint="eastAsia"/>
          <w:highlight w:val="none"/>
        </w:rPr>
      </w:pPr>
      <w:r>
        <w:rPr>
          <w:rFonts w:hint="eastAsia"/>
          <w:highlight w:val="none"/>
        </w:rPr>
      </w:r>
      <w:r/>
    </w:p>
    <w:p>
      <w:pPr>
        <w:pStyle w:val="1055"/>
        <w:ind w:firstLine="240"/>
        <w:jc w:val="center"/>
        <w:spacing w:beforeAutospacing="0" w:afterAutospacing="0" w:line="0" w:lineRule="atLeast"/>
        <w:rPr>
          <w:rFonts w:hint="eastAsia"/>
          <w:highlight w:val="none"/>
        </w:rPr>
      </w:pPr>
      <w:r>
        <w:rPr>
          <w:rFonts w:hint="eastAsia"/>
          <w:highlight w:val="none"/>
        </w:rPr>
      </w:r>
      <w:r/>
    </w:p>
    <w:p>
      <w:pPr>
        <w:pStyle w:val="1055"/>
        <w:ind w:firstLine="240"/>
        <w:jc w:val="center"/>
        <w:spacing w:beforeAutospacing="0" w:afterAutospacing="0" w:line="0" w:lineRule="atLeast"/>
        <w:rPr>
          <w:rFonts w:hint="eastAsia"/>
          <w:highlight w:val="none"/>
        </w:rPr>
      </w:pPr>
      <w:r>
        <w:rPr>
          <w:rFonts w:hint="eastAsia"/>
          <w:highlight w:val="none"/>
        </w:rPr>
      </w:r>
      <w:r/>
    </w:p>
    <w:p>
      <w:pPr>
        <w:pStyle w:val="1055"/>
        <w:jc w:val="center"/>
        <w:spacing w:beforeAutospacing="0" w:afterAutospacing="0"/>
        <w:rPr>
          <w:rFonts w:hint="eastAsia"/>
          <w:highlight w:val="none"/>
        </w:rPr>
      </w:pPr>
      <w:r>
        <w:rPr>
          <w:rFonts w:hint="eastAsia" w:ascii="黑体" w:eastAsia="黑体" w:cs="黑体"/>
          <w:b/>
          <w:color w:val="000000"/>
          <w:sz w:val="32"/>
          <w:szCs w:val="32"/>
          <w:highlight w:val="none"/>
        </w:rPr>
        <w:br w:type="page" w:clear="all"/>
      </w:r>
      <w:r>
        <w:rPr>
          <w:rFonts w:hint="eastAsia" w:ascii="黑体" w:eastAsia="黑体" w:cs="黑体"/>
          <w:b/>
          <w:color w:val="000000"/>
          <w:sz w:val="32"/>
          <w:szCs w:val="32"/>
          <w:highlight w:val="none"/>
        </w:rPr>
        <w:t xml:space="preserve">九、中小企业声明函（服务）</w:t>
      </w:r>
      <w:r/>
    </w:p>
    <w:p>
      <w:pPr>
        <w:pStyle w:val="1055"/>
        <w:jc w:val="center"/>
        <w:spacing w:beforeAutospacing="0" w:afterAutospacing="0" w:line="0" w:lineRule="atLeast"/>
        <w:rPr>
          <w:rFonts w:hint="eastAsia"/>
          <w:highlight w:val="none"/>
        </w:rPr>
      </w:pPr>
      <w:r>
        <w:rPr>
          <w:rFonts w:hint="eastAsia"/>
          <w:highlight w:val="none"/>
        </w:rPr>
      </w:r>
      <w:r/>
    </w:p>
    <w:p>
      <w:pPr>
        <w:pStyle w:val="1055"/>
        <w:ind w:firstLine="360"/>
        <w:jc w:val="both"/>
        <w:spacing w:before="0" w:beforeAutospacing="0" w:after="0" w:afterAutospacing="0" w:line="440" w:lineRule="exact"/>
        <w:rPr>
          <w:rFonts w:hint="eastAsia"/>
          <w:highlight w:val="none"/>
        </w:rPr>
      </w:pPr>
      <w:r>
        <w:rPr>
          <w:rFonts w:hint="eastAsia"/>
          <w:color w:val="000000"/>
          <w:highlight w:val="none"/>
        </w:rPr>
        <w:t xml:space="preserve">本公司（联合体）郑重声明，根据《政府采购促进中小企业发展管理办法》(财库[2020]46号)的规定，本公司（联合体）参加</w:t>
      </w:r>
      <w:r>
        <w:rPr>
          <w:rFonts w:hint="eastAsia"/>
          <w:color w:val="000000"/>
          <w:highlight w:val="none"/>
          <w:u w:val="single"/>
        </w:rPr>
        <w:t xml:space="preserve">（采购人名称）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的采购活动，服务全部由符合政策的中小企业承接。相关企业（含联合体中的中小企业、签订分包意向协议的中小企业）的具体情况如下：</w:t>
      </w:r>
      <w:r/>
    </w:p>
    <w:p>
      <w:pPr>
        <w:pStyle w:val="1055"/>
        <w:ind w:firstLine="360"/>
        <w:jc w:val="both"/>
        <w:spacing w:before="0" w:beforeAutospacing="0" w:after="0" w:afterAutospacing="0" w:line="440" w:lineRule="exact"/>
        <w:rPr>
          <w:rFonts w:hint="eastAsia"/>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i/>
          <w:iCs/>
          <w:color w:val="000000" w:themeColor="text1"/>
          <w:highlight w:val="none"/>
          <w:u w:val="single"/>
          <w14:textFill>
            <w14:solidFill>
              <w14:schemeClr w14:val="tx1"/>
            </w14:solidFill>
          </w14:textFill>
        </w:rPr>
        <w:t xml:space="preserve">其他未列明</w:t>
      </w:r>
      <w:r>
        <w:rPr>
          <w:rFonts w:hint="eastAsia"/>
          <w:color w:val="000000"/>
          <w:highlight w:val="none"/>
          <w:u w:val="single"/>
        </w:rPr>
        <w:t xml:space="preserve"> </w:t>
      </w:r>
      <w:r>
        <w:rPr>
          <w:rFonts w:hint="eastAsia"/>
          <w:color w:val="000000"/>
          <w:highlight w:val="none"/>
        </w:rPr>
        <w:t xml:space="preserve">行业；承接企业为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rFonts w:hint="eastAsia"/>
          <w:color w:val="000000"/>
          <w:highlight w:val="none"/>
          <w:vertAlign w:val="superscript"/>
        </w:rPr>
        <w:t xml:space="preserve">1</w:t>
      </w:r>
      <w:r>
        <w:rPr>
          <w:rFonts w:hint="eastAsia"/>
          <w:color w:val="000000"/>
          <w:highlight w:val="none"/>
        </w:rPr>
        <w:t xml:space="preserve">，属于</w:t>
      </w:r>
      <w:r>
        <w:rPr>
          <w:rFonts w:hint="eastAsia"/>
          <w:color w:val="000000"/>
          <w:highlight w:val="none"/>
          <w:u w:val="single"/>
        </w:rPr>
        <w:t xml:space="preserve">（</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highlight w:val="none"/>
          <w:u w:val="single"/>
        </w:rPr>
        <w:t xml:space="preserve">）；</w:t>
      </w:r>
      <w:r/>
    </w:p>
    <w:p>
      <w:pPr>
        <w:pStyle w:val="1055"/>
        <w:ind w:firstLine="360"/>
        <w:jc w:val="both"/>
        <w:spacing w:before="0" w:beforeAutospacing="0" w:after="0" w:afterAutospacing="0" w:line="440" w:lineRule="exact"/>
        <w:rPr>
          <w:rFonts w:hint="eastAsia"/>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i/>
          <w:iCs/>
          <w:color w:val="000000" w:themeColor="text1"/>
          <w:highlight w:val="none"/>
          <w:u w:val="single"/>
          <w14:textFill>
            <w14:solidFill>
              <w14:schemeClr w14:val="tx1"/>
            </w14:solidFill>
          </w14:textFill>
        </w:rPr>
        <w:t xml:space="preserve">其他未列明</w:t>
      </w:r>
      <w:r>
        <w:rPr>
          <w:rFonts w:hint="eastAsia"/>
          <w:color w:val="000000"/>
          <w:highlight w:val="none"/>
          <w:u w:val="single"/>
        </w:rPr>
        <w:t xml:space="preserve"> </w:t>
      </w:r>
      <w:r>
        <w:rPr>
          <w:rFonts w:hint="eastAsia"/>
          <w:color w:val="000000"/>
          <w:highlight w:val="none"/>
        </w:rPr>
        <w:t xml:space="preserve">行业；承接企业为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rFonts w:hint="eastAsia"/>
          <w:color w:val="000000"/>
          <w:highlight w:val="none"/>
          <w:vertAlign w:val="superscript"/>
        </w:rPr>
        <w:t xml:space="preserve">1</w:t>
      </w:r>
      <w:r>
        <w:rPr>
          <w:rFonts w:hint="eastAsia"/>
          <w:color w:val="000000"/>
          <w:highlight w:val="none"/>
        </w:rPr>
        <w:t xml:space="preserve">，属于</w:t>
      </w:r>
      <w:r>
        <w:rPr>
          <w:rFonts w:hint="eastAsia"/>
          <w:color w:val="000000"/>
          <w:highlight w:val="none"/>
          <w:u w:val="single"/>
        </w:rPr>
        <w:t xml:space="preserve">（</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highlight w:val="none"/>
          <w:u w:val="single"/>
        </w:rPr>
        <w:t xml:space="preserve">）；</w:t>
      </w:r>
      <w:r/>
    </w:p>
    <w:p>
      <w:pPr>
        <w:pStyle w:val="1055"/>
        <w:ind w:firstLine="360"/>
        <w:jc w:val="both"/>
        <w:spacing w:before="0" w:beforeAutospacing="0" w:after="0" w:afterAutospacing="0" w:line="440" w:lineRule="exact"/>
        <w:rPr>
          <w:rFonts w:hint="eastAsia"/>
          <w:highlight w:val="none"/>
        </w:rPr>
      </w:pPr>
      <w:r>
        <w:rPr>
          <w:rFonts w:hint="eastAsia"/>
          <w:color w:val="000000"/>
          <w:highlight w:val="none"/>
        </w:rPr>
        <w:t xml:space="preserve">……</w:t>
      </w:r>
      <w:r/>
    </w:p>
    <w:p>
      <w:pPr>
        <w:pStyle w:val="1055"/>
        <w:ind w:firstLine="360"/>
        <w:jc w:val="both"/>
        <w:spacing w:before="0" w:beforeAutospacing="0" w:after="0" w:afterAutospacing="0" w:line="440" w:lineRule="exact"/>
        <w:rPr>
          <w:rFonts w:hint="eastAsia"/>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pStyle w:val="1055"/>
        <w:ind w:firstLine="360"/>
        <w:jc w:val="both"/>
        <w:spacing w:before="0" w:beforeAutospacing="0" w:after="0" w:afterAutospacing="0" w:line="440" w:lineRule="exact"/>
        <w:rPr>
          <w:rFonts w:hint="eastAsia"/>
          <w:highlight w:val="none"/>
        </w:rPr>
      </w:pPr>
      <w:r>
        <w:rPr>
          <w:rFonts w:hint="eastAsia"/>
          <w:color w:val="000000"/>
          <w:highlight w:val="none"/>
        </w:rPr>
        <w:t xml:space="preserve">本企业对上述声明内容的真实性负责。如有虚假，将依法承担相应责任。</w:t>
      </w:r>
      <w:r/>
    </w:p>
    <w:p>
      <w:pPr>
        <w:pStyle w:val="1055"/>
        <w:ind w:right="720"/>
        <w:jc w:val="both"/>
        <w:spacing w:before="0" w:beforeAutospacing="0" w:after="0" w:afterAutospacing="0" w:line="440" w:lineRule="exact"/>
        <w:rPr>
          <w:rFonts w:hint="eastAsia"/>
          <w:highlight w:val="none"/>
        </w:rPr>
      </w:pPr>
      <w:r>
        <w:rPr>
          <w:rFonts w:hint="eastAsia"/>
          <w:highlight w:val="none"/>
        </w:rPr>
      </w:r>
      <w:r/>
    </w:p>
    <w:p>
      <w:pPr>
        <w:pStyle w:val="1055"/>
        <w:ind w:right="1140" w:firstLine="2400"/>
        <w:spacing w:before="0" w:beforeAutospacing="0" w:after="0" w:afterAutospacing="0" w:line="440" w:lineRule="exact"/>
        <w:rPr>
          <w:rFonts w:hint="eastAsia"/>
          <w:highlight w:val="none"/>
        </w:rPr>
      </w:pPr>
      <w:r>
        <w:rPr>
          <w:rFonts w:hint="eastAsia"/>
          <w:color w:val="000000"/>
          <w:highlight w:val="none"/>
        </w:rPr>
        <w:t xml:space="preserve">企业名称</w:t>
      </w:r>
      <w:r>
        <w:rPr>
          <w:rFonts w:hint="eastAsia" w:ascii="宋体" w:hAnsi="宋体" w:eastAsia="宋体" w:cs="宋体"/>
          <w:color w:val="auto"/>
          <w:highlight w:val="none"/>
        </w:rPr>
        <w:t xml:space="preserve">（加盖CA电子公章）</w:t>
      </w:r>
      <w:r>
        <w:rPr>
          <w:rFonts w:hint="eastAsia"/>
          <w:color w:val="000000"/>
          <w:highlight w:val="none"/>
        </w:rPr>
        <w:t xml:space="preserve">：</w:t>
      </w:r>
      <w:r/>
    </w:p>
    <w:p>
      <w:pPr>
        <w:pStyle w:val="1055"/>
        <w:ind w:right="480" w:firstLine="2400"/>
        <w:jc w:val="both"/>
        <w:spacing w:before="0" w:beforeAutospacing="0" w:after="0" w:afterAutospacing="0" w:line="440" w:lineRule="exact"/>
        <w:rPr>
          <w:rFonts w:hint="eastAsia"/>
          <w:highlight w:val="none"/>
        </w:rPr>
      </w:pPr>
      <w:r>
        <w:rPr>
          <w:rFonts w:hint="eastAsia"/>
          <w:color w:val="000000"/>
          <w:highlight w:val="none"/>
        </w:rPr>
        <w:t xml:space="preserve">日  期：</w:t>
      </w:r>
      <w:r/>
    </w:p>
    <w:p>
      <w:pPr>
        <w:pStyle w:val="1055"/>
        <w:jc w:val="both"/>
        <w:spacing w:before="0" w:beforeAutospacing="0" w:after="0" w:afterAutospacing="0" w:line="440" w:lineRule="exact"/>
        <w:rPr>
          <w:rFonts w:hint="eastAsia"/>
          <w:highlight w:val="none"/>
        </w:rPr>
      </w:pPr>
      <w:r>
        <w:rPr>
          <w:rFonts w:hint="eastAsia"/>
          <w:highlight w:val="none"/>
        </w:rPr>
      </w:r>
      <w:r/>
    </w:p>
    <w:p>
      <w:pPr>
        <w:pStyle w:val="1055"/>
        <w:ind w:firstLine="480"/>
        <w:jc w:val="both"/>
        <w:spacing w:before="0" w:beforeAutospacing="0" w:after="0" w:afterAutospacing="0" w:line="440" w:lineRule="exact"/>
        <w:rPr>
          <w:rFonts w:hint="eastAsia"/>
          <w:highlight w:val="none"/>
        </w:rPr>
      </w:pPr>
      <w:r>
        <w:rPr>
          <w:rFonts w:hint="eastAsia"/>
          <w:color w:val="000000"/>
          <w:highlight w:val="none"/>
        </w:rPr>
        <w:t xml:space="preserve">备注1：从业人员、营业收入、资产总额填报上一年度数据，无上一年度数据的新成立企业可不填报。</w:t>
      </w:r>
      <w:r/>
    </w:p>
    <w:p>
      <w:pPr>
        <w:pStyle w:val="1055"/>
        <w:ind w:firstLine="480"/>
        <w:jc w:val="both"/>
        <w:spacing w:before="0" w:beforeAutospacing="0" w:after="0" w:afterAutospacing="0" w:line="440" w:lineRule="exact"/>
        <w:rPr>
          <w:rFonts w:hint="eastAsia"/>
          <w:highlight w:val="none"/>
        </w:rPr>
      </w:pPr>
      <w:r>
        <w:rPr>
          <w:rFonts w:hint="eastAsia"/>
          <w:color w:val="000000"/>
          <w:highlight w:val="none"/>
        </w:rPr>
        <w:t xml:space="preserve">备注2：供应商如不提供此声明函，价格将不做相应扣除（如项目全面面向中小企业，则资格审查不通过）。</w:t>
      </w:r>
      <w:r/>
    </w:p>
    <w:p>
      <w:pPr>
        <w:pStyle w:val="1055"/>
        <w:jc w:val="center"/>
        <w:spacing w:beforeAutospacing="0" w:afterAutospacing="0"/>
        <w:rPr>
          <w:rFonts w:hint="eastAsia"/>
          <w:highlight w:val="none"/>
        </w:rPr>
      </w:pPr>
      <w:r>
        <w:rPr>
          <w:rFonts w:hint="eastAsia" w:ascii="黑体" w:eastAsia="黑体" w:cs="黑体"/>
          <w:b/>
          <w:color w:val="000000"/>
          <w:sz w:val="32"/>
          <w:szCs w:val="32"/>
          <w:highlight w:val="none"/>
        </w:rPr>
        <w:br w:type="page" w:clear="all"/>
      </w:r>
      <w:r>
        <w:rPr>
          <w:rFonts w:hint="eastAsia" w:ascii="黑体" w:eastAsia="黑体" w:cs="黑体"/>
          <w:b/>
          <w:color w:val="000000"/>
          <w:sz w:val="32"/>
          <w:szCs w:val="32"/>
          <w:highlight w:val="none"/>
        </w:rPr>
        <w:t xml:space="preserve"> 十、残疾人福利性单位声明函</w:t>
      </w:r>
      <w:r/>
    </w:p>
    <w:p>
      <w:pPr>
        <w:pStyle w:val="1055"/>
        <w:jc w:val="center"/>
        <w:spacing w:before="0" w:beforeAutospacing="0" w:after="0" w:afterAutospacing="0" w:line="440" w:lineRule="exact"/>
        <w:widowControl w:val="off"/>
        <w:rPr>
          <w:rFonts w:hint="eastAsia"/>
          <w:highlight w:val="none"/>
        </w:rPr>
      </w:pPr>
      <w:r>
        <w:rPr>
          <w:rFonts w:hint="eastAsia"/>
          <w:highlight w:val="none"/>
        </w:rPr>
      </w:r>
      <w:r/>
    </w:p>
    <w:p>
      <w:pPr>
        <w:pStyle w:val="1055"/>
        <w:ind w:firstLine="480"/>
        <w:jc w:val="both"/>
        <w:spacing w:before="0" w:beforeAutospacing="0" w:after="0" w:afterAutospacing="0" w:line="440" w:lineRule="exact"/>
        <w:widowControl w:val="off"/>
        <w:rPr>
          <w:rFonts w:hint="eastAsia"/>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highlight w:val="none"/>
          <w:u w:val="single"/>
        </w:rPr>
        <w:t xml:space="preserve">（采购人名称）</w:t>
      </w:r>
      <w:r>
        <w:rPr>
          <w:rFonts w:hint="eastAsia"/>
          <w:color w:val="000000"/>
          <w:highlight w:val="none"/>
        </w:rPr>
        <w:t xml:space="preserve">单位的采购文件编号为______的</w:t>
      </w:r>
      <w:r>
        <w:rPr>
          <w:rFonts w:hint="eastAsia"/>
          <w:color w:val="000000"/>
          <w:highlight w:val="none"/>
          <w:u w:val="single"/>
        </w:rPr>
        <w:t xml:space="preserve">       </w:t>
      </w:r>
      <w:r>
        <w:rPr>
          <w:rFonts w:hint="eastAsia"/>
          <w:color w:val="000000"/>
          <w:highlight w:val="none"/>
        </w:rPr>
        <w:t xml:space="preserve">项目采购活动提供本单位制造的货物，或者提供其他残疾人福利性单位制造的货物（不包括使用非残疾人福利性单位注册商标的货物）。</w:t>
      </w:r>
      <w:r/>
    </w:p>
    <w:p>
      <w:pPr>
        <w:pStyle w:val="1055"/>
        <w:ind w:firstLine="480"/>
        <w:jc w:val="both"/>
        <w:spacing w:before="0" w:beforeAutospacing="0" w:after="0" w:afterAutospacing="0" w:line="440" w:lineRule="exact"/>
        <w:widowControl w:val="off"/>
        <w:rPr>
          <w:rFonts w:hint="eastAsia"/>
          <w:highlight w:val="none"/>
        </w:rPr>
      </w:pPr>
      <w:r>
        <w:rPr>
          <w:rFonts w:hint="eastAsia"/>
          <w:color w:val="000000"/>
          <w:highlight w:val="none"/>
        </w:rPr>
        <w:t xml:space="preserve">本单位对上述声明的真实性负责。如有虚假，将依法承担相应责任。</w:t>
      </w:r>
      <w:r/>
    </w:p>
    <w:p>
      <w:pPr>
        <w:pStyle w:val="1055"/>
        <w:ind w:firstLine="480"/>
        <w:jc w:val="both"/>
        <w:spacing w:before="0" w:beforeAutospacing="0" w:after="0" w:afterAutospacing="0" w:line="440" w:lineRule="exact"/>
        <w:widowControl w:val="off"/>
        <w:rPr>
          <w:rFonts w:hint="eastAsia"/>
          <w:highlight w:val="none"/>
        </w:rPr>
      </w:pPr>
      <w:r>
        <w:rPr>
          <w:rFonts w:hint="eastAsia"/>
          <w:highlight w:val="none"/>
        </w:rPr>
      </w:r>
      <w:r/>
    </w:p>
    <w:p>
      <w:pPr>
        <w:pStyle w:val="10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1055"/>
        <w:jc w:val="both"/>
        <w:spacing w:before="0" w:beforeAutospacing="0" w:after="0" w:afterAutospacing="0" w:line="440" w:lineRule="exact"/>
        <w:widowControl w:val="off"/>
        <w:rPr>
          <w:rFonts w:hint="eastAsia"/>
          <w:highlight w:val="none"/>
        </w:rPr>
      </w:pPr>
      <w:r>
        <w:rPr>
          <w:rFonts w:hint="eastAsia"/>
          <w:highlight w:val="none"/>
        </w:rPr>
      </w:r>
      <w:r/>
    </w:p>
    <w:p>
      <w:pPr>
        <w:pStyle w:val="1055"/>
        <w:ind w:right="1560" w:firstLine="1680"/>
        <w:spacing w:before="0" w:beforeAutospacing="0" w:after="0" w:afterAutospacing="0" w:line="440" w:lineRule="exact"/>
        <w:widowControl w:val="off"/>
        <w:tabs>
          <w:tab w:val="left" w:pos="4864" w:leader="none"/>
        </w:tabs>
        <w:rPr>
          <w:rFonts w:hint="eastAsia"/>
          <w:highlight w:val="none"/>
        </w:rPr>
      </w:pPr>
      <w:r>
        <w:rPr>
          <w:rFonts w:hint="eastAsia"/>
          <w:color w:val="000000"/>
          <w:highlight w:val="none"/>
        </w:rPr>
        <w:t xml:space="preserve">供应商全称</w:t>
      </w:r>
      <w:r>
        <w:rPr>
          <w:rFonts w:hint="eastAsia" w:ascii="宋体" w:hAnsi="宋体" w:eastAsia="宋体" w:cs="宋体"/>
          <w:color w:val="auto"/>
          <w:highlight w:val="none"/>
        </w:rPr>
        <w:t xml:space="preserve">（加盖CA电子公章）</w:t>
      </w:r>
      <w:r>
        <w:rPr>
          <w:rFonts w:hint="eastAsia"/>
          <w:color w:val="000000"/>
          <w:highlight w:val="none"/>
        </w:rPr>
        <w:t xml:space="preserve">：</w:t>
      </w:r>
      <w:r/>
    </w:p>
    <w:p>
      <w:pPr>
        <w:pStyle w:val="1055"/>
        <w:ind w:right="1560" w:firstLine="480"/>
        <w:jc w:val="center"/>
        <w:spacing w:before="0" w:beforeAutospacing="0" w:after="0" w:afterAutospacing="0" w:line="440" w:lineRule="exact"/>
        <w:widowControl w:val="off"/>
        <w:tabs>
          <w:tab w:val="left" w:pos="4864" w:leader="none"/>
        </w:tabs>
        <w:rPr>
          <w:rFonts w:hint="eastAsia"/>
          <w:highlight w:val="none"/>
        </w:rPr>
      </w:pPr>
      <w:r>
        <w:rPr>
          <w:rFonts w:hint="eastAsia"/>
          <w:color w:val="000000"/>
          <w:highlight w:val="none"/>
        </w:rPr>
        <w:t xml:space="preserve">        日  期：</w:t>
      </w:r>
      <w:r/>
    </w:p>
    <w:p>
      <w:pPr>
        <w:pStyle w:val="1055"/>
        <w:jc w:val="center"/>
        <w:spacing w:before="0" w:beforeAutospacing="0" w:after="0" w:afterAutospacing="0" w:line="440" w:lineRule="exac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highlight w:val="none"/>
        </w:rPr>
      </w:pPr>
      <w:r>
        <w:rPr>
          <w:highlight w:val="none"/>
        </w:rPr>
        <w:t xml:space="preserve"> </w:t>
      </w:r>
      <w:r/>
    </w:p>
    <w:p>
      <w:pPr>
        <w:pStyle w:val="1055"/>
        <w:jc w:val="center"/>
        <w:spacing w:before="0" w:beforeAutospacing="0" w:after="0" w:afterAutospacing="0" w:line="0" w:lineRule="atLeast"/>
        <w:widowControl w:val="off"/>
        <w:rPr>
          <w:rFonts w:hint="eastAsia" w:ascii="黑体" w:eastAsia="黑体" w:cs="黑体"/>
          <w:b/>
          <w:color w:val="ff0000"/>
          <w:sz w:val="32"/>
          <w:szCs w:val="32"/>
          <w:highlight w:val="none"/>
        </w:rPr>
      </w:pPr>
      <w:r>
        <w:rPr>
          <w:rFonts w:hint="eastAsia" w:ascii="黑体" w:eastAsia="黑体" w:cs="黑体"/>
          <w:b/>
          <w:color w:val="000000"/>
          <w:sz w:val="32"/>
          <w:szCs w:val="32"/>
          <w:highlight w:val="none"/>
        </w:rPr>
        <w:br w:type="page" w:clear="all"/>
      </w:r>
      <w:r/>
    </w:p>
    <w:p>
      <w:pPr>
        <w:pStyle w:val="1055"/>
        <w:jc w:val="center"/>
        <w:spacing w:beforeAutospacing="0" w:afterAutospacing="0"/>
        <w:rPr>
          <w:rFonts w:hint="eastAsia" w:ascii="黑体" w:eastAsia="黑体" w:cs="黑体"/>
          <w:b/>
          <w:sz w:val="32"/>
          <w:szCs w:val="32"/>
          <w:highlight w:val="none"/>
        </w:rPr>
      </w:pPr>
      <w:r>
        <w:rPr>
          <w:rFonts w:hint="eastAsia" w:ascii="黑体" w:eastAsia="黑体" w:cs="黑体"/>
          <w:b/>
          <w:sz w:val="32"/>
          <w:szCs w:val="32"/>
          <w:highlight w:val="none"/>
        </w:rPr>
      </w:r>
      <w:r/>
    </w:p>
    <w:p>
      <w:pPr>
        <w:pStyle w:val="1055"/>
        <w:jc w:val="center"/>
        <w:spacing w:beforeAutospacing="0" w:afterAutospacing="0"/>
        <w:rPr>
          <w:rFonts w:hint="eastAsia" w:ascii="黑体" w:eastAsia="黑体" w:cs="黑体"/>
          <w:b/>
          <w:sz w:val="32"/>
          <w:szCs w:val="32"/>
          <w:highlight w:val="none"/>
        </w:rPr>
      </w:pPr>
      <w:r>
        <w:rPr>
          <w:rFonts w:hint="eastAsia" w:ascii="黑体" w:eastAsia="黑体" w:cs="黑体"/>
          <w:b/>
          <w:sz w:val="32"/>
          <w:szCs w:val="32"/>
          <w:highlight w:val="none"/>
        </w:rPr>
        <w:t xml:space="preserve">十</w:t>
      </w:r>
      <w:r>
        <w:rPr>
          <w:rFonts w:hint="eastAsia" w:ascii="黑体" w:eastAsia="黑体" w:cs="黑体"/>
          <w:b/>
          <w:sz w:val="32"/>
          <w:szCs w:val="32"/>
          <w:highlight w:val="none"/>
          <w:lang w:val="en-US" w:eastAsia="zh-CN"/>
        </w:rPr>
        <w:t xml:space="preserve">一</w:t>
      </w:r>
      <w:r>
        <w:rPr>
          <w:rFonts w:hint="eastAsia" w:ascii="黑体" w:eastAsia="黑体" w:cs="黑体"/>
          <w:b/>
          <w:sz w:val="32"/>
          <w:szCs w:val="32"/>
          <w:highlight w:val="none"/>
        </w:rPr>
        <w:t xml:space="preserve">、分项报价表（服务类）</w:t>
      </w:r>
      <w:r/>
    </w:p>
    <w:tbl>
      <w:tblPr>
        <w:tblStyle w:val="1026"/>
        <w:tblW w:w="9044"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559"/>
        <w:gridCol w:w="1134"/>
        <w:gridCol w:w="1276"/>
        <w:gridCol w:w="1275"/>
        <w:gridCol w:w="1560"/>
        <w:gridCol w:w="1559"/>
      </w:tblGrid>
      <w:tr>
        <w:trPr>
          <w:trHeight w:val="823"/>
        </w:trPr>
        <w:tc>
          <w:tcPr>
            <w:shd w:val="clear" w:color="auto" w:fill="auto"/>
            <w:tcW w:w="681" w:type="dxa"/>
            <w:vAlign w:val="center"/>
            <w:vMerge w:val="restart"/>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序号</w:t>
            </w:r>
            <w:r/>
          </w:p>
        </w:tc>
        <w:tc>
          <w:tcPr>
            <w:shd w:val="clear" w:color="auto" w:fill="auto"/>
            <w:tcW w:w="1559" w:type="dxa"/>
            <w:vAlign w:val="center"/>
            <w:textDirection w:val="lrTb"/>
            <w:noWrap w:val="false"/>
          </w:tcPr>
          <w:p>
            <w:pPr>
              <w:jc w:val="center"/>
              <w:spacing w:before="120" w:line="300" w:lineRule="auto"/>
              <w:rPr>
                <w:rFonts w:hint="eastAsia" w:ascii="宋体" w:hAnsi="宋体"/>
                <w:szCs w:val="21"/>
                <w:highlight w:val="none"/>
              </w:rPr>
            </w:pPr>
            <w:r>
              <w:rPr>
                <w:rFonts w:hint="eastAsia" w:ascii="宋体" w:hAnsi="宋体"/>
                <w:szCs w:val="21"/>
                <w:highlight w:val="none"/>
              </w:rPr>
              <w:t xml:space="preserve">1</w:t>
            </w:r>
            <w:r/>
          </w:p>
        </w:tc>
        <w:tc>
          <w:tcPr>
            <w:shd w:val="clear" w:color="auto" w:fill="auto"/>
            <w:tcW w:w="1134" w:type="dxa"/>
            <w:vAlign w:val="center"/>
            <w:textDirection w:val="lrTb"/>
            <w:noWrap w:val="false"/>
          </w:tcPr>
          <w:p>
            <w:pPr>
              <w:jc w:val="center"/>
              <w:spacing w:before="120" w:line="300" w:lineRule="auto"/>
              <w:rPr>
                <w:rFonts w:hint="eastAsia" w:ascii="宋体" w:hAnsi="宋体"/>
                <w:szCs w:val="21"/>
                <w:highlight w:val="none"/>
              </w:rPr>
            </w:pPr>
            <w:r>
              <w:rPr>
                <w:rFonts w:hint="eastAsia" w:ascii="宋体" w:hAnsi="宋体"/>
                <w:szCs w:val="21"/>
                <w:highlight w:val="none"/>
              </w:rPr>
              <w:t xml:space="preserve">2</w:t>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p>
        </w:tc>
        <w:tc>
          <w:tcPr>
            <w:shd w:val="clear" w:color="auto" w:fill="auto"/>
            <w:tcW w:w="1275"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4</w:t>
            </w:r>
            <w:r/>
          </w:p>
        </w:tc>
        <w:tc>
          <w:tcPr>
            <w:shd w:val="clear" w:color="auto" w:fill="auto"/>
            <w:tcW w:w="156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5</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6</w:t>
            </w:r>
            <w:r/>
          </w:p>
        </w:tc>
      </w:tr>
      <w:tr>
        <w:trPr>
          <w:trHeight w:val="823"/>
        </w:trPr>
        <w:tc>
          <w:tcPr>
            <w:shd w:val="clear" w:color="auto" w:fill="auto"/>
            <w:tcW w:w="681" w:type="dxa"/>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分项服务名称</w:t>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highlight w:val="none"/>
              </w:rPr>
              <w:t xml:space="preserve">交付期</w:t>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分项单位</w:t>
            </w:r>
            <w:r/>
          </w:p>
        </w:tc>
        <w:tc>
          <w:tcPr>
            <w:shd w:val="clear" w:color="auto" w:fill="auto"/>
            <w:tcW w:w="127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数量</w:t>
            </w:r>
            <w:r/>
          </w:p>
        </w:tc>
        <w:tc>
          <w:tcPr>
            <w:shd w:val="clear" w:color="auto" w:fill="auto"/>
            <w:tcW w:w="1560" w:type="dxa"/>
            <w:vAlign w:val="center"/>
            <w:textDirection w:val="lrTb"/>
            <w:noWrap w:val="false"/>
          </w:tcPr>
          <w:p>
            <w:pPr>
              <w:pStyle w:val="1055"/>
              <w:jc w:val="center"/>
              <w:spacing w:beforeAutospacing="0" w:afterAutospacing="0" w:line="0" w:lineRule="atLeast"/>
              <w:rPr>
                <w:rFonts w:hint="eastAsia" w:cs="Times New Roman"/>
                <w:sz w:val="21"/>
                <w:szCs w:val="21"/>
                <w:highlight w:val="none"/>
              </w:rPr>
            </w:pPr>
            <w:r>
              <w:rPr>
                <w:rFonts w:hint="eastAsia" w:cs="Times New Roman"/>
                <w:sz w:val="21"/>
                <w:szCs w:val="21"/>
                <w:highlight w:val="none"/>
              </w:rPr>
              <w:t xml:space="preserve">分项单价（元）</w:t>
            </w:r>
            <w:r/>
          </w:p>
        </w:tc>
        <w:tc>
          <w:tcPr>
            <w:shd w:val="clear" w:color="auto" w:fill="auto"/>
            <w:tcW w:w="1559" w:type="dxa"/>
            <w:vAlign w:val="center"/>
            <w:textDirection w:val="lrTb"/>
            <w:noWrap w:val="false"/>
          </w:tcPr>
          <w:p>
            <w:pPr>
              <w:pStyle w:val="1055"/>
              <w:jc w:val="center"/>
              <w:spacing w:beforeAutospacing="0" w:afterAutospacing="0" w:line="0" w:lineRule="atLeast"/>
              <w:rPr>
                <w:rFonts w:hint="eastAsia" w:cs="Times New Roman"/>
                <w:sz w:val="21"/>
                <w:szCs w:val="21"/>
                <w:highlight w:val="none"/>
              </w:rPr>
            </w:pPr>
            <w:r>
              <w:rPr>
                <w:rFonts w:hint="eastAsia" w:cs="Times New Roman"/>
                <w:sz w:val="21"/>
                <w:szCs w:val="21"/>
                <w:highlight w:val="none"/>
              </w:rPr>
              <w:t xml:space="preserve">分项总价（元）</w:t>
            </w:r>
            <w:r/>
          </w:p>
        </w:tc>
      </w:tr>
      <w:tr>
        <w:trPr>
          <w:trHeight w:val="823"/>
        </w:trPr>
        <w:tc>
          <w:tcPr>
            <w:shd w:val="clear" w:color="auto" w:fill="auto"/>
            <w:tcW w:w="681"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1</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5" w:type="dxa"/>
            <w:vAlign w:val="center"/>
            <w:textDirection w:val="lrTb"/>
            <w:noWrap w:val="false"/>
          </w:tcPr>
          <w:p>
            <w:pPr>
              <w:jc w:val="center"/>
              <w:widowControl/>
              <w:rPr>
                <w:color w:val="ff0000"/>
                <w:highlight w:val="none"/>
              </w:rPr>
            </w:pPr>
            <w:r>
              <w:rPr>
                <w:color w:val="ff0000"/>
                <w:highlight w:val="none"/>
              </w:rPr>
            </w:r>
            <w:r/>
          </w:p>
        </w:tc>
        <w:tc>
          <w:tcPr>
            <w:shd w:val="clear" w:color="auto" w:fill="auto"/>
            <w:tcW w:w="156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823"/>
        </w:trPr>
        <w:tc>
          <w:tcPr>
            <w:shd w:val="clear" w:color="auto" w:fill="auto"/>
            <w:tcW w:w="681"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2</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5" w:type="dxa"/>
            <w:vAlign w:val="center"/>
            <w:textDirection w:val="lrTb"/>
            <w:noWrap w:val="false"/>
          </w:tcPr>
          <w:p>
            <w:pPr>
              <w:jc w:val="center"/>
              <w:widowControl/>
              <w:rPr>
                <w:color w:val="ff0000"/>
                <w:highlight w:val="none"/>
              </w:rPr>
            </w:pPr>
            <w:r>
              <w:rPr>
                <w:color w:val="ff0000"/>
                <w:highlight w:val="none"/>
              </w:rPr>
            </w:r>
            <w:r/>
          </w:p>
        </w:tc>
        <w:tc>
          <w:tcPr>
            <w:shd w:val="clear" w:color="auto" w:fill="auto"/>
            <w:tcW w:w="156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823"/>
        </w:trPr>
        <w:tc>
          <w:tcPr>
            <w:shd w:val="clear" w:color="auto" w:fill="auto"/>
            <w:tcW w:w="681"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3</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5" w:type="dxa"/>
            <w:vAlign w:val="center"/>
            <w:textDirection w:val="lrTb"/>
            <w:noWrap w:val="false"/>
          </w:tcPr>
          <w:p>
            <w:pPr>
              <w:jc w:val="center"/>
              <w:widowControl/>
              <w:rPr>
                <w:color w:val="ff0000"/>
                <w:highlight w:val="none"/>
              </w:rPr>
            </w:pPr>
            <w:r>
              <w:rPr>
                <w:color w:val="ff0000"/>
                <w:highlight w:val="none"/>
              </w:rPr>
            </w:r>
            <w:r/>
          </w:p>
        </w:tc>
        <w:tc>
          <w:tcPr>
            <w:shd w:val="clear" w:color="auto" w:fill="auto"/>
            <w:tcW w:w="156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823"/>
        </w:trPr>
        <w:tc>
          <w:tcPr>
            <w:shd w:val="clear" w:color="auto" w:fill="auto"/>
            <w:tcW w:w="681" w:type="dxa"/>
            <w:vAlign w:val="center"/>
            <w:textDirection w:val="lrTb"/>
            <w:noWrap w:val="false"/>
          </w:tcPr>
          <w:p>
            <w:pPr>
              <w:jc w:val="center"/>
              <w:widowControl/>
              <w:rPr>
                <w:rFonts w:hint="eastAsia" w:ascii="宋体" w:hAnsi="宋体"/>
                <w:szCs w:val="21"/>
                <w:highlight w:val="none"/>
              </w:rPr>
            </w:pPr>
            <w:r>
              <w:rPr>
                <w:rFonts w:hint="eastAsia" w:ascii="宋体" w:hAnsi="宋体" w:cs="宋体"/>
                <w:highlight w:val="none"/>
              </w:rPr>
              <w:t xml:space="preserve">……</w:t>
            </w:r>
            <w:r/>
          </w:p>
        </w:tc>
        <w:tc>
          <w:tcPr>
            <w:shd w:val="clear" w:color="auto" w:fill="auto"/>
            <w:tcW w:w="1559" w:type="dxa"/>
            <w:vAlign w:val="center"/>
            <w:textDirection w:val="lrTb"/>
            <w:noWrap w:val="false"/>
          </w:tcPr>
          <w:p>
            <w:pPr>
              <w:jc w:val="center"/>
              <w:rPr>
                <w:rFonts w:hint="eastAsia" w:ascii="宋体" w:hAnsi="宋体"/>
                <w:szCs w:val="21"/>
                <w:highlight w:val="none"/>
              </w:rPr>
            </w:pPr>
            <w:r>
              <w:rPr>
                <w:rFonts w:hint="eastAsia" w:ascii="宋体" w:hAnsi="宋体" w:cs="宋体"/>
                <w:highlight w:val="none"/>
              </w:rPr>
              <w:t xml:space="preserve">……</w:t>
            </w:r>
            <w:r/>
          </w:p>
        </w:tc>
        <w:tc>
          <w:tcPr>
            <w:shd w:val="clear" w:color="auto" w:fill="auto"/>
            <w:tcW w:w="1134"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6"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shd w:val="clear" w:color="auto" w:fill="auto"/>
            <w:tcW w:w="1275" w:type="dxa"/>
            <w:vAlign w:val="center"/>
            <w:textDirection w:val="lrTb"/>
            <w:noWrap w:val="false"/>
          </w:tcPr>
          <w:p>
            <w:pPr>
              <w:jc w:val="center"/>
              <w:widowControl/>
              <w:rPr>
                <w:highlight w:val="none"/>
              </w:rPr>
            </w:pPr>
            <w:r>
              <w:rPr>
                <w:highlight w:val="none"/>
              </w:rPr>
            </w:r>
            <w:r/>
          </w:p>
        </w:tc>
        <w:tc>
          <w:tcPr>
            <w:shd w:val="clear" w:color="auto" w:fill="auto"/>
            <w:tcW w:w="156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shd w:val="clear" w:color="auto" w:fill="auto"/>
            <w:tcW w:w="155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823"/>
        </w:trPr>
        <w:tc>
          <w:tcPr>
            <w:gridSpan w:val="7"/>
            <w:shd w:val="clear" w:color="auto" w:fill="auto"/>
            <w:tcW w:w="9044" w:type="dxa"/>
            <w:vAlign w:val="center"/>
            <w:textDirection w:val="lrTb"/>
            <w:noWrap w:val="false"/>
          </w:tcPr>
          <w:p>
            <w:pPr>
              <w:widowControl/>
              <w:rPr>
                <w:rFonts w:hint="eastAsia" w:ascii="宋体" w:hAnsi="宋体"/>
                <w:szCs w:val="21"/>
                <w:highlight w:val="none"/>
              </w:rPr>
            </w:pPr>
            <w:r>
              <w:rPr>
                <w:rFonts w:hint="eastAsia" w:ascii="宋体" w:hAnsi="宋体" w:cs="宋体"/>
                <w:highlight w:val="none"/>
              </w:rPr>
              <w:t xml:space="preserve">总报价（人民币：元）</w:t>
            </w:r>
            <w:r/>
          </w:p>
        </w:tc>
      </w:tr>
    </w:tbl>
    <w:p>
      <w:pPr>
        <w:pStyle w:val="1055"/>
        <w:jc w:val="both"/>
        <w:spacing w:beforeAutospacing="0" w:afterAutospacing="0"/>
        <w:rPr>
          <w:rFonts w:hint="eastAsia"/>
          <w:sz w:val="21"/>
          <w:szCs w:val="21"/>
          <w:highlight w:val="none"/>
        </w:rPr>
      </w:pPr>
      <w:r>
        <w:rPr>
          <w:rFonts w:hint="eastAsia"/>
          <w:sz w:val="21"/>
          <w:szCs w:val="21"/>
          <w:highlight w:val="none"/>
        </w:rPr>
        <w:t xml:space="preserve">备注： </w:t>
      </w:r>
      <w:r>
        <w:rPr>
          <w:rFonts w:hint="eastAsia" w:ascii="宋体" w:hAnsi="宋体" w:eastAsia="宋体" w:cs="宋体"/>
          <w:color w:val="auto"/>
          <w:highlight w:val="none"/>
        </w:rPr>
        <w:t xml:space="preserve">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ind w:firstLine="420"/>
        <w:spacing w:line="320" w:lineRule="exact"/>
        <w:rPr>
          <w:rFonts w:ascii="黑体" w:eastAsia="黑体" w:cs="黑体"/>
          <w:b/>
          <w:color w:val="ff0000"/>
          <w:sz w:val="32"/>
          <w:szCs w:val="32"/>
          <w:highlight w:val="none"/>
        </w:rPr>
      </w:pPr>
      <w:r>
        <w:rPr>
          <w:rFonts w:ascii="黑体" w:eastAsia="黑体" w:cs="黑体"/>
          <w:b/>
          <w:color w:val="ff0000"/>
          <w:sz w:val="32"/>
          <w:szCs w:val="32"/>
          <w:highlight w:val="none"/>
        </w:rPr>
      </w:r>
      <w:r/>
    </w:p>
    <w:p>
      <w:pPr>
        <w:pStyle w:val="1055"/>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055"/>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055"/>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055"/>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055"/>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055"/>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055"/>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055"/>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055"/>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055"/>
        <w:jc w:val="center"/>
        <w:spacing w:before="0" w:beforeAutospacing="0" w:after="0" w:afterAutospacing="0"/>
        <w:widowControl w:val="off"/>
        <w:rPr>
          <w:rFonts w:hint="eastAsia"/>
          <w:highlight w:val="none"/>
        </w:rPr>
      </w:pPr>
      <w:r>
        <w:rPr>
          <w:rFonts w:hint="eastAsia" w:ascii="黑体" w:eastAsia="黑体" w:cs="黑体"/>
          <w:b/>
          <w:color w:val="000000"/>
          <w:sz w:val="32"/>
          <w:szCs w:val="32"/>
          <w:highlight w:val="none"/>
        </w:rPr>
        <w:t xml:space="preserve">十</w:t>
      </w:r>
      <w:r>
        <w:rPr>
          <w:rFonts w:hint="eastAsia" w:ascii="黑体" w:eastAsia="黑体" w:cs="黑体"/>
          <w:b/>
          <w:color w:val="000000"/>
          <w:sz w:val="32"/>
          <w:szCs w:val="32"/>
          <w:highlight w:val="none"/>
          <w:lang w:val="en-US" w:eastAsia="zh-CN"/>
        </w:rPr>
        <w:t xml:space="preserve">二</w:t>
      </w:r>
      <w:r>
        <w:rPr>
          <w:rFonts w:hint="eastAsia" w:ascii="黑体" w:eastAsia="黑体" w:cs="黑体"/>
          <w:b/>
          <w:color w:val="000000"/>
          <w:sz w:val="32"/>
          <w:szCs w:val="32"/>
          <w:highlight w:val="none"/>
        </w:rPr>
        <w:t xml:space="preserve">、技术要求响应及偏离表</w:t>
      </w:r>
      <w:r/>
    </w:p>
    <w:tbl>
      <w:tblPr>
        <w:tblStyle w:val="102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证明</w:t>
            </w:r>
            <w:r/>
          </w:p>
          <w:p>
            <w:pPr>
              <w:pStyle w:val="1055"/>
              <w:jc w:val="center"/>
              <w:spacing w:before="0" w:beforeAutospacing="0" w:after="0" w:afterAutospacing="0"/>
              <w:widowControl w:val="off"/>
              <w:rPr>
                <w:rFonts w:hint="eastAsia"/>
                <w:highlight w:val="none"/>
              </w:rPr>
            </w:pPr>
            <w:r>
              <w:rPr>
                <w:rFonts w:hint="eastAsia"/>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bl>
    <w:p>
      <w:pPr>
        <w:pStyle w:val="1055"/>
        <w:jc w:val="both"/>
        <w:spacing w:before="0" w:beforeAutospacing="0" w:after="0" w:afterAutospacing="0"/>
        <w:widowControl w:val="off"/>
        <w:rPr>
          <w:rFonts w:hint="eastAsia"/>
          <w:highlight w:val="none"/>
        </w:rPr>
      </w:pPr>
      <w:r>
        <w:rPr>
          <w:rFonts w:hint="eastAsia"/>
          <w:color w:val="000000"/>
          <w:highlight w:val="none"/>
        </w:rPr>
        <w:t xml:space="preserve">注： 行数不够，可自行添加。</w:t>
      </w:r>
      <w:r/>
    </w:p>
    <w:p>
      <w:pPr>
        <w:jc w:val="center"/>
        <w:rPr>
          <w:highlight w:val="none"/>
        </w:rPr>
      </w:pPr>
      <w:r/>
      <w:bookmarkStart w:id="156" w:name="_Hlt26955054"/>
      <w:r>
        <w:rPr>
          <w:rFonts w:hint="eastAsia"/>
          <w:highlight w:val="none"/>
        </w:rPr>
        <w:br w:type="page" w:clear="all"/>
      </w:r>
      <w:r>
        <w:rPr>
          <w:rFonts w:hint="eastAsia" w:ascii="黑体" w:eastAsia="黑体" w:cs="黑体"/>
          <w:b/>
          <w:color w:val="000000"/>
          <w:sz w:val="32"/>
          <w:szCs w:val="32"/>
          <w:highlight w:val="none"/>
        </w:rPr>
        <w:t xml:space="preserve">十</w:t>
      </w:r>
      <w:r>
        <w:rPr>
          <w:rFonts w:hint="eastAsia" w:ascii="黑体" w:eastAsia="黑体" w:cs="黑体"/>
          <w:b/>
          <w:color w:val="000000"/>
          <w:sz w:val="32"/>
          <w:szCs w:val="32"/>
          <w:highlight w:val="none"/>
          <w:lang w:eastAsia="zh-CN"/>
        </w:rPr>
        <w:t xml:space="preserve">三</w:t>
      </w:r>
      <w:r>
        <w:rPr>
          <w:rFonts w:hint="eastAsia" w:ascii="黑体" w:eastAsia="黑体" w:cs="黑体"/>
          <w:b/>
          <w:color w:val="000000"/>
          <w:sz w:val="32"/>
          <w:szCs w:val="32"/>
          <w:highlight w:val="none"/>
        </w:rPr>
        <w:t xml:space="preserve">、商务要求响应及偏离表</w:t>
      </w:r>
      <w:r/>
    </w:p>
    <w:tbl>
      <w:tblPr>
        <w:tblStyle w:val="102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证明</w:t>
            </w:r>
            <w:r/>
          </w:p>
          <w:p>
            <w:pPr>
              <w:pStyle w:val="1055"/>
              <w:jc w:val="center"/>
              <w:spacing w:before="0" w:beforeAutospacing="0" w:after="0" w:afterAutospacing="0"/>
              <w:widowControl w:val="off"/>
              <w:rPr>
                <w:rFonts w:hint="eastAsia"/>
                <w:highlight w:val="none"/>
              </w:rPr>
            </w:pPr>
            <w:r>
              <w:rPr>
                <w:rFonts w:hint="eastAsia"/>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55"/>
              <w:jc w:val="center"/>
              <w:spacing w:before="0" w:beforeAutospacing="0" w:after="0" w:afterAutospacing="0"/>
              <w:widowControl w:val="off"/>
              <w:rPr>
                <w:rFonts w:hint="eastAsia"/>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55"/>
              <w:jc w:val="center"/>
              <w:spacing w:before="0" w:beforeAutospacing="0" w:after="0" w:afterAutospacing="0"/>
              <w:widowControl w:val="off"/>
              <w:rPr>
                <w:rFonts w:hint="eastAsia"/>
                <w:highlight w:val="none"/>
              </w:rPr>
            </w:pPr>
            <w:r>
              <w:rPr>
                <w:highlight w:val="none"/>
              </w:rPr>
              <w:t xml:space="preserve"> </w:t>
            </w:r>
            <w:r/>
          </w:p>
        </w:tc>
      </w:tr>
    </w:tbl>
    <w:p>
      <w:pPr>
        <w:pStyle w:val="1055"/>
        <w:jc w:val="both"/>
        <w:spacing w:before="0" w:beforeAutospacing="0" w:after="0" w:afterAutospacing="0"/>
        <w:widowControl w:val="off"/>
        <w:rPr>
          <w:rFonts w:hint="eastAsia"/>
          <w:highlight w:val="none"/>
        </w:rPr>
      </w:pPr>
      <w:r>
        <w:rPr>
          <w:rFonts w:hint="eastAsia"/>
          <w:color w:val="000000"/>
          <w:highlight w:val="none"/>
        </w:rPr>
        <w:t xml:space="preserve">注： 行数不够，可自行添加。</w:t>
      </w:r>
      <w:r/>
    </w:p>
    <w:p>
      <w:pPr>
        <w:pStyle w:val="1055"/>
        <w:jc w:val="both"/>
        <w:spacing w:before="0" w:beforeAutospacing="0" w:after="0" w:afterAutospacing="0" w:line="480" w:lineRule="auto"/>
        <w:widowControl w:val="off"/>
        <w:rPr>
          <w:rFonts w:hint="eastAsia"/>
          <w:highlight w:val="none"/>
        </w:rPr>
      </w:pPr>
      <w:r>
        <w:rPr>
          <w:highlight w:val="none"/>
        </w:rPr>
        <w:t xml:space="preserve"> </w:t>
      </w:r>
      <w:r/>
    </w:p>
    <w:p>
      <w:pPr>
        <w:pStyle w:val="1055"/>
        <w:jc w:val="both"/>
        <w:spacing w:before="0" w:beforeAutospacing="0" w:after="0" w:afterAutospacing="0" w:line="480" w:lineRule="auto"/>
        <w:widowControl w:val="off"/>
        <w:rPr>
          <w:rFonts w:hint="eastAsia"/>
          <w:highlight w:val="none"/>
        </w:rPr>
      </w:pPr>
      <w:r>
        <w:rPr>
          <w:highlight w:val="none"/>
        </w:rPr>
        <w:t xml:space="preserve"> </w:t>
      </w:r>
      <w:r/>
    </w:p>
    <w:p>
      <w:pPr>
        <w:pStyle w:val="1055"/>
        <w:jc w:val="center"/>
        <w:spacing w:before="0" w:beforeAutospacing="0" w:after="0" w:afterAutospacing="0"/>
        <w:widowControl w:val="off"/>
        <w:rPr>
          <w:rFonts w:hint="eastAsia"/>
          <w:highlight w:val="none"/>
        </w:rPr>
      </w:pPr>
      <w:r/>
      <w:bookmarkStart w:id="157" w:name="_Toc462564146"/>
      <w:r/>
      <w:bookmarkStart w:id="158" w:name="_Hlt26671374"/>
      <w:r/>
      <w:bookmarkStart w:id="159" w:name="_格式2__法定代表人授权书"/>
      <w:r/>
      <w:bookmarkStart w:id="160" w:name="_Hlt26609389"/>
      <w:r/>
      <w:bookmarkStart w:id="161" w:name="_Hlt26955066"/>
      <w:r>
        <w:rPr>
          <w:highlight w:val="none"/>
        </w:rPr>
        <w:t xml:space="preserve"> </w:t>
      </w:r>
      <w:r/>
    </w:p>
    <w:p>
      <w:pPr>
        <w:pStyle w:val="1055"/>
        <w:jc w:val="center"/>
        <w:spacing w:before="0" w:beforeAutospacing="0" w:after="0" w:afterAutospacing="0"/>
        <w:widowControl w:val="off"/>
        <w:rPr>
          <w:rFonts w:hint="eastAsia"/>
          <w:highlight w:val="none"/>
        </w:rPr>
      </w:pPr>
      <w:r>
        <w:rPr>
          <w:highlight w:val="none"/>
        </w:rPr>
        <w:t xml:space="preserve"> </w:t>
      </w:r>
      <w:r/>
    </w:p>
    <w:p>
      <w:pPr>
        <w:pStyle w:val="1055"/>
        <w:jc w:val="center"/>
        <w:spacing w:before="0" w:beforeAutospacing="0" w:after="0" w:afterAutospacing="0"/>
        <w:widowControl w:val="off"/>
        <w:rPr>
          <w:rFonts w:hint="eastAsia"/>
          <w:highlight w:val="none"/>
        </w:rPr>
      </w:pPr>
      <w:r>
        <w:rPr>
          <w:highlight w:val="none"/>
        </w:rPr>
        <w:t xml:space="preserve"> </w:t>
      </w:r>
      <w:r/>
    </w:p>
    <w:p>
      <w:pPr>
        <w:pStyle w:val="1055"/>
        <w:jc w:val="center"/>
        <w:spacing w:before="0" w:beforeAutospacing="0" w:after="0" w:afterAutospacing="0"/>
        <w:widowControl w:val="off"/>
        <w:rPr>
          <w:rFonts w:hint="eastAsia"/>
          <w:highlight w:val="none"/>
        </w:rPr>
      </w:pPr>
      <w:r>
        <w:rPr>
          <w:highlight w:val="none"/>
        </w:rPr>
        <w:t xml:space="preserve"> </w:t>
      </w:r>
      <w:r/>
    </w:p>
    <w:p>
      <w:pPr>
        <w:pStyle w:val="1055"/>
        <w:jc w:val="center"/>
        <w:spacing w:before="0" w:beforeAutospacing="0" w:after="0" w:afterAutospacing="0"/>
        <w:widowControl w:val="off"/>
        <w:rPr>
          <w:rFonts w:hint="eastAsia"/>
          <w:highlight w:val="none"/>
        </w:rPr>
      </w:pPr>
      <w:r>
        <w:rPr>
          <w:highlight w:val="none"/>
        </w:rPr>
        <w:t xml:space="preserve"> </w:t>
      </w:r>
      <w:r/>
    </w:p>
    <w:p>
      <w:pPr>
        <w:pStyle w:val="1055"/>
        <w:jc w:val="center"/>
        <w:spacing w:before="0" w:beforeAutospacing="0" w:after="0" w:afterAutospacing="0"/>
        <w:widowControl w:val="off"/>
        <w:rPr>
          <w:rFonts w:hint="eastAsia"/>
          <w:highlight w:val="none"/>
        </w:rPr>
      </w:pPr>
      <w:r>
        <w:rPr>
          <w:highlight w:val="none"/>
        </w:rPr>
        <w:t xml:space="preserve"> </w:t>
      </w:r>
      <w:r/>
    </w:p>
    <w:p>
      <w:pPr>
        <w:pStyle w:val="1055"/>
        <w:jc w:val="center"/>
        <w:spacing w:before="0" w:beforeAutospacing="0" w:after="0" w:afterAutospacing="0"/>
        <w:widowControl w:val="off"/>
        <w:rPr>
          <w:rFonts w:hint="eastAsia"/>
          <w:highlight w:val="none"/>
        </w:rPr>
      </w:pPr>
      <w:r>
        <w:rPr>
          <w:highlight w:val="none"/>
        </w:rPr>
        <w:t xml:space="preserve"> </w:t>
      </w:r>
      <w:r/>
    </w:p>
    <w:p>
      <w:pPr>
        <w:pStyle w:val="1055"/>
        <w:jc w:val="both"/>
        <w:spacing w:before="0" w:beforeAutospacing="0" w:after="0" w:afterAutospacing="0"/>
        <w:widowControl w:val="off"/>
        <w:rPr>
          <w:rFonts w:hint="eastAsia"/>
          <w:highlight w:val="none"/>
        </w:rPr>
      </w:pPr>
      <w:r>
        <w:rPr>
          <w:highlight w:val="none"/>
        </w:rPr>
        <w:t xml:space="preserve"> </w:t>
      </w:r>
      <w:r/>
    </w:p>
    <w:p>
      <w:pPr>
        <w:jc w:val="center"/>
        <w:spacing w:before="50" w:after="50"/>
        <w:widowControl/>
        <w:rPr>
          <w:color w:val="auto"/>
          <w:highlight w:val="none"/>
        </w:rPr>
      </w:pPr>
      <w:r>
        <w:rPr>
          <w:rFonts w:hint="eastAsia" w:ascii="宋体" w:hAnsi="宋体" w:cs="宋体"/>
          <w:b/>
          <w:color w:val="000000"/>
          <w:sz w:val="32"/>
          <w:szCs w:val="32"/>
          <w:highlight w:val="none"/>
        </w:rPr>
        <w:br w:type="page" w:clear="all"/>
      </w:r>
      <w:r/>
    </w:p>
    <w:p>
      <w:pPr>
        <w:pStyle w:val="1021"/>
        <w:jc w:val="center"/>
        <w:keepLines w:val="0"/>
        <w:keepNext w:val="0"/>
        <w:widowControl/>
        <w:suppressLineNumbers w:val="0"/>
      </w:pPr>
      <w:r>
        <w:rPr>
          <w:rFonts w:hint="eastAsia" w:ascii="黑体" w:hAnsi="宋体" w:eastAsia="黑体" w:cs="黑体"/>
          <w:iCs/>
          <w:color w:val="auto"/>
          <w:sz w:val="32"/>
          <w:szCs w:val="32"/>
          <w:highlight w:val="none"/>
        </w:rPr>
        <w:t xml:space="preserve">十</w:t>
      </w:r>
      <w:r>
        <w:rPr>
          <w:rFonts w:hint="eastAsia" w:ascii="黑体" w:hAnsi="宋体" w:eastAsia="黑体" w:cs="黑体"/>
          <w:iCs/>
          <w:color w:val="auto"/>
          <w:sz w:val="32"/>
          <w:szCs w:val="32"/>
          <w:highlight w:val="none"/>
          <w:lang w:val="en-US" w:eastAsia="zh-CN"/>
        </w:rPr>
        <w:t xml:space="preserve">四</w:t>
      </w:r>
      <w:r>
        <w:rPr>
          <w:rFonts w:hint="eastAsia" w:ascii="黑体" w:hAnsi="宋体" w:eastAsia="黑体" w:cs="黑体"/>
          <w:iCs/>
          <w:color w:val="auto"/>
          <w:sz w:val="32"/>
          <w:szCs w:val="32"/>
          <w:highlight w:val="none"/>
          <w:lang w:eastAsia="zh-CN"/>
        </w:rPr>
        <w:t xml:space="preserve">、</w:t>
      </w:r>
      <w:r>
        <w:rPr>
          <w:rFonts w:hint="eastAsia" w:ascii="黑体" w:hAnsi="宋体" w:eastAsia="黑体" w:cs="黑体"/>
          <w:iCs/>
          <w:color w:val="auto"/>
          <w:sz w:val="32"/>
          <w:szCs w:val="32"/>
          <w:highlight w:val="none"/>
        </w:rPr>
        <w:t xml:space="preserve">磋商报价表</w:t>
      </w:r>
      <w:r/>
    </w:p>
    <w:p>
      <w:pPr>
        <w:pStyle w:val="1055"/>
        <w:keepLines w:val="0"/>
        <w:keepNext w:val="0"/>
        <w:widowControl/>
        <w:suppressLineNumbers w:val="0"/>
      </w:pPr>
      <w:r>
        <w:t xml:space="preserve">货币单位：人民币元</w:t>
      </w:r>
      <w:r/>
    </w:p>
    <w:p>
      <w:pPr>
        <w:pStyle w:val="1055"/>
        <w:keepLines w:val="0"/>
        <w:keepNext w:val="0"/>
        <w:widowControl/>
        <w:suppressLineNumbers w:val="0"/>
      </w:pPr>
      <w:r>
        <w:t xml:space="preserve">项目编号：</w:t>
      </w:r>
      <w:r>
        <w:rPr>
          <w:rFonts w:hint="eastAsia"/>
        </w:rPr>
        <w:t xml:space="preserve">JSZC-320900-RHHH-C2025-0100</w:t>
      </w:r>
      <w:r>
        <w:t xml:space="preserve">  </w:t>
      </w:r>
      <w:r/>
    </w:p>
    <w:tbl>
      <w:tblPr>
        <w:tblStyle w:val="102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09"/>
        <w:gridCol w:w="2706"/>
        <w:gridCol w:w="4029"/>
      </w:tblGrid>
      <w:tr>
        <w:trPr>
          <w:tblCellSpacing w:w="15" w:type="dxa"/>
        </w:trPr>
        <w:tc>
          <w:tcPr>
            <w:shd w:val="clear" w:color="auto" w:fill="auto"/>
            <w:tcW w:w="2664" w:type="dxa"/>
            <w:vAlign w:val="center"/>
            <w:textDirection w:val="lrTb"/>
            <w:noWrap w:val="false"/>
          </w:tcPr>
          <w:p>
            <w:pPr>
              <w:pStyle w:val="1055"/>
              <w:keepLines w:val="0"/>
              <w:keepNext w:val="0"/>
              <w:widowControl/>
              <w:suppressLineNumbers w:val="0"/>
            </w:pPr>
            <w:r>
              <w:t xml:space="preserve">项目名称</w:t>
            </w:r>
            <w:r/>
          </w:p>
        </w:tc>
        <w:tc>
          <w:tcPr>
            <w:shd w:val="clear" w:color="auto" w:fill="auto"/>
            <w:tcW w:w="2676" w:type="dxa"/>
            <w:vAlign w:val="center"/>
            <w:textDirection w:val="lrTb"/>
            <w:noWrap w:val="false"/>
          </w:tcPr>
          <w:p>
            <w:pPr>
              <w:pStyle w:val="1055"/>
              <w:keepLines w:val="0"/>
              <w:keepNext w:val="0"/>
              <w:widowControl/>
              <w:suppressLineNumbers w:val="0"/>
            </w:pPr>
            <w:r>
              <w:t xml:space="preserve">项目内容</w:t>
            </w:r>
            <w:r/>
          </w:p>
        </w:tc>
        <w:tc>
          <w:tcPr>
            <w:shd w:val="clear" w:color="auto" w:fill="auto"/>
            <w:tcW w:w="3984" w:type="dxa"/>
            <w:vAlign w:val="center"/>
            <w:textDirection w:val="lrTb"/>
            <w:noWrap w:val="false"/>
          </w:tcPr>
          <w:p>
            <w:pPr>
              <w:pStyle w:val="1055"/>
              <w:keepLines w:val="0"/>
              <w:keepNext w:val="0"/>
              <w:widowControl/>
              <w:suppressLineNumbers w:val="0"/>
            </w:pPr>
            <w:r>
              <w:t xml:space="preserve">总价（小写）</w:t>
            </w:r>
            <w:r/>
          </w:p>
        </w:tc>
      </w:tr>
      <w:tr>
        <w:trPr>
          <w:tblCellSpacing w:w="15" w:type="dxa"/>
        </w:trPr>
        <w:tc>
          <w:tcPr>
            <w:shd w:val="clear" w:color="auto" w:fill="auto"/>
            <w:tcW w:w="2664" w:type="dxa"/>
            <w:vAlign w:val="center"/>
            <w:textDirection w:val="lrTb"/>
            <w:noWrap w:val="false"/>
          </w:tcPr>
          <w:p>
            <w:pPr>
              <w:pStyle w:val="1055"/>
              <w:keepLines w:val="0"/>
              <w:keepNext w:val="0"/>
              <w:widowControl/>
              <w:suppressLineNumbers w:val="0"/>
            </w:pPr>
            <w:r>
              <w:rPr>
                <w:rFonts w:hint="eastAsia" w:ascii="宋体" w:hAnsi="宋体" w:cs="宋体"/>
                <w:color w:val="000000" w:themeColor="text1"/>
                <w:sz w:val="24"/>
                <w:highlight w:val="none"/>
                <w:lang w:eastAsia="zh-CN"/>
                <w14:textFill>
                  <w14:solidFill>
                    <w14:schemeClr w14:val="tx1"/>
                  </w14:solidFill>
                </w14:textFill>
              </w:rPr>
              <w:t xml:space="preserve">盐城市耕地保护和利用专项规划编制项目</w:t>
            </w:r>
            <w:r>
              <w:rPr>
                <w:rFonts w:hint="eastAsia" w:cs="宋体"/>
                <w:color w:val="000000" w:themeColor="text1"/>
                <w:sz w:val="24"/>
                <w:highlight w:val="none"/>
                <w:lang w:eastAsia="zh-CN"/>
                <w14:textFill>
                  <w14:solidFill>
                    <w14:schemeClr w14:val="tx1"/>
                  </w14:solidFill>
                </w14:textFill>
              </w:rPr>
              <w:t xml:space="preserve">（</w:t>
            </w:r>
            <w:r>
              <w:rPr>
                <w:rFonts w:hint="eastAsia" w:cs="宋体"/>
                <w:color w:val="000000" w:themeColor="text1"/>
                <w:sz w:val="24"/>
                <w:highlight w:val="none"/>
                <w:lang w:val="en-US" w:eastAsia="zh-CN"/>
                <w14:textFill>
                  <w14:solidFill>
                    <w14:schemeClr w14:val="tx1"/>
                  </w14:solidFill>
                </w14:textFill>
              </w:rPr>
              <w:t xml:space="preserve">三次</w:t>
            </w:r>
            <w:r>
              <w:rPr>
                <w:rFonts w:hint="eastAsia" w:cs="宋体"/>
                <w:color w:val="000000" w:themeColor="text1"/>
                <w:sz w:val="24"/>
                <w:highlight w:val="none"/>
                <w:lang w:eastAsia="zh-CN"/>
                <w14:textFill>
                  <w14:solidFill>
                    <w14:schemeClr w14:val="tx1"/>
                  </w14:solidFill>
                </w14:textFill>
              </w:rPr>
              <w:t xml:space="preserve">）</w:t>
            </w:r>
            <w:r>
              <w:rPr>
                <w:rFonts w:hint="default" w:ascii="宋体" w:hAnsi="宋体" w:eastAsia="宋体" w:cs="宋体"/>
                <w:color w:val="auto"/>
                <w:sz w:val="24"/>
                <w:szCs w:val="24"/>
                <w:highlight w:val="none"/>
                <w:lang w:val="en-US" w:eastAsia="zh-CN" w:bidi="ar"/>
              </w:rPr>
              <w:t xml:space="preserve"> </w:t>
            </w:r>
            <w:r/>
          </w:p>
        </w:tc>
        <w:tc>
          <w:tcPr>
            <w:shd w:val="clear" w:color="auto" w:fill="auto"/>
            <w:tcW w:w="2676" w:type="dxa"/>
            <w:vAlign w:val="center"/>
            <w:textDirection w:val="lrTb"/>
            <w:noWrap w:val="false"/>
          </w:tcPr>
          <w:p>
            <w:pPr>
              <w:pStyle w:val="1055"/>
              <w:keepLines w:val="0"/>
              <w:keepNext w:val="0"/>
              <w:widowControl/>
              <w:suppressLineNumbers w:val="0"/>
            </w:pPr>
            <w:r>
              <w:t xml:space="preserve">详见响应文件</w:t>
            </w:r>
            <w:r/>
          </w:p>
        </w:tc>
        <w:tc>
          <w:tcPr>
            <w:shd w:val="clear" w:color="auto" w:fill="auto"/>
            <w:tcW w:w="3984" w:type="dxa"/>
            <w:vAlign w:val="center"/>
            <w:textDirection w:val="lrTb"/>
            <w:noWrap w:val="false"/>
          </w:tcPr>
          <w:p>
            <w:pPr>
              <w:pStyle w:val="1055"/>
              <w:keepLines w:val="0"/>
              <w:keepNext w:val="0"/>
              <w:widowControl/>
              <w:suppressLineNumbers w:val="0"/>
            </w:pPr>
            <w:r>
              <w:t xml:space="preserve"> </w:t>
            </w:r>
            <w: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t xml:space="preserve"> 元</w:t>
            </w:r>
            <w:r/>
          </w:p>
        </w:tc>
      </w:tr>
      <w:tr>
        <w:trPr>
          <w:tblCellSpacing w:w="15" w:type="dxa"/>
        </w:trPr>
        <w:tc>
          <w:tcPr>
            <w:shd w:val="clear" w:color="auto" w:fill="auto"/>
            <w:tcW w:w="2664" w:type="dxa"/>
            <w:vAlign w:val="center"/>
            <w:textDirection w:val="lrTb"/>
            <w:noWrap w:val="false"/>
          </w:tcPr>
          <w:p>
            <w:pPr>
              <w:pStyle w:val="1055"/>
              <w:keepLines w:val="0"/>
              <w:keepNext w:val="0"/>
              <w:widowControl/>
              <w:suppressLineNumbers w:val="0"/>
            </w:pPr>
            <w:r>
              <w:t xml:space="preserve">总价（大写）：</w:t>
            </w:r>
            <w:r/>
          </w:p>
        </w:tc>
        <w:tc>
          <w:tcPr>
            <w:gridSpan w:val="2"/>
            <w:shd w:val="clear" w:color="auto" w:fill="auto"/>
            <w:tcW w:w="6672" w:type="dxa"/>
            <w:vAlign w:val="center"/>
            <w:textDirection w:val="lrTb"/>
            <w:noWrap w:val="false"/>
          </w:tcPr>
          <w:p>
            <w:pPr>
              <w:pStyle w:val="1055"/>
              <w:keepLines w:val="0"/>
              <w:keepNext w:val="0"/>
              <w:widowControl/>
              <w:suppressLineNumbers w:val="0"/>
            </w:pPr>
            <w:r>
              <w:t xml:space="preserve"> 金额大写 </w:t>
            </w:r>
            <w:r/>
          </w:p>
        </w:tc>
      </w:tr>
    </w:tbl>
    <w:p>
      <w:pPr>
        <w:pStyle w:val="1055"/>
        <w:keepLines w:val="0"/>
        <w:keepNext w:val="0"/>
        <w:widowControl/>
        <w:suppressLineNumbers w:val="0"/>
      </w:pPr>
      <w:r>
        <w:t xml:space="preserve"> </w:t>
      </w:r>
      <w:r/>
    </w:p>
    <w:p>
      <w:pPr>
        <w:pStyle w:val="1055"/>
        <w:keepLines w:val="0"/>
        <w:keepNext w:val="0"/>
        <w:widowControl/>
        <w:suppressLineNumbers w:val="0"/>
      </w:pPr>
      <w:r>
        <w:t xml:space="preserve">供应商（电子签章）：</w:t>
      </w:r>
      <w:r/>
    </w:p>
    <w:p>
      <w:pPr>
        <w:pStyle w:val="1055"/>
        <w:jc w:val="right"/>
        <w:keepLines w:val="0"/>
        <w:keepNext w:val="0"/>
        <w:widowControl/>
        <w:suppressLineNumbers w:val="0"/>
      </w:pPr>
      <w:r>
        <w:t xml:space="preserve">日期：</w:t>
      </w:r>
      <w:r>
        <mc:AlternateContent>
          <mc:Choice Requires="wpg">
            <w:drawing>
              <wp:inline xmlns:wp="http://schemas.openxmlformats.org/drawingml/2006/wordprocessingDrawing" distT="0" distB="0" distL="0" distR="0">
                <wp:extent cx="635" cy="0"/>
                <wp:effectExtent l="0" t="0" r="0" b="0"/>
                <wp:docPr id="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w:pict>
          </mc:Fallback>
        </mc:AlternateContent>
      </w:r>
      <w:r>
        <w:t xml:space="preserve"> 年</w:t>
      </w:r>
      <w:r>
        <mc:AlternateContent>
          <mc:Choice Requires="wpg">
            <w:drawing>
              <wp:inline xmlns:wp="http://schemas.openxmlformats.org/drawingml/2006/wordprocessingDrawing" distT="0" distB="0" distL="0" distR="0">
                <wp:extent cx="635" cy="0"/>
                <wp:effectExtent l="0" t="0" r="0" b="0"/>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color="#000000"/>
            </w:pict>
          </mc:Fallback>
        </mc:AlternateContent>
      </w:r>
      <w:r>
        <w:t xml:space="preserve"> 月</w:t>
      </w:r>
      <w:r>
        <mc:AlternateContent>
          <mc:Choice Requires="wpg">
            <w:drawing>
              <wp:inline xmlns:wp="http://schemas.openxmlformats.org/drawingml/2006/wordprocessingDrawing" distT="0" distB="0" distL="0" distR="0">
                <wp:extent cx="635" cy="0"/>
                <wp:effectExtent l="0" t="0" r="0" b="0"/>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0" o:spid="_x0000_s10" o:spt="1" type="#_x0000_t1" style="width:0.0pt;height:0.0pt;mso-wrap-distance-left:0.0pt;mso-wrap-distance-top:0.0pt;mso-wrap-distance-right:0.0pt;mso-wrap-distance-bottom:0.0pt;visibility:visible;" filled="f" strokecolor="#000000"/>
            </w:pict>
          </mc:Fallback>
        </mc:AlternateContent>
      </w:r>
      <w:r>
        <w:t xml:space="preserve"> 日</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7"/>
        <w:rPr>
          <w:rFonts w:hint="eastAsia"/>
        </w:rPr>
      </w:pPr>
      <w:r>
        <w:rPr>
          <w:rFonts w:hint="eastAsia"/>
        </w:rPr>
      </w:r>
      <w:r/>
    </w:p>
    <w:p>
      <w:pPr>
        <w:jc w:val="center"/>
        <w:spacing w:before="50" w:after="50"/>
        <w:widowControl/>
        <w:rPr>
          <w:rFonts w:hint="eastAsia" w:ascii="宋体" w:hAnsi="宋体" w:cs="宋体"/>
          <w:sz w:val="24"/>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、技术方案、服务承诺、培训承诺等</w:t>
      </w:r>
      <w:r/>
    </w:p>
    <w:p>
      <w:pPr>
        <w:pStyle w:val="1055"/>
        <w:jc w:val="both"/>
        <w:spacing w:beforeAutospacing="0" w:afterAutospacing="0"/>
        <w:tabs>
          <w:tab w:val="left" w:pos="2160" w:leader="none"/>
        </w:tabs>
        <w:rPr>
          <w:rFonts w:hint="eastAsia"/>
          <w:highlight w:val="none"/>
        </w:rPr>
      </w:pPr>
      <w:r>
        <w:rPr>
          <w:rFonts w:hint="eastAsia"/>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27"/>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27"/>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27"/>
        <w:rPr>
          <w:rFonts w:hint="eastAsia"/>
        </w:rPr>
      </w:pPr>
      <w:r>
        <w:rPr>
          <w:rFonts w:hint="eastAsia"/>
        </w:rPr>
      </w:r>
      <w:r/>
    </w:p>
    <w:p>
      <w:pPr>
        <w:ind w:firstLine="1600"/>
        <w:spacing w:line="499" w:lineRule="atLeast"/>
        <w:widowControl/>
        <w:rPr>
          <w:rFonts w:hint="eastAsia" w:ascii="宋体" w:hAnsi="宋体" w:cs="宋体"/>
          <w:sz w:val="24"/>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六</w:t>
      </w:r>
      <w:r>
        <w:rPr>
          <w:rFonts w:hint="eastAsia" w:ascii="黑体" w:hAnsi="宋体" w:eastAsia="黑体" w:cs="黑体"/>
          <w:b/>
          <w:color w:val="000000"/>
          <w:sz w:val="32"/>
          <w:szCs w:val="32"/>
          <w:highlight w:val="none"/>
        </w:rPr>
        <w:t xml:space="preserve">、盐城市政府采购事前信用承诺书</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（六）自觉接受政府、行业组织、社会公众、新闻的监督；</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法定代表人签名：</w:t>
      </w:r>
      <w:r/>
    </w:p>
    <w:p>
      <w:pPr>
        <w:ind w:firstLine="3120"/>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单位名称（盖章）：</w:t>
      </w:r>
      <w:r/>
    </w:p>
    <w:p>
      <w:pPr>
        <w:jc w:val="center"/>
        <w:spacing w:line="499" w:lineRule="atLeast"/>
        <w:widowControl/>
        <w:rPr>
          <w:rFonts w:hint="eastAsia"/>
          <w:b/>
          <w:color w:val="000000"/>
          <w:sz w:val="32"/>
          <w:szCs w:val="32"/>
          <w:highlight w:val="none"/>
        </w:rPr>
      </w:pPr>
      <w:r>
        <w:rPr>
          <w:rFonts w:hint="eastAsia" w:ascii="宋体" w:hAnsi="宋体" w:cs="宋体"/>
          <w:color w:val="000000"/>
          <w:sz w:val="24"/>
          <w:highlight w:val="none"/>
        </w:rPr>
        <w:t xml:space="preserve">  日期：     年  月  日</w:t>
      </w:r>
      <w:bookmarkEnd w:id="153"/>
      <w:r/>
      <w:bookmarkEnd w:id="154"/>
      <w:r/>
      <w:bookmarkEnd w:id="155"/>
      <w:r/>
      <w:bookmarkEnd w:id="156"/>
      <w:r/>
      <w:bookmarkEnd w:id="157"/>
      <w:r/>
      <w:bookmarkEnd w:id="158"/>
      <w:r/>
      <w:bookmarkEnd w:id="159"/>
      <w:r/>
      <w:bookmarkEnd w:id="160"/>
      <w:r/>
      <w:bookmarkEnd w:id="161"/>
      <w:r/>
      <w:r/>
    </w:p>
    <w:p>
      <w:pPr>
        <w:pStyle w:val="1055"/>
        <w:jc w:val="center"/>
        <w:spacing w:beforeAutospacing="0" w:afterAutospacing="0"/>
        <w:rPr>
          <w:rFonts w:hint="eastAsia"/>
          <w:b/>
          <w:color w:val="000000"/>
          <w:sz w:val="32"/>
          <w:szCs w:val="32"/>
          <w:highlight w:val="none"/>
        </w:rPr>
      </w:pPr>
      <w:r>
        <w:rPr>
          <w:rFonts w:hint="eastAsia"/>
          <w:b/>
          <w:color w:val="000000"/>
          <w:sz w:val="32"/>
          <w:szCs w:val="32"/>
          <w:highlight w:val="none"/>
        </w:rPr>
        <w:t xml:space="preserve">质疑函范本</w:t>
      </w:r>
      <w:r/>
    </w:p>
    <w:p>
      <w:pPr>
        <w:pStyle w:val="1055"/>
        <w:jc w:val="both"/>
        <w:spacing w:before="290" w:beforeAutospacing="0" w:afterAutospacing="0" w:line="360" w:lineRule="auto"/>
        <w:rPr>
          <w:rFonts w:hint="eastAsia"/>
          <w:highlight w:val="none"/>
        </w:rPr>
      </w:pPr>
      <w:r>
        <w:rPr>
          <w:rFonts w:hint="eastAsia"/>
          <w:color w:val="000000"/>
          <w:highlight w:val="none"/>
        </w:rPr>
        <w:t xml:space="preserve">一、质疑供应商基本信息</w:t>
      </w:r>
      <w:r/>
    </w:p>
    <w:p>
      <w:pPr>
        <w:pStyle w:val="1055"/>
        <w:jc w:val="both"/>
        <w:spacing w:beforeAutospacing="0" w:afterAutospacing="0" w:line="360" w:lineRule="auto"/>
        <w:rPr>
          <w:rFonts w:hint="eastAsia"/>
          <w:highlight w:val="none"/>
        </w:rPr>
      </w:pPr>
      <w:r>
        <w:rPr>
          <w:rFonts w:hint="eastAsia"/>
          <w:color w:val="000000"/>
          <w:highlight w:val="none"/>
        </w:rPr>
        <w:t xml:space="preserve">质疑供应商：</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p>
    <w:p>
      <w:pPr>
        <w:pStyle w:val="1055"/>
        <w:jc w:val="both"/>
        <w:spacing w:beforeAutospacing="0" w:afterAutospacing="0" w:line="360" w:lineRule="auto"/>
        <w:rPr>
          <w:rFonts w:hint="eastAsia"/>
          <w:color w:val="000000"/>
          <w:highlight w:val="none"/>
          <w:u w:val="singl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055"/>
        <w:jc w:val="both"/>
        <w:spacing w:beforeAutospacing="0" w:afterAutospacing="0" w:line="360" w:lineRule="auto"/>
        <w:rPr>
          <w:rFonts w:hint="eastAsia"/>
          <w:color w:val="000000"/>
          <w:highlight w:val="none"/>
          <w:u w:val="single"/>
        </w:rPr>
      </w:pPr>
      <w:r>
        <w:rPr>
          <w:rFonts w:hint="eastAsia"/>
          <w:color w:val="000000"/>
          <w:highlight w:val="none"/>
        </w:rPr>
        <w:t xml:space="preserve">联系人：</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授权代表：</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055"/>
        <w:jc w:val="both"/>
        <w:spacing w:beforeAutospacing="0" w:afterAutospacing="0" w:line="360" w:lineRule="auto"/>
        <w:rPr>
          <w:rFonts w:hint="eastAsia"/>
          <w:color w:val="000000"/>
          <w:highlight w:val="none"/>
          <w:u w:val="single"/>
        </w:rPr>
      </w:pPr>
      <w:r>
        <w:rPr>
          <w:rFonts w:hint="eastAsia"/>
          <w:color w:val="000000"/>
          <w:highlight w:val="none"/>
        </w:rPr>
        <w:t xml:space="preserve">地址： </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邮编：</w:t>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二、质疑项目基本情况</w:t>
      </w:r>
      <w:r/>
    </w:p>
    <w:p>
      <w:pPr>
        <w:pStyle w:val="1055"/>
        <w:jc w:val="both"/>
        <w:spacing w:beforeAutospacing="0" w:afterAutospacing="0" w:line="360" w:lineRule="auto"/>
        <w:rPr>
          <w:rFonts w:hint="eastAsia"/>
          <w:highlight w:val="none"/>
        </w:rPr>
      </w:pPr>
      <w:r>
        <w:rPr>
          <w:rFonts w:hint="eastAsia"/>
          <w:color w:val="000000"/>
          <w:highlight w:val="none"/>
        </w:rPr>
        <w:t xml:space="preserve">质疑项目的名称：</w:t>
      </w:r>
      <w:r>
        <w:rPr>
          <w:rFonts w:hint="eastAsia"/>
          <w:color w:val="000000"/>
          <w:highlight w:val="none"/>
          <w:u w:val="single"/>
        </w:rPr>
        <w:t xml:space="preserve">                            </w:t>
      </w:r>
      <w:r/>
    </w:p>
    <w:p>
      <w:pPr>
        <w:pStyle w:val="1055"/>
        <w:jc w:val="both"/>
        <w:spacing w:beforeAutospacing="0" w:afterAutospacing="0" w:line="360" w:lineRule="auto"/>
        <w:rPr>
          <w:rFonts w:hint="eastAsia"/>
          <w:color w:val="000000"/>
          <w:highlight w:val="none"/>
          <w:u w:val="single"/>
        </w:rPr>
      </w:pPr>
      <w:r>
        <w:rPr>
          <w:rFonts w:hint="eastAsia"/>
          <w:color w:val="000000"/>
          <w:highlight w:val="none"/>
        </w:rPr>
        <w:t xml:space="preserve">质疑项目的编号：</w:t>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采购人名称：</w:t>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采购文件获取日期：</w:t>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三、质疑事项具体内容</w:t>
      </w:r>
      <w:r/>
    </w:p>
    <w:p>
      <w:pPr>
        <w:pStyle w:val="1055"/>
        <w:jc w:val="both"/>
        <w:spacing w:beforeAutospacing="0" w:afterAutospacing="0" w:line="360" w:lineRule="auto"/>
        <w:rPr>
          <w:rFonts w:hint="eastAsia"/>
          <w:highlight w:val="none"/>
        </w:rPr>
      </w:pPr>
      <w:r>
        <w:rPr>
          <w:rFonts w:hint="eastAsia"/>
          <w:color w:val="000000"/>
          <w:highlight w:val="none"/>
        </w:rPr>
        <w:t xml:space="preserve">质疑事项1：</w:t>
      </w:r>
      <w:r>
        <w:rPr>
          <w:rFonts w:hint="eastAsia"/>
          <w:color w:val="000000"/>
          <w:highlight w:val="none"/>
          <w:u w:val="single"/>
        </w:rPr>
        <w:t xml:space="preserve">                             </w:t>
      </w:r>
      <w:r/>
    </w:p>
    <w:p>
      <w:pPr>
        <w:pStyle w:val="1055"/>
        <w:spacing w:beforeAutospacing="0" w:afterAutospacing="0" w:line="360" w:lineRule="auto"/>
        <w:rPr>
          <w:rFonts w:hint="eastAsia"/>
          <w:highlight w:val="none"/>
        </w:rPr>
      </w:pPr>
      <w:r>
        <w:rPr>
          <w:rFonts w:hint="eastAsia"/>
          <w:color w:val="000000"/>
          <w:highlight w:val="none"/>
        </w:rPr>
        <w:t xml:space="preserve">事实依据：</w:t>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法律依据：</w:t>
      </w:r>
      <w:r>
        <w:rPr>
          <w:rFonts w:hint="eastAsia"/>
          <w:color w:val="000000"/>
          <w:highlight w:val="none"/>
          <w:u w:val="single"/>
        </w:rPr>
        <w:t xml:space="preserve">                                                    </w:t>
      </w:r>
      <w:r/>
    </w:p>
    <w:p>
      <w:pPr>
        <w:pStyle w:val="1055"/>
        <w:jc w:val="both"/>
        <w:spacing w:beforeAutospacing="0" w:afterAutospacing="0" w:line="360" w:lineRule="auto"/>
        <w:rPr>
          <w:rFonts w:hint="eastAsia"/>
          <w:highlight w:val="none"/>
        </w:rPr>
      </w:pPr>
      <w:r>
        <w:rPr>
          <w:rFonts w:hint="eastAsia"/>
          <w:color w:val="000000"/>
          <w:highlight w:val="none"/>
        </w:rPr>
        <w:t xml:space="preserve">质疑事项2</w:t>
      </w:r>
      <w:r/>
    </w:p>
    <w:p>
      <w:pPr>
        <w:pStyle w:val="1055"/>
        <w:jc w:val="both"/>
        <w:spacing w:beforeAutospacing="0" w:afterAutospacing="0" w:line="360" w:lineRule="auto"/>
        <w:rPr>
          <w:rFonts w:hint="eastAsia"/>
          <w:highlight w:val="none"/>
        </w:rPr>
      </w:pPr>
      <w:r>
        <w:rPr>
          <w:rFonts w:hint="eastAsia"/>
          <w:color w:val="000000"/>
          <w:highlight w:val="none"/>
        </w:rPr>
        <w:t xml:space="preserve">……</w:t>
      </w:r>
      <w:r/>
    </w:p>
    <w:p>
      <w:pPr>
        <w:pStyle w:val="1055"/>
        <w:jc w:val="both"/>
        <w:spacing w:beforeAutospacing="0" w:afterAutospacing="0" w:line="360" w:lineRule="auto"/>
        <w:rPr>
          <w:rFonts w:hint="eastAsia"/>
          <w:highlight w:val="none"/>
        </w:rPr>
      </w:pPr>
      <w:r>
        <w:rPr>
          <w:rFonts w:hint="eastAsia"/>
          <w:color w:val="000000"/>
          <w:highlight w:val="none"/>
        </w:rPr>
        <w:t xml:space="preserve">四、与质疑事项相关的质疑请求</w:t>
      </w:r>
      <w:r/>
    </w:p>
    <w:p>
      <w:pPr>
        <w:pStyle w:val="1055"/>
        <w:jc w:val="both"/>
        <w:spacing w:beforeAutospacing="0" w:afterAutospacing="0" w:line="360" w:lineRule="auto"/>
        <w:rPr>
          <w:rFonts w:hint="eastAsia"/>
          <w:highlight w:val="none"/>
        </w:rPr>
      </w:pPr>
      <w:r>
        <w:rPr>
          <w:rFonts w:hint="eastAsia"/>
          <w:color w:val="000000"/>
          <w:highlight w:val="none"/>
        </w:rPr>
        <w:t xml:space="preserve">请求：</w:t>
      </w:r>
      <w:r>
        <w:rPr>
          <w:rFonts w:hint="eastAsia"/>
          <w:color w:val="000000"/>
          <w:highlight w:val="none"/>
          <w:u w:val="single"/>
        </w:rPr>
        <w:t xml:space="preserve">                                                          </w:t>
      </w:r>
      <w:r/>
    </w:p>
    <w:p>
      <w:pPr>
        <w:pStyle w:val="1055"/>
        <w:jc w:val="both"/>
        <w:spacing w:beforeAutospacing="0" w:afterAutospacing="0"/>
        <w:rPr>
          <w:rFonts w:hint="eastAsia"/>
          <w:highlight w:val="none"/>
        </w:rPr>
      </w:pPr>
      <w:r>
        <w:rPr>
          <w:rFonts w:hint="eastAsia"/>
          <w:color w:val="000000"/>
          <w:highlight w:val="none"/>
        </w:rPr>
        <w:t xml:space="preserve">签字(签章)：                 公章：               日期：    </w:t>
      </w:r>
      <w:r/>
    </w:p>
    <w:p>
      <w:pPr>
        <w:pStyle w:val="1055"/>
        <w:jc w:val="both"/>
        <w:spacing w:beforeAutospacing="0" w:afterAutospacing="0" w:line="0" w:lineRule="atLeast"/>
        <w:rPr>
          <w:rFonts w:hint="eastAsia"/>
          <w:highlight w:val="none"/>
        </w:rPr>
      </w:pPr>
      <w:r>
        <w:rPr>
          <w:rFonts w:hint="eastAsia"/>
          <w:b/>
          <w:color w:val="000000"/>
          <w:highlight w:val="none"/>
        </w:rPr>
        <w:t xml:space="preserve">质疑函制作说明：</w:t>
      </w:r>
      <w:r/>
    </w:p>
    <w:p>
      <w:pPr>
        <w:pStyle w:val="1055"/>
        <w:ind w:firstLine="480"/>
        <w:spacing w:beforeAutospacing="0" w:afterAutospacing="0" w:line="0" w:lineRule="atLeast"/>
        <w:rPr>
          <w:rFonts w:hint="eastAsia"/>
          <w:highlight w:val="none"/>
        </w:rPr>
      </w:pPr>
      <w:r>
        <w:rPr>
          <w:rFonts w:hint="eastAsia"/>
          <w:color w:val="000000"/>
          <w:highlight w:val="none"/>
        </w:rPr>
        <w:t xml:space="preserve">1.供应商提出质疑时，应提交质疑函和必要的证明材料。</w:t>
      </w:r>
      <w:r/>
    </w:p>
    <w:p>
      <w:pPr>
        <w:pStyle w:val="1055"/>
        <w:ind w:firstLine="480"/>
        <w:spacing w:beforeAutospacing="0" w:afterAutospacing="0" w:line="0" w:lineRule="atLeast"/>
        <w:rPr>
          <w:rFonts w:hint="eastAsia"/>
          <w:highlight w:val="none"/>
        </w:rPr>
      </w:pPr>
      <w:r>
        <w:rPr>
          <w:rFonts w:hint="eastAsia"/>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55"/>
        <w:ind w:firstLine="480"/>
        <w:spacing w:beforeAutospacing="0" w:afterAutospacing="0" w:line="0" w:lineRule="atLeast"/>
        <w:rPr>
          <w:rFonts w:hint="eastAsia"/>
          <w:highlight w:val="none"/>
        </w:rPr>
      </w:pPr>
      <w:r>
        <w:rPr>
          <w:rFonts w:hint="eastAsia"/>
          <w:color w:val="000000"/>
          <w:highlight w:val="none"/>
        </w:rPr>
        <w:t xml:space="preserve">3.质疑供应商若对项目的某一分包进行质疑，质疑函中应列明具体分包号。</w:t>
      </w:r>
      <w:r/>
    </w:p>
    <w:p>
      <w:pPr>
        <w:pStyle w:val="1055"/>
        <w:ind w:firstLine="480"/>
        <w:spacing w:beforeAutospacing="0" w:afterAutospacing="0" w:line="0" w:lineRule="atLeast"/>
        <w:rPr>
          <w:rFonts w:hint="eastAsia"/>
          <w:highlight w:val="none"/>
        </w:rPr>
      </w:pPr>
      <w:r>
        <w:rPr>
          <w:rFonts w:hint="eastAsia"/>
          <w:color w:val="000000"/>
          <w:highlight w:val="none"/>
        </w:rPr>
        <w:t xml:space="preserve">4.质疑函的质疑事项应具体、明确，并有必要的事实依据和法律依据。</w:t>
      </w:r>
      <w:r/>
    </w:p>
    <w:p>
      <w:pPr>
        <w:pStyle w:val="1055"/>
        <w:ind w:firstLine="480"/>
        <w:spacing w:beforeAutospacing="0" w:afterAutospacing="0" w:line="0" w:lineRule="atLeast"/>
        <w:rPr>
          <w:rFonts w:hint="eastAsia"/>
          <w:highlight w:val="none"/>
        </w:rPr>
      </w:pPr>
      <w:r>
        <w:rPr>
          <w:rFonts w:hint="eastAsia"/>
          <w:color w:val="000000"/>
          <w:highlight w:val="none"/>
        </w:rPr>
        <w:t xml:space="preserve">5.质疑函的质疑请求应与质疑事项相关。</w:t>
      </w:r>
      <w:r/>
    </w:p>
    <w:p>
      <w:pPr>
        <w:pStyle w:val="1055"/>
        <w:ind w:firstLine="480"/>
        <w:spacing w:beforeAutospacing="0" w:afterAutospacing="0" w:line="0" w:lineRule="atLeast"/>
        <w:rPr>
          <w:rFonts w:hint="eastAsia"/>
          <w:highlight w:val="none"/>
        </w:rPr>
      </w:pPr>
      <w:r>
        <w:rPr>
          <w:rFonts w:hint="eastAsia"/>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55"/>
        <w:spacing w:beforeAutospacing="0" w:afterAutospacing="0"/>
        <w:rPr>
          <w:rFonts w:hint="eastAsia"/>
          <w:highlight w:val="none"/>
        </w:rPr>
      </w:pPr>
      <w:r>
        <w:rPr>
          <w:rFonts w:hint="eastAsia"/>
          <w:highlight w:val="none"/>
        </w:rPr>
      </w:r>
      <w:r/>
    </w:p>
    <w:p>
      <w:pPr>
        <w:jc w:val="center"/>
        <w:spacing w:before="100" w:after="100" w:line="500" w:lineRule="exact"/>
        <w:widowControl/>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ind w:left="420"/>
        <w:rPr>
          <w:highlight w:val="none"/>
        </w:rPr>
      </w:pPr>
      <w:r>
        <w:rPr>
          <w:highlight w:val="none"/>
        </w:rPr>
      </w:r>
      <w:r/>
    </w:p>
    <w:p>
      <w:pPr>
        <w:ind w:left="420"/>
        <w:rPr>
          <w:highlight w:val="none"/>
        </w:rPr>
      </w:pPr>
      <w:r>
        <w:rPr>
          <w:highlight w:val="none"/>
        </w:rPr>
      </w:r>
      <w:r/>
    </w:p>
    <w:p>
      <w:pPr>
        <w:rPr>
          <w:highlight w:val="none"/>
        </w:rPr>
      </w:pPr>
      <w:r>
        <w:rPr>
          <w:highlight w:val="none"/>
        </w:rPr>
      </w:r>
      <w:r/>
    </w:p>
    <w:p>
      <w:pPr>
        <w:jc w:val="center"/>
        <w:spacing w:line="5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sectPr>
      <w:headerReference w:type="default" r:id="rId9"/>
      <w:footerReference w:type="default" r:id="rId12"/>
      <w:footerReference w:type="first" r:id="rId13"/>
      <w:footnotePr/>
      <w:endnotePr/>
      <w:type w:val="nextPage"/>
      <w:pgSz w:w="11906" w:h="16838" w:orient="portrait"/>
      <w:pgMar w:top="1015" w:right="1196" w:bottom="868" w:left="1259"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Book Antiqua">
    <w:panose1 w:val="02040602050305030304"/>
  </w:font>
  <w:font w:name="Tahoma">
    <w:panose1 w:val="020B0604030504040204"/>
  </w:font>
  <w:font w:name="方正黑体_GBK">
    <w:panose1 w:val="020B0503020202020204"/>
  </w:font>
  <w:font w:name="Courier New">
    <w:panose1 w:val="02070309020205020404"/>
  </w:font>
  <w:font w:name="方正楷体_GBK">
    <w:panose1 w:val="020B0503020202020204"/>
  </w:font>
  <w:font w:name="等线">
    <w:panose1 w:val="02010600030101010101"/>
  </w:font>
  <w:font w:name="仿宋">
    <w:panose1 w:val="0201060906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pPr>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2972435</wp:posOffset>
              </wp:positionH>
              <wp:positionV relativeFrom="paragraph">
                <wp:posOffset>-2540</wp:posOffset>
              </wp:positionV>
              <wp:extent cx="123825" cy="1828800"/>
              <wp:effectExtent l="0" t="0" r="9525" b="1905"/>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23825" cy="1828800"/>
                      </a:xfrm>
                      <a:prstGeom prst="rect">
                        <a:avLst/>
                      </a:prstGeom>
                      <a:noFill/>
                      <a:ln>
                        <a:noFill/>
                      </a:ln>
                    </wps:spPr>
                    <wps:txbx>
                      <w:txbxContent>
                        <w:p>
                          <w:pPr>
                            <w:pStyle w:val="1045"/>
                          </w:pPr>
                          <w:r>
                            <w:fldChar w:fldCharType="begin"/>
                          </w:r>
                          <w:r>
                            <w:instrText xml:space="preserve"> PAGE  \* MERGEFORMAT </w:instrText>
                          </w:r>
                          <w:r>
                            <w:fldChar w:fldCharType="separate"/>
                          </w:r>
                          <w:r>
                            <w:t xml:space="preserve">41</w:t>
                          </w:r>
                          <w:r>
                            <w:fldChar w:fldCharType="end"/>
                          </w:r>
                          <w:r/>
                        </w:p>
                      </w:txbxContent>
                    </wps:txbx>
                    <wps:bodyPr wrap="squar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argin-left:234.0pt;mso-position-horizontal:absolute;mso-position-vertical-relative:text;margin-top:-0.2pt;mso-position-vertical:absolute;width:9.8pt;height:144.0pt;mso-wrap-distance-left:9.0pt;mso-wrap-distance-top:0.0pt;mso-wrap-distance-right:9.0pt;mso-wrap-distance-bottom:0.0pt;visibility:visible;" filled="f" stroked="f">
              <v:textbox inset="0,0,0,0">
                <w:txbxContent>
                  <w:p>
                    <w:pPr>
                      <w:pStyle w:val="1045"/>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pPr>
                          <w:r>
                            <w:fldChar w:fldCharType="begin"/>
                          </w:r>
                          <w:r>
                            <w:instrText xml:space="preserve"> PAGE  \* MERGEFORMAT </w:instrText>
                          </w:r>
                          <w:r>
                            <w:fldChar w:fldCharType="separate"/>
                          </w:r>
                          <w:r>
                            <w:t xml:space="preserve">27</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pPr>
                    <w:r>
                      <w:fldChar w:fldCharType="begin"/>
                    </w:r>
                    <w:r>
                      <w:instrText xml:space="preserve"> PAGE  \* MERGEFORMAT </w:instrText>
                    </w:r>
                    <w:r>
                      <w:fldChar w:fldCharType="separate"/>
                    </w:r>
                    <w:r>
                      <w:t xml:space="preserve">27</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2279015</wp:posOffset>
              </wp:positionH>
              <wp:positionV relativeFrom="paragraph">
                <wp:posOffset>3187065</wp:posOffset>
              </wp:positionV>
              <wp:extent cx="2939415" cy="18034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2939415" cy="180340"/>
                      </a:xfrm>
                      <a:prstGeom prst="rect">
                        <a:avLst/>
                      </a:prstGeom>
                      <a:noFill/>
                      <a:ln>
                        <a:noFill/>
                      </a:ln>
                    </wps:spPr>
                    <wps:txbx>
                      <w:txbxContent>
                        <w:p>
                          <w:pPr>
                            <w:pStyle w:val="1045"/>
                          </w:pPr>
                          <w:r>
                            <w:rPr>
                              <w:rFonts w:hint="eastAsia"/>
                            </w:rPr>
                            <w:t xml:space="preserve">28</w:t>
                          </w:r>
                          <w:r/>
                        </w:p>
                      </w:txbxContent>
                    </wps:txbx>
                    <wps:bodyPr wrap="square" lIns="0" tIns="0" rIns="0" bIns="0"/>
                  </wps:wsp>
                </a:graphicData>
              </a:graphic>
            </wp:anchor>
          </w:drawing>
        </mc:Choice>
        <mc:Fallback>
          <w:pict>
            <v:shape id="shape 5" o:spid="_x0000_s5" o:spt="202" type="#_x0000_t202" style="position:absolute;z-index:251665408;o:allowoverlap:true;o:allowincell:true;mso-position-horizontal-relative:margin;margin-left:179.4pt;mso-position-horizontal:absolute;mso-position-vertical-relative:text;margin-top:250.9pt;mso-position-vertical:absolute;width:231.4pt;height:14.2pt;mso-wrap-distance-left:9.0pt;mso-wrap-distance-top:0.0pt;mso-wrap-distance-right:9.0pt;mso-wrap-distance-bottom:0.0pt;visibility:visible;" filled="f" stroked="f">
              <v:textbox inset="0,0,0,0">
                <w:txbxContent>
                  <w:p>
                    <w:pPr>
                      <w:pStyle w:val="1045"/>
                    </w:pPr>
                    <w:r>
                      <w:rPr>
                        <w:rFonts w:hint="eastAsia"/>
                      </w:rPr>
                      <w:t xml:space="preserve">28</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3191510</wp:posOffset>
              </wp:positionH>
              <wp:positionV relativeFrom="paragraph">
                <wp:posOffset>3138170</wp:posOffset>
              </wp:positionV>
              <wp:extent cx="162560" cy="125095"/>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62560" cy="125095"/>
                      </a:xfrm>
                      <a:prstGeom prst="rect">
                        <a:avLst/>
                      </a:prstGeom>
                      <a:noFill/>
                      <a:ln>
                        <a:noFill/>
                      </a:ln>
                    </wps:spPr>
                    <wps:txbx>
                      <w:txbxContent>
                        <w:p>
                          <w:pPr>
                            <w:pStyle w:val="1045"/>
                          </w:pPr>
                          <w:r>
                            <w:rPr>
                              <w:rFonts w:hint="eastAsia"/>
                            </w:rPr>
                            <w:t xml:space="preserve">27</w:t>
                          </w:r>
                          <w:r/>
                        </w:p>
                      </w:txbxContent>
                    </wps:txbx>
                    <wps:bodyPr wrap="square" lIns="0" tIns="0" rIns="0" bIns="0"/>
                  </wps:wsp>
                </a:graphicData>
              </a:graphic>
            </wp:anchor>
          </w:drawing>
        </mc:Choice>
        <mc:Fallback>
          <w:pict>
            <v:shape id="shape 6" o:spid="_x0000_s6" o:spt="202" type="#_x0000_t202" style="position:absolute;z-index:251663360;o:allowoverlap:true;o:allowincell:true;mso-position-horizontal-relative:margin;margin-left:251.3pt;mso-position-horizontal:absolute;mso-position-vertical-relative:text;margin-top:247.1pt;mso-position-vertical:absolute;width:12.8pt;height:9.8pt;mso-wrap-distance-left:9.0pt;mso-wrap-distance-top:0.0pt;mso-wrap-distance-right:9.0pt;mso-wrap-distance-bottom:0.0pt;visibility:visible;" filled="f" stroked="f">
              <v:textbox inset="0,0,0,0">
                <w:txbxContent>
                  <w:p>
                    <w:pPr>
                      <w:pStyle w:val="1045"/>
                    </w:pPr>
                    <w:r>
                      <w:rPr>
                        <w:rFonts w:hint="eastAsia"/>
                      </w:rPr>
                      <w:t xml:space="preserve">27</w:t>
                    </w:r>
                    <w:r/>
                  </w:p>
                </w:txbxContent>
              </v:textbox>
            </v:shape>
          </w:pict>
        </mc:Fallback>
      </mc:AlternateContent>
    </w:r>
    <w:r>
      <w:rPr>
        <w:rFonts w:hint="eastAsia"/>
      </w:rPr>
      <w:t xml:space="preserve">28</w:t>
    </w:r>
    <w:r/>
  </w:p>
  <w:p>
    <w:pPr>
      <w:pStyle w:val="104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left" w:pos="3565" w:leader="none"/>
        <w:tab w:val="clear" w:pos="4153" w:leader="none"/>
        <w:tab w:val="clear" w:pos="8306" w:leader="none"/>
      </w:tabs>
      <w:rPr>
        <w:color w:val="000000"/>
      </w:rP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083"/>
      <w:isLgl w:val="false"/>
      <w:suff w:val="tab"/>
      <w:lvlText w:val="第%1章"/>
      <w:lvlJc w:val="left"/>
      <w:pPr>
        <w:ind w:left="9351" w:hanging="420"/>
      </w:pPr>
      <w:rPr>
        <w:rFonts w:hint="eastAsia" w:ascii="黑体" w:eastAsia="黑体"/>
        <w:b w:val="0"/>
        <w:sz w:val="36"/>
        <w:lang w:val="en-US"/>
      </w:rPr>
    </w:lvl>
    <w:lvl w:ilvl="1">
      <w:start w:val="1"/>
      <w:numFmt w:val="decimal"/>
      <w:pStyle w:val="1072"/>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073"/>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4"/>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0">
    <w:name w:val="Heading 1 Char"/>
    <w:basedOn w:val="1025"/>
    <w:link w:val="1020"/>
    <w:uiPriority w:val="9"/>
    <w:rPr>
      <w:rFonts w:ascii="Arial" w:hAnsi="Arial" w:eastAsia="Arial" w:cs="Arial"/>
      <w:sz w:val="40"/>
      <w:szCs w:val="40"/>
    </w:rPr>
  </w:style>
  <w:style w:type="character" w:styleId="861">
    <w:name w:val="Heading 2 Char"/>
    <w:basedOn w:val="1025"/>
    <w:link w:val="1021"/>
    <w:uiPriority w:val="9"/>
    <w:rPr>
      <w:rFonts w:ascii="Arial" w:hAnsi="Arial" w:eastAsia="Arial" w:cs="Arial"/>
      <w:sz w:val="34"/>
    </w:rPr>
  </w:style>
  <w:style w:type="character" w:styleId="862">
    <w:name w:val="Heading 3 Char"/>
    <w:basedOn w:val="1025"/>
    <w:link w:val="1022"/>
    <w:uiPriority w:val="9"/>
    <w:rPr>
      <w:rFonts w:ascii="Arial" w:hAnsi="Arial" w:eastAsia="Arial" w:cs="Arial"/>
      <w:sz w:val="30"/>
      <w:szCs w:val="30"/>
    </w:rPr>
  </w:style>
  <w:style w:type="character" w:styleId="863">
    <w:name w:val="Heading 4 Char"/>
    <w:basedOn w:val="1025"/>
    <w:link w:val="1023"/>
    <w:uiPriority w:val="9"/>
    <w:rPr>
      <w:rFonts w:ascii="Arial" w:hAnsi="Arial" w:eastAsia="Arial" w:cs="Arial"/>
      <w:b/>
      <w:bCs/>
      <w:sz w:val="26"/>
      <w:szCs w:val="26"/>
    </w:rPr>
  </w:style>
  <w:style w:type="character" w:styleId="864">
    <w:name w:val="Heading 5 Char"/>
    <w:basedOn w:val="1025"/>
    <w:link w:val="1024"/>
    <w:uiPriority w:val="9"/>
    <w:rPr>
      <w:rFonts w:ascii="Arial" w:hAnsi="Arial" w:eastAsia="Arial" w:cs="Arial"/>
      <w:b/>
      <w:bCs/>
      <w:sz w:val="24"/>
      <w:szCs w:val="24"/>
    </w:rPr>
  </w:style>
  <w:style w:type="paragraph" w:styleId="865">
    <w:name w:val="Heading 6"/>
    <w:basedOn w:val="1019"/>
    <w:next w:val="1019"/>
    <w:link w:val="866"/>
    <w:uiPriority w:val="9"/>
    <w:unhideWhenUsed/>
    <w:qFormat/>
    <w:pPr>
      <w:keepLines/>
      <w:keepNext/>
      <w:spacing w:before="320" w:after="200"/>
      <w:outlineLvl w:val="5"/>
    </w:pPr>
    <w:rPr>
      <w:rFonts w:ascii="Arial" w:hAnsi="Arial" w:eastAsia="Arial" w:cs="Arial"/>
      <w:b/>
      <w:bCs/>
      <w:sz w:val="22"/>
      <w:szCs w:val="22"/>
    </w:rPr>
  </w:style>
  <w:style w:type="character" w:styleId="866">
    <w:name w:val="Heading 6 Char"/>
    <w:basedOn w:val="1025"/>
    <w:link w:val="865"/>
    <w:uiPriority w:val="9"/>
    <w:rPr>
      <w:rFonts w:ascii="Arial" w:hAnsi="Arial" w:eastAsia="Arial" w:cs="Arial"/>
      <w:b/>
      <w:bCs/>
      <w:sz w:val="22"/>
      <w:szCs w:val="22"/>
    </w:rPr>
  </w:style>
  <w:style w:type="paragraph" w:styleId="867">
    <w:name w:val="Heading 7"/>
    <w:basedOn w:val="1019"/>
    <w:next w:val="1019"/>
    <w:link w:val="868"/>
    <w:uiPriority w:val="9"/>
    <w:unhideWhenUsed/>
    <w:qFormat/>
    <w:pPr>
      <w:keepLines/>
      <w:keepNext/>
      <w:spacing w:before="320" w:after="200"/>
      <w:outlineLvl w:val="6"/>
    </w:pPr>
    <w:rPr>
      <w:rFonts w:ascii="Arial" w:hAnsi="Arial" w:eastAsia="Arial" w:cs="Arial"/>
      <w:b/>
      <w:bCs/>
      <w:i/>
      <w:iCs/>
      <w:sz w:val="22"/>
      <w:szCs w:val="22"/>
    </w:rPr>
  </w:style>
  <w:style w:type="character" w:styleId="868">
    <w:name w:val="Heading 7 Char"/>
    <w:basedOn w:val="1025"/>
    <w:link w:val="867"/>
    <w:uiPriority w:val="9"/>
    <w:rPr>
      <w:rFonts w:ascii="Arial" w:hAnsi="Arial" w:eastAsia="Arial" w:cs="Arial"/>
      <w:b/>
      <w:bCs/>
      <w:i/>
      <w:iCs/>
      <w:sz w:val="22"/>
      <w:szCs w:val="22"/>
    </w:rPr>
  </w:style>
  <w:style w:type="paragraph" w:styleId="869">
    <w:name w:val="Heading 8"/>
    <w:basedOn w:val="1019"/>
    <w:next w:val="1019"/>
    <w:link w:val="870"/>
    <w:uiPriority w:val="9"/>
    <w:unhideWhenUsed/>
    <w:qFormat/>
    <w:pPr>
      <w:keepLines/>
      <w:keepNext/>
      <w:spacing w:before="320" w:after="200"/>
      <w:outlineLvl w:val="7"/>
    </w:pPr>
    <w:rPr>
      <w:rFonts w:ascii="Arial" w:hAnsi="Arial" w:eastAsia="Arial" w:cs="Arial"/>
      <w:i/>
      <w:iCs/>
      <w:sz w:val="22"/>
      <w:szCs w:val="22"/>
    </w:rPr>
  </w:style>
  <w:style w:type="character" w:styleId="870">
    <w:name w:val="Heading 8 Char"/>
    <w:basedOn w:val="1025"/>
    <w:link w:val="869"/>
    <w:uiPriority w:val="9"/>
    <w:rPr>
      <w:rFonts w:ascii="Arial" w:hAnsi="Arial" w:eastAsia="Arial" w:cs="Arial"/>
      <w:i/>
      <w:iCs/>
      <w:sz w:val="22"/>
      <w:szCs w:val="22"/>
    </w:rPr>
  </w:style>
  <w:style w:type="paragraph" w:styleId="871">
    <w:name w:val="Heading 9"/>
    <w:basedOn w:val="1019"/>
    <w:next w:val="1019"/>
    <w:link w:val="872"/>
    <w:uiPriority w:val="9"/>
    <w:unhideWhenUsed/>
    <w:qFormat/>
    <w:pPr>
      <w:keepLines/>
      <w:keepNext/>
      <w:spacing w:before="320" w:after="200"/>
      <w:outlineLvl w:val="8"/>
    </w:pPr>
    <w:rPr>
      <w:rFonts w:ascii="Arial" w:hAnsi="Arial" w:eastAsia="Arial" w:cs="Arial"/>
      <w:i/>
      <w:iCs/>
      <w:sz w:val="21"/>
      <w:szCs w:val="21"/>
    </w:rPr>
  </w:style>
  <w:style w:type="character" w:styleId="872">
    <w:name w:val="Heading 9 Char"/>
    <w:basedOn w:val="1025"/>
    <w:link w:val="871"/>
    <w:uiPriority w:val="9"/>
    <w:rPr>
      <w:rFonts w:ascii="Arial" w:hAnsi="Arial" w:eastAsia="Arial" w:cs="Arial"/>
      <w:i/>
      <w:iCs/>
      <w:sz w:val="21"/>
      <w:szCs w:val="21"/>
    </w:rPr>
  </w:style>
  <w:style w:type="paragraph" w:styleId="873">
    <w:name w:val="No Spacing"/>
    <w:uiPriority w:val="1"/>
    <w:qFormat/>
    <w:pPr>
      <w:spacing w:before="0" w:after="0" w:line="240" w:lineRule="auto"/>
    </w:pPr>
  </w:style>
  <w:style w:type="paragraph" w:styleId="874">
    <w:name w:val="Title"/>
    <w:basedOn w:val="1019"/>
    <w:next w:val="1019"/>
    <w:link w:val="875"/>
    <w:uiPriority w:val="10"/>
    <w:qFormat/>
    <w:pPr>
      <w:contextualSpacing/>
      <w:spacing w:before="300" w:after="200"/>
    </w:pPr>
    <w:rPr>
      <w:sz w:val="48"/>
      <w:szCs w:val="48"/>
    </w:rPr>
  </w:style>
  <w:style w:type="character" w:styleId="875">
    <w:name w:val="Title Char"/>
    <w:basedOn w:val="1025"/>
    <w:link w:val="874"/>
    <w:uiPriority w:val="10"/>
    <w:rPr>
      <w:sz w:val="48"/>
      <w:szCs w:val="48"/>
    </w:rPr>
  </w:style>
  <w:style w:type="paragraph" w:styleId="876">
    <w:name w:val="Subtitle"/>
    <w:basedOn w:val="1019"/>
    <w:next w:val="1019"/>
    <w:link w:val="877"/>
    <w:uiPriority w:val="11"/>
    <w:qFormat/>
    <w:pPr>
      <w:spacing w:before="200" w:after="200"/>
    </w:pPr>
    <w:rPr>
      <w:sz w:val="24"/>
      <w:szCs w:val="24"/>
    </w:rPr>
  </w:style>
  <w:style w:type="character" w:styleId="877">
    <w:name w:val="Subtitle Char"/>
    <w:basedOn w:val="1025"/>
    <w:link w:val="876"/>
    <w:uiPriority w:val="11"/>
    <w:rPr>
      <w:sz w:val="24"/>
      <w:szCs w:val="24"/>
    </w:rPr>
  </w:style>
  <w:style w:type="paragraph" w:styleId="878">
    <w:name w:val="Quote"/>
    <w:basedOn w:val="1019"/>
    <w:next w:val="1019"/>
    <w:link w:val="879"/>
    <w:uiPriority w:val="29"/>
    <w:qFormat/>
    <w:pPr>
      <w:ind w:left="720" w:right="720"/>
    </w:pPr>
    <w:rPr>
      <w:i/>
    </w:rPr>
  </w:style>
  <w:style w:type="character" w:styleId="879">
    <w:name w:val="Quote Char"/>
    <w:link w:val="878"/>
    <w:uiPriority w:val="29"/>
    <w:rPr>
      <w:i/>
    </w:rPr>
  </w:style>
  <w:style w:type="paragraph" w:styleId="880">
    <w:name w:val="Intense Quote"/>
    <w:basedOn w:val="1019"/>
    <w:next w:val="1019"/>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character" w:styleId="882">
    <w:name w:val="Header Char"/>
    <w:basedOn w:val="1025"/>
    <w:link w:val="1046"/>
    <w:uiPriority w:val="99"/>
  </w:style>
  <w:style w:type="character" w:styleId="883">
    <w:name w:val="Footer Char"/>
    <w:basedOn w:val="1025"/>
    <w:link w:val="1045"/>
    <w:uiPriority w:val="99"/>
  </w:style>
  <w:style w:type="paragraph" w:styleId="884">
    <w:name w:val="Caption"/>
    <w:basedOn w:val="1019"/>
    <w:next w:val="1019"/>
    <w:uiPriority w:val="35"/>
    <w:semiHidden/>
    <w:unhideWhenUsed/>
    <w:qFormat/>
    <w:pPr>
      <w:spacing w:line="276" w:lineRule="auto"/>
    </w:pPr>
    <w:rPr>
      <w:b/>
      <w:bCs/>
      <w:color w:val="4f81bd" w:themeColor="accent1"/>
      <w:sz w:val="18"/>
      <w:szCs w:val="18"/>
    </w:rPr>
  </w:style>
  <w:style w:type="character" w:styleId="885">
    <w:name w:val="Caption Char"/>
    <w:basedOn w:val="884"/>
    <w:link w:val="1045"/>
    <w:uiPriority w:val="99"/>
  </w:style>
  <w:style w:type="table" w:styleId="886">
    <w:name w:val="Table Grid Light"/>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7">
    <w:name w:val="Plain Table 1"/>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10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10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1 Light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4">
    <w:name w:val="Grid Table 1 Light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5">
    <w:name w:val="Grid Table 1 Light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6">
    <w:name w:val="Grid Table 1 Light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7">
    <w:name w:val="Grid Table 1 Light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8">
    <w:name w:val="Grid Table 1 Light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9">
    <w:name w:val="Grid Table 2"/>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0">
    <w:name w:val="Grid Table 2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1">
    <w:name w:val="Grid Table 2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2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2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2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5">
    <w:name w:val="Grid Table 2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6">
    <w:name w:val="Grid Table 3"/>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4"/>
    <w:basedOn w:val="10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name w:val="Grid Table 4 - Accent 1"/>
    <w:basedOn w:val="10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5">
    <w:name w:val="Grid Table 4 - Accent 2"/>
    <w:basedOn w:val="10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6">
    <w:name w:val="Grid Table 4 - Accent 3"/>
    <w:basedOn w:val="10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7">
    <w:name w:val="Grid Table 4 - Accent 4"/>
    <w:basedOn w:val="10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8">
    <w:name w:val="Grid Table 4 - Accent 5"/>
    <w:basedOn w:val="10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9">
    <w:name w:val="Grid Table 4 - Accent 6"/>
    <w:basedOn w:val="10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0">
    <w:name w:val="Grid Table 5 Dark"/>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1">
    <w:name w:val="Grid Table 5 Dark- Accent 1"/>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2">
    <w:name w:val="Grid Table 5 Dark - Accent 2"/>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3">
    <w:name w:val="Grid Table 5 Dark - Accent 3"/>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4">
    <w:name w:val="Grid Table 5 Dark- Accent 4"/>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5">
    <w:name w:val="Grid Table 5 Dark - Accent 5"/>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6">
    <w:name w:val="Grid Table 5 Dark - Accent 6"/>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7">
    <w:name w:val="Grid Table 6 Colorful"/>
    <w:basedOn w:val="10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8">
    <w:name w:val="Grid Table 6 Colorful - Accent 1"/>
    <w:basedOn w:val="10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9">
    <w:name w:val="Grid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0">
    <w:name w:val="Grid Table 6 Colorful - Accent 3"/>
    <w:basedOn w:val="10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1">
    <w:name w:val="Grid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2">
    <w:name w:val="Grid Table 6 Colorful - Accent 5"/>
    <w:basedOn w:val="10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6 Colorful - Accent 6"/>
    <w:basedOn w:val="10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7 Colorful"/>
    <w:basedOn w:val="10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5">
    <w:name w:val="Grid Table 7 Colorful - Accent 1"/>
    <w:basedOn w:val="10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6">
    <w:name w:val="Grid Table 7 Colorful - Accent 2"/>
    <w:basedOn w:val="10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7 Colorful - Accent 3"/>
    <w:basedOn w:val="10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7 Colorful - Accent 4"/>
    <w:basedOn w:val="10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7 Colorful - Accent 5"/>
    <w:basedOn w:val="10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0">
    <w:name w:val="Grid Table 7 Colorful - Accent 6"/>
    <w:basedOn w:val="10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1">
    <w:name w:val="List Table 1 Light"/>
    <w:basedOn w:val="10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name w:val="List Table 1 Light - Accent 1"/>
    <w:basedOn w:val="10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3">
    <w:name w:val="List Table 1 Light - Accent 2"/>
    <w:basedOn w:val="10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4">
    <w:name w:val="List Table 1 Light - Accent 3"/>
    <w:basedOn w:val="10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5">
    <w:name w:val="List Table 1 Light - Accent 4"/>
    <w:basedOn w:val="10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6">
    <w:name w:val="List Table 1 Light - Accent 5"/>
    <w:basedOn w:val="10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7">
    <w:name w:val="List Table 1 Light - Accent 6"/>
    <w:basedOn w:val="10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8">
    <w:name w:val="List Table 2"/>
    <w:basedOn w:val="10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9">
    <w:name w:val="List Table 2 - Accent 1"/>
    <w:basedOn w:val="10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0">
    <w:name w:val="List Table 2 - Accent 2"/>
    <w:basedOn w:val="10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1">
    <w:name w:val="List Table 2 - Accent 3"/>
    <w:basedOn w:val="10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2">
    <w:name w:val="List Table 2 - Accent 4"/>
    <w:basedOn w:val="10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3">
    <w:name w:val="List Table 2 - Accent 5"/>
    <w:basedOn w:val="10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4">
    <w:name w:val="List Table 2 - Accent 6"/>
    <w:basedOn w:val="10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5">
    <w:name w:val="List Table 3"/>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3 - Accent 1"/>
    <w:basedOn w:val="10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3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8">
    <w:name w:val="List Table 3 - Accent 3"/>
    <w:basedOn w:val="10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9">
    <w:name w:val="List Table 3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0">
    <w:name w:val="List Table 3 - Accent 5"/>
    <w:basedOn w:val="10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1">
    <w:name w:val="List Table 3 - Accent 6"/>
    <w:basedOn w:val="10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2">
    <w:name w:val="List Table 4"/>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 Accent 1"/>
    <w:basedOn w:val="10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4 - Accent 2"/>
    <w:basedOn w:val="10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5">
    <w:name w:val="List Table 4 - Accent 3"/>
    <w:basedOn w:val="10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6">
    <w:name w:val="List Table 4 - Accent 4"/>
    <w:basedOn w:val="10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7">
    <w:name w:val="List Table 4 - Accent 5"/>
    <w:basedOn w:val="10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8">
    <w:name w:val="List Table 4 - Accent 6"/>
    <w:basedOn w:val="10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9">
    <w:name w:val="List Table 5 Dark"/>
    <w:basedOn w:val="10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1"/>
    <w:basedOn w:val="10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2"/>
    <w:basedOn w:val="10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3"/>
    <w:basedOn w:val="10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4"/>
    <w:basedOn w:val="10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5"/>
    <w:basedOn w:val="10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6"/>
    <w:basedOn w:val="10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6 Colorful"/>
    <w:basedOn w:val="10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7">
    <w:name w:val="List Table 6 Colorful - Accent 1"/>
    <w:basedOn w:val="10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8">
    <w:name w:val="List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9">
    <w:name w:val="List Table 6 Colorful - Accent 3"/>
    <w:basedOn w:val="10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0">
    <w:name w:val="List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1">
    <w:name w:val="List Table 6 Colorful - Accent 5"/>
    <w:basedOn w:val="10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2">
    <w:name w:val="List Table 6 Colorful - Accent 6"/>
    <w:basedOn w:val="10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3">
    <w:name w:val="List Table 7 Colorful"/>
    <w:basedOn w:val="10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4">
    <w:name w:val="List Table 7 Colorful - Accent 1"/>
    <w:basedOn w:val="10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5">
    <w:name w:val="List Table 7 Colorful - Accent 2"/>
    <w:basedOn w:val="10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6">
    <w:name w:val="List Table 7 Colorful - Accent 3"/>
    <w:basedOn w:val="10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7">
    <w:name w:val="List Table 7 Colorful - Accent 4"/>
    <w:basedOn w:val="10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8">
    <w:name w:val="List Table 7 Colorful - Accent 5"/>
    <w:basedOn w:val="10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9">
    <w:name w:val="List Table 7 Colorful - Accent 6"/>
    <w:basedOn w:val="10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0">
    <w:name w:val="Lined - Accent"/>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Lined - Accent 1"/>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Lined - Accent 2"/>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Lined - Accent 3"/>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Lined - Accent 4"/>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Lined - Accent 5"/>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Lined - Accent 6"/>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amp; Lined - Accent"/>
    <w:basedOn w:val="10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Bordered &amp; Lined - Accent 1"/>
    <w:basedOn w:val="10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Bordered &amp; Lined - Accent 2"/>
    <w:basedOn w:val="10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Bordered &amp; Lined - Accent 3"/>
    <w:basedOn w:val="10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Bordered &amp; Lined - Accent 4"/>
    <w:basedOn w:val="10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Bordered &amp; Lined - Accent 5"/>
    <w:basedOn w:val="10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Bordered &amp; Lined - Accent 6"/>
    <w:basedOn w:val="10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w:basedOn w:val="10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5">
    <w:name w:val="Bordered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6">
    <w:name w:val="Bordered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7">
    <w:name w:val="Bordered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8">
    <w:name w:val="Bordered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9">
    <w:name w:val="Bordered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0">
    <w:name w:val="Bordered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1">
    <w:name w:val="footnote text"/>
    <w:basedOn w:val="1019"/>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basedOn w:val="1025"/>
    <w:uiPriority w:val="99"/>
    <w:unhideWhenUsed/>
    <w:rPr>
      <w:vertAlign w:val="superscript"/>
    </w:rPr>
  </w:style>
  <w:style w:type="paragraph" w:styleId="1014">
    <w:name w:val="endnote text"/>
    <w:basedOn w:val="1019"/>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basedOn w:val="1025"/>
    <w:uiPriority w:val="99"/>
    <w:semiHidden/>
    <w:unhideWhenUsed/>
    <w:rPr>
      <w:vertAlign w:val="superscript"/>
    </w:r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next w:val="1027"/>
    <w:link w:val="1118"/>
    <w:uiPriority w:val="0"/>
    <w:qFormat/>
    <w:pPr>
      <w:jc w:val="both"/>
      <w:widowControl w:val="off"/>
    </w:pPr>
    <w:rPr>
      <w:rFonts w:ascii="Times New Roman" w:hAnsi="Times New Roman" w:eastAsia="宋体" w:cs="Times New Roman"/>
      <w:sz w:val="21"/>
      <w:szCs w:val="24"/>
      <w:lang w:val="en-US" w:eastAsia="zh-CN" w:bidi="ar-SA"/>
    </w:rPr>
  </w:style>
  <w:style w:type="paragraph" w:styleId="1020">
    <w:name w:val="Heading 1"/>
    <w:basedOn w:val="1019"/>
    <w:next w:val="1019"/>
    <w:link w:val="1093"/>
    <w:uiPriority w:val="0"/>
    <w:qFormat/>
    <w:pPr>
      <w:keepNext/>
      <w:outlineLvl w:val="0"/>
    </w:pPr>
    <w:rPr>
      <w:rFonts w:ascii="楷体_GB2312" w:eastAsia="楷体_GB2312"/>
      <w:sz w:val="28"/>
      <w:szCs w:val="20"/>
    </w:rPr>
  </w:style>
  <w:style w:type="paragraph" w:styleId="1021">
    <w:name w:val="Heading 2"/>
    <w:basedOn w:val="1019"/>
    <w:next w:val="1019"/>
    <w:link w:val="1094"/>
    <w:uiPriority w:val="0"/>
    <w:qFormat/>
    <w:pPr>
      <w:jc w:val="center"/>
      <w:keepLines/>
      <w:keepNext/>
      <w:spacing w:before="260" w:after="260" w:line="416" w:lineRule="auto"/>
      <w:outlineLvl w:val="1"/>
    </w:pPr>
    <w:rPr>
      <w:rFonts w:ascii="Arial" w:hAnsi="Arial" w:eastAsia="幼圆"/>
      <w:b/>
      <w:sz w:val="44"/>
      <w:szCs w:val="20"/>
    </w:rPr>
  </w:style>
  <w:style w:type="paragraph" w:styleId="1022">
    <w:name w:val="Heading 3"/>
    <w:basedOn w:val="1019"/>
    <w:next w:val="1028"/>
    <w:uiPriority w:val="0"/>
    <w:qFormat/>
    <w:pPr>
      <w:keepLines/>
      <w:keepNext/>
      <w:spacing w:before="260" w:after="260" w:line="416" w:lineRule="auto"/>
      <w:outlineLvl w:val="2"/>
    </w:pPr>
    <w:rPr>
      <w:b/>
      <w:sz w:val="32"/>
      <w:szCs w:val="20"/>
    </w:rPr>
  </w:style>
  <w:style w:type="paragraph" w:styleId="1023">
    <w:name w:val="Heading 4"/>
    <w:basedOn w:val="1019"/>
    <w:next w:val="1019"/>
    <w:uiPriority w:val="0"/>
    <w:qFormat/>
    <w:pPr>
      <w:keepLines/>
      <w:keepNext/>
      <w:spacing w:before="280" w:after="290" w:line="376" w:lineRule="auto"/>
      <w:outlineLvl w:val="3"/>
    </w:pPr>
    <w:rPr>
      <w:rFonts w:ascii="Arial" w:hAnsi="Arial" w:eastAsia="黑体"/>
      <w:b/>
      <w:bCs/>
      <w:sz w:val="28"/>
      <w:szCs w:val="28"/>
    </w:rPr>
  </w:style>
  <w:style w:type="paragraph" w:styleId="1024">
    <w:name w:val="Heading 5"/>
    <w:basedOn w:val="1019"/>
    <w:next w:val="1019"/>
    <w:uiPriority w:val="0"/>
    <w:qFormat/>
    <w:pPr>
      <w:keepNext/>
      <w:outlineLvl w:val="4"/>
    </w:pPr>
    <w:rPr>
      <w:rFonts w:ascii="宋体" w:hAnsi="宋体"/>
      <w:b/>
      <w:bCs/>
    </w:rPr>
  </w:style>
  <w:style w:type="character" w:styleId="1025" w:default="1">
    <w:name w:val="Default Paragraph Font"/>
    <w:uiPriority w:val="1"/>
    <w:semiHidden/>
    <w:unhideWhenUsed/>
    <w:qFormat/>
  </w:style>
  <w:style w:type="table" w:styleId="1026" w:default="1">
    <w:name w:val="Normal Table"/>
    <w:uiPriority w:val="99"/>
    <w:semiHidden/>
    <w:unhideWhenUsed/>
    <w:qFormat/>
    <w:tblPr>
      <w:tblCellMar>
        <w:left w:w="108" w:type="dxa"/>
        <w:top w:w="0" w:type="dxa"/>
        <w:right w:w="108" w:type="dxa"/>
        <w:bottom w:w="0" w:type="dxa"/>
      </w:tblCellMar>
    </w:tblPr>
  </w:style>
  <w:style w:type="paragraph" w:styleId="1027"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1028">
    <w:name w:val="Normal Indent"/>
    <w:basedOn w:val="1019"/>
    <w:link w:val="1095"/>
    <w:uiPriority w:val="0"/>
    <w:qFormat/>
    <w:pPr>
      <w:ind w:firstLine="420"/>
    </w:pPr>
    <w:rPr>
      <w:szCs w:val="20"/>
    </w:rPr>
  </w:style>
  <w:style w:type="paragraph" w:styleId="1029">
    <w:name w:val="toc 7"/>
    <w:basedOn w:val="1019"/>
    <w:next w:val="1019"/>
    <w:uiPriority w:val="0"/>
    <w:semiHidden/>
    <w:qFormat/>
    <w:pPr>
      <w:ind w:left="2520"/>
    </w:pPr>
  </w:style>
  <w:style w:type="paragraph" w:styleId="1030">
    <w:name w:val="Document Map"/>
    <w:basedOn w:val="1019"/>
    <w:uiPriority w:val="0"/>
    <w:semiHidden/>
    <w:qFormat/>
    <w:pPr>
      <w:shd w:val="clear" w:color="auto" w:fill="000080"/>
    </w:pPr>
  </w:style>
  <w:style w:type="paragraph" w:styleId="1031">
    <w:name w:val="toa heading"/>
    <w:basedOn w:val="1019"/>
    <w:next w:val="1019"/>
    <w:uiPriority w:val="0"/>
    <w:qFormat/>
    <w:pPr>
      <w:spacing w:before="120"/>
    </w:pPr>
    <w:rPr>
      <w:rFonts w:ascii="Arial" w:hAnsi="Arial" w:cs="Arial"/>
      <w:sz w:val="24"/>
    </w:rPr>
  </w:style>
  <w:style w:type="paragraph" w:styleId="1032">
    <w:name w:val="annotation text"/>
    <w:basedOn w:val="1019"/>
    <w:link w:val="1096"/>
    <w:uiPriority w:val="99"/>
    <w:qFormat/>
    <w:pPr>
      <w:jc w:val="left"/>
    </w:pPr>
  </w:style>
  <w:style w:type="paragraph" w:styleId="1033">
    <w:name w:val="Body Text 3"/>
    <w:basedOn w:val="1019"/>
    <w:uiPriority w:val="0"/>
    <w:qFormat/>
    <w:rPr>
      <w:rFonts w:ascii="仿宋_GB2312" w:hAnsi="Arial" w:eastAsia="仿宋_GB2312"/>
      <w:sz w:val="32"/>
      <w:szCs w:val="20"/>
    </w:rPr>
  </w:style>
  <w:style w:type="paragraph" w:styleId="1034">
    <w:name w:val="Body Text"/>
    <w:basedOn w:val="1019"/>
    <w:next w:val="1027"/>
    <w:link w:val="1091"/>
    <w:uiPriority w:val="0"/>
    <w:qFormat/>
    <w:rPr>
      <w:rFonts w:ascii="楷体_GB2312" w:hAnsi="Arial" w:eastAsia="楷体_GB2312"/>
      <w:sz w:val="28"/>
      <w:szCs w:val="20"/>
    </w:rPr>
  </w:style>
  <w:style w:type="paragraph" w:styleId="1035">
    <w:name w:val="Body Text Indent"/>
    <w:basedOn w:val="1019"/>
    <w:next w:val="1036"/>
    <w:link w:val="1097"/>
    <w:uiPriority w:val="0"/>
    <w:qFormat/>
    <w:pPr>
      <w:ind w:firstLine="645"/>
    </w:pPr>
    <w:rPr>
      <w:rFonts w:ascii="楷体_GB2312" w:eastAsia="楷体_GB2312"/>
      <w:sz w:val="32"/>
      <w:szCs w:val="20"/>
    </w:rPr>
  </w:style>
  <w:style w:type="paragraph" w:styleId="1036">
    <w:name w:val="envelope return"/>
    <w:basedOn w:val="1019"/>
    <w:uiPriority w:val="0"/>
    <w:qFormat/>
    <w:rPr>
      <w:rFonts w:ascii="Arial" w:hAnsi="Arial"/>
    </w:rPr>
  </w:style>
  <w:style w:type="paragraph" w:styleId="1037">
    <w:name w:val="Block Text"/>
    <w:basedOn w:val="1019"/>
    <w:uiPriority w:val="99"/>
    <w:unhideWhenUsed/>
    <w:qFormat/>
    <w:pPr>
      <w:ind w:left="1440" w:right="1440"/>
      <w:spacing w:after="120"/>
    </w:pPr>
  </w:style>
  <w:style w:type="paragraph" w:styleId="1038">
    <w:name w:val="toc 5"/>
    <w:basedOn w:val="1019"/>
    <w:next w:val="1019"/>
    <w:uiPriority w:val="0"/>
    <w:semiHidden/>
    <w:qFormat/>
    <w:pPr>
      <w:ind w:left="1680"/>
    </w:pPr>
  </w:style>
  <w:style w:type="paragraph" w:styleId="1039">
    <w:name w:val="toc 3"/>
    <w:basedOn w:val="1019"/>
    <w:next w:val="1019"/>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040">
    <w:name w:val="Plain Text"/>
    <w:basedOn w:val="1019"/>
    <w:uiPriority w:val="0"/>
    <w:qFormat/>
    <w:rPr>
      <w:rFonts w:hint="eastAsia" w:ascii="宋体" w:hAnsi="Courier New"/>
      <w:szCs w:val="20"/>
    </w:rPr>
  </w:style>
  <w:style w:type="paragraph" w:styleId="1041">
    <w:name w:val="toc 8"/>
    <w:basedOn w:val="1019"/>
    <w:next w:val="1019"/>
    <w:uiPriority w:val="0"/>
    <w:semiHidden/>
    <w:qFormat/>
    <w:pPr>
      <w:ind w:left="2940"/>
    </w:pPr>
  </w:style>
  <w:style w:type="paragraph" w:styleId="1042">
    <w:name w:val="Date"/>
    <w:basedOn w:val="1019"/>
    <w:next w:val="1019"/>
    <w:uiPriority w:val="0"/>
    <w:qFormat/>
    <w:rPr>
      <w:sz w:val="24"/>
      <w:szCs w:val="20"/>
    </w:rPr>
  </w:style>
  <w:style w:type="paragraph" w:styleId="1043">
    <w:name w:val="Body Text Indent 2"/>
    <w:basedOn w:val="1019"/>
    <w:uiPriority w:val="0"/>
    <w:qFormat/>
    <w:pPr>
      <w:ind w:firstLine="560"/>
    </w:pPr>
    <w:rPr>
      <w:rFonts w:ascii="宋体" w:hAnsi="宋体"/>
      <w:sz w:val="28"/>
    </w:rPr>
  </w:style>
  <w:style w:type="paragraph" w:styleId="1044">
    <w:name w:val="Balloon Text"/>
    <w:basedOn w:val="1019"/>
    <w:uiPriority w:val="0"/>
    <w:semiHidden/>
    <w:qFormat/>
    <w:rPr>
      <w:sz w:val="18"/>
      <w:szCs w:val="18"/>
    </w:rPr>
  </w:style>
  <w:style w:type="paragraph" w:styleId="1045">
    <w:name w:val="Footer"/>
    <w:basedOn w:val="1019"/>
    <w:uiPriority w:val="0"/>
    <w:qFormat/>
    <w:pPr>
      <w:jc w:val="left"/>
      <w:tabs>
        <w:tab w:val="center" w:pos="4153" w:leader="none"/>
        <w:tab w:val="right" w:pos="8306" w:leader="none"/>
      </w:tabs>
    </w:pPr>
    <w:rPr>
      <w:sz w:val="18"/>
      <w:szCs w:val="20"/>
    </w:rPr>
  </w:style>
  <w:style w:type="paragraph" w:styleId="1046">
    <w:name w:val="Header"/>
    <w:basedOn w:val="1019"/>
    <w:uiPriority w:val="0"/>
    <w:qFormat/>
    <w:pPr>
      <w:jc w:val="center"/>
      <w:tabs>
        <w:tab w:val="center" w:pos="4153" w:leader="none"/>
        <w:tab w:val="right" w:pos="8306" w:leader="none"/>
      </w:tabs>
      <w:pBdr>
        <w:bottom w:val="single" w:color="auto" w:sz="6" w:space="1"/>
      </w:pBdr>
    </w:pPr>
    <w:rPr>
      <w:sz w:val="18"/>
      <w:szCs w:val="18"/>
    </w:rPr>
  </w:style>
  <w:style w:type="paragraph" w:styleId="1047">
    <w:name w:val="toc 1"/>
    <w:basedOn w:val="1019"/>
    <w:next w:val="1019"/>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48">
    <w:name w:val="toc 4"/>
    <w:basedOn w:val="1019"/>
    <w:next w:val="1019"/>
    <w:uiPriority w:val="0"/>
    <w:semiHidden/>
    <w:qFormat/>
    <w:pPr>
      <w:ind w:left="1260"/>
    </w:pPr>
  </w:style>
  <w:style w:type="paragraph" w:styleId="1049">
    <w:name w:val="toc 6"/>
    <w:basedOn w:val="1019"/>
    <w:next w:val="1019"/>
    <w:uiPriority w:val="0"/>
    <w:semiHidden/>
    <w:qFormat/>
    <w:pPr>
      <w:ind w:left="2100"/>
    </w:pPr>
  </w:style>
  <w:style w:type="paragraph" w:styleId="1050">
    <w:name w:val="Body Text Indent 3"/>
    <w:basedOn w:val="1019"/>
    <w:uiPriority w:val="0"/>
    <w:qFormat/>
    <w:pPr>
      <w:ind w:firstLine="523"/>
    </w:pPr>
    <w:rPr>
      <w:rFonts w:ascii="仿宋_GB2312" w:hAnsi="宋体" w:eastAsia="仿宋_GB2312"/>
      <w:sz w:val="24"/>
    </w:rPr>
  </w:style>
  <w:style w:type="paragraph" w:styleId="1051">
    <w:name w:val="toc 2"/>
    <w:basedOn w:val="1019"/>
    <w:next w:val="1019"/>
    <w:uiPriority w:val="0"/>
    <w:semiHidden/>
    <w:qFormat/>
    <w:pPr>
      <w:jc w:val="left"/>
      <w:spacing w:line="260" w:lineRule="exact"/>
      <w:tabs>
        <w:tab w:val="right" w:pos="9440" w:leader="dot"/>
      </w:tabs>
    </w:pPr>
    <w:rPr>
      <w:rFonts w:ascii="黑体" w:eastAsia="黑体"/>
      <w:b/>
      <w:bCs/>
      <w:smallCaps/>
      <w:sz w:val="18"/>
      <w:szCs w:val="44"/>
    </w:rPr>
  </w:style>
  <w:style w:type="paragraph" w:styleId="1052">
    <w:name w:val="toc 9"/>
    <w:basedOn w:val="1019"/>
    <w:next w:val="1019"/>
    <w:uiPriority w:val="0"/>
    <w:semiHidden/>
    <w:qFormat/>
    <w:pPr>
      <w:ind w:left="3360"/>
    </w:pPr>
  </w:style>
  <w:style w:type="paragraph" w:styleId="1053">
    <w:name w:val="Body Text 2"/>
    <w:basedOn w:val="1019"/>
    <w:uiPriority w:val="0"/>
    <w:qFormat/>
    <w:pPr>
      <w:jc w:val="center"/>
    </w:pPr>
    <w:rPr>
      <w:rFonts w:ascii="仿宋_GB2312" w:eastAsia="仿宋_GB2312"/>
      <w:sz w:val="44"/>
    </w:rPr>
  </w:style>
  <w:style w:type="paragraph" w:styleId="1054">
    <w:name w:val="HTML Preformatted"/>
    <w:basedOn w:val="1019"/>
    <w:link w:val="10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5">
    <w:name w:val="Normal (Web)"/>
    <w:basedOn w:val="1019"/>
    <w:uiPriority w:val="0"/>
    <w:unhideWhenUsed/>
    <w:qFormat/>
    <w:pPr>
      <w:jc w:val="left"/>
      <w:spacing w:before="100" w:beforeAutospacing="1" w:after="100" w:afterAutospacing="1"/>
      <w:widowControl/>
    </w:pPr>
    <w:rPr>
      <w:rFonts w:ascii="宋体" w:hAnsi="宋体" w:cs="宋体"/>
      <w:sz w:val="24"/>
    </w:rPr>
  </w:style>
  <w:style w:type="paragraph" w:styleId="1056">
    <w:name w:val="index 1"/>
    <w:basedOn w:val="1019"/>
    <w:next w:val="1019"/>
    <w:uiPriority w:val="0"/>
    <w:semiHidden/>
    <w:qFormat/>
    <w:rPr>
      <w:rFonts w:ascii="宋体" w:hAnsi="宋体"/>
      <w:szCs w:val="18"/>
    </w:rPr>
  </w:style>
  <w:style w:type="paragraph" w:styleId="1057">
    <w:name w:val="annotation subject"/>
    <w:basedOn w:val="1032"/>
    <w:next w:val="1032"/>
    <w:link w:val="1099"/>
    <w:uiPriority w:val="0"/>
    <w:qFormat/>
    <w:rPr>
      <w:b/>
      <w:bCs/>
    </w:rPr>
  </w:style>
  <w:style w:type="paragraph" w:styleId="1058">
    <w:name w:val="Body Text First Indent"/>
    <w:basedOn w:val="1034"/>
    <w:next w:val="1049"/>
    <w:link w:val="1092"/>
    <w:uiPriority w:val="0"/>
    <w:qFormat/>
    <w:pPr>
      <w:ind w:firstLine="420"/>
      <w:spacing w:after="120"/>
    </w:pPr>
    <w:rPr>
      <w:sz w:val="21"/>
      <w:szCs w:val="24"/>
    </w:rPr>
  </w:style>
  <w:style w:type="paragraph" w:styleId="1059">
    <w:name w:val="Body Text First Indent 2"/>
    <w:basedOn w:val="1035"/>
    <w:next w:val="1028"/>
    <w:link w:val="1100"/>
    <w:uiPriority w:val="0"/>
    <w:qFormat/>
    <w:pPr>
      <w:ind w:left="420" w:firstLine="420"/>
      <w:spacing w:after="120"/>
    </w:pPr>
    <w:rPr>
      <w:sz w:val="21"/>
      <w:szCs w:val="24"/>
    </w:rPr>
  </w:style>
  <w:style w:type="table" w:styleId="1060">
    <w:name w:val="Table Grid"/>
    <w:basedOn w:val="10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1">
    <w:name w:val="Strong"/>
    <w:uiPriority w:val="0"/>
    <w:qFormat/>
    <w:rPr>
      <w:b/>
      <w:bCs/>
    </w:rPr>
  </w:style>
  <w:style w:type="character" w:styleId="1062">
    <w:name w:val="page number"/>
    <w:uiPriority w:val="0"/>
    <w:qFormat/>
  </w:style>
  <w:style w:type="character" w:styleId="1063">
    <w:name w:val="FollowedHyperlink"/>
    <w:uiPriority w:val="0"/>
    <w:qFormat/>
    <w:rPr>
      <w:color w:val="800080"/>
      <w:u w:val="single"/>
    </w:rPr>
  </w:style>
  <w:style w:type="character" w:styleId="1064">
    <w:name w:val="Hyperlink"/>
    <w:uiPriority w:val="0"/>
    <w:qFormat/>
    <w:rPr>
      <w:color w:val="0000ff"/>
      <w:u w:val="single"/>
    </w:rPr>
  </w:style>
  <w:style w:type="character" w:styleId="1065">
    <w:name w:val="annotation reference"/>
    <w:uiPriority w:val="99"/>
    <w:qFormat/>
    <w:rPr>
      <w:sz w:val="21"/>
      <w:szCs w:val="21"/>
    </w:rPr>
  </w:style>
  <w:style w:type="paragraph" w:styleId="1066" w:customStyle="1">
    <w:name w:val="普通正文"/>
    <w:basedOn w:val="1019"/>
    <w:link w:val="1101"/>
    <w:uiPriority w:val="0"/>
    <w:qFormat/>
    <w:pPr>
      <w:ind w:firstLine="480"/>
      <w:jc w:val="left"/>
      <w:spacing w:before="120" w:after="120" w:line="360" w:lineRule="auto"/>
    </w:pPr>
    <w:rPr>
      <w:rFonts w:ascii="Arial" w:hAnsi="Arial"/>
      <w:sz w:val="24"/>
    </w:rPr>
  </w:style>
  <w:style w:type="paragraph" w:styleId="1067" w:customStyle="1">
    <w:name w:val="列出段落1"/>
    <w:basedOn w:val="1019"/>
    <w:link w:val="1102"/>
    <w:uiPriority w:val="0"/>
    <w:qFormat/>
    <w:pPr>
      <w:contextualSpacing/>
      <w:ind w:left="720"/>
      <w:jc w:val="left"/>
      <w:widowControl/>
    </w:pPr>
    <w:rPr>
      <w:sz w:val="24"/>
      <w:lang w:eastAsia="en-US" w:bidi="en-US"/>
    </w:rPr>
  </w:style>
  <w:style w:type="paragraph" w:styleId="1068" w:customStyle="1">
    <w:name w:val="标题3"/>
    <w:basedOn w:val="1019"/>
    <w:next w:val="1019"/>
    <w:uiPriority w:val="0"/>
    <w:qFormat/>
    <w:rPr>
      <w:rFonts w:eastAsia="方正黑体_GBK"/>
    </w:rPr>
  </w:style>
  <w:style w:type="paragraph" w:styleId="1069"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paragraph" w:styleId="1070" w:customStyle="1">
    <w:name w:val="Char Char Char Char1 Char Char"/>
    <w:basedOn w:val="1019"/>
    <w:uiPriority w:val="0"/>
    <w:qFormat/>
    <w:pPr>
      <w:tabs>
        <w:tab w:val="left" w:pos="360" w:leader="none"/>
      </w:tabs>
    </w:pPr>
    <w:rPr>
      <w:sz w:val="24"/>
    </w:rPr>
  </w:style>
  <w:style w:type="paragraph" w:styleId="1071" w:customStyle="1">
    <w:name w:val="正文空2格  1."/>
    <w:basedOn w:val="1019"/>
    <w:uiPriority w:val="0"/>
    <w:qFormat/>
    <w:pPr>
      <w:ind w:firstLine="480"/>
      <w:spacing w:line="360" w:lineRule="auto"/>
    </w:pPr>
    <w:rPr>
      <w:rFonts w:ascii="宋体" w:eastAsia="仿宋" w:cs="宋体"/>
      <w:sz w:val="28"/>
      <w:szCs w:val="20"/>
    </w:rPr>
  </w:style>
  <w:style w:type="paragraph" w:styleId="1072" w:customStyle="1">
    <w:name w:val="正文 1.1"/>
    <w:basedOn w:val="1019"/>
    <w:next w:val="1073"/>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73" w:customStyle="1">
    <w:name w:val="正文 1.1.1"/>
    <w:basedOn w:val="1019"/>
    <w:next w:val="1019"/>
    <w:uiPriority w:val="0"/>
    <w:qFormat/>
    <w:pPr>
      <w:numPr>
        <w:ilvl w:val="2"/>
        <w:numId w:val="2"/>
      </w:numPr>
      <w:spacing w:line="360" w:lineRule="auto"/>
      <w:outlineLvl w:val="2"/>
    </w:pPr>
    <w:rPr>
      <w:rFonts w:ascii="宋体" w:hAnsi="宋体"/>
      <w:color w:val="000000"/>
      <w:sz w:val="28"/>
      <w:szCs w:val="21"/>
    </w:rPr>
  </w:style>
  <w:style w:type="paragraph" w:styleId="1074" w:customStyle="1">
    <w:name w:val="默认段落字体 Para Char Char Char Char Char Char Char Char Char1 Char Char Char Char Char Char Char"/>
    <w:basedOn w:val="1030"/>
    <w:uiPriority w:val="0"/>
    <w:qFormat/>
    <w:rPr>
      <w:rFonts w:ascii="Tahoma" w:hAnsi="Tahoma"/>
      <w:sz w:val="24"/>
    </w:rPr>
  </w:style>
  <w:style w:type="paragraph" w:styleId="1075" w:customStyle="1">
    <w:name w:val="HTML 预先格式化"/>
    <w:basedOn w:val="10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6">
    <w:name w:val="List Paragraph"/>
    <w:basedOn w:val="1019"/>
    <w:uiPriority w:val="0"/>
    <w:qFormat/>
    <w:pPr>
      <w:ind w:firstLine="420"/>
    </w:pPr>
    <w:rPr>
      <w:rFonts w:ascii="Calibri" w:hAnsi="Calibri"/>
      <w:szCs w:val="22"/>
    </w:rPr>
  </w:style>
  <w:style w:type="paragraph" w:styleId="1077" w:customStyle="1">
    <w:name w:val="xl47"/>
    <w:basedOn w:val="101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78"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79" w:customStyle="1">
    <w:name w:val="标题1"/>
    <w:basedOn w:val="1019"/>
    <w:next w:val="1019"/>
    <w:uiPriority w:val="0"/>
    <w:qFormat/>
    <w:pPr>
      <w:jc w:val="center"/>
      <w:spacing w:line="700" w:lineRule="atLeast"/>
      <w:tabs>
        <w:tab w:val="left" w:pos="9193" w:leader="none"/>
        <w:tab w:val="left" w:pos="9827" w:leader="none"/>
      </w:tabs>
    </w:pPr>
    <w:rPr>
      <w:rFonts w:eastAsia="方正小标宋_GBK"/>
      <w:sz w:val="44"/>
    </w:rPr>
  </w:style>
  <w:style w:type="paragraph" w:styleId="1080" w:customStyle="1">
    <w:name w:val="Coms Alinea"/>
    <w:uiPriority w:val="0"/>
    <w:qFormat/>
    <w:pPr>
      <w:widowControl w:val="off"/>
    </w:pPr>
    <w:rPr>
      <w:rFonts w:ascii="Arial" w:hAnsi="Arial" w:eastAsia="宋体" w:cs="Arial"/>
      <w:lang w:val="en-US" w:eastAsia="zh-CN" w:bidi="ar-SA"/>
    </w:rPr>
  </w:style>
  <w:style w:type="paragraph" w:styleId="1081" w:customStyle="1">
    <w:name w:val="Char Char Char Char"/>
    <w:basedOn w:val="1030"/>
    <w:uiPriority w:val="0"/>
    <w:qFormat/>
    <w:pPr>
      <w:spacing w:line="360" w:lineRule="auto"/>
    </w:pPr>
    <w:rPr>
      <w:rFonts w:ascii="Tahoma" w:hAnsi="Tahoma"/>
      <w:sz w:val="24"/>
    </w:rPr>
  </w:style>
  <w:style w:type="paragraph" w:styleId="1082" w:customStyle="1">
    <w:name w:val="Char"/>
    <w:basedOn w:val="1019"/>
    <w:uiPriority w:val="0"/>
    <w:qFormat/>
    <w:pPr>
      <w:tabs>
        <w:tab w:val="left" w:pos="360" w:leader="none"/>
      </w:tabs>
    </w:pPr>
    <w:rPr>
      <w:sz w:val="24"/>
    </w:rPr>
  </w:style>
  <w:style w:type="paragraph" w:styleId="1083" w:customStyle="1">
    <w:name w:val="正文 第一章"/>
    <w:basedOn w:val="1019"/>
    <w:next w:val="1072"/>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84" w:customStyle="1">
    <w:name w:val="第四级"/>
    <w:basedOn w:val="1019"/>
    <w:next w:val="1019"/>
    <w:uiPriority w:val="0"/>
    <w:qFormat/>
    <w:pPr>
      <w:numPr>
        <w:ilvl w:val="3"/>
        <w:numId w:val="2"/>
      </w:numPr>
      <w:spacing w:line="360" w:lineRule="auto"/>
    </w:pPr>
    <w:rPr>
      <w:rFonts w:ascii="宋体" w:hAnsi="宋体" w:eastAsia="仿宋"/>
      <w:sz w:val="28"/>
      <w:szCs w:val="21"/>
    </w:rPr>
  </w:style>
  <w:style w:type="paragraph" w:styleId="1085" w:customStyle="1">
    <w:name w:val="Char Char Char Char1 Char Char Char"/>
    <w:basedOn w:val="1030"/>
    <w:uiPriority w:val="0"/>
    <w:qFormat/>
    <w:pPr>
      <w:spacing w:line="360" w:lineRule="auto"/>
    </w:pPr>
    <w:rPr>
      <w:rFonts w:ascii="Tahoma" w:hAnsi="Tahoma"/>
      <w:sz w:val="24"/>
    </w:rPr>
  </w:style>
  <w:style w:type="paragraph" w:styleId="1086"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87" w:customStyle="1">
    <w:name w:val="BioQuote Tekst"/>
    <w:basedOn w:val="1019"/>
    <w:uiPriority w:val="0"/>
    <w:qFormat/>
    <w:pPr>
      <w:ind w:right="-1"/>
    </w:pPr>
    <w:rPr>
      <w:rFonts w:ascii="Arial" w:hAnsi="Arial"/>
      <w:sz w:val="22"/>
      <w:szCs w:val="20"/>
      <w:lang w:eastAsia="en-US"/>
    </w:rPr>
  </w:style>
  <w:style w:type="paragraph" w:styleId="1088" w:customStyle="1">
    <w:name w:val="_Style 66"/>
    <w:uiPriority w:val="99"/>
    <w:semiHidden/>
    <w:qFormat/>
    <w:rPr>
      <w:rFonts w:ascii="Times New Roman" w:hAnsi="Times New Roman" w:eastAsia="宋体" w:cs="Times New Roman"/>
      <w:sz w:val="21"/>
      <w:szCs w:val="24"/>
      <w:lang w:val="en-US" w:eastAsia="zh-CN" w:bidi="ar-SA"/>
    </w:rPr>
  </w:style>
  <w:style w:type="paragraph" w:styleId="1089" w:customStyle="1">
    <w:name w:val="标题2"/>
    <w:basedOn w:val="1019"/>
    <w:next w:val="1019"/>
    <w:uiPriority w:val="0"/>
    <w:qFormat/>
    <w:pPr>
      <w:jc w:val="center"/>
    </w:pPr>
    <w:rPr>
      <w:rFonts w:eastAsia="方正楷体_GBK"/>
    </w:rPr>
  </w:style>
  <w:style w:type="paragraph" w:styleId="1090" w:customStyle="1">
    <w:name w:val="Char1"/>
    <w:basedOn w:val="1019"/>
    <w:uiPriority w:val="0"/>
    <w:qFormat/>
    <w:rPr>
      <w:rFonts w:ascii="Tahoma" w:hAnsi="Tahoma"/>
      <w:sz w:val="24"/>
      <w:szCs w:val="20"/>
    </w:rPr>
  </w:style>
  <w:style w:type="character" w:styleId="1091" w:customStyle="1">
    <w:name w:val="正文文本 字符"/>
    <w:link w:val="1034"/>
    <w:uiPriority w:val="0"/>
    <w:qFormat/>
    <w:rPr>
      <w:rFonts w:ascii="楷体_GB2312" w:hAnsi="Arial" w:eastAsia="楷体_GB2312"/>
      <w:sz w:val="28"/>
    </w:rPr>
  </w:style>
  <w:style w:type="character" w:styleId="1092" w:customStyle="1">
    <w:name w:val="正文文本首行缩进 字符"/>
    <w:link w:val="1058"/>
    <w:uiPriority w:val="0"/>
    <w:qFormat/>
    <w:rPr>
      <w:rFonts w:ascii="楷体_GB2312" w:hAnsi="Arial" w:eastAsia="楷体_GB2312"/>
      <w:sz w:val="21"/>
      <w:szCs w:val="24"/>
    </w:rPr>
  </w:style>
  <w:style w:type="character" w:styleId="1093" w:customStyle="1">
    <w:name w:val="标题 1 字符"/>
    <w:link w:val="1020"/>
    <w:uiPriority w:val="0"/>
    <w:qFormat/>
    <w:rPr>
      <w:rFonts w:ascii="楷体_GB2312" w:eastAsia="楷体_GB2312"/>
      <w:sz w:val="28"/>
      <w:lang w:val="en-US" w:eastAsia="zh-CN" w:bidi="ar-SA"/>
    </w:rPr>
  </w:style>
  <w:style w:type="character" w:styleId="1094" w:customStyle="1">
    <w:name w:val="标题 2 字符"/>
    <w:link w:val="1021"/>
    <w:uiPriority w:val="0"/>
    <w:qFormat/>
    <w:rPr>
      <w:rFonts w:ascii="Arial" w:hAnsi="Arial" w:eastAsia="幼圆"/>
      <w:b/>
      <w:sz w:val="44"/>
    </w:rPr>
  </w:style>
  <w:style w:type="character" w:styleId="1095" w:customStyle="1">
    <w:name w:val="正文缩进 字符"/>
    <w:link w:val="1028"/>
    <w:uiPriority w:val="0"/>
    <w:qFormat/>
    <w:rPr>
      <w:rFonts w:eastAsia="宋体"/>
      <w:sz w:val="21"/>
      <w:lang w:val="en-US" w:eastAsia="zh-CN" w:bidi="ar-SA"/>
    </w:rPr>
  </w:style>
  <w:style w:type="character" w:styleId="1096" w:customStyle="1">
    <w:name w:val="批注文字 字符"/>
    <w:link w:val="1032"/>
    <w:uiPriority w:val="99"/>
    <w:qFormat/>
    <w:rPr>
      <w:sz w:val="21"/>
      <w:szCs w:val="24"/>
    </w:rPr>
  </w:style>
  <w:style w:type="character" w:styleId="1097" w:customStyle="1">
    <w:name w:val="正文文本缩进 字符"/>
    <w:link w:val="1035"/>
    <w:uiPriority w:val="0"/>
    <w:qFormat/>
    <w:rPr>
      <w:rFonts w:ascii="楷体_GB2312" w:eastAsia="楷体_GB2312"/>
      <w:sz w:val="32"/>
    </w:rPr>
  </w:style>
  <w:style w:type="character" w:styleId="1098" w:customStyle="1">
    <w:name w:val="HTML 预设格式 字符"/>
    <w:link w:val="1054"/>
    <w:uiPriority w:val="0"/>
    <w:qFormat/>
    <w:rPr>
      <w:rFonts w:ascii="黑体" w:hAnsi="Courier New" w:eastAsia="黑体" w:cs="Courier New"/>
    </w:rPr>
  </w:style>
  <w:style w:type="character" w:styleId="1099" w:customStyle="1">
    <w:name w:val="批注主题 字符"/>
    <w:link w:val="1057"/>
    <w:uiPriority w:val="0"/>
    <w:qFormat/>
    <w:rPr>
      <w:b/>
      <w:bCs/>
      <w:sz w:val="21"/>
      <w:szCs w:val="24"/>
    </w:rPr>
  </w:style>
  <w:style w:type="character" w:styleId="1100" w:customStyle="1">
    <w:name w:val="正文文本首行缩进 2 字符"/>
    <w:link w:val="1059"/>
    <w:uiPriority w:val="0"/>
    <w:qFormat/>
    <w:rPr>
      <w:rFonts w:ascii="楷体_GB2312" w:eastAsia="楷体_GB2312"/>
      <w:sz w:val="21"/>
      <w:szCs w:val="24"/>
    </w:rPr>
  </w:style>
  <w:style w:type="character" w:styleId="1101" w:customStyle="1">
    <w:name w:val="普通正文 Char"/>
    <w:link w:val="1066"/>
    <w:uiPriority w:val="0"/>
    <w:qFormat/>
    <w:rPr>
      <w:rFonts w:ascii="Arial" w:hAnsi="Arial"/>
      <w:sz w:val="24"/>
      <w:szCs w:val="24"/>
    </w:rPr>
  </w:style>
  <w:style w:type="character" w:styleId="1102" w:customStyle="1">
    <w:name w:val="列出段落 Char"/>
    <w:link w:val="1067"/>
    <w:uiPriority w:val="0"/>
    <w:qFormat/>
    <w:rPr>
      <w:rFonts w:ascii="Calibri" w:hAnsi="Calibri"/>
      <w:sz w:val="24"/>
      <w:szCs w:val="24"/>
      <w:lang w:eastAsia="en-US" w:bidi="en-US"/>
    </w:rPr>
  </w:style>
  <w:style w:type="character" w:styleId="1103" w:customStyle="1">
    <w:name w:val="apple-converted-space"/>
    <w:uiPriority w:val="0"/>
    <w:qFormat/>
  </w:style>
  <w:style w:type="character" w:styleId="1104" w:customStyle="1">
    <w:name w:val="标题2 Char"/>
    <w:uiPriority w:val="0"/>
    <w:qFormat/>
    <w:rPr>
      <w:rFonts w:ascii="方正楷体_GBK" w:hAnsi="Book Antiqua" w:eastAsia="方正楷体_GBK"/>
      <w:sz w:val="32"/>
      <w:lang w:val="en-US" w:eastAsia="zh-CN" w:bidi="ar-SA"/>
    </w:rPr>
  </w:style>
  <w:style w:type="character" w:styleId="1105" w:customStyle="1">
    <w:name w:val="jj1"/>
    <w:uiPriority w:val="0"/>
    <w:qFormat/>
    <w:rPr>
      <w:sz w:val="20"/>
      <w:szCs w:val="20"/>
      <w:u w:val="none"/>
    </w:rPr>
  </w:style>
  <w:style w:type="paragraph" w:styleId="1106" w:customStyle="1">
    <w:name w:val="正文1"/>
    <w:basedOn w:val="1019"/>
    <w:uiPriority w:val="0"/>
    <w:qFormat/>
    <w:pPr>
      <w:ind w:right="-167"/>
      <w:spacing w:line="440" w:lineRule="exact"/>
      <w:widowControl/>
    </w:pPr>
    <w:rPr>
      <w:b/>
    </w:rPr>
  </w:style>
  <w:style w:type="character" w:styleId="1107" w:customStyle="1">
    <w:name w:val="NormalCharacter"/>
    <w:uiPriority w:val="0"/>
    <w:qFormat/>
    <w:rPr>
      <w:rFonts w:ascii="Times New Roman" w:hAnsi="Times New Roman" w:eastAsia="宋体" w:cs="Times New Roman"/>
      <w:sz w:val="21"/>
      <w:szCs w:val="24"/>
      <w:lang w:val="en-US" w:eastAsia="zh-CN" w:bidi="ar-SA"/>
    </w:rPr>
  </w:style>
  <w:style w:type="paragraph" w:styleId="1108" w:customStyle="1">
    <w:name w:val="首行缩进"/>
    <w:basedOn w:val="1019"/>
    <w:uiPriority w:val="0"/>
    <w:qFormat/>
    <w:pPr>
      <w:ind w:firstLine="480"/>
      <w:spacing w:line="360" w:lineRule="auto"/>
    </w:pPr>
    <w:rPr>
      <w:rFonts w:ascii="宋体" w:hAnsi="宋体" w:cs="宋体"/>
      <w:sz w:val="24"/>
    </w:rPr>
  </w:style>
  <w:style w:type="paragraph" w:styleId="1109" w:customStyle="1">
    <w:name w:val="_Style 7"/>
    <w:basedOn w:val="1019"/>
    <w:next w:val="1076"/>
    <w:uiPriority w:val="34"/>
    <w:qFormat/>
    <w:pPr>
      <w:ind w:firstLine="420"/>
    </w:pPr>
  </w:style>
  <w:style w:type="paragraph" w:styleId="111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1" w:customStyle="1">
    <w:name w:val="正文文本 21"/>
    <w:basedOn w:val="1019"/>
    <w:uiPriority w:val="0"/>
    <w:qFormat/>
    <w:pPr>
      <w:jc w:val="center"/>
      <w:widowControl/>
    </w:pPr>
    <w:rPr>
      <w:rFonts w:ascii="楷体_GB2312" w:eastAsia="楷体_GB2312"/>
      <w:sz w:val="28"/>
      <w:szCs w:val="28"/>
    </w:rPr>
  </w:style>
  <w:style w:type="paragraph" w:styleId="1112" w:customStyle="1">
    <w:name w:val="列表段落1"/>
    <w:basedOn w:val="1019"/>
    <w:uiPriority w:val="0"/>
    <w:qFormat/>
    <w:pPr>
      <w:contextualSpacing/>
      <w:ind w:left="720"/>
      <w:jc w:val="left"/>
      <w:widowControl/>
    </w:pPr>
    <w:rPr>
      <w:rFonts w:ascii="Calibri" w:hAnsi="Calibri"/>
      <w:sz w:val="24"/>
      <w:lang w:eastAsia="en-US" w:bidi="en-US"/>
    </w:rPr>
  </w:style>
  <w:style w:type="character" w:styleId="1113" w:customStyle="1">
    <w:name w:val="font11"/>
    <w:basedOn w:val="1025"/>
    <w:uiPriority w:val="0"/>
    <w:qFormat/>
    <w:rPr>
      <w:rFonts w:hint="eastAsia" w:ascii="宋体" w:hAnsi="宋体" w:eastAsia="宋体" w:cs="宋体"/>
      <w:color w:val="000000"/>
      <w:sz w:val="16"/>
      <w:szCs w:val="16"/>
      <w:u w:val="none"/>
    </w:rPr>
  </w:style>
  <w:style w:type="paragraph" w:styleId="1114" w:customStyle="1">
    <w:name w:val="正文首行缩进1"/>
    <w:basedOn w:val="1019"/>
    <w:next w:val="1115"/>
    <w:uiPriority w:val="99"/>
    <w:qFormat/>
    <w:pPr>
      <w:ind w:firstLine="200"/>
      <w:spacing w:line="360" w:lineRule="auto"/>
    </w:pPr>
    <w:rPr>
      <w:rFonts w:ascii="仿宋_GB2312" w:eastAsia="仿宋_GB2312"/>
      <w:sz w:val="30"/>
      <w:szCs w:val="30"/>
    </w:rPr>
  </w:style>
  <w:style w:type="paragraph" w:styleId="1115" w:customStyle="1">
    <w:name w:val="目录 61"/>
    <w:basedOn w:val="1019"/>
    <w:next w:val="1019"/>
    <w:uiPriority w:val="0"/>
    <w:semiHidden/>
    <w:qFormat/>
    <w:pPr>
      <w:ind w:left="2100"/>
    </w:pPr>
  </w:style>
  <w:style w:type="paragraph" w:styleId="1116" w:customStyle="1">
    <w:name w:val="Footer1"/>
    <w:basedOn w:val="1019"/>
    <w:uiPriority w:val="99"/>
    <w:unhideWhenUsed/>
    <w:qFormat/>
    <w:pPr>
      <w:tabs>
        <w:tab w:val="center" w:pos="7143" w:leader="none"/>
        <w:tab w:val="right" w:pos="14287" w:leader="none"/>
      </w:tabs>
    </w:pPr>
  </w:style>
  <w:style w:type="paragraph" w:styleId="1117" w:customStyle="1">
    <w:name w:val="纯文本1"/>
    <w:basedOn w:val="1019"/>
    <w:uiPriority w:val="0"/>
    <w:qFormat/>
    <w:rPr>
      <w:rFonts w:hint="eastAsia" w:ascii="宋体" w:hAnsi="Courier New"/>
      <w:szCs w:val="20"/>
    </w:rPr>
  </w:style>
  <w:style w:type="character" w:styleId="1118" w:customStyle="1">
    <w:name w:val="NormalCharacter1"/>
    <w:link w:val="1019"/>
    <w:uiPriority w:val="0"/>
    <w:semiHidden/>
    <w:qFormat/>
    <w:rPr>
      <w:rFonts w:ascii="Times New Roman" w:hAnsi="Times New Roman" w:eastAsia="宋体" w:cs="Times New Roman"/>
      <w:sz w:val="21"/>
      <w:szCs w:val="24"/>
      <w:lang w:val="en-US" w:eastAsia="zh-CN" w:bidi="ar-SA"/>
    </w:rPr>
  </w:style>
  <w:style w:type="paragraph" w:styleId="1119" w:customStyle="1">
    <w:name w:val="正文首行缩进 21"/>
    <w:basedOn w:val="1120"/>
    <w:uiPriority w:val="0"/>
    <w:qFormat/>
    <w:pPr>
      <w:ind w:firstLine="420"/>
    </w:pPr>
  </w:style>
  <w:style w:type="paragraph" w:styleId="1120" w:customStyle="1">
    <w:name w:val="正文文本缩进1"/>
    <w:basedOn w:val="1019"/>
    <w:uiPriority w:val="0"/>
    <w:qFormat/>
    <w:pPr>
      <w:ind w:left="420"/>
      <w:spacing w:after="120"/>
    </w:pPr>
  </w:style>
  <w:style w:type="paragraph" w:styleId="1121" w:customStyle="1">
    <w:name w:val="Table Paragraph"/>
    <w:basedOn w:val="1019"/>
    <w:uiPriority w:val="1"/>
    <w:qFormat/>
    <w:rPr>
      <w:rFonts w:ascii="宋体" w:hAnsi="宋体" w:eastAsia="宋体" w:cs="宋体"/>
      <w:lang w:val="zh-CN" w:eastAsia="zh-CN" w:bidi="zh-CN"/>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8</cp:revision>
  <dcterms:created xsi:type="dcterms:W3CDTF">2025-07-01T02:35:00Z</dcterms:created>
  <dcterms:modified xsi:type="dcterms:W3CDTF">2025-09-22T07:59:29Z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48CE699B219E4FB1B18E46EF1C39A166_13</vt:lpwstr>
  </property>
  <property fmtid="{D5CDD505-2E9C-101B-9397-08002B2CF9AE}" pid="4" name="KSOTemplateDocerSaveRecord">
    <vt:lpwstr>eyJoZGlkIjoiOGU1MDgzMWRhMzlhZmQxYTU5MTk5OWI3YzJiYTYwNjgiLCJ1c2VySWQiOiI2NTA3NzMxOTIifQ==</vt:lpwstr>
  </property>
</Properties>
</file>