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宋体" w:hAnsi="宋体" w:eastAsia="宋体" w:cs="宋体"/>
          <w:b/>
          <w:color w:val="auto"/>
          <w:sz w:val="28"/>
        </w:rPr>
      </w:pPr>
      <w:r>
        <w:rPr>
          <w:rFonts w:hint="eastAsia" w:ascii="宋体" w:hAnsi="宋体" w:eastAsia="宋体" w:cs="宋体"/>
          <w:b/>
          <w:color w:val="auto"/>
          <w:sz w:val="28"/>
        </w:rPr>
      </w:r>
      <w:r/>
    </w:p>
    <w:p>
      <w:pPr>
        <w:rPr>
          <w:rFonts w:hint="eastAsia" w:ascii="宋体" w:hAnsi="宋体" w:eastAsia="宋体" w:cs="宋体"/>
          <w:b/>
          <w:color w:val="auto"/>
          <w:sz w:val="28"/>
        </w:rPr>
      </w:pPr>
      <w:r>
        <w:rPr>
          <w:rFonts w:hint="eastAsia" w:ascii="宋体" w:hAnsi="宋体" w:eastAsia="宋体" w:cs="宋体"/>
          <w:b/>
          <w:color w:val="auto"/>
          <w:sz w:val="28"/>
        </w:rPr>
      </w:r>
      <w:r/>
    </w:p>
    <w:p>
      <w:pPr>
        <w:rPr>
          <w:rFonts w:hint="eastAsia" w:ascii="宋体" w:hAnsi="宋体" w:eastAsia="宋体" w:cs="宋体"/>
          <w:b/>
          <w:color w:val="auto"/>
          <w:sz w:val="28"/>
        </w:rPr>
      </w:pPr>
      <w:r>
        <w:rPr>
          <w:rFonts w:hint="eastAsia" w:ascii="宋体" w:hAnsi="宋体" w:eastAsia="宋体" w:cs="宋体"/>
          <w:b/>
          <w:color w:val="auto"/>
          <w:sz w:val="28"/>
        </w:rPr>
      </w:r>
      <w:r/>
    </w:p>
    <w:p>
      <w:pPr>
        <w:jc w:val="center"/>
        <w:rPr>
          <w:rFonts w:hint="eastAsia" w:ascii="宋体" w:hAnsi="宋体" w:eastAsia="宋体" w:cs="宋体"/>
          <w:b/>
          <w:bCs/>
          <w:color w:val="auto"/>
          <w:sz w:val="40"/>
          <w:szCs w:val="40"/>
          <w:lang w:eastAsia="zh-CN"/>
        </w:rPr>
      </w:pPr>
      <w:r>
        <w:rPr>
          <w:rFonts w:hint="eastAsia" w:ascii="宋体" w:hAnsi="宋体" w:eastAsia="宋体" w:cs="宋体"/>
          <w:b/>
          <w:bCs/>
          <w:color w:val="auto"/>
          <w:sz w:val="40"/>
          <w:szCs w:val="40"/>
          <w:lang w:eastAsia="zh-CN"/>
        </w:rPr>
        <w:t xml:space="preserve">“靖江智能化稻麦轮作农机装备与技术集成示范”项目智能农机装备与设备平台采购</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 xml:space="preserve">招 标 文 件</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（招标编号：JSZC-321282-YZSX-G2024-000</w:t>
      </w:r>
      <w:r>
        <w:rPr>
          <w:rFonts w:hint="eastAsia" w:ascii="宋体" w:hAnsi="宋体" w:cs="宋体"/>
          <w:b/>
          <w:color w:val="auto"/>
          <w:sz w:val="30"/>
          <w:szCs w:val="30"/>
          <w:lang w:val="en-US" w:eastAsia="zh-CN"/>
        </w:rPr>
        <w:t xml:space="preserve">7</w:t>
      </w:r>
      <w:r>
        <w:rPr>
          <w:rFonts w:hint="eastAsia" w:ascii="宋体" w:hAnsi="宋体" w:eastAsia="宋体" w:cs="宋体"/>
          <w:b/>
          <w:color w:val="auto"/>
          <w:sz w:val="30"/>
          <w:szCs w:val="30"/>
        </w:rPr>
        <w:t xml:space="preserve">）</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1084"/>
        <w:jc w:val="left"/>
        <w:spacing w:before="120"/>
        <w:rPr>
          <w:rFonts w:hint="eastAsia" w:ascii="宋体" w:hAnsi="宋体" w:eastAsia="宋体" w:cs="宋体"/>
          <w:color w:val="auto"/>
          <w:spacing w:val="20"/>
          <w:sz w:val="32"/>
          <w:szCs w:val="32"/>
          <w:u w:val="single"/>
        </w:rPr>
      </w:pPr>
      <w:r>
        <w:rPr>
          <w:rFonts w:hint="eastAsia" w:ascii="宋体" w:hAnsi="宋体" w:eastAsia="宋体" w:cs="宋体"/>
          <w:b/>
          <w:bCs/>
          <w:color w:val="auto"/>
          <w:spacing w:val="20"/>
          <w:sz w:val="32"/>
          <w:szCs w:val="32"/>
        </w:rPr>
        <w:t xml:space="preserve">采购人：</w:t>
      </w:r>
      <w:r>
        <w:rPr>
          <w:rFonts w:hint="eastAsia" w:ascii="宋体" w:hAnsi="宋体" w:cs="宋体"/>
          <w:b/>
          <w:bCs/>
          <w:color w:val="auto"/>
          <w:spacing w:val="20"/>
          <w:sz w:val="32"/>
          <w:szCs w:val="32"/>
          <w:u w:val="single"/>
          <w:lang w:val="en-GB" w:eastAsia="zh-CN"/>
        </w:rPr>
        <w:t xml:space="preserve">靖江市农业农村局</w:t>
      </w:r>
      <w:r>
        <w:rPr>
          <w:rFonts w:hint="eastAsia" w:ascii="宋体" w:hAnsi="宋体" w:eastAsia="宋体" w:cs="宋体"/>
          <w:b/>
          <w:bCs/>
          <w:color w:val="auto"/>
          <w:spacing w:val="20"/>
          <w:sz w:val="32"/>
          <w:szCs w:val="32"/>
          <w:u w:val="single"/>
          <w:lang w:val="en-GB"/>
        </w:rPr>
        <w:t xml:space="preserve"> </w:t>
      </w:r>
      <w:r/>
    </w:p>
    <w:p>
      <w:pPr>
        <w:ind w:firstLine="1084"/>
        <w:jc w:val="left"/>
        <w:spacing w:before="120"/>
        <w:rPr>
          <w:rFonts w:hint="eastAsia" w:ascii="宋体" w:hAnsi="宋体" w:eastAsia="宋体" w:cs="宋体"/>
          <w:b/>
          <w:bCs/>
          <w:color w:val="auto"/>
          <w:spacing w:val="20"/>
          <w:sz w:val="32"/>
          <w:szCs w:val="32"/>
        </w:rPr>
      </w:pPr>
      <w:r>
        <w:rPr>
          <w:rFonts w:hint="eastAsia" w:ascii="宋体" w:hAnsi="宋体" w:eastAsia="宋体" w:cs="宋体"/>
          <w:b/>
          <w:bCs/>
          <w:color w:val="auto"/>
          <w:spacing w:val="20"/>
          <w:sz w:val="32"/>
          <w:szCs w:val="32"/>
        </w:rPr>
      </w:r>
      <w:r/>
    </w:p>
    <w:p>
      <w:pPr>
        <w:ind w:firstLine="1084"/>
        <w:jc w:val="left"/>
        <w:spacing w:before="120"/>
        <w:rPr>
          <w:rFonts w:hint="eastAsia" w:ascii="宋体" w:hAnsi="宋体" w:eastAsia="宋体" w:cs="宋体"/>
          <w:b/>
          <w:bCs/>
          <w:color w:val="auto"/>
          <w:spacing w:val="20"/>
          <w:sz w:val="32"/>
          <w:szCs w:val="32"/>
          <w:u w:val="single"/>
        </w:rPr>
      </w:pPr>
      <w:r>
        <w:rPr>
          <w:rFonts w:hint="eastAsia" w:ascii="宋体" w:hAnsi="宋体" w:eastAsia="宋体" w:cs="宋体"/>
          <w:b/>
          <w:bCs/>
          <w:color w:val="auto"/>
          <w:spacing w:val="20"/>
          <w:sz w:val="32"/>
          <w:szCs w:val="32"/>
        </w:rPr>
        <w:t xml:space="preserve">代理机构：</w:t>
      </w:r>
      <w:r>
        <w:rPr>
          <w:rFonts w:hint="eastAsia" w:ascii="宋体" w:hAnsi="宋体" w:eastAsia="宋体" w:cs="宋体"/>
          <w:b/>
          <w:bCs/>
          <w:color w:val="auto"/>
          <w:spacing w:val="20"/>
          <w:sz w:val="32"/>
          <w:szCs w:val="32"/>
          <w:u w:val="single"/>
          <w:lang w:val="en-GB"/>
        </w:rPr>
        <w:t xml:space="preserve">扬州三信建设工程有限公司</w:t>
      </w:r>
      <w:r/>
    </w:p>
    <w:p>
      <w:pPr>
        <w:jc w:val="center"/>
        <w:rPr>
          <w:rFonts w:hint="eastAsia" w:ascii="宋体" w:hAnsi="宋体" w:eastAsia="宋体" w:cs="宋体"/>
          <w:b/>
          <w:color w:val="auto"/>
          <w:sz w:val="28"/>
        </w:rPr>
      </w:pPr>
      <w:r>
        <w:rPr>
          <w:rFonts w:hint="eastAsia" w:ascii="宋体" w:hAnsi="宋体" w:eastAsia="宋体" w:cs="宋体"/>
          <w:b/>
          <w:color w:val="auto"/>
          <w:sz w:val="28"/>
        </w:rPr>
      </w:r>
      <w:r/>
    </w:p>
    <w:p>
      <w:pPr>
        <w:jc w:val="center"/>
        <w:rPr>
          <w:rFonts w:hint="eastAsia" w:ascii="宋体" w:hAnsi="宋体" w:eastAsia="宋体" w:cs="宋体"/>
          <w:b/>
          <w:color w:val="auto"/>
          <w:sz w:val="44"/>
        </w:rPr>
      </w:pPr>
      <w:r>
        <w:rPr>
          <w:rFonts w:hint="eastAsia" w:ascii="宋体" w:hAnsi="宋体" w:eastAsia="宋体" w:cs="宋体"/>
          <w:b/>
          <w:color w:val="auto"/>
          <w:sz w:val="44"/>
        </w:rPr>
      </w:r>
      <w:r/>
    </w:p>
    <w:p>
      <w:pPr>
        <w:jc w:val="center"/>
        <w:rPr>
          <w:rFonts w:hint="eastAsia" w:ascii="宋体" w:hAnsi="宋体" w:eastAsia="宋体" w:cs="宋体"/>
          <w:b/>
          <w:color w:val="auto"/>
          <w:sz w:val="32"/>
          <w:szCs w:val="32"/>
          <w:u w:val="single"/>
        </w:rPr>
      </w:pPr>
      <w:r>
        <w:rPr>
          <w:rFonts w:hint="eastAsia" w:ascii="宋体" w:hAnsi="宋体" w:eastAsia="宋体" w:cs="宋体"/>
          <w:b/>
          <w:color w:val="auto"/>
          <w:sz w:val="32"/>
          <w:szCs w:val="32"/>
          <w:u w:val="single"/>
        </w:rPr>
        <w:t xml:space="preserve"> 2024</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u w:val="single"/>
        </w:rPr>
        <w:t xml:space="preserve">0</w:t>
      </w:r>
      <w:r>
        <w:rPr>
          <w:rFonts w:hint="eastAsia" w:ascii="宋体" w:hAnsi="宋体" w:eastAsia="宋体" w:cs="宋体"/>
          <w:b/>
          <w:color w:val="auto"/>
          <w:sz w:val="32"/>
          <w:szCs w:val="32"/>
          <w:u w:val="single"/>
          <w:lang w:val="en-US" w:eastAsia="zh-CN"/>
        </w:rPr>
        <w:t xml:space="preserve">9</w:t>
      </w:r>
      <w:r>
        <w:rPr>
          <w:rFonts w:hint="eastAsia" w:ascii="宋体" w:hAnsi="宋体" w:eastAsia="宋体" w:cs="宋体"/>
          <w:b/>
          <w:color w:val="auto"/>
          <w:sz w:val="32"/>
          <w:szCs w:val="32"/>
          <w:u w:val="single"/>
        </w:rPr>
        <w:t xml:space="preserve">月</w:t>
      </w:r>
      <w:r/>
    </w:p>
    <w:p>
      <w:pPr>
        <w:jc w:val="center"/>
        <w:rPr>
          <w:rFonts w:hint="eastAsia" w:ascii="宋体" w:hAnsi="宋体" w:eastAsia="宋体" w:cs="宋体"/>
          <w:color w:val="auto"/>
          <w:sz w:val="36"/>
          <w:szCs w:val="36"/>
        </w:rPr>
      </w:pPr>
      <w:r>
        <w:rPr>
          <w:rFonts w:hint="eastAsia" w:ascii="宋体" w:hAnsi="宋体" w:eastAsia="宋体" w:cs="宋体"/>
          <w:b/>
          <w:color w:val="auto"/>
          <w:sz w:val="32"/>
          <w:szCs w:val="32"/>
          <w:u w:val="single"/>
        </w:rPr>
        <w:br w:type="page" w:clear="all"/>
      </w:r>
      <w:r>
        <w:rPr>
          <w:rFonts w:hint="eastAsia" w:ascii="宋体" w:hAnsi="宋体" w:eastAsia="宋体" w:cs="宋体"/>
          <w:color w:val="auto"/>
          <w:sz w:val="36"/>
          <w:szCs w:val="36"/>
        </w:rPr>
        <w:t xml:space="preserve">不见面交易相关提醒</w:t>
      </w:r>
      <w:r/>
    </w:p>
    <w:p>
      <w:pPr>
        <w:ind w:firstLine="440"/>
        <w:spacing w:line="520" w:lineRule="exact"/>
        <w:rPr>
          <w:rFonts w:hint="eastAsia" w:ascii="宋体" w:hAnsi="宋体" w:eastAsia="宋体" w:cs="宋体"/>
          <w:color w:val="auto"/>
          <w:spacing w:val="-3"/>
          <w:sz w:val="22"/>
          <w:szCs w:val="22"/>
        </w:rPr>
      </w:pPr>
      <w:r>
        <w:rPr>
          <w:rFonts w:hint="eastAsia" w:ascii="宋体" w:hAnsi="宋体" w:eastAsia="宋体" w:cs="宋体"/>
          <w:color w:val="auto"/>
          <w:sz w:val="22"/>
          <w:szCs w:val="22"/>
        </w:rPr>
        <w:t xml:space="preserve">一、政府采购线上合同信用融资功能告知提醒</w:t>
      </w:r>
      <w:r/>
    </w:p>
    <w:p>
      <w:pPr>
        <w:pStyle w:val="1052"/>
        <w:ind w:firstLine="4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1052"/>
        <w:ind w:firstLine="4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1.“政采贷”业务流程</w:t>
      </w:r>
      <w:r/>
    </w:p>
    <w:p>
      <w:pPr>
        <w:pStyle w:val="1052"/>
        <w:jc w:val="both"/>
        <w:spacing w:beforeAutospacing="0" w:afterAutospacing="0"/>
        <w:rPr>
          <w:rFonts w:hint="eastAsia" w:ascii="宋体" w:hAnsi="宋体" w:eastAsia="宋体" w:cs="宋体"/>
          <w:color w:val="auto"/>
          <w:sz w:val="22"/>
          <w:szCs w:val="22"/>
        </w:rPr>
      </w:pPr>
      <w:r>
        <w:rPr>
          <w:rFonts w:hint="eastAsia" w:ascii="宋体" w:hAnsi="宋体" w:eastAsia="宋体" w:cs="宋体"/>
          <w:color w:val="auto"/>
          <w:sz w:val="22"/>
          <w:szCs w:val="22"/>
        </w:rPr>
        <mc:AlternateContent>
          <mc:Choice Requires="wpg">
            <w:drawing>
              <wp:inline xmlns:wp="http://schemas.openxmlformats.org/drawingml/2006/wordprocessingDrawing" distT="0" distB="0" distL="0" distR="0">
                <wp:extent cx="5267325" cy="155321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
                <v:path textboxrect="0,0,0,0"/>
                <v:imagedata r:id="rId15" o:title=""/>
              </v:shape>
            </w:pict>
          </mc:Fallback>
        </mc:AlternateContent>
      </w:r>
      <w:r/>
    </w:p>
    <w:p>
      <w:pPr>
        <w:pStyle w:val="1052"/>
        <w:ind w:left="6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2.常见问题</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Q1：哪些企业能申请“政采贷”？</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答：江苏省内采用国库集中支付的政府采购项目的中标供应商，可凭政府采购合同申请"政采贷"。</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Q2：供应商在哪里申请“政采贷”？</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答：中标供应商在“中征应收账款融资服务平台”（简称“中征平台”）上向意向银行发起融资申请</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Q3：中标供应商要注意什么？</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答：中标供应商要加强和采购单位的沟通协调，尽早确定融资需求。需要“政采贷”融资的，政府采购合同付款账号应当空置。</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Q4：采购单位要做什么？</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Q5：“政采贷”融资失败怎么办？</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052"/>
        <w:ind w:left="6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3.网址及联系方式</w:t>
      </w:r>
      <w:r/>
    </w:p>
    <w:p>
      <w:pPr>
        <w:pStyle w:val="1052"/>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政采贷：</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"http://www.ccgp-jiangsu.gov.cn/jiangsu/paying.html" </w:instrText>
      </w:r>
      <w:r>
        <w:rPr>
          <w:rFonts w:hint="eastAsia" w:ascii="宋体" w:hAnsi="宋体" w:eastAsia="宋体" w:cs="宋体"/>
          <w:color w:val="auto"/>
        </w:rPr>
        <w:fldChar w:fldCharType="separate"/>
      </w:r>
      <w:r>
        <w:rPr>
          <w:rFonts w:hint="eastAsia" w:ascii="宋体" w:hAnsi="宋体" w:eastAsia="宋体" w:cs="宋体"/>
          <w:color w:val="auto"/>
          <w:sz w:val="22"/>
          <w:szCs w:val="22"/>
        </w:rPr>
        <w:t xml:space="preserve">http://www.ccgp-jiangsu.gov.cn/jiangsu/paying.html</w:t>
      </w:r>
      <w:r>
        <w:rPr>
          <w:rFonts w:hint="eastAsia" w:ascii="宋体" w:hAnsi="宋体" w:eastAsia="宋体" w:cs="宋体"/>
          <w:color w:val="auto"/>
          <w:sz w:val="22"/>
          <w:szCs w:val="22"/>
        </w:rPr>
        <w:fldChar w:fldCharType="end"/>
      </w:r>
      <w:r/>
    </w:p>
    <w:p>
      <w:pPr>
        <w:pStyle w:val="1052"/>
        <w:jc w:val="both"/>
        <w:spacing w:beforeAutospacing="0" w:afterAutospacing="0" w:line="400" w:lineRule="exact"/>
        <w:rPr>
          <w:rFonts w:hint="eastAsia" w:ascii="宋体" w:hAnsi="宋体" w:eastAsia="宋体" w:cs="宋体"/>
          <w:color w:val="auto"/>
          <w:spacing w:val="1"/>
          <w:sz w:val="22"/>
          <w:szCs w:val="22"/>
        </w:rPr>
      </w:pPr>
      <w:r>
        <w:rPr>
          <w:rFonts w:hint="eastAsia" w:ascii="宋体" w:hAnsi="宋体" w:eastAsia="宋体" w:cs="宋体"/>
          <w:color w:val="auto"/>
          <w:sz w:val="22"/>
          <w:szCs w:val="22"/>
        </w:rPr>
        <w:t xml:space="preserve"> 联系电话：0523-84821917</w:t>
      </w:r>
      <w:r/>
    </w:p>
    <w:p>
      <w:pPr>
        <w:ind w:firstLine="643"/>
        <w:spacing w:line="52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二、不见面交易投标文件制作提交说明</w:t>
      </w:r>
      <w:r/>
    </w:p>
    <w:p>
      <w:pPr>
        <w:ind w:firstLine="562"/>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sz w:val="22"/>
          <w:szCs w:val="22"/>
        </w:rPr>
        <w:t xml:space="preserve">1.业务流程：</w:t>
      </w:r>
      <w:r>
        <w:rPr>
          <w:rFonts w:hint="eastAsia" w:ascii="宋体" w:hAnsi="宋体" w:eastAsia="宋体" w:cs="宋体"/>
          <w:color w:val="auto"/>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sz w:val="22"/>
          <w:szCs w:val="22"/>
        </w:rPr>
        <w:t xml:space="preserve">2.苏采云资料：</w:t>
      </w:r>
      <w:r>
        <w:rPr>
          <w:rFonts w:hint="eastAsia" w:ascii="宋体" w:hAnsi="宋体" w:eastAsia="宋体" w:cs="宋体"/>
          <w:color w:val="auto"/>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rPr>
        <w:fldChar w:fldCharType="separate"/>
      </w:r>
      <w:r>
        <w:rPr>
          <w:rStyle w:val="1062"/>
          <w:rFonts w:hint="eastAsia" w:ascii="宋体" w:hAnsi="宋体" w:eastAsia="宋体" w:cs="宋体"/>
          <w:color w:val="auto"/>
          <w:sz w:val="22"/>
          <w:szCs w:val="22"/>
          <w:shd w:val="clear" w:color="auto" w:fill="ffffff"/>
        </w:rPr>
        <w:t xml:space="preserve">苏采云系统操作手册（供应商）</w:t>
      </w:r>
      <w:r>
        <w:rPr>
          <w:rStyle w:val="1062"/>
          <w:rFonts w:hint="eastAsia" w:ascii="宋体" w:hAnsi="宋体" w:eastAsia="宋体" w:cs="宋体"/>
          <w:color w:val="auto"/>
          <w:sz w:val="22"/>
          <w:szCs w:val="22"/>
          <w:shd w:val="clear" w:color="auto" w:fill="ffffff"/>
        </w:rPr>
        <w:fldChar w:fldCharType="end"/>
      </w:r>
      <w:r>
        <w:rPr>
          <w:rFonts w:hint="eastAsia" w:ascii="宋体" w:hAnsi="宋体" w:eastAsia="宋体" w:cs="宋体"/>
          <w:color w:val="auto"/>
          <w:sz w:val="22"/>
          <w:szCs w:val="22"/>
          <w:shd w:val="clear" w:color="auto" w:fill="ffffff"/>
        </w:rPr>
        <w:t xml:space="preserve">”，进行下载。</w:t>
      </w:r>
      <w:r/>
    </w:p>
    <w:p>
      <w:pPr>
        <w:ind w:firstLine="420"/>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"http://czj.taizhou.gov.cn/col/col61762/index.html" \o "http://czj.taizhou.gov.cn/col/col61762/index.html" </w:instrText>
      </w:r>
      <w:r>
        <w:rPr>
          <w:rFonts w:hint="eastAsia" w:ascii="宋体" w:hAnsi="宋体" w:eastAsia="宋体" w:cs="宋体"/>
          <w:color w:val="auto"/>
        </w:rPr>
        <w:fldChar w:fldCharType="separate"/>
      </w:r>
      <w:r>
        <w:rPr>
          <w:rStyle w:val="1062"/>
          <w:rFonts w:hint="eastAsia" w:ascii="宋体" w:hAnsi="宋体" w:eastAsia="宋体" w:cs="宋体"/>
          <w:color w:val="auto"/>
          <w:sz w:val="22"/>
          <w:szCs w:val="22"/>
          <w:shd w:val="clear" w:color="auto" w:fill="ffffff"/>
        </w:rPr>
        <w:t xml:space="preserve">http://czj.taizhou.gov.cn/col/col61762/index.html</w:t>
      </w:r>
      <w:r>
        <w:rPr>
          <w:rStyle w:val="1062"/>
          <w:rFonts w:hint="eastAsia" w:ascii="宋体" w:hAnsi="宋体" w:eastAsia="宋体" w:cs="宋体"/>
          <w:color w:val="auto"/>
          <w:sz w:val="22"/>
          <w:szCs w:val="22"/>
          <w:shd w:val="clear" w:color="auto" w:fill="ffffff"/>
        </w:rPr>
        <w:fldChar w:fldCharType="end"/>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三、供应商更换CA和电子签章特别提醒：</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4.登录“苏采云”系统请使用谷歌浏览器！更换好CA和电子签章后下载安装相关驱动和客户端（下载地址：</w:t>
      </w:r>
      <w:r>
        <w:rPr>
          <w:rFonts w:hint="eastAsia" w:ascii="宋体" w:hAnsi="宋体" w:eastAsia="宋体" w:cs="宋体"/>
          <w:b w:val="0"/>
          <w:bCs w:val="0"/>
          <w:color w:val="auto"/>
          <w:sz w:val="22"/>
          <w:szCs w:val="22"/>
          <w:shd w:val="clear" w:color="auto" w:fill="ffffff"/>
          <w:lang w:val="zh-CN" w:bidi="ar"/>
        </w:rPr>
        <w:fldChar w:fldCharType="begin"/>
      </w:r>
      <w:r>
        <w:rPr>
          <w:rFonts w:hint="eastAsia" w:ascii="宋体" w:hAnsi="宋体" w:eastAsia="宋体" w:cs="宋体"/>
          <w:b w:val="0"/>
          <w:bCs w:val="0"/>
          <w:color w:val="auto"/>
          <w:sz w:val="22"/>
          <w:szCs w:val="22"/>
          <w:shd w:val="clear" w:color="auto" w:fill="ffffff"/>
          <w:lang w:val="zh-CN" w:bidi="ar"/>
        </w:rPr>
        <w:instrText xml:space="preserve"> HYPERLINK "http://www.ccgp-jiangsu.gov.cn/zlxz）。" </w:instrText>
      </w:r>
      <w:r>
        <w:rPr>
          <w:rFonts w:hint="eastAsia" w:ascii="宋体" w:hAnsi="宋体" w:eastAsia="宋体" w:cs="宋体"/>
          <w:b w:val="0"/>
          <w:bCs w:val="0"/>
          <w:color w:val="auto"/>
          <w:sz w:val="22"/>
          <w:szCs w:val="22"/>
          <w:shd w:val="clear" w:color="auto" w:fill="ffffff"/>
          <w:lang w:val="zh-CN" w:bidi="ar"/>
        </w:rPr>
        <w:fldChar w:fldCharType="separate"/>
      </w:r>
      <w:r>
        <w:rPr>
          <w:rFonts w:hint="eastAsia" w:ascii="宋体" w:hAnsi="宋体" w:eastAsia="宋体" w:cs="宋体"/>
          <w:b w:val="0"/>
          <w:bCs w:val="0"/>
          <w:color w:val="auto"/>
          <w:sz w:val="22"/>
          <w:szCs w:val="22"/>
          <w:shd w:val="clear" w:color="auto" w:fill="ffffff"/>
          <w:lang w:val="zh-CN" w:bidi="ar"/>
        </w:rPr>
        <w:t xml:space="preserve">http://www.ccgp-jiangsu.gov.cn/zlxz）。</w:t>
      </w:r>
      <w:r>
        <w:rPr>
          <w:rFonts w:hint="eastAsia" w:ascii="宋体" w:hAnsi="宋体" w:eastAsia="宋体" w:cs="宋体"/>
          <w:b w:val="0"/>
          <w:bCs w:val="0"/>
          <w:color w:val="auto"/>
          <w:sz w:val="22"/>
          <w:szCs w:val="22"/>
          <w:shd w:val="clear" w:color="auto" w:fill="ffffff"/>
          <w:lang w:val="zh-CN" w:bidi="ar"/>
        </w:rPr>
        <w:fldChar w:fldCharType="end"/>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5.如潜在供应商未按上述要求操作，将自行承担所产生的风险。</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eastAsia="zh-CN" w:bidi="ar"/>
        </w:rPr>
        <w:t xml:space="preserve">四、政府采购电子履约保函（保险）告知提醒</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1.业务基本情况</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2.参与各方职责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3.业务模式和流程</w:t>
      </w:r>
      <w:r/>
    </w:p>
    <w:p>
      <w:pPr>
        <w:ind w:firstLine="562"/>
        <w:jc w:val="left"/>
        <w:spacing w:line="520" w:lineRule="exact"/>
        <w:rPr>
          <w:rFonts w:hint="eastAsia" w:ascii="宋体" w:hAnsi="宋体" w:eastAsia="宋体" w:cs="宋体"/>
          <w:color w:val="auto"/>
          <w:sz w:val="44"/>
          <w:szCs w:val="44"/>
        </w:rPr>
      </w:pPr>
      <w:r>
        <w:rPr>
          <w:rFonts w:hint="eastAsia" w:ascii="宋体" w:hAnsi="宋体" w:eastAsia="宋体" w:cs="宋体"/>
          <w:b w:val="0"/>
          <w:bCs w:val="0"/>
          <w:color w:val="auto"/>
          <w:sz w:val="22"/>
          <w:szCs w:val="22"/>
          <w:shd w:val="clear" w:color="auto" w:fill="ffffff"/>
          <w:lang w:val="zh-CN" w:eastAsia="zh-CN"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color w:val="auto"/>
          <w:sz w:val="44"/>
          <w:szCs w:val="44"/>
        </w:rPr>
        <w:br w:type="page" w:clear="all"/>
      </w:r>
      <w:r/>
    </w:p>
    <w:p>
      <w:pPr>
        <w:jc w:val="center"/>
        <w:rPr>
          <w:rFonts w:hint="eastAsia" w:ascii="宋体" w:hAnsi="宋体" w:eastAsia="宋体" w:cs="宋体"/>
          <w:b/>
          <w:color w:val="auto"/>
          <w:sz w:val="44"/>
          <w:szCs w:val="44"/>
        </w:rPr>
      </w:pPr>
      <w:r>
        <w:rPr>
          <w:rFonts w:hint="eastAsia" w:ascii="宋体" w:hAnsi="宋体" w:eastAsia="宋体" w:cs="宋体"/>
          <w:b/>
          <w:color w:val="auto"/>
          <w:sz w:val="44"/>
          <w:szCs w:val="44"/>
          <w:lang w:val="zh-CN"/>
        </w:rPr>
        <w:t xml:space="preserve">目录</w:t>
      </w:r>
      <w:r/>
    </w:p>
    <w:p>
      <w:pPr>
        <w:jc w:val="center"/>
        <w:rPr>
          <w:rFonts w:hint="eastAsia" w:ascii="宋体" w:hAnsi="宋体" w:eastAsia="宋体" w:cs="宋体"/>
          <w:color w:val="auto"/>
        </w:rPr>
      </w:pPr>
      <w:r>
        <w:rPr>
          <w:rFonts w:hint="eastAsia" w:ascii="宋体" w:hAnsi="宋体" w:eastAsia="宋体" w:cs="宋体"/>
          <w:color w:val="auto"/>
        </w:rPr>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 w:val="36"/>
          <w:szCs w:val="48"/>
        </w:rPr>
        <w:fldChar w:fldCharType="begin"/>
      </w:r>
      <w:r>
        <w:rPr>
          <w:rFonts w:hint="eastAsia" w:ascii="宋体" w:hAnsi="宋体" w:eastAsia="宋体" w:cs="宋体"/>
          <w:color w:val="auto"/>
          <w:sz w:val="36"/>
          <w:szCs w:val="48"/>
        </w:rPr>
        <w:instrText xml:space="preserve">TOC \o "1-1" \h \u </w:instrText>
      </w:r>
      <w:r>
        <w:rPr>
          <w:rFonts w:hint="eastAsia" w:ascii="宋体" w:hAnsi="宋体" w:eastAsia="宋体" w:cs="宋体"/>
          <w:color w:val="auto"/>
          <w:sz w:val="36"/>
          <w:szCs w:val="48"/>
        </w:rPr>
        <w:fldChar w:fldCharType="separate"/>
      </w: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_Toc4412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第一章 招标公告</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_Toc4412 \h </w:instrText>
      </w:r>
      <w:r>
        <w:rPr>
          <w:rFonts w:hint="eastAsia" w:ascii="宋体" w:hAnsi="宋体" w:eastAsia="宋体" w:cs="宋体"/>
          <w:color w:val="auto"/>
        </w:rPr>
        <w:fldChar w:fldCharType="separate"/>
      </w:r>
      <w:r>
        <w:rPr>
          <w:rFonts w:hint="eastAsia" w:ascii="宋体" w:hAnsi="宋体" w:eastAsia="宋体" w:cs="宋体"/>
          <w:color w:val="auto"/>
        </w:rPr>
        <w:t xml:space="preserve">7</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_Toc5654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第二章 供应商须知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_Toc5654 \h </w:instrText>
      </w:r>
      <w:r>
        <w:rPr>
          <w:rFonts w:hint="eastAsia" w:ascii="宋体" w:hAnsi="宋体" w:eastAsia="宋体" w:cs="宋体"/>
          <w:color w:val="auto"/>
        </w:rPr>
        <w:fldChar w:fldCharType="separate"/>
      </w:r>
      <w:r>
        <w:rPr>
          <w:rFonts w:hint="eastAsia" w:ascii="宋体" w:hAnsi="宋体" w:eastAsia="宋体" w:cs="宋体"/>
          <w:color w:val="auto"/>
        </w:rPr>
        <w:t xml:space="preserve">11</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_Toc3303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供应商须知前附表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_Toc3303 \h </w:instrText>
      </w:r>
      <w:r>
        <w:rPr>
          <w:rFonts w:hint="eastAsia" w:ascii="宋体" w:hAnsi="宋体" w:eastAsia="宋体" w:cs="宋体"/>
          <w:color w:val="auto"/>
        </w:rPr>
        <w:fldChar w:fldCharType="separate"/>
      </w:r>
      <w:r>
        <w:rPr>
          <w:rFonts w:hint="eastAsia" w:ascii="宋体" w:hAnsi="宋体" w:eastAsia="宋体" w:cs="宋体"/>
          <w:color w:val="auto"/>
        </w:rPr>
        <w:t xml:space="preserve">11</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_Toc19592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1.1 项目概况</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_Toc19592 \h </w:instrText>
      </w:r>
      <w:r>
        <w:rPr>
          <w:rFonts w:hint="eastAsia" w:ascii="宋体" w:hAnsi="宋体" w:eastAsia="宋体" w:cs="宋体"/>
          <w:color w:val="auto"/>
        </w:rPr>
        <w:fldChar w:fldCharType="separate"/>
      </w:r>
      <w:r>
        <w:rPr>
          <w:rFonts w:hint="eastAsia" w:ascii="宋体" w:hAnsi="宋体" w:eastAsia="宋体" w:cs="宋体"/>
          <w:color w:val="auto"/>
        </w:rPr>
        <w:t xml:space="preserve">14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_Toc17630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1.2 供货期及验收要求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_Toc17630 \h </w:instrText>
      </w:r>
      <w:r>
        <w:rPr>
          <w:rFonts w:hint="eastAsia" w:ascii="宋体" w:hAnsi="宋体" w:eastAsia="宋体" w:cs="宋体"/>
          <w:color w:val="auto"/>
        </w:rPr>
        <w:fldChar w:fldCharType="separate"/>
      </w:r>
      <w:r>
        <w:rPr>
          <w:rFonts w:hint="eastAsia" w:ascii="宋体" w:hAnsi="宋体" w:eastAsia="宋体" w:cs="宋体"/>
          <w:color w:val="auto"/>
        </w:rPr>
        <w:t xml:space="preserve">14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_Toc3039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1.3 供应商的资格条件</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_Toc3039 \h </w:instrText>
      </w:r>
      <w:r>
        <w:rPr>
          <w:rFonts w:hint="eastAsia" w:ascii="宋体" w:hAnsi="宋体" w:eastAsia="宋体" w:cs="宋体"/>
          <w:color w:val="auto"/>
        </w:rPr>
        <w:fldChar w:fldCharType="separate"/>
      </w:r>
      <w:r>
        <w:rPr>
          <w:rFonts w:hint="eastAsia" w:ascii="宋体" w:hAnsi="宋体" w:eastAsia="宋体" w:cs="宋体"/>
          <w:color w:val="auto"/>
        </w:rPr>
        <w:t xml:space="preserve">14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_Toc26049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1.4 踏勘现场</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_Toc26049 \h </w:instrText>
      </w:r>
      <w:r>
        <w:rPr>
          <w:rFonts w:hint="eastAsia" w:ascii="宋体" w:hAnsi="宋体" w:eastAsia="宋体" w:cs="宋体"/>
          <w:color w:val="auto"/>
        </w:rPr>
        <w:fldChar w:fldCharType="separate"/>
      </w:r>
      <w:r>
        <w:rPr>
          <w:rFonts w:hint="eastAsia" w:ascii="宋体" w:hAnsi="宋体" w:eastAsia="宋体" w:cs="宋体"/>
          <w:color w:val="auto"/>
        </w:rPr>
        <w:t xml:space="preserve">15</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_Toc20117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1.5 投标费用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_Toc20117 \h </w:instrText>
      </w:r>
      <w:r>
        <w:rPr>
          <w:rFonts w:hint="eastAsia" w:ascii="宋体" w:hAnsi="宋体" w:eastAsia="宋体" w:cs="宋体"/>
          <w:color w:val="auto"/>
        </w:rPr>
        <w:fldChar w:fldCharType="separate"/>
      </w:r>
      <w:r>
        <w:rPr>
          <w:rFonts w:hint="eastAsia" w:ascii="宋体" w:hAnsi="宋体" w:eastAsia="宋体" w:cs="宋体"/>
          <w:color w:val="auto"/>
        </w:rPr>
        <w:t xml:space="preserve">15</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_Toc26393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1.6 政府采购扶持政策</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_Toc26393 \h </w:instrText>
      </w:r>
      <w:r>
        <w:rPr>
          <w:rFonts w:hint="eastAsia" w:ascii="宋体" w:hAnsi="宋体" w:eastAsia="宋体" w:cs="宋体"/>
          <w:color w:val="auto"/>
        </w:rPr>
        <w:fldChar w:fldCharType="separate"/>
      </w:r>
      <w:r>
        <w:rPr>
          <w:rFonts w:hint="eastAsia" w:ascii="宋体" w:hAnsi="宋体" w:eastAsia="宋体" w:cs="宋体"/>
          <w:color w:val="auto"/>
        </w:rPr>
        <w:t xml:space="preserve">15</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_Toc16704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1.7投标语言及计量单位</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_Toc16704 \h </w:instrText>
      </w:r>
      <w:r>
        <w:rPr>
          <w:rFonts w:hint="eastAsia" w:ascii="宋体" w:hAnsi="宋体" w:eastAsia="宋体" w:cs="宋体"/>
          <w:color w:val="auto"/>
        </w:rPr>
        <w:fldChar w:fldCharType="separate"/>
      </w:r>
      <w:r>
        <w:rPr>
          <w:rFonts w:hint="eastAsia" w:ascii="宋体" w:hAnsi="宋体" w:eastAsia="宋体" w:cs="宋体"/>
          <w:color w:val="auto"/>
        </w:rPr>
        <w:t xml:space="preserve">16</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_Toc12709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1.8 其他</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_Toc12709 \h </w:instrText>
      </w:r>
      <w:r>
        <w:rPr>
          <w:rFonts w:hint="eastAsia" w:ascii="宋体" w:hAnsi="宋体" w:eastAsia="宋体" w:cs="宋体"/>
          <w:color w:val="auto"/>
        </w:rPr>
        <w:fldChar w:fldCharType="separate"/>
      </w:r>
      <w:r>
        <w:rPr>
          <w:rFonts w:hint="eastAsia" w:ascii="宋体" w:hAnsi="宋体" w:eastAsia="宋体" w:cs="宋体"/>
          <w:color w:val="auto"/>
        </w:rPr>
        <w:t xml:space="preserve">16</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_Toc26135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2.1 招标文件构成</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_Toc26135 \h </w:instrText>
      </w:r>
      <w:r>
        <w:rPr>
          <w:rFonts w:hint="eastAsia" w:ascii="宋体" w:hAnsi="宋体" w:eastAsia="宋体" w:cs="宋体"/>
          <w:color w:val="auto"/>
        </w:rPr>
        <w:fldChar w:fldCharType="separate"/>
      </w:r>
      <w:r>
        <w:rPr>
          <w:rFonts w:hint="eastAsia" w:ascii="宋体" w:hAnsi="宋体" w:eastAsia="宋体" w:cs="宋体"/>
          <w:color w:val="auto"/>
        </w:rPr>
        <w:t xml:space="preserve">16</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_Toc29008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2.2 招标文件的澄清</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_Toc29008 \h </w:instrText>
      </w:r>
      <w:r>
        <w:rPr>
          <w:rFonts w:hint="eastAsia" w:ascii="宋体" w:hAnsi="宋体" w:eastAsia="宋体" w:cs="宋体"/>
          <w:color w:val="auto"/>
        </w:rPr>
        <w:fldChar w:fldCharType="separate"/>
      </w:r>
      <w:r>
        <w:rPr>
          <w:rFonts w:hint="eastAsia" w:ascii="宋体" w:hAnsi="宋体" w:eastAsia="宋体" w:cs="宋体"/>
          <w:color w:val="auto"/>
        </w:rPr>
        <w:t xml:space="preserve">16</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_Toc27042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2.3 招标文件的修改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_Toc27042 \h </w:instrText>
      </w:r>
      <w:r>
        <w:rPr>
          <w:rFonts w:hint="eastAsia" w:ascii="宋体" w:hAnsi="宋体" w:eastAsia="宋体" w:cs="宋体"/>
          <w:color w:val="auto"/>
        </w:rPr>
        <w:fldChar w:fldCharType="separate"/>
      </w:r>
      <w:r>
        <w:rPr>
          <w:rFonts w:hint="eastAsia" w:ascii="宋体" w:hAnsi="宋体" w:eastAsia="宋体" w:cs="宋体"/>
          <w:color w:val="auto"/>
        </w:rPr>
        <w:t xml:space="preserve">17</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_Toc14248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3.1 投标文件的构成</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_Toc14248 \h </w:instrText>
      </w:r>
      <w:r>
        <w:rPr>
          <w:rFonts w:hint="eastAsia" w:ascii="宋体" w:hAnsi="宋体" w:eastAsia="宋体" w:cs="宋体"/>
          <w:color w:val="auto"/>
        </w:rPr>
        <w:fldChar w:fldCharType="separate"/>
      </w:r>
      <w:r>
        <w:rPr>
          <w:rFonts w:hint="eastAsia" w:ascii="宋体" w:hAnsi="宋体" w:eastAsia="宋体" w:cs="宋体"/>
          <w:color w:val="auto"/>
        </w:rPr>
        <w:t xml:space="preserve">17</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_Toc22998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3.2.投标报价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_Toc22998 \h </w:instrText>
      </w:r>
      <w:r>
        <w:rPr>
          <w:rFonts w:hint="eastAsia" w:ascii="宋体" w:hAnsi="宋体" w:eastAsia="宋体" w:cs="宋体"/>
          <w:color w:val="auto"/>
        </w:rPr>
        <w:fldChar w:fldCharType="separate"/>
      </w:r>
      <w:r>
        <w:rPr>
          <w:rFonts w:hint="eastAsia" w:ascii="宋体" w:hAnsi="宋体" w:eastAsia="宋体" w:cs="宋体"/>
          <w:color w:val="auto"/>
        </w:rPr>
        <w:t xml:space="preserve">17</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_Toc31482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3.3 投标有效期</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_Toc31482 \h </w:instrText>
      </w:r>
      <w:r>
        <w:rPr>
          <w:rFonts w:hint="eastAsia" w:ascii="宋体" w:hAnsi="宋体" w:eastAsia="宋体" w:cs="宋体"/>
          <w:color w:val="auto"/>
        </w:rPr>
        <w:fldChar w:fldCharType="separate"/>
      </w:r>
      <w:r>
        <w:rPr>
          <w:rFonts w:hint="eastAsia" w:ascii="宋体" w:hAnsi="宋体" w:eastAsia="宋体" w:cs="宋体"/>
          <w:color w:val="auto"/>
        </w:rPr>
        <w:t xml:space="preserve">18</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_Toc15154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3.4 资格证明资料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_Toc15154 \h </w:instrText>
      </w:r>
      <w:r>
        <w:rPr>
          <w:rFonts w:hint="eastAsia" w:ascii="宋体" w:hAnsi="宋体" w:eastAsia="宋体" w:cs="宋体"/>
          <w:color w:val="auto"/>
        </w:rPr>
        <w:fldChar w:fldCharType="separate"/>
      </w:r>
      <w:r>
        <w:rPr>
          <w:rFonts w:hint="eastAsia" w:ascii="宋体" w:hAnsi="宋体" w:eastAsia="宋体" w:cs="宋体"/>
          <w:color w:val="auto"/>
        </w:rPr>
        <w:t xml:space="preserve">18</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_Toc8080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3.4.1 供应商应按下列规定提供资格证明材料，以证明其满足本项目供应商资格要求：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_Toc8080 \h </w:instrText>
      </w:r>
      <w:r>
        <w:rPr>
          <w:rFonts w:hint="eastAsia" w:ascii="宋体" w:hAnsi="宋体" w:eastAsia="宋体" w:cs="宋体"/>
          <w:color w:val="auto"/>
        </w:rPr>
        <w:fldChar w:fldCharType="separate"/>
      </w:r>
      <w:r>
        <w:rPr>
          <w:rFonts w:hint="eastAsia" w:ascii="宋体" w:hAnsi="宋体" w:eastAsia="宋体" w:cs="宋体"/>
          <w:color w:val="auto"/>
        </w:rPr>
        <w:t xml:space="preserve">18</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_Toc5011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3.5 投标文件的编制</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_Toc5011 \h </w:instrText>
      </w:r>
      <w:r>
        <w:rPr>
          <w:rFonts w:hint="eastAsia" w:ascii="宋体" w:hAnsi="宋体" w:eastAsia="宋体" w:cs="宋体"/>
          <w:color w:val="auto"/>
        </w:rPr>
        <w:fldChar w:fldCharType="separate"/>
      </w:r>
      <w:r>
        <w:rPr>
          <w:rFonts w:hint="eastAsia" w:ascii="宋体" w:hAnsi="宋体" w:eastAsia="宋体" w:cs="宋体"/>
          <w:color w:val="auto"/>
        </w:rPr>
        <w:t xml:space="preserve">18</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_Toc25507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6.1 定标</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_Toc25507 \h </w:instrText>
      </w:r>
      <w:r>
        <w:rPr>
          <w:rFonts w:hint="eastAsia" w:ascii="宋体" w:hAnsi="宋体" w:eastAsia="宋体" w:cs="宋体"/>
          <w:color w:val="auto"/>
        </w:rPr>
        <w:fldChar w:fldCharType="separate"/>
      </w:r>
      <w:r>
        <w:rPr>
          <w:rFonts w:hint="eastAsia" w:ascii="宋体" w:hAnsi="宋体" w:eastAsia="宋体" w:cs="宋体"/>
          <w:color w:val="auto"/>
        </w:rPr>
        <w:t xml:space="preserve">23</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_Toc218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6.2 中标通知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_Toc218 \h </w:instrText>
      </w:r>
      <w:r>
        <w:rPr>
          <w:rFonts w:hint="eastAsia" w:ascii="宋体" w:hAnsi="宋体" w:eastAsia="宋体" w:cs="宋体"/>
          <w:color w:val="auto"/>
        </w:rPr>
        <w:fldChar w:fldCharType="separate"/>
      </w:r>
      <w:r>
        <w:rPr>
          <w:rFonts w:hint="eastAsia" w:ascii="宋体" w:hAnsi="宋体" w:eastAsia="宋体" w:cs="宋体"/>
          <w:color w:val="auto"/>
        </w:rPr>
        <w:t xml:space="preserve">24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_Toc3060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6.3 履约保证金</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_Toc3060 \h </w:instrText>
      </w:r>
      <w:r>
        <w:rPr>
          <w:rFonts w:hint="eastAsia" w:ascii="宋体" w:hAnsi="宋体" w:eastAsia="宋体" w:cs="宋体"/>
          <w:color w:val="auto"/>
        </w:rPr>
        <w:fldChar w:fldCharType="separate"/>
      </w:r>
      <w:r>
        <w:rPr>
          <w:rFonts w:hint="eastAsia" w:ascii="宋体" w:hAnsi="宋体" w:eastAsia="宋体" w:cs="宋体"/>
          <w:color w:val="auto"/>
        </w:rPr>
        <w:t xml:space="preserve">24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_Toc24987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6.4 签订合同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_Toc24987 \h </w:instrText>
      </w:r>
      <w:r>
        <w:rPr>
          <w:rFonts w:hint="eastAsia" w:ascii="宋体" w:hAnsi="宋体" w:eastAsia="宋体" w:cs="宋体"/>
          <w:color w:val="auto"/>
        </w:rPr>
        <w:fldChar w:fldCharType="separate"/>
      </w:r>
      <w:r>
        <w:rPr>
          <w:rFonts w:hint="eastAsia" w:ascii="宋体" w:hAnsi="宋体" w:eastAsia="宋体" w:cs="宋体"/>
          <w:color w:val="auto"/>
        </w:rPr>
        <w:t xml:space="preserve">24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_Toc24115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7.1 采购人宣布废标的权利</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_Toc24115 \h </w:instrText>
      </w:r>
      <w:r>
        <w:rPr>
          <w:rFonts w:hint="eastAsia" w:ascii="宋体" w:hAnsi="宋体" w:eastAsia="宋体" w:cs="宋体"/>
          <w:color w:val="auto"/>
        </w:rPr>
        <w:fldChar w:fldCharType="separate"/>
      </w:r>
      <w:r>
        <w:rPr>
          <w:rFonts w:hint="eastAsia" w:ascii="宋体" w:hAnsi="宋体" w:eastAsia="宋体" w:cs="宋体"/>
          <w:color w:val="auto"/>
        </w:rPr>
        <w:t xml:space="preserve">25</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_Toc2159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7.2 质疑</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_Toc2159 \h </w:instrText>
      </w:r>
      <w:r>
        <w:rPr>
          <w:rFonts w:hint="eastAsia" w:ascii="宋体" w:hAnsi="宋体" w:eastAsia="宋体" w:cs="宋体"/>
          <w:color w:val="auto"/>
        </w:rPr>
        <w:fldChar w:fldCharType="separate"/>
      </w:r>
      <w:r>
        <w:rPr>
          <w:rFonts w:hint="eastAsia" w:ascii="宋体" w:hAnsi="宋体" w:eastAsia="宋体" w:cs="宋体"/>
          <w:color w:val="auto"/>
        </w:rPr>
        <w:t xml:space="preserve">25</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_Toc8094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8.1 需补充的其他内容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_Toc8094 \h </w:instrText>
      </w:r>
      <w:r>
        <w:rPr>
          <w:rFonts w:hint="eastAsia" w:ascii="宋体" w:hAnsi="宋体" w:eastAsia="宋体" w:cs="宋体"/>
          <w:color w:val="auto"/>
        </w:rPr>
        <w:fldChar w:fldCharType="separate"/>
      </w:r>
      <w:r>
        <w:rPr>
          <w:rFonts w:hint="eastAsia" w:ascii="宋体" w:hAnsi="宋体" w:eastAsia="宋体" w:cs="宋体"/>
          <w:color w:val="auto"/>
        </w:rPr>
        <w:t xml:space="preserve">27</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_Toc30364 </w:instrText>
      </w:r>
      <w:r>
        <w:rPr>
          <w:rFonts w:hint="eastAsia" w:ascii="宋体" w:hAnsi="宋体" w:eastAsia="宋体" w:cs="宋体"/>
          <w:color w:val="auto"/>
          <w:szCs w:val="48"/>
        </w:rPr>
        <w:fldChar w:fldCharType="separate"/>
      </w:r>
      <w:r>
        <w:rPr>
          <w:rFonts w:hint="eastAsia" w:ascii="宋体" w:hAnsi="宋体" w:eastAsia="宋体" w:cs="宋体"/>
          <w:color w:val="auto"/>
          <w:szCs w:val="28"/>
        </w:rPr>
        <w:t xml:space="preserve">第三章 合同一般条款</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_Toc30364 \h </w:instrText>
      </w:r>
      <w:r>
        <w:rPr>
          <w:rFonts w:hint="eastAsia" w:ascii="宋体" w:hAnsi="宋体" w:eastAsia="宋体" w:cs="宋体"/>
          <w:color w:val="auto"/>
        </w:rPr>
        <w:fldChar w:fldCharType="separate"/>
      </w:r>
      <w:r>
        <w:rPr>
          <w:rFonts w:hint="eastAsia" w:ascii="宋体" w:hAnsi="宋体" w:eastAsia="宋体" w:cs="宋体"/>
          <w:color w:val="auto"/>
        </w:rPr>
        <w:t xml:space="preserve">28</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_Toc16755 </w:instrText>
      </w:r>
      <w:r>
        <w:rPr>
          <w:rFonts w:hint="eastAsia" w:ascii="宋体" w:hAnsi="宋体" w:eastAsia="宋体" w:cs="宋体"/>
          <w:color w:val="auto"/>
          <w:szCs w:val="48"/>
        </w:rPr>
        <w:fldChar w:fldCharType="separate"/>
      </w:r>
      <w:r>
        <w:rPr>
          <w:rFonts w:hint="eastAsia" w:ascii="宋体" w:hAnsi="宋体" w:eastAsia="宋体" w:cs="宋体"/>
          <w:color w:val="auto"/>
          <w:szCs w:val="28"/>
        </w:rPr>
        <w:t xml:space="preserve">第四章 合同格式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_Toc16755 \h </w:instrText>
      </w:r>
      <w:r>
        <w:rPr>
          <w:rFonts w:hint="eastAsia" w:ascii="宋体" w:hAnsi="宋体" w:eastAsia="宋体" w:cs="宋体"/>
          <w:color w:val="auto"/>
        </w:rPr>
        <w:fldChar w:fldCharType="separate"/>
      </w:r>
      <w:r>
        <w:rPr>
          <w:rFonts w:hint="eastAsia" w:ascii="宋体" w:hAnsi="宋体" w:eastAsia="宋体" w:cs="宋体"/>
          <w:color w:val="auto"/>
        </w:rPr>
        <w:t xml:space="preserve">31</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_Toc16684 </w:instrText>
      </w:r>
      <w:r>
        <w:rPr>
          <w:rFonts w:hint="eastAsia" w:ascii="宋体" w:hAnsi="宋体" w:eastAsia="宋体" w:cs="宋体"/>
          <w:color w:val="auto"/>
          <w:szCs w:val="48"/>
        </w:rPr>
        <w:fldChar w:fldCharType="separate"/>
      </w:r>
      <w:r>
        <w:rPr>
          <w:rFonts w:hint="eastAsia" w:ascii="宋体" w:hAnsi="宋体" w:eastAsia="宋体" w:cs="宋体"/>
          <w:bCs/>
          <w:color w:val="auto"/>
          <w:szCs w:val="28"/>
        </w:rPr>
        <w:t xml:space="preserve">合同书（格式文本）</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_Toc16684 \h </w:instrText>
      </w:r>
      <w:r>
        <w:rPr>
          <w:rFonts w:hint="eastAsia" w:ascii="宋体" w:hAnsi="宋体" w:eastAsia="宋体" w:cs="宋体"/>
          <w:color w:val="auto"/>
        </w:rPr>
        <w:fldChar w:fldCharType="separate"/>
      </w:r>
      <w:r>
        <w:rPr>
          <w:rFonts w:hint="eastAsia" w:ascii="宋体" w:hAnsi="宋体" w:eastAsia="宋体" w:cs="宋体"/>
          <w:color w:val="auto"/>
        </w:rPr>
        <w:t xml:space="preserve">31</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_Toc29236 </w:instrText>
      </w:r>
      <w:r>
        <w:rPr>
          <w:rFonts w:hint="eastAsia" w:ascii="宋体" w:hAnsi="宋体" w:eastAsia="宋体" w:cs="宋体"/>
          <w:color w:val="auto"/>
          <w:szCs w:val="48"/>
        </w:rPr>
        <w:fldChar w:fldCharType="separate"/>
      </w:r>
      <w:r>
        <w:rPr>
          <w:rFonts w:hint="eastAsia" w:ascii="宋体" w:hAnsi="宋体" w:eastAsia="宋体" w:cs="宋体"/>
          <w:color w:val="auto"/>
          <w:szCs w:val="40"/>
        </w:rPr>
        <w:t xml:space="preserve">项目需求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_Toc29236 \h </w:instrText>
      </w:r>
      <w:r>
        <w:rPr>
          <w:rFonts w:hint="eastAsia" w:ascii="宋体" w:hAnsi="宋体" w:eastAsia="宋体" w:cs="宋体"/>
          <w:color w:val="auto"/>
        </w:rPr>
        <w:fldChar w:fldCharType="separate"/>
      </w:r>
      <w:r>
        <w:rPr>
          <w:rFonts w:hint="eastAsia" w:ascii="宋体" w:hAnsi="宋体" w:eastAsia="宋体" w:cs="宋体"/>
          <w:color w:val="auto"/>
        </w:rPr>
        <w:t xml:space="preserve">41</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_Toc7094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第六章 评标办法</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_Toc7094 \h </w:instrText>
      </w:r>
      <w:r>
        <w:rPr>
          <w:rFonts w:hint="eastAsia" w:ascii="宋体" w:hAnsi="宋体" w:eastAsia="宋体" w:cs="宋体"/>
          <w:color w:val="auto"/>
        </w:rPr>
        <w:fldChar w:fldCharType="separate"/>
      </w:r>
      <w:r>
        <w:rPr>
          <w:rFonts w:hint="eastAsia" w:ascii="宋体" w:hAnsi="宋体" w:eastAsia="宋体" w:cs="宋体"/>
          <w:color w:val="auto"/>
        </w:rPr>
        <w:t xml:space="preserve">50</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_Toc16845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1. 评标方法</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_Toc16845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_Toc7775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 评审标准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_Toc7775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_Toc14360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2.2 资格评审标准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_Toc14360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_Toc18645 </w:instrText>
      </w:r>
      <w:r>
        <w:rPr>
          <w:rFonts w:hint="eastAsia" w:ascii="宋体" w:hAnsi="宋体" w:eastAsia="宋体" w:cs="宋体"/>
          <w:color w:val="auto"/>
          <w:szCs w:val="48"/>
        </w:rPr>
        <w:fldChar w:fldCharType="separate"/>
      </w:r>
      <w:r>
        <w:rPr>
          <w:rFonts w:hint="eastAsia" w:ascii="宋体" w:hAnsi="宋体" w:eastAsia="宋体" w:cs="宋体"/>
          <w:bCs w:val="0"/>
          <w:color w:val="auto"/>
          <w:szCs w:val="22"/>
        </w:rPr>
        <w:t xml:space="preserve">2.2.1资格评审标准：</w:t>
      </w:r>
      <w:r>
        <w:rPr>
          <w:rFonts w:hint="eastAsia" w:ascii="宋体" w:hAnsi="宋体" w:eastAsia="宋体" w:cs="宋体"/>
          <w:bCs w:val="0"/>
          <w:color w:val="auto"/>
        </w:rPr>
        <w:t xml:space="preserve">见评标办法前附表。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_Toc18645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_Toc30804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2.3 符合性评审标准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_Toc30804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_Toc4706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2.4 分值构成与评分标准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_Toc4706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_Toc8588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 评标程序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_Toc8588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_Toc5951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3.1 符合性评审</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_Toc5951 \h </w:instrText>
      </w:r>
      <w:r>
        <w:rPr>
          <w:rFonts w:hint="eastAsia" w:ascii="宋体" w:hAnsi="宋体" w:eastAsia="宋体" w:cs="宋体"/>
          <w:color w:val="auto"/>
        </w:rPr>
        <w:fldChar w:fldCharType="separate"/>
      </w:r>
      <w:r>
        <w:rPr>
          <w:rFonts w:hint="eastAsia" w:ascii="宋体" w:hAnsi="宋体" w:eastAsia="宋体" w:cs="宋体"/>
          <w:color w:val="auto"/>
        </w:rPr>
        <w:t xml:space="preserve">52</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_Toc23300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3.2比较和评价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_Toc23300 \h </w:instrText>
      </w:r>
      <w:r>
        <w:rPr>
          <w:rFonts w:hint="eastAsia" w:ascii="宋体" w:hAnsi="宋体" w:eastAsia="宋体" w:cs="宋体"/>
          <w:color w:val="auto"/>
        </w:rPr>
        <w:fldChar w:fldCharType="separate"/>
      </w:r>
      <w:r>
        <w:rPr>
          <w:rFonts w:hint="eastAsia" w:ascii="宋体" w:hAnsi="宋体" w:eastAsia="宋体" w:cs="宋体"/>
          <w:color w:val="auto"/>
        </w:rPr>
        <w:t xml:space="preserve">53</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_Toc13773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3.3 澄清和补正</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_Toc13773 \h </w:instrText>
      </w:r>
      <w:r>
        <w:rPr>
          <w:rFonts w:hint="eastAsia" w:ascii="宋体" w:hAnsi="宋体" w:eastAsia="宋体" w:cs="宋体"/>
          <w:color w:val="auto"/>
        </w:rPr>
        <w:fldChar w:fldCharType="separate"/>
      </w:r>
      <w:r>
        <w:rPr>
          <w:rFonts w:hint="eastAsia" w:ascii="宋体" w:hAnsi="宋体" w:eastAsia="宋体" w:cs="宋体"/>
          <w:color w:val="auto"/>
        </w:rPr>
        <w:t xml:space="preserve">53</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_Toc13594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3.4 违法违规情形</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_Toc13594 \h </w:instrText>
      </w:r>
      <w:r>
        <w:rPr>
          <w:rFonts w:hint="eastAsia" w:ascii="宋体" w:hAnsi="宋体" w:eastAsia="宋体" w:cs="宋体"/>
          <w:color w:val="auto"/>
        </w:rPr>
        <w:fldChar w:fldCharType="separate"/>
      </w:r>
      <w:r>
        <w:rPr>
          <w:rFonts w:hint="eastAsia" w:ascii="宋体" w:hAnsi="宋体" w:eastAsia="宋体" w:cs="宋体"/>
          <w:color w:val="auto"/>
        </w:rPr>
        <w:t xml:space="preserve">53</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_Toc17001 </w:instrText>
      </w:r>
      <w:r>
        <w:rPr>
          <w:rFonts w:hint="eastAsia" w:ascii="宋体" w:hAnsi="宋体" w:eastAsia="宋体" w:cs="宋体"/>
          <w:color w:val="auto"/>
          <w:szCs w:val="48"/>
        </w:rPr>
        <w:fldChar w:fldCharType="separate"/>
      </w:r>
      <w:r>
        <w:rPr>
          <w:rFonts w:hint="eastAsia" w:ascii="宋体" w:hAnsi="宋体" w:eastAsia="宋体" w:cs="宋体"/>
          <w:color w:val="auto"/>
          <w:szCs w:val="22"/>
        </w:rPr>
        <w:t xml:space="preserve">3.5 评标结果</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_Toc17001 \h </w:instrText>
      </w:r>
      <w:r>
        <w:rPr>
          <w:rFonts w:hint="eastAsia" w:ascii="宋体" w:hAnsi="宋体" w:eastAsia="宋体" w:cs="宋体"/>
          <w:color w:val="auto"/>
        </w:rPr>
        <w:fldChar w:fldCharType="separate"/>
      </w:r>
      <w:r>
        <w:rPr>
          <w:rFonts w:hint="eastAsia" w:ascii="宋体" w:hAnsi="宋体" w:eastAsia="宋体" w:cs="宋体"/>
          <w:color w:val="auto"/>
        </w:rPr>
        <w:t xml:space="preserve">54</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35"/>
        <w:tabs>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begin"/>
      </w:r>
      <w:r>
        <w:rPr>
          <w:rFonts w:hint="eastAsia" w:ascii="宋体" w:hAnsi="宋体" w:eastAsia="宋体" w:cs="宋体"/>
          <w:color w:val="auto"/>
          <w:szCs w:val="48"/>
        </w:rPr>
        <w:instrText xml:space="preserve"> HYPERLINK \l _Toc28394 </w:instrText>
      </w:r>
      <w:r>
        <w:rPr>
          <w:rFonts w:hint="eastAsia" w:ascii="宋体" w:hAnsi="宋体" w:eastAsia="宋体" w:cs="宋体"/>
          <w:color w:val="auto"/>
          <w:szCs w:val="48"/>
        </w:rPr>
        <w:fldChar w:fldCharType="separate"/>
      </w:r>
      <w:r>
        <w:rPr>
          <w:rFonts w:hint="eastAsia" w:ascii="宋体" w:hAnsi="宋体" w:eastAsia="宋体" w:cs="宋体"/>
          <w:color w:val="auto"/>
        </w:rPr>
        <w:t xml:space="preserve">第七章 投标文件内容及格式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_Toc28394 \h </w:instrText>
      </w:r>
      <w:r>
        <w:rPr>
          <w:rFonts w:hint="eastAsia" w:ascii="宋体" w:hAnsi="宋体" w:eastAsia="宋体" w:cs="宋体"/>
          <w:color w:val="auto"/>
        </w:rPr>
        <w:fldChar w:fldCharType="separate"/>
      </w:r>
      <w:r>
        <w:rPr>
          <w:rFonts w:hint="eastAsia" w:ascii="宋体" w:hAnsi="宋体" w:eastAsia="宋体" w:cs="宋体"/>
          <w:color w:val="auto"/>
        </w:rPr>
        <w:t xml:space="preserve">56</w:t>
      </w:r>
      <w:r>
        <w:rPr>
          <w:rFonts w:hint="eastAsia" w:ascii="宋体" w:hAnsi="宋体" w:eastAsia="宋体" w:cs="宋体"/>
          <w:color w:val="auto"/>
        </w:rPr>
        <w:fldChar w:fldCharType="end"/>
      </w:r>
      <w:r>
        <w:rPr>
          <w:rFonts w:hint="eastAsia" w:ascii="宋体" w:hAnsi="宋体" w:eastAsia="宋体" w:cs="宋体"/>
          <w:color w:val="auto"/>
          <w:szCs w:val="48"/>
        </w:rPr>
        <w:fldChar w:fldCharType="end"/>
      </w:r>
      <w:r/>
    </w:p>
    <w:p>
      <w:pPr>
        <w:pStyle w:val="856"/>
        <w:spacing w:line="440" w:lineRule="exact"/>
        <w:tabs>
          <w:tab w:val="clear" w:pos="9061" w:leader="none"/>
          <w:tab w:val="right" w:pos="9071" w:leader="dot"/>
        </w:tabs>
        <w:rPr>
          <w:rFonts w:hint="eastAsia" w:ascii="宋体" w:hAnsi="宋体" w:eastAsia="宋体" w:cs="宋体"/>
          <w:color w:val="auto"/>
        </w:rPr>
      </w:pPr>
      <w:r>
        <w:rPr>
          <w:rFonts w:hint="eastAsia" w:ascii="宋体" w:hAnsi="宋体" w:eastAsia="宋体" w:cs="宋体"/>
          <w:color w:val="auto"/>
          <w:szCs w:val="48"/>
        </w:rPr>
        <w:fldChar w:fldCharType="end"/>
      </w:r>
      <w:r/>
    </w:p>
    <w:p>
      <w:pPr>
        <w:pStyle w:val="1032"/>
        <w:tabs>
          <w:tab w:val="right" w:pos="9071" w:leader="dot"/>
        </w:tabs>
        <w:rPr>
          <w:rFonts w:hint="eastAsia" w:ascii="宋体" w:hAnsi="宋体" w:eastAsia="宋体" w:cs="宋体"/>
          <w:color w:val="auto"/>
        </w:rPr>
      </w:pPr>
      <w:r>
        <w:rPr>
          <w:rFonts w:hint="eastAsia" w:ascii="宋体" w:hAnsi="宋体" w:eastAsia="宋体" w:cs="宋体"/>
          <w:color w:val="auto"/>
        </w:rPr>
        <w:br w:type="page" w:clear="all"/>
      </w:r>
      <w:r/>
    </w:p>
    <w:p>
      <w:pPr>
        <w:pStyle w:val="1006"/>
        <w:numPr>
          <w:ilvl w:val="0"/>
          <w:numId w:val="2"/>
        </w:numPr>
        <w:spacing w:line="240" w:lineRule="auto"/>
        <w:rPr>
          <w:rFonts w:hint="eastAsia" w:ascii="宋体" w:hAnsi="宋体" w:eastAsia="宋体" w:cs="宋体"/>
          <w:color w:val="auto"/>
        </w:rPr>
      </w:pPr>
      <w:r/>
      <w:bookmarkStart w:id="0" w:name="_Toc4412"/>
      <w:r/>
      <w:bookmarkStart w:id="1" w:name="_Toc28191"/>
      <w:r/>
      <w:bookmarkStart w:id="2" w:name="_Hlk88038389"/>
      <w:r/>
      <w:bookmarkStart w:id="3" w:name="_Toc89569837"/>
      <w:r>
        <w:rPr>
          <w:rFonts w:hint="eastAsia" w:ascii="宋体" w:hAnsi="宋体" w:eastAsia="宋体" w:cs="宋体"/>
          <w:color w:val="auto"/>
        </w:rPr>
        <w:t xml:space="preserve">招标公告</w:t>
      </w:r>
      <w:bookmarkEnd w:id="0"/>
      <w:r/>
      <w:bookmarkEnd w:id="1"/>
      <w:r/>
      <w:r/>
    </w:p>
    <w:p>
      <w:pPr>
        <w:ind w:firstLine="480"/>
        <w:spacing w:line="440" w:lineRule="exact"/>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0"/>
        <w:spacing w:line="440" w:lineRule="exact"/>
        <w:rPr>
          <w:rFonts w:hint="eastAsia" w:ascii="宋体" w:hAnsi="宋体" w:eastAsia="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扬州三信建设工程有限公司</w:t>
      </w:r>
      <w:r>
        <w:rPr>
          <w:rFonts w:hint="eastAsia" w:ascii="宋体" w:hAnsi="宋体" w:eastAsia="宋体" w:cs="宋体"/>
          <w:color w:val="auto"/>
          <w:sz w:val="24"/>
          <w:szCs w:val="24"/>
        </w:rPr>
        <w:t xml:space="preserve">受</w:t>
      </w:r>
      <w:r>
        <w:rPr>
          <w:rFonts w:hint="eastAsia" w:ascii="宋体" w:hAnsi="宋体" w:cs="宋体"/>
          <w:color w:val="auto"/>
          <w:sz w:val="24"/>
          <w:szCs w:val="24"/>
          <w:u w:val="single"/>
          <w:lang w:val="en-GB" w:eastAsia="zh-CN"/>
        </w:rPr>
        <w:t xml:space="preserve">靖江市农业农村局</w:t>
      </w:r>
      <w:r>
        <w:rPr>
          <w:rFonts w:hint="eastAsia" w:ascii="宋体" w:hAnsi="宋体" w:eastAsia="宋体" w:cs="宋体"/>
          <w:color w:val="auto"/>
          <w:sz w:val="24"/>
          <w:szCs w:val="24"/>
        </w:rPr>
        <w:t xml:space="preserve">委托，对</w:t>
      </w:r>
      <w:bookmarkStart w:id="4" w:name="_Toc35393629"/>
      <w:r/>
      <w:bookmarkStart w:id="5" w:name="_Toc28359089"/>
      <w:r/>
      <w:bookmarkStart w:id="6" w:name="_Toc35393798"/>
      <w:r/>
      <w:bookmarkStart w:id="7" w:name="_Toc28359012"/>
      <w:r>
        <w:rPr>
          <w:rFonts w:hint="eastAsia" w:ascii="宋体" w:hAnsi="宋体" w:eastAsia="宋体" w:cs="宋体"/>
          <w:color w:val="auto"/>
          <w:sz w:val="24"/>
          <w:szCs w:val="24"/>
          <w:u w:val="single"/>
          <w:lang w:eastAsia="zh-CN"/>
        </w:rPr>
        <w:t xml:space="preserve">靖江智能化稻麦轮作农机装备与技术集成示范项目智能农机装备与设备平台采购</w:t>
      </w:r>
      <w:r>
        <w:rPr>
          <w:rFonts w:hint="eastAsia" w:ascii="宋体" w:hAnsi="宋体" w:eastAsia="宋体" w:cs="宋体"/>
          <w:color w:val="auto"/>
          <w:sz w:val="24"/>
          <w:szCs w:val="24"/>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2024年</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月</w:t>
      </w:r>
      <w:bookmarkStart w:id="321" w:name="_GoBack"/>
      <w:r>
        <w:rPr>
          <w:rFonts w:hint="eastAsia" w:ascii="宋体" w:hAnsi="宋体" w:cs="宋体"/>
          <w:color w:val="auto"/>
          <w:sz w:val="24"/>
          <w:szCs w:val="24"/>
          <w:lang w:val="en-US" w:eastAsia="zh-CN"/>
        </w:rPr>
        <w:t xml:space="preserve">29</w:t>
      </w:r>
      <w:bookmarkEnd w:id="321"/>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点</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0分（北京时间）</w:t>
      </w:r>
      <w:r>
        <w:rPr>
          <w:rFonts w:hint="eastAsia" w:ascii="宋体" w:hAnsi="宋体" w:eastAsia="宋体" w:cs="宋体"/>
          <w:bCs/>
          <w:color w:val="auto"/>
          <w:sz w:val="24"/>
          <w:szCs w:val="24"/>
        </w:rPr>
        <w:t xml:space="preserve">前提交投标文件</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一、项目基本情况</w:t>
      </w:r>
      <w:bookmarkEnd w:id="4"/>
      <w:r/>
      <w:bookmarkEnd w:id="5"/>
      <w:r/>
      <w:bookmarkEnd w:id="6"/>
      <w:r/>
      <w:bookmarkEnd w:id="7"/>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rPr>
        <w:t xml:space="preserve">1、项目编号：JSZC-321282-YZSX-G2024-000</w:t>
      </w:r>
      <w:r>
        <w:rPr>
          <w:rFonts w:hint="eastAsia" w:ascii="宋体" w:hAnsi="宋体" w:cs="宋体"/>
          <w:color w:val="auto"/>
          <w:lang w:val="en-US" w:eastAsia="zh-CN"/>
        </w:rPr>
        <w:t xml:space="preserve">7</w:t>
      </w:r>
      <w:r/>
    </w:p>
    <w:p>
      <w:pPr>
        <w:ind w:firstLine="420"/>
        <w:spacing w:line="440" w:lineRule="exact"/>
        <w:rPr>
          <w:rFonts w:hint="eastAsia" w:ascii="宋体" w:hAnsi="宋体" w:eastAsia="宋体" w:cs="宋体"/>
          <w:color w:val="auto"/>
          <w:lang w:val="en-GB" w:eastAsia="zh-CN"/>
        </w:rPr>
      </w:pPr>
      <w:r>
        <w:rPr>
          <w:rFonts w:hint="eastAsia" w:ascii="宋体" w:hAnsi="宋体" w:eastAsia="宋体" w:cs="宋体"/>
          <w:color w:val="auto"/>
        </w:rPr>
        <w:t xml:space="preserve">2、项目名称：</w:t>
      </w:r>
      <w:r>
        <w:rPr>
          <w:rFonts w:hint="eastAsia" w:ascii="宋体" w:hAnsi="宋体" w:eastAsia="宋体" w:cs="宋体"/>
          <w:color w:val="auto"/>
          <w:lang w:eastAsia="zh-CN"/>
        </w:rPr>
        <w:t xml:space="preserve">靖江智能化稻麦轮作农机装备与技术集成示范项目智能农机装备与设备平台采购</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3、采购方式：公开招标</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4、预算金额：</w:t>
      </w:r>
      <w:r>
        <w:rPr>
          <w:rFonts w:hint="eastAsia" w:ascii="宋体" w:hAnsi="宋体" w:eastAsia="宋体" w:cs="宋体"/>
          <w:color w:val="auto"/>
          <w:lang w:val="en-US" w:eastAsia="zh-CN"/>
        </w:rPr>
        <w:t xml:space="preserve">157</w:t>
      </w:r>
      <w:r>
        <w:rPr>
          <w:rFonts w:hint="eastAsia" w:ascii="宋体" w:hAnsi="宋体" w:eastAsia="宋体" w:cs="宋体"/>
          <w:color w:val="auto"/>
        </w:rPr>
        <w:t xml:space="preserve">万元</w:t>
      </w:r>
      <w:r/>
    </w:p>
    <w:p>
      <w:pPr>
        <w:ind w:firstLine="42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5、采购需求：智能轮式拖拉机2台、无人驾驶全喂入联合收割机1台、智能高速插秧机2台、水田埋茬起浆机1台、旋耕施肥播种机1台、高地隙植保机智能化改装1台和可视化监控与管理平台1套</w:t>
      </w:r>
      <w:r>
        <w:rPr>
          <w:rFonts w:hint="eastAsia" w:ascii="宋体" w:hAnsi="宋体" w:cs="宋体"/>
          <w:color w:val="auto"/>
          <w:lang w:eastAsia="zh-CN"/>
        </w:rPr>
        <w:t xml:space="preserve">，</w:t>
      </w:r>
      <w:r>
        <w:rPr>
          <w:rFonts w:hint="eastAsia" w:ascii="宋体" w:hAnsi="宋体" w:eastAsia="宋体" w:cs="宋体"/>
          <w:color w:val="auto"/>
          <w:lang w:eastAsia="zh-CN"/>
        </w:rPr>
        <w:t xml:space="preserve">具体详见项目需求。</w:t>
      </w:r>
      <w:r/>
    </w:p>
    <w:p>
      <w:pPr>
        <w:ind w:firstLine="420"/>
        <w:spacing w:line="440" w:lineRule="exact"/>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、服务期：签订合同之日起至项目实施结束，货物于签订合同之起30日历天内日交付。</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7、本项目不接受联合体投标。</w:t>
      </w:r>
      <w:r/>
    </w:p>
    <w:p>
      <w:pPr>
        <w:spacing w:line="440" w:lineRule="exact"/>
        <w:rPr>
          <w:rFonts w:hint="eastAsia" w:ascii="宋体" w:hAnsi="宋体" w:eastAsia="宋体" w:cs="宋体"/>
          <w:b/>
          <w:bCs/>
          <w:color w:val="auto"/>
          <w:sz w:val="22"/>
          <w:szCs w:val="22"/>
        </w:rPr>
      </w:pPr>
      <w:r/>
      <w:bookmarkStart w:id="8" w:name="_Toc28359090"/>
      <w:r/>
      <w:bookmarkStart w:id="9" w:name="_Toc28359013"/>
      <w:r/>
      <w:bookmarkStart w:id="10" w:name="_Toc35393799"/>
      <w:r/>
      <w:bookmarkStart w:id="11" w:name="_Toc35393630"/>
      <w:r>
        <w:rPr>
          <w:rFonts w:hint="eastAsia" w:ascii="宋体" w:hAnsi="宋体" w:eastAsia="宋体" w:cs="宋体"/>
          <w:b/>
          <w:bCs/>
          <w:color w:val="auto"/>
          <w:sz w:val="22"/>
          <w:szCs w:val="22"/>
        </w:rPr>
        <w:t xml:space="preserve">二、申请人的资格要求：</w:t>
      </w:r>
      <w:bookmarkEnd w:id="8"/>
      <w:r/>
      <w:bookmarkEnd w:id="9"/>
      <w:r/>
      <w:bookmarkEnd w:id="10"/>
      <w:r/>
      <w:bookmarkEnd w:id="11"/>
      <w:r/>
      <w:r/>
    </w:p>
    <w:p>
      <w:pPr>
        <w:ind w:firstLine="420"/>
        <w:spacing w:line="440" w:lineRule="exact"/>
        <w:rPr>
          <w:rFonts w:hint="eastAsia" w:ascii="宋体" w:hAnsi="宋体" w:eastAsia="宋体" w:cs="宋体"/>
          <w:color w:val="auto"/>
        </w:rPr>
      </w:pPr>
      <w:r/>
      <w:bookmarkStart w:id="12" w:name="_Toc35393792"/>
      <w:r/>
      <w:bookmarkEnd w:id="12"/>
      <w:r/>
      <w:bookmarkStart w:id="13" w:name="_Toc35393623"/>
      <w:r>
        <w:rPr>
          <w:rFonts w:hint="eastAsia" w:ascii="宋体" w:hAnsi="宋体" w:eastAsia="宋体" w:cs="宋体"/>
          <w:color w:val="auto"/>
        </w:rPr>
        <w:t xml:space="preserve">（一）满足《中华人民共和国政府采购法》第二十二条规定；</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（1）具有独立承担民事责任的能力；</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（2）具有良好的商业信誉和健全的财务会计制度；</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（3）具备履行合同所必需的设备和专业技术能力；</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（4）有依法缴纳税收和社会保障资金的良好记录；</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（5）参加政府采购活动近3年内（成立时间不足三年的，可以自成立时间起）在经营活动中没有重大违法记录的书面声明；</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（6）法律、行政法规规定的其他条件。</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（二）特定资格条件：经营范围包含农业机械、智能装备或信息技术服务。</w:t>
      </w:r>
      <w:r/>
    </w:p>
    <w:p>
      <w:pPr>
        <w:ind w:firstLine="420"/>
        <w:spacing w:line="440" w:lineRule="exact"/>
        <w:rPr>
          <w:rFonts w:hint="eastAsia" w:ascii="宋体" w:hAnsi="宋体" w:eastAsia="宋体" w:cs="宋体"/>
          <w:color w:val="auto"/>
        </w:rPr>
      </w:pPr>
      <w:r/>
      <w:bookmarkStart w:id="14" w:name="_Toc28359004"/>
      <w:r/>
      <w:bookmarkEnd w:id="14"/>
      <w:r>
        <w:rPr>
          <w:rFonts w:hint="eastAsia" w:ascii="宋体" w:hAnsi="宋体" w:eastAsia="宋体" w:cs="宋体"/>
          <w:color w:val="auto"/>
        </w:rPr>
        <w:t xml:space="preserve">（三）落实政府采购政策需满足的资格要求：根据苏财购[2021]34号文关于“转发财政部 工业和信息化部关于印发《政府采购促进中小企业发展管理办法》的通知”要求，本项目专门面向中小企业采购</w:t>
      </w:r>
      <w:r>
        <w:rPr>
          <w:rFonts w:hint="eastAsia" w:ascii="宋体" w:hAnsi="宋体" w:cs="宋体"/>
          <w:color w:val="auto"/>
          <w:lang w:eastAsia="zh-CN"/>
        </w:rPr>
        <w:t xml:space="preserve">，</w:t>
      </w:r>
      <w:r>
        <w:rPr>
          <w:rFonts w:hint="eastAsia" w:ascii="宋体" w:hAnsi="宋体" w:eastAsia="宋体" w:cs="宋体"/>
          <w:color w:val="auto"/>
        </w:rPr>
        <w:t xml:space="preserve">供应商应为中小微企业、监狱企业、残疾人福利性单位之一；注：中小企业划分标准参照：工信部联企业[2011]300号文件规定。</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严格执行政府采购关于支持</w:t>
      </w:r>
      <w:r>
        <w:rPr>
          <w:rFonts w:hint="eastAsia" w:ascii="宋体" w:hAnsi="宋体" w:eastAsia="宋体" w:cs="宋体"/>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供应商对于投标产品的包装应按照“财办库〔2020〕123号《关于印发《商品包装政府采购需求标准（试行）》、《快递包装政府采购需求标准（试行）》的通知》”执行。</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0"/>
        <w:spacing w:line="440" w:lineRule="exact"/>
        <w:rPr>
          <w:rFonts w:hint="eastAsia" w:ascii="Arial" w:hAnsi="Arial" w:eastAsia="宋体" w:cs="Arial"/>
          <w:color w:val="auto"/>
          <w:lang w:eastAsia="zh-CN"/>
        </w:rPr>
      </w:pPr>
      <w:r>
        <w:rPr>
          <w:rFonts w:hint="eastAsia" w:ascii="Arial" w:hAnsi="Arial" w:cs="Arial"/>
          <w:color w:val="auto"/>
        </w:rPr>
        <w:t xml:space="preserve">项目所属行业：</w:t>
      </w:r>
      <w:r>
        <w:rPr>
          <w:rFonts w:hint="eastAsia" w:ascii="宋体" w:hAnsi="宋体" w:cs="宋体"/>
          <w:color w:val="auto"/>
          <w:sz w:val="22"/>
          <w:u w:val="single"/>
          <w:lang w:eastAsia="zh-CN"/>
        </w:rPr>
        <w:t xml:space="preserve">工业</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（四）至提交响应文件截止时间止，投标人有下列情形之一的，不得参加本项目政府采购活动：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1、单位负责人为同一人或者存在直接控股、管理关系的不同投标人；</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2、被各级财政主管部门取消采购项目所在地的参加政府采购资格且处于有效期内；</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3、被责令停业，暂扣或吊销营业执照，或吊销资质证书；</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4、进入清算程序，或被宣告破产，或其他丧失履约能力的情形；</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5、凡为采购项目提供整体设计、规范编制或者项目管理、监理、检测等服务的供应商，不得再参加本项目的采购活动。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6、在中国政府采购网(www.ccgp.gov.cn)中被列入《政府采购严重违法失信行为记录名单》；</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7、在“信用中国”网站（http://www.creditchina.gov.cn/）中被列入失信被执行人名单和重大税收违法案件当事人名单；</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8、法律、法规规定的其他情形。</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（五）本项目不接受联合体投标。</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三、获取招标文件</w:t>
      </w:r>
      <w:bookmarkEnd w:id="13"/>
      <w:r/>
      <w:r/>
    </w:p>
    <w:p>
      <w:pPr>
        <w:ind w:firstLine="210"/>
        <w:spacing w:line="440" w:lineRule="exact"/>
        <w:rPr>
          <w:rFonts w:hint="eastAsia" w:ascii="宋体" w:hAnsi="宋体" w:eastAsia="宋体" w:cs="宋体"/>
          <w:color w:val="auto"/>
        </w:rPr>
      </w:pPr>
      <w:r/>
      <w:bookmarkStart w:id="15" w:name="_Toc35393632"/>
      <w:r/>
      <w:bookmarkStart w:id="16" w:name="_Toc35393801"/>
      <w:r/>
      <w:bookmarkStart w:id="17" w:name="_Toc28359015"/>
      <w:r/>
      <w:bookmarkStart w:id="18" w:name="_Toc28359092"/>
      <w:r>
        <w:rPr>
          <w:rFonts w:hint="eastAsia" w:ascii="宋体" w:hAnsi="宋体" w:eastAsia="宋体" w:cs="宋体"/>
          <w:color w:val="auto"/>
        </w:rPr>
        <w:t xml:space="preserve">1、时间：2024年</w:t>
      </w: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日起至2024年 </w:t>
      </w: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月</w:t>
      </w:r>
      <w:r>
        <w:rPr>
          <w:rFonts w:hint="eastAsia" w:ascii="宋体" w:hAnsi="宋体" w:eastAsia="宋体" w:cs="宋体"/>
          <w:color w:val="auto"/>
          <w:lang w:val="en-US" w:eastAsia="zh-CN"/>
        </w:rPr>
        <w:t xml:space="preserve">1</w:t>
      </w:r>
      <w:r>
        <w:rPr>
          <w:rFonts w:hint="eastAsia" w:ascii="宋体" w:hAnsi="宋体" w:cs="宋体"/>
          <w:color w:val="auto"/>
          <w:lang w:val="en-US" w:eastAsia="zh-CN"/>
        </w:rPr>
        <w:t xml:space="preserve">4</w:t>
      </w:r>
      <w:r>
        <w:rPr>
          <w:rFonts w:hint="eastAsia" w:ascii="宋体" w:hAnsi="宋体" w:eastAsia="宋体" w:cs="宋体"/>
          <w:color w:val="auto"/>
        </w:rPr>
        <w:t xml:space="preserve">日止，网上报名和下载招标文件。</w:t>
      </w:r>
      <w:r/>
    </w:p>
    <w:p>
      <w:pPr>
        <w:ind w:firstLine="210"/>
        <w:spacing w:line="440" w:lineRule="exact"/>
        <w:rPr>
          <w:rFonts w:hint="eastAsia" w:ascii="宋体" w:hAnsi="宋体" w:eastAsia="宋体" w:cs="宋体"/>
          <w:color w:val="auto"/>
        </w:rPr>
      </w:pPr>
      <w:r>
        <w:rPr>
          <w:rFonts w:hint="eastAsia" w:ascii="宋体" w:hAnsi="宋体" w:eastAsia="宋体" w:cs="宋体"/>
          <w:color w:val="auto"/>
        </w:rPr>
        <w:t xml:space="preserve">2、方式：本项目采用网上注册登记方式。</w:t>
      </w:r>
      <w:r/>
    </w:p>
    <w:p>
      <w:pPr>
        <w:pStyle w:val="1026"/>
        <w:ind w:left="0" w:firstLine="210"/>
        <w:spacing w:line="440" w:lineRule="exact"/>
        <w:rPr>
          <w:rFonts w:hint="eastAsia" w:ascii="宋体" w:hAnsi="宋体" w:eastAsia="宋体" w:cs="宋体"/>
          <w:color w:val="auto"/>
        </w:rPr>
      </w:pPr>
      <w:r>
        <w:rPr>
          <w:rFonts w:hint="eastAsia" w:ascii="宋体" w:hAnsi="宋体" w:eastAsia="宋体" w:cs="宋体"/>
          <w:color w:val="auto"/>
        </w:rPr>
        <w:t xml:space="preserve">3、潜在投标供应商访问电子招标投标交易平台的网络地址和方法：</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（2）潜在投标供应商访问“苏采云”系统的网络地址和方法：“苏采云”系统的网址：http://jszfcg.jsczt.cn/，点击“苏采云”进入系统。</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（4）招标代理机构（采购代理机构）将数据电文形式的采购文件加载至“苏采云”系统，供潜在投标供应商下载或者查阅。</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注意事项：</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本项目采用网上注册登记方式。</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1.潜在投标人访问电子招标投标交易平台的网络地址和方法：</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（1）登录http://jszfcg.jsczt.cn/点击“苏采云”进入系统。</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（2）根据省财政厅《关</w:t>
      </w:r>
      <w:r>
        <w:rPr>
          <w:rFonts w:hint="eastAsia" w:ascii="宋体" w:hAnsi="宋体" w:eastAsia="宋体" w:cs="宋体"/>
          <w:color w:val="auto"/>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2.代理机构将数据电文形式的采购文件加载至电子招标投标交易平台，供潜在投标人下载或者查阅。</w:t>
      </w:r>
      <w:r/>
    </w:p>
    <w:p>
      <w:pPr>
        <w:pStyle w:val="1026"/>
        <w:spacing w:line="440" w:lineRule="exact"/>
        <w:rPr>
          <w:rFonts w:hint="eastAsia" w:ascii="宋体" w:hAnsi="宋体" w:eastAsia="宋体" w:cs="宋体"/>
          <w:color w:val="auto"/>
        </w:rPr>
      </w:pPr>
      <w:r>
        <w:rPr>
          <w:rFonts w:hint="eastAsia" w:ascii="宋体" w:hAnsi="宋体" w:eastAsia="宋体" w:cs="宋体"/>
          <w:color w:val="auto"/>
        </w:rPr>
        <w:t xml:space="preserve">3.如潜在投标人未按上述要求操作，将自行承担所产生的风险。如潜在供应商未按上述要求操作，将自行承担所产生的风险。</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四、响应文件提交</w:t>
      </w:r>
      <w:bookmarkEnd w:id="15"/>
      <w:r/>
      <w:bookmarkEnd w:id="16"/>
      <w:r/>
      <w:bookmarkEnd w:id="17"/>
      <w:r/>
      <w:bookmarkEnd w:id="18"/>
      <w:r/>
      <w:r/>
    </w:p>
    <w:p>
      <w:pPr>
        <w:pStyle w:val="1033"/>
        <w:ind w:firstLine="420"/>
        <w:spacing w:line="440" w:lineRule="exact"/>
        <w:rPr>
          <w:rFonts w:hint="eastAsia" w:ascii="宋体" w:hAnsi="宋体" w:eastAsia="宋体" w:cs="宋体"/>
          <w:color w:val="auto"/>
          <w:sz w:val="22"/>
          <w:szCs w:val="22"/>
        </w:rPr>
      </w:pPr>
      <w:r/>
      <w:bookmarkStart w:id="19" w:name="_Toc35393794"/>
      <w:r/>
      <w:bookmarkEnd w:id="19"/>
      <w:r/>
      <w:bookmarkStart w:id="20" w:name="_Toc28359007"/>
      <w:r/>
      <w:bookmarkEnd w:id="20"/>
      <w:r/>
      <w:bookmarkStart w:id="21" w:name="_Toc28359084"/>
      <w:r/>
      <w:bookmarkEnd w:id="21"/>
      <w:r/>
      <w:bookmarkStart w:id="22" w:name="_Toc35393625"/>
      <w:r>
        <w:rPr>
          <w:rFonts w:hint="eastAsia" w:ascii="宋体" w:hAnsi="宋体" w:eastAsia="宋体" w:cs="宋体"/>
          <w:color w:val="auto"/>
        </w:rPr>
        <w:t xml:space="preserve">1、时间：2024年</w:t>
      </w:r>
      <w:r>
        <w:rPr>
          <w:rFonts w:hint="eastAsia" w:ascii="宋体" w:hAnsi="宋体" w:eastAsia="宋体" w:cs="宋体"/>
          <w:color w:val="auto"/>
          <w:lang w:val="en-US" w:eastAsia="zh-CN"/>
        </w:rPr>
        <w:t xml:space="preserve">10</w:t>
      </w:r>
      <w:r>
        <w:rPr>
          <w:rFonts w:hint="eastAsia" w:ascii="宋体" w:hAnsi="宋体" w:eastAsia="宋体" w:cs="宋体"/>
          <w:color w:val="auto"/>
        </w:rPr>
        <w:t xml:space="preserve">月</w:t>
      </w:r>
      <w:r>
        <w:rPr>
          <w:rFonts w:hint="eastAsia" w:hAnsi="宋体" w:cs="宋体"/>
          <w:color w:val="auto"/>
          <w:lang w:val="en-US" w:eastAsia="zh-CN"/>
        </w:rPr>
        <w:t xml:space="preserve">29</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14</w:t>
      </w:r>
      <w:r>
        <w:rPr>
          <w:rFonts w:hint="eastAsia" w:ascii="宋体" w:hAnsi="宋体" w:eastAsia="宋体" w:cs="宋体"/>
          <w:color w:val="auto"/>
        </w:rPr>
        <w:t xml:space="preserve">点</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0分（北京时间）；</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2、地点：“苏采云”系统(网址: http://jszfcg.jsczt.cn/) “开标大厅，点击“苏采云”进入系统“开标大厅”；</w:t>
      </w:r>
      <w:r/>
    </w:p>
    <w:p>
      <w:pPr>
        <w:pStyle w:val="1033"/>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五、公告期限</w:t>
      </w:r>
      <w:bookmarkEnd w:id="22"/>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自本公告发布之日起5个工作日。</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六、其他补充事宜</w:t>
      </w:r>
      <w:r/>
    </w:p>
    <w:p>
      <w:pPr>
        <w:ind w:firstLine="420"/>
        <w:spacing w:line="440" w:lineRule="exact"/>
        <w:rPr>
          <w:rFonts w:hint="eastAsia" w:ascii="宋体" w:hAnsi="宋体" w:eastAsia="宋体" w:cs="宋体"/>
          <w:i/>
          <w:iCs/>
          <w:color w:val="auto"/>
          <w:u w:val="single"/>
        </w:rPr>
      </w:pPr>
      <w:r>
        <w:rPr>
          <w:rFonts w:hint="eastAsia" w:ascii="宋体" w:hAnsi="宋体" w:eastAsia="宋体" w:cs="宋体"/>
          <w:i/>
          <w:iCs/>
          <w:color w:val="auto"/>
          <w:u w:val="single"/>
        </w:rPr>
        <w:t xml:space="preserve">本招标文件中斜体下划线部分为实质性响应条件，为必须遵守的条件，如不满足将作无效投标文件处理。</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如在制作电子投标文件中有任何疑问，请拨打电子化政府采购技术支持电话：0523-86897512。</w:t>
      </w:r>
      <w:r/>
    </w:p>
    <w:p>
      <w:pPr>
        <w:spacing w:line="440" w:lineRule="exact"/>
        <w:rPr>
          <w:rFonts w:hint="eastAsia" w:ascii="宋体" w:hAnsi="宋体" w:eastAsia="宋体" w:cs="宋体"/>
          <w:b/>
          <w:bCs/>
          <w:color w:val="auto"/>
          <w:sz w:val="22"/>
          <w:szCs w:val="22"/>
        </w:rPr>
      </w:pPr>
      <w:r/>
      <w:bookmarkStart w:id="23" w:name="_Toc35393795"/>
      <w:r/>
      <w:bookmarkEnd w:id="23"/>
      <w:r/>
      <w:bookmarkStart w:id="24" w:name="_Toc28359085"/>
      <w:r>
        <w:rPr>
          <w:rFonts w:hint="eastAsia" w:ascii="宋体" w:hAnsi="宋体" w:eastAsia="宋体" w:cs="宋体"/>
          <w:b/>
          <w:bCs/>
          <w:color w:val="auto"/>
          <w:sz w:val="22"/>
          <w:szCs w:val="22"/>
        </w:rPr>
        <w:t xml:space="preserve">七、对本次招标提出询问，请按以下方式联系。</w:t>
      </w:r>
      <w:bookmarkEnd w:id="24"/>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1.采购人信息</w:t>
      </w:r>
      <w:r/>
    </w:p>
    <w:p>
      <w:pPr>
        <w:ind w:firstLine="420"/>
        <w:spacing w:line="440" w:lineRule="exact"/>
        <w:rPr>
          <w:rFonts w:hint="default" w:ascii="宋体" w:hAnsi="宋体" w:eastAsia="宋体" w:cs="宋体"/>
          <w:color w:val="auto"/>
          <w:lang w:val="en-US" w:eastAsia="zh-CN"/>
        </w:rPr>
      </w:pPr>
      <w:r>
        <w:rPr>
          <w:rFonts w:hint="eastAsia" w:ascii="宋体" w:hAnsi="宋体" w:eastAsia="宋体" w:cs="宋体"/>
          <w:color w:val="auto"/>
          <w:lang w:val="zh-CN"/>
        </w:rPr>
        <w:t xml:space="preserve">名    称：</w:t>
      </w:r>
      <w:r>
        <w:rPr>
          <w:rFonts w:hint="eastAsia" w:ascii="宋体" w:hAnsi="宋体" w:cs="宋体"/>
          <w:color w:val="auto"/>
          <w:lang w:val="zh-CN"/>
        </w:rPr>
        <w:t xml:space="preserve">靖江市农业农村局</w:t>
      </w:r>
      <w:r/>
    </w:p>
    <w:p>
      <w:pPr>
        <w:ind w:firstLine="420"/>
        <w:spacing w:line="440" w:lineRule="exact"/>
        <w:rPr>
          <w:rFonts w:hint="eastAsia" w:ascii="宋体" w:hAnsi="宋体" w:eastAsia="宋体" w:cs="宋体"/>
          <w:color w:val="auto"/>
          <w:lang w:val="zh-CN"/>
        </w:rPr>
      </w:pPr>
      <w:r>
        <w:rPr>
          <w:rFonts w:hint="eastAsia" w:ascii="宋体" w:hAnsi="宋体" w:eastAsia="宋体" w:cs="宋体"/>
          <w:color w:val="auto"/>
          <w:lang w:val="zh-CN"/>
        </w:rPr>
        <w:t xml:space="preserve">联 系 人：李女士</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lang w:val="zh-CN"/>
        </w:rPr>
        <w:t xml:space="preserve">联系电话：</w:t>
      </w:r>
      <w:r>
        <w:rPr>
          <w:rFonts w:hint="eastAsia" w:ascii="宋体" w:hAnsi="宋体" w:eastAsia="宋体" w:cs="宋体"/>
          <w:color w:val="auto"/>
          <w:lang w:val="en-US" w:eastAsia="zh-CN"/>
        </w:rPr>
        <w:t xml:space="preserve">/</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2.采购代理机构信息</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名     称：扬州三信建设工程有限公司</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地     址：扬州市邗江区邗沟路40号</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联系方式：15952713189</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 系 人：杨女士</w:t>
      </w:r>
      <w:r/>
    </w:p>
    <w:p>
      <w:pPr>
        <w:pStyle w:val="1006"/>
        <w:spacing w:line="240" w:lineRule="auto"/>
        <w:rPr>
          <w:rFonts w:hint="eastAsia" w:ascii="宋体" w:hAnsi="宋体" w:eastAsia="宋体" w:cs="宋体"/>
          <w:color w:val="auto"/>
        </w:rPr>
      </w:pPr>
      <w:r>
        <w:rPr>
          <w:rFonts w:hint="eastAsia" w:ascii="宋体" w:hAnsi="宋体" w:eastAsia="宋体" w:cs="宋体"/>
          <w:b w:val="0"/>
          <w:bCs w:val="0"/>
          <w:color w:val="auto"/>
          <w:sz w:val="22"/>
          <w:szCs w:val="22"/>
        </w:rPr>
        <w:br w:type="page" w:clear="all"/>
      </w:r>
      <w:bookmarkEnd w:id="2"/>
      <w:r/>
      <w:bookmarkStart w:id="25" w:name="_Toc5654"/>
      <w:r/>
      <w:bookmarkStart w:id="26" w:name="_Toc30798"/>
      <w:r>
        <w:rPr>
          <w:rFonts w:hint="eastAsia" w:ascii="宋体" w:hAnsi="宋体" w:eastAsia="宋体" w:cs="宋体"/>
          <w:color w:val="auto"/>
        </w:rPr>
        <w:t xml:space="preserve">第二章 供应商须知</w:t>
      </w:r>
      <w:bookmarkEnd w:id="3"/>
      <w:r/>
      <w:bookmarkEnd w:id="25"/>
      <w:r/>
      <w:bookmarkEnd w:id="26"/>
      <w:r/>
      <w:r/>
    </w:p>
    <w:p>
      <w:pPr>
        <w:pStyle w:val="1006"/>
        <w:spacing w:before="0" w:after="0"/>
        <w:rPr>
          <w:rFonts w:hint="eastAsia" w:ascii="宋体" w:hAnsi="宋体" w:eastAsia="宋体" w:cs="宋体"/>
          <w:color w:val="auto"/>
        </w:rPr>
      </w:pPr>
      <w:r/>
      <w:bookmarkStart w:id="27" w:name="_Toc31687"/>
      <w:r/>
      <w:bookmarkStart w:id="28" w:name="_Toc16155"/>
      <w:r/>
      <w:bookmarkStart w:id="29" w:name="_Toc3303"/>
      <w:r/>
      <w:bookmarkStart w:id="30" w:name="_Toc89569838"/>
      <w:r/>
      <w:bookmarkStart w:id="31" w:name="_Toc520356143"/>
      <w:r>
        <w:rPr>
          <w:rFonts w:hint="eastAsia" w:ascii="宋体" w:hAnsi="宋体" w:eastAsia="宋体" w:cs="宋体"/>
          <w:color w:val="auto"/>
        </w:rPr>
        <w:t xml:space="preserve">供应商须知前附表</w:t>
      </w:r>
      <w:bookmarkEnd w:id="27"/>
      <w:r/>
      <w:bookmarkEnd w:id="28"/>
      <w:r/>
      <w:bookmarkEnd w:id="29"/>
      <w:r/>
      <w:r/>
    </w:p>
    <w:p>
      <w:pPr>
        <w:rPr>
          <w:rFonts w:hint="eastAsia" w:ascii="宋体" w:hAnsi="宋体" w:eastAsia="宋体" w:cs="宋体"/>
          <w:color w:val="auto"/>
        </w:rPr>
      </w:pPr>
      <w:r>
        <w:rPr>
          <w:rFonts w:hint="eastAsia" w:ascii="宋体" w:hAnsi="宋体" w:eastAsia="宋体" w:cs="宋体"/>
          <w:color w:val="auto"/>
        </w:rPr>
      </w:r>
      <w:r/>
    </w:p>
    <w:tbl>
      <w:tblPr>
        <w:tblStyle w:val="821"/>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eastAsia="宋体" w:cs="宋体"/>
                <w:b/>
                <w:bCs/>
                <w:color w:val="auto"/>
                <w:sz w:val="22"/>
              </w:rPr>
            </w:pPr>
            <w:r/>
            <w:bookmarkStart w:id="32" w:name="_Toc32443"/>
            <w:r>
              <w:rPr>
                <w:rFonts w:hint="eastAsia" w:ascii="宋体" w:hAnsi="宋体" w:eastAsia="宋体" w:cs="宋体"/>
                <w:b/>
                <w:bCs/>
                <w:color w:val="auto"/>
                <w:sz w:val="22"/>
              </w:rPr>
              <w:t xml:space="preserve">条款号</w:t>
            </w:r>
            <w:r/>
          </w:p>
        </w:tc>
        <w:tc>
          <w:tcPr>
            <w:tcW w:w="2316" w:type="dxa"/>
            <w:vAlign w:val="center"/>
            <w:textDirection w:val="lrTb"/>
            <w:noWrap/>
          </w:tcPr>
          <w:p>
            <w:pPr>
              <w:jc w:val="center"/>
              <w:spacing w:line="360" w:lineRule="auto"/>
              <w:rPr>
                <w:rFonts w:hint="eastAsia" w:ascii="宋体" w:hAnsi="宋体" w:eastAsia="宋体" w:cs="宋体"/>
                <w:b/>
                <w:bCs/>
                <w:color w:val="auto"/>
                <w:sz w:val="22"/>
              </w:rPr>
            </w:pPr>
            <w:r>
              <w:rPr>
                <w:rFonts w:hint="eastAsia" w:ascii="宋体" w:hAnsi="宋体" w:eastAsia="宋体" w:cs="宋体"/>
                <w:b/>
                <w:bCs/>
                <w:color w:val="auto"/>
                <w:sz w:val="22"/>
              </w:rPr>
              <w:t xml:space="preserve">条款名称</w:t>
            </w:r>
            <w:r/>
          </w:p>
        </w:tc>
        <w:tc>
          <w:tcPr>
            <w:tcW w:w="5963" w:type="dxa"/>
            <w:vAlign w:val="center"/>
            <w:textDirection w:val="lrTb"/>
            <w:noWrap/>
          </w:tcPr>
          <w:p>
            <w:pPr>
              <w:jc w:val="center"/>
              <w:spacing w:line="360" w:lineRule="auto"/>
              <w:rPr>
                <w:rFonts w:hint="eastAsia" w:ascii="宋体" w:hAnsi="宋体" w:eastAsia="宋体" w:cs="宋体"/>
                <w:b/>
                <w:bCs/>
                <w:color w:val="auto"/>
                <w:sz w:val="22"/>
              </w:rPr>
            </w:pPr>
            <w:r>
              <w:rPr>
                <w:rFonts w:hint="eastAsia" w:ascii="宋体" w:hAnsi="宋体" w:eastAsia="宋体" w:cs="宋体"/>
                <w:b/>
                <w:bCs/>
                <w:color w:val="auto"/>
                <w:sz w:val="22"/>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采购人</w:t>
            </w:r>
            <w:r/>
          </w:p>
        </w:tc>
        <w:tc>
          <w:tcPr>
            <w:tcW w:w="5963" w:type="dxa"/>
            <w:vAlign w:val="center"/>
            <w:textDirection w:val="lrTb"/>
            <w:noWrap/>
          </w:tcPr>
          <w:p>
            <w:pPr>
              <w:spacing w:line="360" w:lineRule="auto"/>
              <w:rPr>
                <w:rFonts w:hint="eastAsia" w:ascii="宋体" w:hAnsi="宋体" w:cs="宋体"/>
                <w:color w:val="auto"/>
                <w:sz w:val="22"/>
                <w:lang w:val="en-US" w:eastAsia="zh-CN"/>
              </w:rPr>
            </w:pPr>
            <w:r>
              <w:rPr>
                <w:rFonts w:hint="eastAsia" w:ascii="宋体" w:hAnsi="宋体" w:eastAsia="宋体" w:cs="宋体"/>
                <w:color w:val="auto"/>
                <w:sz w:val="22"/>
              </w:rPr>
              <w:t xml:space="preserve">采购人：</w:t>
            </w:r>
            <w:r>
              <w:rPr>
                <w:rFonts w:hint="eastAsia" w:ascii="宋体" w:hAnsi="宋体" w:cs="宋体"/>
                <w:color w:val="auto"/>
                <w:sz w:val="22"/>
                <w:lang w:eastAsia="zh-CN"/>
              </w:rPr>
              <w:t xml:space="preserve">靖江市农业农村局</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地  址：</w:t>
            </w:r>
            <w:r>
              <w:rPr>
                <w:rFonts w:hint="eastAsia" w:ascii="宋体" w:hAnsi="宋体" w:eastAsia="宋体" w:cs="宋体"/>
                <w:color w:val="auto"/>
                <w:sz w:val="22"/>
                <w:lang w:val="zh-CN"/>
              </w:rPr>
              <w:t xml:space="preserve">靖江市人民北路103号</w:t>
            </w:r>
            <w:r/>
          </w:p>
          <w:p>
            <w:pPr>
              <w:spacing w:line="360" w:lineRule="auto"/>
              <w:rPr>
                <w:rFonts w:hint="eastAsia" w:ascii="宋体" w:hAnsi="宋体" w:eastAsia="宋体" w:cs="宋体"/>
                <w:color w:val="auto"/>
                <w:sz w:val="22"/>
                <w:lang w:eastAsia="zh-CN"/>
              </w:rPr>
            </w:pPr>
            <w:r>
              <w:rPr>
                <w:rFonts w:hint="eastAsia" w:ascii="宋体" w:hAnsi="宋体" w:eastAsia="宋体" w:cs="宋体"/>
                <w:color w:val="auto"/>
                <w:sz w:val="22"/>
              </w:rPr>
              <w:t xml:space="preserve">联系人：李</w:t>
            </w:r>
            <w:r>
              <w:rPr>
                <w:rFonts w:hint="eastAsia" w:ascii="宋体" w:hAnsi="宋体" w:eastAsia="宋体" w:cs="宋体"/>
                <w:color w:val="auto"/>
                <w:sz w:val="22"/>
                <w:lang w:eastAsia="zh-CN"/>
              </w:rPr>
              <w:t xml:space="preserve">女士</w:t>
            </w:r>
            <w:r/>
          </w:p>
          <w:p>
            <w:pPr>
              <w:spacing w:line="360" w:lineRule="auto"/>
              <w:rPr>
                <w:rFonts w:hint="eastAsia" w:ascii="宋体" w:hAnsi="宋体" w:eastAsia="宋体" w:cs="宋体"/>
                <w:color w:val="auto"/>
                <w:sz w:val="22"/>
                <w:lang w:eastAsia="zh-CN"/>
              </w:rPr>
            </w:pPr>
            <w:r>
              <w:rPr>
                <w:rFonts w:hint="eastAsia" w:ascii="宋体" w:hAnsi="宋体" w:eastAsia="宋体" w:cs="宋体"/>
                <w:color w:val="auto"/>
                <w:sz w:val="22"/>
              </w:rPr>
              <w:t xml:space="preserve">电  话：</w:t>
            </w:r>
            <w:r>
              <w:rPr>
                <w:rFonts w:hint="eastAsia" w:ascii="宋体" w:hAnsi="宋体" w:eastAsia="宋体" w:cs="宋体"/>
                <w:color w:val="auto"/>
                <w:sz w:val="22"/>
                <w:lang w:val="en-US" w:eastAsia="zh-CN"/>
              </w:rPr>
              <w:t xml:space="preserve">/</w:t>
            </w:r>
            <w:r/>
          </w:p>
        </w:tc>
      </w:tr>
      <w:tr>
        <w:trPr>
          <w:jc w:val="center"/>
          <w:trHeight w:val="92"/>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1.1.3</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采购代理机构</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名称：扬州三信建设工程有限公司</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地址：扬州市邗江区邗沟路40号</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联系方式：15952713189</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联 系 人：杨女士</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1.1.4</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项目名称</w:t>
            </w:r>
            <w:r/>
          </w:p>
        </w:tc>
        <w:tc>
          <w:tcPr>
            <w:tcW w:w="5963" w:type="dxa"/>
            <w:vAlign w:val="center"/>
            <w:textDirection w:val="lrTb"/>
            <w:noWrap/>
          </w:tcPr>
          <w:p>
            <w:pPr>
              <w:spacing w:line="360" w:lineRule="auto"/>
              <w:rPr>
                <w:rFonts w:hint="eastAsia" w:ascii="宋体" w:hAnsi="宋体" w:eastAsia="宋体" w:cs="宋体"/>
                <w:color w:val="auto"/>
                <w:sz w:val="22"/>
                <w:lang w:eastAsia="zh-CN"/>
              </w:rPr>
            </w:pPr>
            <w:r>
              <w:rPr>
                <w:rFonts w:hint="eastAsia" w:ascii="宋体" w:hAnsi="宋体" w:eastAsia="宋体" w:cs="宋体"/>
                <w:color w:val="auto"/>
                <w:sz w:val="22"/>
                <w:lang w:eastAsia="zh-CN"/>
              </w:rPr>
              <w:t xml:space="preserve">“靖江智能化稻麦轮作农机装备与技术集成示范”项目智能农机装备与设备平台采购</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1.1.5</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项目编号</w:t>
            </w:r>
            <w:r/>
          </w:p>
        </w:tc>
        <w:tc>
          <w:tcPr>
            <w:tcW w:w="5963" w:type="dxa"/>
            <w:vAlign w:val="center"/>
            <w:textDirection w:val="lrTb"/>
            <w:noWrap/>
          </w:tcPr>
          <w:tbl>
            <w:tblPr>
              <w:tblStyle w:val="821"/>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9290"/>
            </w:tblGrid>
            <w:tr>
              <w:trPr/>
              <w:tc>
                <w:tcPr>
                  <w:shd w:val="clear" w:color="auto" w:fill="ffffff"/>
                  <w:tcMar>
                    <w:left w:w="360" w:type="dxa"/>
                    <w:top w:w="240" w:type="dxa"/>
                    <w:right w:w="360" w:type="dxa"/>
                    <w:bottom w:w="240" w:type="dxa"/>
                  </w:tcMar>
                  <w:tcW w:w="19290" w:type="dxa"/>
                  <w:vAlign w:val="center"/>
                  <w:textDirection w:val="lrTb"/>
                  <w:noWrap w:val="false"/>
                </w:tcPr>
                <w:p>
                  <w:pPr>
                    <w:jc w:val="left"/>
                    <w:keepLines w:val="0"/>
                    <w:keepNext w:val="0"/>
                    <w:spacing w:line="24" w:lineRule="atLeast"/>
                    <w:widowControl/>
                    <w:rPr>
                      <w:rFonts w:hint="default" w:ascii="宋体" w:hAnsi="宋体" w:eastAsia="宋体" w:cs="宋体"/>
                      <w:i w:val="0"/>
                      <w:iCs w:val="0"/>
                      <w:caps w:val="0"/>
                      <w:color w:val="auto"/>
                      <w:spacing w:val="0"/>
                      <w:sz w:val="21"/>
                      <w:szCs w:val="21"/>
                      <w:lang w:val="en-US"/>
                    </w:rPr>
                    <w:suppressLineNumbers w:val="0"/>
                  </w:pPr>
                  <w:r>
                    <w:rPr>
                      <w:rFonts w:hint="eastAsia" w:ascii="宋体" w:hAnsi="宋体" w:eastAsia="宋体" w:cs="宋体"/>
                      <w:i w:val="0"/>
                      <w:iCs w:val="0"/>
                      <w:caps w:val="0"/>
                      <w:color w:val="auto"/>
                      <w:spacing w:val="0"/>
                      <w:sz w:val="21"/>
                      <w:szCs w:val="21"/>
                      <w:lang w:val="en-US" w:eastAsia="zh-CN" w:bidi="ar"/>
                    </w:rPr>
                    <w:t xml:space="preserve">JSZC-321282-YZSX-G2024-</w:t>
                  </w:r>
                  <w:r>
                    <w:rPr>
                      <w:rFonts w:hint="eastAsia" w:ascii="宋体" w:hAnsi="宋体" w:cs="宋体"/>
                      <w:i w:val="0"/>
                      <w:iCs w:val="0"/>
                      <w:caps w:val="0"/>
                      <w:color w:val="auto"/>
                      <w:spacing w:val="0"/>
                      <w:sz w:val="21"/>
                      <w:szCs w:val="21"/>
                      <w:lang w:val="en-US" w:eastAsia="zh-CN" w:bidi="ar"/>
                    </w:rPr>
                    <w:t xml:space="preserve">0007</w:t>
                  </w:r>
                  <w:r/>
                </w:p>
              </w:tc>
            </w:tr>
          </w:tbl>
          <w:p>
            <w:pPr>
              <w:spacing w:line="360" w:lineRule="auto"/>
              <w:rPr>
                <w:rFonts w:hint="eastAsia" w:ascii="宋体" w:hAnsi="宋体" w:eastAsia="宋体" w:cs="宋体"/>
                <w:color w:val="auto"/>
                <w:sz w:val="22"/>
              </w:rPr>
            </w:pPr>
            <w:r>
              <w:rPr>
                <w:rFonts w:hint="eastAsia" w:ascii="宋体" w:hAnsi="宋体" w:eastAsia="宋体" w:cs="宋体"/>
                <w:color w:val="auto"/>
                <w:sz w:val="22"/>
              </w:rPr>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1.1.6</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采购预算</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b/>
                <w:bCs/>
                <w:color w:val="auto"/>
                <w:sz w:val="22"/>
                <w:u w:val="single"/>
              </w:rPr>
              <w:t xml:space="preserve">1</w:t>
            </w:r>
            <w:r>
              <w:rPr>
                <w:rFonts w:hint="eastAsia" w:ascii="宋体" w:hAnsi="宋体" w:eastAsia="宋体" w:cs="宋体"/>
                <w:b/>
                <w:bCs/>
                <w:color w:val="auto"/>
                <w:sz w:val="22"/>
                <w:u w:val="single"/>
                <w:lang w:val="en-US" w:eastAsia="zh-CN"/>
              </w:rPr>
              <w:t xml:space="preserve">57</w:t>
            </w:r>
            <w:r>
              <w:rPr>
                <w:rFonts w:hint="eastAsia" w:ascii="宋体" w:hAnsi="宋体" w:eastAsia="宋体" w:cs="宋体"/>
                <w:b/>
                <w:bCs/>
                <w:color w:val="auto"/>
                <w:sz w:val="22"/>
                <w:u w:val="single"/>
              </w:rPr>
              <w:t xml:space="preserve">万元</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1.1.7</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最高限价</w:t>
            </w:r>
            <w:r/>
          </w:p>
        </w:tc>
        <w:tc>
          <w:tcPr>
            <w:tcW w:w="5963" w:type="dxa"/>
            <w:vAlign w:val="center"/>
            <w:textDirection w:val="lrTb"/>
            <w:noWrap/>
          </w:tcPr>
          <w:p>
            <w:pPr>
              <w:spacing w:line="360" w:lineRule="auto"/>
              <w:rPr>
                <w:rFonts w:hint="eastAsia" w:ascii="宋体" w:hAnsi="宋体" w:eastAsia="宋体" w:cs="宋体"/>
                <w:b/>
                <w:bCs/>
                <w:color w:val="auto"/>
                <w:sz w:val="22"/>
                <w:u w:val="single"/>
              </w:rPr>
            </w:pPr>
            <w:r>
              <w:rPr>
                <w:rFonts w:hint="eastAsia" w:ascii="宋体" w:hAnsi="宋体" w:eastAsia="宋体" w:cs="宋体"/>
                <w:color w:val="auto"/>
                <w:sz w:val="22"/>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default" w:ascii="宋体" w:hAnsi="宋体" w:eastAsia="宋体" w:cs="宋体"/>
                <w:color w:val="auto"/>
                <w:sz w:val="22"/>
                <w:lang w:val="en-US" w:eastAsia="zh-CN"/>
              </w:rPr>
            </w:pPr>
            <w:r>
              <w:rPr>
                <w:rFonts w:hint="eastAsia" w:ascii="宋体" w:hAnsi="宋体" w:cs="宋体"/>
                <w:color w:val="auto"/>
                <w:sz w:val="22"/>
                <w:lang w:val="en-US" w:eastAsia="zh-CN"/>
              </w:rPr>
              <w:t xml:space="preserve">1.1.8</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cs="宋体"/>
                <w:color w:val="auto"/>
                <w:sz w:val="22"/>
              </w:rPr>
              <w:t xml:space="preserve">标的物所属行业</w:t>
            </w:r>
            <w:r/>
          </w:p>
        </w:tc>
        <w:tc>
          <w:tcPr>
            <w:tcW w:w="5963" w:type="dxa"/>
            <w:vAlign w:val="center"/>
            <w:textDirection w:val="lrTb"/>
            <w:noWrap/>
          </w:tcPr>
          <w:p>
            <w:pPr>
              <w:spacing w:line="360" w:lineRule="auto"/>
              <w:rPr>
                <w:rFonts w:hint="eastAsia" w:ascii="宋体" w:hAnsi="宋体" w:eastAsia="宋体" w:cs="宋体"/>
                <w:color w:val="auto"/>
                <w:sz w:val="22"/>
                <w:u w:val="single"/>
                <w:lang w:eastAsia="zh-CN"/>
              </w:rPr>
            </w:pPr>
            <w:r>
              <w:rPr>
                <w:rFonts w:hint="eastAsia" w:ascii="宋体" w:hAnsi="宋体" w:cs="宋体"/>
                <w:color w:val="auto"/>
                <w:sz w:val="22"/>
                <w:u w:val="single"/>
                <w:lang w:eastAsia="zh-CN"/>
              </w:rPr>
              <w:t xml:space="preserve">工业</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1.2.1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服务期</w:t>
            </w:r>
            <w:r/>
          </w:p>
        </w:tc>
        <w:tc>
          <w:tcPr>
            <w:tcW w:w="5963" w:type="dxa"/>
            <w:vAlign w:val="center"/>
            <w:textDirection w:val="lrTb"/>
            <w:noWrap/>
          </w:tcPr>
          <w:p>
            <w:pPr>
              <w:spacing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签订合同之日起至项目实施结束，货物于签订合同之起30日历天内日交付。</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1.2.2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验收要求</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落实政府采购政策需满足的资格要求</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1.3.3</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特定资格条件</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1.3.5</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rPr>
              <w:t xml:space="preserve">是否接受联合体投标</w:t>
            </w:r>
            <w:r/>
          </w:p>
        </w:tc>
        <w:tc>
          <w:tcPr>
            <w:tcW w:w="5963" w:type="dxa"/>
            <w:vAlign w:val="center"/>
            <w:textDirection w:val="lrTb"/>
            <w:noWrap/>
          </w:tcPr>
          <w:p>
            <w:pPr>
              <w:ind w:right="113"/>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w:t>
            </w:r>
            <w:r>
              <w:rPr>
                <w:rFonts w:hint="eastAsia" w:ascii="宋体" w:hAnsi="宋体" w:eastAsia="宋体" w:cs="宋体"/>
                <w:color w:val="auto"/>
                <w:sz w:val="22"/>
              </w:rPr>
              <w:t xml:space="preserve">是</w:t>
            </w:r>
            <w:r/>
          </w:p>
          <w:p>
            <w:pPr>
              <w:ind w:right="113"/>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R</w:t>
            </w:r>
            <w:r>
              <w:rPr>
                <w:rFonts w:hint="eastAsia" w:ascii="宋体" w:hAnsi="宋体" w:eastAsia="宋体" w:cs="宋体"/>
                <w:color w:val="auto"/>
                <w:sz w:val="22"/>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1.4.1</w:t>
            </w:r>
            <w:r/>
          </w:p>
        </w:tc>
        <w:tc>
          <w:tcPr>
            <w:tcW w:w="2316"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sz w:val="22"/>
              </w:rPr>
              <w:t xml:space="preserve">踏勘现场</w:t>
            </w:r>
            <w:r/>
          </w:p>
        </w:tc>
        <w:tc>
          <w:tcPr>
            <w:tcW w:w="5963" w:type="dxa"/>
            <w:vAlign w:val="center"/>
            <w:textDirection w:val="lrTb"/>
            <w:noWrap/>
          </w:tcPr>
          <w:p>
            <w:pPr>
              <w:ind w:right="113"/>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w:t>
            </w:r>
            <w:r>
              <w:rPr>
                <w:rFonts w:hint="eastAsia" w:ascii="宋体" w:hAnsi="宋体" w:eastAsia="宋体" w:cs="宋体"/>
                <w:color w:val="auto"/>
                <w:sz w:val="22"/>
              </w:rPr>
              <w:t xml:space="preserve">是</w:t>
            </w:r>
            <w:r/>
          </w:p>
          <w:p>
            <w:pPr>
              <w:ind w:right="113"/>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R</w:t>
            </w:r>
            <w:r>
              <w:rPr>
                <w:rFonts w:hint="eastAsia" w:ascii="宋体" w:hAnsi="宋体" w:eastAsia="宋体" w:cs="宋体"/>
                <w:color w:val="auto"/>
                <w:sz w:val="22"/>
              </w:rPr>
              <w:t xml:space="preserve">否,自行踏勘</w:t>
            </w:r>
            <w:r/>
          </w:p>
        </w:tc>
      </w:tr>
      <w:tr>
        <w:trPr>
          <w:jc w:val="center"/>
          <w:trHeight w:val="357"/>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供应商询问提交</w:t>
            </w:r>
            <w:r/>
          </w:p>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截止时间</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2024年</w:t>
            </w:r>
            <w:r>
              <w:rPr>
                <w:rFonts w:hint="eastAsia" w:ascii="宋体" w:hAnsi="宋体" w:eastAsia="宋体" w:cs="宋体"/>
                <w:color w:val="auto"/>
                <w:sz w:val="22"/>
                <w:u w:val="single"/>
              </w:rPr>
              <w:t xml:space="preserve">  </w:t>
            </w:r>
            <w:r>
              <w:rPr>
                <w:rFonts w:hint="eastAsia" w:ascii="宋体" w:hAnsi="宋体" w:eastAsia="宋体" w:cs="宋体"/>
                <w:color w:val="auto"/>
                <w:sz w:val="22"/>
                <w:u w:val="single"/>
                <w:lang w:val="en-US" w:eastAsia="zh-CN"/>
              </w:rPr>
              <w:t xml:space="preserve">10</w:t>
            </w:r>
            <w:r>
              <w:rPr>
                <w:rFonts w:hint="eastAsia" w:ascii="宋体" w:hAnsi="宋体" w:eastAsia="宋体" w:cs="宋体"/>
                <w:color w:val="auto"/>
                <w:sz w:val="22"/>
                <w:u w:val="single"/>
              </w:rPr>
              <w:t xml:space="preserve">  </w:t>
            </w:r>
            <w:r>
              <w:rPr>
                <w:rFonts w:hint="eastAsia" w:ascii="宋体" w:hAnsi="宋体" w:eastAsia="宋体" w:cs="宋体"/>
                <w:color w:val="auto"/>
                <w:sz w:val="22"/>
              </w:rPr>
              <w:t xml:space="preserve">月</w:t>
            </w:r>
            <w:r>
              <w:rPr>
                <w:rFonts w:hint="eastAsia" w:ascii="宋体" w:hAnsi="宋体" w:cs="宋体"/>
                <w:color w:val="auto"/>
                <w:sz w:val="22"/>
                <w:u w:val="single"/>
                <w:lang w:val="en-US" w:eastAsia="zh-CN"/>
              </w:rPr>
              <w:t xml:space="preserve">22</w:t>
            </w:r>
            <w:r>
              <w:rPr>
                <w:rFonts w:hint="eastAsia" w:ascii="宋体" w:hAnsi="宋体" w:eastAsia="宋体" w:cs="宋体"/>
                <w:color w:val="auto"/>
                <w:sz w:val="22"/>
                <w:u w:val="single"/>
              </w:rPr>
              <w:t xml:space="preserve"> </w:t>
            </w:r>
            <w:r>
              <w:rPr>
                <w:rFonts w:hint="eastAsia" w:ascii="宋体" w:hAnsi="宋体" w:eastAsia="宋体" w:cs="宋体"/>
                <w:color w:val="auto"/>
                <w:sz w:val="22"/>
              </w:rPr>
              <w:t xml:space="preserve">日17:30时</w:t>
            </w:r>
            <w:r/>
          </w:p>
        </w:tc>
      </w:tr>
      <w:tr>
        <w:trPr>
          <w:jc w:val="center"/>
          <w:trHeight w:val="614"/>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投标有效期</w:t>
            </w:r>
            <w:r/>
          </w:p>
        </w:tc>
        <w:tc>
          <w:tcPr>
            <w:tcW w:w="5963" w:type="dxa"/>
            <w:vAlign w:val="center"/>
            <w:textDirection w:val="lrTb"/>
            <w:noWrap/>
          </w:tcPr>
          <w:p>
            <w:pPr>
              <w:spacing w:line="360" w:lineRule="auto"/>
              <w:rPr>
                <w:rFonts w:hint="eastAsia" w:ascii="宋体" w:hAnsi="宋体" w:eastAsia="宋体" w:cs="宋体"/>
                <w:color w:val="auto"/>
                <w:sz w:val="22"/>
                <w:u w:val="single"/>
              </w:rPr>
            </w:pPr>
            <w:r>
              <w:rPr>
                <w:rFonts w:hint="eastAsia" w:ascii="宋体" w:hAnsi="宋体" w:eastAsia="宋体" w:cs="宋体"/>
                <w:color w:val="auto"/>
                <w:sz w:val="22"/>
                <w:u w:val="single"/>
              </w:rPr>
              <w:t xml:space="preserve"> </w:t>
            </w:r>
            <w:r>
              <w:rPr>
                <w:rFonts w:hint="eastAsia" w:ascii="宋体" w:hAnsi="宋体" w:eastAsia="宋体" w:cs="宋体"/>
                <w:color w:val="auto"/>
                <w:sz w:val="22"/>
                <w:u w:val="single"/>
                <w:lang w:val="en-US" w:eastAsia="zh-CN"/>
              </w:rPr>
              <w:t xml:space="preserve">60</w:t>
            </w:r>
            <w:r>
              <w:rPr>
                <w:rFonts w:hint="eastAsia" w:ascii="宋体" w:hAnsi="宋体" w:eastAsia="宋体" w:cs="宋体"/>
                <w:color w:val="auto"/>
                <w:sz w:val="22"/>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4.2.1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投标文件提交截止</w:t>
            </w:r>
            <w:r/>
          </w:p>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时间和地点</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时间：</w:t>
            </w:r>
            <w:r>
              <w:rPr>
                <w:rFonts w:hint="eastAsia" w:ascii="宋体" w:hAnsi="宋体" w:eastAsia="宋体" w:cs="宋体"/>
                <w:color w:val="auto"/>
                <w:sz w:val="22"/>
                <w:u w:val="single"/>
              </w:rPr>
              <w:t xml:space="preserve"> 见“第一章招标公告”</w:t>
            </w:r>
            <w:r/>
          </w:p>
          <w:p>
            <w:pPr>
              <w:spacing w:line="360" w:lineRule="auto"/>
              <w:rPr>
                <w:rFonts w:hint="eastAsia" w:ascii="宋体" w:hAnsi="宋体" w:eastAsia="宋体" w:cs="宋体"/>
                <w:b/>
                <w:color w:val="auto"/>
                <w:sz w:val="22"/>
              </w:rPr>
            </w:pPr>
            <w:r>
              <w:rPr>
                <w:rFonts w:hint="eastAsia" w:ascii="宋体" w:hAnsi="宋体" w:eastAsia="宋体" w:cs="宋体"/>
                <w:color w:val="auto"/>
                <w:sz w:val="22"/>
              </w:rPr>
              <w:t xml:space="preserve">地点：</w:t>
            </w:r>
            <w:r>
              <w:rPr>
                <w:rFonts w:hint="eastAsia" w:ascii="宋体" w:hAnsi="宋体" w:eastAsia="宋体" w:cs="宋体"/>
                <w:color w:val="auto"/>
                <w:sz w:val="22"/>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5.1.1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开标时间和地点</w:t>
            </w:r>
            <w:r/>
          </w:p>
        </w:tc>
        <w:tc>
          <w:tcPr>
            <w:tcW w:w="5963" w:type="dxa"/>
            <w:vAlign w:val="center"/>
            <w:textDirection w:val="lrTb"/>
            <w:noWrap/>
          </w:tcPr>
          <w:p>
            <w:pPr>
              <w:spacing w:line="360" w:lineRule="auto"/>
              <w:rPr>
                <w:rFonts w:hint="eastAsia" w:ascii="宋体" w:hAnsi="宋体" w:eastAsia="宋体" w:cs="宋体"/>
                <w:color w:val="auto"/>
                <w:sz w:val="22"/>
                <w:u w:val="single"/>
              </w:rPr>
            </w:pPr>
            <w:r>
              <w:rPr>
                <w:rFonts w:hint="eastAsia" w:ascii="宋体" w:hAnsi="宋体" w:eastAsia="宋体" w:cs="宋体"/>
                <w:color w:val="auto"/>
                <w:sz w:val="22"/>
              </w:rPr>
              <w:t xml:space="preserve">开标时间：</w:t>
            </w:r>
            <w:r>
              <w:rPr>
                <w:rFonts w:hint="eastAsia" w:ascii="宋体" w:hAnsi="宋体" w:eastAsia="宋体" w:cs="宋体"/>
                <w:color w:val="auto"/>
                <w:sz w:val="22"/>
                <w:u w:val="single"/>
              </w:rPr>
              <w:t xml:space="preserve">2024年</w:t>
            </w:r>
            <w:r>
              <w:rPr>
                <w:rFonts w:hint="eastAsia" w:ascii="宋体" w:hAnsi="宋体" w:eastAsia="宋体" w:cs="宋体"/>
                <w:color w:val="auto"/>
                <w:sz w:val="22"/>
                <w:u w:val="single"/>
                <w:lang w:val="en-US" w:eastAsia="zh-CN"/>
              </w:rPr>
              <w:t xml:space="preserve">10</w:t>
            </w:r>
            <w:r>
              <w:rPr>
                <w:rFonts w:hint="eastAsia" w:ascii="宋体" w:hAnsi="宋体" w:eastAsia="宋体" w:cs="宋体"/>
                <w:color w:val="auto"/>
                <w:sz w:val="22"/>
                <w:u w:val="single"/>
              </w:rPr>
              <w:t xml:space="preserve">月 </w:t>
            </w:r>
            <w:r>
              <w:rPr>
                <w:rFonts w:hint="eastAsia" w:ascii="宋体" w:hAnsi="宋体" w:cs="宋体"/>
                <w:color w:val="auto"/>
                <w:sz w:val="22"/>
                <w:u w:val="single"/>
                <w:lang w:val="en-US" w:eastAsia="zh-CN"/>
              </w:rPr>
              <w:t xml:space="preserve">29</w:t>
            </w:r>
            <w:r>
              <w:rPr>
                <w:rFonts w:hint="eastAsia" w:ascii="宋体" w:hAnsi="宋体" w:eastAsia="宋体" w:cs="宋体"/>
                <w:color w:val="auto"/>
                <w:sz w:val="22"/>
                <w:u w:val="single"/>
              </w:rPr>
              <w:t xml:space="preserve">日</w:t>
            </w:r>
            <w:r>
              <w:rPr>
                <w:rFonts w:hint="eastAsia" w:ascii="宋体" w:hAnsi="宋体" w:eastAsia="宋体" w:cs="宋体"/>
                <w:color w:val="auto"/>
                <w:sz w:val="22"/>
                <w:u w:val="single"/>
                <w:lang w:val="en-US" w:eastAsia="zh-CN"/>
              </w:rPr>
              <w:t xml:space="preserve">14</w:t>
            </w:r>
            <w:r>
              <w:rPr>
                <w:rFonts w:hint="eastAsia" w:ascii="宋体" w:hAnsi="宋体" w:eastAsia="宋体" w:cs="宋体"/>
                <w:color w:val="auto"/>
                <w:sz w:val="22"/>
                <w:u w:val="single"/>
              </w:rPr>
              <w:t xml:space="preserve">点</w:t>
            </w:r>
            <w:r>
              <w:rPr>
                <w:rFonts w:hint="eastAsia" w:ascii="宋体" w:hAnsi="宋体" w:eastAsia="宋体" w:cs="宋体"/>
                <w:color w:val="auto"/>
                <w:sz w:val="22"/>
                <w:u w:val="single"/>
                <w:lang w:val="en-US" w:eastAsia="zh-CN"/>
              </w:rPr>
              <w:t xml:space="preserve">3</w:t>
            </w:r>
            <w:r>
              <w:rPr>
                <w:rFonts w:hint="eastAsia" w:ascii="宋体" w:hAnsi="宋体" w:eastAsia="宋体" w:cs="宋体"/>
                <w:color w:val="auto"/>
                <w:sz w:val="22"/>
                <w:u w:val="single"/>
              </w:rPr>
              <w:t xml:space="preserve">0分（北京时间）</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开标地点：</w:t>
            </w:r>
            <w:r>
              <w:rPr>
                <w:rFonts w:hint="eastAsia" w:ascii="宋体" w:hAnsi="宋体" w:eastAsia="宋体" w:cs="宋体"/>
                <w:color w:val="auto"/>
                <w:sz w:val="22"/>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5.3.1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评标委员会成员</w:t>
            </w:r>
            <w:r/>
          </w:p>
        </w:tc>
        <w:tc>
          <w:tcPr>
            <w:tcW w:w="5963" w:type="dxa"/>
            <w:vAlign w:val="center"/>
            <w:textDirection w:val="lrTb"/>
            <w:noWrap/>
          </w:tcPr>
          <w:p>
            <w:pPr>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评标委员会人数：</w:t>
            </w:r>
            <w:r>
              <w:rPr>
                <w:rFonts w:hint="eastAsia" w:ascii="宋体" w:hAnsi="宋体" w:eastAsia="宋体" w:cs="宋体"/>
                <w:color w:val="auto"/>
                <w:sz w:val="22"/>
                <w:u w:val="single"/>
              </w:rPr>
              <w:t xml:space="preserve"> 5 </w:t>
            </w:r>
            <w:r>
              <w:rPr>
                <w:rFonts w:hint="eastAsia" w:ascii="宋体" w:hAnsi="宋体" w:eastAsia="宋体" w:cs="宋体"/>
                <w:color w:val="auto"/>
                <w:sz w:val="22"/>
              </w:rPr>
              <w:t xml:space="preserve">人；其中：采购人代表</w:t>
            </w:r>
            <w:r>
              <w:rPr>
                <w:rFonts w:hint="eastAsia" w:ascii="宋体" w:hAnsi="宋体" w:eastAsia="宋体" w:cs="宋体"/>
                <w:color w:val="auto"/>
                <w:sz w:val="22"/>
                <w:u w:val="single"/>
              </w:rPr>
              <w:t xml:space="preserve"> 1 </w:t>
            </w:r>
            <w:r>
              <w:rPr>
                <w:rFonts w:hint="eastAsia" w:ascii="宋体" w:hAnsi="宋体" w:eastAsia="宋体" w:cs="宋体"/>
                <w:color w:val="auto"/>
                <w:sz w:val="22"/>
              </w:rPr>
              <w:t xml:space="preserve">人，评审专家</w:t>
            </w:r>
            <w:r>
              <w:rPr>
                <w:rFonts w:hint="eastAsia" w:ascii="宋体" w:hAnsi="宋体" w:eastAsia="宋体" w:cs="宋体"/>
                <w:color w:val="auto"/>
                <w:sz w:val="22"/>
                <w:u w:val="single"/>
              </w:rPr>
              <w:t xml:space="preserve"> 4 </w:t>
            </w:r>
            <w:r>
              <w:rPr>
                <w:rFonts w:hint="eastAsia" w:ascii="宋体" w:hAnsi="宋体" w:eastAsia="宋体" w:cs="宋体"/>
                <w:color w:val="auto"/>
                <w:sz w:val="22"/>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5.4.2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评标委员会推荐中标</w:t>
            </w:r>
            <w:r/>
          </w:p>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候选人的人数</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u w:val="single"/>
              </w:rPr>
              <w:t xml:space="preserve">3</w:t>
            </w:r>
            <w:r>
              <w:rPr>
                <w:rFonts w:hint="eastAsia" w:ascii="宋体" w:hAnsi="宋体" w:eastAsia="宋体" w:cs="宋体"/>
                <w:color w:val="auto"/>
                <w:sz w:val="22"/>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6.1.2</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是否委托评标委员会</w:t>
            </w:r>
            <w:r/>
          </w:p>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直接确定中标人</w:t>
            </w:r>
            <w:r/>
          </w:p>
        </w:tc>
        <w:tc>
          <w:tcPr>
            <w:tcW w:w="5963" w:type="dxa"/>
            <w:vAlign w:val="center"/>
            <w:textDirection w:val="lrTb"/>
            <w:noWrap/>
          </w:tcPr>
          <w:p>
            <w:pPr>
              <w:ind w:right="113"/>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R</w:t>
            </w:r>
            <w:r>
              <w:rPr>
                <w:rFonts w:hint="eastAsia" w:ascii="宋体" w:hAnsi="宋体" w:eastAsia="宋体" w:cs="宋体"/>
                <w:color w:val="auto"/>
                <w:sz w:val="22"/>
              </w:rPr>
              <w:t xml:space="preserve">是</w:t>
            </w:r>
            <w:r/>
          </w:p>
          <w:p>
            <w:pPr>
              <w:spacing w:line="360" w:lineRule="auto"/>
              <w:rPr>
                <w:rFonts w:hint="eastAsia" w:ascii="宋体" w:hAnsi="宋体" w:eastAsia="宋体" w:cs="宋体"/>
                <w:color w:val="auto"/>
                <w:sz w:val="22"/>
              </w:rPr>
            </w:pPr>
            <w:r>
              <w:rPr>
                <w:rFonts w:ascii="Wingdings 2" w:hAnsi="Wingdings 2" w:eastAsia="Wingdings 2" w:cs="Wingdings 2"/>
                <w:color w:val="auto"/>
                <w:sz w:val="22"/>
              </w:rPr>
              <w:t xml:space="preserve">£</w:t>
            </w:r>
            <w:r>
              <w:rPr>
                <w:rFonts w:hint="eastAsia" w:ascii="宋体" w:hAnsi="宋体" w:eastAsia="宋体" w:cs="宋体"/>
                <w:color w:val="auto"/>
                <w:sz w:val="22"/>
              </w:rPr>
              <w:t xml:space="preserve">否</w:t>
            </w:r>
            <w:r/>
          </w:p>
        </w:tc>
      </w:tr>
      <w:tr>
        <w:trPr>
          <w:jc w:val="center"/>
          <w:trHeight w:val="443"/>
        </w:trPr>
        <w:tc>
          <w:tcPr>
            <w:tcW w:w="919" w:type="dxa"/>
            <w:vAlign w:val="center"/>
            <w:textDirection w:val="lrTb"/>
            <w:noWrap/>
          </w:tcPr>
          <w:p>
            <w:pPr>
              <w:jc w:val="center"/>
              <w:spacing w:line="360" w:lineRule="auto"/>
              <w:rPr>
                <w:rFonts w:hint="eastAsia" w:ascii="宋体" w:hAnsi="宋体" w:eastAsia="宋体" w:cs="宋体"/>
                <w:i/>
                <w:iCs/>
                <w:color w:val="auto"/>
                <w:sz w:val="22"/>
              </w:rPr>
            </w:pPr>
            <w:r>
              <w:rPr>
                <w:rFonts w:hint="eastAsia" w:ascii="宋体" w:hAnsi="宋体" w:eastAsia="宋体" w:cs="宋体"/>
                <w:i/>
                <w:iCs/>
                <w:color w:val="auto"/>
                <w:sz w:val="22"/>
              </w:rPr>
              <w:t xml:space="preserve">6.3.1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履约保证金</w:t>
            </w:r>
            <w:r/>
          </w:p>
        </w:tc>
        <w:tc>
          <w:tcPr>
            <w:tcW w:w="5963" w:type="dxa"/>
            <w:vAlign w:val="center"/>
            <w:textDirection w:val="lrTb"/>
            <w:noWrap/>
          </w:tcPr>
          <w:p>
            <w:pPr>
              <w:jc w:val="both"/>
              <w:spacing w:line="360" w:lineRule="auto"/>
              <w:rPr>
                <w:rFonts w:hint="eastAsia" w:ascii="宋体" w:hAnsi="宋体" w:eastAsia="宋体" w:cs="宋体"/>
                <w:color w:val="auto"/>
                <w:sz w:val="22"/>
                <w:lang w:eastAsia="zh-CN"/>
              </w:rPr>
            </w:pPr>
            <w:r>
              <w:rPr>
                <w:rFonts w:hint="eastAsia" w:ascii="宋体" w:hAnsi="宋体" w:eastAsia="宋体" w:cs="宋体"/>
                <w:color w:val="auto"/>
                <w:sz w:val="22"/>
                <w:lang w:eastAsia="zh-CN"/>
              </w:rPr>
              <w:t xml:space="preserve">无</w:t>
            </w:r>
            <w:r/>
          </w:p>
        </w:tc>
      </w:tr>
      <w:tr>
        <w:trPr>
          <w:jc w:val="center"/>
          <w:trHeight w:val="898"/>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7.2.8</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投诉受理部门</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监督部门：靖江市财政局</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地址：靖江市政务服务中心4楼</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电话：0523-89182489</w:t>
            </w:r>
            <w:r/>
          </w:p>
        </w:tc>
      </w:tr>
      <w:tr>
        <w:trPr>
          <w:jc w:val="center"/>
          <w:trHeight w:val="898"/>
        </w:trPr>
        <w:tc>
          <w:tcPr>
            <w:tcW w:w="919"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8.1.1</w:t>
            </w:r>
            <w:r/>
          </w:p>
        </w:tc>
        <w:tc>
          <w:tcPr>
            <w:tcW w:w="2316" w:type="dxa"/>
            <w:vAlign w:val="center"/>
            <w:textDirection w:val="lrTb"/>
            <w:noWrap/>
          </w:tcPr>
          <w:p>
            <w:pPr>
              <w:jc w:val="center"/>
              <w:spacing w:line="360" w:lineRule="auto"/>
              <w:rPr>
                <w:rFonts w:hint="eastAsia" w:ascii="宋体" w:hAnsi="宋体" w:eastAsia="宋体" w:cs="宋体"/>
                <w:color w:val="auto"/>
                <w:sz w:val="22"/>
              </w:rPr>
            </w:pPr>
            <w:r>
              <w:rPr>
                <w:rFonts w:hint="eastAsia" w:ascii="宋体" w:hAnsi="宋体" w:eastAsia="宋体" w:cs="宋体"/>
                <w:color w:val="auto"/>
              </w:rPr>
              <w:t xml:space="preserve">中标服务费</w:t>
            </w:r>
            <w:r/>
          </w:p>
        </w:tc>
        <w:tc>
          <w:tcPr>
            <w:tcW w:w="5963" w:type="dxa"/>
            <w:vAlign w:val="center"/>
            <w:textDirection w:val="lrTb"/>
            <w:noWrap/>
          </w:tcPr>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（1）根据采购人与采购代理人签订的《采购代理合同》约定，本项目中标服务费由中标人承担。该费用不单独列项，无论中标人如何报价，均视为包含在总报价中。</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（2）中标人应在领取中标通知书前，参照国家计委计价格【2002】1980 号文服务类采购相应标准计算的金额一次性向采购代理人付清。</w:t>
            </w:r>
            <w:r/>
          </w:p>
        </w:tc>
      </w:tr>
      <w:tr>
        <w:trPr>
          <w:jc w:val="center"/>
          <w:trHeight w:val="898"/>
        </w:trPr>
        <w:tc>
          <w:tcPr>
            <w:tcW w:w="919" w:type="dxa"/>
            <w:vAlign w:val="center"/>
            <w:textDirection w:val="lrTb"/>
            <w:noWrap/>
          </w:tcPr>
          <w:p>
            <w:pPr>
              <w:jc w:val="center"/>
              <w:spacing w:line="360" w:lineRule="auto"/>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 xml:space="preserve">8.1.2</w:t>
            </w:r>
            <w:r/>
          </w:p>
        </w:tc>
        <w:tc>
          <w:tcPr>
            <w:shd w:val="clear" w:color="auto" w:fill="auto"/>
            <w:tcW w:w="2316" w:type="dxa"/>
            <w:vAlign w:val="center"/>
            <w:textDirection w:val="lrTb"/>
            <w:noWrap/>
          </w:tcPr>
          <w:p>
            <w:pPr>
              <w:pStyle w:val="1089"/>
              <w:jc w:val="center"/>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en-GB" w:eastAsia="zh-CN" w:bidi="ar-SA"/>
              </w:rPr>
              <w:t xml:space="preserve">其他说明</w:t>
            </w:r>
            <w:r/>
          </w:p>
        </w:tc>
        <w:tc>
          <w:tcPr>
            <w:shd w:val="clear" w:color="auto" w:fill="auto"/>
            <w:tcW w:w="5963" w:type="dxa"/>
            <w:vAlign w:val="center"/>
            <w:textDirection w:val="lrTb"/>
            <w:noWrap/>
          </w:tcPr>
          <w:p>
            <w:pPr>
              <w:pStyle w:val="1089"/>
              <w:spacing w:line="320" w:lineRule="exact"/>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zh-CN" w:eastAsia="zh-CN" w:bidi="ar-SA"/>
              </w:rPr>
              <w:t xml:space="preserve">1、中标单位在领取中标通知书时需提供叁份纸质投标文件（一正二副）和壹份电子版投标文件（以U盘为载体）；</w:t>
            </w:r>
            <w:r/>
          </w:p>
          <w:p>
            <w:pPr>
              <w:pStyle w:val="1089"/>
              <w:spacing w:line="320" w:lineRule="exact"/>
              <w:rPr>
                <w:rFonts w:hint="eastAsia" w:ascii="宋体" w:hAnsi="宋体" w:eastAsia="宋体" w:cs="宋体"/>
                <w:color w:val="auto"/>
                <w:sz w:val="22"/>
                <w:szCs w:val="21"/>
                <w:lang w:val="zh-CN" w:eastAsia="zh-CN" w:bidi="ar-SA"/>
              </w:rPr>
            </w:pPr>
            <w:r>
              <w:rPr>
                <w:rFonts w:hint="eastAsia" w:ascii="宋体" w:hAnsi="宋体" w:eastAsia="宋体" w:cs="宋体"/>
                <w:color w:val="auto"/>
                <w:sz w:val="22"/>
                <w:szCs w:val="21"/>
                <w:lang w:val="zh-CN" w:eastAsia="zh-CN" w:bidi="ar-SA"/>
              </w:rPr>
              <w:t xml:space="preserve">中标单位与采购单位签订合同后，及时向招标代理机构提供合同的扫描件以作备案。</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US" w:eastAsia="zh-CN" w:bidi="ar-SA"/>
              </w:rPr>
              <w:t xml:space="preserve">2、</w:t>
            </w:r>
            <w:r>
              <w:rPr>
                <w:rFonts w:hint="eastAsia" w:ascii="宋体" w:hAnsi="宋体" w:eastAsia="宋体" w:cs="宋体"/>
                <w:color w:val="auto"/>
                <w:sz w:val="22"/>
                <w:szCs w:val="21"/>
                <w:lang w:val="en-GB" w:eastAsia="zh-CN" w:bidi="ar-SA"/>
              </w:rPr>
              <w:t xml:space="preserve">本招标文件与前附表相矛盾或冲突的部分以前附表为准，但采购需求中的技术要求优先执行；供应商在编制投标文件中，招标文件中没有类似表格的，格式自拟。</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3、本招标文件涉及规范标准规程，</w:t>
            </w:r>
            <w:r>
              <w:rPr>
                <w:rFonts w:hint="eastAsia" w:ascii="宋体" w:hAnsi="宋体" w:eastAsia="宋体" w:cs="宋体"/>
                <w:color w:val="auto"/>
                <w:sz w:val="22"/>
                <w:szCs w:val="21"/>
                <w:lang w:val="en-US" w:eastAsia="zh-CN" w:bidi="ar-SA"/>
              </w:rPr>
              <w:t xml:space="preserve">有更新以更新规定为准</w:t>
            </w:r>
            <w:r>
              <w:rPr>
                <w:rFonts w:hint="eastAsia" w:ascii="宋体" w:hAnsi="宋体" w:eastAsia="宋体" w:cs="宋体"/>
                <w:color w:val="auto"/>
                <w:sz w:val="22"/>
                <w:szCs w:val="21"/>
                <w:lang w:val="en-GB" w:eastAsia="zh-CN" w:bidi="ar-SA"/>
              </w:rPr>
              <w:t xml:space="preserve">执行。</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4、 “苏采云”系统使用要求：</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①使用谷歌浏览器参与不见面开标及采购环节。</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②电脑需提前准备好麦克风、音响，摄像头，提前检查保证能够正常使用。</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③操作系统至少win7以上，建议使用win10操作系统。</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5、投标人通过“苏采云”系统提交数据电文形式的响应文件（即电子投标）。未进行线上投标文件提交并解密(因“苏采云”系统导致解密失败的除外)的投标人，响应无效。其线下提交的（纸质）投标文件，采购代理机构退回拒收。</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6、响应文件解密：到达开启时间，“苏采云”系统自动提取所有投标文件，投标人按采购文件规定方式按时在线解密。本项目采购文件规定的投标人按时在线解密方式：开启时间后30分钟内，通过“苏采云”系统（使用“CA数字证书”）解密。</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7、投标人在响应文件提交的截止时间前，可以对所提交的响应进行补充、修改或者撤回。补充、修改的内容作为响应文件的组成部分。补充、修改的内容与响应文件不一致的，以补充、修改的内容为准。</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8、不接受不按要求加盖公章（电子签章）的响应文件。电子签章相关要求见“苏采云”系统。</w:t>
            </w:r>
            <w:r/>
          </w:p>
          <w:p>
            <w:pPr>
              <w:pStyle w:val="1089"/>
              <w:spacing w:line="320" w:lineRule="exact"/>
              <w:rPr>
                <w:rFonts w:hint="eastAsia" w:ascii="宋体" w:hAnsi="宋体" w:eastAsia="宋体" w:cs="宋体"/>
                <w:color w:val="auto"/>
                <w:sz w:val="22"/>
                <w:szCs w:val="21"/>
                <w:lang w:val="en-GB" w:eastAsia="zh-CN" w:bidi="ar-SA"/>
              </w:rPr>
            </w:pPr>
            <w:r>
              <w:rPr>
                <w:rFonts w:hint="eastAsia" w:ascii="宋体" w:hAnsi="宋体" w:eastAsia="宋体" w:cs="宋体"/>
                <w:color w:val="auto"/>
                <w:sz w:val="22"/>
                <w:szCs w:val="21"/>
                <w:lang w:val="en-GB" w:eastAsia="zh-CN" w:bidi="ar-SA"/>
              </w:rPr>
              <w:t xml:space="preserve">9、通过“苏采云”系统提交政府采购客户端工具导出加密的投标文件（后缀名为zip）。响应文件不得超过300M！</w:t>
            </w:r>
            <w:r/>
          </w:p>
        </w:tc>
      </w:tr>
    </w:tbl>
    <w:p>
      <w:pPr>
        <w:jc w:val="center"/>
        <w:spacing w:line="440" w:lineRule="exact"/>
        <w:rPr>
          <w:rFonts w:hint="eastAsia" w:ascii="宋体" w:hAnsi="宋体" w:eastAsia="宋体" w:cs="宋体"/>
          <w:b/>
          <w:bCs/>
          <w:color w:val="auto"/>
          <w:sz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32"/>
          <w:szCs w:val="32"/>
        </w:rPr>
        <w:t xml:space="preserve">二、供应商须知</w:t>
      </w:r>
      <w:r/>
    </w:p>
    <w:p>
      <w:pPr>
        <w:jc w:val="center"/>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一、总则</w:t>
      </w:r>
      <w:r/>
    </w:p>
    <w:p>
      <w:pPr>
        <w:pStyle w:val="1006"/>
        <w:ind w:firstLine="442"/>
        <w:jc w:val="left"/>
        <w:spacing w:before="160" w:after="0" w:line="360" w:lineRule="auto"/>
        <w:rPr>
          <w:rFonts w:hint="eastAsia" w:ascii="宋体" w:hAnsi="宋体" w:eastAsia="宋体" w:cs="宋体"/>
          <w:color w:val="auto"/>
          <w:sz w:val="22"/>
          <w:szCs w:val="22"/>
        </w:rPr>
      </w:pPr>
      <w:r/>
      <w:bookmarkStart w:id="33" w:name="_Toc19592"/>
      <w:r/>
      <w:bookmarkStart w:id="34" w:name="_Toc13986"/>
      <w:r/>
      <w:bookmarkStart w:id="35" w:name="_Toc29754"/>
      <w:r/>
      <w:bookmarkStart w:id="36" w:name="_Toc1615"/>
      <w:r/>
      <w:bookmarkStart w:id="37" w:name="_Toc8645"/>
      <w:r/>
      <w:bookmarkStart w:id="38" w:name="_Toc9727"/>
      <w:r/>
      <w:bookmarkStart w:id="39" w:name="_Toc20394"/>
      <w:r/>
      <w:bookmarkStart w:id="40" w:name="_Toc387526180"/>
      <w:r/>
      <w:bookmarkStart w:id="41" w:name="_Toc3629"/>
      <w:r/>
      <w:bookmarkStart w:id="42" w:name="_Toc5365"/>
      <w:r/>
      <w:bookmarkStart w:id="43" w:name="_Toc387526376"/>
      <w:r/>
      <w:bookmarkStart w:id="44" w:name="_Toc387526284"/>
      <w:r/>
      <w:bookmarkStart w:id="45" w:name="_Toc3640"/>
      <w:r>
        <w:rPr>
          <w:rFonts w:hint="eastAsia" w:ascii="宋体" w:hAnsi="宋体" w:eastAsia="宋体" w:cs="宋体"/>
          <w:color w:val="auto"/>
          <w:sz w:val="22"/>
          <w:szCs w:val="22"/>
        </w:rPr>
        <w:t xml:space="preserve">1.1 项目概况</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1.1.2 本采购项目采购人：见供应商须知前附表。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1.1.3 本采购项目采购代理机构：见供应商须知前附表。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1.1.4 本采购项目名称：见供应商须知前附表。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1.1.5 本采购项目编号：见供应商须知前附表。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1.1.6 本采购项目采购预算：见投标须知前附表。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1.1.7 本采购项目最高限价：见投标须知前附表。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1.1.8 本采购项目标的所属行业：见供应商须知前附表。</w:t>
      </w:r>
      <w:r/>
    </w:p>
    <w:p>
      <w:pPr>
        <w:pStyle w:val="1006"/>
        <w:ind w:firstLine="442"/>
        <w:jc w:val="left"/>
        <w:spacing w:before="160" w:after="0" w:line="360" w:lineRule="auto"/>
        <w:rPr>
          <w:rFonts w:hint="eastAsia" w:ascii="宋体" w:hAnsi="宋体" w:eastAsia="宋体" w:cs="宋体"/>
          <w:color w:val="auto"/>
          <w:sz w:val="22"/>
          <w:szCs w:val="22"/>
        </w:rPr>
      </w:pPr>
      <w:r/>
      <w:bookmarkStart w:id="46" w:name="_Toc18827"/>
      <w:r/>
      <w:bookmarkStart w:id="47" w:name="_Toc30088"/>
      <w:r/>
      <w:bookmarkStart w:id="48" w:name="_Toc17630"/>
      <w:r/>
      <w:bookmarkStart w:id="49" w:name="_Toc28144"/>
      <w:r/>
      <w:bookmarkStart w:id="50" w:name="_Toc12333"/>
      <w:r/>
      <w:bookmarkStart w:id="51" w:name="_Toc10060"/>
      <w:r/>
      <w:bookmarkStart w:id="52" w:name="_Toc23619"/>
      <w:r>
        <w:rPr>
          <w:rFonts w:hint="eastAsia" w:ascii="宋体" w:hAnsi="宋体" w:eastAsia="宋体" w:cs="宋体"/>
          <w:color w:val="auto"/>
          <w:sz w:val="22"/>
          <w:szCs w:val="22"/>
        </w:rPr>
        <w:t xml:space="preserve">1.2 供货期及验收要求</w:t>
      </w:r>
      <w:bookmarkEnd w:id="46"/>
      <w:r/>
      <w:bookmarkEnd w:id="47"/>
      <w:r/>
      <w:bookmarkEnd w:id="48"/>
      <w:r/>
      <w:bookmarkEnd w:id="49"/>
      <w:r/>
      <w:bookmarkEnd w:id="50"/>
      <w:r/>
      <w:bookmarkEnd w:id="51"/>
      <w:r/>
      <w:bookmarkEnd w:id="52"/>
      <w:r/>
      <w:r/>
    </w:p>
    <w:p>
      <w:pPr>
        <w:ind w:left="42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1.2.1服务期：见供应商须知前附表。</w:t>
      </w:r>
      <w:r/>
    </w:p>
    <w:p>
      <w:pPr>
        <w:ind w:left="42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1.2.2本采购项目的验收要求：见供应商须知前附表。</w:t>
      </w:r>
      <w:r/>
    </w:p>
    <w:p>
      <w:pPr>
        <w:pStyle w:val="1006"/>
        <w:ind w:firstLine="442"/>
        <w:jc w:val="left"/>
        <w:spacing w:before="160" w:after="0" w:line="360" w:lineRule="auto"/>
        <w:rPr>
          <w:rFonts w:hint="eastAsia" w:ascii="宋体" w:hAnsi="宋体" w:eastAsia="宋体" w:cs="宋体"/>
          <w:color w:val="auto"/>
          <w:sz w:val="22"/>
          <w:szCs w:val="22"/>
        </w:rPr>
      </w:pPr>
      <w:r/>
      <w:bookmarkStart w:id="53" w:name="_Toc10223"/>
      <w:r/>
      <w:bookmarkStart w:id="54" w:name="_Toc17634"/>
      <w:r/>
      <w:bookmarkStart w:id="55" w:name="_Toc426"/>
      <w:r/>
      <w:bookmarkStart w:id="56" w:name="_Toc3039"/>
      <w:r/>
      <w:bookmarkStart w:id="57" w:name="_Toc23392"/>
      <w:r/>
      <w:bookmarkStart w:id="58" w:name="_Toc28030"/>
      <w:r/>
      <w:bookmarkStart w:id="59" w:name="_Toc19315"/>
      <w:r>
        <w:rPr>
          <w:rFonts w:hint="eastAsia" w:ascii="宋体" w:hAnsi="宋体" w:eastAsia="宋体" w:cs="宋体"/>
          <w:color w:val="auto"/>
          <w:sz w:val="22"/>
          <w:szCs w:val="22"/>
        </w:rPr>
        <w:t xml:space="preserve">1.3 供应商的资格条件</w:t>
      </w:r>
      <w:bookmarkEnd w:id="53"/>
      <w:r/>
      <w:bookmarkEnd w:id="54"/>
      <w:r/>
      <w:bookmarkEnd w:id="55"/>
      <w:r/>
      <w:bookmarkEnd w:id="56"/>
      <w:r/>
      <w:bookmarkEnd w:id="57"/>
      <w:r/>
      <w:bookmarkEnd w:id="58"/>
      <w:r/>
      <w:bookmarkEnd w:id="59"/>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1.3.1 供应商应满足《中华人民共和国政府采购法》第二十二条规定；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1.3.2 落实政府采购政策需满足的资格要求：见供应商须知前附表；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1.3.3 本项目特定资格条件：见供应商须知前附表。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1.3.4 投标截止日当日，供应商不得存在下列情形之一：</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1、单位负责人为同一人或者存在直接控股、管理关系的不同投标人；</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2、被各级财政主管部门取消采购项目所在地的参加政府采购资格且处于有效期内；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3、被责令停业，暂扣或吊销营业执照，或吊销资质证书；</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4、进入清算程序，或被宣告破产，或其他丧失履约能力的情形；</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6、在中国政府采购网(www.ccgp.gov.cn)中被列入《政府采购严重违法失信行为记录名单》；</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8、法律、法规规定的其他情形。</w:t>
      </w:r>
      <w:r/>
    </w:p>
    <w:p>
      <w:pPr>
        <w:ind w:firstLine="442"/>
        <w:jc w:val="left"/>
        <w:spacing w:line="360" w:lineRule="auto"/>
        <w:rPr>
          <w:rFonts w:hint="eastAsia" w:ascii="宋体" w:hAnsi="宋体" w:eastAsia="宋体" w:cs="宋体"/>
          <w:b/>
          <w:color w:val="auto"/>
          <w:sz w:val="22"/>
        </w:rPr>
      </w:pPr>
      <w:r>
        <w:rPr>
          <w:rFonts w:hint="eastAsia" w:ascii="宋体" w:hAnsi="宋体" w:eastAsia="宋体" w:cs="宋体"/>
          <w:b/>
          <w:color w:val="auto"/>
          <w:sz w:val="22"/>
        </w:rPr>
        <w:t xml:space="preserve">本项以上评审项采用承诺制。如有虚假，将作为提供虚假证明材料处理。</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1.3.5 本项目是否接受联合体投标：见供应商须知前附表。</w:t>
      </w:r>
      <w:r/>
    </w:p>
    <w:p>
      <w:pPr>
        <w:pStyle w:val="1006"/>
        <w:ind w:firstLine="442"/>
        <w:jc w:val="left"/>
        <w:spacing w:before="0" w:after="0" w:line="360" w:lineRule="auto"/>
        <w:rPr>
          <w:rFonts w:hint="eastAsia" w:ascii="宋体" w:hAnsi="宋体" w:eastAsia="宋体" w:cs="宋体"/>
          <w:color w:val="auto"/>
          <w:sz w:val="22"/>
          <w:szCs w:val="22"/>
        </w:rPr>
      </w:pPr>
      <w:r/>
      <w:bookmarkStart w:id="60" w:name="_Toc27587"/>
      <w:r/>
      <w:bookmarkStart w:id="61" w:name="_Toc14265"/>
      <w:r/>
      <w:bookmarkStart w:id="62" w:name="_Toc3752"/>
      <w:r/>
      <w:bookmarkStart w:id="63" w:name="_Toc15127"/>
      <w:r/>
      <w:bookmarkStart w:id="64" w:name="_Toc26049"/>
      <w:r/>
      <w:bookmarkStart w:id="65" w:name="_Toc11958"/>
      <w:r/>
      <w:bookmarkStart w:id="66" w:name="_Toc22948"/>
      <w:r>
        <w:rPr>
          <w:rFonts w:hint="eastAsia" w:ascii="宋体" w:hAnsi="宋体" w:eastAsia="宋体" w:cs="宋体"/>
          <w:color w:val="auto"/>
          <w:sz w:val="22"/>
          <w:szCs w:val="22"/>
        </w:rPr>
        <w:t xml:space="preserve">1.4</w:t>
      </w:r>
      <w:bookmarkEnd w:id="60"/>
      <w:r>
        <w:rPr>
          <w:rFonts w:hint="eastAsia" w:ascii="宋体" w:hAnsi="宋体" w:eastAsia="宋体" w:cs="宋体"/>
          <w:color w:val="auto"/>
          <w:sz w:val="22"/>
          <w:szCs w:val="22"/>
        </w:rPr>
        <w:t xml:space="preserve"> 踏勘现场</w:t>
      </w:r>
      <w:bookmarkEnd w:id="61"/>
      <w:r/>
      <w:bookmarkEnd w:id="62"/>
      <w:r/>
      <w:bookmarkEnd w:id="63"/>
      <w:r/>
      <w:bookmarkEnd w:id="64"/>
      <w:r/>
      <w:bookmarkEnd w:id="65"/>
      <w:r/>
      <w:bookmarkEnd w:id="66"/>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06"/>
        <w:ind w:firstLine="442"/>
        <w:jc w:val="left"/>
        <w:spacing w:before="160" w:after="0" w:line="360" w:lineRule="auto"/>
        <w:rPr>
          <w:rFonts w:hint="eastAsia" w:ascii="宋体" w:hAnsi="宋体" w:eastAsia="宋体" w:cs="宋体"/>
          <w:color w:val="auto"/>
          <w:sz w:val="22"/>
          <w:szCs w:val="22"/>
        </w:rPr>
      </w:pPr>
      <w:r/>
      <w:bookmarkStart w:id="67" w:name="_Toc9211"/>
      <w:r/>
      <w:bookmarkStart w:id="68" w:name="_Toc21664"/>
      <w:r/>
      <w:bookmarkStart w:id="69" w:name="_Toc23311"/>
      <w:r/>
      <w:bookmarkStart w:id="70" w:name="_Toc4763"/>
      <w:r/>
      <w:bookmarkStart w:id="71" w:name="_Toc2634"/>
      <w:r/>
      <w:bookmarkStart w:id="72" w:name="_Toc4932"/>
      <w:r/>
      <w:bookmarkStart w:id="73" w:name="_Toc20117"/>
      <w:r>
        <w:rPr>
          <w:rFonts w:hint="eastAsia" w:ascii="宋体" w:hAnsi="宋体" w:eastAsia="宋体" w:cs="宋体"/>
          <w:color w:val="auto"/>
          <w:sz w:val="22"/>
          <w:szCs w:val="22"/>
        </w:rPr>
        <w:t xml:space="preserve">1.5 投标费用</w:t>
      </w:r>
      <w:bookmarkEnd w:id="67"/>
      <w:r/>
      <w:bookmarkEnd w:id="68"/>
      <w:r/>
      <w:bookmarkEnd w:id="69"/>
      <w:r/>
      <w:bookmarkEnd w:id="70"/>
      <w:r/>
      <w:bookmarkEnd w:id="71"/>
      <w:r/>
      <w:bookmarkEnd w:id="72"/>
      <w:r/>
      <w:bookmarkEnd w:id="73"/>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1.5.2 中标服务费按国家计委计价格[2002]1980号《招标代理服务收费管理暂行办法》所规定的收费标准收取，中标人在领取中标通知书时向代理机构一次性付清。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中标服务费收款账户：</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名称：扬州三信建设工程有限公司</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开户行：招商银行股份有限公司扬州分行营业部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账号：514902014910101</w:t>
      </w:r>
      <w:r/>
    </w:p>
    <w:p>
      <w:pPr>
        <w:pStyle w:val="1006"/>
        <w:ind w:firstLine="442"/>
        <w:jc w:val="left"/>
        <w:spacing w:before="160" w:after="0" w:line="360" w:lineRule="auto"/>
        <w:rPr>
          <w:rFonts w:hint="eastAsia" w:ascii="宋体" w:hAnsi="宋体" w:eastAsia="宋体" w:cs="宋体"/>
          <w:color w:val="auto"/>
          <w:sz w:val="22"/>
          <w:szCs w:val="22"/>
        </w:rPr>
      </w:pPr>
      <w:r/>
      <w:bookmarkStart w:id="74" w:name="_Toc11299"/>
      <w:r/>
      <w:bookmarkStart w:id="75" w:name="_Toc27420"/>
      <w:r/>
      <w:bookmarkStart w:id="76" w:name="_Toc7862"/>
      <w:r/>
      <w:bookmarkStart w:id="77" w:name="_Toc26393"/>
      <w:r/>
      <w:bookmarkStart w:id="78" w:name="_Toc6873"/>
      <w:r/>
      <w:bookmarkStart w:id="79" w:name="_Toc14340"/>
      <w:r/>
      <w:bookmarkStart w:id="80" w:name="_Toc18522"/>
      <w:r>
        <w:rPr>
          <w:rFonts w:hint="eastAsia" w:ascii="宋体" w:hAnsi="宋体" w:eastAsia="宋体" w:cs="宋体"/>
          <w:color w:val="auto"/>
          <w:sz w:val="22"/>
          <w:szCs w:val="22"/>
        </w:rPr>
        <w:t xml:space="preserve">1.6</w:t>
      </w:r>
      <w:bookmarkEnd w:id="74"/>
      <w:r>
        <w:rPr>
          <w:rFonts w:hint="eastAsia" w:ascii="宋体" w:hAnsi="宋体" w:eastAsia="宋体" w:cs="宋体"/>
          <w:color w:val="auto"/>
          <w:sz w:val="22"/>
          <w:szCs w:val="22"/>
        </w:rPr>
        <w:t xml:space="preserve"> 政府采购扶持政策</w:t>
      </w:r>
      <w:bookmarkEnd w:id="75"/>
      <w:r/>
      <w:bookmarkEnd w:id="76"/>
      <w:r/>
      <w:bookmarkEnd w:id="77"/>
      <w:r/>
      <w:bookmarkEnd w:id="78"/>
      <w:r/>
      <w:bookmarkEnd w:id="79"/>
      <w:r/>
      <w:bookmarkEnd w:id="80"/>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1.6.1中小企业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eastAsia="宋体" w:cs="宋体"/>
          <w:b/>
          <w:color w:val="auto"/>
          <w:sz w:val="22"/>
        </w:rPr>
      </w:pPr>
      <w:r>
        <w:rPr>
          <w:rFonts w:hint="eastAsia" w:ascii="宋体" w:hAnsi="宋体" w:eastAsia="宋体" w:cs="宋体"/>
          <w:b/>
          <w:color w:val="auto"/>
          <w:sz w:val="22"/>
        </w:rPr>
        <w:t xml:space="preserve">对于专门面向中小企业采购的项目或者采购包，不再执行价格评审优惠的扶持政策。</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（2）供应商须按招标文件要求提供《中小企业声明函》。否则，评标时不予认可。</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1.6.2 残疾人福利性单位</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（2）供应商须按招标文件要求提供《残疾人福利性单位声明函》。否则，评标时不予认可。</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1.6.3 监狱企业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（2）供应商须提供所投产品生产厂家的由省级以上监狱管理局、戒毒管理局（含新疆生产建设兵团）出具的属于监狱企业的证明文件。否则，评审时不予认可。</w:t>
      </w:r>
      <w:r/>
    </w:p>
    <w:p>
      <w:pPr>
        <w:pStyle w:val="1006"/>
        <w:ind w:firstLine="442"/>
        <w:jc w:val="left"/>
        <w:spacing w:before="160" w:after="0" w:line="360" w:lineRule="auto"/>
        <w:rPr>
          <w:rFonts w:hint="eastAsia" w:ascii="宋体" w:hAnsi="宋体" w:eastAsia="宋体" w:cs="宋体"/>
          <w:color w:val="auto"/>
          <w:sz w:val="22"/>
          <w:szCs w:val="22"/>
        </w:rPr>
      </w:pPr>
      <w:r/>
      <w:bookmarkStart w:id="81" w:name="_Toc3693"/>
      <w:r/>
      <w:bookmarkStart w:id="82" w:name="_Toc7292"/>
      <w:r/>
      <w:bookmarkStart w:id="83" w:name="_Toc7100"/>
      <w:r/>
      <w:bookmarkStart w:id="84" w:name="_Toc16704"/>
      <w:r/>
      <w:bookmarkStart w:id="85" w:name="_Toc1291"/>
      <w:r/>
      <w:bookmarkStart w:id="86" w:name="_Toc11883"/>
      <w:r/>
      <w:bookmarkStart w:id="87" w:name="_Toc20762"/>
      <w:r>
        <w:rPr>
          <w:rFonts w:hint="eastAsia" w:ascii="宋体" w:hAnsi="宋体" w:eastAsia="宋体" w:cs="宋体"/>
          <w:color w:val="auto"/>
          <w:sz w:val="22"/>
          <w:szCs w:val="22"/>
        </w:rPr>
        <w:t xml:space="preserve">1.7投标语言及计量单位</w:t>
      </w:r>
      <w:bookmarkEnd w:id="81"/>
      <w:r/>
      <w:bookmarkEnd w:id="82"/>
      <w:r/>
      <w:bookmarkEnd w:id="83"/>
      <w:r/>
      <w:bookmarkEnd w:id="84"/>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1.7.2 投标文件中所使用的计量单位，除招标文件有特殊规定外，应使用中华人民共和国法定计量单位。</w:t>
      </w:r>
      <w:r/>
    </w:p>
    <w:p>
      <w:pPr>
        <w:pStyle w:val="1006"/>
        <w:ind w:firstLine="442"/>
        <w:jc w:val="left"/>
        <w:spacing w:before="160" w:after="0" w:line="360" w:lineRule="auto"/>
        <w:rPr>
          <w:rFonts w:hint="eastAsia" w:ascii="宋体" w:hAnsi="宋体" w:eastAsia="宋体" w:cs="宋体"/>
          <w:color w:val="auto"/>
          <w:sz w:val="22"/>
          <w:szCs w:val="22"/>
        </w:rPr>
      </w:pPr>
      <w:r/>
      <w:bookmarkStart w:id="88" w:name="_Toc29966"/>
      <w:r/>
      <w:bookmarkStart w:id="89" w:name="_Toc22148"/>
      <w:r/>
      <w:bookmarkStart w:id="90" w:name="_Toc8329"/>
      <w:r/>
      <w:bookmarkStart w:id="91" w:name="_Toc12709"/>
      <w:r>
        <w:rPr>
          <w:rFonts w:hint="eastAsia" w:ascii="宋体" w:hAnsi="宋体" w:eastAsia="宋体" w:cs="宋体"/>
          <w:color w:val="auto"/>
          <w:sz w:val="22"/>
          <w:szCs w:val="22"/>
        </w:rPr>
        <w:t xml:space="preserve">1.</w:t>
      </w:r>
      <w:bookmarkEnd w:id="85"/>
      <w:r>
        <w:rPr>
          <w:rFonts w:hint="eastAsia" w:ascii="宋体" w:hAnsi="宋体" w:eastAsia="宋体" w:cs="宋体"/>
          <w:color w:val="auto"/>
          <w:sz w:val="22"/>
          <w:szCs w:val="22"/>
        </w:rPr>
        <w:t xml:space="preserve">8 其他</w:t>
      </w:r>
      <w:bookmarkEnd w:id="86"/>
      <w:r/>
      <w:bookmarkEnd w:id="87"/>
      <w:r/>
      <w:bookmarkEnd w:id="88"/>
      <w:r/>
      <w:bookmarkEnd w:id="89"/>
      <w:r/>
      <w:bookmarkEnd w:id="90"/>
      <w:r/>
      <w:bookmarkEnd w:id="91"/>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1.8.1 本项目在中标后直至履行完毕止，中标人不得以任何形式和理由分包或转包。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1.8.2 参与招标投标活动的各方应对招标文件和投标文件中的商业和技术等秘密保密，违者应对由此造成的后果承担法律责任。</w:t>
      </w:r>
      <w:r/>
    </w:p>
    <w:p>
      <w:pPr>
        <w:ind w:left="785" w:hanging="783"/>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440" w:lineRule="exact"/>
        <w:rPr>
          <w:rFonts w:hint="eastAsia" w:ascii="宋体" w:hAnsi="宋体" w:eastAsia="宋体" w:cs="宋体"/>
          <w:b/>
          <w:bCs/>
          <w:color w:val="auto"/>
          <w:sz w:val="24"/>
        </w:rPr>
      </w:pPr>
      <w:r/>
      <w:bookmarkStart w:id="92" w:name="_Toc17607"/>
      <w:r>
        <w:rPr>
          <w:rFonts w:hint="eastAsia" w:ascii="宋体" w:hAnsi="宋体" w:eastAsia="宋体" w:cs="宋体"/>
          <w:b/>
          <w:bCs/>
          <w:color w:val="auto"/>
          <w:sz w:val="24"/>
        </w:rPr>
        <w:t xml:space="preserve">二、招标文件</w:t>
      </w:r>
      <w:r/>
    </w:p>
    <w:p>
      <w:pPr>
        <w:pStyle w:val="1006"/>
        <w:ind w:firstLine="442"/>
        <w:jc w:val="left"/>
        <w:spacing w:before="160" w:after="0" w:line="360" w:lineRule="auto"/>
        <w:rPr>
          <w:rFonts w:hint="eastAsia" w:ascii="宋体" w:hAnsi="宋体" w:eastAsia="宋体" w:cs="宋体"/>
          <w:color w:val="auto"/>
          <w:sz w:val="22"/>
          <w:szCs w:val="22"/>
        </w:rPr>
      </w:pPr>
      <w:r/>
      <w:bookmarkStart w:id="93" w:name="_Toc20640"/>
      <w:r/>
      <w:bookmarkStart w:id="94" w:name="_Toc11905"/>
      <w:r/>
      <w:bookmarkStart w:id="95" w:name="_Toc14878"/>
      <w:r/>
      <w:bookmarkStart w:id="96" w:name="_Toc23238"/>
      <w:r/>
      <w:bookmarkStart w:id="97" w:name="_Toc27315"/>
      <w:r/>
      <w:bookmarkStart w:id="98" w:name="_Toc26135"/>
      <w:r/>
      <w:bookmarkStart w:id="99" w:name="_Toc17211"/>
      <w:r>
        <w:rPr>
          <w:rFonts w:hint="eastAsia" w:ascii="宋体" w:hAnsi="宋体" w:eastAsia="宋体" w:cs="宋体"/>
          <w:color w:val="auto"/>
          <w:sz w:val="22"/>
          <w:szCs w:val="22"/>
        </w:rPr>
        <w:t xml:space="preserve">2.1 招标文件构成</w:t>
      </w:r>
      <w:bookmarkEnd w:id="93"/>
      <w:r/>
      <w:bookmarkEnd w:id="94"/>
      <w:r/>
      <w:bookmarkEnd w:id="95"/>
      <w:r/>
      <w:bookmarkEnd w:id="96"/>
      <w:r/>
      <w:bookmarkEnd w:id="97"/>
      <w:r/>
      <w:bookmarkEnd w:id="98"/>
      <w:r/>
      <w:bookmarkEnd w:id="99"/>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2.1.1 本招标文件包括（但并不仅限于）：</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第一章 招标公告</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第二章 供应商须知及前附表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第三章 合同一般条款</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第四章 合同格式</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第五章 采购项目需求</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第六章 评标办法</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第七章 投标文件内容及格式</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2.1.2 对采购文件所作的答疑、澄清、修改，构成招标文件的组成部分。当上述文件相互之间发生矛盾时，以后发出的文件为准。</w:t>
      </w:r>
      <w:r/>
    </w:p>
    <w:p>
      <w:pPr>
        <w:pStyle w:val="1006"/>
        <w:ind w:firstLine="442"/>
        <w:jc w:val="left"/>
        <w:spacing w:before="160" w:after="0" w:line="360" w:lineRule="auto"/>
        <w:rPr>
          <w:rFonts w:hint="eastAsia" w:ascii="宋体" w:hAnsi="宋体" w:eastAsia="宋体" w:cs="宋体"/>
          <w:color w:val="auto"/>
          <w:sz w:val="22"/>
          <w:szCs w:val="22"/>
        </w:rPr>
      </w:pPr>
      <w:r/>
      <w:bookmarkStart w:id="100" w:name="_Toc29008"/>
      <w:r/>
      <w:bookmarkStart w:id="101" w:name="_Toc3690"/>
      <w:r/>
      <w:bookmarkStart w:id="102" w:name="_Toc6601"/>
      <w:r/>
      <w:bookmarkStart w:id="103" w:name="_Toc26065"/>
      <w:r/>
      <w:bookmarkStart w:id="104" w:name="_Toc19552"/>
      <w:r/>
      <w:bookmarkStart w:id="105" w:name="_Toc17142"/>
      <w:r/>
      <w:bookmarkStart w:id="106" w:name="_Toc1392"/>
      <w:r>
        <w:rPr>
          <w:rFonts w:hint="eastAsia" w:ascii="宋体" w:hAnsi="宋体" w:eastAsia="宋体" w:cs="宋体"/>
          <w:color w:val="auto"/>
          <w:sz w:val="22"/>
          <w:szCs w:val="22"/>
        </w:rPr>
        <w:t xml:space="preserve">2.2 招标文件的澄清</w:t>
      </w:r>
      <w:bookmarkEnd w:id="100"/>
      <w:r/>
      <w:bookmarkEnd w:id="101"/>
      <w:r/>
      <w:bookmarkEnd w:id="102"/>
      <w:r/>
      <w:bookmarkEnd w:id="103"/>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2.2.4 供应商应及时通过”江苏政府采购网（http://www.ccgp-jiangsu.gov.cn/）”及时查询和下载澄清文件，查询和下载如有遗漏，其风险由供应商自行承担。</w:t>
      </w:r>
      <w:r/>
    </w:p>
    <w:p>
      <w:pPr>
        <w:pStyle w:val="1006"/>
        <w:ind w:firstLine="442"/>
        <w:jc w:val="left"/>
        <w:spacing w:before="160" w:after="0" w:line="360" w:lineRule="auto"/>
        <w:rPr>
          <w:rFonts w:hint="eastAsia" w:ascii="宋体" w:hAnsi="宋体" w:eastAsia="宋体" w:cs="宋体"/>
          <w:color w:val="auto"/>
          <w:sz w:val="22"/>
          <w:szCs w:val="22"/>
        </w:rPr>
      </w:pPr>
      <w:r/>
      <w:bookmarkStart w:id="107" w:name="_Toc9064"/>
      <w:r/>
      <w:bookmarkStart w:id="108" w:name="_Toc27042"/>
      <w:r/>
      <w:bookmarkStart w:id="109" w:name="_Toc20946"/>
      <w:r/>
      <w:bookmarkStart w:id="110" w:name="_Toc14496"/>
      <w:r>
        <w:rPr>
          <w:rFonts w:hint="eastAsia" w:ascii="宋体" w:hAnsi="宋体" w:eastAsia="宋体" w:cs="宋体"/>
          <w:color w:val="auto"/>
          <w:sz w:val="22"/>
          <w:szCs w:val="22"/>
        </w:rPr>
        <w:t xml:space="preserve">2.3 招标文件的修改</w:t>
      </w:r>
      <w:bookmarkEnd w:id="104"/>
      <w:r/>
      <w:bookmarkEnd w:id="105"/>
      <w:r/>
      <w:bookmarkEnd w:id="106"/>
      <w:r/>
      <w:bookmarkEnd w:id="107"/>
      <w:r/>
      <w:bookmarkEnd w:id="108"/>
      <w:r/>
      <w:bookmarkEnd w:id="109"/>
      <w:r/>
      <w:bookmarkEnd w:id="110"/>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2.3.3 供应商应及时通过”江苏政府采购网（http://www.ccgp-jiangsu.gov.cn/）”及时查询和下载招标文件的修改，查询和下载如有遗漏，其风险由供应商自行承担。</w:t>
      </w:r>
      <w:bookmarkEnd w:id="92"/>
      <w:r/>
      <w:r/>
    </w:p>
    <w:p>
      <w:pPr>
        <w:pStyle w:val="1020"/>
        <w:jc w:val="both"/>
        <w:spacing w:line="400" w:lineRule="exact"/>
        <w:rPr>
          <w:rFonts w:hint="eastAsia" w:ascii="宋体" w:hAnsi="宋体" w:eastAsia="宋体" w:cs="宋体"/>
          <w:color w:val="auto"/>
        </w:rPr>
      </w:pPr>
      <w:r>
        <w:rPr>
          <w:rFonts w:hint="eastAsia" w:ascii="宋体" w:hAnsi="宋体" w:eastAsia="宋体" w:cs="宋体"/>
          <w:color w:val="auto"/>
        </w:rPr>
      </w:r>
      <w:r/>
    </w:p>
    <w:p>
      <w:pPr>
        <w:numPr>
          <w:ilvl w:val="0"/>
          <w:numId w:val="3"/>
        </w:numPr>
        <w:jc w:val="center"/>
        <w:spacing w:line="440" w:lineRule="exact"/>
        <w:rPr>
          <w:rFonts w:hint="eastAsia" w:ascii="宋体" w:hAnsi="宋体" w:eastAsia="宋体" w:cs="宋体"/>
          <w:b/>
          <w:bCs/>
          <w:color w:val="auto"/>
          <w:sz w:val="24"/>
        </w:rPr>
      </w:pPr>
      <w:r/>
      <w:bookmarkStart w:id="111" w:name="_Toc13007"/>
      <w:r>
        <w:rPr>
          <w:rFonts w:hint="eastAsia" w:ascii="宋体" w:hAnsi="宋体" w:eastAsia="宋体" w:cs="宋体"/>
          <w:b/>
          <w:bCs/>
          <w:color w:val="auto"/>
          <w:sz w:val="24"/>
        </w:rPr>
        <w:t xml:space="preserve">投标文件</w:t>
      </w:r>
      <w:r/>
    </w:p>
    <w:p>
      <w:pPr>
        <w:pStyle w:val="1006"/>
        <w:ind w:firstLine="442"/>
        <w:jc w:val="left"/>
        <w:spacing w:before="160" w:after="0" w:line="360" w:lineRule="auto"/>
        <w:rPr>
          <w:rFonts w:hint="eastAsia" w:ascii="宋体" w:hAnsi="宋体" w:eastAsia="宋体" w:cs="宋体"/>
          <w:color w:val="auto"/>
          <w:sz w:val="22"/>
          <w:szCs w:val="22"/>
        </w:rPr>
      </w:pPr>
      <w:r/>
      <w:bookmarkStart w:id="112" w:name="_Toc32403"/>
      <w:r/>
      <w:bookmarkStart w:id="113" w:name="_Toc24877"/>
      <w:r/>
      <w:bookmarkStart w:id="114" w:name="_Toc23314"/>
      <w:r/>
      <w:bookmarkStart w:id="115" w:name="_Toc19018"/>
      <w:r/>
      <w:bookmarkStart w:id="116" w:name="_Toc14248"/>
      <w:r/>
      <w:bookmarkStart w:id="117" w:name="_Toc6470"/>
      <w:r/>
      <w:bookmarkStart w:id="118" w:name="_Toc16697"/>
      <w:r>
        <w:rPr>
          <w:rFonts w:hint="eastAsia" w:ascii="宋体" w:hAnsi="宋体" w:eastAsia="宋体" w:cs="宋体"/>
          <w:color w:val="auto"/>
          <w:sz w:val="22"/>
          <w:szCs w:val="22"/>
        </w:rPr>
        <w:t xml:space="preserve">3.1 投标文件的构成</w:t>
      </w:r>
      <w:bookmarkEnd w:id="112"/>
      <w:r/>
      <w:bookmarkEnd w:id="113"/>
      <w:r/>
      <w:bookmarkEnd w:id="114"/>
      <w:r/>
      <w:bookmarkEnd w:id="115"/>
      <w:r/>
      <w:bookmarkEnd w:id="116"/>
      <w:r/>
      <w:bookmarkEnd w:id="117"/>
      <w:r/>
      <w:bookmarkEnd w:id="118"/>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3.1.1 投标文件由下列内容组成：</w:t>
      </w:r>
      <w:r/>
    </w:p>
    <w:p>
      <w:pPr>
        <w:ind w:firstLine="679"/>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（1）基本目录</w:t>
      </w:r>
      <w:r/>
    </w:p>
    <w:p>
      <w:pPr>
        <w:ind w:firstLine="679"/>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（2）资格证明文件</w:t>
      </w:r>
      <w:r/>
    </w:p>
    <w:p>
      <w:pPr>
        <w:ind w:firstLine="679"/>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（3）符合证明文件</w:t>
      </w:r>
      <w:r/>
    </w:p>
    <w:p>
      <w:pPr>
        <w:ind w:firstLine="679"/>
        <w:jc w:val="left"/>
        <w:spacing w:line="360" w:lineRule="auto"/>
        <w:rPr>
          <w:rFonts w:hint="eastAsia" w:ascii="宋体" w:hAnsi="宋体" w:eastAsia="宋体" w:cs="宋体"/>
          <w:color w:val="auto"/>
          <w:sz w:val="22"/>
          <w:lang w:eastAsia="zh-CN"/>
        </w:rPr>
      </w:pPr>
      <w:r>
        <w:rPr>
          <w:rFonts w:hint="eastAsia" w:ascii="宋体" w:hAnsi="宋体" w:eastAsia="宋体" w:cs="宋体"/>
          <w:color w:val="auto"/>
          <w:sz w:val="22"/>
        </w:rPr>
        <w:t xml:space="preserve">（4）综合评审</w:t>
      </w:r>
      <w:r>
        <w:rPr>
          <w:rFonts w:hint="eastAsia" w:ascii="宋体" w:hAnsi="宋体" w:cs="宋体"/>
          <w:color w:val="auto"/>
          <w:sz w:val="22"/>
          <w:lang w:eastAsia="zh-CN"/>
        </w:rPr>
        <w:t xml:space="preserve">文件</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3.1.2 第七章“投标文件内容及格式”中要求提供相关证明材料的原件扫描件作为附件的，供应商应按要求在投标文件中提供相应材料。否则，不予认可。</w:t>
      </w:r>
      <w:r/>
    </w:p>
    <w:p>
      <w:pPr>
        <w:pStyle w:val="1006"/>
        <w:ind w:firstLine="442"/>
        <w:jc w:val="left"/>
        <w:spacing w:before="160" w:after="0" w:line="360" w:lineRule="auto"/>
        <w:rPr>
          <w:rFonts w:hint="eastAsia" w:ascii="宋体" w:hAnsi="宋体" w:eastAsia="宋体" w:cs="宋体"/>
          <w:color w:val="auto"/>
          <w:sz w:val="22"/>
          <w:szCs w:val="22"/>
        </w:rPr>
      </w:pPr>
      <w:r/>
      <w:bookmarkStart w:id="119" w:name="_Toc23064"/>
      <w:r/>
      <w:bookmarkStart w:id="120" w:name="_Toc22998"/>
      <w:r/>
      <w:bookmarkStart w:id="121" w:name="_Toc23922"/>
      <w:r/>
      <w:bookmarkStart w:id="122" w:name="_Toc4547"/>
      <w:r/>
      <w:bookmarkStart w:id="123" w:name="_Toc10094"/>
      <w:r/>
      <w:bookmarkStart w:id="124" w:name="_Toc11397"/>
      <w:r/>
      <w:bookmarkStart w:id="125" w:name="_Toc25754"/>
      <w:r>
        <w:rPr>
          <w:rFonts w:hint="eastAsia" w:ascii="宋体" w:hAnsi="宋体" w:eastAsia="宋体" w:cs="宋体"/>
          <w:color w:val="auto"/>
          <w:sz w:val="22"/>
          <w:szCs w:val="22"/>
        </w:rPr>
        <w:t xml:space="preserve">3.2.投标报价</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3.2.4 供应商不得以任何方式或者方法提供报价以外的任何附赠条款，否则其投标无效。</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3.2.5 在合同执行期间，中标人的合同产品单价是固定不变的。以可调单价提交的投标文件将被视为非实质性响应性投标，作为无效投标处理。</w:t>
      </w:r>
      <w:r/>
    </w:p>
    <w:p>
      <w:pPr>
        <w:pStyle w:val="1006"/>
        <w:ind w:firstLine="442"/>
        <w:jc w:val="left"/>
        <w:spacing w:before="160" w:after="0" w:line="360" w:lineRule="auto"/>
        <w:rPr>
          <w:rFonts w:hint="eastAsia" w:ascii="宋体" w:hAnsi="宋体" w:eastAsia="宋体" w:cs="宋体"/>
          <w:color w:val="auto"/>
          <w:sz w:val="22"/>
          <w:szCs w:val="22"/>
        </w:rPr>
      </w:pPr>
      <w:r/>
      <w:bookmarkStart w:id="126" w:name="_Toc27515"/>
      <w:r/>
      <w:bookmarkStart w:id="127" w:name="_Toc9013"/>
      <w:r/>
      <w:bookmarkStart w:id="128" w:name="_Toc10338"/>
      <w:r/>
      <w:bookmarkStart w:id="129" w:name="_Toc31482"/>
      <w:r/>
      <w:bookmarkStart w:id="130" w:name="_Toc24184"/>
      <w:r/>
      <w:bookmarkStart w:id="131" w:name="_Toc15276"/>
      <w:r/>
      <w:bookmarkStart w:id="132" w:name="_Toc21868"/>
      <w:r/>
      <w:bookmarkStart w:id="133" w:name="_Toc15446"/>
      <w:r>
        <w:rPr>
          <w:rFonts w:hint="eastAsia" w:ascii="宋体" w:hAnsi="宋体" w:eastAsia="宋体" w:cs="宋体"/>
          <w:color w:val="auto"/>
          <w:sz w:val="22"/>
          <w:szCs w:val="22"/>
        </w:rPr>
        <w:t xml:space="preserve">3.3 投标有效期</w:t>
      </w:r>
      <w:bookmarkEnd w:id="126"/>
      <w:r/>
      <w:bookmarkEnd w:id="127"/>
      <w:r/>
      <w:bookmarkEnd w:id="128"/>
      <w:r/>
      <w:bookmarkEnd w:id="129"/>
      <w:r/>
      <w:bookmarkEnd w:id="130"/>
      <w:r/>
      <w:bookmarkEnd w:id="131"/>
      <w:r/>
      <w:bookmarkEnd w:id="132"/>
      <w:r/>
      <w:bookmarkEnd w:id="133"/>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006"/>
        <w:ind w:firstLine="442"/>
        <w:jc w:val="left"/>
        <w:spacing w:before="160" w:after="0" w:line="360" w:lineRule="auto"/>
        <w:rPr>
          <w:rFonts w:hint="eastAsia" w:ascii="宋体" w:hAnsi="宋体" w:eastAsia="宋体" w:cs="宋体"/>
          <w:color w:val="auto"/>
          <w:sz w:val="22"/>
          <w:szCs w:val="22"/>
        </w:rPr>
      </w:pPr>
      <w:r/>
      <w:bookmarkStart w:id="134" w:name="_Toc15154"/>
      <w:r/>
      <w:bookmarkStart w:id="135" w:name="_Toc24465"/>
      <w:r/>
      <w:bookmarkStart w:id="136" w:name="_Toc12942"/>
      <w:r/>
      <w:bookmarkStart w:id="137" w:name="_Toc27782"/>
      <w:r>
        <w:rPr>
          <w:rFonts w:hint="eastAsia" w:ascii="宋体" w:hAnsi="宋体" w:eastAsia="宋体" w:cs="宋体"/>
          <w:color w:val="auto"/>
          <w:sz w:val="22"/>
          <w:szCs w:val="22"/>
        </w:rPr>
        <w:t xml:space="preserve">3.4 资格证明资料</w:t>
      </w:r>
      <w:bookmarkEnd w:id="134"/>
      <w:r/>
      <w:bookmarkEnd w:id="135"/>
      <w:r/>
      <w:bookmarkEnd w:id="136"/>
      <w:r/>
      <w:bookmarkEnd w:id="137"/>
      <w:r/>
      <w:r/>
    </w:p>
    <w:p>
      <w:pPr>
        <w:pStyle w:val="1006"/>
        <w:ind w:firstLine="442"/>
        <w:spacing w:before="160" w:after="0" w:line="360" w:lineRule="auto"/>
        <w:rPr>
          <w:rFonts w:hint="eastAsia" w:ascii="宋体" w:hAnsi="宋体" w:eastAsia="宋体" w:cs="宋体"/>
          <w:color w:val="auto"/>
          <w:sz w:val="22"/>
          <w:szCs w:val="22"/>
        </w:rPr>
      </w:pPr>
      <w:r/>
      <w:bookmarkStart w:id="138" w:name="_Toc26649"/>
      <w:r/>
      <w:bookmarkStart w:id="139" w:name="_Toc29715"/>
      <w:r/>
      <w:bookmarkStart w:id="140" w:name="_Toc23953"/>
      <w:r/>
      <w:bookmarkStart w:id="141" w:name="_Toc8080"/>
      <w:r>
        <w:rPr>
          <w:rFonts w:hint="eastAsia" w:ascii="宋体" w:hAnsi="宋体" w:eastAsia="宋体" w:cs="宋体"/>
          <w:color w:val="auto"/>
          <w:sz w:val="22"/>
          <w:szCs w:val="22"/>
        </w:rPr>
        <w:t xml:space="preserve">3.4.1 供应商应按下列规定提供资格证明材料，以证明其满足本项目供应商资格要求：</w:t>
      </w:r>
      <w:bookmarkEnd w:id="138"/>
      <w:r/>
      <w:bookmarkEnd w:id="139"/>
      <w:r/>
      <w:bookmarkEnd w:id="140"/>
      <w:r/>
      <w:bookmarkEnd w:id="141"/>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（1）供应商有效的法人或其他组织的营业执照等证明文件原件扫描件；</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（2）供应商出具的《</w:t>
      </w:r>
      <w:r>
        <w:rPr>
          <w:rFonts w:hint="eastAsia" w:ascii="宋体" w:hAnsi="宋体" w:cs="宋体"/>
          <w:color w:val="auto"/>
          <w:sz w:val="22"/>
          <w:lang w:eastAsia="zh-CN"/>
        </w:rPr>
        <w:t xml:space="preserve">资格审查承诺书</w:t>
      </w:r>
      <w:r>
        <w:rPr>
          <w:rFonts w:hint="eastAsia" w:ascii="宋体" w:hAnsi="宋体" w:eastAsia="宋体" w:cs="宋体"/>
          <w:color w:val="auto"/>
          <w:sz w:val="22"/>
        </w:rPr>
        <w:t xml:space="preserve">》原件扫描件；</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（3）供应商出具的《中小企业声明函》原件扫描件或《残疾人福利性单位声明函》原件扫描件或属于监狱企业的证明文件原件扫描件；</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（4）特定资格条件：</w:t>
      </w:r>
      <w:r>
        <w:rPr>
          <w:rFonts w:hint="eastAsia" w:ascii="宋体" w:hAnsi="宋体" w:eastAsia="宋体" w:cs="宋体"/>
          <w:color w:val="auto"/>
          <w:sz w:val="22"/>
          <w:lang w:eastAsia="zh-CN"/>
        </w:rPr>
        <w:t xml:space="preserve">经营范围包含农业机械、智能装备或信息技术服务</w:t>
      </w:r>
      <w:r>
        <w:rPr>
          <w:rFonts w:hint="eastAsia" w:ascii="宋体" w:hAnsi="宋体" w:cs="宋体"/>
          <w:color w:val="auto"/>
          <w:sz w:val="22"/>
          <w:lang w:eastAsia="zh-CN"/>
        </w:rPr>
        <w:t xml:space="preserve">，</w:t>
      </w:r>
      <w:r>
        <w:rPr>
          <w:rFonts w:hint="eastAsia" w:ascii="宋体" w:hAnsi="宋体" w:eastAsia="宋体" w:cs="宋体"/>
          <w:color w:val="auto"/>
          <w:sz w:val="22"/>
          <w:lang w:eastAsia="zh-CN"/>
        </w:rPr>
        <w:t xml:space="preserve">提供</w:t>
      </w:r>
      <w:r>
        <w:rPr>
          <w:rFonts w:hint="eastAsia" w:ascii="宋体" w:hAnsi="宋体" w:eastAsia="宋体" w:cs="宋体"/>
          <w:color w:val="auto"/>
          <w:sz w:val="22"/>
        </w:rPr>
        <w:t xml:space="preserve">原件扫描件；</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（5）供应商承诺不存在第二章“供应商须知”第 1.3.4项规定的任何一种情形的。</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中扣除不超过5％签约合同价的金额作为违约金。同时采购人将供应商上述弄虚作假行为上报政府采购监督管理部门。</w:t>
      </w:r>
      <w:r/>
    </w:p>
    <w:p>
      <w:pPr>
        <w:pStyle w:val="1006"/>
        <w:ind w:firstLine="442"/>
        <w:jc w:val="left"/>
        <w:spacing w:before="0" w:after="0" w:line="360" w:lineRule="auto"/>
        <w:rPr>
          <w:rFonts w:hint="eastAsia" w:ascii="宋体" w:hAnsi="宋体" w:eastAsia="宋体" w:cs="宋体"/>
          <w:color w:val="auto"/>
          <w:sz w:val="22"/>
          <w:szCs w:val="22"/>
        </w:rPr>
      </w:pPr>
      <w:r/>
      <w:bookmarkStart w:id="142" w:name="_Toc29124"/>
      <w:r/>
      <w:bookmarkStart w:id="143" w:name="_Toc5011"/>
      <w:r/>
      <w:bookmarkStart w:id="144" w:name="_Toc18105"/>
      <w:r/>
      <w:bookmarkStart w:id="145" w:name="_Toc3343"/>
      <w:r>
        <w:rPr>
          <w:rFonts w:hint="eastAsia" w:ascii="宋体" w:hAnsi="宋体" w:eastAsia="宋体" w:cs="宋体"/>
          <w:color w:val="auto"/>
          <w:sz w:val="22"/>
          <w:szCs w:val="22"/>
        </w:rPr>
        <w:t xml:space="preserve">3.5 投标文件的编制</w:t>
      </w:r>
      <w:bookmarkEnd w:id="142"/>
      <w:r/>
      <w:bookmarkEnd w:id="143"/>
      <w:r/>
      <w:bookmarkEnd w:id="144"/>
      <w:r/>
      <w:bookmarkEnd w:id="145"/>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3.5.3 </w:t>
      </w:r>
      <w:r>
        <w:rPr>
          <w:rFonts w:hint="eastAsia" w:ascii="宋体" w:hAnsi="宋体" w:eastAsia="宋体" w:cs="宋体"/>
          <w:color w:val="auto"/>
        </w:rPr>
        <w:t xml:space="preserve">投标人须确保投标文件中扫描件完整、有效、清晰</w:t>
      </w:r>
      <w:r>
        <w:rPr>
          <w:rFonts w:hint="eastAsia" w:ascii="宋体" w:hAnsi="宋体" w:eastAsia="宋体" w:cs="宋体"/>
          <w:color w:val="auto"/>
          <w:sz w:val="22"/>
        </w:rPr>
        <w:t xml:space="preserve">。</w:t>
      </w:r>
      <w:bookmarkEnd w:id="111"/>
      <w:r/>
      <w:r/>
    </w:p>
    <w:p>
      <w:pPr>
        <w:pStyle w:val="1007"/>
        <w:spacing w:line="400" w:lineRule="exact"/>
        <w:rPr>
          <w:rFonts w:hint="eastAsia" w:ascii="宋体" w:hAnsi="宋体" w:eastAsia="宋体" w:cs="宋体"/>
          <w:color w:val="auto"/>
          <w:sz w:val="22"/>
          <w:szCs w:val="22"/>
        </w:rPr>
      </w:pPr>
      <w:r/>
      <w:bookmarkStart w:id="146" w:name="_Toc12903"/>
      <w:r>
        <w:rPr>
          <w:rFonts w:hint="eastAsia" w:ascii="宋体" w:hAnsi="宋体" w:eastAsia="宋体" w:cs="宋体"/>
          <w:color w:val="auto"/>
          <w:sz w:val="22"/>
          <w:szCs w:val="22"/>
        </w:rPr>
        <w:t xml:space="preserve">四.投标</w:t>
      </w:r>
      <w:bookmarkEnd w:id="146"/>
      <w:r/>
      <w:r/>
    </w:p>
    <w:p>
      <w:pPr>
        <w:pStyle w:val="1089"/>
        <w:ind w:firstLine="480"/>
        <w:spacing w:line="400" w:lineRule="exact"/>
        <w:rPr>
          <w:rFonts w:hint="eastAsia" w:ascii="宋体" w:hAnsi="宋体" w:eastAsia="宋体" w:cs="宋体"/>
          <w:b/>
          <w:bCs/>
          <w:color w:val="auto"/>
          <w:sz w:val="22"/>
          <w:lang w:val="zh-CN"/>
        </w:rPr>
      </w:pPr>
      <w:r/>
      <w:bookmarkStart w:id="147" w:name="_Toc440"/>
      <w:r>
        <w:rPr>
          <w:rFonts w:hint="eastAsia" w:ascii="宋体" w:hAnsi="宋体" w:eastAsia="宋体" w:cs="宋体"/>
          <w:b/>
          <w:bCs/>
          <w:color w:val="auto"/>
          <w:sz w:val="22"/>
        </w:rPr>
        <w:t xml:space="preserve">4</w:t>
      </w:r>
      <w:r>
        <w:rPr>
          <w:rFonts w:hint="eastAsia" w:ascii="宋体" w:hAnsi="宋体" w:eastAsia="宋体" w:cs="宋体"/>
          <w:b/>
          <w:bCs/>
          <w:color w:val="auto"/>
          <w:sz w:val="22"/>
          <w:lang w:val="zh-CN"/>
        </w:rPr>
        <w:t xml:space="preserve">.1投标文件的密封（加密）和标记</w:t>
      </w:r>
      <w:r/>
    </w:p>
    <w:p>
      <w:pPr>
        <w:pStyle w:val="1089"/>
        <w:ind w:firstLine="480"/>
        <w:spacing w:line="400" w:lineRule="exact"/>
        <w:rPr>
          <w:rFonts w:hint="eastAsia" w:ascii="宋体" w:hAnsi="宋体" w:eastAsia="宋体" w:cs="宋体"/>
          <w:color w:val="auto"/>
          <w:sz w:val="22"/>
          <w:lang w:val="zh-CN"/>
        </w:rPr>
      </w:pPr>
      <w:r/>
      <w:bookmarkStart w:id="148" w:name="4.2_首次响应文件的递交"/>
      <w:r/>
      <w:bookmarkEnd w:id="148"/>
      <w:r>
        <w:rPr>
          <w:rFonts w:hint="eastAsia" w:ascii="宋体" w:hAnsi="宋体" w:eastAsia="宋体" w:cs="宋体"/>
          <w:color w:val="auto"/>
          <w:sz w:val="22"/>
        </w:rPr>
        <w:t xml:space="preserve">4.1.1</w:t>
      </w:r>
      <w:r>
        <w:rPr>
          <w:rFonts w:hint="eastAsia" w:ascii="宋体" w:hAnsi="宋体" w:eastAsia="宋体" w:cs="宋体"/>
          <w:color w:val="auto"/>
          <w:sz w:val="22"/>
          <w:lang w:val="zh-CN"/>
        </w:rPr>
        <w:t xml:space="preserve"> 密封（加密）要求：本项目供应商须通过“苏采云”系统提供的政府采购客户端工具（使用“CA数字证书”）对其数据电文形式的投标文件加密。</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rPr>
        <w:t xml:space="preserve">4.1.2</w:t>
      </w:r>
      <w:r>
        <w:rPr>
          <w:rFonts w:hint="eastAsia" w:ascii="宋体" w:hAnsi="宋体" w:eastAsia="宋体" w:cs="宋体"/>
          <w:color w:val="auto"/>
          <w:sz w:val="22"/>
          <w:lang w:val="zh-CN"/>
        </w:rPr>
        <w:t xml:space="preserve">签署要求：见《</w:t>
      </w:r>
      <w:r>
        <w:rPr>
          <w:rFonts w:hint="eastAsia" w:ascii="宋体" w:hAnsi="宋体" w:eastAsia="宋体" w:cs="宋体"/>
          <w:color w:val="auto"/>
          <w:sz w:val="22"/>
        </w:rPr>
        <w:t xml:space="preserve">招标</w:t>
      </w:r>
      <w:r>
        <w:rPr>
          <w:rFonts w:hint="eastAsia" w:ascii="宋体" w:hAnsi="宋体" w:eastAsia="宋体" w:cs="宋体"/>
          <w:color w:val="auto"/>
          <w:sz w:val="22"/>
          <w:lang w:val="zh-CN"/>
        </w:rPr>
        <w:t xml:space="preserve">文件》附件中相关格式要求。</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rPr>
        <w:t xml:space="preserve">4.1.3</w:t>
      </w:r>
      <w:r>
        <w:rPr>
          <w:rFonts w:hint="eastAsia" w:ascii="宋体" w:hAnsi="宋体" w:eastAsia="宋体" w:cs="宋体"/>
          <w:color w:val="auto"/>
          <w:sz w:val="22"/>
          <w:lang w:val="zh-CN"/>
        </w:rPr>
        <w:t xml:space="preserve"> 盖章要求：见《</w:t>
      </w:r>
      <w:r>
        <w:rPr>
          <w:rFonts w:hint="eastAsia" w:ascii="宋体" w:hAnsi="宋体" w:eastAsia="宋体" w:cs="宋体"/>
          <w:color w:val="auto"/>
          <w:sz w:val="22"/>
        </w:rPr>
        <w:t xml:space="preserve">招标</w:t>
      </w:r>
      <w:r>
        <w:rPr>
          <w:rFonts w:hint="eastAsia" w:ascii="宋体" w:hAnsi="宋体" w:eastAsia="宋体" w:cs="宋体"/>
          <w:color w:val="auto"/>
          <w:sz w:val="22"/>
          <w:lang w:val="zh-CN"/>
        </w:rPr>
        <w:t xml:space="preserve">文件》附件中相关格式要求。供应商须通过“苏采云”系统提供的政府采购客户端工具（使用“CA数字证书”）加盖电子签章。</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rPr>
        <w:t xml:space="preserve">4.1.4</w:t>
      </w:r>
      <w:r>
        <w:rPr>
          <w:rFonts w:hint="eastAsia" w:ascii="宋体" w:hAnsi="宋体" w:eastAsia="宋体" w:cs="宋体"/>
          <w:color w:val="auto"/>
          <w:sz w:val="22"/>
          <w:lang w:val="zh-CN"/>
        </w:rPr>
        <w:t xml:space="preserve"> 特别提醒：</w:t>
      </w:r>
      <w:r>
        <w:rPr>
          <w:rFonts w:hint="eastAsia" w:ascii="宋体" w:hAnsi="宋体" w:eastAsia="宋体" w:cs="宋体"/>
          <w:color w:val="auto"/>
          <w:sz w:val="22"/>
        </w:rPr>
        <w:t xml:space="preserve">招标</w:t>
      </w:r>
      <w:r>
        <w:rPr>
          <w:rFonts w:hint="eastAsia" w:ascii="宋体" w:hAnsi="宋体" w:eastAsia="宋体" w:cs="宋体"/>
          <w:color w:val="auto"/>
          <w:sz w:val="22"/>
          <w:lang w:val="zh-CN"/>
        </w:rPr>
        <w:t xml:space="preserve">文件中如需“被授权代表签字或盖章”，供应商可打印成文档，签字或盖章后再扫描上传，最后再电子签章。</w:t>
      </w:r>
      <w:r/>
    </w:p>
    <w:p>
      <w:pPr>
        <w:pStyle w:val="1089"/>
        <w:ind w:firstLine="480"/>
        <w:spacing w:line="400" w:lineRule="exact"/>
        <w:rPr>
          <w:rFonts w:hint="eastAsia" w:ascii="宋体" w:hAnsi="宋体" w:eastAsia="宋体" w:cs="宋体"/>
          <w:b/>
          <w:bCs/>
          <w:color w:val="auto"/>
          <w:sz w:val="22"/>
          <w:lang w:val="zh-CN"/>
        </w:rPr>
      </w:pPr>
      <w:r>
        <w:rPr>
          <w:rFonts w:hint="eastAsia" w:ascii="宋体" w:hAnsi="宋体" w:eastAsia="宋体" w:cs="宋体"/>
          <w:b/>
          <w:bCs/>
          <w:color w:val="auto"/>
          <w:sz w:val="22"/>
        </w:rPr>
        <w:t xml:space="preserve">4.2</w:t>
      </w:r>
      <w:r>
        <w:rPr>
          <w:rFonts w:hint="eastAsia" w:ascii="宋体" w:hAnsi="宋体" w:eastAsia="宋体" w:cs="宋体"/>
          <w:b/>
          <w:bCs/>
          <w:color w:val="auto"/>
          <w:sz w:val="22"/>
          <w:lang w:val="zh-CN"/>
        </w:rPr>
        <w:t xml:space="preserve">投标文件的递交</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4.2.4“苏采云”系统使用要求：</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（1）使用谷歌浏览器参与不见面开标及相关环节。</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（2）电脑需提前准备好麦克风、音响，摄像头，提前检查保证能够正常使用。</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（3）操作系统至少win7以上，建议使用win10操作系统。</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（4）通过“苏采云”系统提交政府采购客户端工具导出加密的投标文件（后缀名为zip）。投标文件不得超过350M！ </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注：供应商应当按照《招标文件》的要求编制投标文件，并对其提交的投标文件的真实性、合法性承担法律责任。</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4.2.5逾期上传或未按规定上传的投标文件，采购人不予受理。</w:t>
      </w:r>
      <w:bookmarkEnd w:id="147"/>
      <w:r/>
      <w:r/>
    </w:p>
    <w:p>
      <w:pPr>
        <w:pStyle w:val="1008"/>
        <w:ind w:left="900" w:hanging="417"/>
        <w:spacing w:line="400" w:lineRule="exact"/>
        <w:rPr>
          <w:rFonts w:hint="eastAsia" w:ascii="宋体" w:hAnsi="宋体" w:eastAsia="宋体" w:cs="宋体"/>
          <w:color w:val="auto"/>
          <w:sz w:val="22"/>
          <w:szCs w:val="22"/>
          <w:u w:val="none"/>
        </w:rPr>
      </w:pPr>
      <w:r/>
      <w:bookmarkStart w:id="149" w:name="_Toc5198"/>
      <w:r>
        <w:rPr>
          <w:rFonts w:hint="eastAsia" w:ascii="宋体" w:hAnsi="宋体" w:eastAsia="宋体" w:cs="宋体"/>
          <w:color w:val="auto"/>
          <w:sz w:val="22"/>
          <w:szCs w:val="22"/>
          <w:u w:val="none"/>
        </w:rPr>
        <w:t xml:space="preserve">4.3 投标文件的修改与撤回</w:t>
      </w:r>
      <w:bookmarkEnd w:id="149"/>
      <w:r/>
      <w:r/>
    </w:p>
    <w:p>
      <w:pPr>
        <w:pStyle w:val="1089"/>
        <w:ind w:firstLine="480"/>
        <w:spacing w:line="400" w:lineRule="exact"/>
        <w:rPr>
          <w:rFonts w:hint="eastAsia" w:ascii="宋体" w:hAnsi="宋体" w:eastAsia="宋体" w:cs="宋体"/>
          <w:color w:val="auto"/>
          <w:sz w:val="22"/>
          <w:lang w:val="zh-CN"/>
        </w:rPr>
      </w:pPr>
      <w:r/>
      <w:bookmarkStart w:id="150" w:name="_Toc1350"/>
      <w:r>
        <w:rPr>
          <w:rFonts w:hint="eastAsia" w:ascii="宋体" w:hAnsi="宋体" w:eastAsia="宋体" w:cs="宋体"/>
          <w:color w:val="auto"/>
          <w:sz w:val="22"/>
        </w:rPr>
        <w:t xml:space="preserve">4.3.1</w:t>
      </w:r>
      <w:r>
        <w:rPr>
          <w:rFonts w:hint="eastAsia" w:ascii="宋体" w:hAnsi="宋体" w:eastAsia="宋体" w:cs="宋体"/>
          <w:color w:val="auto"/>
          <w:sz w:val="22"/>
          <w:lang w:val="zh-CN"/>
        </w:rPr>
        <w:t xml:space="preserve"> 电子投标文件的撤回</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lang w:val="zh-CN"/>
        </w:rPr>
        <w:t xml:space="preserve">投标人可在投标截止时间前，撤回其电子投标文件，具体操作方法见《江苏省政府采购管理交易系统（苏采云）供应商操作手册》。</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lang w:val="zh-CN"/>
        </w:rPr>
        <w:t xml:space="preserve">在投标截止时间之后，投标人撤回电子投标文件，则认为其不再参与本项目投标活动。</w:t>
      </w:r>
      <w:r/>
    </w:p>
    <w:p>
      <w:pPr>
        <w:pStyle w:val="1089"/>
        <w:ind w:firstLine="480"/>
        <w:jc w:val="left"/>
        <w:spacing w:line="400" w:lineRule="exact"/>
        <w:rPr>
          <w:rFonts w:hint="eastAsia" w:ascii="宋体" w:hAnsi="宋体" w:eastAsia="宋体" w:cs="宋体"/>
          <w:color w:val="auto"/>
          <w:sz w:val="22"/>
          <w:lang w:val="zh-CN"/>
        </w:rPr>
      </w:pPr>
      <w:r>
        <w:rPr>
          <w:rFonts w:hint="eastAsia" w:ascii="宋体" w:hAnsi="宋体" w:eastAsia="宋体" w:cs="宋体"/>
          <w:color w:val="auto"/>
          <w:sz w:val="22"/>
          <w:lang w:val="zh-CN"/>
        </w:rPr>
        <w:t xml:space="preserve">4.3.2投标文件的修改</w:t>
      </w:r>
      <w:r/>
    </w:p>
    <w:p>
      <w:pPr>
        <w:pStyle w:val="1089"/>
        <w:ind w:firstLine="480"/>
        <w:jc w:val="left"/>
        <w:spacing w:line="400" w:lineRule="exact"/>
        <w:rPr>
          <w:rFonts w:hint="eastAsia" w:ascii="宋体" w:hAnsi="宋体" w:eastAsia="宋体" w:cs="宋体"/>
          <w:color w:val="auto"/>
          <w:sz w:val="22"/>
          <w:lang w:val="zh-CN"/>
        </w:rPr>
      </w:pPr>
      <w:r>
        <w:rPr>
          <w:rFonts w:hint="eastAsia" w:ascii="宋体" w:hAnsi="宋体" w:eastAsia="宋体" w:cs="宋体"/>
          <w:color w:val="auto"/>
          <w:sz w:val="22"/>
          <w:lang w:val="zh-CN"/>
        </w:rPr>
        <w:t xml:space="preserve">投标人可在投标截止时间前，对其电子投标文件进行修改，具体操作方法见《江苏省政府采购管理交易系统（苏采云）供应商操作手册》。</w:t>
      </w:r>
      <w:r/>
    </w:p>
    <w:p>
      <w:pPr>
        <w:pStyle w:val="1089"/>
        <w:ind w:firstLine="480"/>
        <w:spacing w:line="400" w:lineRule="exact"/>
        <w:rPr>
          <w:rFonts w:hint="eastAsia" w:ascii="宋体" w:hAnsi="宋体" w:eastAsia="宋体" w:cs="宋体"/>
          <w:color w:val="auto"/>
          <w:sz w:val="22"/>
          <w:lang w:val="zh-CN"/>
        </w:rPr>
      </w:pPr>
      <w:r>
        <w:rPr>
          <w:rFonts w:hint="eastAsia" w:ascii="宋体" w:hAnsi="宋体" w:eastAsia="宋体" w:cs="宋体"/>
          <w:color w:val="auto"/>
          <w:sz w:val="22"/>
          <w:lang w:val="zh-CN"/>
        </w:rPr>
        <w:t xml:space="preserve"> 在投标截止时间之后，投标人不得对其电子投标文件作任何修改。</w:t>
      </w:r>
      <w:r/>
    </w:p>
    <w:p>
      <w:pPr>
        <w:pStyle w:val="100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五、开标及评标</w:t>
      </w:r>
      <w:bookmarkEnd w:id="150"/>
      <w:r/>
      <w:r/>
    </w:p>
    <w:p>
      <w:pPr>
        <w:pStyle w:val="1008"/>
        <w:ind w:left="900" w:hanging="417"/>
        <w:spacing w:line="400" w:lineRule="exact"/>
        <w:rPr>
          <w:rFonts w:hint="eastAsia" w:ascii="宋体" w:hAnsi="宋体" w:eastAsia="宋体" w:cs="宋体"/>
          <w:color w:val="auto"/>
          <w:sz w:val="22"/>
          <w:szCs w:val="22"/>
          <w:u w:val="none"/>
        </w:rPr>
      </w:pPr>
      <w:r/>
      <w:bookmarkStart w:id="151" w:name="_Toc26462"/>
      <w:r>
        <w:rPr>
          <w:rFonts w:hint="eastAsia" w:ascii="宋体" w:hAnsi="宋体" w:eastAsia="宋体" w:cs="宋体"/>
          <w:color w:val="auto"/>
          <w:sz w:val="22"/>
          <w:szCs w:val="22"/>
          <w:u w:val="none"/>
        </w:rPr>
        <w:t xml:space="preserve">5.1、开标、评标</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5.1.1、投标人应当按照《江苏省政府采购管理交易系统（苏采云）供应商操作手册及政府采购客户端》规定，参加开标活动。</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5.1.2、“江苏政府采购‘苏采云’系统”将自动对项目进行开标，并宣读各投标人的《开标一览表》。</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5.1.6、投标人未参加开标的，视同认可开标结果。</w:t>
      </w:r>
      <w:r/>
    </w:p>
    <w:p>
      <w:pPr>
        <w:pStyle w:val="1008"/>
        <w:ind w:left="900" w:hanging="417"/>
        <w:spacing w:line="400" w:lineRule="exact"/>
        <w:rPr>
          <w:rFonts w:hint="eastAsia" w:ascii="宋体" w:hAnsi="宋体" w:eastAsia="宋体" w:cs="宋体"/>
          <w:color w:val="auto"/>
          <w:sz w:val="22"/>
          <w:szCs w:val="22"/>
          <w:u w:val="none"/>
        </w:rPr>
      </w:pPr>
      <w:r>
        <w:rPr>
          <w:rFonts w:hint="eastAsia" w:ascii="宋体" w:hAnsi="宋体" w:eastAsia="宋体" w:cs="宋体"/>
          <w:color w:val="auto"/>
          <w:sz w:val="22"/>
          <w:szCs w:val="22"/>
          <w:u w:val="none"/>
        </w:rPr>
        <w:t xml:space="preserve">5.2、评标程序</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评标工作由代理公司负责组织，具体评标事务由依法组建的评委会负责。</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投标文件初审。初审分为资格性检查和符合性检查。</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资格性检查。依据法律法规和采购文件的规定，对投标文件中的资格证明等进行审查；通过“信用中国”网站（</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2"/>
        </w:rPr>
        <w:t xml:space="preserve">www.creditchina.gov.cn</w:t>
      </w:r>
      <w:r>
        <w:rPr>
          <w:rFonts w:hint="eastAsia" w:ascii="宋体" w:hAnsi="宋体" w:eastAsia="宋体" w:cs="宋体"/>
          <w:color w:val="auto"/>
          <w:sz w:val="22"/>
        </w:rPr>
        <w:fldChar w:fldCharType="end"/>
      </w:r>
      <w:r>
        <w:rPr>
          <w:rFonts w:hint="eastAsia" w:ascii="宋体" w:hAnsi="宋体" w:eastAsia="宋体" w:cs="宋体"/>
          <w:color w:val="auto"/>
          <w:sz w:val="22"/>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符合性检查。依据采购文件的规定，从投标文件的有效性、完整性和对采购文件的响应程度进行审查，以确定是否对采购文件的实质性要求作出响应。</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澄清有关问题。对投标文件中含义不明确</w:t>
      </w:r>
      <w:r>
        <w:rPr>
          <w:rFonts w:hint="eastAsia" w:ascii="宋体" w:hAnsi="宋体" w:eastAsia="宋体" w:cs="宋体"/>
          <w:color w:val="auto"/>
          <w:sz w:val="22"/>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比较与评价。按采购文件中规定的评标方法和标准，对资格性检查和符合性检查合格的投标文件进行商务和技术评估，综合比较与评价。</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5.2.1、评标方法</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投标人通过初审的，方可进入比较与评</w:t>
      </w:r>
      <w:r>
        <w:rPr>
          <w:rFonts w:hint="eastAsia" w:ascii="宋体" w:hAnsi="宋体" w:cs="宋体"/>
          <w:color w:val="auto"/>
          <w:sz w:val="22"/>
          <w:lang w:eastAsia="zh-CN"/>
        </w:rPr>
        <w:t xml:space="preserve">分</w:t>
      </w:r>
      <w:r>
        <w:rPr>
          <w:rFonts w:hint="eastAsia" w:ascii="宋体" w:hAnsi="宋体" w:eastAsia="宋体" w:cs="宋体"/>
          <w:color w:val="auto"/>
          <w:sz w:val="22"/>
        </w:rPr>
        <w:t xml:space="preserve">程序。</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比较与评</w:t>
      </w:r>
      <w:r>
        <w:rPr>
          <w:rFonts w:hint="eastAsia" w:ascii="宋体" w:hAnsi="宋体" w:cs="宋体"/>
          <w:color w:val="auto"/>
          <w:sz w:val="22"/>
          <w:lang w:eastAsia="zh-CN"/>
        </w:rPr>
        <w:t xml:space="preserve">分</w:t>
      </w:r>
      <w:r>
        <w:rPr>
          <w:rFonts w:hint="eastAsia" w:ascii="宋体" w:hAnsi="宋体" w:eastAsia="宋体" w:cs="宋体"/>
          <w:color w:val="auto"/>
          <w:sz w:val="22"/>
        </w:rPr>
        <w:t xml:space="preserve">采用综合评分法。</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5.2.2、评分标准</w:t>
      </w:r>
      <w:r/>
    </w:p>
    <w:p>
      <w:pPr>
        <w:pStyle w:val="1089"/>
        <w:ind w:firstLine="480"/>
        <w:spacing w:line="400" w:lineRule="exact"/>
        <w:rPr>
          <w:rFonts w:hint="eastAsia" w:ascii="宋体" w:hAnsi="宋体" w:eastAsia="宋体" w:cs="宋体"/>
          <w:color w:val="auto"/>
          <w:sz w:val="22"/>
        </w:rPr>
      </w:pPr>
      <w:r>
        <w:rPr>
          <w:rFonts w:hint="eastAsia" w:ascii="宋体" w:hAnsi="宋体" w:eastAsia="宋体" w:cs="宋体"/>
          <w:color w:val="auto"/>
          <w:sz w:val="22"/>
        </w:rPr>
        <w:t xml:space="preserve">详见附件。</w:t>
      </w:r>
      <w:bookmarkEnd w:id="151"/>
      <w:r/>
      <w:r/>
    </w:p>
    <w:p>
      <w:pPr>
        <w:pStyle w:val="1008"/>
        <w:ind w:left="900" w:hanging="417"/>
        <w:spacing w:line="400" w:lineRule="exact"/>
        <w:rPr>
          <w:rFonts w:hint="eastAsia" w:ascii="宋体" w:hAnsi="宋体" w:eastAsia="宋体" w:cs="宋体"/>
          <w:color w:val="auto"/>
          <w:sz w:val="22"/>
          <w:szCs w:val="22"/>
          <w:u w:val="none"/>
        </w:rPr>
      </w:pPr>
      <w:r>
        <w:rPr>
          <w:rFonts w:hint="eastAsia" w:ascii="宋体" w:hAnsi="宋体" w:eastAsia="宋体" w:cs="宋体"/>
          <w:color w:val="auto"/>
          <w:sz w:val="22"/>
          <w:szCs w:val="22"/>
          <w:u w:val="none"/>
        </w:rPr>
        <w:t xml:space="preserve">5.3特殊情况处置</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（1）评标活动终止</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②发生下列情况之一的，评标委员会应终止评标并按照废标处理：</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a.发生了不可抗力事件；</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b.评标委员会名单泄密或者评标委员成员无法中途更换的；</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c.发生评标信息泄露或者出现非法干预评审、谈判工作的；</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(2)评标委员会中途更换成员</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①除非发生下列情况之一，评标委员会成员不得中途更换：</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a.因不可抗拒的客观原因，不能到场或者需在评标过程中退出评标活动；</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b.根据法律法规规定，某个或者某几个评标委员会成员需要回避；</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(3)评委争议</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hint="eastAsia" w:ascii="宋体" w:hAnsi="宋体" w:eastAsia="宋体" w:cs="宋体"/>
          <w:b/>
          <w:color w:val="auto"/>
          <w:sz w:val="22"/>
          <w:szCs w:val="22"/>
        </w:rPr>
      </w:pPr>
      <w:r/>
      <w:bookmarkStart w:id="152" w:name="_Toc1074"/>
      <w:r>
        <w:rPr>
          <w:rFonts w:hint="eastAsia" w:ascii="宋体" w:hAnsi="宋体" w:eastAsia="宋体" w:cs="宋体"/>
          <w:b/>
          <w:color w:val="auto"/>
          <w:sz w:val="22"/>
          <w:szCs w:val="22"/>
        </w:rPr>
        <w:t xml:space="preserve">5.4 评标</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hint="eastAsia" w:ascii="宋体" w:hAnsi="宋体" w:eastAsia="宋体" w:cs="宋体"/>
          <w:color w:val="auto"/>
          <w:sz w:val="22"/>
        </w:rPr>
      </w:pPr>
      <w:r>
        <w:rPr>
          <w:rFonts w:hint="eastAsia" w:ascii="宋体" w:hAnsi="宋体" w:eastAsia="宋体" w:cs="宋体"/>
          <w:color w:val="auto"/>
          <w:sz w:val="22"/>
          <w:szCs w:val="22"/>
        </w:rPr>
        <w:t xml:space="preserve">5.4.2</w:t>
      </w:r>
      <w:r>
        <w:rPr>
          <w:rFonts w:hint="eastAsia" w:ascii="宋体" w:hAnsi="宋体" w:eastAsia="宋体" w:cs="宋体"/>
          <w:color w:val="auto"/>
          <w:sz w:val="22"/>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5.4.3评标时，评标委员会各成员应当独立对每个供应商的投标文件进行评价，并汇总每个供应商的得分。</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在评标过程中发现供应商有上述情形的，评标委员会应当认定其投标无效，并书面报告本级财政部门。</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5.4.6有下列情形之一的，视为供应商串通投标，其投标无效：</w:t>
      </w:r>
      <w:r/>
    </w:p>
    <w:p>
      <w:pPr>
        <w:ind w:firstLine="24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（一）不同供应商的投标文件由同一单位或者个人编制；</w:t>
      </w:r>
      <w:r/>
    </w:p>
    <w:p>
      <w:pPr>
        <w:ind w:firstLine="24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（二）不同供应商委托同一单位或者个人办理投标事宜；</w:t>
      </w:r>
      <w:r/>
    </w:p>
    <w:p>
      <w:pPr>
        <w:ind w:firstLine="24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（三）不同供应商的投标文件载明的项目管理成员或者联系人员为同一人；</w:t>
      </w:r>
      <w:r/>
    </w:p>
    <w:p>
      <w:pPr>
        <w:ind w:firstLine="240"/>
        <w:spacing w:before="120"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（四）不同供应商的投标文件异常一致或者投标报价呈规律性差异；</w:t>
      </w:r>
      <w:r/>
    </w:p>
    <w:p>
      <w:pPr>
        <w:ind w:firstLine="240"/>
        <w:spacing w:before="120"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（五）不同供应商的投标文件相互混装；</w:t>
      </w:r>
      <w:r/>
    </w:p>
    <w:p>
      <w:pPr>
        <w:ind w:firstLine="480"/>
        <w:spacing w:before="120"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hint="eastAsia" w:ascii="宋体" w:hAnsi="宋体" w:eastAsia="宋体" w:cs="宋体"/>
          <w:color w:val="auto"/>
          <w:sz w:val="22"/>
        </w:rPr>
      </w:pPr>
      <w:r>
        <w:rPr>
          <w:rFonts w:hint="eastAsia" w:ascii="宋体" w:hAnsi="宋体" w:eastAsia="宋体" w:cs="宋体"/>
          <w:color w:val="auto"/>
          <w:sz w:val="22"/>
          <w:szCs w:val="22"/>
        </w:rPr>
        <w:t xml:space="preserve">5.4.8</w:t>
      </w:r>
      <w:r>
        <w:rPr>
          <w:rFonts w:hint="eastAsia" w:ascii="宋体" w:hAnsi="宋体" w:eastAsia="宋体" w:cs="宋体"/>
          <w:color w:val="auto"/>
          <w:sz w:val="22"/>
        </w:rPr>
        <w:t xml:space="preserve">评标完成后，评标委员会根据全体评标成员签字的原始评标记录和评标结果编写评标报告。评标委员会确定的中标候选人名单数量见投标人须知前附表。</w:t>
      </w:r>
      <w:r/>
    </w:p>
    <w:p>
      <w:pPr>
        <w:ind w:firstLine="44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8"/>
        <w:ind w:firstLine="482"/>
        <w:spacing w:line="400" w:lineRule="exact"/>
        <w:rPr>
          <w:rFonts w:hint="eastAsia" w:ascii="宋体" w:hAnsi="宋体" w:eastAsia="宋体" w:cs="宋体"/>
          <w:color w:val="auto"/>
          <w:sz w:val="22"/>
          <w:szCs w:val="22"/>
          <w:u w:val="none"/>
        </w:rPr>
      </w:pPr>
      <w:r>
        <w:rPr>
          <w:rFonts w:hint="eastAsia" w:ascii="宋体" w:hAnsi="宋体" w:eastAsia="宋体" w:cs="宋体"/>
          <w:color w:val="auto"/>
          <w:sz w:val="22"/>
          <w:szCs w:val="22"/>
          <w:u w:val="none"/>
        </w:rPr>
        <w:t xml:space="preserve">5.5</w:t>
      </w:r>
      <w:bookmarkEnd w:id="152"/>
      <w:r/>
      <w:bookmarkStart w:id="153" w:name="_Toc9199"/>
      <w:r>
        <w:rPr>
          <w:rFonts w:hint="eastAsia" w:ascii="宋体" w:hAnsi="宋体" w:eastAsia="宋体" w:cs="宋体"/>
          <w:color w:val="auto"/>
          <w:sz w:val="22"/>
          <w:szCs w:val="22"/>
          <w:u w:val="none"/>
        </w:rPr>
        <w:t xml:space="preserve">评标过程及保密原则</w:t>
      </w:r>
      <w:bookmarkEnd w:id="153"/>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5.5.2有关人员对评标情况以及在评标过程中获悉的国家秘密、商业秘密负有保密责任。</w:t>
      </w:r>
      <w:r/>
    </w:p>
    <w:p>
      <w:pPr>
        <w:pStyle w:val="1007"/>
        <w:spacing w:line="400" w:lineRule="exact"/>
        <w:rPr>
          <w:rFonts w:hint="eastAsia" w:ascii="宋体" w:hAnsi="宋体" w:eastAsia="宋体" w:cs="宋体"/>
          <w:color w:val="auto"/>
          <w:sz w:val="24"/>
          <w:szCs w:val="24"/>
        </w:rPr>
      </w:pPr>
      <w:r/>
      <w:bookmarkStart w:id="154" w:name="_Toc18046"/>
      <w:r>
        <w:rPr>
          <w:rFonts w:hint="eastAsia" w:ascii="宋体" w:hAnsi="宋体" w:eastAsia="宋体" w:cs="宋体"/>
          <w:color w:val="auto"/>
          <w:sz w:val="24"/>
          <w:szCs w:val="24"/>
        </w:rPr>
        <w:t xml:space="preserve">六、中标</w:t>
      </w:r>
      <w:bookmarkEnd w:id="154"/>
      <w:r>
        <w:rPr>
          <w:rFonts w:hint="eastAsia" w:ascii="宋体" w:hAnsi="宋体" w:eastAsia="宋体" w:cs="宋体"/>
          <w:color w:val="auto"/>
          <w:sz w:val="24"/>
          <w:szCs w:val="24"/>
        </w:rPr>
        <w:t xml:space="preserve">和合同</w:t>
      </w:r>
      <w:r/>
    </w:p>
    <w:p>
      <w:pPr>
        <w:pStyle w:val="1006"/>
        <w:ind w:firstLine="442"/>
        <w:jc w:val="left"/>
        <w:spacing w:before="160" w:after="0" w:line="360" w:lineRule="auto"/>
        <w:rPr>
          <w:rFonts w:hint="eastAsia" w:ascii="宋体" w:hAnsi="宋体" w:eastAsia="宋体" w:cs="宋体"/>
          <w:color w:val="auto"/>
          <w:sz w:val="22"/>
          <w:szCs w:val="22"/>
        </w:rPr>
      </w:pPr>
      <w:r/>
      <w:bookmarkStart w:id="155" w:name="_Toc6002"/>
      <w:r/>
      <w:bookmarkStart w:id="156" w:name="_Toc8673"/>
      <w:r/>
      <w:bookmarkStart w:id="157" w:name="_Toc8297"/>
      <w:r/>
      <w:bookmarkStart w:id="158" w:name="_Toc28222"/>
      <w:r/>
      <w:bookmarkStart w:id="159" w:name="_Toc25507"/>
      <w:r/>
      <w:bookmarkStart w:id="160" w:name="_Toc29296"/>
      <w:r/>
      <w:bookmarkStart w:id="161" w:name="_Toc29521"/>
      <w:r/>
      <w:bookmarkStart w:id="162" w:name="_Toc30346"/>
      <w:r>
        <w:rPr>
          <w:rFonts w:hint="eastAsia" w:ascii="宋体" w:hAnsi="宋体" w:eastAsia="宋体" w:cs="宋体"/>
          <w:color w:val="auto"/>
          <w:sz w:val="22"/>
          <w:szCs w:val="22"/>
        </w:rPr>
        <w:t xml:space="preserve">6.1 定标</w:t>
      </w:r>
      <w:bookmarkEnd w:id="155"/>
      <w:r/>
      <w:bookmarkEnd w:id="156"/>
      <w:r/>
      <w:bookmarkEnd w:id="157"/>
      <w:r/>
      <w:bookmarkEnd w:id="158"/>
      <w:r/>
      <w:bookmarkEnd w:id="159"/>
      <w:r/>
      <w:bookmarkEnd w:id="160"/>
      <w:r/>
      <w:bookmarkEnd w:id="161"/>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6.1.1采购代理机构应当在评标结束后2个工作日内将评标报告送采购人。</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06"/>
        <w:ind w:firstLine="442"/>
        <w:jc w:val="left"/>
        <w:spacing w:before="160" w:after="0" w:line="360" w:lineRule="auto"/>
        <w:rPr>
          <w:rFonts w:hint="eastAsia" w:ascii="宋体" w:hAnsi="宋体" w:eastAsia="宋体" w:cs="宋体"/>
          <w:color w:val="auto"/>
          <w:sz w:val="22"/>
        </w:rPr>
      </w:pPr>
      <w:r/>
      <w:bookmarkStart w:id="163" w:name="_Toc8122"/>
      <w:r/>
      <w:bookmarkStart w:id="164" w:name="_Toc218"/>
      <w:r/>
      <w:bookmarkStart w:id="165" w:name="_Toc17359"/>
      <w:r>
        <w:rPr>
          <w:rFonts w:hint="eastAsia" w:ascii="宋体" w:hAnsi="宋体" w:eastAsia="宋体" w:cs="宋体"/>
          <w:color w:val="auto"/>
          <w:sz w:val="22"/>
        </w:rPr>
        <w:t xml:space="preserve">6.2 中标通知</w:t>
      </w:r>
      <w:bookmarkEnd w:id="163"/>
      <w:r/>
      <w:bookmarkEnd w:id="164"/>
      <w:r/>
      <w:bookmarkEnd w:id="165"/>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006"/>
        <w:ind w:firstLine="442"/>
        <w:jc w:val="left"/>
        <w:spacing w:before="0" w:after="0" w:line="360" w:lineRule="auto"/>
        <w:rPr>
          <w:rFonts w:hint="eastAsia" w:ascii="宋体" w:hAnsi="宋体" w:eastAsia="宋体" w:cs="宋体"/>
          <w:color w:val="auto"/>
          <w:sz w:val="22"/>
          <w:szCs w:val="22"/>
        </w:rPr>
      </w:pPr>
      <w:r/>
      <w:bookmarkStart w:id="166" w:name="_Toc1623"/>
      <w:r/>
      <w:bookmarkStart w:id="167" w:name="_Toc21641"/>
      <w:r/>
      <w:bookmarkStart w:id="168" w:name="_Toc11984"/>
      <w:r/>
      <w:bookmarkStart w:id="169" w:name="_Toc3060"/>
      <w:r/>
      <w:bookmarkStart w:id="170" w:name="_Toc11211"/>
      <w:r/>
      <w:bookmarkStart w:id="171" w:name="_Toc14447"/>
      <w:r/>
      <w:bookmarkStart w:id="172" w:name="_Toc23102"/>
      <w:r>
        <w:rPr>
          <w:rFonts w:hint="eastAsia" w:ascii="宋体" w:hAnsi="宋体" w:eastAsia="宋体" w:cs="宋体"/>
          <w:color w:val="auto"/>
          <w:sz w:val="22"/>
          <w:szCs w:val="22"/>
        </w:rPr>
        <w:t xml:space="preserve">6.3 </w:t>
      </w:r>
      <w:bookmarkEnd w:id="166"/>
      <w:r/>
      <w:bookmarkEnd w:id="167"/>
      <w:r/>
      <w:bookmarkEnd w:id="168"/>
      <w:r>
        <w:rPr>
          <w:rFonts w:hint="eastAsia" w:ascii="宋体" w:hAnsi="宋体" w:eastAsia="宋体" w:cs="宋体"/>
          <w:color w:val="auto"/>
          <w:sz w:val="22"/>
          <w:szCs w:val="22"/>
        </w:rPr>
        <w:t xml:space="preserve">履约保证金</w:t>
      </w:r>
      <w:bookmarkEnd w:id="169"/>
      <w:r/>
      <w:bookmarkEnd w:id="170"/>
      <w:r/>
      <w:bookmarkEnd w:id="171"/>
      <w:r/>
      <w:bookmarkEnd w:id="172"/>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6.3.1 在签订合同前，中标人应按供应商须知前附表规定的金额、担保形式向采购人提交履约担保。</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6.3.2 中标人不能按要求提交履约担保的，视为放弃中标，给采购人造成损失的，中标人应当予以赔偿。</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6.3.3 项目验收合格后30日内，采购人无息向中标人退还履约保证金。</w:t>
      </w:r>
      <w:r/>
    </w:p>
    <w:p>
      <w:pPr>
        <w:pStyle w:val="1006"/>
        <w:ind w:firstLine="442"/>
        <w:jc w:val="left"/>
        <w:spacing w:before="0" w:after="0" w:line="360" w:lineRule="auto"/>
        <w:rPr>
          <w:rFonts w:hint="eastAsia" w:ascii="宋体" w:hAnsi="宋体" w:eastAsia="宋体" w:cs="宋体"/>
          <w:color w:val="auto"/>
          <w:sz w:val="22"/>
          <w:szCs w:val="22"/>
        </w:rPr>
      </w:pPr>
      <w:r/>
      <w:bookmarkStart w:id="173" w:name="_Toc6275"/>
      <w:r/>
      <w:bookmarkStart w:id="174" w:name="_Toc10378"/>
      <w:r/>
      <w:bookmarkStart w:id="175" w:name="_Toc24987"/>
      <w:r/>
      <w:bookmarkStart w:id="176" w:name="_Toc18390"/>
      <w:r>
        <w:rPr>
          <w:rFonts w:hint="eastAsia" w:ascii="宋体" w:hAnsi="宋体" w:eastAsia="宋体" w:cs="宋体"/>
          <w:color w:val="auto"/>
          <w:sz w:val="22"/>
          <w:szCs w:val="22"/>
        </w:rPr>
        <w:t xml:space="preserve">6.4 签订合同</w:t>
      </w:r>
      <w:bookmarkEnd w:id="173"/>
      <w:r/>
      <w:bookmarkEnd w:id="174"/>
      <w:r/>
      <w:bookmarkEnd w:id="175"/>
      <w:r/>
      <w:bookmarkEnd w:id="176"/>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2"/>
      <w:r>
        <w:rPr>
          <w:rFonts w:hint="eastAsia" w:ascii="宋体" w:hAnsi="宋体" w:eastAsia="宋体" w:cs="宋体"/>
          <w:i/>
          <w:iCs/>
          <w:color w:val="auto"/>
          <w:sz w:val="22"/>
          <w:u w:val="single"/>
        </w:rPr>
        <w:t xml:space="preserve">中标人不得将货物或服务及其他服务进行转包</w:t>
      </w:r>
      <w:r>
        <w:rPr>
          <w:rFonts w:hint="eastAsia" w:ascii="宋体" w:hAnsi="宋体" w:eastAsia="宋体" w:cs="宋体"/>
          <w:color w:val="auto"/>
          <w:sz w:val="22"/>
        </w:rPr>
        <w:t xml:space="preserve">。</w:t>
      </w:r>
      <w:r/>
    </w:p>
    <w:p>
      <w:pPr>
        <w:ind w:firstLine="440"/>
        <w:spacing w:line="360" w:lineRule="auto"/>
        <w:rPr>
          <w:rFonts w:hint="eastAsia" w:ascii="宋体" w:hAnsi="宋体" w:eastAsia="宋体" w:cs="宋体"/>
          <w:color w:val="auto"/>
          <w:sz w:val="24"/>
          <w:szCs w:val="24"/>
        </w:rPr>
      </w:pPr>
      <w:r>
        <w:rPr>
          <w:rFonts w:hint="eastAsia" w:ascii="宋体" w:hAnsi="宋体" w:eastAsia="宋体" w:cs="宋体"/>
          <w:color w:val="auto"/>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7" w:name="_Toc11070752"/>
      <w:r/>
      <w:bookmarkEnd w:id="177"/>
      <w:r/>
      <w:r/>
    </w:p>
    <w:p>
      <w:pPr>
        <w:ind w:firstLine="442"/>
        <w:spacing w:line="360" w:lineRule="auto"/>
        <w:rPr>
          <w:rFonts w:hint="eastAsia" w:ascii="宋体" w:hAnsi="宋体" w:eastAsia="宋体" w:cs="宋体"/>
          <w:b/>
          <w:bCs/>
          <w:color w:val="auto"/>
          <w:sz w:val="22"/>
        </w:rPr>
      </w:pPr>
      <w:r/>
      <w:bookmarkStart w:id="178" w:name="_Toc11070754"/>
      <w:r>
        <w:rPr>
          <w:rFonts w:hint="eastAsia" w:ascii="宋体" w:hAnsi="宋体" w:eastAsia="宋体" w:cs="宋体"/>
          <w:b/>
          <w:bCs/>
          <w:color w:val="auto"/>
          <w:sz w:val="22"/>
        </w:rPr>
        <w:t xml:space="preserve">6.5 验收</w:t>
      </w:r>
      <w:bookmarkEnd w:id="178"/>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r>
      <w:r/>
    </w:p>
    <w:p>
      <w:pPr>
        <w:jc w:val="center"/>
        <w:spacing w:line="440" w:lineRule="exact"/>
        <w:rPr>
          <w:rFonts w:hint="eastAsia" w:ascii="宋体" w:hAnsi="宋体" w:eastAsia="宋体" w:cs="宋体"/>
          <w:b/>
          <w:bCs/>
          <w:color w:val="auto"/>
          <w:sz w:val="24"/>
        </w:rPr>
      </w:pPr>
      <w:r/>
      <w:bookmarkStart w:id="179" w:name="_Toc20773"/>
      <w:r>
        <w:rPr>
          <w:rFonts w:hint="eastAsia" w:ascii="宋体" w:hAnsi="宋体" w:eastAsia="宋体" w:cs="宋体"/>
          <w:b/>
          <w:bCs/>
          <w:color w:val="auto"/>
          <w:sz w:val="24"/>
        </w:rPr>
        <w:t xml:space="preserve">七、废标、质疑与投诉</w:t>
      </w:r>
      <w:r/>
    </w:p>
    <w:p>
      <w:pPr>
        <w:pStyle w:val="1006"/>
        <w:ind w:firstLine="442"/>
        <w:jc w:val="left"/>
        <w:spacing w:before="0" w:after="0" w:line="440" w:lineRule="exact"/>
        <w:rPr>
          <w:rFonts w:hint="eastAsia" w:ascii="宋体" w:hAnsi="宋体" w:eastAsia="宋体" w:cs="宋体"/>
          <w:color w:val="auto"/>
          <w:sz w:val="22"/>
          <w:szCs w:val="22"/>
        </w:rPr>
      </w:pPr>
      <w:r/>
      <w:bookmarkStart w:id="180" w:name="_Toc22258"/>
      <w:r/>
      <w:bookmarkStart w:id="181" w:name="_Toc24115"/>
      <w:r/>
      <w:bookmarkStart w:id="182" w:name="_Toc7245"/>
      <w:r/>
      <w:bookmarkStart w:id="183" w:name="_Toc8401"/>
      <w:r/>
      <w:bookmarkStart w:id="184" w:name="_Toc2774"/>
      <w:r/>
      <w:bookmarkStart w:id="185" w:name="_Toc28443"/>
      <w:r/>
      <w:bookmarkStart w:id="186" w:name="_Toc10664"/>
      <w:r>
        <w:rPr>
          <w:rFonts w:hint="eastAsia" w:ascii="宋体" w:hAnsi="宋体" w:eastAsia="宋体" w:cs="宋体"/>
          <w:color w:val="auto"/>
          <w:sz w:val="22"/>
          <w:szCs w:val="22"/>
        </w:rPr>
        <w:t xml:space="preserve">7.1 采购人宣布废标的权利</w:t>
      </w:r>
      <w:bookmarkEnd w:id="180"/>
      <w:r/>
      <w:bookmarkEnd w:id="181"/>
      <w:r/>
      <w:bookmarkEnd w:id="182"/>
      <w:r/>
      <w:bookmarkEnd w:id="183"/>
      <w:r/>
      <w:bookmarkEnd w:id="184"/>
      <w:r/>
      <w:bookmarkEnd w:id="185"/>
      <w:r/>
      <w:bookmarkEnd w:id="186"/>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7.1.1 在招标采购过程中，有下列情况之一时，采购人应当予以废标，并将理由通知所有供应商：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（1）符合专业条件的供应商或招标文件作实质响应的供应商不足三家的；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（2）出现影响采购公正的违法、违规行为的；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（3）供应商的报价均超过了采购预算，采购人不能支付的；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（4）因重大变故，采购任务取消的。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（1）招标文件存在不合理条款或者招标程序不符合规定的，采购人、采购代理机构改正后依法重新招标；</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（2）招标文件没有不合理条款、招标程序符合规定，需要采用其他采购方式采购的，采购人应当依法报财政部门批准。</w:t>
      </w:r>
      <w:r/>
    </w:p>
    <w:p>
      <w:pPr>
        <w:pStyle w:val="1006"/>
        <w:ind w:firstLine="442"/>
        <w:jc w:val="left"/>
        <w:spacing w:before="0" w:after="0" w:line="440" w:lineRule="exact"/>
        <w:rPr>
          <w:rFonts w:hint="eastAsia" w:ascii="宋体" w:hAnsi="宋体" w:eastAsia="宋体" w:cs="宋体"/>
          <w:color w:val="auto"/>
          <w:sz w:val="22"/>
          <w:szCs w:val="22"/>
        </w:rPr>
      </w:pPr>
      <w:r/>
      <w:bookmarkStart w:id="187" w:name="_Toc2159"/>
      <w:r/>
      <w:bookmarkStart w:id="188" w:name="_Toc30375"/>
      <w:r/>
      <w:bookmarkStart w:id="189" w:name="_Toc8333"/>
      <w:r/>
      <w:bookmarkStart w:id="190" w:name="_Toc13516"/>
      <w:r/>
      <w:bookmarkStart w:id="191" w:name="_Toc23678"/>
      <w:r/>
      <w:bookmarkStart w:id="192" w:name="_Toc19707"/>
      <w:r/>
      <w:bookmarkStart w:id="193" w:name="_Toc26328"/>
      <w:r>
        <w:rPr>
          <w:rFonts w:hint="eastAsia" w:ascii="宋体" w:hAnsi="宋体" w:eastAsia="宋体" w:cs="宋体"/>
          <w:color w:val="auto"/>
          <w:sz w:val="22"/>
          <w:szCs w:val="22"/>
        </w:rPr>
        <w:t xml:space="preserve">7.2 质疑</w:t>
      </w:r>
      <w:bookmarkEnd w:id="187"/>
      <w:r/>
      <w:bookmarkEnd w:id="188"/>
      <w:r/>
      <w:bookmarkEnd w:id="189"/>
      <w:r/>
      <w:bookmarkEnd w:id="190"/>
      <w:r/>
      <w:bookmarkEnd w:id="191"/>
      <w:r/>
      <w:bookmarkEnd w:id="192"/>
      <w:r/>
      <w:bookmarkEnd w:id="193"/>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7.2.2 提出质疑的供应商应当是参与本项目采购活动的供应商。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（1）对采购文件提出质疑的，潜在供应商应当在按规定获取采购文件之日起7个工作日内提出。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（2）对采购过程提出质疑的，应在各采购程序环节结束之日起7个工作日内提出。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（3）对中标结果提出质疑的，应当在中标结果公告届满之日起7个工作日内提出。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7.2.3 供应商提出质疑应当提交质疑函和必要的证明材料。质疑函应当包括下列内容：</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（1）供应商的姓名或者名称、地址、邮编、联系人及联系电话；</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（2）质疑项目的名称、编号；</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（3）具体、明确的质疑事项和与质疑事项相关的请求；</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（4）事实依据；</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（5）必要的法律依据；</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（6）提出质疑的日期。</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7.2.5 除书面形式外，其他任何方式的质疑，采购人或者采购代理机构均不予接收和答复。</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质疑答复导致中标结果改变的，采购人或者采购代理机构应当将有关情况书面报告本级财政部门。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八、其他事宜</w:t>
      </w:r>
      <w:r/>
    </w:p>
    <w:p>
      <w:pPr>
        <w:pStyle w:val="1006"/>
        <w:ind w:firstLine="442"/>
        <w:jc w:val="left"/>
        <w:spacing w:before="0" w:after="0" w:line="440" w:lineRule="exact"/>
        <w:rPr>
          <w:rFonts w:hint="eastAsia" w:ascii="宋体" w:hAnsi="宋体" w:eastAsia="宋体" w:cs="宋体"/>
          <w:color w:val="auto"/>
          <w:sz w:val="22"/>
          <w:szCs w:val="22"/>
        </w:rPr>
      </w:pPr>
      <w:r/>
      <w:bookmarkStart w:id="194" w:name="_Toc10386"/>
      <w:r/>
      <w:bookmarkStart w:id="195" w:name="_Toc21692"/>
      <w:r/>
      <w:bookmarkStart w:id="196" w:name="_Toc6452"/>
      <w:r/>
      <w:bookmarkStart w:id="197" w:name="_Toc11001"/>
      <w:r/>
      <w:bookmarkStart w:id="198" w:name="_Toc8094"/>
      <w:r/>
      <w:bookmarkStart w:id="199" w:name="_Toc25388"/>
      <w:r/>
      <w:bookmarkStart w:id="200" w:name="_Toc15745"/>
      <w:r>
        <w:rPr>
          <w:rFonts w:hint="eastAsia" w:ascii="宋体" w:hAnsi="宋体" w:eastAsia="宋体" w:cs="宋体"/>
          <w:color w:val="auto"/>
          <w:sz w:val="22"/>
          <w:szCs w:val="22"/>
        </w:rPr>
        <w:t xml:space="preserve">8.1 </w:t>
      </w:r>
      <w:bookmarkEnd w:id="194"/>
      <w:r/>
      <w:bookmarkEnd w:id="195"/>
      <w:r/>
      <w:bookmarkEnd w:id="196"/>
      <w:r>
        <w:rPr>
          <w:rFonts w:hint="eastAsia" w:ascii="宋体" w:hAnsi="宋体" w:eastAsia="宋体" w:cs="宋体"/>
          <w:color w:val="auto"/>
          <w:sz w:val="22"/>
          <w:szCs w:val="22"/>
        </w:rPr>
        <w:t xml:space="preserve">需补充的其他内容</w:t>
      </w:r>
      <w:bookmarkEnd w:id="197"/>
      <w:r/>
      <w:bookmarkEnd w:id="198"/>
      <w:r/>
      <w:bookmarkEnd w:id="199"/>
      <w:r/>
      <w:bookmarkEnd w:id="200"/>
      <w:r/>
      <w:r/>
    </w:p>
    <w:p>
      <w:pPr>
        <w:ind w:firstLine="440"/>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8.1.1 采购人需要补充的其他内容：见供应商须知前附表。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8.1.2 </w:t>
      </w:r>
      <w:r>
        <w:rPr>
          <w:rFonts w:hint="eastAsia" w:ascii="宋体" w:hAnsi="宋体" w:eastAsia="宋体" w:cs="宋体"/>
          <w:color w:val="auto"/>
          <w:sz w:val="22"/>
        </w:rPr>
        <w:t xml:space="preserve">其他未尽事宜按照《中华人民共和国政府采购法》及相关法律、法规、规章的有关规定执行</w:t>
      </w:r>
      <w:r>
        <w:rPr>
          <w:rFonts w:hint="eastAsia" w:ascii="宋体" w:hAnsi="宋体" w:eastAsia="宋体" w:cs="宋体"/>
          <w:color w:val="auto"/>
        </w:rPr>
        <w:t xml:space="preserve">。</w:t>
      </w:r>
      <w:bookmarkEnd w:id="30"/>
      <w:r/>
      <w:bookmarkEnd w:id="31"/>
      <w:r/>
      <w:bookmarkEnd w:id="32"/>
      <w:r/>
      <w:bookmarkEnd w:id="179"/>
      <w:r/>
      <w:r/>
    </w:p>
    <w:p>
      <w:pPr>
        <w:ind w:firstLine="480"/>
        <w:spacing w:before="120" w:line="440" w:lineRule="exact"/>
        <w:rPr>
          <w:rFonts w:hint="eastAsia" w:ascii="宋体" w:hAnsi="宋体" w:eastAsia="宋体" w:cs="宋体"/>
          <w:color w:val="auto"/>
          <w:sz w:val="24"/>
          <w:szCs w:val="24"/>
        </w:rPr>
      </w:pPr>
      <w:r/>
      <w:bookmarkStart w:id="201" w:name="_Toc3344"/>
      <w:r/>
      <w:bookmarkStart w:id="202" w:name="_Toc89569875"/>
      <w:r/>
      <w:r/>
    </w:p>
    <w:p>
      <w:pPr>
        <w:pStyle w:val="1006"/>
        <w:spacing w:line="240" w:lineRule="auto"/>
        <w:rPr>
          <w:rFonts w:hint="eastAsia" w:ascii="宋体" w:hAnsi="宋体" w:eastAsia="宋体" w:cs="宋体"/>
          <w:b w:val="0"/>
          <w:bCs w:val="0"/>
          <w:color w:val="auto"/>
          <w:sz w:val="28"/>
          <w:szCs w:val="28"/>
        </w:rPr>
      </w:pPr>
      <w:r>
        <w:rPr>
          <w:rFonts w:hint="eastAsia" w:ascii="宋体" w:hAnsi="宋体" w:eastAsia="宋体" w:cs="宋体"/>
          <w:color w:val="auto"/>
          <w:sz w:val="28"/>
          <w:szCs w:val="28"/>
        </w:rPr>
        <w:br w:type="page" w:clear="all"/>
      </w:r>
      <w:bookmarkStart w:id="203" w:name="_Toc30364"/>
      <w:r>
        <w:rPr>
          <w:rFonts w:hint="eastAsia" w:ascii="宋体" w:hAnsi="宋体" w:eastAsia="宋体" w:cs="宋体"/>
          <w:color w:val="auto"/>
          <w:sz w:val="28"/>
          <w:szCs w:val="28"/>
        </w:rPr>
        <w:t xml:space="preserve">第三章 合同一般条款</w:t>
      </w:r>
      <w:bookmarkEnd w:id="201"/>
      <w:r/>
      <w:bookmarkEnd w:id="202"/>
      <w:r/>
      <w:bookmarkEnd w:id="203"/>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1．定义</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本合同下列术语应解释为：</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1.1 合同要素</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(b)“合同价”系指根据合同规定供应商在正确地完全履行合同义务后采购人应支付给供应商的价格。</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(c) “合同条款”系指本合同条款。</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(d) “技术要求”指的是招标文件中的技术要求。</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1.2 实体</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(a)“采购人”系指购买货物和服务的单位或其指定的采购代理。</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(b)“供应商”系指提供本合同项下货物和服务的公司或实体。</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(c) “最终用户” 系指授权采购人采购合同项下货物和服务的使用单位。</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(d)“项目现场代表”由采购人任命的代表，负责执行采购人在项目现场的合同义务。</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1.3 事项</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(b) “知识产权”指本合同涉及的任何及所有的著作权、商标权、专利权和其它智力成果的和专有的权利和利益。</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1.5 地点和时间</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(a) “项目现场”指的是货物交付和安装或服务具体的场所。</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(b) “天”指日历天数。</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(c) “周”指按中国习惯开始的连续七天</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(d) “年”指连续的12个月。</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(e) “保证期“是指自合同验收合格之日起一定时间内，供应商保证所供货物的适当和稳定运行，并负责消除存在的任何缺陷。</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2．保险</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3．价格</w:t>
      </w:r>
      <w:r/>
    </w:p>
    <w:p>
      <w:pPr>
        <w:ind w:firstLine="440"/>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供应商在本合同项下履行服务收取的价格在合同格式中给出。 </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4．误期赔偿费</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5．违约终止合同</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(l) 如果供应商未能在合同规定的限期或采购人根据合同条款的规定同意延长的限期内提供部分或全部服务； </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(2) 如果供应商未能履行合同规定的其它任何义务；</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(3) 如果采购人认为供应商在本合同的竞争和实施过程中有腐败和欺诈行为。为此目的，定义下述条件：</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(i)“腐败行为”是指提供、给予、接受或索取任何有价值的物品来影响公共官员在采购过程或合同实施过程中的行为；</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 (ii)“欺诈行为”是指为了影响采购过程或合同实施过程而谎报事实，损害采购人的利益。</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6．不可抗力</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7. 因破产而终止合同</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8．因采购人的便利而终止合同</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9．争端的解决</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合同实施或与合同有关的一切争端应通过双方友好协商解决。如果友好协商开始后60天还不能解决：</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9.1 国内贸易合同履行过程中如有争议，双方应先友好协商，经协商不成的，则向有管辖权的人民法院提起诉讼。</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9.2 国外贸易合同履行过程中如有争议，应提交仲裁。</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9.2.1 仲裁应由中国国际经济贸易仲裁委员会按其仲裁规则和程序在中国境内进行。</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9.2.2 仲裁裁决应为最终裁决，对双方均具有约束力。</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9.2.3 仲裁费除仲裁机关另有裁决外均应由败诉方负担。</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9.2.4 在仲裁期间，除正在进行仲裁的部分外，本合同其它部分应继续执行。</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10. 合同语言</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除非双方另行同意，本合同语言为中文。双方交换的与合同有关的信件和其他文件应用合同语言书写。</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11．适用法律</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 本合同应按照中华人民共和国的现行法律进行解释。</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12．通知</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12.1 本合同一方给对方的通知应用书面形式要对方经书面确认。</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12.2 通知以送到日期或通知书的生效日期为生效日期，两者中以晚的一个日期为准。</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13．税费</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13.1 中国政府根据现行税法对供应商征收的与本合同有关的一切税费均应由供应商负担。</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13.3 在中国境外发生的与本合同执行有关的一切税费均应由供应商负担。</w:t>
      </w:r>
      <w:r/>
    </w:p>
    <w:p>
      <w:pPr>
        <w:ind w:firstLine="442"/>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14．合同生效及其他</w:t>
      </w:r>
      <w:r/>
    </w:p>
    <w:p>
      <w:pPr>
        <w:ind w:firstLine="440"/>
        <w:spacing w:before="120"/>
        <w:rPr>
          <w:rFonts w:hint="eastAsia" w:ascii="宋体" w:hAnsi="宋体" w:eastAsia="宋体" w:cs="宋体"/>
          <w:color w:val="auto"/>
          <w:sz w:val="22"/>
          <w:szCs w:val="22"/>
        </w:rPr>
      </w:pPr>
      <w:r>
        <w:rPr>
          <w:rFonts w:hint="eastAsia" w:ascii="宋体" w:hAnsi="宋体" w:eastAsia="宋体" w:cs="宋体"/>
          <w:color w:val="auto"/>
          <w:sz w:val="22"/>
          <w:szCs w:val="22"/>
        </w:rPr>
        <w:t xml:space="preserve"> 本合同一式五份，以中文书写。</w:t>
      </w:r>
      <w:r/>
    </w:p>
    <w:p>
      <w:pPr>
        <w:pStyle w:val="1006"/>
        <w:spacing w:line="240" w:lineRule="auto"/>
        <w:rPr>
          <w:rFonts w:hint="eastAsia" w:ascii="宋体" w:hAnsi="宋体" w:eastAsia="宋体" w:cs="宋体"/>
          <w:b w:val="0"/>
          <w:bCs w:val="0"/>
          <w:color w:val="auto"/>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宋体" w:hAnsi="宋体" w:eastAsia="宋体" w:cs="宋体"/>
          <w:b w:val="0"/>
          <w:bCs w:val="0"/>
          <w:color w:val="auto"/>
          <w:sz w:val="22"/>
          <w:szCs w:val="22"/>
        </w:rPr>
      </w:r>
      <w:r/>
    </w:p>
    <w:p>
      <w:pPr>
        <w:pStyle w:val="1006"/>
        <w:keepLines/>
        <w:keepNext/>
        <w:pageBreakBefore w:val="0"/>
        <w:spacing w:before="0" w:after="0" w:line="240" w:lineRule="auto"/>
        <w:widowControl w:val="off"/>
        <w:rPr>
          <w:rFonts w:hint="eastAsia" w:ascii="宋体" w:hAnsi="宋体" w:eastAsia="宋体" w:cs="宋体"/>
          <w:color w:val="auto"/>
          <w:sz w:val="28"/>
          <w:szCs w:val="28"/>
        </w:rPr>
      </w:pPr>
      <w:r/>
      <w:bookmarkStart w:id="204" w:name="_Toc16755"/>
      <w:r>
        <w:rPr>
          <w:rFonts w:hint="eastAsia" w:ascii="宋体" w:hAnsi="宋体" w:eastAsia="宋体" w:cs="宋体"/>
          <w:color w:val="auto"/>
          <w:sz w:val="28"/>
          <w:szCs w:val="28"/>
        </w:rPr>
        <w:t xml:space="preserve">第四章 合同格式</w:t>
      </w:r>
      <w:bookmarkEnd w:id="204"/>
      <w:r/>
      <w:bookmarkStart w:id="205" w:name="_Toc16684"/>
      <w:r/>
      <w:bookmarkStart w:id="206" w:name="_Toc23002"/>
      <w:r/>
      <w:r/>
    </w:p>
    <w:p>
      <w:pPr>
        <w:pStyle w:val="1006"/>
        <w:keepLines/>
        <w:keepNext/>
        <w:pageBreakBefore w:val="0"/>
        <w:spacing w:before="0" w:after="0" w:line="240" w:lineRule="auto"/>
        <w:widowControl w:val="off"/>
        <w:rPr>
          <w:rFonts w:hint="eastAsia" w:ascii="宋体" w:hAnsi="宋体" w:eastAsia="宋体" w:cs="宋体"/>
          <w:b/>
          <w:bCs/>
          <w:color w:val="auto"/>
          <w:szCs w:val="22"/>
        </w:rPr>
      </w:pPr>
      <w:r>
        <w:rPr>
          <w:rFonts w:hint="eastAsia" w:ascii="宋体" w:hAnsi="宋体" w:eastAsia="宋体" w:cs="宋体"/>
          <w:b/>
          <w:bCs/>
          <w:color w:val="auto"/>
          <w:sz w:val="28"/>
          <w:szCs w:val="28"/>
        </w:rPr>
        <w:t xml:space="preserve">合同书（格式文本）</w:t>
      </w:r>
      <w:bookmarkEnd w:id="205"/>
      <w:r/>
      <w:r/>
    </w:p>
    <w:p>
      <w:pPr>
        <w:jc w:val="right"/>
        <w:keepLines w:val="0"/>
        <w:keepNext w:val="0"/>
        <w:pageBreakBefore w:val="0"/>
        <w:spacing w:line="420" w:lineRule="exact"/>
        <w:widowControl w:val="off"/>
        <w:rPr>
          <w:rFonts w:hint="eastAsia" w:ascii="宋体" w:hAnsi="宋体" w:eastAsia="宋体" w:cs="宋体"/>
          <w:color w:val="auto"/>
          <w:szCs w:val="22"/>
          <w:lang w:eastAsia="zh-CN"/>
        </w:rPr>
      </w:pPr>
      <w:r>
        <w:rPr>
          <w:rFonts w:hint="eastAsia" w:ascii="宋体" w:hAnsi="宋体" w:eastAsia="宋体" w:cs="宋体"/>
          <w:color w:val="auto"/>
          <w:sz w:val="24"/>
          <w:szCs w:val="22"/>
        </w:rPr>
        <w:t xml:space="preserve">编号</w:t>
      </w:r>
      <w:r>
        <w:rPr>
          <w:rFonts w:hint="eastAsia" w:ascii="宋体" w:hAnsi="宋体" w:eastAsia="宋体" w:cs="宋体"/>
          <w:color w:val="auto"/>
          <w:sz w:val="24"/>
          <w:szCs w:val="22"/>
          <w:lang w:eastAsia="zh-CN"/>
        </w:rPr>
        <w:t xml:space="preserve">：</w:t>
      </w:r>
      <w:r>
        <w:rPr>
          <w:rFonts w:hint="eastAsia" w:ascii="宋体" w:hAnsi="宋体" w:eastAsia="宋体" w:cs="宋体"/>
          <w:color w:val="auto"/>
          <w:spacing w:val="-20"/>
          <w:sz w:val="24"/>
          <w:szCs w:val="22"/>
        </w:rPr>
        <w:t xml:space="preserve">JSZC-321282-YZSX-G2024-</w:t>
      </w:r>
      <w:r>
        <w:rPr>
          <w:rFonts w:hint="eastAsia" w:ascii="宋体" w:hAnsi="宋体" w:eastAsia="宋体" w:cs="宋体"/>
          <w:color w:val="auto"/>
          <w:spacing w:val="-20"/>
          <w:sz w:val="24"/>
          <w:szCs w:val="22"/>
          <w:lang w:val="en-US" w:eastAsia="zh-CN"/>
        </w:rPr>
        <w:t xml:space="preserve">0</w:t>
      </w:r>
      <w:r>
        <w:rPr>
          <w:rFonts w:hint="eastAsia" w:ascii="宋体" w:hAnsi="宋体" w:eastAsia="宋体" w:cs="宋体"/>
          <w:color w:val="auto"/>
          <w:spacing w:val="-20"/>
          <w:sz w:val="24"/>
          <w:szCs w:val="22"/>
        </w:rPr>
        <w:t xml:space="preserve">00</w:t>
      </w:r>
      <w:r>
        <w:rPr>
          <w:rFonts w:hint="eastAsia" w:ascii="宋体" w:hAnsi="宋体" w:cs="宋体"/>
          <w:color w:val="auto"/>
          <w:spacing w:val="-20"/>
          <w:sz w:val="24"/>
          <w:szCs w:val="22"/>
          <w:lang w:val="en-US" w:eastAsia="zh-CN"/>
        </w:rPr>
        <w:t xml:space="preserve">7</w:t>
      </w:r>
      <w:r/>
    </w:p>
    <w:p>
      <w:pPr>
        <w:ind w:firstLine="5040"/>
        <w:spacing w:after="400" w:line="42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签订地点：</w:t>
      </w:r>
      <w:r>
        <w:rPr>
          <w:rFonts w:hint="eastAsia" w:ascii="宋体" w:hAnsi="宋体" w:eastAsia="宋体" w:cs="宋体"/>
          <w:color w:val="auto"/>
          <w:sz w:val="24"/>
          <w:szCs w:val="22"/>
          <w:lang w:eastAsia="zh-CN"/>
        </w:rPr>
        <w:t xml:space="preserve">靖江</w:t>
      </w:r>
      <w:r>
        <w:rPr>
          <w:rFonts w:hint="eastAsia" w:ascii="宋体" w:hAnsi="宋体" w:eastAsia="宋体" w:cs="宋体"/>
          <w:color w:val="auto"/>
          <w:sz w:val="24"/>
          <w:szCs w:val="22"/>
        </w:rPr>
        <w:t xml:space="preserve">市</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信用融资回款账户：</w:t>
      </w:r>
      <w:r>
        <w:rPr>
          <w:rFonts w:hint="eastAsia" w:ascii="宋体" w:hAnsi="宋体" w:eastAsia="宋体" w:cs="宋体"/>
          <w:color w:val="auto"/>
          <w:sz w:val="24"/>
          <w:szCs w:val="24"/>
          <w:u w:val="single"/>
        </w:rPr>
        <w:t xml:space="preserve">                        （如有）</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4"/>
          <w:u w:val="single"/>
        </w:rPr>
        <w:t xml:space="preserve">                                （如有）</w:t>
      </w:r>
      <w:r/>
    </w:p>
    <w:p>
      <w:pPr>
        <w:spacing w:line="4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根据《中华人民共和国政府采购法》及其实施条例、《中华人民共和国民法典》等法律法规的规定，甲乙双方按照</w:t>
      </w:r>
      <w:r>
        <w:rPr>
          <w:rFonts w:hint="eastAsia" w:ascii="宋体" w:hAnsi="宋体" w:eastAsia="宋体" w:cs="宋体"/>
          <w:color w:val="auto"/>
          <w:sz w:val="24"/>
          <w:szCs w:val="24"/>
          <w:u w:val="single"/>
          <w:lang w:eastAsia="zh-CN"/>
        </w:rPr>
        <w:t xml:space="preserve">“靖江智能化稻麦轮作农机装备与技术集成示范”项目智能农机装备与设备平台采购</w:t>
      </w:r>
      <w:r>
        <w:rPr>
          <w:rFonts w:hint="eastAsia" w:ascii="宋体" w:hAnsi="宋体" w:eastAsia="宋体" w:cs="宋体"/>
          <w:color w:val="auto"/>
          <w:sz w:val="24"/>
          <w:szCs w:val="24"/>
        </w:rPr>
        <w:t xml:space="preserve"> 项目（项目编号：</w:t>
      </w:r>
      <w:r>
        <w:rPr>
          <w:rFonts w:hint="eastAsia" w:ascii="宋体" w:hAnsi="宋体" w:eastAsia="宋体" w:cs="宋体"/>
          <w:color w:val="auto"/>
          <w:sz w:val="24"/>
          <w:szCs w:val="24"/>
          <w:u w:val="single"/>
        </w:rPr>
        <w:t xml:space="preserve">JSZC-321282-YZSX-G2024-</w:t>
      </w:r>
      <w:r>
        <w:rPr>
          <w:rFonts w:hint="eastAsia" w:ascii="宋体" w:hAnsi="宋体" w:eastAsia="宋体" w:cs="宋体"/>
          <w:color w:val="auto"/>
          <w:sz w:val="24"/>
          <w:szCs w:val="24"/>
          <w:u w:val="single"/>
          <w:lang w:val="en-US" w:eastAsia="zh-CN"/>
        </w:rPr>
        <w:t xml:space="preserve">0</w:t>
      </w:r>
      <w:r>
        <w:rPr>
          <w:rFonts w:hint="eastAsia" w:ascii="宋体" w:hAnsi="宋体" w:eastAsia="宋体" w:cs="宋体"/>
          <w:color w:val="auto"/>
          <w:sz w:val="24"/>
          <w:szCs w:val="24"/>
          <w:u w:val="single"/>
        </w:rPr>
        <w:t xml:space="preserve">00</w:t>
      </w:r>
      <w:r>
        <w:rPr>
          <w:rFonts w:hint="eastAsia" w:ascii="宋体" w:hAnsi="宋体" w:cs="宋体"/>
          <w:color w:val="auto"/>
          <w:sz w:val="24"/>
          <w:szCs w:val="24"/>
          <w:u w:val="single"/>
          <w:lang w:val="en-US" w:eastAsia="zh-CN"/>
        </w:rPr>
        <w:t xml:space="preserve">7</w:t>
      </w:r>
      <w:r>
        <w:rPr>
          <w:rFonts w:hint="eastAsia" w:ascii="宋体" w:hAnsi="宋体" w:eastAsia="宋体" w:cs="宋体"/>
          <w:color w:val="auto"/>
          <w:sz w:val="24"/>
          <w:szCs w:val="24"/>
        </w:rPr>
        <w:t xml:space="preserve">）政府采购结果签订本合同。</w:t>
      </w:r>
      <w:r/>
    </w:p>
    <w:p>
      <w:pPr>
        <w:ind w:firstLine="480"/>
        <w:spacing w:line="4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第一条 定义</w:t>
      </w:r>
      <w:r/>
    </w:p>
    <w:p>
      <w:pPr>
        <w:ind w:firstLine="480"/>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除非另有特别解释或说明，本合同有关词语应按如下定义解释：</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1.1合同：甲方、乙方签署的与本项目相关的合同书、协议、附件、附录、其他文件和政府采购过程中的全部文件。</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1.2甲方：购买本合同项下货物并接受相关服务的国家机关、事业单位、团体组织。</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1.3乙方：提供本合同项下货物和服务的法人、其他组织或自然人。</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1.4货物：根据合同规定乙方为完成本项目应向甲方提供的一切货物及备件、工具、手册、技术资料及其他材料。</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rPr>
          <w:rFonts w:hint="eastAsia" w:ascii="宋体" w:hAnsi="宋体" w:eastAsia="宋体" w:cs="宋体"/>
          <w:b/>
          <w:color w:val="auto"/>
          <w:sz w:val="24"/>
          <w:szCs w:val="24"/>
        </w:rPr>
        <w:t xml:space="preserve">第二条 组成本合同的文件</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2.1下列政府采购过程文件为本合同不可分割部分：</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①中标或成交通知书；</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②招标文件、竞争性谈判文件、询价文件、单一来源谈判记录、竞争性磋商文件等（以下统称“采购文件”）；</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③乙方的投标文件或响应文件；</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④乙方在报价过程中所作的其它承诺、声明、书面澄清等。</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2.2上述文件之间如果出现不一致的，以甲方文件确定的内容为准，但乙方文件的内容对甲方更有利的，适用乙方文件。</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第三条 合同货物</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合同货物清单详见采购文件；乙方负责按照合同要求向甲方提供前述清单中的货物。</w:t>
      </w:r>
      <w:r/>
    </w:p>
    <w:p>
      <w:pPr>
        <w:ind w:firstLine="50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第四条 合同总价</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4.1合同总价按此次采购结果执行，总金额为人民币</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元（大写</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）。本合同为固定总价合同。</w:t>
      </w:r>
      <w:r/>
    </w:p>
    <w:p>
      <w:pPr>
        <w:ind w:firstLine="281"/>
        <w:spacing w:line="440" w:lineRule="exact"/>
        <w:rPr>
          <w:rFonts w:hint="eastAsia" w:ascii="宋体" w:hAnsi="宋体" w:eastAsia="宋体" w:cs="宋体"/>
          <w:b/>
          <w:color w:val="auto"/>
          <w:sz w:val="24"/>
          <w:szCs w:val="24"/>
        </w:rPr>
      </w:pPr>
      <w:r>
        <w:rPr>
          <w:rFonts w:hint="eastAsia" w:ascii="宋体" w:hAnsi="宋体" w:eastAsia="宋体" w:cs="宋体"/>
          <w:b/>
          <w:color w:val="auto"/>
          <w:sz w:val="28"/>
          <w:szCs w:val="28"/>
        </w:rPr>
        <w:t xml:space="preserve">★</w:t>
      </w:r>
      <w:r>
        <w:rPr>
          <w:rFonts w:hint="eastAsia" w:ascii="宋体" w:hAnsi="宋体" w:eastAsia="宋体" w:cs="宋体"/>
          <w:b/>
          <w:color w:val="auto"/>
          <w:sz w:val="24"/>
          <w:szCs w:val="24"/>
        </w:rPr>
        <w:t xml:space="preserve">第五条 款项支付</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签订之日起30日内预付合同金额的30%，所有货物运至采购人指定的地点，安装完成并经采购人验收合格后60日内付至合同金额的90%，项目验收合格后30日内支付至合同金额的100%。所有机具发票备注需载明出厂编号和发动机编号（带动力机具），牌证机具(拖拉机、收割机）需一机一票。</w:t>
      </w:r>
      <w:r/>
    </w:p>
    <w:p>
      <w:pPr>
        <w:ind w:firstLine="482"/>
        <w:jc w:val="left"/>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color w:val="auto"/>
          <w:sz w:val="24"/>
          <w:szCs w:val="24"/>
        </w:rPr>
        <w:t xml:space="preserve">在签订合同时，乙方明确表示无需预付款或者主动要求降低预付款比例的，由双方在在合同中约定。</w:t>
      </w:r>
      <w:r/>
    </w:p>
    <w:p>
      <w:pPr>
        <w:ind w:firstLine="480"/>
        <w:spacing w:line="4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rPr>
          <w:rFonts w:hint="eastAsia" w:ascii="宋体" w:hAnsi="宋体" w:eastAsia="宋体" w:cs="宋体"/>
          <w:b/>
          <w:color w:val="auto"/>
          <w:sz w:val="24"/>
          <w:szCs w:val="24"/>
        </w:rPr>
        <w:t xml:space="preserve">第六条 权利保证</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第七条 质量保证</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7.1乙方保证货物完全符合国家相关法律法规和质量标准的规定，不会有任何三无、假冒、伪劣或违禁、走私的物品。</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7.4货物经甲方验收后，乙方仍应对由于质量、卫生、设计、工艺或材料、运输安全等方面产生的各类缺陷承担全部责任。</w:t>
      </w:r>
      <w:r/>
    </w:p>
    <w:p>
      <w:pPr>
        <w:ind w:firstLine="480"/>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第八条 包装要求</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第九条 交货</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9.1乙方应按照本合同规定的时间和方式向甲方交付货物。</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9.3本项目交货方式为现场交货。交付地点为：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。乙方负责办理货物的运输、装卸和保险，一切费用均由乙方承担。</w:t>
      </w:r>
      <w:r/>
    </w:p>
    <w:p>
      <w:pPr>
        <w:ind w:firstLine="480"/>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第十条 到货验收</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-266065</wp:posOffset>
                </wp:positionV>
                <wp:extent cx="5854700" cy="1651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mc:AlternateContent>
                                <mc:Choice Requires="wpg">
                                  <w:drawing>
                                    <wp:inline xmlns:wp="http://schemas.openxmlformats.org/drawingml/2006/wordprocessingDrawing" distT="0" distB="0" distL="0" distR="0">
                                      <wp:extent cx="5829300" cy="19050"/>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9.0pt;height:1.5pt;mso-wrap-distance-left:0.0pt;mso-wrap-distance-top:0.0pt;mso-wrap-distance-right:0.0pt;mso-wrap-distance-bottom:0.0pt;" stroked="f">
                                      <v:path textboxrect="0,0,0,0"/>
                                    </v:shape>
                                  </w:pict>
                                </mc:Fallback>
                              </mc:AlternateConten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wrap="square" lIns="25400" tIns="0" rIns="25400" bIns="0" upright="1"/>
                    </wps:wsp>
                  </a:graphicData>
                </a:graphic>
              </wp:anchor>
            </w:drawing>
          </mc:Choice>
          <mc:Fallback>
            <w:pict>
              <v:shape id="shape 5" o:spid="_x0000_s5" o:spt="202" type="#_x0000_t202" style="position:absolute;z-index:251662336;o:allowoverlap:true;o:allowincell:true;mso-position-horizontal-relative:page;margin-left:64.0pt;mso-position-horizontal:absolute;mso-position-vertical-relative:text;margin-top:-20.9pt;mso-position-vertical:absolute;width:461.0pt;height:13.0pt;mso-wrap-distance-left:9.0pt;mso-wrap-distance-top:0.0pt;mso-wrap-distance-right:9.0pt;mso-wrap-distance-bottom:0.0pt;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p>
                      <w:pPr>
                        <w:rPr>
                          <w:rFonts w:hint="default" w:ascii="Calibri" w:hAnsi="Calibri" w:eastAsia="宋体" w:cs="Times New Roman"/>
                          <w:szCs w:val="22"/>
                        </w:rPr>
                      </w:pPr>
                      <w:r>
                        <w:rPr>
                          <w:rFonts w:hint="default" w:ascii="Calibri" w:hAnsi="Calibri" w:eastAsia="宋体" w:cs="Times New Roman"/>
                          <w:szCs w:val="22"/>
                        </w:rPr>
                        <mc:AlternateContent>
                          <mc:Choice Requires="wpg">
                            <w:drawing>
                              <wp:inline xmlns:wp="http://schemas.openxmlformats.org/drawingml/2006/wordprocessingDrawing" distT="0" distB="0" distL="0" distR="0">
                                <wp:extent cx="5829300" cy="19050"/>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9.0pt;height:1.5pt;mso-wrap-distance-left:0.0pt;mso-wrap-distance-top:0.0pt;mso-wrap-distance-right:0.0pt;mso-wrap-distance-bottom:0.0pt;" stroked="f">
                                <v:path textboxrect="0,0,0,0"/>
                              </v:shape>
                            </w:pict>
                          </mc:Fallback>
                        </mc:AlternateConten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10.5有关货物外观、规格、数量或重量的检验不应视为最终检验。</w:t>
      </w:r>
      <w:r/>
    </w:p>
    <w:p>
      <w:pPr>
        <w:ind w:firstLine="500"/>
        <w:spacing w:line="400" w:lineRule="exact"/>
        <w:rPr>
          <w:rFonts w:hint="eastAsia" w:ascii="宋体" w:hAnsi="宋体" w:eastAsia="宋体" w:cs="宋体"/>
          <w:b/>
          <w:i/>
          <w:color w:val="auto"/>
          <w:sz w:val="24"/>
          <w:szCs w:val="24"/>
        </w:rPr>
      </w:pPr>
      <w:r>
        <w:rPr>
          <w:rFonts w:hint="eastAsia" w:ascii="宋体" w:hAnsi="宋体" w:eastAsia="宋体" w:cs="宋体"/>
          <w:b/>
          <w:color w:val="auto"/>
          <w:sz w:val="24"/>
          <w:szCs w:val="24"/>
        </w:rPr>
        <w:t xml:space="preserve">第十一条 伴随服务</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11.1乙方应提供下列伴随服务：</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11.1.1货物的现场安装、施工、调试和／或启动监督；</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11.1.2就货物的安装、调试、启动、运行及维护等对甲方人员进行免费培训。</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11.2安装施工调试期间甲方责任：</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11.2.1负责提供场地和有关货物的安装位置；</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11.2.2提供符合安装施工调试要求的电源和水源等；</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11.2.3负责乙方安装施工调试期间与其他施工安装单位交叉作业时的协调工作；</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11.2.4配合乙方做好与安装施工调试有关的辅助性事务；</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11.2.5对乙方的安装施工调试工作进行监督管理。</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11.3安装施工调试期间乙方责任：</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11.3.1负责货物运抵指定地点后的搬运及看护保管；</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11.3.2在安装施工前负责派员前往安装现场进行勘测，确认施工现场条件，与甲方约定具体开工日期；</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11.3.3按照国家规定的相关安装规范和质量标准完成安装施工调试工作；</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11.3.4遵守施工现场的有关规章制度，文明施工、安全施工，接受甲方的监督管理；</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11.3.5配合甲方工作，参加现场施工协调会议；</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11.3.6负责现场施工人员的保险和一切安全责任；</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11.3.7负责安装质量的自检验收，配合甲方完成验收工作及项目的移交；</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11.3.8按照有关部门要求完成质量评定和安装施工记录；</w:t>
      </w:r>
      <w:r/>
    </w:p>
    <w:p>
      <w:pPr>
        <w:ind w:firstLine="6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11.3.9负责安装施工调试期间由于乙方过错所造成的一切损失。</w:t>
      </w:r>
      <w:r/>
    </w:p>
    <w:p>
      <w:pPr>
        <w:ind w:firstLine="500"/>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第十二条 最终验收</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12.1货物安装调试结束后，乙方应以书面方式及时通知甲方对项目进行最终验收，验收合格的，由甲乙双方签署验收单并加盖单位公章。</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12.3甲方有权抽样送交第三方进行检测，相应的检测费用由采购文件约定的一方承担，未约定的协商确定。</w:t>
      </w:r>
      <w:r/>
    </w:p>
    <w:p>
      <w:pPr>
        <w:ind w:firstLine="50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12.5验收标准应遵循国家相关标准、行业通行标准、厂方出厂标准、采购文件要求和乙方承诺、甲方要求等。</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12.6甲方有权要求乙方提供采购原材料或货物的采购合同、票据或付款凭证，以核实乙方供货来源的真实性。</w:t>
      </w:r>
      <w:r/>
    </w:p>
    <w:p>
      <w:pPr>
        <w:ind w:firstLine="50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第十三条 售后服务</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13.1乙方应按照国家有关法律法规、行业规定以及采购文件规定、投标文件或响应文件承诺的内容提供售后服务。具体为：</w:t>
      </w:r>
      <w:r/>
    </w:p>
    <w:p>
      <w:pPr>
        <w:ind w:firstLine="5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13.1.1从乙方将货物送至甲方指定地址后应负责免费安装调试（如需）。</w:t>
      </w:r>
      <w:r/>
    </w:p>
    <w:p>
      <w:pPr>
        <w:ind w:firstLine="5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13.1.2货物免费保修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年，自甲方最终验收合格之日（如无需安装调试的，则自到货验收合格之日起）起计算。</w:t>
      </w:r>
      <w:r/>
    </w:p>
    <w:p>
      <w:pPr>
        <w:ind w:firstLine="5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13.1.3乙方应在接到甲方通知后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小时内维修完毕使货物恢复正常使用或根据要求免费更换新货物，迟延维修超过＿小时的，甲方有权扣减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金额的合同总价，乙方拒绝维修或迟延维修超过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报修电话：</w:t>
      </w:r>
      <w:r>
        <w:rPr>
          <w:rFonts w:hint="eastAsia" w:ascii="宋体" w:hAnsi="宋体" w:eastAsia="宋体" w:cs="宋体"/>
          <w:color w:val="auto"/>
          <w:sz w:val="24"/>
          <w:szCs w:val="24"/>
          <w:u w:val="single"/>
        </w:rPr>
        <w:t xml:space="preserve">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13.1.4免费保修期内，乙方免收甲方所有费用，包括但不限于零部件费用、人工费、交通费、住宿费等。</w:t>
      </w:r>
      <w:r/>
    </w:p>
    <w:p>
      <w:pPr>
        <w:ind w:firstLine="480"/>
        <w:spacing w:line="400" w:lineRule="exact"/>
        <w:rPr>
          <w:rFonts w:hint="eastAsia" w:ascii="宋体" w:hAnsi="宋体" w:eastAsia="宋体" w:cs="宋体"/>
          <w:color w:val="auto"/>
          <w:szCs w:val="22"/>
        </w:rPr>
      </w:pPr>
      <w:r>
        <w:rPr>
          <w:rFonts w:hint="eastAsia" w:ascii="宋体" w:hAnsi="宋体" w:eastAsia="宋体" w:cs="宋体"/>
          <w:color w:val="auto"/>
          <w:sz w:val="24"/>
          <w:szCs w:val="24"/>
        </w:rPr>
        <w:t xml:space="preserve">13.1.5若在免费保修期内，乙方拒绝维修或迟延维修的，甲方有权自行或委托第三方维修，因此产生的所有费用由乙方承担。</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13.1.6免费保修期满后，若甲方要求乙方提供维修的，甲方承担维修所需更换零部件／配件费用，乙方同意按不高于市场价收费。</w:t>
      </w:r>
      <w:r/>
    </w:p>
    <w:p>
      <w:pPr>
        <w:ind w:firstLine="50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第十四条 违约责任</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14.1甲方无正当理由拒收货物的，甲方向乙方偿付拒收货物价款</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％的违约金；甲方逾期付款的，每逾期一日，乙方有权要求甲方按照逾期付款金额的</w:t>
      </w:r>
      <w:r>
        <w:rPr>
          <w:rFonts w:hint="eastAsia" w:ascii="宋体" w:hAnsi="宋体" w:eastAsia="宋体" w:cs="宋体"/>
          <w:color w:val="auto"/>
          <w:sz w:val="24"/>
          <w:szCs w:val="24"/>
          <w:u w:val="single"/>
        </w:rPr>
        <w:t xml:space="preserve"> 0.5  </w:t>
      </w:r>
      <w:r>
        <w:rPr>
          <w:rFonts w:hint="eastAsia" w:ascii="宋体" w:hAnsi="宋体" w:eastAsia="宋体" w:cs="宋体"/>
          <w:color w:val="auto"/>
          <w:sz w:val="24"/>
          <w:szCs w:val="24"/>
        </w:rPr>
        <w:t xml:space="preserve">％向乙方支付违约金，但违约金累计不得超过逾期付款金额的</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14.2乙方逾期交付货物的，每逾期一日，甲方有权要求乙方向甲方支付逾期交付货物价款</w:t>
      </w:r>
      <w:r>
        <w:rPr>
          <w:rFonts w:hint="eastAsia" w:ascii="宋体" w:hAnsi="宋体" w:eastAsia="宋体" w:cs="宋体"/>
          <w:color w:val="auto"/>
          <w:sz w:val="24"/>
          <w:szCs w:val="22"/>
          <w:u w:val="single"/>
        </w:rPr>
        <w:t xml:space="preserve">0.5</w:t>
      </w:r>
      <w:r>
        <w:rPr>
          <w:rFonts w:hint="eastAsia" w:ascii="宋体" w:hAnsi="宋体" w:eastAsia="宋体" w:cs="宋体"/>
          <w:color w:val="auto"/>
          <w:sz w:val="24"/>
          <w:szCs w:val="24"/>
        </w:rPr>
        <w:t xml:space="preserve">％的违约金，但违约金累计不得超过逾期交付货物价款的</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％；一旦违约金总额累计达到逾期交付货物价款的</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％，甲方有权解除合同。但违约金不足补偿甲方实际损失或损害的，甲方有权要求乙方赔偿甲方的实际损失或损害。</w:t>
      </w:r>
      <w:r/>
    </w:p>
    <w:p>
      <w:pPr>
        <w:ind w:firstLine="50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14.3若乙方未经甲方书面同意不能按照本合同约定交货逾期超过</w:t>
      </w:r>
      <w:r>
        <w:rPr>
          <w:rFonts w:hint="eastAsia" w:ascii="宋体" w:hAnsi="宋体" w:eastAsia="宋体" w:cs="宋体"/>
          <w:color w:val="auto"/>
          <w:sz w:val="24"/>
          <w:szCs w:val="24"/>
          <w:u w:val="single"/>
        </w:rPr>
        <w:t xml:space="preserve"> 15 </w:t>
      </w:r>
      <w:r>
        <w:rPr>
          <w:rFonts w:hint="eastAsia" w:ascii="宋体" w:hAnsi="宋体" w:eastAsia="宋体" w:cs="宋体"/>
          <w:color w:val="auto"/>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eastAsia="宋体" w:cs="宋体"/>
          <w:color w:val="auto"/>
          <w:sz w:val="24"/>
          <w:szCs w:val="24"/>
          <w:u w:val="single"/>
        </w:rPr>
        <w:t xml:space="preserve">  10 </w:t>
      </w:r>
      <w:r>
        <w:rPr>
          <w:rFonts w:hint="eastAsia" w:ascii="宋体" w:hAnsi="宋体" w:eastAsia="宋体" w:cs="宋体"/>
          <w:color w:val="auto"/>
          <w:sz w:val="24"/>
          <w:szCs w:val="24"/>
        </w:rPr>
        <w:t xml:space="preserve">日内向甲方支付本合同价款总额的</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 xml:space="preserve">％，作为违约金。</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eastAsia="宋体" w:cs="宋体"/>
          <w:color w:val="auto"/>
          <w:sz w:val="24"/>
          <w:szCs w:val="24"/>
          <w:u w:val="single"/>
        </w:rPr>
        <w:t xml:space="preserve"> 10</w:t>
      </w:r>
      <w:r>
        <w:rPr>
          <w:rFonts w:hint="eastAsia" w:ascii="宋体" w:hAnsi="宋体" w:eastAsia="宋体" w:cs="宋体"/>
          <w:color w:val="auto"/>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 </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14.4.1乙方未能在甲方书面异议中限定的时间内根据甲方的要求进行调换或采取其他甲方同意的补救措施；</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14.4.2交付的货物因交付或验收（如适用）以前的原因而产生毁损／灭失／变质／泄漏／数量或重量短缺／质量不良／不安全等物质上的缺陷；</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14.4.3交付的货物存在为他人设定担保／交易限制／权属争议／不符合法律的强制性规定等法律上的缺陷；</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14.4.5交付的货物已经或者可能侵犯甲方以及其他第三人的专利权／商标权／专有技术／互联网络域名权／商业秘密等知识产权以及其他权利；</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14.4.6乙方未按照甲方的要求及时提供诸如增值税发票之类的财务文件以及其他必要的文件；</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14.5乙方出现下列情形之一的，视为乙方出现了丧失履行本合同的能力，甲方有权单方解除合同并由乙方赔偿甲方由此产生的全部损失： </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14.5.1乙方因为涉诉被冻结账户，导致无法履行合同的，或者乙方因为未能履行生效法律文书，被列入失信被执行人名录的；</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14.5.2在合同有效期内，乙方的技术、营销人员离职人数达到</w:t>
      </w:r>
      <w:r>
        <w:rPr>
          <w:rFonts w:hint="eastAsia" w:ascii="宋体" w:hAnsi="宋体" w:eastAsia="宋体" w:cs="宋体"/>
          <w:color w:val="auto"/>
          <w:sz w:val="24"/>
          <w:szCs w:val="24"/>
          <w:u w:val="single"/>
        </w:rPr>
        <w:t xml:space="preserve">  5人   </w:t>
      </w:r>
      <w:r>
        <w:rPr>
          <w:rFonts w:hint="eastAsia" w:ascii="宋体" w:hAnsi="宋体" w:eastAsia="宋体" w:cs="宋体"/>
          <w:color w:val="auto"/>
          <w:sz w:val="24"/>
          <w:szCs w:val="24"/>
        </w:rPr>
        <w:t xml:space="preserve">的，或者投标时确认的专业团队人员离职达到</w:t>
      </w:r>
      <w:r>
        <w:rPr>
          <w:rFonts w:hint="eastAsia" w:ascii="宋体" w:hAnsi="宋体" w:eastAsia="宋体" w:cs="宋体"/>
          <w:color w:val="auto"/>
          <w:sz w:val="24"/>
          <w:szCs w:val="24"/>
          <w:u w:val="single"/>
        </w:rPr>
        <w:t xml:space="preserve">  3人 </w:t>
      </w:r>
      <w:r>
        <w:rPr>
          <w:rFonts w:hint="eastAsia" w:ascii="宋体" w:hAnsi="宋体" w:eastAsia="宋体" w:cs="宋体"/>
          <w:color w:val="auto"/>
          <w:sz w:val="24"/>
          <w:szCs w:val="24"/>
        </w:rPr>
        <w:t xml:space="preserve">的；</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14.5.3乙方出现转包情形的；</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14.5.4乙方不能履行合同义务的其他情况。</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第十五条 不可抗力</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15.1不可抗力，是指不能预见、不能避免并不能克服的客观情况，如战争、动乱、洪水、地震、风暴等。</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15.4合同各方应根据不可抗力对本合同履行的影响程度，协商确定是否终止本合同或是继续履行本合同。</w:t>
      </w:r>
      <w:r/>
    </w:p>
    <w:p>
      <w:pPr>
        <w:ind w:firstLine="46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第十六条 合同的变更、中止</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本合同一经签订，合同双方不得擅自变更或中止合同，除非合同的继续履行将损害国家利益和社会公共利益。</w:t>
      </w:r>
      <w:r/>
    </w:p>
    <w:p>
      <w:pPr>
        <w:ind w:firstLine="460"/>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第十七条 合同的终止</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17.1本合同因下列原因而终止：</w:t>
      </w:r>
      <w:r/>
    </w:p>
    <w:p>
      <w:pPr>
        <w:ind w:firstLine="46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17.1.1本合同正常履行完毕；</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17.1.2因不可抗力导致本合同无法履行或履行不必要；</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17.1.3任何一方行使解除权解除本合同；</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17.1.4合同的继续履行将损害国家利益和社会公共利益且不宜变更或中止的。</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17.2除上述情形外，甲乙双方不得擅自终止合同。  </w:t>
      </w:r>
      <w:r/>
    </w:p>
    <w:p>
      <w:pPr>
        <w:ind w:firstLine="482"/>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第十八条 合同的转让</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乙方不得将其合同项下的权利义务部分或全部转让给第三方。</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第十九条 履约保证金</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4"/>
        </w:rPr>
        <w:t xml:space="preserve">19.1本项目不收取履约保证金。</w:t>
      </w:r>
      <w:r/>
    </w:p>
    <w:p>
      <w:pPr>
        <w:ind w:firstLine="482"/>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第二十条 争议解决方式</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20.2如因乙方违约，导致甲方起诉的，甲方由此产生的诉讼费用、律师费用、差旅费用等，均由乙方承担。</w:t>
      </w:r>
      <w:r/>
    </w:p>
    <w:p>
      <w:pPr>
        <w:ind w:firstLine="540"/>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第二十一条 通知与送达</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21.1甲乙双方因履行本合同需要向对方发送通知、文件、资料的，均以下列联系信息确定内容进行：</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21.1.1甲方联系信息：</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指定收件人：</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送达地址：</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指定电子收件方式：</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21.1.2乙方联系信息：</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指定收件人：</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送达地址：</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指定电子收件方式：</w:t>
      </w:r>
      <w:r>
        <w:rPr>
          <w:rFonts w:hint="eastAsia" w:ascii="宋体" w:hAnsi="宋体" w:eastAsia="宋体" w:cs="宋体"/>
          <w:bCs/>
          <w:color w:val="auto"/>
          <w:sz w:val="24"/>
          <w:szCs w:val="24"/>
          <w:u w:val="single"/>
        </w:rPr>
        <w:t xml:space="preserve">                           </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21.2双方同意前述联系信息作为解决争议时接受人民法院诉讼文书的送达地址和联系方式。</w:t>
      </w:r>
      <w:r/>
    </w:p>
    <w:p>
      <w:pPr>
        <w:ind w:firstLine="48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21.3任何一方改变前述联系信息的，应在发生变更后的3天内告知对方并做好通知到达对方前可能存在的邮件的接收。如未通知的，视为没有变更。</w:t>
      </w:r>
      <w:r/>
    </w:p>
    <w:p>
      <w:pPr>
        <w:ind w:firstLine="482"/>
        <w:spacing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第二十二条 </w:t>
      </w:r>
      <w:r>
        <w:rPr>
          <w:rFonts w:hint="eastAsia" w:ascii="宋体" w:hAnsi="宋体" w:eastAsia="宋体" w:cs="宋体"/>
          <w:b/>
          <w:color w:val="auto"/>
          <w:sz w:val="24"/>
          <w:szCs w:val="24"/>
        </w:rPr>
        <w:t xml:space="preserve">合同生效及其他</w:t>
      </w:r>
      <w:r/>
    </w:p>
    <w:p>
      <w:pPr>
        <w:ind w:firstLine="559"/>
        <w:spacing w:line="44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22.1合同在</w:t>
      </w:r>
      <w:r>
        <w:rPr>
          <w:rFonts w:hint="eastAsia" w:ascii="宋体" w:hAnsi="宋体" w:eastAsia="宋体" w:cs="宋体"/>
          <w:b/>
          <w:color w:val="auto"/>
          <w:sz w:val="24"/>
          <w:szCs w:val="24"/>
        </w:rPr>
        <w:t xml:space="preserve">双方加盖公章或法定代表人或授权代表签字后生效。</w:t>
      </w:r>
      <w:r/>
    </w:p>
    <w:p>
      <w:pPr>
        <w:ind w:firstLine="559"/>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22.2本合同一式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份，以简体中文书写，甲方、乙方、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各执一份。</w:t>
      </w:r>
      <w:r/>
    </w:p>
    <w:p>
      <w:pPr>
        <w:ind w:firstLine="559"/>
        <w:spacing w:after="38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22.3.本合同应按照中华人民共和国的现行法律进行解释。</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甲方（公章）：                         乙方（公章）：</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法定（授权）代表人（签字）：             法定（授权）代表人（签字）：</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年     月     日</w:t>
      </w:r>
      <w:r/>
    </w:p>
    <w:p>
      <w:pPr>
        <w:rPr>
          <w:rFonts w:hint="eastAsia" w:ascii="宋体" w:hAnsi="宋体" w:eastAsia="宋体" w:cs="宋体"/>
          <w:color w:val="auto"/>
        </w:rPr>
      </w:pPr>
      <w:r>
        <w:rPr>
          <w:rFonts w:hint="eastAsia" w:ascii="宋体" w:hAnsi="宋体" w:eastAsia="宋体" w:cs="宋体"/>
          <w:color w:val="auto"/>
          <w:sz w:val="40"/>
          <w:szCs w:val="40"/>
        </w:rPr>
        <w:br w:type="page" w:clear="all"/>
      </w:r>
      <w:r/>
    </w:p>
    <w:p>
      <w:pPr>
        <w:jc w:val="center"/>
        <w:rPr>
          <w:rFonts w:hint="eastAsia" w:ascii="宋体" w:hAnsi="宋体" w:eastAsia="宋体" w:cs="宋体"/>
          <w:color w:val="auto"/>
          <w:szCs w:val="22"/>
        </w:rPr>
        <w:outlineLvl w:val="0"/>
      </w:pPr>
      <w:r/>
      <w:bookmarkStart w:id="207" w:name="_Toc29236"/>
      <w:r>
        <w:rPr>
          <w:rFonts w:hint="eastAsia" w:ascii="宋体" w:hAnsi="宋体" w:eastAsia="宋体" w:cs="宋体"/>
          <w:color w:val="auto"/>
          <w:sz w:val="40"/>
          <w:szCs w:val="40"/>
        </w:rPr>
        <w:t xml:space="preserve">项目需求</w:t>
      </w:r>
      <w:bookmarkEnd w:id="207"/>
      <w:r/>
      <w:r/>
    </w:p>
    <w:p>
      <w:pPr>
        <w:jc w:val="center"/>
        <w:keepLines w:val="0"/>
        <w:keepNext w:val="0"/>
        <w:pageBreakBefore w:val="0"/>
        <w:spacing w:line="360" w:lineRule="auto"/>
        <w:widowControl w:val="off"/>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 xml:space="preserve">靖江智能化稻麦轮作农机装备与技术集成推广项目</w:t>
      </w:r>
      <w:r/>
    </w:p>
    <w:p>
      <w:pPr>
        <w:jc w:val="center"/>
        <w:keepLines w:val="0"/>
        <w:keepNext w:val="0"/>
        <w:pageBreakBefore w:val="0"/>
        <w:spacing w:line="360" w:lineRule="auto"/>
        <w:widowControl w:val="off"/>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 xml:space="preserve">采购需求</w:t>
      </w:r>
      <w:r/>
    </w:p>
    <w:p>
      <w:pPr>
        <w:ind w:firstLine="562"/>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一、项目需求</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1、建设农机“智能化”应用模式。购置稻麦生产耕种管收所需机具，建设智能化农机远程控制中心，实现云端控制、路径规划、农机具自动控制、农机自动出入库、自动避障、自动作业等农机“智能化”应用模式。</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2、建设稻麦生产“智能化”农场新模式。通过建立远程可视化管理系统和管理平台实现农场地块、人员、农机设备和作业情况等管理，开展智能农机推广，购置并升级软硬件，培养人才，形成稻麦生产“智能化”农场新模式。</w:t>
      </w:r>
      <w:r/>
    </w:p>
    <w:p>
      <w:pPr>
        <w:ind w:firstLine="560"/>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3、本项目采购内容包括：智能轮式拖拉机2台、无人驾驶全喂入联合收割机1台、智能高速插秧机2台、水田埋茬起浆机1台、旋耕施肥播种机1台、高地隙植保机智能化改装1台和可视化监控与管理平台1套。</w:t>
      </w:r>
      <w:r/>
    </w:p>
    <w:p>
      <w:pPr>
        <w:ind w:firstLine="560"/>
        <w:spacing w:line="360" w:lineRule="auto"/>
        <w:rPr>
          <w:rFonts w:hint="eastAsia" w:ascii="仿宋" w:hAnsi="仿宋" w:eastAsia="仿宋" w:cs="仿宋"/>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rPr>
        <w:t xml:space="preserve">4、投标人如需对项目现场进行踏勘，相关费用自行承担。现场踏勘联系人：李旭琴；联系电话：0523-84875123。投标人在投标时应充分考虑现场实际情况，采购人不负担因投标人对项目现场情况考虑不周而产生的其他任何费用。</w:t>
      </w:r>
      <w:r/>
    </w:p>
    <w:p>
      <w:pPr>
        <w:ind w:firstLine="643"/>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二、技术性能参数要求</w:t>
      </w:r>
      <w:r/>
    </w:p>
    <w:p>
      <w:pPr>
        <w:rPr>
          <w:rFonts w:ascii="仿宋" w:hAnsi="仿宋" w:eastAsia="仿宋" w:cs="仿宋"/>
          <w:color w:val="auto"/>
          <w:sz w:val="32"/>
          <w:szCs w:val="32"/>
        </w:rPr>
      </w:pPr>
      <w:r>
        <w:rPr>
          <w:rFonts w:hint="eastAsia" w:ascii="仿宋" w:hAnsi="仿宋" w:eastAsia="仿宋" w:cs="仿宋"/>
          <w:color w:val="auto"/>
          <w:sz w:val="32"/>
          <w:szCs w:val="32"/>
        </w:rPr>
        <w:t xml:space="preserve">（一）农机设备</w:t>
      </w:r>
      <w:r/>
    </w:p>
    <w:tbl>
      <w:tblPr>
        <w:tblStyle w:val="821"/>
        <w:tblW w:w="13968" w:type="dxa"/>
        <w:tblInd w:w="98" w:type="dxa"/>
        <w:tblLayout w:type="fixed"/>
        <w:tblCellMar>
          <w:left w:w="108" w:type="dxa"/>
          <w:top w:w="0" w:type="dxa"/>
          <w:right w:w="108" w:type="dxa"/>
          <w:bottom w:w="0" w:type="dxa"/>
        </w:tblCellMar>
        <w:tblLook w:val="04A0" w:firstRow="1" w:lastRow="0" w:firstColumn="1" w:lastColumn="0" w:noHBand="0" w:noVBand="1"/>
      </w:tblPr>
      <w:tblGrid>
        <w:gridCol w:w="1246"/>
        <w:gridCol w:w="1444"/>
        <w:gridCol w:w="9820"/>
        <w:gridCol w:w="1458"/>
      </w:tblGrid>
      <w:tr>
        <w:trPr>
          <w:trHeight w:val="585"/>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农机名称</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参数及性能要求</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拖拉机+辅助驾驶系统</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w:t>
            </w:r>
            <w:r>
              <w:rPr>
                <w:rStyle w:val="1080"/>
                <w:rFonts w:hint="default" w:ascii="仿宋" w:hAnsi="仿宋" w:eastAsia="仿宋" w:cs="仿宋"/>
                <w:color w:val="auto"/>
                <w:sz w:val="20"/>
                <w:szCs w:val="20"/>
              </w:rPr>
              <w:t xml:space="preserve">1、发动机：≥147.7KW,六缸 直列 高压共轨 增压中冷                                           </w:t>
            </w:r>
            <w:r/>
          </w:p>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w:t>
            </w:r>
            <w:r>
              <w:rPr>
                <w:rStyle w:val="1080"/>
                <w:rFonts w:hint="default" w:ascii="仿宋" w:hAnsi="仿宋" w:eastAsia="仿宋" w:cs="仿宋"/>
                <w:color w:val="auto"/>
                <w:sz w:val="20"/>
                <w:szCs w:val="20"/>
              </w:rPr>
              <w:t xml:space="preserve">2、变速箱：前进/倒退  24F/8R(高低档、爬行档）</w:t>
            </w:r>
            <w:r/>
          </w:p>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w:t>
            </w:r>
            <w:r>
              <w:rPr>
                <w:rStyle w:val="1080"/>
                <w:rFonts w:hint="default" w:ascii="仿宋" w:hAnsi="仿宋" w:eastAsia="仿宋" w:cs="仿宋"/>
                <w:color w:val="auto"/>
                <w:sz w:val="20"/>
                <w:szCs w:val="20"/>
              </w:rPr>
              <w:t xml:space="preserve">3、离合器：15吋双作用</w:t>
            </w:r>
            <w:r/>
          </w:p>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★4</w:t>
            </w:r>
            <w:r>
              <w:rPr>
                <w:rStyle w:val="1080"/>
                <w:rFonts w:hint="default" w:ascii="仿宋" w:hAnsi="仿宋" w:eastAsia="仿宋" w:cs="仿宋"/>
                <w:color w:val="auto"/>
                <w:sz w:val="20"/>
                <w:szCs w:val="20"/>
              </w:rPr>
              <w:t xml:space="preserve">、最小离地间隙≥460mm</w:t>
            </w:r>
            <w:r/>
          </w:p>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★5</w:t>
            </w:r>
            <w:r>
              <w:rPr>
                <w:rStyle w:val="1080"/>
                <w:rFonts w:hint="default" w:ascii="仿宋" w:hAnsi="仿宋" w:eastAsia="仿宋" w:cs="仿宋"/>
                <w:color w:val="auto"/>
                <w:sz w:val="20"/>
                <w:szCs w:val="20"/>
              </w:rPr>
              <w:t xml:space="preserve">、最小转向半径≤6.7m                                                                                  </w:t>
            </w:r>
            <w:r>
              <w:rPr>
                <w:rFonts w:hint="eastAsia" w:ascii="仿宋" w:hAnsi="仿宋" w:eastAsia="仿宋" w:cs="仿宋"/>
                <w:color w:val="auto"/>
                <w:sz w:val="20"/>
                <w:szCs w:val="20"/>
              </w:rPr>
              <w:t xml:space="preserve">★</w:t>
            </w:r>
            <w:r>
              <w:rPr>
                <w:rStyle w:val="1080"/>
                <w:rFonts w:hint="default" w:ascii="仿宋" w:hAnsi="仿宋" w:eastAsia="仿宋" w:cs="仿宋"/>
                <w:color w:val="auto"/>
                <w:sz w:val="20"/>
                <w:szCs w:val="20"/>
              </w:rPr>
              <w:t xml:space="preserve">6、轮胎：14.9-26/18.4-38中花胎</w:t>
            </w:r>
            <w:r/>
          </w:p>
          <w:p>
            <w:pPr>
              <w:rPr>
                <w:rFonts w:ascii="仿宋" w:hAnsi="仿宋" w:eastAsia="仿宋" w:cs="仿宋"/>
                <w:color w:val="auto"/>
                <w:sz w:val="20"/>
                <w:szCs w:val="20"/>
              </w:rPr>
            </w:pPr>
            <w:r>
              <w:rPr>
                <w:rStyle w:val="1080"/>
                <w:rFonts w:hint="default" w:ascii="仿宋" w:hAnsi="仿宋" w:eastAsia="仿宋" w:cs="仿宋"/>
                <w:color w:val="auto"/>
                <w:sz w:val="20"/>
                <w:szCs w:val="20"/>
              </w:rPr>
              <w:t xml:space="preserve">★7、采用电动方向盘控制方案，直</w:t>
            </w:r>
            <w:r>
              <w:rPr>
                <w:rFonts w:hint="eastAsia" w:ascii="仿宋" w:hAnsi="仿宋" w:eastAsia="仿宋" w:cs="仿宋"/>
                <w:color w:val="auto"/>
                <w:sz w:val="20"/>
                <w:szCs w:val="20"/>
              </w:rPr>
              <w:t xml:space="preserve">线作业横向偏差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±2.5cm；接行误差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★8、支持网络AB线，并可支持在地图上选择AB线进行导入；支持AB线平移，名称编辑，外部导入</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★9、支持多种作业模式，AB直线、AB掉头直线、A+导航线、AB曲线、圆曲线、对角耙地、套圈线（提供软件相应作业模式截图证明加盖公章）</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▲10、系统扩展性强，可通过CAN通讯扩展与精量播种、作业监控、卫星平地、无人驾驶等不少于三种作业系统同软件界面显示使用（提供软件相应作业模式截图证明加盖公章）</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▲11、具有单独北斗卫星导航定位与自动驾驶功能（提供国家认可的第三方检测报告）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12、自动驾驶所用定位系统设备具备国家级第三方检测机构出具的GNSS定位设备卫星信号测量精度检测报告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13、自动驾驶所使用GNSS定位板卡具备国家认可第三方机构鉴定证书</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★14、支持倒车安全措施，系统支持倒车影像，在系统启动下倒车自动启动倒车影像，向前行驶自动关闭</w:t>
            </w:r>
            <w:r/>
          </w:p>
          <w:p>
            <w:pPr>
              <w:jc w:val="left"/>
              <w:widowControl/>
              <w:rPr>
                <w:rFonts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1-6</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 拖拉机+无人驾驶系统 </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★1、发动机：≥</w:t>
            </w:r>
            <w:r>
              <w:rPr>
                <w:rStyle w:val="1080"/>
                <w:rFonts w:hint="default" w:ascii="仿宋" w:hAnsi="仿宋" w:eastAsia="仿宋" w:cs="仿宋"/>
                <w:color w:val="auto"/>
                <w:sz w:val="20"/>
                <w:szCs w:val="20"/>
              </w:rPr>
              <w:t xml:space="preserve">88.8KW</w:t>
            </w:r>
            <w:r>
              <w:rPr>
                <w:rFonts w:hint="eastAsia" w:ascii="仿宋" w:hAnsi="仿宋" w:eastAsia="仿宋" w:cs="仿宋"/>
                <w:color w:val="auto"/>
                <w:sz w:val="20"/>
                <w:szCs w:val="20"/>
              </w:rPr>
              <w:t xml:space="preserve">,国四共轨三曲线</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★2、变速箱：18+18动力换向,液压转向，同步器换档</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★3、离合器：电控湿式离合器</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★4、轮胎：12.4-26 /16.9-34水田高花胎</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★5、采用电动方向盘控制方案，直线作业横向偏差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±2.5cm；接行误差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★6、实现车辆远程云端控制，多种作业路径自动规划（旋耕作业、打浆作业、播种作业、犁地等作业，提供软件相应作业路径截图证明加盖公章）</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★7、实现拖拉机点火熄火、车辆前进、倒退、停车控制，可以实现拖拉机作业过程中加速减速、自动掉头入堑控制；支持鱼尾路径调头，可根据实际情况预设车辆的作业速度及调头转弯速度</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▲8、实现车辆PTO动力输出控制、三点悬挂控制车辆农具自动抬升、下降控制（提供国家认可的第三方检测报告或软著）</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▲9、同时支持遥控、无人、手动三种模式作业（提供手机APP的软件截图、软件著作或国家认可的第三方检测报告）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★10、支持手动、自动一键切换，手动优先，方便车辆的运输、转场等</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▲11、支持远程协助、远程调参，可随时通过小程序查看车辆参数（提供功能截图并加盖厂家公章）；</w:t>
            </w:r>
            <w:r/>
          </w:p>
          <w:p>
            <w:pPr>
              <w:rPr>
                <w:rFonts w:hint="eastAsia" w:ascii="仿宋" w:hAnsi="仿宋" w:eastAsia="仿宋" w:cs="仿宋"/>
                <w:color w:val="auto"/>
                <w:sz w:val="20"/>
                <w:szCs w:val="20"/>
              </w:rPr>
            </w:pPr>
            <w:r>
              <w:rPr>
                <w:rFonts w:hint="eastAsia" w:ascii="仿宋" w:hAnsi="仿宋" w:eastAsia="仿宋" w:cs="仿宋"/>
                <w:color w:val="auto"/>
                <w:sz w:val="20"/>
                <w:szCs w:val="20"/>
              </w:rPr>
              <w:t xml:space="preserve">★12、支持查询实时作业轨迹、历史作业轨迹，实时作业面积以及历史作业面积，该信息支持平台与微信小程序共同查看</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▲13、支持远程调试车辆参数，实时反馈终端软件界面，便于排查问题</w:t>
            </w:r>
            <w:r/>
          </w:p>
          <w:p>
            <w:pPr>
              <w:jc w:val="left"/>
              <w:widowControl/>
              <w:rPr>
                <w:rFonts w:ascii="仿宋" w:hAnsi="仿宋" w:eastAsia="仿宋" w:cs="仿宋"/>
                <w:color w:val="auto"/>
                <w:sz w:val="20"/>
                <w:szCs w:val="20"/>
                <w:highlight w:val="yellow"/>
              </w:rPr>
            </w:pPr>
            <w:r>
              <w:rPr>
                <w:rFonts w:hint="eastAsia" w:ascii="仿宋" w:hAnsi="仿宋" w:eastAsia="仿宋" w:cs="仿宋"/>
                <w:color w:val="auto"/>
                <w:sz w:val="20"/>
                <w:szCs w:val="20"/>
              </w:rPr>
              <w:t xml:space="preserve">▲14、系统扩展性强，可通过CAN通讯扩展与精量播种、作业监控、卫星平地、无人驾驶等不少于三种作业系统同软件界面显示使用；（提供软件兼容截图盖公章）</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★15、基于车载显控终端，选择地块边界可生成不低于3种作业路径（须提供软件截图）</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▲16、具有单独北斗卫星导航定位与自动驾驶功能（提供国家认可的第三方检测报告）</w:t>
            </w:r>
            <w:r/>
          </w:p>
          <w:p>
            <w:pPr>
              <w:jc w:val="left"/>
              <w:widowControl/>
              <w:rPr>
                <w:rFonts w:hint="eastAsia"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1-4</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357"/>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 高速插秧机+无人驾驶系统</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★1、工作行数8行，行距：300mm</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★2、发动机标定功率≥16kw</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★3、四轮驱动，整体液压转向，变速方式；液压式变速（HST、HMT等),前进后退无级变速。</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★4、秧台控制平衡方式：电子液压平衡（手动微调+自动）</w:t>
            </w:r>
            <w:r/>
          </w:p>
          <w:p>
            <w:pPr>
              <w:jc w:val="left"/>
              <w:widowControl/>
              <w:rPr>
                <w:rFonts w:ascii="仿宋" w:hAnsi="仿宋" w:eastAsia="仿宋" w:cs="仿宋"/>
                <w:color w:val="auto"/>
                <w:sz w:val="20"/>
                <w:szCs w:val="20"/>
              </w:rPr>
            </w:pPr>
            <w:r/>
            <w:bookmarkStart w:id="208" w:name="_Toc32196"/>
            <w:r>
              <w:rPr>
                <w:rFonts w:hint="eastAsia" w:ascii="仿宋" w:hAnsi="仿宋" w:eastAsia="仿宋" w:cs="仿宋"/>
                <w:color w:val="auto"/>
                <w:sz w:val="20"/>
                <w:szCs w:val="20"/>
              </w:rPr>
              <w:t xml:space="preserve">★5、安全保护装置：机器倒车时，秧台自动升起</w:t>
            </w:r>
            <w:bookmarkEnd w:id="208"/>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★6、采用电动方向盘控制方案，直线作业横向偏差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±2.5cm；接行误差</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★7.平台端实现插秧机自动加速减速调头，可根据实际情况预设车辆的作业速度及调头转弯速度</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★8.平台端实现插秧机秧箱自动起落控制</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★9.平台端实现插植部分自动耦合和分离控制</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▲10.同时支持遥控、无人、手动三种模式作业（提供以往案例APP截图、软著或国家认可的第三方检测报告）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★11.支持云端一键控制车辆、支持云端一键下发智能路径</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▲12.支持远程调试车辆参数，实时反馈终端作业画面，便于排查问题</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★13.支持查询实时作业轨迹、历史作业轨迹，实时作业面积以及历史作业面积</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▲14.支持远程协助、远程调参</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▲15、具有单独北斗卫星导航定位与自动驾驶功能（提供国家认可的第三方检测报告）</w:t>
            </w:r>
            <w:r/>
          </w:p>
          <w:p>
            <w:pPr>
              <w:jc w:val="left"/>
              <w:widowControl/>
              <w:rPr>
                <w:rFonts w:hint="eastAsia"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1-4</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2</w:t>
            </w:r>
            <w:r/>
          </w:p>
        </w:tc>
      </w:tr>
      <w:tr>
        <w:trPr>
          <w:trHeight w:val="308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联合收割机+无人驾驶系统</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★1、履带自走全喂入式，喂入量≥6kg/s</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★2、粮仓容量≥2100L</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★3、</w:t>
            </w:r>
            <w:r>
              <w:rPr>
                <w:rFonts w:hint="eastAsia" w:ascii="仿宋" w:hAnsi="仿宋" w:eastAsia="仿宋" w:cs="仿宋"/>
                <w:color w:val="auto"/>
                <w:sz w:val="20"/>
                <w:szCs w:val="20"/>
                <w:lang w:val="en-US" w:eastAsia="zh-CN"/>
              </w:rPr>
              <w:t xml:space="preserve">割台</w:t>
            </w:r>
            <w:r>
              <w:rPr>
                <w:rFonts w:hint="eastAsia" w:ascii="仿宋" w:hAnsi="仿宋" w:eastAsia="仿宋" w:cs="仿宋"/>
                <w:color w:val="auto"/>
                <w:sz w:val="20"/>
                <w:szCs w:val="20"/>
              </w:rPr>
              <w:t xml:space="preserve">工作幅宽：≥2</w:t>
            </w:r>
            <w:r>
              <w:rPr>
                <w:rFonts w:hint="eastAsia" w:ascii="仿宋" w:hAnsi="仿宋" w:eastAsia="仿宋" w:cs="仿宋"/>
                <w:color w:val="auto"/>
                <w:sz w:val="20"/>
                <w:szCs w:val="20"/>
                <w:lang w:val="en-US" w:eastAsia="zh-CN"/>
              </w:rPr>
              <w:t xml:space="preserve">2</w:t>
            </w:r>
            <w:r>
              <w:rPr>
                <w:rFonts w:hint="eastAsia" w:ascii="仿宋" w:hAnsi="仿宋" w:eastAsia="仿宋" w:cs="仿宋"/>
                <w:color w:val="auto"/>
                <w:sz w:val="20"/>
                <w:szCs w:val="20"/>
              </w:rPr>
              <w:t xml:space="preserve">00mm</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★4、脱粒滚筒≥Φ</w:t>
            </w:r>
            <w:r>
              <w:rPr>
                <w:rFonts w:hint="eastAsia" w:ascii="仿宋" w:hAnsi="仿宋" w:eastAsia="仿宋" w:cs="仿宋"/>
                <w:color w:val="auto"/>
                <w:sz w:val="20"/>
                <w:szCs w:val="20"/>
                <w:lang w:eastAsia="zh-CN"/>
              </w:rPr>
              <w:t xml:space="preserve">6</w:t>
            </w:r>
            <w:r>
              <w:rPr>
                <w:rFonts w:hint="eastAsia" w:ascii="仿宋" w:hAnsi="仿宋" w:eastAsia="仿宋" w:cs="仿宋"/>
                <w:color w:val="auto"/>
                <w:sz w:val="20"/>
                <w:szCs w:val="20"/>
                <w:lang w:val="en-US" w:eastAsia="zh-CN"/>
              </w:rPr>
              <w:t xml:space="preserve">20</w:t>
            </w:r>
            <w:r>
              <w:rPr>
                <w:rFonts w:hint="eastAsia" w:ascii="仿宋" w:hAnsi="仿宋" w:eastAsia="仿宋" w:cs="仿宋"/>
                <w:color w:val="auto"/>
                <w:sz w:val="20"/>
                <w:szCs w:val="20"/>
              </w:rPr>
              <w:t xml:space="preserve">X</w:t>
            </w:r>
            <w:r>
              <w:rPr>
                <w:rFonts w:hint="eastAsia" w:ascii="仿宋" w:hAnsi="仿宋" w:eastAsia="仿宋" w:cs="仿宋"/>
                <w:color w:val="auto"/>
                <w:sz w:val="20"/>
                <w:szCs w:val="20"/>
                <w:lang w:eastAsia="zh-CN"/>
              </w:rPr>
              <w:t xml:space="preserve">2</w:t>
            </w:r>
            <w:r>
              <w:rPr>
                <w:rFonts w:hint="eastAsia" w:ascii="仿宋" w:hAnsi="仿宋" w:eastAsia="仿宋" w:cs="仿宋"/>
                <w:color w:val="auto"/>
                <w:sz w:val="20"/>
                <w:szCs w:val="20"/>
                <w:lang w:val="en-US" w:eastAsia="zh-CN"/>
              </w:rPr>
              <w:t xml:space="preserve">200</w:t>
            </w:r>
            <w:r>
              <w:rPr>
                <w:rFonts w:hint="eastAsia" w:ascii="仿宋" w:hAnsi="仿宋" w:eastAsia="仿宋" w:cs="仿宋"/>
                <w:color w:val="auto"/>
                <w:sz w:val="20"/>
                <w:szCs w:val="20"/>
              </w:rPr>
              <w:t xml:space="preserve">mm，脱粒方式振动、鼓风2次处理</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★5、机身左右平衡控制</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★6、配秸秆粉碎装置</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★7、警报装置：燃油量、水温、油压、充电、2次搅龙堵塞报警、粮箱满粮报警、NCD、DPF再生、ENG故障（警报.停止）、过载等</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★8、采用电动方向盘控制方案，行走控制精度</w:t>
            </w:r>
            <w:r>
              <w:rPr>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±2.5cm</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★9、平台端实现收割机远程点火熄火、加速减速控制、自动掉头入堑</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★10、平台端实现收割机割台定高控制、割台离合控制、脱谷离合控制等</w:t>
            </w:r>
            <w:r/>
          </w:p>
          <w:p>
            <w:pPr>
              <w:jc w:val="left"/>
              <w:widowControl/>
              <w:rPr>
                <w:rFonts w:hint="eastAsia" w:ascii="仿宋" w:hAnsi="仿宋" w:eastAsia="仿宋" w:cs="仿宋"/>
                <w:color w:val="auto"/>
                <w:sz w:val="20"/>
                <w:szCs w:val="20"/>
              </w:rPr>
            </w:pPr>
            <w:r>
              <w:rPr>
                <w:rFonts w:hint="eastAsia" w:ascii="仿宋" w:hAnsi="仿宋" w:eastAsia="仿宋" w:cs="仿宋"/>
                <w:color w:val="auto"/>
                <w:sz w:val="20"/>
                <w:szCs w:val="20"/>
              </w:rPr>
              <w:t xml:space="preserve">★11、实现自动路径规划、自主作业功能，支持多种作业路径，回字形、灯泡形收割路径</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▲12、同时支持遥控、无人、手动三种模式作业（提供功能截图并加盖厂家公章）</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★13、支持手动、自动一键切换，手动优先，方便车辆的运输、转场等</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★14、支持作业速度预设，可根据实际情况预设车辆的作业速度及调头转弯速度</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▲15、支持远程协助、远程调参</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▲16、支持平台端在线与微信小程序进行设备信息查看，方便实时了解作业情况</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★17、支持查询实时作业轨迹、历史作业轨迹，实时作业面积以及历史作业面积</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▲18、支持远程调试车辆参数，实时反馈终端作业画面，便于排查问题</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★19、粮满自动停车，自动生成卸粮路径，完成自动卸粮，卸粮完成后自动前往待收割区进行作业</w:t>
            </w:r>
            <w:r/>
          </w:p>
          <w:p>
            <w:pPr>
              <w:pStyle w:val="867"/>
              <w:ind w:left="0" w:firstLine="0"/>
              <w:rPr>
                <w:rFonts w:ascii="仿宋" w:hAnsi="仿宋" w:eastAsia="仿宋" w:cs="仿宋"/>
                <w:color w:val="auto"/>
                <w:sz w:val="20"/>
                <w:szCs w:val="20"/>
              </w:rPr>
            </w:pPr>
            <w:r>
              <w:rPr>
                <w:rFonts w:hint="eastAsia" w:ascii="仿宋" w:hAnsi="仿宋" w:eastAsia="仿宋" w:cs="仿宋"/>
                <w:color w:val="auto"/>
                <w:sz w:val="20"/>
                <w:szCs w:val="20"/>
              </w:rPr>
              <w:t xml:space="preserve">★20、支持手机app控制车辆行走、控制（割取、脱粒、卸粮）离合的结合与分离、割台升降、粮筒的移动（须提供软件截图）</w:t>
            </w:r>
            <w:r/>
          </w:p>
          <w:p>
            <w:pPr>
              <w:pStyle w:val="867"/>
              <w:ind w:left="0" w:firstLine="0"/>
              <w:rPr>
                <w:rFonts w:hint="eastAsia" w:ascii="仿宋" w:hAnsi="仿宋" w:eastAsia="仿宋" w:cs="仿宋"/>
                <w:color w:val="auto"/>
                <w:sz w:val="20"/>
                <w:szCs w:val="20"/>
              </w:rPr>
            </w:pPr>
            <w:r>
              <w:rPr>
                <w:rFonts w:hint="eastAsia" w:ascii="仿宋" w:hAnsi="仿宋" w:eastAsia="仿宋" w:cs="仿宋"/>
                <w:color w:val="auto"/>
                <w:sz w:val="20"/>
                <w:szCs w:val="20"/>
              </w:rPr>
              <w:t xml:space="preserve">▲21、具有单独北斗卫星导航定位与自动驾驶功能（提供国家认可的第三方检测报告）</w:t>
            </w:r>
            <w:r/>
          </w:p>
          <w:p>
            <w:pPr>
              <w:pStyle w:val="867"/>
              <w:ind w:left="0" w:firstLine="0"/>
              <w:rPr>
                <w:rFonts w:hint="eastAsia"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1-7</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126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水田埋茬起浆机</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★1、工作幅宽：≥4000mm</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★2、折叠机构型式：液压折叠</w:t>
            </w:r>
            <w:r/>
          </w:p>
          <w:p>
            <w:pPr>
              <w:jc w:val="left"/>
              <w:widowControl/>
              <w:rPr>
                <w:rStyle w:val="1080"/>
                <w:rFonts w:hint="default" w:ascii="仿宋" w:hAnsi="仿宋" w:eastAsia="仿宋" w:cs="仿宋"/>
                <w:color w:val="auto"/>
                <w:sz w:val="20"/>
                <w:szCs w:val="20"/>
              </w:rPr>
            </w:pPr>
            <w:r>
              <w:rPr>
                <w:rFonts w:hint="eastAsia" w:ascii="仿宋" w:hAnsi="仿宋" w:eastAsia="仿宋" w:cs="仿宋"/>
                <w:color w:val="auto"/>
                <w:sz w:val="20"/>
                <w:szCs w:val="20"/>
              </w:rPr>
              <w:t xml:space="preserve">★3、结构形式：圆梁式双轴</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★4、安装作业质量监测装置，并能够将监测数据实时上传至管理平台</w:t>
            </w:r>
            <w:r/>
          </w:p>
          <w:p>
            <w:pPr>
              <w:jc w:val="left"/>
              <w:widowControl/>
              <w:rPr>
                <w:rStyle w:val="1105"/>
                <w:rFonts w:hint="default"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1-3</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1984"/>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旋耕播种施肥机</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★1、作业幅宽：≥2500mm</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★2、耕深：10~15cm</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★3、工作行数：≥</w:t>
            </w:r>
            <w:r>
              <w:rPr>
                <w:rStyle w:val="1079"/>
                <w:rFonts w:hint="default" w:ascii="仿宋" w:hAnsi="仿宋" w:eastAsia="仿宋" w:cs="仿宋"/>
                <w:color w:val="auto"/>
                <w:sz w:val="20"/>
                <w:szCs w:val="20"/>
              </w:rPr>
              <w:t xml:space="preserve">18</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★4、排种器数量：≥</w:t>
            </w:r>
            <w:r>
              <w:rPr>
                <w:rStyle w:val="1079"/>
                <w:rFonts w:hint="default" w:ascii="仿宋" w:hAnsi="仿宋" w:eastAsia="仿宋" w:cs="仿宋"/>
                <w:color w:val="auto"/>
                <w:sz w:val="20"/>
                <w:szCs w:val="20"/>
              </w:rPr>
              <w:t xml:space="preserve">18</w:t>
            </w:r>
            <w:r>
              <w:rPr>
                <w:rStyle w:val="1105"/>
                <w:rFonts w:hint="default" w:ascii="仿宋" w:hAnsi="仿宋" w:eastAsia="仿宋" w:cs="仿宋"/>
                <w:color w:val="auto"/>
                <w:sz w:val="20"/>
                <w:szCs w:val="20"/>
              </w:rPr>
              <w:t xml:space="preserve">个</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★5、镇压器形式：不锈钢镇压轮（带液压镇压）</w:t>
            </w:r>
            <w:r/>
          </w:p>
          <w:p>
            <w:pPr>
              <w:jc w:val="left"/>
              <w:widowControl/>
              <w:rPr>
                <w:rStyle w:val="1105"/>
                <w:rFonts w:hint="default" w:ascii="仿宋" w:hAnsi="仿宋" w:eastAsia="仿宋" w:cs="仿宋"/>
                <w:color w:val="auto"/>
                <w:sz w:val="20"/>
                <w:szCs w:val="20"/>
              </w:rPr>
            </w:pPr>
            <w:r>
              <w:rPr>
                <w:rStyle w:val="1105"/>
                <w:rFonts w:hint="default" w:ascii="仿宋" w:hAnsi="仿宋" w:eastAsia="仿宋" w:cs="仿宋"/>
                <w:color w:val="auto"/>
                <w:sz w:val="20"/>
                <w:szCs w:val="20"/>
              </w:rPr>
              <w:t xml:space="preserve">★6、安装作业质量监测装置，并能够将监测数据实时上传至管理平台</w:t>
            </w:r>
            <w:r/>
          </w:p>
          <w:p>
            <w:pPr>
              <w:jc w:val="left"/>
              <w:widowControl/>
              <w:rPr>
                <w:rStyle w:val="1105"/>
                <w:rFonts w:hint="default" w:ascii="仿宋" w:hAnsi="仿宋" w:eastAsia="仿宋" w:cs="仿宋"/>
                <w:color w:val="auto"/>
                <w:sz w:val="20"/>
                <w:szCs w:val="20"/>
              </w:rPr>
            </w:pPr>
            <w:r>
              <w:rPr>
                <w:rStyle w:val="1080"/>
                <w:rFonts w:hint="eastAsia" w:ascii="仿宋" w:hAnsi="仿宋" w:eastAsia="仿宋" w:cs="仿宋"/>
                <w:color w:val="auto"/>
                <w:sz w:val="20"/>
                <w:szCs w:val="20"/>
                <w:lang w:val="en-US" w:eastAsia="zh-CN"/>
              </w:rPr>
              <w:t xml:space="preserve">1-5</w:t>
            </w:r>
            <w:r>
              <w:rPr>
                <w:rStyle w:val="1080"/>
                <w:rFonts w:hint="default" w:ascii="仿宋" w:hAnsi="仿宋" w:eastAsia="仿宋" w:cs="仿宋"/>
                <w:color w:val="auto"/>
                <w:sz w:val="20"/>
                <w:szCs w:val="20"/>
              </w:rPr>
              <w:t xml:space="preserve">（</w:t>
            </w:r>
            <w:r>
              <w:rPr>
                <w:rFonts w:hint="eastAsia" w:ascii="仿宋" w:hAnsi="仿宋" w:eastAsia="仿宋" w:cs="仿宋"/>
                <w:color w:val="auto"/>
                <w:sz w:val="20"/>
                <w:szCs w:val="20"/>
              </w:rPr>
              <w:t xml:space="preserve">提供产品</w:t>
            </w:r>
            <w:r>
              <w:rPr>
                <w:rFonts w:hint="eastAsia" w:ascii="仿宋" w:hAnsi="仿宋" w:eastAsia="仿宋" w:cs="仿宋"/>
                <w:color w:val="auto"/>
                <w:sz w:val="20"/>
                <w:szCs w:val="20"/>
                <w:lang w:val="en-US" w:eastAsia="zh-CN"/>
              </w:rPr>
              <w:t xml:space="preserve">说明书、</w:t>
            </w:r>
            <w:r>
              <w:rPr>
                <w:rFonts w:hint="eastAsia" w:ascii="仿宋" w:hAnsi="仿宋" w:eastAsia="仿宋" w:cs="仿宋"/>
                <w:color w:val="auto"/>
                <w:sz w:val="20"/>
                <w:szCs w:val="20"/>
              </w:rPr>
              <w:t xml:space="preserve">彩页或官网截图并盖章</w:t>
            </w:r>
            <w:r>
              <w:rPr>
                <w:rStyle w:val="1080"/>
                <w:rFonts w:hint="default" w:ascii="仿宋" w:hAnsi="仿宋" w:eastAsia="仿宋" w:cs="仿宋"/>
                <w:color w:val="auto"/>
                <w:sz w:val="20"/>
                <w:szCs w:val="20"/>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widowControl/>
              <w:rPr>
                <w:rFonts w:ascii="仿宋" w:hAnsi="仿宋" w:eastAsia="仿宋" w:cs="仿宋"/>
                <w:color w:val="auto"/>
                <w:sz w:val="20"/>
                <w:szCs w:val="20"/>
              </w:rPr>
            </w:pPr>
            <w:r>
              <w:rPr>
                <w:rFonts w:hint="eastAsia" w:ascii="仿宋" w:hAnsi="仿宋" w:eastAsia="仿宋" w:cs="仿宋"/>
                <w:color w:val="auto"/>
                <w:sz w:val="20"/>
                <w:szCs w:val="20"/>
              </w:rPr>
              <w:t xml:space="preserve">植保机辅助驾驶系统改造（利旧）</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★1、直线作业横向偏差：≤±2.5cm；接行误差：≤±2.5cm</w:t>
            </w:r>
            <w:r/>
          </w:p>
          <w:p>
            <w:pPr>
              <w:rPr>
                <w:color w:val="auto"/>
              </w:rPr>
            </w:pPr>
            <w:r>
              <w:rPr>
                <w:rFonts w:hint="eastAsia" w:ascii="仿宋" w:hAnsi="仿宋" w:eastAsia="仿宋" w:cs="仿宋"/>
                <w:color w:val="auto"/>
                <w:sz w:val="20"/>
                <w:szCs w:val="20"/>
              </w:rPr>
              <w:t xml:space="preserve">★2、支持网络AB线，并可支持在地图上选择AB线进行导入；支持AB线平移，名称编辑，外部导入</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★3、支持多种作业线模式，AB直线、AB掉头直线、A+导航线、AB曲线、圆曲线、对角耙地、套圈线等（提供软件相应作业模式截图证明加盖公章）</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★4、扭矩、转速、角度三闭环控制，实现快速高精度转向控制</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w:t>
            </w:r>
            <w:r>
              <w:rPr>
                <w:rFonts w:hint="eastAsia" w:ascii="仿宋" w:hAnsi="仿宋" w:eastAsia="仿宋" w:cs="仿宋"/>
                <w:color w:val="auto"/>
                <w:sz w:val="20"/>
                <w:szCs w:val="20"/>
                <w:lang w:val="en-US" w:eastAsia="zh-CN"/>
              </w:rPr>
              <w:t xml:space="preserve">5</w:t>
            </w:r>
            <w:r>
              <w:rPr>
                <w:rFonts w:hint="eastAsia" w:ascii="仿宋" w:hAnsi="仿宋" w:eastAsia="仿宋" w:cs="仿宋"/>
                <w:color w:val="auto"/>
                <w:sz w:val="20"/>
                <w:szCs w:val="20"/>
              </w:rPr>
              <w:t xml:space="preserve">、具有单独北斗卫星导航定位与自动驾驶功能（提供国家认可的第三方检测报告）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lang w:val="en-US" w:eastAsia="zh-CN"/>
              </w:rPr>
              <w:t xml:space="preserve">6</w:t>
            </w:r>
            <w:r>
              <w:rPr>
                <w:rFonts w:hint="eastAsia" w:ascii="仿宋" w:hAnsi="仿宋" w:eastAsia="仿宋" w:cs="仿宋"/>
                <w:color w:val="auto"/>
                <w:sz w:val="20"/>
                <w:szCs w:val="20"/>
              </w:rPr>
              <w:t xml:space="preserve">、自动驾驶所用定位系统设备具备国家级第三方检测机构出具的GNSS定位设备卫星信号测量精度检测报告</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lang w:val="en-US" w:eastAsia="zh-CN"/>
              </w:rPr>
              <w:t xml:space="preserve">7</w:t>
            </w:r>
            <w:r>
              <w:rPr>
                <w:rFonts w:hint="eastAsia" w:ascii="仿宋" w:hAnsi="仿宋" w:eastAsia="仿宋" w:cs="仿宋"/>
                <w:color w:val="auto"/>
                <w:sz w:val="20"/>
                <w:szCs w:val="20"/>
              </w:rPr>
              <w:t xml:space="preserve">、自动驾驶所使用GNSS定位板卡具备国家认可第三方鉴定证书</w:t>
            </w:r>
            <w:r/>
          </w:p>
          <w:p>
            <w:pPr>
              <w:ind w:firstLine="0"/>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w:t>
            </w:r>
            <w:r>
              <w:rPr>
                <w:rFonts w:hint="eastAsia" w:ascii="仿宋" w:hAnsi="仿宋" w:eastAsia="仿宋" w:cs="仿宋"/>
                <w:color w:val="auto"/>
                <w:sz w:val="20"/>
                <w:szCs w:val="20"/>
                <w:lang w:val="en-US" w:eastAsia="zh-CN"/>
              </w:rPr>
              <w:t xml:space="preserve">8</w:t>
            </w:r>
            <w:r>
              <w:rPr>
                <w:rFonts w:hint="eastAsia" w:ascii="仿宋" w:hAnsi="仿宋" w:eastAsia="仿宋" w:cs="仿宋"/>
                <w:color w:val="auto"/>
                <w:sz w:val="20"/>
                <w:szCs w:val="20"/>
              </w:rPr>
              <w:t xml:space="preserve">、支持倒车安全措施，系统支持倒车影像，在系统启动下倒车自动启动倒车影像，向前行驶自动关闭</w:t>
            </w:r>
            <w:r/>
          </w:p>
          <w:p>
            <w:pPr>
              <w:jc w:val="left"/>
              <w:widowControl/>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1</w:t>
            </w:r>
            <w:r/>
          </w:p>
        </w:tc>
      </w:tr>
      <w:tr>
        <w:trPr>
          <w:trHeight w:val="194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widowControl/>
              <w:rPr>
                <w:rFonts w:ascii="仿宋" w:hAnsi="仿宋" w:eastAsia="仿宋" w:cs="仿宋"/>
                <w:color w:val="auto"/>
                <w:sz w:val="20"/>
                <w:szCs w:val="20"/>
              </w:rPr>
            </w:pPr>
            <w:r>
              <w:rPr>
                <w:rFonts w:hint="eastAsia" w:ascii="仿宋" w:hAnsi="仿宋" w:eastAsia="仿宋" w:cs="仿宋"/>
                <w:color w:val="auto"/>
                <w:sz w:val="20"/>
                <w:szCs w:val="20"/>
              </w:rPr>
              <w:t xml:space="preserve">车载显控终端</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1、显示屏不低于10.1寸，电容式触摸屏</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2、分辨率≥1280*720P</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3、屏幕亮度≥750nits</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4、车规级处理器≥8核</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▲5、防护等级IP67及以上（国家认可的第三方检测报告）</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6</w:t>
            </w:r>
            <w:r/>
          </w:p>
        </w:tc>
      </w:tr>
      <w:tr>
        <w:trPr>
          <w:trHeight w:val="1360"/>
        </w:trPr>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驱动电机</w:t>
            </w:r>
            <w:r/>
          </w:p>
        </w:tc>
        <w:tc>
          <w:tcPr>
            <w:tcBorders>
              <w:top w:val="single" w:color="000000" w:sz="4" w:space="0"/>
              <w:left w:val="single" w:color="000000" w:sz="4" w:space="0"/>
              <w:bottom w:val="single" w:color="000000" w:sz="4" w:space="0"/>
              <w:right w:val="single" w:color="000000" w:sz="4" w:space="0"/>
            </w:tcBorders>
            <w:tcW w:w="9820" w:type="dxa"/>
            <w:vAlign w:val="center"/>
            <w:textDirection w:val="lrTb"/>
            <w:noWrap w:val="false"/>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1、额定电压≥12V</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2、最大输出频率≥200KHZ</w:t>
            </w:r>
            <w:r/>
          </w:p>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▲3、防护等级在IP67及以上</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6</w:t>
            </w:r>
            <w:r/>
          </w:p>
        </w:tc>
      </w:tr>
    </w:tbl>
    <w:p>
      <w:pPr>
        <w:rPr>
          <w:color w:val="auto"/>
        </w:rPr>
      </w:pPr>
      <w:r>
        <w:rPr>
          <w:color w:val="auto"/>
        </w:rPr>
      </w:r>
      <w:r/>
    </w:p>
    <w:p>
      <w:pPr>
        <w:spacing w:line="360" w:lineRule="auto"/>
        <w:rPr>
          <w:rFonts w:ascii="仿宋" w:hAnsi="仿宋" w:eastAsia="仿宋" w:cs="仿宋"/>
          <w:b/>
          <w:bCs/>
          <w:color w:val="auto"/>
          <w:sz w:val="32"/>
          <w:szCs w:val="32"/>
        </w:rPr>
      </w:pPr>
      <w:r>
        <w:rPr>
          <w:rFonts w:hint="eastAsia" w:ascii="仿宋" w:hAnsi="仿宋" w:eastAsia="仿宋" w:cs="仿宋"/>
          <w:b/>
          <w:bCs/>
          <w:color w:val="auto"/>
          <w:sz w:val="32"/>
          <w:szCs w:val="32"/>
        </w:rPr>
        <w:t xml:space="preserve">（二）可视化监控与管理平台</w:t>
      </w:r>
      <w:r/>
    </w:p>
    <w:tbl>
      <w:tblPr>
        <w:tblStyle w:val="821"/>
        <w:tblW w:w="4960" w:type="pct"/>
        <w:tblInd w:w="112" w:type="dxa"/>
        <w:tblLayout w:type="fixed"/>
        <w:tblCellMar>
          <w:left w:w="108" w:type="dxa"/>
          <w:top w:w="0" w:type="dxa"/>
          <w:right w:w="108" w:type="dxa"/>
          <w:bottom w:w="0" w:type="dxa"/>
        </w:tblCellMar>
        <w:tblLook w:val="04A0" w:firstRow="1" w:lastRow="0" w:firstColumn="1" w:lastColumn="0" w:noHBand="0" w:noVBand="1"/>
      </w:tblPr>
      <w:tblGrid>
        <w:gridCol w:w="1174"/>
        <w:gridCol w:w="2884"/>
        <w:gridCol w:w="10003"/>
      </w:tblGrid>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农场综合信息化管理平台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全场概况</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1、数字地图</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高精度数字农场地块展示；作业车辆的实时位置及状态显示；多类型的车辆控制面板；实时作业轨迹以及作业数据显示。</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2、实时监控</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基于移动网络的作业现场实时视频综合展示；作业机群的远程控制；单机作业的远程控制；多机协同作业的远程控制。</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云端部署</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1、单机作业部署</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基于高精度数字地图、车辆实时位置、指定农艺、作业类型的路径规划以及单机作业部署。</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2、多机协同部署</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基于高精度数字地图、避障安全机制、互斥工作区域的协同路径规划以及协同路径下发部署。</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3、车辆回库部署</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基于高精度的田间地块道路分布图，实现对车辆回库的路径规划以及路径下发部署。</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智能终端</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numPr>
                <w:ilvl w:val="0"/>
                <w:numId w:val="0"/>
              </w:num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智能设备</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对车辆搭载的若干智能设备的绑定、编辑、移除等管理。</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2、作业工况</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车辆作业工况数据的汇总展示</w:t>
            </w:r>
            <w:r>
              <w:rPr>
                <w:rFonts w:hint="eastAsia" w:ascii="仿宋" w:hAnsi="仿宋" w:eastAsia="仿宋" w:cs="仿宋"/>
                <w:color w:val="auto"/>
                <w:sz w:val="20"/>
                <w:szCs w:val="20"/>
                <w:lang w:eastAsia="zh-CN"/>
              </w:rPr>
              <w:t xml:space="preserve">，</w:t>
            </w:r>
            <w:r>
              <w:rPr>
                <w:rFonts w:hint="eastAsia" w:ascii="仿宋" w:hAnsi="仿宋" w:eastAsia="仿宋" w:cs="仿宋"/>
                <w:color w:val="auto"/>
                <w:sz w:val="20"/>
                <w:szCs w:val="20"/>
              </w:rPr>
              <w:t xml:space="preserve">实时监控无人机和无人农机的轨迹、状态、位置、速度等关键信息，确保作业过程中的安全和效率。</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3、历史轨迹</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车辆历史轨迹的汇总和回放。</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智能监管</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1、作业任务</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农场作业历程、作业历史轨迹回放、历史作业统计等功能。</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全局管理</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jc w:val="left"/>
              <w:widowControl/>
              <w:rPr>
                <w:rFonts w:ascii="仿宋" w:hAnsi="仿宋" w:eastAsia="仿宋" w:cs="仿宋"/>
                <w:color w:val="auto"/>
                <w:sz w:val="20"/>
                <w:szCs w:val="20"/>
              </w:rPr>
            </w:pPr>
            <w:r>
              <w:rPr>
                <w:rFonts w:hint="eastAsia" w:ascii="仿宋" w:hAnsi="仿宋" w:eastAsia="仿宋" w:cs="仿宋"/>
                <w:color w:val="auto"/>
                <w:sz w:val="20"/>
                <w:szCs w:val="20"/>
              </w:rPr>
              <w:t xml:space="preserve">1、区域管理</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对农场区域内作业地块的管理模块，包括增删改查、地块类型、面积统计以及区域看板等功能。</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2、车辆管理</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对农场区域内智能农机和作业机群的管理模块，包括单机的增删改查、机群的增删改查、机群作业的分配等功能。</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3、设备管理</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对农场区域内</w:t>
            </w:r>
            <w:r>
              <w:rPr>
                <w:rFonts w:hint="eastAsia" w:ascii="仿宋" w:hAnsi="仿宋" w:eastAsia="仿宋" w:cs="仿宋"/>
                <w:color w:val="auto"/>
                <w:sz w:val="20"/>
                <w:szCs w:val="20"/>
                <w:lang w:val="en-US" w:eastAsia="zh-CN"/>
              </w:rPr>
              <w:t xml:space="preserve">智能</w:t>
            </w:r>
            <w:r>
              <w:rPr>
                <w:rFonts w:hint="eastAsia" w:ascii="仿宋" w:hAnsi="仿宋" w:eastAsia="仿宋" w:cs="仿宋"/>
                <w:color w:val="auto"/>
                <w:sz w:val="20"/>
                <w:szCs w:val="20"/>
              </w:rPr>
              <w:t xml:space="preserve">设备的管理模块，包括公网流的监控视频管理、内网流的监控增删改查，以及后续拓展智能物联方面硬件等功能。</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4、路径管理</w:t>
            </w:r>
            <w:r>
              <w:rPr>
                <w:rFonts w:hint="eastAsia" w:ascii="仿宋" w:hAnsi="仿宋" w:eastAsia="仿宋" w:cs="仿宋"/>
                <w:color w:val="auto"/>
                <w:sz w:val="20"/>
                <w:szCs w:val="20"/>
              </w:rPr>
              <w:br/>
            </w:r>
            <w:r>
              <w:rPr>
                <w:rFonts w:hint="eastAsia" w:ascii="仿宋" w:hAnsi="仿宋" w:eastAsia="仿宋" w:cs="仿宋"/>
                <w:color w:val="auto"/>
                <w:sz w:val="20"/>
                <w:szCs w:val="20"/>
              </w:rPr>
              <w:t xml:space="preserve">对农场区域内规划路径的管理模块，包括单机路径的增删改查、协同路径的增删改查，以及建立各个路径关联不同的作业等功能。</w:t>
            </w:r>
            <w:r/>
          </w:p>
        </w:tc>
      </w:tr>
      <w:tr>
        <w:trPr>
          <w:trHeight w:val="280"/>
        </w:trPr>
        <w:tc>
          <w:tcPr>
            <w:shd w:val="clear" w:color="auto" w:fill="00b0f0"/>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widowControl/>
              <w:rPr>
                <w:rFonts w:ascii="仿宋" w:hAnsi="仿宋" w:eastAsia="仿宋" w:cs="仿宋"/>
                <w:color w:val="auto"/>
                <w:sz w:val="20"/>
                <w:szCs w:val="20"/>
              </w:rPr>
            </w:pPr>
            <w:r>
              <w:rPr>
                <w:rFonts w:hint="eastAsia" w:ascii="仿宋" w:hAnsi="仿宋" w:eastAsia="仿宋" w:cs="仿宋"/>
                <w:color w:val="auto"/>
                <w:sz w:val="20"/>
                <w:szCs w:val="20"/>
              </w:rPr>
              <w:t xml:space="preserve">平台对接和接口预留</w:t>
            </w:r>
            <w:r/>
          </w:p>
        </w:tc>
        <w:tc>
          <w:tcPr>
            <w:tcBorders>
              <w:top w:val="single" w:color="000000" w:sz="4" w:space="0"/>
              <w:left w:val="single" w:color="000000" w:sz="4" w:space="0"/>
              <w:bottom w:val="single" w:color="000000" w:sz="4" w:space="0"/>
              <w:right w:val="single" w:color="000000" w:sz="4" w:space="0"/>
            </w:tcBorders>
            <w:tcW w:w="3557" w:type="pct"/>
            <w:vAlign w:val="center"/>
            <w:textDirection w:val="lrTb"/>
            <w:noWrap/>
          </w:tcPr>
          <w:p>
            <w:pPr>
              <w:jc w:val="left"/>
              <w:widowControl/>
              <w:rPr>
                <w:rFonts w:ascii="仿宋" w:hAnsi="仿宋" w:eastAsia="仿宋" w:cs="仿宋"/>
                <w:color w:val="auto"/>
                <w:sz w:val="20"/>
                <w:szCs w:val="20"/>
              </w:rPr>
            </w:pPr>
            <w:r>
              <w:rPr>
                <w:rFonts w:hint="eastAsia" w:ascii="仿宋" w:hAnsi="仿宋" w:eastAsia="仿宋" w:cs="仿宋"/>
                <w:color w:val="auto"/>
                <w:sz w:val="24"/>
              </w:rPr>
              <w:t xml:space="preserve">★</w:t>
            </w:r>
            <w:r>
              <w:rPr>
                <w:rFonts w:hint="eastAsia" w:ascii="仿宋" w:hAnsi="仿宋" w:eastAsia="仿宋" w:cs="仿宋"/>
                <w:color w:val="auto"/>
                <w:sz w:val="20"/>
                <w:szCs w:val="20"/>
              </w:rPr>
              <w:t xml:space="preserve">与以“苏农云”为底座的“机慧来”管理平台对接联网；与市级农机管理平台和智慧农业平台对接联网。</w:t>
            </w:r>
            <w:r/>
          </w:p>
        </w:tc>
      </w:tr>
    </w:tbl>
    <w:p>
      <w:pPr>
        <w:rPr>
          <w:rFonts w:hint="eastAsia" w:ascii="宋体" w:hAnsi="宋体" w:eastAsia="宋体" w:cs="宋体"/>
          <w:color w:val="auto"/>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三、项目实施要求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1、所有投标产品均需符合国家最新标准及行业要求。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2、投标人所投产品应能够至少达到以上技术参数要求，同时明确所投产品的品牌、型号、规格和详细的技术参数及性能说明书。</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3、投标人需提供建设方案，</w:t>
      </w:r>
      <w:r>
        <w:rPr>
          <w:rFonts w:hint="eastAsia" w:ascii="宋体" w:hAnsi="宋体" w:eastAsia="宋体" w:cs="宋体"/>
          <w:color w:val="auto"/>
          <w:sz w:val="24"/>
          <w:szCs w:val="24"/>
        </w:rPr>
        <w:t xml:space="preserve">通过集成应用新一代物联网</w:t>
      </w:r>
      <w:r>
        <w:rPr>
          <w:rFonts w:hint="eastAsia" w:ascii="宋体" w:hAnsi="宋体" w:eastAsia="宋体" w:cs="宋体"/>
          <w:color w:val="auto"/>
          <w:sz w:val="24"/>
          <w:szCs w:val="24"/>
          <w:lang w:val="en-US" w:eastAsia="zh-CN"/>
        </w:rPr>
        <w:t xml:space="preserve">及网络通讯、</w:t>
      </w:r>
      <w:r>
        <w:rPr>
          <w:rFonts w:hint="eastAsia" w:ascii="宋体" w:hAnsi="宋体" w:eastAsia="宋体" w:cs="宋体"/>
          <w:color w:val="auto"/>
          <w:sz w:val="24"/>
          <w:szCs w:val="24"/>
        </w:rPr>
        <w:t xml:space="preserve">大数据、人工智能、</w:t>
      </w:r>
      <w:r>
        <w:rPr>
          <w:rFonts w:hint="eastAsia" w:ascii="宋体" w:hAnsi="宋体" w:eastAsia="宋体" w:cs="宋体"/>
          <w:color w:val="auto"/>
          <w:sz w:val="24"/>
          <w:szCs w:val="24"/>
          <w:lang w:val="en-US" w:eastAsia="zh-CN"/>
        </w:rPr>
        <w:t xml:space="preserve">云平台、</w:t>
      </w:r>
      <w:r>
        <w:rPr>
          <w:rFonts w:hint="eastAsia" w:ascii="宋体" w:hAnsi="宋体" w:eastAsia="宋体" w:cs="宋体"/>
          <w:color w:val="auto"/>
          <w:sz w:val="24"/>
          <w:szCs w:val="24"/>
        </w:rPr>
        <w:t xml:space="preserve">无人驾驶等</w:t>
      </w:r>
      <w:r>
        <w:rPr>
          <w:rFonts w:hint="eastAsia" w:ascii="宋体" w:hAnsi="宋体" w:eastAsia="宋体" w:cs="宋体"/>
          <w:color w:val="auto"/>
          <w:sz w:val="24"/>
          <w:szCs w:val="24"/>
          <w:lang w:val="en-US" w:eastAsia="zh-CN"/>
        </w:rPr>
        <w:t xml:space="preserve">新型技术，对农场生产所需设施装备等进行智能化及自动控制，用智能化机器替代人工，实现</w:t>
      </w:r>
      <w:r>
        <w:rPr>
          <w:rFonts w:hint="eastAsia" w:ascii="宋体" w:hAnsi="宋体" w:eastAsia="宋体" w:cs="宋体"/>
          <w:color w:val="auto"/>
          <w:sz w:val="24"/>
          <w:szCs w:val="24"/>
        </w:rPr>
        <w:t xml:space="preserve">传统人工管控到远程无线智能管控的转变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打造省内领先、无人智能化标准高、农机农艺融合水平高无人农场示范样板。</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、所有产品免费质量保证期按国家规定执行，其中整机不少于1年。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售后服务响应时间：中标人应以优良的服务态度，便利、快捷的方式在30分钟内响应，2小时内到达项目现场，12小时内解决采购人提出的维修要求；若在12小时未能解决，则必须更换同品牌、规格产品或优于中标时品牌、规格的产品，保证采购人的正常使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、中标人对所有货物进行定期巡检服务，及时发现货物的损坏或功能异常。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、中标人对所有货物进行必要的定期保养服务。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中标人需在投标文件中对售后服务机构的设置、详细的售后计划和流程、日常维保维护、常见故障的排除及紧急情况的处理、售后服务响应时间及方式、备品、配件供应保障措施等进行详细阐述，确保提供完善的售后服务保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、中标人需在投标文件中对免费维保期满后维保的收费情况及内容介绍、备品备件价格进行详细说明，以供采购人参考和选择。</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、中标人需在投标文件中提供</w:t>
      </w:r>
      <w:r>
        <w:rPr>
          <w:rFonts w:hint="eastAsia" w:ascii="宋体" w:hAnsi="宋体" w:cs="宋体"/>
          <w:color w:val="auto"/>
          <w:sz w:val="24"/>
          <w:szCs w:val="24"/>
          <w:lang w:val="en-US" w:eastAsia="zh-CN"/>
        </w:rPr>
        <w:t xml:space="preserve">3次技术</w:t>
      </w:r>
      <w:r>
        <w:rPr>
          <w:rFonts w:hint="eastAsia" w:ascii="宋体" w:hAnsi="宋体" w:eastAsia="宋体" w:cs="宋体"/>
          <w:color w:val="auto"/>
          <w:sz w:val="24"/>
          <w:szCs w:val="24"/>
        </w:rPr>
        <w:t xml:space="preserve">培训</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不少于100人次）</w:t>
      </w:r>
      <w:r>
        <w:rPr>
          <w:rFonts w:hint="eastAsia" w:ascii="宋体" w:hAnsi="宋体" w:eastAsia="宋体" w:cs="宋体"/>
          <w:color w:val="auto"/>
          <w:sz w:val="24"/>
          <w:szCs w:val="24"/>
        </w:rPr>
        <w:t xml:space="preserve">服务方案，包括培训内容、培训</w:t>
      </w:r>
      <w:r>
        <w:rPr>
          <w:rFonts w:hint="eastAsia" w:ascii="宋体" w:hAnsi="宋体" w:cs="宋体"/>
          <w:color w:val="auto"/>
          <w:sz w:val="24"/>
          <w:szCs w:val="24"/>
          <w:lang w:val="en-US" w:eastAsia="zh-CN"/>
        </w:rPr>
        <w:t xml:space="preserve">课程</w:t>
      </w:r>
      <w:r>
        <w:rPr>
          <w:rFonts w:hint="eastAsia" w:ascii="宋体" w:hAnsi="宋体" w:eastAsia="宋体" w:cs="宋体"/>
          <w:color w:val="auto"/>
          <w:sz w:val="24"/>
          <w:szCs w:val="24"/>
        </w:rPr>
        <w:t xml:space="preserve">等内容，以便使用方人员能熟练使用</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操作相关</w:t>
      </w:r>
      <w:r>
        <w:rPr>
          <w:rFonts w:hint="eastAsia" w:ascii="宋体" w:hAnsi="宋体" w:eastAsia="宋体" w:cs="宋体"/>
          <w:color w:val="auto"/>
          <w:sz w:val="24"/>
          <w:szCs w:val="24"/>
          <w:lang w:val="en-US" w:eastAsia="zh-CN"/>
        </w:rPr>
        <w:t xml:space="preserve">设备</w:t>
      </w:r>
      <w:r>
        <w:rPr>
          <w:rFonts w:hint="eastAsia" w:ascii="宋体" w:hAnsi="宋体" w:cs="宋体"/>
          <w:color w:val="auto"/>
          <w:sz w:val="24"/>
          <w:szCs w:val="24"/>
          <w:lang w:val="en-US" w:eastAsia="zh-CN"/>
        </w:rPr>
        <w:t xml:space="preserve">和示范推广</w:t>
      </w:r>
      <w:r>
        <w:rPr>
          <w:rFonts w:hint="eastAsia" w:ascii="宋体" w:hAnsi="宋体" w:eastAsia="宋体" w:cs="宋体"/>
          <w:color w:val="auto"/>
          <w:sz w:val="24"/>
          <w:szCs w:val="24"/>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四、交货地点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靖江市孤山镇新联村或采购人指定的其它地点。</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五、服务期限</w:t>
      </w:r>
      <w:r/>
    </w:p>
    <w:p>
      <w:pPr>
        <w:numPr>
          <w:ilvl w:val="0"/>
          <w:numId w:val="0"/>
        </w:numPr>
        <w:ind w:firstLine="480"/>
        <w:keepLines w:val="0"/>
        <w:keepNext w:val="0"/>
        <w:pageBreakBefore w:val="0"/>
        <w:spacing w:line="360" w:lineRule="auto"/>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lang w:val="en-US" w:eastAsia="zh-CN"/>
        </w:rPr>
        <w:t xml:space="preserve">签订合同之日起至项目实施结束，货物于签订合同之起30日历天内日交付。</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六、付款方式</w:t>
      </w:r>
      <w:r/>
    </w:p>
    <w:p>
      <w:pPr>
        <w:numPr>
          <w:ilvl w:val="0"/>
          <w:numId w:val="0"/>
        </w:numPr>
        <w:ind w:firstLine="480"/>
        <w:keepLines w:val="0"/>
        <w:keepNext w:val="0"/>
        <w:pageBreakBefore w:val="0"/>
        <w:spacing w:line="360" w:lineRule="auto"/>
        <w:widowControl w:val="off"/>
        <w:rPr>
          <w:rFonts w:hint="eastAsia"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lang w:val="en-US" w:eastAsia="zh-CN"/>
        </w:rPr>
        <w:t xml:space="preserve">合同签订之日起30日内预付合同金额的30%，所有货物运至采购人指定的地点，安装完成并经采购人验收合格后60日内付至合同金额的90%，项目验收合格后30日内支付至合同金额的100%。所有机具发票备注需载明出厂编号和发动机编号（带动力机具），牌证机具(拖拉机、收割机）需一机一票。</w:t>
      </w:r>
      <w:r/>
    </w:p>
    <w:p>
      <w:pPr>
        <w:jc w:val="cente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bookmarkStart w:id="209" w:name="_Toc7094"/>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Fonts w:hint="eastAsia" w:ascii="宋体" w:hAnsi="宋体" w:eastAsia="宋体" w:cs="宋体"/>
          <w:color w:val="auto"/>
        </w:rPr>
      </w:r>
      <w:r/>
    </w:p>
    <w:p>
      <w:pPr>
        <w:jc w:val="center"/>
        <w:rPr>
          <w:rStyle w:val="1016"/>
          <w:rFonts w:hint="eastAsia" w:ascii="宋体" w:hAnsi="宋体" w:eastAsia="宋体" w:cs="宋体"/>
          <w:color w:val="auto"/>
        </w:rPr>
      </w:pPr>
      <w:r>
        <w:rPr>
          <w:rStyle w:val="1016"/>
          <w:rFonts w:hint="eastAsia" w:ascii="宋体" w:hAnsi="宋体" w:eastAsia="宋体" w:cs="宋体"/>
          <w:color w:val="auto"/>
        </w:rPr>
        <w:t xml:space="preserve">第六章 评标办法</w:t>
      </w:r>
      <w:bookmarkEnd w:id="206"/>
      <w:r/>
      <w:bookmarkEnd w:id="209"/>
      <w:r/>
      <w:r/>
    </w:p>
    <w:p>
      <w:pPr>
        <w:jc w:val="cente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评审办法前附表</w:t>
      </w:r>
      <w:r/>
    </w:p>
    <w:tbl>
      <w:tblPr>
        <w:tblStyle w:val="821"/>
        <w:tblW w:w="8911"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294"/>
      </w:tblGrid>
      <w:tr>
        <w:trPr>
          <w:trHeight w:val="507"/>
        </w:trPr>
        <w:tc>
          <w:tcPr>
            <w:gridSpan w:val="2"/>
            <w:tcW w:w="1617" w:type="dxa"/>
            <w:textDirection w:val="lrTb"/>
            <w:noWrap/>
          </w:tcPr>
          <w:p>
            <w:pPr>
              <w:pStyle w:val="1088"/>
              <w:spacing w:line="440" w:lineRule="exact"/>
              <w:rPr>
                <w:rFonts w:hint="eastAsia" w:ascii="宋体" w:hAnsi="宋体" w:eastAsia="宋体" w:cs="宋体"/>
                <w:b/>
                <w:color w:val="auto"/>
                <w:sz w:val="22"/>
              </w:rPr>
            </w:pPr>
            <w:r>
              <w:rPr>
                <w:rFonts w:hint="eastAsia" w:ascii="宋体" w:hAnsi="宋体" w:eastAsia="宋体" w:cs="宋体"/>
                <w:b/>
                <w:color w:val="auto"/>
                <w:sz w:val="22"/>
              </w:rPr>
              <w:t xml:space="preserve">条款号</w:t>
            </w:r>
            <w:r/>
          </w:p>
        </w:tc>
        <w:tc>
          <w:tcPr>
            <w:tcW w:w="7294" w:type="dxa"/>
            <w:textDirection w:val="lrTb"/>
            <w:noWrap/>
          </w:tcPr>
          <w:p>
            <w:pPr>
              <w:pStyle w:val="1088"/>
              <w:jc w:val="center"/>
              <w:spacing w:line="440" w:lineRule="exact"/>
              <w:rPr>
                <w:rFonts w:hint="eastAsia" w:ascii="宋体" w:hAnsi="宋体" w:eastAsia="宋体" w:cs="宋体"/>
                <w:b/>
                <w:color w:val="auto"/>
                <w:sz w:val="22"/>
              </w:rPr>
            </w:pPr>
            <w:r>
              <w:rPr>
                <w:rFonts w:hint="eastAsia" w:ascii="宋体" w:hAnsi="宋体" w:eastAsia="宋体" w:cs="宋体"/>
                <w:b/>
                <w:color w:val="auto"/>
                <w:sz w:val="22"/>
              </w:rPr>
              <w:t xml:space="preserve">评审因素与评审标准</w:t>
            </w:r>
            <w:r/>
          </w:p>
        </w:tc>
      </w:tr>
      <w:tr>
        <w:trPr>
          <w:trHeight w:val="3681"/>
        </w:trPr>
        <w:tc>
          <w:tcPr>
            <w:tcW w:w="844" w:type="dxa"/>
            <w:textDirection w:val="lrTb"/>
            <w:noWrap/>
          </w:tcPr>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jc w:val="center"/>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2.1.1</w:t>
            </w:r>
            <w:r/>
          </w:p>
        </w:tc>
        <w:tc>
          <w:tcPr>
            <w:tcW w:w="773" w:type="dxa"/>
            <w:textDirection w:val="lrTb"/>
            <w:noWrap/>
          </w:tcPr>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资格性检查标准</w:t>
            </w:r>
            <w:r/>
          </w:p>
        </w:tc>
        <w:tc>
          <w:tcPr>
            <w:tcW w:w="7294" w:type="dxa"/>
            <w:textDirection w:val="lrTb"/>
            <w:noWrap/>
          </w:tcPr>
          <w:p>
            <w:pPr>
              <w:pStyle w:val="1131"/>
              <w:spacing w:line="440" w:lineRule="exact"/>
              <w:tabs>
                <w:tab w:val="left" w:pos="331" w:leader="none"/>
              </w:tabs>
              <w:rPr>
                <w:rFonts w:hint="eastAsia" w:ascii="宋体" w:hAnsi="宋体" w:eastAsia="宋体" w:cs="宋体"/>
                <w:color w:val="auto"/>
                <w:sz w:val="22"/>
              </w:rPr>
            </w:pPr>
            <w:r>
              <w:rPr>
                <w:rFonts w:hint="eastAsia" w:ascii="宋体" w:hAnsi="宋体" w:eastAsia="宋体" w:cs="宋体"/>
                <w:color w:val="auto"/>
                <w:sz w:val="22"/>
              </w:rPr>
              <w:t xml:space="preserve">（1）具有独立承担民事责任的能力：提供了供应商有效的法人或其他组织的营业执照等证明文件原件扫描件；</w:t>
            </w:r>
            <w:r/>
          </w:p>
          <w:p>
            <w:pPr>
              <w:pStyle w:val="1131"/>
              <w:spacing w:line="440" w:lineRule="exact"/>
              <w:tabs>
                <w:tab w:val="left" w:pos="331" w:leader="none"/>
              </w:tabs>
              <w:rPr>
                <w:rFonts w:hint="eastAsia" w:ascii="宋体" w:hAnsi="宋体" w:eastAsia="宋体" w:cs="宋体"/>
                <w:color w:val="auto"/>
                <w:sz w:val="22"/>
              </w:rPr>
            </w:pPr>
            <w:r>
              <w:rPr>
                <w:rFonts w:hint="eastAsia" w:ascii="宋体" w:hAnsi="宋体" w:eastAsia="宋体" w:cs="宋体"/>
                <w:color w:val="auto"/>
                <w:sz w:val="22"/>
              </w:rPr>
              <w:t xml:space="preserve">（2）具有《政府采购法》第二十二条第（二）、（三）、（四）、（五）项规定的基本资格条件：提按投标文件格式要求提供了《基本资格条件承诺书》原件扫描件；</w:t>
            </w:r>
            <w:r/>
          </w:p>
          <w:p>
            <w:pPr>
              <w:pStyle w:val="1131"/>
              <w:spacing w:line="440" w:lineRule="exact"/>
              <w:tabs>
                <w:tab w:val="left" w:pos="331" w:leader="none"/>
              </w:tabs>
              <w:rPr>
                <w:rFonts w:hint="eastAsia" w:ascii="宋体" w:hAnsi="宋体" w:eastAsia="宋体" w:cs="宋体"/>
                <w:color w:val="auto"/>
                <w:sz w:val="22"/>
              </w:rPr>
            </w:pPr>
            <w:r>
              <w:rPr>
                <w:rFonts w:hint="eastAsia" w:ascii="宋体" w:hAnsi="宋体" w:eastAsia="宋体" w:cs="宋体"/>
                <w:color w:val="auto"/>
                <w:sz w:val="22"/>
              </w:rPr>
              <w:t xml:space="preserve">（3）未组成联合体投标：本项目供应商单独投标，未组成联合体；</w:t>
            </w:r>
            <w:r/>
          </w:p>
          <w:p>
            <w:pPr>
              <w:pStyle w:val="1131"/>
              <w:spacing w:line="440" w:lineRule="exact"/>
              <w:tabs>
                <w:tab w:val="left" w:pos="331" w:leader="none"/>
              </w:tabs>
              <w:rPr>
                <w:rFonts w:hint="eastAsia" w:ascii="宋体" w:hAnsi="宋体" w:eastAsia="宋体" w:cs="宋体"/>
                <w:color w:val="auto"/>
                <w:sz w:val="22"/>
                <w:lang w:eastAsia="zh-CN"/>
              </w:rPr>
            </w:pPr>
            <w:r>
              <w:rPr>
                <w:rFonts w:hint="eastAsia" w:ascii="宋体" w:hAnsi="宋体" w:eastAsia="宋体" w:cs="宋体"/>
                <w:color w:val="auto"/>
                <w:sz w:val="22"/>
              </w:rPr>
              <w:t xml:space="preserve">（4）特定资格条件：经营范围包含农业机械、智能装备或信息技术服务</w:t>
            </w:r>
            <w:r>
              <w:rPr>
                <w:rFonts w:hint="eastAsia" w:ascii="宋体" w:hAnsi="宋体" w:eastAsia="宋体" w:cs="宋体"/>
                <w:color w:val="auto"/>
                <w:sz w:val="24"/>
                <w:szCs w:val="24"/>
                <w:lang w:eastAsia="zh-CN"/>
              </w:rPr>
              <w:t xml:space="preserve">；</w:t>
            </w:r>
            <w:r/>
          </w:p>
          <w:p>
            <w:pPr>
              <w:pStyle w:val="1131"/>
              <w:spacing w:line="440" w:lineRule="exact"/>
              <w:tabs>
                <w:tab w:val="left" w:pos="331" w:leader="none"/>
              </w:tabs>
              <w:rPr>
                <w:rFonts w:hint="eastAsia" w:ascii="宋体" w:hAnsi="宋体" w:eastAsia="宋体" w:cs="宋体"/>
                <w:color w:val="auto"/>
                <w:sz w:val="22"/>
              </w:rPr>
            </w:pPr>
            <w:r>
              <w:rPr>
                <w:rFonts w:hint="eastAsia" w:ascii="宋体" w:hAnsi="宋体" w:eastAsia="宋体" w:cs="宋体"/>
                <w:color w:val="auto"/>
                <w:sz w:val="22"/>
              </w:rPr>
              <w:t xml:space="preserve">（5）落实政府采购政策需满足的资格要求：按投标文件格式要求提供《中小企业声明函（服务）》或《残疾人福利性单位声明函》或《监狱企业证明》；</w:t>
            </w:r>
            <w:r/>
          </w:p>
          <w:p>
            <w:pPr>
              <w:pStyle w:val="1131"/>
              <w:spacing w:line="440" w:lineRule="exact"/>
              <w:tabs>
                <w:tab w:val="left" w:pos="331" w:leader="none"/>
              </w:tabs>
              <w:rPr>
                <w:rFonts w:hint="eastAsia" w:ascii="宋体" w:hAnsi="宋体" w:eastAsia="宋体" w:cs="宋体"/>
                <w:color w:val="auto"/>
                <w:sz w:val="22"/>
              </w:rPr>
            </w:pPr>
            <w:r>
              <w:rPr>
                <w:rFonts w:hint="eastAsia" w:ascii="宋体" w:hAnsi="宋体" w:eastAsia="宋体" w:cs="宋体"/>
                <w:color w:val="auto"/>
                <w:sz w:val="22"/>
              </w:rPr>
              <w:t xml:space="preserve">（6）不存在禁止投标情形：供应商承诺不存在第二章供应商须知第1.3.4项规定情形之一（承诺）。</w:t>
            </w:r>
            <w:r/>
          </w:p>
        </w:tc>
      </w:tr>
      <w:tr>
        <w:trPr>
          <w:trHeight w:val="90"/>
        </w:trPr>
        <w:tc>
          <w:tcPr>
            <w:tcW w:w="844" w:type="dxa"/>
            <w:textDirection w:val="lrTb"/>
            <w:noWrap/>
          </w:tcPr>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jc w:val="center"/>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2.1.2</w:t>
            </w:r>
            <w:r/>
          </w:p>
        </w:tc>
        <w:tc>
          <w:tcPr>
            <w:tcW w:w="773" w:type="dxa"/>
            <w:textDirection w:val="lrTb"/>
            <w:noWrap/>
          </w:tcPr>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r>
            <w:r/>
          </w:p>
          <w:p>
            <w:pPr>
              <w:pStyle w:val="1088"/>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符合性检查标准</w:t>
            </w:r>
            <w:r/>
          </w:p>
        </w:tc>
        <w:tc>
          <w:tcPr>
            <w:tcW w:w="7294" w:type="dxa"/>
            <w:textDirection w:val="lrTb"/>
            <w:noWrap/>
          </w:tcPr>
          <w:p>
            <w:pPr>
              <w:numPr>
                <w:ilvl w:val="0"/>
                <w:numId w:val="4"/>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投标文件组成齐全，内容、格式按招标文件的规定，字迹清晰可辩：</w:t>
            </w:r>
            <w:r/>
          </w:p>
          <w:p>
            <w:pPr>
              <w:numPr>
                <w:ilvl w:val="0"/>
                <w:numId w:val="5"/>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投标文件组成齐全完整，内容均按规定填写；</w:t>
            </w:r>
            <w:r/>
          </w:p>
          <w:p>
            <w:pPr>
              <w:numPr>
                <w:ilvl w:val="0"/>
                <w:numId w:val="5"/>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投标文件未因关键信息模糊而造成评标委员会无法判定是否实质性响应。</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投标文件中单位和个人电子签章齐全，符合招标文件规定；</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投标报价（优惠率）为唯一报价，且未提交选择性报价（优惠率）；</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投标人未提交可调价格的投标报价（优惠率）；</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投标报价（优惠率）未超过预算价（最高限价）；</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商务条款响应表中未出现负偏离；</w:t>
            </w:r>
            <w:r/>
          </w:p>
          <w:p>
            <w:pPr>
              <w:numPr>
                <w:ilvl w:val="0"/>
                <w:numId w:val="6"/>
              </w:numPr>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供应商未以任何方式或者方法提供报价以外的任何附赠条款；</w:t>
            </w:r>
            <w:r/>
          </w:p>
          <w:p>
            <w:pPr>
              <w:pStyle w:val="1088"/>
              <w:spacing w:line="440" w:lineRule="exact"/>
              <w:tabs>
                <w:tab w:val="left" w:pos="645" w:leader="none"/>
              </w:tabs>
              <w:rPr>
                <w:rFonts w:hint="eastAsia" w:ascii="宋体" w:hAnsi="宋体" w:eastAsia="宋体" w:cs="宋体"/>
                <w:color w:val="auto"/>
                <w:sz w:val="22"/>
              </w:rPr>
            </w:pPr>
            <w:r>
              <w:rPr>
                <w:rFonts w:hint="eastAsia" w:ascii="宋体" w:hAnsi="宋体" w:eastAsia="宋体" w:cs="宋体"/>
                <w:color w:val="auto"/>
                <w:sz w:val="22"/>
              </w:rPr>
              <w:t xml:space="preserve">（8）投标文件未附有采购人不能接受的条件。</w:t>
            </w:r>
            <w:r/>
          </w:p>
        </w:tc>
      </w:tr>
    </w:tbl>
    <w:p>
      <w:pPr>
        <w:ind w:firstLine="440"/>
        <w:spacing w:line="400" w:lineRule="exact"/>
        <w:rPr>
          <w:rFonts w:hint="eastAsia" w:ascii="宋体" w:hAnsi="宋体" w:eastAsia="宋体" w:cs="宋体"/>
          <w:color w:val="auto"/>
        </w:rPr>
      </w:pPr>
      <w:r/>
      <w:bookmarkStart w:id="210" w:name="_Toc217446099"/>
      <w:r>
        <w:rPr>
          <w:rFonts w:hint="eastAsia" w:ascii="宋体" w:hAnsi="宋体" w:eastAsia="宋体" w:cs="宋体"/>
          <w:color w:val="auto"/>
          <w:sz w:val="22"/>
          <w:szCs w:val="20"/>
        </w:rPr>
        <w:br w:type="page" w:clear="all"/>
      </w:r>
      <w:r/>
    </w:p>
    <w:p>
      <w:pPr>
        <w:ind w:right="265"/>
        <w:jc w:val="center"/>
        <w:spacing w:before="219" w:after="19"/>
        <w:rPr>
          <w:rFonts w:hint="eastAsia" w:ascii="宋体" w:hAnsi="宋体" w:eastAsia="宋体" w:cs="宋体"/>
          <w:b/>
          <w:bCs/>
          <w:color w:val="auto"/>
          <w:sz w:val="28"/>
          <w:szCs w:val="28"/>
        </w:rPr>
        <w:outlineLvl w:val="4"/>
      </w:pPr>
      <w:r>
        <w:rPr>
          <w:rFonts w:hint="eastAsia" w:ascii="宋体" w:hAnsi="宋体" w:eastAsia="宋体" w:cs="宋体"/>
          <w:b/>
          <w:bCs/>
          <w:color w:val="auto"/>
          <w:sz w:val="28"/>
          <w:szCs w:val="28"/>
        </w:rPr>
        <w:t xml:space="preserve">评分因素以及分值</w:t>
      </w:r>
      <w:r/>
    </w:p>
    <w:p>
      <w:pPr>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评分标准</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1.评审方法采用综合评分法，总分值为100分。</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2.评审时，对每个有效供应商的响应文件进行评分，对评委的评分进行统计汇总，按算术平均方法计算出每个供应商的评审得分。（保留小数点后2位）</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3.评审结果按评审后得分由高到低顺序排列。评审得分相同的，按照最后报价由低到高的顺序推荐。评审得分且最后报价相同的并列。</w:t>
      </w:r>
      <w:r/>
    </w:p>
    <w:tbl>
      <w:tblPr>
        <w:tblStyle w:val="821"/>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697"/>
        <w:gridCol w:w="7550"/>
      </w:tblGrid>
      <w:tr>
        <w:trPr>
          <w:jc w:val="center"/>
          <w:trHeight w:val="280"/>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项目</w:t>
            </w:r>
            <w:r/>
          </w:p>
        </w:tc>
        <w:tc>
          <w:tcPr>
            <w:tcW w:w="366"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分值</w:t>
            </w:r>
            <w:r/>
          </w:p>
        </w:tc>
        <w:tc>
          <w:tcPr>
            <w:tcW w:w="3966"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评分办法</w:t>
            </w:r>
            <w:r/>
          </w:p>
        </w:tc>
      </w:tr>
      <w:tr>
        <w:trPr>
          <w:jc w:val="center"/>
          <w:trHeight w:val="1120"/>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价格</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30</w:t>
            </w:r>
            <w:r/>
          </w:p>
        </w:tc>
        <w:tc>
          <w:tcPr>
            <w:tcW w:w="3966" w:type="pct"/>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价格分采用低价优先法计算，即满足招标文件要求且报价最低的供应商报价为评标基准价，其价格分为满分30分，其他投标人的价格分统一按照以下公式计算：投标报价得分=（评标基准价/该投标人的投标报价）×30分，小数点保留2位</w:t>
            </w:r>
            <w:r/>
          </w:p>
        </w:tc>
      </w:tr>
      <w:tr>
        <w:trPr>
          <w:jc w:val="center"/>
          <w:trHeight w:val="840"/>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业绩</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w:t>
            </w:r>
            <w:r/>
          </w:p>
        </w:tc>
        <w:tc>
          <w:tcPr>
            <w:tcW w:w="3966" w:type="pct"/>
            <w:vAlign w:val="center"/>
            <w:textDirection w:val="lrTb"/>
            <w:noWrap w:val="false"/>
          </w:tcPr>
          <w:p>
            <w:pPr>
              <w:ind w:firstLine="0"/>
              <w:jc w:val="both"/>
              <w:widowControl w:val="off"/>
              <w:rPr>
                <w:rFonts w:hint="eastAsia" w:ascii="宋体" w:hAnsi="宋体" w:eastAsia="宋体" w:cs="宋体"/>
                <w:color w:val="auto"/>
                <w:sz w:val="21"/>
                <w:szCs w:val="20"/>
                <w:highlight w:val="none"/>
                <w:lang w:val="zh-CN" w:eastAsia="zh-CN" w:bidi="ar-SA"/>
              </w:rPr>
            </w:pPr>
            <w:r>
              <w:rPr>
                <w:rFonts w:hint="eastAsia" w:ascii="宋体" w:hAnsi="宋体" w:eastAsia="宋体" w:cs="宋体"/>
                <w:color w:val="auto"/>
                <w:sz w:val="21"/>
                <w:szCs w:val="20"/>
                <w:highlight w:val="none"/>
                <w:lang w:val="zh-CN" w:eastAsia="zh-CN" w:bidi="ar-SA"/>
              </w:rPr>
              <w:t xml:space="preserve">投标人具备自20</w:t>
            </w:r>
            <w:r>
              <w:rPr>
                <w:rFonts w:hint="eastAsia" w:ascii="宋体" w:hAnsi="宋体" w:eastAsia="宋体" w:cs="宋体"/>
                <w:color w:val="auto"/>
                <w:sz w:val="21"/>
                <w:szCs w:val="20"/>
                <w:highlight w:val="none"/>
                <w:lang w:val="en-US" w:eastAsia="zh-CN" w:bidi="ar-SA"/>
              </w:rPr>
              <w:t xml:space="preserve">21</w:t>
            </w:r>
            <w:r>
              <w:rPr>
                <w:rFonts w:hint="eastAsia" w:ascii="宋体" w:hAnsi="宋体" w:eastAsia="宋体" w:cs="宋体"/>
                <w:color w:val="auto"/>
                <w:sz w:val="21"/>
                <w:szCs w:val="20"/>
                <w:highlight w:val="none"/>
                <w:lang w:val="zh-CN" w:eastAsia="zh-CN" w:bidi="ar-SA"/>
              </w:rPr>
              <w:t xml:space="preserve">年1月1日至今（时间以</w:t>
            </w:r>
            <w:r>
              <w:rPr>
                <w:rFonts w:hint="eastAsia" w:ascii="宋体" w:hAnsi="宋体" w:cs="宋体"/>
                <w:color w:val="auto"/>
                <w:sz w:val="21"/>
                <w:szCs w:val="20"/>
                <w:highlight w:val="none"/>
                <w:lang w:val="en-US" w:eastAsia="zh-CN" w:bidi="ar-SA"/>
              </w:rPr>
              <w:t xml:space="preserve">合同签订</w:t>
            </w:r>
            <w:r>
              <w:rPr>
                <w:rFonts w:hint="eastAsia" w:ascii="宋体" w:hAnsi="宋体" w:eastAsia="宋体" w:cs="宋体"/>
                <w:color w:val="auto"/>
                <w:sz w:val="21"/>
                <w:szCs w:val="20"/>
                <w:highlight w:val="none"/>
                <w:lang w:val="zh-CN" w:eastAsia="zh-CN" w:bidi="ar-SA"/>
              </w:rPr>
              <w:t xml:space="preserve">为准）承接类似项目的业绩，有1个得</w:t>
            </w:r>
            <w:r>
              <w:rPr>
                <w:rFonts w:hint="eastAsia" w:ascii="宋体" w:hAnsi="宋体" w:eastAsia="宋体" w:cs="宋体"/>
                <w:color w:val="auto"/>
                <w:sz w:val="21"/>
                <w:szCs w:val="20"/>
                <w:highlight w:val="none"/>
                <w:lang w:val="en-US" w:eastAsia="zh-CN" w:bidi="ar-SA"/>
              </w:rPr>
              <w:t xml:space="preserve">2</w:t>
            </w:r>
            <w:r>
              <w:rPr>
                <w:rFonts w:hint="eastAsia" w:ascii="宋体" w:hAnsi="宋体" w:eastAsia="宋体" w:cs="宋体"/>
                <w:color w:val="auto"/>
                <w:sz w:val="21"/>
                <w:szCs w:val="20"/>
                <w:highlight w:val="none"/>
                <w:lang w:val="zh-CN" w:eastAsia="zh-CN" w:bidi="ar-SA"/>
              </w:rPr>
              <w:t xml:space="preserve">分，最高得</w:t>
            </w:r>
            <w:r>
              <w:rPr>
                <w:rFonts w:hint="eastAsia" w:ascii="宋体" w:hAnsi="宋体" w:eastAsia="宋体" w:cs="宋体"/>
                <w:color w:val="auto"/>
                <w:sz w:val="21"/>
                <w:szCs w:val="20"/>
                <w:highlight w:val="none"/>
                <w:lang w:val="en-US" w:eastAsia="zh-CN" w:bidi="ar-SA"/>
              </w:rPr>
              <w:t xml:space="preserve">6</w:t>
            </w:r>
            <w:r>
              <w:rPr>
                <w:rFonts w:hint="eastAsia" w:ascii="宋体" w:hAnsi="宋体" w:eastAsia="宋体" w:cs="宋体"/>
                <w:color w:val="auto"/>
                <w:sz w:val="21"/>
                <w:szCs w:val="20"/>
                <w:highlight w:val="none"/>
                <w:lang w:val="zh-CN" w:eastAsia="zh-CN" w:bidi="ar-SA"/>
              </w:rPr>
              <w:t xml:space="preserve">分。</w:t>
            </w:r>
            <w:r/>
          </w:p>
          <w:p>
            <w:pPr>
              <w:ind w:firstLine="0"/>
              <w:jc w:val="both"/>
              <w:widowControl w:val="off"/>
              <w:rPr>
                <w:rFonts w:hint="eastAsia" w:ascii="宋体" w:hAnsi="宋体" w:eastAsia="宋体" w:cs="宋体"/>
                <w:color w:val="auto"/>
                <w:sz w:val="21"/>
                <w:szCs w:val="20"/>
                <w:lang w:val="zh-CN" w:eastAsia="zh-CN" w:bidi="ar-SA"/>
              </w:rPr>
            </w:pPr>
            <w:r>
              <w:rPr>
                <w:rFonts w:hint="eastAsia" w:ascii="宋体" w:hAnsi="宋体" w:eastAsia="宋体" w:cs="宋体"/>
                <w:color w:val="auto"/>
                <w:sz w:val="21"/>
                <w:szCs w:val="20"/>
                <w:highlight w:val="none"/>
                <w:lang w:val="zh-CN" w:eastAsia="zh-CN" w:bidi="ar-SA"/>
              </w:rPr>
              <w:t xml:space="preserve">提供</w:t>
            </w:r>
            <w:r>
              <w:rPr>
                <w:rFonts w:hint="eastAsia" w:ascii="宋体" w:hAnsi="宋体" w:cs="宋体"/>
                <w:color w:val="auto"/>
                <w:sz w:val="21"/>
                <w:szCs w:val="20"/>
                <w:highlight w:val="none"/>
                <w:lang w:val="en-US" w:eastAsia="zh-CN" w:bidi="ar-SA"/>
              </w:rPr>
              <w:t xml:space="preserve">合同</w:t>
            </w:r>
            <w:r>
              <w:rPr>
                <w:rFonts w:hint="eastAsia" w:ascii="宋体" w:hAnsi="宋体" w:eastAsia="宋体" w:cs="宋体"/>
                <w:color w:val="auto"/>
                <w:sz w:val="21"/>
                <w:szCs w:val="20"/>
                <w:highlight w:val="none"/>
                <w:lang w:val="zh-CN" w:eastAsia="zh-CN" w:bidi="ar-SA"/>
              </w:rPr>
              <w:t xml:space="preserve">扫描件加盖电子签章，未提供不得分。</w:t>
            </w:r>
            <w:r/>
          </w:p>
        </w:tc>
      </w:tr>
      <w:tr>
        <w:trPr>
          <w:jc w:val="center"/>
          <w:trHeight w:val="826"/>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参数响应情况</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30</w:t>
            </w:r>
            <w:r/>
          </w:p>
        </w:tc>
        <w:tc>
          <w:tcPr>
            <w:tcW w:w="3966" w:type="pct"/>
            <w:vAlign w:val="center"/>
            <w:textDirection w:val="lrTb"/>
            <w:noWrap w:val="false"/>
          </w:tcPr>
          <w:p>
            <w:pPr>
              <w:jc w:val="lef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供应商所投产品完全满足或优于招标文件“项目采购需求”中要求得30分，加★项为实质性响应部分，不得出现负偏离，否则作为无效投标处理；加▲，每有一项未按要求提供证明材料扣2分；其他参数每有一项负偏离扣1分，超过5项本项不得分。</w:t>
            </w:r>
            <w:r/>
          </w:p>
          <w:p>
            <w:pPr>
              <w:jc w:val="left"/>
              <w:widowControl/>
              <w:rPr>
                <w:rFonts w:hint="eastAsia" w:ascii="宋体" w:hAnsi="宋体" w:eastAsia="宋体" w:cs="宋体"/>
                <w:color w:val="auto"/>
                <w:szCs w:val="21"/>
                <w:lang w:val="en-US" w:eastAsia="zh-CN"/>
              </w:rPr>
            </w:pPr>
            <w:r>
              <w:rPr>
                <w:rFonts w:hint="eastAsia" w:ascii="宋体" w:hAnsi="宋体" w:eastAsia="宋体" w:cs="宋体"/>
                <w:color w:val="auto"/>
                <w:szCs w:val="24"/>
              </w:rPr>
              <w:t xml:space="preserve">需</w:t>
            </w:r>
            <w:r>
              <w:rPr>
                <w:rFonts w:hint="eastAsia" w:ascii="宋体" w:hAnsi="宋体" w:eastAsia="宋体" w:cs="宋体"/>
                <w:color w:val="auto"/>
                <w:szCs w:val="24"/>
                <w:lang w:val="zh-TW" w:eastAsia="zh-TW"/>
              </w:rPr>
              <w:t xml:space="preserve">提供所投产品</w:t>
            </w:r>
            <w:r>
              <w:rPr>
                <w:rFonts w:hint="eastAsia" w:ascii="宋体" w:hAnsi="宋体" w:eastAsia="宋体" w:cs="宋体"/>
                <w:color w:val="auto"/>
                <w:szCs w:val="24"/>
                <w:lang w:val="zh-TW"/>
              </w:rPr>
              <w:t xml:space="preserve">彩页样本或其他证明材料</w:t>
            </w:r>
            <w:r>
              <w:rPr>
                <w:rFonts w:hint="eastAsia" w:ascii="宋体" w:hAnsi="宋体" w:eastAsia="宋体" w:cs="宋体"/>
                <w:color w:val="auto"/>
                <w:szCs w:val="24"/>
              </w:rPr>
              <w:t xml:space="preserve">,</w:t>
            </w:r>
            <w:r>
              <w:rPr>
                <w:rFonts w:hint="eastAsia" w:ascii="宋体" w:hAnsi="宋体" w:eastAsia="宋体" w:cs="宋体"/>
                <w:color w:val="auto"/>
                <w:szCs w:val="24"/>
                <w:lang w:val="zh-TW" w:eastAsia="zh-TW"/>
              </w:rPr>
              <w:t xml:space="preserve">能真实体现所投产品的技术指标及性能</w:t>
            </w:r>
            <w:r>
              <w:rPr>
                <w:rFonts w:hint="eastAsia" w:ascii="宋体" w:hAnsi="宋体" w:eastAsia="宋体" w:cs="宋体"/>
                <w:color w:val="auto"/>
                <w:szCs w:val="24"/>
                <w:lang w:val="zh-TW"/>
              </w:rPr>
              <w:t xml:space="preserve">的</w:t>
            </w:r>
            <w:r>
              <w:rPr>
                <w:rFonts w:hint="eastAsia" w:ascii="宋体" w:hAnsi="宋体" w:eastAsia="宋体" w:cs="宋体"/>
                <w:color w:val="auto"/>
                <w:szCs w:val="24"/>
                <w:lang w:val="zh-TW" w:eastAsia="zh-TW"/>
              </w:rPr>
              <w:t xml:space="preserve">，否则评委可视</w:t>
            </w:r>
            <w:r>
              <w:rPr>
                <w:rFonts w:hint="eastAsia" w:ascii="宋体" w:hAnsi="宋体" w:eastAsia="宋体" w:cs="宋体"/>
                <w:color w:val="auto"/>
                <w:szCs w:val="24"/>
                <w:lang w:val="zh-TW"/>
              </w:rPr>
              <w:t xml:space="preserve">相应项</w:t>
            </w:r>
            <w:r>
              <w:rPr>
                <w:rFonts w:hint="eastAsia" w:ascii="宋体" w:hAnsi="宋体" w:eastAsia="宋体" w:cs="宋体"/>
                <w:color w:val="auto"/>
                <w:szCs w:val="24"/>
                <w:lang w:val="zh-TW" w:eastAsia="zh-TW"/>
              </w:rPr>
              <w:t xml:space="preserve">为无评分依据，不得分</w:t>
            </w:r>
            <w:r/>
          </w:p>
        </w:tc>
      </w:tr>
      <w:tr>
        <w:trPr>
          <w:jc w:val="center"/>
          <w:trHeight w:val="826"/>
        </w:trPr>
        <w:tc>
          <w:tcPr>
            <w:tcW w:w="667"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企业实力</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w:t>
            </w:r>
            <w:r/>
          </w:p>
        </w:tc>
        <w:tc>
          <w:tcPr>
            <w:tcW w:w="3966" w:type="pct"/>
            <w:vAlign w:val="center"/>
            <w:textDirection w:val="lrTb"/>
            <w:noWrap w:val="false"/>
          </w:tcPr>
          <w:p>
            <w:pPr>
              <w:numPr>
                <w:ilvl w:val="0"/>
                <w:numId w:val="0"/>
              </w:numPr>
              <w:jc w:val="left"/>
              <w:widowControl/>
              <w:rPr>
                <w:rFonts w:hint="eastAsia" w:ascii="宋体" w:hAnsi="宋体" w:eastAsia="宋体" w:cs="宋体"/>
                <w:color w:val="auto"/>
                <w:szCs w:val="24"/>
              </w:rPr>
            </w:pPr>
            <w:r>
              <w:rPr>
                <w:rFonts w:hint="eastAsia" w:ascii="宋体" w:hAnsi="宋体" w:eastAsia="宋体" w:cs="宋体"/>
                <w:color w:val="auto"/>
                <w:sz w:val="21"/>
                <w:szCs w:val="24"/>
                <w:lang w:val="en-US" w:eastAsia="zh-CN" w:bidi="ar-SA"/>
              </w:rPr>
              <w:t xml:space="preserve">1.</w:t>
            </w:r>
            <w:r>
              <w:rPr>
                <w:rFonts w:hint="eastAsia" w:ascii="宋体" w:hAnsi="宋体" w:eastAsia="宋体" w:cs="宋体"/>
                <w:color w:val="auto"/>
                <w:szCs w:val="24"/>
                <w:lang w:eastAsia="zh-CN"/>
              </w:rPr>
              <w:t xml:space="preserve">具有</w:t>
            </w:r>
            <w:r>
              <w:rPr>
                <w:rFonts w:hint="eastAsia" w:ascii="宋体" w:hAnsi="宋体" w:eastAsia="宋体" w:cs="宋体"/>
                <w:color w:val="auto"/>
                <w:szCs w:val="24"/>
              </w:rPr>
              <w:t xml:space="preserve">高新技术企业</w:t>
            </w:r>
            <w:r>
              <w:rPr>
                <w:rFonts w:hint="eastAsia" w:ascii="宋体" w:hAnsi="宋体" w:eastAsia="宋体" w:cs="宋体"/>
                <w:color w:val="auto"/>
                <w:szCs w:val="24"/>
                <w:lang w:eastAsia="zh-CN"/>
              </w:rPr>
              <w:t xml:space="preserve">证书</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lang w:eastAsia="zh-CN"/>
              </w:rPr>
              <w:t xml:space="preserve">得</w:t>
            </w:r>
            <w:r>
              <w:rPr>
                <w:rFonts w:hint="eastAsia" w:ascii="宋体" w:hAnsi="宋体" w:eastAsia="宋体" w:cs="宋体"/>
                <w:color w:val="auto"/>
                <w:szCs w:val="24"/>
              </w:rPr>
              <w:t xml:space="preserve">2分 </w:t>
            </w:r>
            <w:r/>
          </w:p>
          <w:p>
            <w:pPr>
              <w:numPr>
                <w:ilvl w:val="0"/>
                <w:numId w:val="0"/>
              </w:numPr>
              <w:ind w:left="0" w:firstLine="0"/>
              <w:jc w:val="left"/>
              <w:widowControl/>
              <w:rPr>
                <w:rFonts w:hint="eastAsia" w:ascii="宋体" w:hAnsi="宋体" w:eastAsia="宋体" w:cs="宋体"/>
                <w:color w:val="auto"/>
                <w:szCs w:val="24"/>
              </w:rPr>
            </w:pPr>
            <w:r>
              <w:rPr>
                <w:rFonts w:hint="eastAsia" w:ascii="宋体" w:hAnsi="宋体" w:eastAsia="宋体" w:cs="宋体"/>
                <w:color w:val="auto"/>
                <w:sz w:val="21"/>
                <w:szCs w:val="24"/>
                <w:lang w:val="en-US" w:eastAsia="zh-CN" w:bidi="ar-SA"/>
              </w:rPr>
              <w:t xml:space="preserve">2.</w:t>
            </w:r>
            <w:r>
              <w:rPr>
                <w:rFonts w:hint="eastAsia" w:ascii="宋体" w:hAnsi="宋体" w:eastAsia="宋体" w:cs="宋体"/>
                <w:color w:val="auto"/>
                <w:szCs w:val="24"/>
              </w:rPr>
              <w:t xml:space="preserve">企业有ISO9001质量体系认证证书 </w:t>
            </w:r>
            <w:r>
              <w:rPr>
                <w:rFonts w:hint="eastAsia" w:ascii="宋体" w:hAnsi="宋体" w:eastAsia="宋体" w:cs="宋体"/>
                <w:color w:val="auto"/>
                <w:szCs w:val="24"/>
                <w:lang w:eastAsia="zh-CN"/>
              </w:rPr>
              <w:t xml:space="preserve">得</w:t>
            </w:r>
            <w:r>
              <w:rPr>
                <w:rFonts w:hint="eastAsia" w:ascii="宋体" w:hAnsi="宋体" w:eastAsia="宋体" w:cs="宋体"/>
                <w:color w:val="auto"/>
                <w:szCs w:val="24"/>
              </w:rPr>
              <w:t xml:space="preserve">2分 </w:t>
            </w:r>
            <w:r/>
          </w:p>
          <w:p>
            <w:pPr>
              <w:numPr>
                <w:ilvl w:val="0"/>
                <w:numId w:val="0"/>
              </w:numPr>
              <w:ind w:left="0" w:firstLine="0"/>
              <w:jc w:val="left"/>
              <w:widowControl/>
              <w:rPr>
                <w:rFonts w:hint="eastAsia" w:ascii="宋体" w:hAnsi="宋体" w:eastAsia="宋体" w:cs="宋体"/>
                <w:color w:val="auto"/>
                <w:szCs w:val="24"/>
                <w:lang w:eastAsia="zh-CN"/>
              </w:rPr>
            </w:pPr>
            <w:r>
              <w:rPr>
                <w:rFonts w:hint="eastAsia" w:ascii="宋体" w:hAnsi="宋体" w:eastAsia="宋体" w:cs="宋体"/>
                <w:color w:val="auto"/>
                <w:sz w:val="21"/>
                <w:szCs w:val="24"/>
                <w:lang w:val="en-US" w:eastAsia="zh-CN" w:bidi="ar-SA"/>
              </w:rPr>
              <w:t xml:space="preserve">3.</w:t>
            </w:r>
            <w:r>
              <w:rPr>
                <w:rFonts w:hint="eastAsia" w:ascii="宋体" w:hAnsi="宋体" w:eastAsia="宋体" w:cs="宋体"/>
                <w:color w:val="auto"/>
                <w:szCs w:val="24"/>
              </w:rPr>
              <w:t xml:space="preserve">企业信誉良好，有资信等级AAA级证书 </w:t>
            </w:r>
            <w:r>
              <w:rPr>
                <w:rFonts w:hint="eastAsia" w:ascii="宋体" w:hAnsi="宋体" w:eastAsia="宋体" w:cs="宋体"/>
                <w:color w:val="auto"/>
                <w:szCs w:val="24"/>
                <w:lang w:eastAsia="zh-CN"/>
              </w:rPr>
              <w:t xml:space="preserve">得</w:t>
            </w:r>
            <w:r>
              <w:rPr>
                <w:rFonts w:hint="eastAsia" w:ascii="宋体" w:hAnsi="宋体" w:eastAsia="宋体" w:cs="宋体"/>
                <w:color w:val="auto"/>
                <w:szCs w:val="24"/>
              </w:rPr>
              <w:t xml:space="preserve">2</w:t>
            </w:r>
            <w:r>
              <w:rPr>
                <w:rFonts w:hint="eastAsia" w:ascii="宋体" w:hAnsi="宋体" w:eastAsia="宋体" w:cs="宋体"/>
                <w:color w:val="auto"/>
                <w:szCs w:val="24"/>
                <w:lang w:eastAsia="zh-CN"/>
              </w:rPr>
              <w:t xml:space="preserve">分</w:t>
            </w:r>
            <w:r/>
          </w:p>
          <w:p>
            <w:pPr>
              <w:numPr>
                <w:ilvl w:val="0"/>
                <w:numId w:val="0"/>
              </w:numPr>
              <w:jc w:val="left"/>
              <w:widowControl/>
              <w:rPr>
                <w:rFonts w:hint="eastAsia" w:ascii="宋体" w:hAnsi="宋体" w:eastAsia="宋体" w:cs="宋体"/>
                <w:color w:val="auto"/>
                <w:szCs w:val="24"/>
                <w:lang w:eastAsia="zh-CN"/>
              </w:rPr>
            </w:pPr>
            <w:r>
              <w:rPr>
                <w:rFonts w:hint="eastAsia" w:ascii="宋体" w:hAnsi="宋体" w:eastAsia="宋体" w:cs="宋体"/>
                <w:color w:val="auto"/>
                <w:szCs w:val="24"/>
                <w:highlight w:val="none"/>
              </w:rPr>
              <w:t xml:space="preserve">提供</w:t>
            </w:r>
            <w:r>
              <w:rPr>
                <w:rFonts w:hint="eastAsia" w:ascii="宋体" w:hAnsi="宋体" w:eastAsia="宋体" w:cs="宋体"/>
                <w:color w:val="auto"/>
                <w:szCs w:val="24"/>
                <w:highlight w:val="none"/>
                <w:lang w:eastAsia="zh-CN"/>
              </w:rPr>
              <w:t xml:space="preserve">相关证书扫描件</w:t>
            </w:r>
            <w:r>
              <w:rPr>
                <w:rFonts w:hint="eastAsia" w:ascii="宋体" w:hAnsi="宋体" w:eastAsia="宋体" w:cs="宋体"/>
                <w:color w:val="auto"/>
                <w:szCs w:val="24"/>
                <w:highlight w:val="none"/>
              </w:rPr>
              <w:t xml:space="preserve">加盖</w:t>
            </w:r>
            <w:r>
              <w:rPr>
                <w:rFonts w:hint="eastAsia" w:ascii="宋体" w:hAnsi="宋体" w:eastAsia="宋体" w:cs="宋体"/>
                <w:color w:val="auto"/>
                <w:szCs w:val="24"/>
                <w:highlight w:val="none"/>
                <w:lang w:eastAsia="zh-CN"/>
              </w:rPr>
              <w:t xml:space="preserve">电子签章，</w:t>
            </w:r>
            <w:r>
              <w:rPr>
                <w:rFonts w:hint="eastAsia" w:ascii="宋体" w:hAnsi="宋体" w:eastAsia="宋体" w:cs="宋体"/>
                <w:color w:val="auto"/>
                <w:szCs w:val="24"/>
                <w:highlight w:val="none"/>
              </w:rPr>
              <w:t xml:space="preserve">未提供不得分。</w:t>
            </w:r>
            <w:r/>
          </w:p>
        </w:tc>
      </w:tr>
      <w:tr>
        <w:trPr>
          <w:jc w:val="center"/>
          <w:trHeight w:val="356"/>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项目实施方案</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w:t>
            </w:r>
            <w:r/>
          </w:p>
        </w:tc>
        <w:tc>
          <w:tcPr>
            <w:tcW w:w="3966" w:type="pct"/>
            <w:vAlign w:val="center"/>
            <w:textDirection w:val="lrTb"/>
            <w:noWrap w:val="false"/>
          </w:tcPr>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投标供应商提供详细的项目实施方案，包含管理方案（明确项目管理体制、责任分工，项目沟通机制、决策机制等）、应急预案、安全施工预案、实施方案，满分</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lang w:val="zh-CN"/>
              </w:rPr>
              <w:t xml:space="preserve">分。</w:t>
            </w:r>
            <w:r/>
          </w:p>
          <w:p>
            <w:pPr>
              <w:rPr>
                <w:rFonts w:hint="eastAsia" w:ascii="宋体" w:hAnsi="宋体" w:eastAsia="宋体" w:cs="宋体"/>
                <w:color w:val="auto"/>
                <w:szCs w:val="21"/>
              </w:rPr>
            </w:pPr>
            <w:r>
              <w:rPr>
                <w:rFonts w:hint="eastAsia" w:ascii="宋体" w:hAnsi="宋体" w:eastAsia="宋体" w:cs="宋体"/>
                <w:color w:val="auto"/>
                <w:szCs w:val="21"/>
              </w:rPr>
              <w:t xml:space="preserve">实施方案的论述完善正确，管理方案配置先进，</w:t>
            </w:r>
            <w:r>
              <w:rPr>
                <w:rFonts w:hint="eastAsia" w:ascii="宋体" w:hAnsi="宋体" w:eastAsia="宋体" w:cs="宋体"/>
                <w:color w:val="auto"/>
                <w:szCs w:val="21"/>
                <w:lang w:val="zh-CN"/>
              </w:rPr>
              <w:t xml:space="preserve">项目实施</w:t>
            </w:r>
            <w:r>
              <w:rPr>
                <w:rFonts w:hint="eastAsia" w:ascii="宋体" w:hAnsi="宋体" w:eastAsia="宋体" w:cs="宋体"/>
                <w:color w:val="auto"/>
                <w:szCs w:val="21"/>
              </w:rPr>
              <w:t xml:space="preserve">应急预案及</w:t>
            </w:r>
            <w:r>
              <w:rPr>
                <w:rFonts w:hint="eastAsia" w:ascii="宋体" w:hAnsi="宋体" w:eastAsia="宋体" w:cs="宋体"/>
                <w:color w:val="auto"/>
                <w:szCs w:val="21"/>
                <w:lang w:val="zh-CN"/>
              </w:rPr>
              <w:t xml:space="preserve">安全施工预案</w:t>
            </w:r>
            <w:r>
              <w:rPr>
                <w:rFonts w:hint="eastAsia" w:ascii="宋体" w:hAnsi="宋体" w:eastAsia="宋体" w:cs="宋体"/>
                <w:color w:val="auto"/>
                <w:szCs w:val="21"/>
              </w:rPr>
              <w:t xml:space="preserve">详细、可操作性强的得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w:t>
            </w:r>
            <w:r/>
          </w:p>
          <w:p>
            <w:pPr>
              <w:rPr>
                <w:rFonts w:hint="eastAsia" w:ascii="宋体" w:hAnsi="宋体" w:eastAsia="宋体" w:cs="宋体"/>
                <w:color w:val="auto"/>
                <w:szCs w:val="21"/>
              </w:rPr>
            </w:pPr>
            <w:r>
              <w:rPr>
                <w:rFonts w:hint="eastAsia" w:ascii="宋体" w:hAnsi="宋体" w:eastAsia="宋体" w:cs="宋体"/>
                <w:color w:val="auto"/>
                <w:szCs w:val="21"/>
              </w:rPr>
              <w:t xml:space="preserve">实施方案的论述一般，管理方案配置一般，</w:t>
            </w:r>
            <w:r>
              <w:rPr>
                <w:rFonts w:hint="eastAsia" w:ascii="宋体" w:hAnsi="宋体" w:eastAsia="宋体" w:cs="宋体"/>
                <w:color w:val="auto"/>
                <w:szCs w:val="21"/>
                <w:lang w:val="zh-CN"/>
              </w:rPr>
              <w:t xml:space="preserve">项目实施</w:t>
            </w:r>
            <w:r>
              <w:rPr>
                <w:rFonts w:hint="eastAsia" w:ascii="宋体" w:hAnsi="宋体" w:eastAsia="宋体" w:cs="宋体"/>
                <w:color w:val="auto"/>
                <w:szCs w:val="21"/>
              </w:rPr>
              <w:t xml:space="preserve">应急预案及</w:t>
            </w:r>
            <w:r>
              <w:rPr>
                <w:rFonts w:hint="eastAsia" w:ascii="宋体" w:hAnsi="宋体" w:eastAsia="宋体" w:cs="宋体"/>
                <w:color w:val="auto"/>
                <w:szCs w:val="21"/>
                <w:lang w:val="zh-CN"/>
              </w:rPr>
              <w:t xml:space="preserve">安全施工预案</w:t>
            </w:r>
            <w:r>
              <w:rPr>
                <w:rFonts w:hint="eastAsia" w:ascii="宋体" w:hAnsi="宋体" w:eastAsia="宋体" w:cs="宋体"/>
                <w:color w:val="auto"/>
                <w:szCs w:val="21"/>
              </w:rPr>
              <w:t xml:space="preserve">一般、可操作性一般的得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w:t>
            </w:r>
            <w:r/>
          </w:p>
          <w:p>
            <w:pPr>
              <w:widowControl/>
              <w:rPr>
                <w:rFonts w:hint="eastAsia" w:ascii="宋体" w:hAnsi="宋体" w:eastAsia="宋体" w:cs="宋体"/>
                <w:color w:val="auto"/>
                <w:szCs w:val="21"/>
              </w:rPr>
            </w:pPr>
            <w:r>
              <w:rPr>
                <w:rFonts w:hint="eastAsia" w:ascii="宋体" w:hAnsi="宋体" w:eastAsia="宋体" w:cs="宋体"/>
                <w:color w:val="auto"/>
                <w:szCs w:val="21"/>
              </w:rPr>
              <w:t xml:space="preserve">实施方案的论述欠缺，管理方案配置欠缺，</w:t>
            </w:r>
            <w:r>
              <w:rPr>
                <w:rFonts w:hint="eastAsia" w:ascii="宋体" w:hAnsi="宋体" w:eastAsia="宋体" w:cs="宋体"/>
                <w:color w:val="auto"/>
                <w:szCs w:val="21"/>
                <w:lang w:val="zh-CN"/>
              </w:rPr>
              <w:t xml:space="preserve">项目实施</w:t>
            </w:r>
            <w:r>
              <w:rPr>
                <w:rFonts w:hint="eastAsia" w:ascii="宋体" w:hAnsi="宋体" w:eastAsia="宋体" w:cs="宋体"/>
                <w:color w:val="auto"/>
                <w:szCs w:val="21"/>
              </w:rPr>
              <w:t xml:space="preserve">应急预案及</w:t>
            </w:r>
            <w:r>
              <w:rPr>
                <w:rFonts w:hint="eastAsia" w:ascii="宋体" w:hAnsi="宋体" w:eastAsia="宋体" w:cs="宋体"/>
                <w:color w:val="auto"/>
                <w:szCs w:val="21"/>
                <w:lang w:val="zh-CN"/>
              </w:rPr>
              <w:t xml:space="preserve">安全施工预案欠缺</w:t>
            </w:r>
            <w:r>
              <w:rPr>
                <w:rFonts w:hint="eastAsia" w:ascii="宋体" w:hAnsi="宋体" w:eastAsia="宋体" w:cs="宋体"/>
                <w:color w:val="auto"/>
                <w:szCs w:val="21"/>
              </w:rPr>
              <w:t xml:space="preserve">、可操作性欠缺的得1分；</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未提供方案、措施的不得分。</w:t>
            </w:r>
            <w:r/>
          </w:p>
        </w:tc>
      </w:tr>
      <w:tr>
        <w:trPr>
          <w:jc w:val="center"/>
          <w:trHeight w:val="1461"/>
        </w:trPr>
        <w:tc>
          <w:tcPr>
            <w:tcW w:w="667" w:type="pct"/>
            <w:vAlign w:val="center"/>
            <w:textDirection w:val="lrTb"/>
            <w:noWrap w:val="false"/>
          </w:tcPr>
          <w:p>
            <w:pPr>
              <w:jc w:val="cente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现场培训方案</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w:t>
            </w:r>
            <w:r/>
          </w:p>
        </w:tc>
        <w:tc>
          <w:tcPr>
            <w:tcW w:w="3966" w:type="pct"/>
            <w:vAlign w:val="center"/>
            <w:textDirection w:val="lrTb"/>
            <w:noWrap w:val="false"/>
          </w:tcPr>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对本项目提供的现场培训方案进行综合评分：</w:t>
            </w:r>
            <w:r/>
          </w:p>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现场培训方案完整详细、可行性强、针对性强，得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lang w:val="zh-CN"/>
              </w:rPr>
              <w:t xml:space="preserve">分；</w:t>
            </w:r>
            <w:r/>
          </w:p>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现场培训方案较完整、可行性一般、针对性一般，得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val="zh-CN"/>
              </w:rPr>
              <w:t xml:space="preserve">分；</w:t>
            </w:r>
            <w:r/>
          </w:p>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现场培训方案不够完整、有一定的可行性，得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val="zh-CN"/>
              </w:rPr>
              <w:t xml:space="preserve">分；</w:t>
            </w:r>
            <w:r/>
          </w:p>
          <w:p>
            <w:pPr>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未提供的不得分。</w:t>
            </w:r>
            <w:r/>
          </w:p>
        </w:tc>
      </w:tr>
      <w:tr>
        <w:trPr>
          <w:jc w:val="center"/>
          <w:trHeight w:val="429"/>
        </w:trPr>
        <w:tc>
          <w:tcPr>
            <w:tcW w:w="667" w:type="pct"/>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售后服务方案</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w:t>
            </w:r>
            <w:r/>
          </w:p>
        </w:tc>
        <w:tc>
          <w:tcPr>
            <w:tcW w:w="3966" w:type="pct"/>
            <w:vAlign w:val="center"/>
            <w:textDirection w:val="lrTb"/>
            <w:noWrap w:val="false"/>
          </w:tcPr>
          <w:p>
            <w:pPr>
              <w:jc w:val="left"/>
              <w:widowControl/>
              <w:rPr>
                <w:rFonts w:hint="eastAsia" w:ascii="宋体" w:hAnsi="宋体" w:eastAsia="宋体" w:cs="宋体"/>
                <w:color w:val="auto"/>
                <w:szCs w:val="24"/>
              </w:rPr>
            </w:pPr>
            <w:r>
              <w:rPr>
                <w:rFonts w:hint="eastAsia" w:ascii="宋体" w:hAnsi="宋体" w:eastAsia="宋体" w:cs="宋体"/>
                <w:color w:val="auto"/>
                <w:szCs w:val="21"/>
                <w:lang w:val="zh-CN"/>
              </w:rPr>
              <w:t xml:space="preserve">投标供应商提供详细的</w:t>
            </w:r>
            <w:r>
              <w:rPr>
                <w:rFonts w:hint="eastAsia" w:ascii="宋体" w:hAnsi="宋体" w:eastAsia="宋体" w:cs="宋体"/>
                <w:color w:val="auto"/>
                <w:szCs w:val="24"/>
              </w:rPr>
              <w:t xml:space="preserve">售后服务方案，包含安全保障、应急服务措施、培训服务、售后保障期限等方面</w:t>
            </w:r>
            <w:r>
              <w:rPr>
                <w:rFonts w:hint="eastAsia" w:ascii="宋体" w:hAnsi="宋体" w:eastAsia="宋体" w:cs="宋体"/>
                <w:color w:val="auto"/>
                <w:szCs w:val="21"/>
                <w:lang w:val="zh-CN"/>
              </w:rPr>
              <w:t xml:space="preserve">，满分6分</w:t>
            </w:r>
            <w:r>
              <w:rPr>
                <w:rFonts w:hint="eastAsia" w:ascii="宋体" w:hAnsi="宋体" w:eastAsia="宋体" w:cs="宋体"/>
                <w:color w:val="auto"/>
                <w:szCs w:val="24"/>
              </w:rPr>
              <w:t xml:space="preserve">。</w:t>
            </w:r>
            <w:r/>
          </w:p>
          <w:p>
            <w:pPr>
              <w:jc w:val="left"/>
              <w:widowControl/>
              <w:rPr>
                <w:rFonts w:hint="eastAsia" w:ascii="宋体" w:hAnsi="宋体" w:eastAsia="宋体" w:cs="宋体"/>
                <w:color w:val="auto"/>
                <w:szCs w:val="24"/>
              </w:rPr>
            </w:pPr>
            <w:r>
              <w:rPr>
                <w:rFonts w:hint="eastAsia" w:ascii="宋体" w:hAnsi="宋体" w:eastAsia="宋体" w:cs="宋体"/>
                <w:color w:val="auto"/>
                <w:szCs w:val="24"/>
              </w:rPr>
              <w:t xml:space="preserve">满足采购文件需求的，且方案详细完整、有可操作性的，得</w:t>
            </w:r>
            <w:r>
              <w:rPr>
                <w:rFonts w:hint="eastAsia" w:ascii="宋体" w:hAnsi="宋体" w:eastAsia="宋体" w:cs="宋体"/>
                <w:color w:val="auto"/>
                <w:szCs w:val="24"/>
                <w:lang w:val="en-US" w:eastAsia="zh-CN"/>
              </w:rPr>
              <w:t xml:space="preserve">5</w:t>
            </w:r>
            <w:r>
              <w:rPr>
                <w:rFonts w:hint="eastAsia" w:ascii="宋体" w:hAnsi="宋体" w:eastAsia="宋体" w:cs="宋体"/>
                <w:color w:val="auto"/>
                <w:szCs w:val="24"/>
              </w:rPr>
              <w:t xml:space="preserve">分；</w:t>
            </w:r>
            <w:r/>
          </w:p>
          <w:p>
            <w:pPr>
              <w:jc w:val="left"/>
              <w:widowControl/>
              <w:rPr>
                <w:rFonts w:hint="eastAsia" w:ascii="宋体" w:hAnsi="宋体" w:eastAsia="宋体" w:cs="宋体"/>
                <w:color w:val="auto"/>
                <w:szCs w:val="24"/>
              </w:rPr>
            </w:pPr>
            <w:r>
              <w:rPr>
                <w:rFonts w:hint="eastAsia" w:ascii="宋体" w:hAnsi="宋体" w:eastAsia="宋体" w:cs="宋体"/>
                <w:color w:val="auto"/>
                <w:szCs w:val="24"/>
              </w:rPr>
              <w:t xml:space="preserve">方案完整性、科学合理性、可操作性基本满足项目要求的，得</w:t>
            </w:r>
            <w:r>
              <w:rPr>
                <w:rFonts w:hint="eastAsia" w:ascii="宋体" w:hAnsi="宋体" w:eastAsia="宋体" w:cs="宋体"/>
                <w:color w:val="auto"/>
                <w:szCs w:val="24"/>
                <w:lang w:val="en-US" w:eastAsia="zh-CN"/>
              </w:rPr>
              <w:t xml:space="preserve">3</w:t>
            </w:r>
            <w:r>
              <w:rPr>
                <w:rFonts w:hint="eastAsia" w:ascii="宋体" w:hAnsi="宋体" w:eastAsia="宋体" w:cs="宋体"/>
                <w:color w:val="auto"/>
                <w:szCs w:val="24"/>
              </w:rPr>
              <w:t xml:space="preserve">分；</w:t>
            </w:r>
            <w:r/>
          </w:p>
          <w:p>
            <w:pPr>
              <w:jc w:val="left"/>
              <w:widowControl/>
              <w:rPr>
                <w:rFonts w:hint="eastAsia" w:ascii="宋体" w:hAnsi="宋体" w:eastAsia="宋体" w:cs="宋体"/>
                <w:color w:val="auto"/>
                <w:szCs w:val="24"/>
              </w:rPr>
            </w:pPr>
            <w:r>
              <w:rPr>
                <w:rFonts w:hint="eastAsia" w:ascii="宋体" w:hAnsi="宋体" w:eastAsia="宋体" w:cs="宋体"/>
                <w:color w:val="auto"/>
                <w:szCs w:val="24"/>
              </w:rPr>
              <w:t xml:space="preserve">方案完整性、科学合理性、可操作性有待提高的，得</w:t>
            </w:r>
            <w:r>
              <w:rPr>
                <w:rFonts w:hint="eastAsia" w:ascii="宋体" w:hAnsi="宋体" w:eastAsia="宋体" w:cs="宋体"/>
                <w:color w:val="auto"/>
                <w:szCs w:val="24"/>
                <w:lang w:val="en-US" w:eastAsia="zh-CN"/>
              </w:rPr>
              <w:t xml:space="preserve">1</w:t>
            </w:r>
            <w:r>
              <w:rPr>
                <w:rFonts w:hint="eastAsia" w:ascii="宋体" w:hAnsi="宋体" w:eastAsia="宋体" w:cs="宋体"/>
                <w:color w:val="auto"/>
                <w:szCs w:val="24"/>
              </w:rPr>
              <w:t xml:space="preserve">分。</w:t>
            </w:r>
            <w:r/>
          </w:p>
          <w:p>
            <w:pPr>
              <w:jc w:val="left"/>
              <w:widowControl/>
              <w:rPr>
                <w:rFonts w:hint="eastAsia" w:ascii="宋体" w:hAnsi="宋体" w:eastAsia="宋体" w:cs="宋体"/>
                <w:color w:val="auto"/>
                <w:szCs w:val="21"/>
              </w:rPr>
            </w:pPr>
            <w:r>
              <w:rPr>
                <w:rFonts w:hint="eastAsia" w:ascii="宋体" w:hAnsi="宋体" w:eastAsia="宋体" w:cs="宋体"/>
                <w:color w:val="auto"/>
                <w:szCs w:val="21"/>
                <w:lang w:val="zh-CN"/>
              </w:rPr>
              <w:t xml:space="preserve">未提供的不得分。</w:t>
            </w:r>
            <w:r/>
          </w:p>
        </w:tc>
      </w:tr>
      <w:tr>
        <w:trPr>
          <w:jc w:val="center"/>
          <w:trHeight w:val="429"/>
        </w:trPr>
        <w:tc>
          <w:tcPr>
            <w:shd w:val="clear" w:color="auto" w:fill="auto"/>
            <w:tcW w:w="667" w:type="pct"/>
            <w:vAlign w:val="center"/>
            <w:textDirection w:val="lrTb"/>
            <w:noWrap w:val="false"/>
          </w:tcPr>
          <w:p>
            <w:pPr>
              <w:jc w:val="center"/>
              <w:widowControl/>
              <w:rPr>
                <w:rFonts w:hint="eastAsia" w:ascii="宋体" w:hAnsi="宋体" w:eastAsia="宋体" w:cs="宋体"/>
                <w:color w:val="auto"/>
                <w:sz w:val="21"/>
                <w:szCs w:val="21"/>
                <w:lang w:val="zh-CN" w:eastAsia="zh-CN" w:bidi="ar-SA"/>
              </w:rPr>
            </w:pPr>
            <w:r>
              <w:rPr>
                <w:rFonts w:hint="eastAsia" w:ascii="宋体" w:hAnsi="宋体" w:eastAsia="宋体" w:cs="宋体"/>
                <w:color w:val="auto"/>
                <w:szCs w:val="24"/>
              </w:rPr>
              <w:t xml:space="preserve">进度计划及保障措施</w:t>
            </w:r>
            <w:r/>
          </w:p>
        </w:tc>
        <w:tc>
          <w:tcPr>
            <w:shd w:val="clear" w:color="auto" w:fill="auto"/>
            <w:tcW w:w="366" w:type="pct"/>
            <w:vAlign w:val="center"/>
            <w:textDirection w:val="lrTb"/>
            <w:noWrap w:val="false"/>
          </w:tcPr>
          <w:p>
            <w:pPr>
              <w:jc w:val="center"/>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5</w:t>
            </w:r>
            <w:r/>
          </w:p>
        </w:tc>
        <w:tc>
          <w:tcPr>
            <w:shd w:val="clear" w:color="auto" w:fill="auto"/>
            <w:tcW w:w="3966" w:type="pct"/>
            <w:vAlign w:val="center"/>
            <w:textDirection w:val="lrTb"/>
            <w:noWrap w:val="false"/>
          </w:tcPr>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对计划进度及时间安排方案、保障措施等方面进行综合评价：</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措施完整详细、可行性强、针对性强，得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lang w:val="zh-CN"/>
              </w:rPr>
              <w:t xml:space="preserve">分；</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措施较完整、可行性一般、针对性一般，得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lang w:val="zh-CN"/>
              </w:rPr>
              <w:t xml:space="preserve">分；</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措施不够完整、有一定的可行性，得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val="zh-CN"/>
              </w:rPr>
              <w:t xml:space="preserve">分；</w:t>
            </w:r>
            <w:r/>
          </w:p>
          <w:p>
            <w:pPr>
              <w:jc w:val="left"/>
              <w:widowControl/>
              <w:rPr>
                <w:rFonts w:hint="eastAsia" w:ascii="宋体" w:hAnsi="宋体" w:eastAsia="宋体" w:cs="宋体"/>
                <w:color w:val="auto"/>
                <w:sz w:val="21"/>
                <w:szCs w:val="21"/>
                <w:lang w:val="zh-CN" w:eastAsia="zh-CN" w:bidi="ar-SA"/>
              </w:rPr>
            </w:pPr>
            <w:r>
              <w:rPr>
                <w:rFonts w:hint="eastAsia" w:ascii="宋体" w:hAnsi="宋体" w:eastAsia="宋体" w:cs="宋体"/>
                <w:color w:val="auto"/>
                <w:szCs w:val="21"/>
                <w:lang w:val="zh-CN"/>
              </w:rPr>
              <w:t xml:space="preserve">未提供的不得分。</w:t>
            </w:r>
            <w:r/>
          </w:p>
        </w:tc>
      </w:tr>
      <w:tr>
        <w:trPr>
          <w:jc w:val="center"/>
          <w:trHeight w:val="429"/>
        </w:trPr>
        <w:tc>
          <w:tcPr>
            <w:tcW w:w="667" w:type="pct"/>
            <w:vAlign w:val="center"/>
            <w:textDirection w:val="lrTb"/>
            <w:noWrap w:val="false"/>
          </w:tcPr>
          <w:p>
            <w:pPr>
              <w:jc w:val="center"/>
              <w:widowControl/>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售后响应时间</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w:t>
            </w:r>
            <w:r/>
          </w:p>
        </w:tc>
        <w:tc>
          <w:tcPr>
            <w:tcW w:w="3966" w:type="pct"/>
            <w:vAlign w:val="center"/>
            <w:textDirection w:val="lrTb"/>
            <w:noWrap w:val="false"/>
          </w:tcPr>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投标人承诺接到通知后1小时内（含）到达项目现场的得4分；1小时至1.5小时（含）的得2.5分；1.5小时至2小时（含）的得1.5分，超出2小时的不得分。</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注：投标文件中提供相关承诺、售后服务机构相关证明，否则不得分。</w:t>
            </w:r>
            <w:r/>
          </w:p>
        </w:tc>
      </w:tr>
      <w:tr>
        <w:trPr>
          <w:jc w:val="center"/>
          <w:trHeight w:val="429"/>
        </w:trPr>
        <w:tc>
          <w:tcPr>
            <w:tcW w:w="667" w:type="pct"/>
            <w:vAlign w:val="center"/>
            <w:textDirection w:val="lrTb"/>
            <w:noWrap w:val="false"/>
          </w:tcPr>
          <w:p>
            <w:pPr>
              <w:jc w:val="center"/>
              <w:widowControl/>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售后人员要求</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W w:w="3966" w:type="pct"/>
            <w:vAlign w:val="center"/>
            <w:textDirection w:val="lrTb"/>
            <w:noWrap w:val="false"/>
          </w:tcPr>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投标人有</w:t>
            </w:r>
            <w:r>
              <w:rPr>
                <w:rFonts w:hint="eastAsia" w:ascii="宋体" w:hAnsi="宋体" w:cs="宋体"/>
                <w:color w:val="auto"/>
                <w:szCs w:val="21"/>
                <w:lang w:val="en-US" w:eastAsia="zh-CN"/>
              </w:rPr>
              <w:t xml:space="preserve">2</w:t>
            </w:r>
            <w:r>
              <w:rPr>
                <w:rFonts w:hint="eastAsia" w:ascii="宋体" w:hAnsi="宋体" w:eastAsia="宋体" w:cs="宋体"/>
                <w:color w:val="auto"/>
                <w:szCs w:val="21"/>
                <w:lang w:val="zh-CN"/>
              </w:rPr>
              <w:t xml:space="preserve">名以上高级</w:t>
            </w:r>
            <w:r>
              <w:rPr>
                <w:rFonts w:hint="eastAsia" w:ascii="宋体" w:hAnsi="宋体" w:cs="宋体"/>
                <w:color w:val="auto"/>
                <w:szCs w:val="21"/>
                <w:lang w:val="en-US" w:eastAsia="zh-CN"/>
              </w:rPr>
              <w:t xml:space="preserve">工（中级职称）</w:t>
            </w:r>
            <w:r>
              <w:rPr>
                <w:rFonts w:hint="eastAsia" w:ascii="宋体" w:hAnsi="宋体" w:eastAsia="宋体" w:cs="宋体"/>
                <w:color w:val="auto"/>
                <w:szCs w:val="21"/>
                <w:lang w:val="zh-CN"/>
              </w:rPr>
              <w:t xml:space="preserve">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lang w:val="zh-CN"/>
              </w:rPr>
              <w:t xml:space="preserve">分</w:t>
            </w:r>
            <w:r>
              <w:rPr>
                <w:rFonts w:hint="eastAsia" w:ascii="宋体" w:hAnsi="宋体" w:cs="宋体"/>
                <w:color w:val="auto"/>
                <w:szCs w:val="21"/>
                <w:lang w:val="zh-CN"/>
              </w:rPr>
              <w:t xml:space="preserve">；</w:t>
            </w:r>
            <w:r>
              <w:rPr>
                <w:rFonts w:hint="eastAsia" w:ascii="宋体" w:hAnsi="宋体" w:eastAsia="宋体" w:cs="宋体"/>
                <w:color w:val="auto"/>
                <w:szCs w:val="21"/>
                <w:lang w:val="zh-CN"/>
              </w:rPr>
              <w:t xml:space="preserve">有1名高级</w:t>
            </w:r>
            <w:r>
              <w:rPr>
                <w:rFonts w:hint="eastAsia" w:ascii="宋体" w:hAnsi="宋体" w:cs="宋体"/>
                <w:color w:val="auto"/>
                <w:szCs w:val="21"/>
                <w:lang w:val="en-US" w:eastAsia="zh-CN"/>
              </w:rPr>
              <w:t xml:space="preserve">工（中级职称）</w:t>
            </w:r>
            <w:r>
              <w:rPr>
                <w:rFonts w:hint="eastAsia" w:ascii="宋体" w:hAnsi="宋体" w:eastAsia="宋体" w:cs="宋体"/>
                <w:color w:val="auto"/>
                <w:szCs w:val="21"/>
                <w:lang w:val="zh-CN"/>
              </w:rPr>
              <w:t xml:space="preserve">和1 名以上中级</w:t>
            </w:r>
            <w:r>
              <w:rPr>
                <w:rFonts w:hint="eastAsia" w:ascii="宋体" w:hAnsi="宋体" w:cs="宋体"/>
                <w:color w:val="auto"/>
                <w:szCs w:val="21"/>
                <w:lang w:val="en-US" w:eastAsia="zh-CN"/>
              </w:rPr>
              <w:t xml:space="preserve">中级工（初级职称）</w:t>
            </w:r>
            <w:r>
              <w:rPr>
                <w:rFonts w:hint="eastAsia" w:ascii="宋体" w:hAnsi="宋体" w:eastAsia="宋体" w:cs="宋体"/>
                <w:color w:val="auto"/>
                <w:szCs w:val="21"/>
                <w:lang w:val="zh-CN"/>
              </w:rPr>
              <w:t xml:space="preserve">的得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val="zh-CN"/>
              </w:rPr>
              <w:t xml:space="preserve">分</w:t>
            </w:r>
            <w:r>
              <w:rPr>
                <w:rFonts w:hint="eastAsia" w:ascii="宋体" w:hAnsi="宋体" w:cs="宋体"/>
                <w:color w:val="auto"/>
                <w:szCs w:val="21"/>
                <w:lang w:val="zh-CN"/>
              </w:rPr>
              <w:t xml:space="preserve">；</w:t>
            </w:r>
            <w:r>
              <w:rPr>
                <w:rFonts w:hint="eastAsia" w:ascii="宋体" w:hAnsi="宋体" w:eastAsia="宋体" w:cs="宋体"/>
                <w:color w:val="auto"/>
                <w:szCs w:val="21"/>
                <w:lang w:val="zh-CN"/>
              </w:rPr>
              <w:t xml:space="preserve">没有不得分。</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（相关人员须提供投标人为其缴纳</w:t>
            </w:r>
            <w:r>
              <w:rPr>
                <w:rFonts w:hint="eastAsia" w:ascii="宋体" w:hAnsi="宋体" w:cs="宋体"/>
                <w:color w:val="auto"/>
                <w:szCs w:val="21"/>
                <w:lang w:val="zh-CN"/>
              </w:rPr>
              <w:t xml:space="preserve">近三个月内任意一个月的</w:t>
            </w:r>
            <w:r>
              <w:rPr>
                <w:rFonts w:hint="eastAsia" w:ascii="宋体" w:hAnsi="宋体" w:eastAsia="宋体" w:cs="宋体"/>
                <w:color w:val="auto"/>
                <w:szCs w:val="21"/>
                <w:lang w:val="zh-CN"/>
              </w:rPr>
              <w:t xml:space="preserve">社保证明）</w:t>
            </w:r>
            <w:r/>
          </w:p>
        </w:tc>
      </w:tr>
      <w:tr>
        <w:trPr>
          <w:jc w:val="center"/>
          <w:trHeight w:val="894"/>
        </w:trPr>
        <w:tc>
          <w:tcPr>
            <w:tcW w:w="667"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售后服务承诺</w:t>
            </w:r>
            <w:r/>
          </w:p>
        </w:tc>
        <w:tc>
          <w:tcPr>
            <w:tcW w:w="366" w:type="pct"/>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W w:w="3966" w:type="pct"/>
            <w:vAlign w:val="center"/>
            <w:textDirection w:val="lrTb"/>
            <w:noWrap w:val="false"/>
          </w:tcPr>
          <w:p>
            <w:pPr>
              <w:jc w:val="left"/>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1、承诺提供3次现场观摩保障，得1分，不提供不得分。</w:t>
            </w:r>
            <w:r/>
          </w:p>
          <w:p>
            <w:pPr>
              <w:jc w:val="left"/>
              <w:widowControl/>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 xml:space="preserve">2、投标人承诺针对本项目有固定售后服务人员，农忙期间能及时保障，不耽误农时，得1分，不提供不得分。</w:t>
            </w:r>
            <w:r/>
          </w:p>
        </w:tc>
      </w:tr>
    </w:tbl>
    <w:p>
      <w:pPr>
        <w:pStyle w:val="857"/>
        <w:ind w:firstLine="420"/>
        <w:rPr>
          <w:rFonts w:hint="eastAsia" w:ascii="宋体" w:hAnsi="宋体" w:eastAsia="宋体" w:cs="宋体"/>
          <w:color w:val="auto"/>
        </w:rPr>
      </w:pPr>
      <w:r>
        <w:rPr>
          <w:rFonts w:hint="eastAsia" w:ascii="宋体" w:hAnsi="宋体" w:eastAsia="宋体" w:cs="宋体"/>
          <w:color w:val="auto"/>
        </w:rPr>
      </w:r>
      <w:r/>
    </w:p>
    <w:p>
      <w:pPr>
        <w:pStyle w:val="1006"/>
        <w:jc w:val="left"/>
        <w:spacing w:before="0" w:after="0" w:line="440" w:lineRule="exact"/>
        <w:rPr>
          <w:rFonts w:hint="eastAsia" w:ascii="宋体" w:hAnsi="宋体" w:eastAsia="宋体" w:cs="宋体"/>
          <w:color w:val="auto"/>
          <w:sz w:val="22"/>
          <w:szCs w:val="22"/>
        </w:rPr>
      </w:pPr>
      <w:r/>
      <w:bookmarkStart w:id="211" w:name="_Toc28292"/>
      <w:r/>
      <w:bookmarkStart w:id="212" w:name="_Toc234382664"/>
      <w:r/>
      <w:bookmarkStart w:id="213" w:name="_Toc16845"/>
      <w:r/>
      <w:bookmarkStart w:id="214" w:name="_Toc31120"/>
      <w:r/>
      <w:bookmarkStart w:id="215" w:name="_Toc24287"/>
      <w:r/>
      <w:bookmarkStart w:id="216" w:name="_Toc4791"/>
      <w:r/>
      <w:bookmarkStart w:id="217" w:name="_Toc657"/>
      <w:r/>
      <w:bookmarkStart w:id="218" w:name="_Toc217446060"/>
      <w:r/>
      <w:bookmarkStart w:id="219" w:name="_Toc30145"/>
      <w:r>
        <w:rPr>
          <w:rFonts w:hint="eastAsia" w:ascii="宋体" w:hAnsi="宋体" w:eastAsia="宋体" w:cs="宋体"/>
          <w:color w:val="auto"/>
          <w:sz w:val="22"/>
          <w:szCs w:val="22"/>
        </w:rPr>
        <w:t xml:space="preserve">1. 评标方法</w:t>
      </w:r>
      <w:bookmarkEnd w:id="211"/>
      <w:r/>
      <w:bookmarkEnd w:id="212"/>
      <w:r/>
      <w:bookmarkEnd w:id="213"/>
      <w:r/>
      <w:bookmarkEnd w:id="214"/>
      <w:r/>
      <w:bookmarkEnd w:id="215"/>
      <w:r/>
      <w:bookmarkEnd w:id="216"/>
      <w:r/>
      <w:bookmarkEnd w:id="217"/>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006"/>
        <w:jc w:val="left"/>
        <w:spacing w:before="0" w:after="0" w:line="440" w:lineRule="exact"/>
        <w:rPr>
          <w:rFonts w:hint="eastAsia" w:ascii="宋体" w:hAnsi="宋体" w:eastAsia="宋体" w:cs="宋体"/>
          <w:color w:val="auto"/>
          <w:sz w:val="22"/>
          <w:szCs w:val="22"/>
        </w:rPr>
      </w:pPr>
      <w:r/>
      <w:bookmarkStart w:id="220" w:name="_Toc1971"/>
      <w:r/>
      <w:bookmarkStart w:id="221" w:name="_Toc3856"/>
      <w:r/>
      <w:bookmarkStart w:id="222" w:name="_Toc234382665"/>
      <w:r/>
      <w:bookmarkStart w:id="223" w:name="_Toc7775"/>
      <w:r/>
      <w:bookmarkStart w:id="224" w:name="_Toc8611"/>
      <w:r/>
      <w:bookmarkStart w:id="225" w:name="_Toc2712"/>
      <w:r/>
      <w:bookmarkStart w:id="226" w:name="_Toc16894"/>
      <w:r>
        <w:rPr>
          <w:rFonts w:hint="eastAsia" w:ascii="宋体" w:hAnsi="宋体" w:eastAsia="宋体" w:cs="宋体"/>
          <w:color w:val="auto"/>
          <w:sz w:val="22"/>
          <w:szCs w:val="22"/>
        </w:rPr>
        <w:t xml:space="preserve">2. 评审标准</w:t>
      </w:r>
      <w:bookmarkEnd w:id="220"/>
      <w:r/>
      <w:bookmarkEnd w:id="221"/>
      <w:r/>
      <w:bookmarkEnd w:id="222"/>
      <w:r/>
      <w:bookmarkEnd w:id="223"/>
      <w:r/>
      <w:bookmarkEnd w:id="224"/>
      <w:r/>
      <w:bookmarkEnd w:id="225"/>
      <w:r/>
      <w:bookmarkEnd w:id="226"/>
      <w:r/>
      <w:r/>
    </w:p>
    <w:p>
      <w:pPr>
        <w:pStyle w:val="1006"/>
        <w:jc w:val="left"/>
        <w:spacing w:before="0" w:after="0" w:line="440" w:lineRule="exact"/>
        <w:rPr>
          <w:rFonts w:hint="eastAsia" w:ascii="宋体" w:hAnsi="宋体" w:eastAsia="宋体" w:cs="宋体"/>
          <w:color w:val="auto"/>
          <w:sz w:val="22"/>
          <w:szCs w:val="22"/>
        </w:rPr>
      </w:pPr>
      <w:r/>
      <w:bookmarkStart w:id="227" w:name="_Toc9878"/>
      <w:r/>
      <w:bookmarkStart w:id="228" w:name="_Toc234382666"/>
      <w:r/>
      <w:bookmarkStart w:id="229" w:name="_Toc14360"/>
      <w:r/>
      <w:bookmarkStart w:id="230" w:name="_Toc6889"/>
      <w:r/>
      <w:bookmarkStart w:id="231" w:name="_Toc14163"/>
      <w:r/>
      <w:bookmarkStart w:id="232" w:name="_Toc10908"/>
      <w:r/>
      <w:bookmarkStart w:id="233" w:name="_Toc3536"/>
      <w:r>
        <w:rPr>
          <w:rFonts w:hint="eastAsia" w:ascii="宋体" w:hAnsi="宋体" w:eastAsia="宋体" w:cs="宋体"/>
          <w:color w:val="auto"/>
          <w:sz w:val="22"/>
          <w:szCs w:val="22"/>
        </w:rPr>
        <w:t xml:space="preserve">2.</w:t>
      </w:r>
      <w:bookmarkEnd w:id="227"/>
      <w:r/>
      <w:bookmarkEnd w:id="228"/>
      <w:r>
        <w:rPr>
          <w:rFonts w:hint="eastAsia" w:ascii="宋体" w:hAnsi="宋体" w:eastAsia="宋体" w:cs="宋体"/>
          <w:color w:val="auto"/>
          <w:sz w:val="22"/>
          <w:szCs w:val="22"/>
        </w:rPr>
        <w:t xml:space="preserve">2 资格评审标准</w:t>
      </w:r>
      <w:bookmarkEnd w:id="229"/>
      <w:r/>
      <w:bookmarkEnd w:id="230"/>
      <w:r/>
      <w:bookmarkEnd w:id="231"/>
      <w:r/>
      <w:r/>
    </w:p>
    <w:p>
      <w:pPr>
        <w:pStyle w:val="1006"/>
        <w:ind w:firstLine="440"/>
        <w:jc w:val="left"/>
        <w:spacing w:before="0" w:after="0" w:line="440" w:lineRule="exact"/>
        <w:rPr>
          <w:rFonts w:hint="eastAsia" w:ascii="宋体" w:hAnsi="宋体" w:eastAsia="宋体" w:cs="宋体"/>
          <w:b w:val="0"/>
          <w:bCs w:val="0"/>
          <w:color w:val="auto"/>
          <w:sz w:val="22"/>
          <w:szCs w:val="22"/>
        </w:rPr>
      </w:pPr>
      <w:r/>
      <w:bookmarkStart w:id="234" w:name="_Toc19264"/>
      <w:r/>
      <w:bookmarkStart w:id="235" w:name="_Toc5344"/>
      <w:r/>
      <w:bookmarkStart w:id="236" w:name="_Toc18645"/>
      <w:r>
        <w:rPr>
          <w:rFonts w:hint="eastAsia" w:ascii="宋体" w:hAnsi="宋体" w:eastAsia="宋体" w:cs="宋体"/>
          <w:b w:val="0"/>
          <w:bCs w:val="0"/>
          <w:color w:val="auto"/>
          <w:sz w:val="22"/>
          <w:szCs w:val="22"/>
        </w:rPr>
        <w:t xml:space="preserve">2.2.1资格评审标准：</w:t>
      </w:r>
      <w:r>
        <w:rPr>
          <w:rFonts w:hint="eastAsia" w:ascii="宋体" w:hAnsi="宋体" w:eastAsia="宋体" w:cs="宋体"/>
          <w:b w:val="0"/>
          <w:bCs w:val="0"/>
          <w:color w:val="auto"/>
          <w:sz w:val="22"/>
        </w:rPr>
        <w:t xml:space="preserve">见评标办法前附表。</w:t>
      </w:r>
      <w:bookmarkEnd w:id="234"/>
      <w:r/>
      <w:bookmarkEnd w:id="235"/>
      <w:r/>
      <w:bookmarkEnd w:id="236"/>
      <w:r/>
      <w:r/>
    </w:p>
    <w:p>
      <w:pPr>
        <w:pStyle w:val="1006"/>
        <w:jc w:val="left"/>
        <w:spacing w:before="0" w:after="0" w:line="440" w:lineRule="exact"/>
        <w:rPr>
          <w:rFonts w:hint="eastAsia" w:ascii="宋体" w:hAnsi="宋体" w:eastAsia="宋体" w:cs="宋体"/>
          <w:color w:val="auto"/>
          <w:sz w:val="22"/>
          <w:szCs w:val="22"/>
        </w:rPr>
      </w:pPr>
      <w:r/>
      <w:bookmarkStart w:id="237" w:name="_Toc30804"/>
      <w:r/>
      <w:bookmarkStart w:id="238" w:name="_Toc13998"/>
      <w:r/>
      <w:bookmarkStart w:id="239" w:name="_Toc21442"/>
      <w:r>
        <w:rPr>
          <w:rFonts w:hint="eastAsia" w:ascii="宋体" w:hAnsi="宋体" w:eastAsia="宋体" w:cs="宋体"/>
          <w:color w:val="auto"/>
          <w:sz w:val="22"/>
          <w:szCs w:val="22"/>
        </w:rPr>
        <w:t xml:space="preserve">2.3 符合性评审标准</w:t>
      </w:r>
      <w:bookmarkEnd w:id="232"/>
      <w:r/>
      <w:bookmarkEnd w:id="233"/>
      <w:r/>
      <w:bookmarkEnd w:id="237"/>
      <w:r/>
      <w:bookmarkEnd w:id="238"/>
      <w:r/>
      <w:bookmarkEnd w:id="239"/>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2.3.1符合性检查标准：见评标办法前附表。</w:t>
      </w:r>
      <w:r/>
    </w:p>
    <w:p>
      <w:pPr>
        <w:pStyle w:val="1006"/>
        <w:jc w:val="left"/>
        <w:spacing w:before="0" w:after="0" w:line="440" w:lineRule="exact"/>
        <w:rPr>
          <w:rFonts w:hint="eastAsia" w:ascii="宋体" w:hAnsi="宋体" w:eastAsia="宋体" w:cs="宋体"/>
          <w:color w:val="auto"/>
          <w:sz w:val="22"/>
          <w:szCs w:val="22"/>
        </w:rPr>
      </w:pPr>
      <w:r/>
      <w:bookmarkStart w:id="240" w:name="_Toc28188"/>
      <w:r/>
      <w:bookmarkStart w:id="241" w:name="_Toc23546"/>
      <w:r/>
      <w:bookmarkStart w:id="242" w:name="_Toc12497"/>
      <w:r/>
      <w:bookmarkStart w:id="243" w:name="_Toc4706"/>
      <w:r/>
      <w:bookmarkStart w:id="244" w:name="_Toc234382667"/>
      <w:r/>
      <w:bookmarkStart w:id="245" w:name="_Toc29235"/>
      <w:r/>
      <w:bookmarkStart w:id="246" w:name="_Toc5456"/>
      <w:r>
        <w:rPr>
          <w:rFonts w:hint="eastAsia" w:ascii="宋体" w:hAnsi="宋体" w:eastAsia="宋体" w:cs="宋体"/>
          <w:color w:val="auto"/>
          <w:sz w:val="22"/>
          <w:szCs w:val="22"/>
        </w:rPr>
        <w:t xml:space="preserve">2.4 分值构成与评分标准</w:t>
      </w:r>
      <w:bookmarkEnd w:id="240"/>
      <w:r/>
      <w:bookmarkEnd w:id="241"/>
      <w:r/>
      <w:bookmarkEnd w:id="242"/>
      <w:r/>
      <w:bookmarkEnd w:id="243"/>
      <w:r/>
      <w:bookmarkEnd w:id="244"/>
      <w:r/>
      <w:bookmarkEnd w:id="245"/>
      <w:r/>
      <w:bookmarkEnd w:id="246"/>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2.4.1 分值构成：见评标办法前附表；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2.4.2 评分标准：见评标办法前附表。</w:t>
      </w:r>
      <w:r/>
    </w:p>
    <w:p>
      <w:pPr>
        <w:pStyle w:val="1006"/>
        <w:jc w:val="left"/>
        <w:spacing w:before="0" w:after="0" w:line="440" w:lineRule="exact"/>
        <w:rPr>
          <w:rFonts w:hint="eastAsia" w:ascii="宋体" w:hAnsi="宋体" w:eastAsia="宋体" w:cs="宋体"/>
          <w:color w:val="auto"/>
          <w:sz w:val="22"/>
          <w:szCs w:val="22"/>
        </w:rPr>
      </w:pPr>
      <w:r/>
      <w:bookmarkStart w:id="247" w:name="_Toc8588"/>
      <w:r/>
      <w:bookmarkStart w:id="248" w:name="_Toc16925"/>
      <w:r/>
      <w:bookmarkStart w:id="249" w:name="_Toc24010"/>
      <w:r/>
      <w:bookmarkStart w:id="250" w:name="_Toc14071"/>
      <w:r/>
      <w:bookmarkStart w:id="251" w:name="_Toc8953"/>
      <w:r/>
      <w:bookmarkStart w:id="252" w:name="_Toc234382668"/>
      <w:r/>
      <w:bookmarkStart w:id="253" w:name="_Toc23497"/>
      <w:r>
        <w:rPr>
          <w:rFonts w:hint="eastAsia" w:ascii="宋体" w:hAnsi="宋体" w:eastAsia="宋体" w:cs="宋体"/>
          <w:color w:val="auto"/>
          <w:sz w:val="22"/>
          <w:szCs w:val="22"/>
        </w:rPr>
        <w:t xml:space="preserve">3. 评标程序</w:t>
      </w:r>
      <w:bookmarkEnd w:id="247"/>
      <w:r/>
      <w:bookmarkEnd w:id="248"/>
      <w:r/>
      <w:bookmarkEnd w:id="249"/>
      <w:r/>
      <w:bookmarkEnd w:id="250"/>
      <w:r/>
      <w:bookmarkEnd w:id="251"/>
      <w:r/>
      <w:bookmarkEnd w:id="252"/>
      <w:r/>
      <w:bookmarkEnd w:id="253"/>
      <w:r/>
      <w:r/>
    </w:p>
    <w:p>
      <w:pPr>
        <w:pStyle w:val="1006"/>
        <w:jc w:val="left"/>
        <w:spacing w:before="0" w:after="0" w:line="440" w:lineRule="exact"/>
        <w:rPr>
          <w:rFonts w:hint="eastAsia" w:ascii="宋体" w:hAnsi="宋体" w:eastAsia="宋体" w:cs="宋体"/>
          <w:color w:val="auto"/>
          <w:sz w:val="22"/>
          <w:szCs w:val="22"/>
        </w:rPr>
      </w:pPr>
      <w:r/>
      <w:bookmarkStart w:id="254" w:name="_Toc234382669"/>
      <w:r/>
      <w:bookmarkStart w:id="255" w:name="_Toc5951"/>
      <w:r/>
      <w:bookmarkStart w:id="256" w:name="_Toc9836"/>
      <w:r/>
      <w:bookmarkStart w:id="257" w:name="_Toc24795"/>
      <w:r/>
      <w:bookmarkStart w:id="258" w:name="_Toc19783"/>
      <w:r/>
      <w:bookmarkStart w:id="259" w:name="_Toc28246"/>
      <w:r/>
      <w:bookmarkStart w:id="260" w:name="_Toc6644"/>
      <w:r>
        <w:rPr>
          <w:rFonts w:hint="eastAsia" w:ascii="宋体" w:hAnsi="宋体" w:eastAsia="宋体" w:cs="宋体"/>
          <w:color w:val="auto"/>
          <w:sz w:val="22"/>
          <w:szCs w:val="22"/>
        </w:rPr>
        <w:t xml:space="preserve">3.1 </w:t>
      </w:r>
      <w:bookmarkEnd w:id="254"/>
      <w:r>
        <w:rPr>
          <w:rFonts w:hint="eastAsia" w:ascii="宋体" w:hAnsi="宋体" w:eastAsia="宋体" w:cs="宋体"/>
          <w:color w:val="auto"/>
          <w:sz w:val="22"/>
          <w:szCs w:val="22"/>
        </w:rPr>
        <w:t xml:space="preserve">符合性评审</w:t>
      </w:r>
      <w:bookmarkEnd w:id="255"/>
      <w:r/>
      <w:bookmarkEnd w:id="256"/>
      <w:r/>
      <w:bookmarkEnd w:id="257"/>
      <w:r/>
      <w:bookmarkEnd w:id="258"/>
      <w:r/>
      <w:bookmarkEnd w:id="259"/>
      <w:r/>
      <w:bookmarkEnd w:id="260"/>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3.1.1评标委员会依据本章规定的评审标准对投标文件进行符合性检查。有一项不符合评审标准的，作无效投标文件处理。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3.1.2 投标文件报价出现前后不一致的，除招标文件另有规定外，按照下列规定修正：</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（1）投标文件中开标一览表内容与投标文件中相应内容不一致的，以开标一览表为准；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（2）大写金额和小写金额不一致的，以大写金额为准；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（3）单价金额小数点或者百分比有明显错位的，以开标一览表的总价为准，并修改单价；</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（4）总价金额与按单价汇总金额不一致的，以单价金额计算结果为准。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006"/>
        <w:jc w:val="left"/>
        <w:spacing w:before="0" w:after="0" w:line="440" w:lineRule="exact"/>
        <w:rPr>
          <w:rFonts w:hint="eastAsia" w:ascii="宋体" w:hAnsi="宋体" w:eastAsia="宋体" w:cs="宋体"/>
          <w:color w:val="auto"/>
          <w:sz w:val="22"/>
          <w:szCs w:val="22"/>
        </w:rPr>
      </w:pPr>
      <w:r/>
      <w:bookmarkStart w:id="261" w:name="_Toc10483"/>
      <w:r/>
      <w:bookmarkStart w:id="262" w:name="_Toc234382670"/>
      <w:r/>
      <w:bookmarkStart w:id="263" w:name="_Toc23300"/>
      <w:r/>
      <w:bookmarkStart w:id="264" w:name="_Toc26769"/>
      <w:r/>
      <w:bookmarkStart w:id="265" w:name="_Toc32688"/>
      <w:r/>
      <w:bookmarkStart w:id="266" w:name="_Toc15550"/>
      <w:r/>
      <w:bookmarkStart w:id="267" w:name="_Toc3943"/>
      <w:r>
        <w:rPr>
          <w:rFonts w:hint="eastAsia" w:ascii="宋体" w:hAnsi="宋体" w:eastAsia="宋体" w:cs="宋体"/>
          <w:color w:val="auto"/>
          <w:sz w:val="22"/>
          <w:szCs w:val="22"/>
        </w:rPr>
        <w:t xml:space="preserve">3.</w:t>
      </w:r>
      <w:bookmarkEnd w:id="261"/>
      <w:r/>
      <w:bookmarkEnd w:id="262"/>
      <w:r>
        <w:rPr>
          <w:rFonts w:hint="eastAsia" w:ascii="宋体" w:hAnsi="宋体" w:eastAsia="宋体" w:cs="宋体"/>
          <w:color w:val="auto"/>
          <w:sz w:val="22"/>
          <w:szCs w:val="22"/>
        </w:rPr>
        <w:t xml:space="preserve">2比较和评价</w:t>
      </w:r>
      <w:bookmarkEnd w:id="263"/>
      <w:r/>
      <w:bookmarkEnd w:id="264"/>
      <w:r/>
      <w:bookmarkEnd w:id="265"/>
      <w:r/>
      <w:bookmarkEnd w:id="266"/>
      <w:r/>
      <w:bookmarkEnd w:id="267"/>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3.2.1 评标委员会各成员按本章规定的量化因素和分值，独立对符合性评审合格的每个供应商的投标文件进行评价，并汇总每个供应商的得分。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3.2.2 各供应商得分取评标委员会各成员独立评分的平均值。分值计算保留小数点后两位，小数点后第三位“四舍五入”。</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006"/>
        <w:jc w:val="left"/>
        <w:spacing w:before="0" w:after="0" w:line="440" w:lineRule="exact"/>
        <w:rPr>
          <w:rFonts w:hint="eastAsia" w:ascii="宋体" w:hAnsi="宋体" w:eastAsia="宋体" w:cs="宋体"/>
          <w:color w:val="auto"/>
          <w:sz w:val="22"/>
          <w:szCs w:val="22"/>
        </w:rPr>
      </w:pPr>
      <w:r/>
      <w:bookmarkStart w:id="268" w:name="_Toc18697"/>
      <w:r/>
      <w:bookmarkStart w:id="269" w:name="_Toc19739"/>
      <w:r/>
      <w:bookmarkStart w:id="270" w:name="_Toc13773"/>
      <w:r/>
      <w:bookmarkStart w:id="271" w:name="_Toc22453"/>
      <w:r/>
      <w:bookmarkStart w:id="272" w:name="_Toc30764"/>
      <w:r/>
      <w:bookmarkStart w:id="273" w:name="_Toc4375"/>
      <w:r/>
      <w:bookmarkStart w:id="274" w:name="_Toc234382671"/>
      <w:r>
        <w:rPr>
          <w:rFonts w:hint="eastAsia" w:ascii="宋体" w:hAnsi="宋体" w:eastAsia="宋体" w:cs="宋体"/>
          <w:color w:val="auto"/>
          <w:sz w:val="22"/>
          <w:szCs w:val="22"/>
        </w:rPr>
        <w:t xml:space="preserve">3.3 澄清和补正</w:t>
      </w:r>
      <w:bookmarkEnd w:id="268"/>
      <w:r/>
      <w:bookmarkEnd w:id="269"/>
      <w:r/>
      <w:bookmarkEnd w:id="270"/>
      <w:r/>
      <w:bookmarkEnd w:id="271"/>
      <w:r/>
      <w:bookmarkEnd w:id="272"/>
      <w:r/>
      <w:bookmarkEnd w:id="273"/>
      <w:r/>
      <w:bookmarkEnd w:id="274"/>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3.3.1 对投标文件中含义不明确、同类问题表述不一致或者有明显文字和算术错误的内容，评标委员会</w:t>
      </w:r>
      <w:r>
        <w:rPr>
          <w:rFonts w:hint="eastAsia" w:ascii="宋体" w:hAnsi="宋体" w:eastAsia="宋体" w:cs="宋体"/>
          <w:color w:val="auto"/>
          <w:sz w:val="22"/>
          <w:szCs w:val="22"/>
        </w:rPr>
        <w:t xml:space="preserve">通过“苏采云”系统</w:t>
      </w:r>
      <w:r>
        <w:rPr>
          <w:rFonts w:hint="eastAsia" w:ascii="宋体" w:hAnsi="宋体" w:eastAsia="宋体" w:cs="宋体"/>
          <w:color w:val="auto"/>
          <w:sz w:val="22"/>
        </w:rPr>
        <w:t xml:space="preserve">要求供应商作出必要的澄清、说明或者纠正。</w:t>
      </w:r>
      <w:r>
        <w:rPr>
          <w:rFonts w:hint="eastAsia" w:ascii="宋体" w:hAnsi="宋体" w:eastAsia="宋体" w:cs="宋体"/>
          <w:color w:val="auto"/>
          <w:sz w:val="22"/>
          <w:szCs w:val="22"/>
        </w:rPr>
        <w:t xml:space="preserve">在评标期间，请供应商保持在线。</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3.3.2</w:t>
      </w:r>
      <w:r>
        <w:rPr>
          <w:rFonts w:hint="eastAsia" w:ascii="宋体" w:hAnsi="宋体" w:eastAsia="宋体" w:cs="宋体"/>
          <w:color w:val="auto"/>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eastAsia="宋体" w:cs="宋体"/>
          <w:color w:val="auto"/>
          <w:sz w:val="22"/>
        </w:rPr>
        <w:t xml:space="preserve">。</w:t>
      </w:r>
      <w:r/>
    </w:p>
    <w:p>
      <w:pPr>
        <w:ind w:firstLine="440"/>
        <w:spacing w:line="440" w:lineRule="exact"/>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特别说明：</w:t>
      </w:r>
      <w:r>
        <w:rPr>
          <w:rFonts w:hint="eastAsia" w:ascii="宋体" w:hAnsi="宋体" w:eastAsia="宋体" w:cs="宋体"/>
          <w:color w:val="auto"/>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3.3.3 评标委员会不接受供应商主动提出的澄清、说明或补正。</w:t>
      </w:r>
      <w:r/>
    </w:p>
    <w:p>
      <w:pPr>
        <w:ind w:firstLine="432"/>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3.3.4 凡超出招标文件规定的或给采购人带来未曾要求的利益的变化、偏差或其他因素在评标时不予考虑。</w:t>
      </w:r>
      <w:r/>
    </w:p>
    <w:p>
      <w:pPr>
        <w:pStyle w:val="1006"/>
        <w:jc w:val="left"/>
        <w:spacing w:before="0" w:after="0" w:line="440" w:lineRule="exact"/>
        <w:rPr>
          <w:rFonts w:hint="eastAsia" w:ascii="宋体" w:hAnsi="宋体" w:eastAsia="宋体" w:cs="宋体"/>
          <w:color w:val="auto"/>
          <w:sz w:val="22"/>
        </w:rPr>
      </w:pPr>
      <w:r/>
      <w:bookmarkStart w:id="275" w:name="_Toc5764"/>
      <w:r/>
      <w:bookmarkStart w:id="276" w:name="_Toc15871"/>
      <w:r/>
      <w:bookmarkStart w:id="277" w:name="_Toc13594"/>
      <w:r>
        <w:rPr>
          <w:rFonts w:hint="eastAsia" w:ascii="宋体" w:hAnsi="宋体" w:eastAsia="宋体" w:cs="宋体"/>
          <w:color w:val="auto"/>
          <w:sz w:val="22"/>
        </w:rPr>
        <w:t xml:space="preserve">3.4 违法违规情形</w:t>
      </w:r>
      <w:bookmarkEnd w:id="275"/>
      <w:r/>
      <w:bookmarkEnd w:id="276"/>
      <w:r/>
      <w:bookmarkEnd w:id="277"/>
      <w:r/>
      <w:r/>
    </w:p>
    <w:p>
      <w:pPr>
        <w:ind w:firstLine="432"/>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3.4.1有下列情形之一的，属于供应商相互串通投标，其投标无效：</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（1）供应商之间协商投标报价等投标文件的实质性内容；</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（2）供应商之间约定中标人；</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（3）供应商之间约定部分供应商放弃投标或者中标，其投标无效：</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（4）属于同一集团、协会、商会等组织成员的供应商按照该组织要求协同投标；</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（5）供应商之间为谋取中标或者排斥特定供应商而采取的其他联合行动。</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3.4.2 有下列情形之一的，视为供应商相互串通投标：</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（1）不同供应商的投标文件由同一单位或者个人编制；</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（2）不同供应商委托同一单位或者个人办理投标事宜；</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（3）不同供应商的投标文件载明的项目管理成员或者联系人员为同一人；</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（4）不同供应商的投标文件异常一致或者投标报价呈规律性差异；</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（5）不同供应商的投标文件相互混装；</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（6）不同供应商的投标保证金从同一单位或者个人的账户转出。</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3.4.3 供应商有下列情形之一的，属于供应商弄虚作假的行为，其投标无效：</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（1）使用伪造、变造的许可证件；</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（2）提供虚假的财务状况或者业绩；</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（3）提供虚假的项目负责人或者主要技术人员简历、劳动关系证明；</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（4）提供虚假的信用状况；</w:t>
      </w:r>
      <w:r/>
    </w:p>
    <w:p>
      <w:pPr>
        <w:ind w:firstLine="432"/>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（5）其他弄虚作假的行为。</w:t>
      </w:r>
      <w:r/>
    </w:p>
    <w:p>
      <w:pPr>
        <w:pStyle w:val="1006"/>
        <w:jc w:val="left"/>
        <w:spacing w:before="0" w:after="0" w:line="440" w:lineRule="exact"/>
        <w:rPr>
          <w:rFonts w:hint="eastAsia" w:ascii="宋体" w:hAnsi="宋体" w:eastAsia="宋体" w:cs="宋体"/>
          <w:color w:val="auto"/>
          <w:sz w:val="22"/>
          <w:szCs w:val="22"/>
        </w:rPr>
      </w:pPr>
      <w:r/>
      <w:bookmarkStart w:id="278" w:name="_Toc8282"/>
      <w:r/>
      <w:bookmarkStart w:id="279" w:name="_Toc17117"/>
      <w:r/>
      <w:bookmarkStart w:id="280" w:name="_Toc17896"/>
      <w:r/>
      <w:bookmarkStart w:id="281" w:name="_Toc15663"/>
      <w:r/>
      <w:bookmarkStart w:id="282" w:name="_Toc17001"/>
      <w:r>
        <w:rPr>
          <w:rFonts w:hint="eastAsia" w:ascii="宋体" w:hAnsi="宋体" w:eastAsia="宋体" w:cs="宋体"/>
          <w:color w:val="auto"/>
          <w:sz w:val="22"/>
          <w:szCs w:val="22"/>
        </w:rPr>
        <w:t xml:space="preserve">3.5 评标结果</w:t>
      </w:r>
      <w:bookmarkEnd w:id="278"/>
      <w:r/>
      <w:bookmarkEnd w:id="279"/>
      <w:r/>
      <w:bookmarkEnd w:id="280"/>
      <w:r/>
      <w:bookmarkEnd w:id="281"/>
      <w:r/>
      <w:bookmarkEnd w:id="282"/>
      <w:r/>
      <w:r/>
    </w:p>
    <w:p>
      <w:pPr>
        <w:ind w:firstLine="440"/>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3.5.1 评标委员会按照得分由高到低的顺序推荐中标候选人，并标明排序。</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3.5.3 评标委员会完成评标后，应当向采购人提交评标报告。</w:t>
      </w:r>
      <w:bookmarkEnd w:id="210"/>
      <w:r/>
      <w:bookmarkEnd w:id="218"/>
      <w:r/>
      <w:bookmarkEnd w:id="219"/>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声明：当出现损害国家和采购人利益情况时，采购人、本公司有选择或拒绝任何供应商的权利，并对所采取的行为不主动说明原因。</w:t>
      </w:r>
      <w:r/>
    </w:p>
    <w:p>
      <w:pPr>
        <w:pStyle w:val="1006"/>
        <w:spacing w:line="240" w:lineRule="auto"/>
        <w:rPr>
          <w:rFonts w:hint="eastAsia" w:ascii="宋体" w:hAnsi="宋体" w:eastAsia="宋体" w:cs="宋体"/>
          <w:color w:val="auto"/>
        </w:rPr>
      </w:pPr>
      <w:r/>
      <w:bookmarkStart w:id="283" w:name="_Toc89569910"/>
      <w:r/>
      <w:bookmarkStart w:id="284" w:name="_Toc3443"/>
      <w:r>
        <w:rPr>
          <w:rFonts w:hint="eastAsia" w:ascii="宋体" w:hAnsi="宋体" w:eastAsia="宋体" w:cs="宋体"/>
          <w:color w:val="auto"/>
          <w:sz w:val="24"/>
          <w:szCs w:val="24"/>
        </w:rPr>
        <w:br w:type="page" w:clear="all"/>
      </w:r>
      <w:bookmarkStart w:id="285" w:name="_Toc28394"/>
      <w:r>
        <w:rPr>
          <w:rFonts w:hint="eastAsia" w:ascii="宋体" w:hAnsi="宋体" w:eastAsia="宋体" w:cs="宋体"/>
          <w:color w:val="auto"/>
        </w:rPr>
        <w:t xml:space="preserve">第七章 投标文件内容及格式</w:t>
      </w:r>
      <w:bookmarkEnd w:id="283"/>
      <w:r/>
      <w:bookmarkEnd w:id="284"/>
      <w:r/>
      <w:bookmarkEnd w:id="285"/>
      <w:r/>
      <w:r/>
    </w:p>
    <w:p>
      <w:pPr>
        <w:jc w:val="center"/>
        <w:spacing w:line="720" w:lineRule="auto"/>
        <w:rPr>
          <w:rFonts w:hint="eastAsia" w:ascii="宋体" w:hAnsi="宋体" w:eastAsia="宋体" w:cs="宋体"/>
          <w:b/>
          <w:color w:val="auto"/>
          <w:sz w:val="72"/>
          <w:szCs w:val="21"/>
        </w:rPr>
      </w:pPr>
      <w:r/>
      <w:bookmarkStart w:id="286" w:name="_Toc26554094"/>
      <w:r/>
      <w:bookmarkStart w:id="287" w:name="_Toc120614282"/>
      <w:r/>
      <w:bookmarkStart w:id="288" w:name="_Toc49090576"/>
      <w:r/>
      <w:r/>
    </w:p>
    <w:p>
      <w:pPr>
        <w:jc w:val="center"/>
        <w:spacing w:line="720" w:lineRule="auto"/>
        <w:rPr>
          <w:rFonts w:hint="eastAsia" w:ascii="宋体" w:hAnsi="宋体" w:eastAsia="宋体" w:cs="宋体"/>
          <w:b/>
          <w:color w:val="auto"/>
          <w:sz w:val="72"/>
          <w:szCs w:val="21"/>
        </w:rPr>
      </w:pPr>
      <w:r>
        <w:rPr>
          <w:rFonts w:hint="eastAsia" w:ascii="宋体" w:hAnsi="宋体" w:eastAsia="宋体" w:cs="宋体"/>
          <w:b/>
          <w:color w:val="auto"/>
          <w:sz w:val="72"/>
          <w:szCs w:val="21"/>
        </w:rPr>
        <w:t xml:space="preserve">投  标  文  件</w:t>
      </w:r>
      <w:r/>
    </w:p>
    <w:p>
      <w:pPr>
        <w:jc w:val="center"/>
        <w:spacing w:line="720" w:lineRule="auto"/>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spacing w:line="440" w:lineRule="exact"/>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spacing w:line="440" w:lineRule="exact"/>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ind w:firstLine="723"/>
        <w:spacing w:line="480" w:lineRule="auto"/>
        <w:rPr>
          <w:rFonts w:hint="eastAsia" w:ascii="宋体" w:hAnsi="宋体" w:eastAsia="宋体" w:cs="宋体"/>
          <w:b/>
          <w:color w:val="auto"/>
          <w:sz w:val="36"/>
          <w:szCs w:val="21"/>
          <w:lang w:eastAsia="zh-CN"/>
        </w:rPr>
      </w:pPr>
      <w:r>
        <w:rPr>
          <w:rFonts w:hint="eastAsia" w:ascii="宋体" w:hAnsi="宋体" w:eastAsia="宋体" w:cs="宋体"/>
          <w:b/>
          <w:color w:val="auto"/>
          <w:sz w:val="36"/>
          <w:szCs w:val="21"/>
        </w:rPr>
        <w:t xml:space="preserve">项 目 名 称：</w:t>
      </w:r>
      <w:r>
        <w:rPr>
          <w:rFonts w:hint="eastAsia" w:ascii="宋体" w:hAnsi="宋体" w:eastAsia="宋体" w:cs="宋体"/>
          <w:b/>
          <w:color w:val="auto"/>
          <w:sz w:val="36"/>
          <w:szCs w:val="21"/>
          <w:lang w:eastAsia="zh-CN"/>
        </w:rPr>
        <w:t xml:space="preserve">“靖江智能化稻麦轮作农机装备与技术集成示范”项目智能农机装备与设备平台采购</w:t>
      </w:r>
      <w:r/>
    </w:p>
    <w:p>
      <w:pPr>
        <w:ind w:firstLine="723"/>
        <w:spacing w:line="480" w:lineRule="auto"/>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项 目 编 号：</w:t>
      </w:r>
      <w:r>
        <w:rPr>
          <w:rFonts w:hint="eastAsia" w:ascii="宋体" w:hAnsi="宋体" w:eastAsia="宋体" w:cs="宋体"/>
          <w:b/>
          <w:color w:val="auto"/>
          <w:sz w:val="30"/>
          <w:szCs w:val="30"/>
        </w:rPr>
        <w:t xml:space="preserve">JSZC-321282-YZSX-G2024-000</w:t>
      </w:r>
      <w:r>
        <w:rPr>
          <w:rFonts w:hint="eastAsia" w:ascii="宋体" w:hAnsi="宋体" w:cs="宋体"/>
          <w:b/>
          <w:color w:val="auto"/>
          <w:sz w:val="30"/>
          <w:szCs w:val="30"/>
          <w:lang w:val="en-US" w:eastAsia="zh-CN"/>
        </w:rPr>
        <w:t xml:space="preserve">7</w:t>
      </w:r>
      <w:r/>
    </w:p>
    <w:p>
      <w:pPr>
        <w:ind w:firstLine="723"/>
        <w:spacing w:line="480" w:lineRule="auto"/>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投标人名称 ：</w:t>
      </w:r>
      <w:r>
        <w:rPr>
          <w:rFonts w:hint="eastAsia" w:ascii="宋体" w:hAnsi="宋体" w:eastAsia="宋体" w:cs="宋体"/>
          <w:b/>
          <w:color w:val="auto"/>
          <w:sz w:val="36"/>
          <w:szCs w:val="21"/>
          <w:u w:val="single"/>
        </w:rPr>
        <w:t xml:space="preserve">（加盖CA电子公章）</w:t>
      </w:r>
      <w:r/>
    </w:p>
    <w:p>
      <w:pPr>
        <w:ind w:firstLine="723"/>
        <w:spacing w:line="480" w:lineRule="auto"/>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日      期 ：</w:t>
      </w:r>
      <w:r>
        <w:rPr>
          <w:rFonts w:hint="eastAsia" w:ascii="宋体" w:hAnsi="宋体" w:eastAsia="宋体" w:cs="宋体"/>
          <w:b/>
          <w:color w:val="auto"/>
          <w:sz w:val="32"/>
          <w:szCs w:val="22"/>
        </w:rPr>
        <w:t xml:space="preserve">2024</w:t>
      </w:r>
      <w:r>
        <w:rPr>
          <w:rFonts w:hint="eastAsia" w:ascii="宋体" w:hAnsi="宋体" w:eastAsia="宋体" w:cs="宋体"/>
          <w:b/>
          <w:color w:val="auto"/>
          <w:sz w:val="36"/>
          <w:szCs w:val="36"/>
        </w:rPr>
        <w:t xml:space="preserve">年   月     日</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084"/>
        <w:spacing w:line="440" w:lineRule="exact"/>
        <w:rPr>
          <w:rFonts w:hint="eastAsia" w:ascii="宋体" w:hAnsi="宋体" w:eastAsia="宋体" w:cs="宋体"/>
          <w:b/>
          <w:bCs/>
          <w:color w:val="auto"/>
          <w:sz w:val="32"/>
          <w:szCs w:val="32"/>
        </w:rPr>
      </w:pPr>
      <w:r>
        <w:rPr>
          <w:rFonts w:hint="eastAsia" w:ascii="宋体" w:hAnsi="宋体" w:eastAsia="宋体" w:cs="宋体"/>
          <w:b/>
          <w:color w:val="auto"/>
          <w:sz w:val="36"/>
          <w:szCs w:val="21"/>
          <w:u w:val="single"/>
        </w:rPr>
        <w:br w:type="page" w:clear="all"/>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投标文件目录</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一、基本目录</w:t>
      </w:r>
      <w:r/>
    </w:p>
    <w:p>
      <w:pPr>
        <w:ind w:firstLine="42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1、开标一览表（格式见附件1）</w:t>
      </w:r>
      <w:r/>
    </w:p>
    <w:p>
      <w:pPr>
        <w:ind w:firstLine="42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2、报价明细表（格式见附件2）</w:t>
      </w:r>
      <w:r/>
    </w:p>
    <w:p>
      <w:pP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二、资格审查内容</w:t>
      </w:r>
      <w:r/>
    </w:p>
    <w:p>
      <w:pPr>
        <w:ind w:firstLine="42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w:t>
      </w:r>
      <w:r>
        <w:rPr>
          <w:rFonts w:hint="eastAsia" w:ascii="宋体" w:hAnsi="宋体" w:eastAsia="宋体" w:cs="宋体"/>
          <w:color w:val="auto"/>
          <w:sz w:val="24"/>
          <w:szCs w:val="24"/>
        </w:rPr>
        <w:t xml:space="preserve">满足《中华人民共和国政府采购法》第二十二条规定，并提供下列材料：</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1.1 法人或者其他组织的营业执照</w:t>
      </w:r>
      <w:r>
        <w:rPr>
          <w:rFonts w:hint="eastAsia" w:ascii="宋体" w:hAnsi="宋体" w:cs="宋体"/>
          <w:color w:val="auto"/>
          <w:sz w:val="24"/>
          <w:szCs w:val="22"/>
          <w:lang w:eastAsia="zh-CN"/>
        </w:rPr>
        <w:t xml:space="preserve">（</w:t>
      </w:r>
      <w:r>
        <w:rPr>
          <w:rFonts w:hint="eastAsia" w:ascii="宋体" w:hAnsi="宋体" w:eastAsia="宋体" w:cs="宋体"/>
          <w:color w:val="auto"/>
          <w:sz w:val="22"/>
          <w:lang w:eastAsia="zh-CN"/>
        </w:rPr>
        <w:t xml:space="preserve">经营范围包含农业机械、智能装备或信息技术服务提供</w:t>
      </w:r>
      <w:r>
        <w:rPr>
          <w:rFonts w:hint="eastAsia" w:ascii="宋体" w:hAnsi="宋体" w:eastAsia="宋体" w:cs="宋体"/>
          <w:color w:val="auto"/>
          <w:sz w:val="22"/>
        </w:rPr>
        <w:t xml:space="preserve">原件扫描件</w:t>
      </w:r>
      <w:r>
        <w:rPr>
          <w:rFonts w:hint="eastAsia" w:ascii="宋体" w:hAnsi="宋体" w:cs="宋体"/>
          <w:color w:val="auto"/>
          <w:sz w:val="24"/>
          <w:szCs w:val="22"/>
          <w:lang w:eastAsia="zh-CN"/>
        </w:rPr>
        <w:t xml:space="preserve">）</w:t>
      </w:r>
      <w:r>
        <w:rPr>
          <w:rFonts w:hint="eastAsia" w:ascii="宋体" w:hAnsi="宋体" w:eastAsia="宋体" w:cs="宋体"/>
          <w:color w:val="auto"/>
          <w:sz w:val="24"/>
          <w:szCs w:val="22"/>
        </w:rPr>
        <w:t xml:space="preserve">（扫描件）；</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1.2 具备履行合同所必需的设备和专业技术能力的书面声明（格式见附件5）</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1.3 参加政府采购活动前 3 年内在经营活动中没有重大违法记录的书面声明（格式见附件6）</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2、法人授权书（格式见附件7）</w:t>
      </w:r>
      <w:r/>
    </w:p>
    <w:p>
      <w:pPr>
        <w:ind w:firstLine="480"/>
        <w:spacing w:line="440" w:lineRule="exact"/>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 xml:space="preserve">3、资格审查承诺书（格式见附件8）</w:t>
      </w:r>
      <w:r/>
    </w:p>
    <w:p>
      <w:pPr>
        <w:ind w:firstLine="480"/>
        <w:spacing w:line="440" w:lineRule="exact"/>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 xml:space="preserve">4、供应商出具的《中小企业声明函》或《残疾人福利性单位声明函》或属于监狱企业的证明文件原件扫描件（格式见附件10、11）</w:t>
      </w:r>
      <w:r/>
    </w:p>
    <w:p>
      <w:pPr>
        <w:ind w:firstLine="480"/>
        <w:spacing w:line="440" w:lineRule="exact"/>
        <w:rPr>
          <w:rFonts w:hint="default" w:ascii="宋体" w:hAnsi="宋体" w:cs="宋体"/>
          <w:color w:val="auto"/>
          <w:sz w:val="24"/>
          <w:szCs w:val="22"/>
          <w:lang w:val="en-US" w:eastAsia="zh-CN"/>
        </w:rPr>
      </w:pPr>
      <w:r>
        <w:rPr>
          <w:rFonts w:hint="eastAsia" w:ascii="宋体" w:hAnsi="宋体" w:cs="宋体"/>
          <w:color w:val="auto"/>
          <w:sz w:val="24"/>
          <w:szCs w:val="22"/>
          <w:lang w:val="en-US" w:eastAsia="zh-CN"/>
        </w:rPr>
        <w:t xml:space="preserve">5、其他（如有，请自拟格式）</w:t>
      </w:r>
      <w:r/>
    </w:p>
    <w:p>
      <w:pP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三、符合性审查内容</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1、投标函（格式见附件</w:t>
      </w:r>
      <w:r>
        <w:rPr>
          <w:rFonts w:hint="eastAsia" w:ascii="宋体" w:hAnsi="宋体" w:cs="宋体"/>
          <w:color w:val="auto"/>
          <w:sz w:val="24"/>
          <w:szCs w:val="22"/>
          <w:lang w:val="en-US" w:eastAsia="zh-CN"/>
        </w:rPr>
        <w:t xml:space="preserve">9</w:t>
      </w:r>
      <w:r>
        <w:rPr>
          <w:rFonts w:hint="eastAsia" w:ascii="宋体" w:hAnsi="宋体" w:eastAsia="宋体" w:cs="宋体"/>
          <w:color w:val="auto"/>
          <w:sz w:val="24"/>
          <w:szCs w:val="22"/>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2、实质性要求响应及偏离表（格式见附件1</w:t>
      </w:r>
      <w:r>
        <w:rPr>
          <w:rFonts w:hint="eastAsia" w:ascii="宋体" w:hAnsi="宋体" w:cs="宋体"/>
          <w:color w:val="auto"/>
          <w:sz w:val="24"/>
          <w:szCs w:val="22"/>
          <w:lang w:val="en-US" w:eastAsia="zh-CN"/>
        </w:rPr>
        <w:t xml:space="preserve">2</w:t>
      </w:r>
      <w:r>
        <w:rPr>
          <w:rFonts w:hint="eastAsia" w:ascii="宋体" w:hAnsi="宋体" w:eastAsia="宋体" w:cs="宋体"/>
          <w:color w:val="auto"/>
          <w:sz w:val="24"/>
          <w:szCs w:val="22"/>
        </w:rPr>
        <w:t xml:space="preserve">）</w:t>
      </w:r>
      <w:r/>
    </w:p>
    <w:p>
      <w:pP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四、综合评审文件</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1、技术要求响应及偏离表（格式见附件3）</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2、商务要求响应及偏离表（格式见附件4）</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3、详细配置表（格式见附件1</w:t>
      </w:r>
      <w:r>
        <w:rPr>
          <w:rFonts w:hint="eastAsia" w:ascii="宋体" w:hAnsi="宋体" w:cs="宋体"/>
          <w:color w:val="auto"/>
          <w:sz w:val="24"/>
          <w:szCs w:val="22"/>
          <w:lang w:val="en-US" w:eastAsia="zh-CN"/>
        </w:rPr>
        <w:t xml:space="preserve">3</w:t>
      </w:r>
      <w:r>
        <w:rPr>
          <w:rFonts w:hint="eastAsia" w:ascii="宋体" w:hAnsi="宋体" w:eastAsia="宋体" w:cs="宋体"/>
          <w:color w:val="auto"/>
          <w:sz w:val="24"/>
          <w:szCs w:val="22"/>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4、投标设备综合性能说明（格式见附件1</w:t>
      </w:r>
      <w:r>
        <w:rPr>
          <w:rFonts w:hint="eastAsia" w:ascii="宋体" w:hAnsi="宋体" w:cs="宋体"/>
          <w:color w:val="auto"/>
          <w:sz w:val="24"/>
          <w:szCs w:val="22"/>
          <w:lang w:val="en-US" w:eastAsia="zh-CN"/>
        </w:rPr>
        <w:t xml:space="preserve">4</w:t>
      </w:r>
      <w:r>
        <w:rPr>
          <w:rFonts w:hint="eastAsia" w:ascii="宋体" w:hAnsi="宋体" w:eastAsia="宋体" w:cs="宋体"/>
          <w:color w:val="auto"/>
          <w:sz w:val="24"/>
          <w:szCs w:val="22"/>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5、项目实施方案和售后服务承诺（格式见附件1</w:t>
      </w:r>
      <w:r>
        <w:rPr>
          <w:rFonts w:hint="eastAsia" w:ascii="宋体" w:hAnsi="宋体" w:cs="宋体"/>
          <w:color w:val="auto"/>
          <w:sz w:val="24"/>
          <w:szCs w:val="22"/>
          <w:lang w:val="en-US" w:eastAsia="zh-CN"/>
        </w:rPr>
        <w:t xml:space="preserve">5</w:t>
      </w:r>
      <w:r>
        <w:rPr>
          <w:rFonts w:hint="eastAsia" w:ascii="宋体" w:hAnsi="宋体" w:eastAsia="宋体" w:cs="宋体"/>
          <w:color w:val="auto"/>
          <w:sz w:val="24"/>
          <w:szCs w:val="22"/>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7、业绩一览表（格式见附件1</w:t>
      </w:r>
      <w:r>
        <w:rPr>
          <w:rFonts w:hint="eastAsia" w:ascii="宋体" w:hAnsi="宋体" w:cs="宋体"/>
          <w:color w:val="auto"/>
          <w:sz w:val="24"/>
          <w:szCs w:val="22"/>
          <w:lang w:val="en-US" w:eastAsia="zh-CN"/>
        </w:rPr>
        <w:t xml:space="preserve">6</w:t>
      </w:r>
      <w:r>
        <w:rPr>
          <w:rFonts w:hint="eastAsia" w:ascii="宋体" w:hAnsi="宋体" w:eastAsia="宋体" w:cs="宋体"/>
          <w:color w:val="auto"/>
          <w:sz w:val="24"/>
          <w:szCs w:val="22"/>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备注：针对“二、资格审查内容”和“三、符合性审查内容”，投标人必须在投标文件中提供相关材料，若有缺失或无效的，将导致其投标无效。</w:t>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br w:type="page" w:clear="all"/>
      </w:r>
      <w:bookmarkStart w:id="289" w:name="_Toc160113049"/>
      <w:r>
        <w:rPr>
          <w:rFonts w:hint="eastAsia" w:ascii="宋体" w:hAnsi="宋体" w:eastAsia="宋体" w:cs="宋体"/>
          <w:b/>
          <w:color w:val="auto"/>
          <w:sz w:val="24"/>
          <w:szCs w:val="24"/>
        </w:rPr>
        <w:t xml:space="preserve">附件1 开标一览表</w:t>
      </w:r>
      <w:bookmarkEnd w:id="289"/>
      <w:r/>
      <w:r/>
    </w:p>
    <w:p>
      <w:pP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投标人全称（加盖CA电子签章）：</w:t>
      </w:r>
      <w:r/>
    </w:p>
    <w:p>
      <w:pPr>
        <w:ind w:firstLine="482"/>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2"/>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tbl>
      <w:tblPr>
        <w:tblStyle w:val="8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投标总报价</w:t>
            </w:r>
            <w:r/>
          </w:p>
        </w:tc>
      </w:tr>
      <w:tr>
        <w:trPr>
          <w:cantSplit/>
          <w:trHeight w:val="612"/>
        </w:trPr>
        <w:tc>
          <w:tcPr>
            <w:gridSpan w:val="2"/>
            <w:tcW w:w="8886" w:type="dxa"/>
            <w:vAlign w:val="center"/>
            <w:textDirection w:val="lrTb"/>
            <w:noWrap w:val="false"/>
          </w:tcPr>
          <w:p>
            <w:pPr>
              <w:spacing w:line="440" w:lineRule="exact"/>
              <w:rPr>
                <w:rFonts w:hint="eastAsia" w:ascii="宋体" w:hAnsi="宋体" w:eastAsia="宋体" w:cs="宋体"/>
                <w:color w:val="auto"/>
                <w:sz w:val="24"/>
                <w:szCs w:val="22"/>
              </w:rPr>
            </w:pPr>
            <w:r>
              <w:rPr>
                <w:rFonts w:hint="eastAsia" w:ascii="宋体" w:hAnsi="宋体" w:cs="宋体"/>
                <w:color w:val="auto"/>
                <w:sz w:val="24"/>
                <w:szCs w:val="24"/>
                <w:lang w:eastAsia="zh-CN"/>
              </w:rPr>
              <w:t xml:space="preserve">大</w:t>
            </w:r>
            <w:r>
              <w:rPr>
                <w:rFonts w:hint="eastAsia" w:ascii="宋体" w:hAnsi="宋体" w:eastAsia="宋体" w:cs="宋体"/>
                <w:color w:val="auto"/>
                <w:sz w:val="24"/>
                <w:szCs w:val="24"/>
              </w:rPr>
              <w:t xml:space="preserve">写：</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cs="宋体"/>
                <w:color w:val="auto"/>
                <w:sz w:val="24"/>
                <w:szCs w:val="24"/>
                <w:lang w:eastAsia="zh-CN"/>
              </w:rPr>
              <w:t xml:space="preserve">小写：￥</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元）</w:t>
            </w:r>
            <w:r/>
          </w:p>
        </w:tc>
      </w:tr>
      <w:tr>
        <w:trPr>
          <w:cantSplit/>
          <w:trHeight w:val="612"/>
        </w:trPr>
        <w:tc>
          <w:tcPr>
            <w:tcW w:w="2481"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核心产品品牌</w:t>
            </w:r>
            <w:r/>
          </w:p>
        </w:tc>
        <w:tc>
          <w:tcPr>
            <w:tcW w:w="6405" w:type="dxa"/>
            <w:vAlign w:val="center"/>
            <w:textDirection w:val="lrTb"/>
            <w:noWrap w:val="false"/>
          </w:tcPr>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bookmarkEnd w:id="286"/>
            <w:r/>
            <w:bookmarkEnd w:id="287"/>
            <w:r/>
            <w:bookmarkEnd w:id="288"/>
            <w:r/>
            <w:r/>
          </w:p>
        </w:tc>
      </w:tr>
    </w:tbl>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br w:type="page" w:clear="all"/>
      </w:r>
      <w:bookmarkStart w:id="290" w:name="_Toc160113050"/>
      <w:r>
        <w:rPr>
          <w:rFonts w:hint="eastAsia" w:ascii="宋体" w:hAnsi="宋体" w:eastAsia="宋体" w:cs="宋体"/>
          <w:b/>
          <w:color w:val="auto"/>
          <w:sz w:val="24"/>
          <w:szCs w:val="24"/>
        </w:rPr>
        <w:t xml:space="preserve">附件2 报价明细表</w:t>
      </w:r>
      <w:bookmarkEnd w:id="290"/>
      <w:r/>
      <w:r/>
    </w:p>
    <w:tbl>
      <w:tblPr>
        <w:tblStyle w:val="821"/>
        <w:tblW w:w="9327"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2"/>
        <w:gridCol w:w="1306"/>
        <w:gridCol w:w="729"/>
        <w:gridCol w:w="800"/>
        <w:gridCol w:w="483"/>
        <w:gridCol w:w="459"/>
        <w:gridCol w:w="953"/>
        <w:gridCol w:w="764"/>
        <w:gridCol w:w="506"/>
        <w:gridCol w:w="553"/>
        <w:gridCol w:w="941"/>
        <w:gridCol w:w="1271"/>
      </w:tblGrid>
      <w:tr>
        <w:trPr>
          <w:cantSplit/>
          <w:trHeight w:val="52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编号</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农机名称</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品牌</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规格型号</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单位</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数量</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单价（元）</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智能装备</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default" w:ascii="宋体" w:hAnsi="宋体" w:cs="宋体"/>
                <w:color w:val="auto"/>
                <w:sz w:val="24"/>
                <w:szCs w:val="22"/>
                <w:lang w:val="en-US" w:eastAsia="zh-CN"/>
              </w:rPr>
            </w:pPr>
            <w:r>
              <w:rPr>
                <w:rFonts w:hint="eastAsia" w:ascii="宋体" w:hAnsi="宋体" w:cs="宋体"/>
                <w:color w:val="auto"/>
                <w:sz w:val="24"/>
                <w:szCs w:val="22"/>
                <w:lang w:val="en-US" w:eastAsia="zh-CN"/>
              </w:rPr>
              <w:t xml:space="preserve">单位 </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default" w:ascii="宋体" w:hAnsi="宋体" w:cs="宋体"/>
                <w:color w:val="auto"/>
                <w:sz w:val="24"/>
                <w:szCs w:val="22"/>
                <w:lang w:val="en-US" w:eastAsia="zh-CN"/>
              </w:rPr>
            </w:pPr>
            <w:r>
              <w:rPr>
                <w:rFonts w:hint="eastAsia" w:ascii="宋体" w:hAnsi="宋体" w:cs="宋体"/>
                <w:color w:val="auto"/>
                <w:sz w:val="24"/>
                <w:szCs w:val="22"/>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价格（元）</w:t>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分类总价（元）</w:t>
            </w:r>
            <w:r/>
          </w:p>
        </w:tc>
      </w:tr>
      <w:tr>
        <w:trPr>
          <w:cantSplit/>
          <w:trHeight w:val="52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t xml:space="preserve">1</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智能</w:t>
            </w:r>
            <w:r>
              <w:rPr>
                <w:rFonts w:hint="eastAsia" w:ascii="宋体" w:hAnsi="宋体" w:eastAsia="宋体" w:cs="宋体"/>
                <w:color w:val="auto"/>
                <w:sz w:val="24"/>
                <w:szCs w:val="22"/>
              </w:rPr>
              <w:t xml:space="preserve">轮式拖拉机</w:t>
            </w:r>
            <w:r>
              <w:rPr>
                <w:rFonts w:hint="eastAsia" w:ascii="宋体" w:hAnsi="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辅助驾驶系统</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rPr>
              <w:t xml:space="preserve">2</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智能</w:t>
            </w:r>
            <w:r>
              <w:rPr>
                <w:rFonts w:hint="eastAsia" w:ascii="宋体" w:hAnsi="宋体" w:eastAsia="宋体" w:cs="宋体"/>
                <w:color w:val="auto"/>
                <w:sz w:val="24"/>
                <w:szCs w:val="22"/>
              </w:rPr>
              <w:t xml:space="preserve">轮式拖拉机</w:t>
            </w:r>
            <w:r>
              <w:rPr>
                <w:rFonts w:hint="eastAsia" w:ascii="宋体" w:hAnsi="宋体" w:cs="宋体"/>
                <w:color w:val="auto"/>
                <w:sz w:val="24"/>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自动驾驶系统</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rPr>
              <w:t xml:space="preserve">3</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无人驾驶全喂入</w:t>
            </w:r>
            <w:r>
              <w:rPr>
                <w:rFonts w:hint="eastAsia" w:ascii="宋体" w:hAnsi="宋体" w:eastAsia="宋体" w:cs="宋体"/>
                <w:color w:val="auto"/>
                <w:sz w:val="24"/>
                <w:szCs w:val="22"/>
              </w:rPr>
              <w:t xml:space="preserve">联合收割机</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自动驾驶系统</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智能高速</w:t>
            </w:r>
            <w:r>
              <w:rPr>
                <w:rFonts w:hint="eastAsia" w:ascii="宋体" w:hAnsi="宋体" w:eastAsia="宋体" w:cs="宋体"/>
                <w:color w:val="auto"/>
                <w:sz w:val="24"/>
                <w:szCs w:val="22"/>
              </w:rPr>
              <w:t xml:space="preserve">插秧机</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自动驾驶系统</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水田埋茬起浆机</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作业监测装置</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旋耕施肥播种机</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作业监测装置</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高地隙植保机智能化改装</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lang w:eastAsia="zh-CN"/>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lang w:eastAsia="zh-CN"/>
              </w:rPr>
              <w:t xml:space="preserve">台</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辅助驾驶系统</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default" w:ascii="宋体" w:hAnsi="宋体" w:eastAsia="宋体" w:cs="宋体"/>
                <w:color w:val="auto"/>
                <w:sz w:val="24"/>
                <w:szCs w:val="22"/>
                <w:lang w:val="en-US" w:eastAsia="zh-CN"/>
              </w:rPr>
            </w:pPr>
            <w:r>
              <w:rPr>
                <w:rFonts w:hint="eastAsia" w:ascii="宋体" w:hAnsi="宋体" w:cs="宋体"/>
                <w:color w:val="auto"/>
                <w:sz w:val="24"/>
                <w:szCs w:val="22"/>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可视化监控与管理平台</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lang w:val="en-US" w:eastAsia="zh-CN"/>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cs="宋体"/>
                <w:color w:val="auto"/>
                <w:sz w:val="24"/>
                <w:szCs w:val="22"/>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t xml:space="preserve">……</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t xml:space="preserve">其它费用</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rPr>
                <w:rFonts w:hint="eastAsia" w:ascii="宋体" w:hAnsi="宋体" w:eastAsia="宋体" w:cs="宋体"/>
                <w:color w:val="auto"/>
                <w:sz w:val="24"/>
                <w:szCs w:val="22"/>
              </w:rPr>
            </w:pPr>
            <w:r>
              <w:rPr>
                <w:rFonts w:hint="eastAsia" w:ascii="宋体" w:hAnsi="宋体" w:eastAsia="宋体" w:cs="宋体"/>
                <w:color w:val="auto"/>
                <w:sz w:val="24"/>
                <w:szCs w:val="22"/>
              </w:rPr>
            </w:r>
            <w:r/>
          </w:p>
        </w:tc>
      </w:tr>
      <w:tr>
        <w:trPr>
          <w:cantSplit/>
          <w:trHeight w:val="520"/>
        </w:trPr>
        <w:tc>
          <w:tcPr>
            <w:gridSpan w:val="3"/>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jc w:val="center"/>
              <w:widowControl/>
              <w:rPr>
                <w:rFonts w:hint="eastAsia" w:ascii="宋体" w:hAnsi="宋体" w:eastAsia="宋体" w:cs="宋体"/>
                <w:color w:val="auto"/>
                <w:sz w:val="24"/>
                <w:szCs w:val="22"/>
              </w:rPr>
            </w:pPr>
            <w:r>
              <w:rPr>
                <w:rFonts w:hint="eastAsia" w:ascii="宋体" w:hAnsi="宋体" w:eastAsia="宋体" w:cs="宋体"/>
                <w:color w:val="auto"/>
                <w:sz w:val="24"/>
                <w:szCs w:val="22"/>
              </w:rPr>
              <w:t xml:space="preserve">合计总价</w:t>
            </w:r>
            <w:r/>
          </w:p>
        </w:tc>
        <w:tc>
          <w:tcPr>
            <w:gridSpan w:val="9"/>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rPr>
                <w:rFonts w:hint="eastAsia" w:ascii="宋体" w:hAnsi="宋体" w:eastAsia="宋体" w:cs="宋体"/>
                <w:color w:val="auto"/>
                <w:sz w:val="24"/>
                <w:szCs w:val="22"/>
              </w:rPr>
            </w:pPr>
            <w:r>
              <w:rPr>
                <w:rFonts w:hint="eastAsia" w:ascii="宋体" w:hAnsi="宋体" w:eastAsia="宋体" w:cs="宋体"/>
                <w:color w:val="auto"/>
                <w:sz w:val="24"/>
                <w:szCs w:val="22"/>
              </w:rPr>
            </w:r>
            <w:r/>
          </w:p>
        </w:tc>
      </w:tr>
    </w:tbl>
    <w:p>
      <w:pPr>
        <w:spacing w:line="44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注：1、投标人应根据本项目货物的分项价格情况填写上述表格。</w:t>
      </w:r>
      <w:r/>
    </w:p>
    <w:p>
      <w:pPr>
        <w:ind w:firstLine="480"/>
        <w:spacing w:line="44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2、所有价格用人民币表示。</w:t>
      </w:r>
      <w:r/>
    </w:p>
    <w:p>
      <w:pPr>
        <w:ind w:firstLine="480"/>
        <w:spacing w:line="44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3、表中“合计总价”应与“开标一览表”表中“投标总价”相一致。</w:t>
      </w:r>
      <w:r/>
    </w:p>
    <w:p>
      <w:pPr>
        <w:ind w:firstLine="480"/>
        <w:spacing w:line="44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4、合计总价</w:t>
      </w:r>
      <w:r>
        <w:rPr>
          <w:rFonts w:hint="eastAsia" w:ascii="宋体" w:hAnsi="宋体" w:eastAsia="宋体" w:cs="宋体"/>
          <w:bCs/>
          <w:color w:val="auto"/>
          <w:sz w:val="24"/>
          <w:szCs w:val="24"/>
        </w:rPr>
        <w:t xml:space="preserve">请保留小数点后两位</w:t>
      </w:r>
      <w:r>
        <w:rPr>
          <w:rFonts w:hint="eastAsia" w:ascii="宋体" w:hAnsi="宋体" w:eastAsia="宋体" w:cs="宋体"/>
          <w:bCs/>
          <w:color w:val="auto"/>
          <w:sz w:val="24"/>
          <w:szCs w:val="22"/>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br w:type="page" w:clear="all"/>
      </w:r>
      <w:bookmarkStart w:id="291" w:name="_Toc160113051"/>
      <w:r>
        <w:rPr>
          <w:rFonts w:hint="eastAsia" w:ascii="宋体" w:hAnsi="宋体" w:eastAsia="宋体" w:cs="宋体"/>
          <w:b/>
          <w:color w:val="auto"/>
          <w:sz w:val="24"/>
          <w:szCs w:val="24"/>
        </w:rPr>
        <w:t xml:space="preserve">附件3 技术要求响应及偏离表</w:t>
      </w:r>
      <w:bookmarkEnd w:id="291"/>
      <w:r/>
      <w:r/>
    </w:p>
    <w:tbl>
      <w:tblPr>
        <w:tblStyle w:val="82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2"/>
        <w:gridCol w:w="2551"/>
        <w:gridCol w:w="1343"/>
        <w:gridCol w:w="2268"/>
      </w:tblGrid>
      <w:tr>
        <w:trPr>
          <w:jc w:val="center"/>
          <w:trHeight w:val="568"/>
        </w:trPr>
        <w:tc>
          <w:tcPr>
            <w:tcW w:w="709" w:type="dxa"/>
            <w:vAlign w:val="center"/>
            <w:textDirection w:val="lrTb"/>
            <w:noWrap w:val="false"/>
          </w:tcPr>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2972" w:type="dxa"/>
            <w:vAlign w:val="center"/>
            <w:textDirection w:val="lrTb"/>
            <w:noWrap w:val="false"/>
          </w:tcPr>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招标货物</w:t>
            </w:r>
            <w:r/>
          </w:p>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配置及技术性能参数要求</w:t>
            </w:r>
            <w:r/>
          </w:p>
        </w:tc>
        <w:tc>
          <w:tcPr>
            <w:tcW w:w="2551" w:type="dxa"/>
            <w:vAlign w:val="center"/>
            <w:textDirection w:val="lrTb"/>
            <w:noWrap w:val="false"/>
          </w:tcPr>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投标货物</w:t>
            </w:r>
            <w:r/>
          </w:p>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配置及技术性能参数</w:t>
            </w:r>
            <w:r/>
          </w:p>
        </w:tc>
        <w:tc>
          <w:tcPr>
            <w:tcW w:w="1343" w:type="dxa"/>
            <w:vAlign w:val="center"/>
            <w:textDirection w:val="lrTb"/>
            <w:noWrap w:val="false"/>
          </w:tcPr>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有无偏离</w:t>
            </w:r>
            <w:r/>
          </w:p>
        </w:tc>
        <w:tc>
          <w:tcPr>
            <w:tcW w:w="2268" w:type="dxa"/>
            <w:vAlign w:val="center"/>
            <w:textDirection w:val="lrTb"/>
            <w:noWrap w:val="false"/>
          </w:tcPr>
          <w:p>
            <w:pPr>
              <w:jc w:val="cente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偏离内容及原因</w:t>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972"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51"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551"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Cs w:val="22"/>
              </w:rPr>
              <w:t xml:space="preserve">……</w:t>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r>
        <w:trPr>
          <w:jc w:val="center"/>
          <w:trHeight w:val="441"/>
        </w:trPr>
        <w:tc>
          <w:tcPr>
            <w:tcW w:w="70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72"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551"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1343"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c>
          <w:tcPr>
            <w:tcW w:w="2268" w:type="dxa"/>
            <w:vAlign w:val="center"/>
            <w:textDirection w:val="lrTb"/>
            <w:noWrap w:val="false"/>
          </w:tcPr>
          <w:p>
            <w:pPr>
              <w:jc w:val="center"/>
              <w:spacing w:line="440" w:lineRule="exact"/>
              <w:rPr>
                <w:rFonts w:hint="eastAsia" w:ascii="宋体" w:hAnsi="宋体" w:eastAsia="宋体" w:cs="宋体"/>
                <w:color w:val="auto"/>
                <w:szCs w:val="22"/>
              </w:rPr>
            </w:pPr>
            <w:r>
              <w:rPr>
                <w:rFonts w:hint="eastAsia" w:ascii="宋体" w:hAnsi="宋体" w:eastAsia="宋体" w:cs="宋体"/>
                <w:color w:val="auto"/>
                <w:szCs w:val="22"/>
              </w:rPr>
            </w:r>
            <w:r/>
          </w:p>
        </w:tc>
      </w:tr>
    </w:tbl>
    <w:p>
      <w:pPr>
        <w:spacing w:line="500" w:lineRule="exact"/>
        <w:rPr>
          <w:rFonts w:hint="eastAsia" w:ascii="宋体" w:hAnsi="宋体" w:eastAsia="宋体" w:cs="宋体"/>
          <w:color w:val="auto"/>
          <w:sz w:val="24"/>
          <w:szCs w:val="22"/>
        </w:rPr>
      </w:pPr>
      <w:r>
        <w:rPr>
          <w:rFonts w:hint="eastAsia" w:ascii="宋体" w:hAnsi="宋体" w:eastAsia="宋体" w:cs="宋体"/>
          <w:color w:val="auto"/>
          <w:sz w:val="24"/>
          <w:szCs w:val="24"/>
        </w:rPr>
        <w:t xml:space="preserve">注：1、投标人</w:t>
      </w:r>
      <w:r>
        <w:rPr>
          <w:rFonts w:hint="eastAsia" w:ascii="宋体" w:hAnsi="宋体" w:eastAsia="宋体" w:cs="宋体"/>
          <w:color w:val="auto"/>
          <w:sz w:val="24"/>
          <w:szCs w:val="22"/>
        </w:rPr>
        <w:t xml:space="preserve">应根据本项目“第四章 项目需求”中的</w:t>
      </w:r>
      <w:r>
        <w:rPr>
          <w:rFonts w:hint="eastAsia" w:ascii="宋体" w:hAnsi="宋体" w:eastAsia="宋体" w:cs="宋体"/>
          <w:b/>
          <w:color w:val="auto"/>
          <w:sz w:val="24"/>
          <w:szCs w:val="22"/>
        </w:rPr>
        <w:t xml:space="preserve">“三、技术性能参数要求”</w:t>
      </w:r>
      <w:r>
        <w:rPr>
          <w:rFonts w:hint="eastAsia" w:ascii="宋体" w:hAnsi="宋体" w:eastAsia="宋体" w:cs="宋体"/>
          <w:color w:val="auto"/>
          <w:sz w:val="24"/>
          <w:szCs w:val="22"/>
        </w:rPr>
        <w:t xml:space="preserve">对照所投报货物的技术性能参数进行逐项评议。</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2"/>
        </w:rPr>
        <w:t xml:space="preserve">2、若无偏离，在“有无偏离”栏中填写“无” ；若有偏离在“有无偏离”栏中填写“有” 并在“偏离内容及原因”栏中作出说明</w:t>
      </w:r>
      <w:r>
        <w:rPr>
          <w:rFonts w:hint="eastAsia" w:ascii="宋体" w:hAnsi="宋体" w:eastAsia="宋体" w:cs="宋体"/>
          <w:color w:val="auto"/>
          <w:sz w:val="24"/>
          <w:szCs w:val="24"/>
        </w:rPr>
        <w:t xml:space="preserve">。</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3、表格不够可另接。</w:t>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br w:type="page" w:clear="all"/>
      </w:r>
      <w:bookmarkStart w:id="292" w:name="_Toc160113052"/>
      <w:r>
        <w:rPr>
          <w:rFonts w:hint="eastAsia" w:ascii="宋体" w:hAnsi="宋体" w:eastAsia="宋体" w:cs="宋体"/>
          <w:b/>
          <w:color w:val="auto"/>
          <w:sz w:val="24"/>
          <w:szCs w:val="24"/>
        </w:rPr>
        <w:t xml:space="preserve">附件4 商务要求响应及偏离表</w:t>
      </w:r>
      <w:bookmarkEnd w:id="292"/>
      <w:r/>
      <w:r/>
    </w:p>
    <w:tbl>
      <w:tblPr>
        <w:tblStyle w:val="821"/>
        <w:tblW w:w="936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8"/>
        <w:gridCol w:w="1428"/>
        <w:gridCol w:w="3861"/>
      </w:tblGrid>
      <w:tr>
        <w:trPr>
          <w:trHeight w:val="454" w:hRule="exact"/>
        </w:trPr>
        <w:tc>
          <w:tcPr>
            <w:tcW w:w="4078" w:type="dxa"/>
            <w:vAlign w:val="center"/>
            <w:textDirection w:val="lrTb"/>
            <w:noWrap w:val="false"/>
          </w:tcPr>
          <w:p>
            <w:pPr>
              <w:jc w:val="cente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合同条款号</w:t>
            </w:r>
            <w:r/>
          </w:p>
        </w:tc>
        <w:tc>
          <w:tcPr>
            <w:tcW w:w="1428" w:type="dxa"/>
            <w:vAlign w:val="center"/>
            <w:textDirection w:val="lrTb"/>
            <w:noWrap w:val="false"/>
          </w:tcPr>
          <w:p>
            <w:pPr>
              <w:jc w:val="cente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W w:w="3861" w:type="dxa"/>
            <w:vAlign w:val="center"/>
            <w:textDirection w:val="lrTb"/>
            <w:noWrap w:val="false"/>
          </w:tcPr>
          <w:p>
            <w:pPr>
              <w:jc w:val="cente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第一条 定义</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第二条 组成本合同的文件</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合同货物</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b/>
                <w:color w:val="auto"/>
                <w:sz w:val="28"/>
                <w:szCs w:val="28"/>
              </w:rPr>
              <w:t xml:space="preserve">★</w:t>
            </w:r>
            <w:r>
              <w:rPr>
                <w:rFonts w:hint="eastAsia" w:ascii="宋体" w:hAnsi="宋体" w:eastAsia="宋体" w:cs="宋体"/>
                <w:color w:val="auto"/>
                <w:sz w:val="24"/>
                <w:szCs w:val="24"/>
              </w:rPr>
              <w:t xml:space="preserve">第五条 款项支付</w:t>
            </w:r>
            <w:r/>
          </w:p>
        </w:tc>
        <w:tc>
          <w:tcPr>
            <w:tcW w:w="1428" w:type="dxa"/>
            <w:vAlign w:val="center"/>
            <w:textDirection w:val="lrTb"/>
            <w:noWrap w:val="false"/>
          </w:tcPr>
          <w:p>
            <w:pPr>
              <w:jc w:val="cente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w:t>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第六条 权利保证</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第七条 质量保证</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第八条 包装要求</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第九条 交货</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第十条 到货验收</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第十一条 伴随服务</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第十二条 最终验收</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第十三条 售后服务</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第十四条 违约责任</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第十五条 不可抗力</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第十六条 合同的变更、中止</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第十七条 合同的终止</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第十八条 合同的转让</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第十九条 履约保证金</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第二十条 争议解决方式</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第二十一条 通知与送达</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4" w:hRule="exact"/>
        </w:trPr>
        <w:tc>
          <w:tcPr>
            <w:tcW w:w="4078"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第二十二条 合同生效及其他</w:t>
            </w:r>
            <w:r/>
          </w:p>
        </w:tc>
        <w:tc>
          <w:tcPr>
            <w:tcW w:w="1428"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61" w:type="dxa"/>
            <w:vAlign w:val="center"/>
            <w:textDirection w:val="lrTb"/>
            <w:noWrap w:val="false"/>
          </w:tcPr>
          <w:p>
            <w:pPr>
              <w:spacing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24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2、若无偏离，在“有无偏离”栏中填写“无”；若有偏离在“有无偏离”栏中填写“有”并在“偏离内容及原因”栏中作出说明。</w:t>
      </w:r>
      <w:r/>
    </w:p>
    <w:p>
      <w:pPr>
        <w:ind w:firstLine="480"/>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b/>
          <w:color w:val="auto"/>
          <w:sz w:val="24"/>
          <w:szCs w:val="22"/>
        </w:rPr>
        <w:outlineLvl w:val="2"/>
      </w:pPr>
      <w:r>
        <w:rPr>
          <w:rFonts w:hint="eastAsia" w:ascii="宋体" w:hAnsi="宋体" w:eastAsia="宋体" w:cs="宋体"/>
          <w:b/>
          <w:color w:val="auto"/>
          <w:sz w:val="24"/>
          <w:szCs w:val="24"/>
        </w:rPr>
        <w:br w:type="page" w:clear="all"/>
      </w:r>
      <w:bookmarkStart w:id="293" w:name="_Toc160113053"/>
      <w:r>
        <w:rPr>
          <w:rFonts w:hint="eastAsia" w:ascii="宋体" w:hAnsi="宋体" w:eastAsia="宋体" w:cs="宋体"/>
          <w:b/>
          <w:color w:val="auto"/>
          <w:sz w:val="24"/>
          <w:szCs w:val="24"/>
        </w:rPr>
        <w:t xml:space="preserve">附件5 具备履行合同所必需的设备和专业技术能力的书面声明</w:t>
      </w:r>
      <w:bookmarkEnd w:id="293"/>
      <w:r/>
      <w:r/>
    </w:p>
    <w:p>
      <w:pPr>
        <w:ind w:firstLine="492"/>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主要设备有：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w:t>
      </w:r>
      <w:r/>
    </w:p>
    <w:p>
      <w:pPr>
        <w:ind w:firstLine="492"/>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主要专业技术能力有：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 xml:space="preserve">。</w:t>
      </w:r>
      <w:r/>
    </w:p>
    <w:p>
      <w:pPr>
        <w:ind w:left="480"/>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r>
      <w:r/>
    </w:p>
    <w:p>
      <w:pPr>
        <w:ind w:left="480"/>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r>
      <w:r/>
    </w:p>
    <w:p>
      <w:pPr>
        <w:ind w:firstLine="3840"/>
        <w:jc w:val="left"/>
        <w:spacing w:line="500" w:lineRule="exact"/>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企业名称（电子签章）：</w:t>
      </w:r>
      <w:r/>
    </w:p>
    <w:p>
      <w:pPr>
        <w:ind w:firstLine="4800"/>
        <w:jc w:val="both"/>
        <w:spacing w:line="500" w:lineRule="exact"/>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ind w:firstLine="3840"/>
        <w:jc w:val="both"/>
        <w:spacing w:line="500" w:lineRule="exact"/>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日　　期：</w:t>
      </w:r>
      <w:r/>
    </w:p>
    <w:p>
      <w:pPr>
        <w:jc w:val="center"/>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ind w:left="480"/>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r>
      <w:r/>
    </w:p>
    <w:p>
      <w:pPr>
        <w:jc w:val="center"/>
        <w:spacing w:line="440" w:lineRule="exact"/>
        <w:rPr>
          <w:rFonts w:hint="eastAsia" w:ascii="宋体" w:hAnsi="宋体" w:eastAsia="宋体" w:cs="宋体"/>
          <w:b/>
          <w:color w:val="auto"/>
          <w:sz w:val="24"/>
          <w:szCs w:val="22"/>
        </w:rPr>
        <w:outlineLvl w:val="2"/>
      </w:pPr>
      <w:r>
        <w:rPr>
          <w:rFonts w:hint="eastAsia" w:ascii="宋体" w:hAnsi="宋体" w:eastAsia="宋体" w:cs="宋体"/>
          <w:b/>
          <w:color w:val="auto"/>
          <w:sz w:val="24"/>
          <w:szCs w:val="24"/>
        </w:rPr>
        <w:br w:type="page" w:clear="all"/>
      </w:r>
      <w:bookmarkStart w:id="294" w:name="_Toc160113054"/>
      <w:r>
        <w:rPr>
          <w:rFonts w:hint="eastAsia" w:ascii="宋体" w:hAnsi="宋体" w:eastAsia="宋体" w:cs="宋体"/>
          <w:b/>
          <w:color w:val="auto"/>
          <w:sz w:val="24"/>
          <w:szCs w:val="24"/>
        </w:rPr>
        <w:t xml:space="preserve">附件6 参加政府采购活动前 3 年内在经营活动中没有重大违法记录的书面声明</w:t>
      </w:r>
      <w:bookmarkEnd w:id="294"/>
      <w:r/>
      <w:r/>
    </w:p>
    <w:p>
      <w:pPr>
        <w:jc w:val="center"/>
        <w:spacing w:line="44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r>
      <w:r/>
    </w:p>
    <w:p>
      <w:pPr>
        <w:jc w:val="center"/>
        <w:spacing w:line="360" w:lineRule="auto"/>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声  明</w:t>
      </w:r>
      <w:r/>
    </w:p>
    <w:p>
      <w:pPr>
        <w:ind w:firstLine="48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ind w:left="480"/>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r>
      <w:r/>
    </w:p>
    <w:p>
      <w:pPr>
        <w:ind w:left="480"/>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r>
      <w:r/>
    </w:p>
    <w:p>
      <w:pPr>
        <w:pStyle w:val="1089"/>
        <w:ind w:firstLine="3840"/>
        <w:jc w:val="left"/>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企业名称（电子签章）：</w:t>
      </w:r>
      <w:r/>
    </w:p>
    <w:p>
      <w:pPr>
        <w:ind w:firstLine="4800"/>
        <w:jc w:val="both"/>
        <w:spacing w:line="500" w:lineRule="exact"/>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ind w:firstLine="3840"/>
        <w:jc w:val="both"/>
        <w:spacing w:line="500" w:lineRule="exact"/>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日　　期：</w:t>
      </w:r>
      <w:r/>
    </w:p>
    <w:p>
      <w:pPr>
        <w:jc w:val="center"/>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44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40" w:lineRule="exact"/>
        <w:rPr>
          <w:rFonts w:hint="eastAsia" w:ascii="宋体" w:hAnsi="宋体" w:eastAsia="宋体" w:cs="宋体"/>
          <w:b/>
          <w:color w:val="auto"/>
          <w:sz w:val="24"/>
          <w:szCs w:val="24"/>
        </w:rPr>
        <w:outlineLvl w:val="2"/>
      </w:pPr>
      <w:r/>
      <w:bookmarkStart w:id="295" w:name="_Toc160113055"/>
      <w:r>
        <w:rPr>
          <w:rFonts w:hint="eastAsia" w:ascii="宋体" w:hAnsi="宋体" w:eastAsia="宋体" w:cs="宋体"/>
          <w:b/>
          <w:color w:val="auto"/>
          <w:sz w:val="24"/>
          <w:szCs w:val="24"/>
        </w:rPr>
        <w:t xml:space="preserve">附件7 法人授权书</w:t>
      </w:r>
      <w:bookmarkEnd w:id="295"/>
      <w:r/>
      <w:r/>
    </w:p>
    <w:p>
      <w:pPr>
        <w:numPr>
          <w:ilvl w:val="2"/>
          <w:numId w:val="1"/>
        </w:numPr>
        <w:ind w:firstLine="632"/>
        <w:jc w:val="center"/>
        <w:keepLines/>
        <w:keepNext/>
        <w:spacing w:before="120" w:after="120" w:line="300" w:lineRule="auto"/>
        <w:widowControl w:val="off"/>
        <w:rPr>
          <w:rFonts w:hint="eastAsia" w:ascii="宋体" w:hAnsi="宋体" w:eastAsia="宋体" w:cs="宋体"/>
          <w:b/>
          <w:bCs w:val="0"/>
          <w:color w:val="auto"/>
          <w:sz w:val="28"/>
          <w:szCs w:val="28"/>
          <w:highlight w:val="none"/>
          <w:lang w:val="en-US" w:eastAsia="zh-CN" w:bidi="ar-SA"/>
        </w:rPr>
        <w:outlineLvl w:val="2"/>
      </w:pPr>
      <w:r/>
      <w:bookmarkStart w:id="296" w:name="_Toc302967412"/>
      <w:r/>
      <w:bookmarkStart w:id="297" w:name="_Toc155086574"/>
      <w:r/>
      <w:bookmarkStart w:id="298" w:name="_Toc160113056"/>
      <w:r/>
      <w:bookmarkStart w:id="299" w:name="_Toc17235"/>
      <w:r/>
      <w:bookmarkStart w:id="300" w:name="_Toc155086474"/>
      <w:r>
        <w:rPr>
          <w:rFonts w:hint="eastAsia" w:ascii="宋体" w:hAnsi="宋体" w:eastAsia="宋体" w:cs="宋体"/>
          <w:b/>
          <w:bCs w:val="0"/>
          <w:color w:val="auto"/>
          <w:sz w:val="28"/>
          <w:szCs w:val="28"/>
          <w:highlight w:val="none"/>
          <w:lang w:val="en-US" w:eastAsia="zh-CN" w:bidi="ar-SA"/>
        </w:rPr>
        <w:t xml:space="preserve">法定代表人授权书</w:t>
      </w:r>
      <w:bookmarkEnd w:id="296"/>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both"/>
        <w:spacing w:line="480" w:lineRule="auto"/>
        <w:widowControl w:val="off"/>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 xml:space="preserve">靖江市农业农村局</w:t>
      </w:r>
      <w:r>
        <w:rPr>
          <w:rFonts w:hint="eastAsia" w:ascii="宋体" w:hAnsi="宋体" w:eastAsia="宋体" w:cs="宋体"/>
          <w:bCs/>
          <w:color w:val="auto"/>
          <w:sz w:val="24"/>
          <w:szCs w:val="22"/>
          <w:highlight w:val="none"/>
          <w:lang w:val="en-US" w:eastAsia="zh-CN" w:bidi="ar-SA"/>
        </w:rPr>
        <w:t xml:space="preserve">：</w:t>
      </w:r>
      <w:r/>
    </w:p>
    <w:p>
      <w:pPr>
        <w:ind w:firstLine="480"/>
        <w:jc w:val="both"/>
        <w:spacing w:line="48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本授权委托书声明：我</w:t>
      </w:r>
      <w:r>
        <w:rPr>
          <w:rFonts w:hint="eastAsia" w:ascii="宋体" w:hAnsi="宋体" w:eastAsia="宋体" w:cs="宋体"/>
          <w:color w:val="auto"/>
          <w:sz w:val="24"/>
          <w:szCs w:val="22"/>
          <w:highlight w:val="none"/>
          <w:u w:val="single"/>
          <w:lang w:val="en-US" w:eastAsia="zh-CN" w:bidi="ar-SA"/>
        </w:rPr>
        <w:t xml:space="preserve">           （姓名） </w:t>
      </w:r>
      <w:r>
        <w:rPr>
          <w:rFonts w:hint="eastAsia" w:ascii="宋体" w:hAnsi="宋体" w:eastAsia="宋体" w:cs="宋体"/>
          <w:color w:val="auto"/>
          <w:sz w:val="24"/>
          <w:szCs w:val="22"/>
          <w:highlight w:val="none"/>
          <w:lang w:val="en-US" w:eastAsia="zh-CN" w:bidi="ar-SA"/>
        </w:rPr>
        <w:t xml:space="preserve">系</w:t>
      </w:r>
      <w:r>
        <w:rPr>
          <w:rFonts w:hint="eastAsia" w:ascii="宋体" w:hAnsi="宋体" w:eastAsia="宋体" w:cs="宋体"/>
          <w:color w:val="auto"/>
          <w:sz w:val="24"/>
          <w:szCs w:val="22"/>
          <w:highlight w:val="none"/>
          <w:u w:val="single"/>
          <w:lang w:val="en-US" w:eastAsia="zh-CN" w:bidi="ar-SA"/>
        </w:rPr>
        <w:t xml:space="preserve">              （供应商名称）</w:t>
      </w:r>
      <w:r>
        <w:rPr>
          <w:rFonts w:hint="eastAsia" w:ascii="宋体" w:hAnsi="宋体" w:eastAsia="宋体" w:cs="宋体"/>
          <w:color w:val="auto"/>
          <w:sz w:val="24"/>
          <w:szCs w:val="22"/>
          <w:highlight w:val="none"/>
          <w:lang w:val="en-US" w:eastAsia="zh-CN" w:bidi="ar-SA"/>
        </w:rPr>
        <w:t xml:space="preserve">法定代表人，现授权委托我公司的</w:t>
      </w:r>
      <w:r>
        <w:rPr>
          <w:rFonts w:hint="eastAsia" w:ascii="宋体" w:hAnsi="宋体" w:eastAsia="宋体" w:cs="宋体"/>
          <w:color w:val="auto"/>
          <w:sz w:val="24"/>
          <w:szCs w:val="22"/>
          <w:highlight w:val="none"/>
          <w:u w:val="single"/>
          <w:lang w:val="en-US" w:eastAsia="zh-CN" w:bidi="ar-SA"/>
        </w:rPr>
        <w:t xml:space="preserve">            （姓名、职务或职称）</w:t>
      </w:r>
      <w:r>
        <w:rPr>
          <w:rFonts w:hint="eastAsia" w:ascii="宋体" w:hAnsi="宋体" w:eastAsia="宋体" w:cs="宋体"/>
          <w:color w:val="auto"/>
          <w:sz w:val="24"/>
          <w:szCs w:val="22"/>
          <w:highlight w:val="none"/>
          <w:lang w:val="en-US" w:eastAsia="zh-CN" w:bidi="ar-SA"/>
        </w:rPr>
        <w:t xml:space="preserve">为我公司本次项目的全权代表，并授权其全权代表我方办理本次投标、签约的相关事宜，签署全部有关的文件、协议、合同并具有法律效力。</w:t>
      </w:r>
      <w:r/>
    </w:p>
    <w:p>
      <w:pPr>
        <w:ind w:firstLine="480"/>
        <w:jc w:val="both"/>
        <w:spacing w:line="48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在我方未发出撤销授权书的书面通知以前，本授权书一直有效。被授权人签署的所有文件（在授权书有效期内签署的）不因授权撤销而失效。</w:t>
      </w:r>
      <w:r/>
    </w:p>
    <w:p>
      <w:pPr>
        <w:ind w:firstLine="480"/>
        <w:jc w:val="both"/>
        <w:spacing w:line="48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全权代表无权转让委托权。特此委托。</w:t>
      </w:r>
      <w:r/>
    </w:p>
    <w:p>
      <w:pPr>
        <w:ind w:firstLine="480"/>
        <w:jc w:val="both"/>
        <w:spacing w:line="480" w:lineRule="auto"/>
        <w:widowControl w:val="off"/>
        <w:tabs>
          <w:tab w:val="left" w:pos="5265" w:leader="none"/>
        </w:tabs>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本授权书于</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年</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月</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日签字生效,特此声明。</w:t>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both"/>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附法人代表身份证及被授权代表身份证扫描件</w:t>
      </w:r>
      <w:r/>
    </w:p>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被授权代表姓名：               性 别：              年 龄：</w:t>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单  位：                       部 门：              职 务：</w:t>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供应商（电子签章）：</w:t>
      </w:r>
      <w:r/>
    </w:p>
    <w:p>
      <w:pPr>
        <w:ind w:left="420" w:firstLine="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法定代表人（电子签章）：</w:t>
      </w:r>
      <w:r/>
    </w:p>
    <w:p>
      <w:pPr>
        <w:jc w:val="both"/>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日 期：      年   月   日</w:t>
      </w:r>
      <w:r/>
    </w:p>
    <w:p>
      <w:pPr>
        <w:jc w:val="both"/>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r>
      <w:r/>
    </w:p>
    <w:p>
      <w:pPr>
        <w:jc w:val="both"/>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r>
      <w:r/>
    </w:p>
    <w:p>
      <w:pPr>
        <w:jc w:val="both"/>
        <w:spacing w:line="440" w:lineRule="exact"/>
        <w:rPr>
          <w:rFonts w:hint="default" w:ascii="宋体" w:hAnsi="宋体" w:eastAsia="宋体" w:cs="宋体"/>
          <w:b/>
          <w:color w:val="auto"/>
          <w:sz w:val="24"/>
          <w:szCs w:val="24"/>
          <w:lang w:val="en-US" w:eastAsia="zh-CN"/>
        </w:rPr>
        <w:outlineLvl w:val="2"/>
      </w:pPr>
      <w:r>
        <w:rPr>
          <w:rFonts w:hint="eastAsia" w:ascii="宋体" w:hAnsi="宋体" w:cs="宋体"/>
          <w:b/>
          <w:color w:val="auto"/>
          <w:sz w:val="24"/>
          <w:szCs w:val="24"/>
          <w:lang w:eastAsia="zh-CN"/>
        </w:rPr>
        <w:t xml:space="preserve">附件</w:t>
      </w:r>
      <w:r>
        <w:rPr>
          <w:rFonts w:hint="eastAsia" w:ascii="宋体" w:hAnsi="宋体" w:cs="宋体"/>
          <w:b/>
          <w:color w:val="auto"/>
          <w:sz w:val="24"/>
          <w:szCs w:val="24"/>
          <w:lang w:val="en-US" w:eastAsia="zh-CN"/>
        </w:rPr>
        <w:t xml:space="preserve">8 资格审查承诺书</w:t>
      </w:r>
      <w:r/>
    </w:p>
    <w:p>
      <w:pPr>
        <w:spacing w:line="360" w:lineRule="auto"/>
        <w:rPr>
          <w:rFonts w:hint="eastAsia"/>
          <w:color w:val="auto"/>
          <w:sz w:val="24"/>
          <w:szCs w:val="24"/>
        </w:rPr>
      </w:pPr>
      <w:r>
        <w:rPr>
          <w:rFonts w:hint="eastAsia"/>
          <w:color w:val="auto"/>
          <w:sz w:val="24"/>
          <w:szCs w:val="24"/>
        </w:rPr>
      </w:r>
      <w:r/>
    </w:p>
    <w:p>
      <w:pPr>
        <w:spacing w:line="360" w:lineRule="auto"/>
        <w:rPr>
          <w:color w:val="auto"/>
          <w:sz w:val="24"/>
          <w:szCs w:val="24"/>
        </w:rPr>
      </w:pPr>
      <w:r>
        <w:rPr>
          <w:rFonts w:hint="eastAsia"/>
          <w:color w:val="auto"/>
          <w:sz w:val="24"/>
          <w:szCs w:val="24"/>
        </w:rPr>
        <w:t xml:space="preserve">致：</w:t>
      </w:r>
      <w:r>
        <w:rPr>
          <w:rFonts w:hint="eastAsia"/>
          <w:color w:val="auto"/>
          <w:sz w:val="24"/>
          <w:szCs w:val="24"/>
          <w:u w:val="single"/>
        </w:rPr>
        <w:t xml:space="preserve">      （采购人名称）    </w:t>
      </w:r>
      <w:r>
        <w:rPr>
          <w:rFonts w:hint="eastAsia"/>
          <w:color w:val="auto"/>
          <w:sz w:val="24"/>
          <w:szCs w:val="24"/>
          <w:u w:val="single"/>
        </w:rPr>
        <w:tab/>
      </w:r>
      <w:r/>
    </w:p>
    <w:p>
      <w:pPr>
        <w:ind w:firstLine="480"/>
        <w:spacing w:line="360" w:lineRule="auto"/>
        <w:rPr>
          <w:rFonts w:hint="eastAsia"/>
          <w:color w:val="auto"/>
          <w:sz w:val="24"/>
          <w:szCs w:val="24"/>
        </w:rPr>
      </w:pPr>
      <w:r>
        <w:rPr>
          <w:rFonts w:hint="eastAsia"/>
          <w:color w:val="auto"/>
          <w:sz w:val="24"/>
          <w:szCs w:val="24"/>
        </w:rPr>
      </w:r>
      <w:r/>
    </w:p>
    <w:p>
      <w:pPr>
        <w:ind w:firstLine="480"/>
        <w:spacing w:line="360" w:lineRule="auto"/>
        <w:rPr>
          <w:color w:val="auto"/>
          <w:sz w:val="24"/>
          <w:szCs w:val="24"/>
        </w:rPr>
      </w:pPr>
      <w:r>
        <w:rPr>
          <w:rFonts w:hint="eastAsia"/>
          <w:color w:val="auto"/>
          <w:sz w:val="24"/>
          <w:szCs w:val="24"/>
        </w:rPr>
        <w:t xml:space="preserve">我单位</w:t>
      </w:r>
      <w:r>
        <w:rPr>
          <w:rFonts w:hint="eastAsia"/>
          <w:color w:val="auto"/>
          <w:sz w:val="24"/>
          <w:szCs w:val="24"/>
          <w:u w:val="single"/>
        </w:rPr>
        <w:t xml:space="preserve">      （供应商名称）     </w:t>
      </w:r>
      <w:r>
        <w:rPr>
          <w:rFonts w:hint="eastAsia"/>
          <w:color w:val="auto"/>
          <w:sz w:val="24"/>
          <w:szCs w:val="24"/>
        </w:rPr>
        <w:t xml:space="preserve">已详细阅读了项目招标文件，我单位在此郑重承诺如下：</w:t>
      </w:r>
      <w:r/>
    </w:p>
    <w:p>
      <w:pPr>
        <w:ind w:firstLine="480"/>
        <w:spacing w:line="360" w:lineRule="auto"/>
        <w:rPr>
          <w:color w:val="auto"/>
          <w:sz w:val="24"/>
          <w:szCs w:val="24"/>
        </w:rPr>
      </w:pPr>
      <w:r>
        <w:rPr>
          <w:rFonts w:hint="eastAsia"/>
          <w:color w:val="auto"/>
          <w:sz w:val="24"/>
          <w:szCs w:val="24"/>
        </w:rPr>
        <w:t xml:space="preserve">1</w:t>
      </w:r>
      <w:r>
        <w:rPr>
          <w:color w:val="auto"/>
          <w:sz w:val="24"/>
          <w:szCs w:val="24"/>
        </w:rPr>
        <w:t xml:space="preserve">.</w:t>
      </w:r>
      <w:r>
        <w:rPr>
          <w:rFonts w:hint="eastAsia"/>
          <w:color w:val="auto"/>
          <w:sz w:val="24"/>
          <w:szCs w:val="24"/>
        </w:rPr>
        <w:t xml:space="preserve"> 我单位具有良好的商业信誉和健全的财务会计制度；</w:t>
      </w:r>
      <w:r/>
    </w:p>
    <w:p>
      <w:pPr>
        <w:ind w:firstLine="480"/>
        <w:spacing w:line="360" w:lineRule="auto"/>
        <w:rPr>
          <w:color w:val="auto"/>
          <w:sz w:val="24"/>
          <w:szCs w:val="24"/>
        </w:rPr>
      </w:pPr>
      <w:r>
        <w:rPr>
          <w:rFonts w:hint="eastAsia"/>
          <w:color w:val="auto"/>
          <w:sz w:val="24"/>
          <w:szCs w:val="24"/>
        </w:rPr>
        <w:t xml:space="preserve">2</w:t>
      </w:r>
      <w:r>
        <w:rPr>
          <w:color w:val="auto"/>
          <w:sz w:val="24"/>
          <w:szCs w:val="24"/>
        </w:rPr>
        <w:t xml:space="preserve">.</w:t>
      </w:r>
      <w:r>
        <w:rPr>
          <w:rFonts w:hint="eastAsia"/>
          <w:color w:val="auto"/>
          <w:sz w:val="24"/>
          <w:szCs w:val="24"/>
        </w:rPr>
        <w:t xml:space="preserve"> 我单位具有履行合同所必需的设备和专业技术能力；</w:t>
      </w:r>
      <w:r/>
    </w:p>
    <w:p>
      <w:pPr>
        <w:ind w:firstLine="480"/>
        <w:spacing w:line="360" w:lineRule="auto"/>
        <w:rPr>
          <w:color w:val="auto"/>
          <w:sz w:val="24"/>
          <w:szCs w:val="24"/>
        </w:rPr>
      </w:pPr>
      <w:r>
        <w:rPr>
          <w:rFonts w:hint="eastAsia"/>
          <w:color w:val="auto"/>
          <w:sz w:val="24"/>
          <w:szCs w:val="24"/>
        </w:rPr>
        <w:t xml:space="preserve">3</w:t>
      </w:r>
      <w:r>
        <w:rPr>
          <w:color w:val="auto"/>
          <w:sz w:val="24"/>
          <w:szCs w:val="24"/>
        </w:rPr>
        <w:t xml:space="preserve">.</w:t>
      </w:r>
      <w:r>
        <w:rPr>
          <w:rFonts w:hint="eastAsia"/>
          <w:color w:val="auto"/>
          <w:sz w:val="24"/>
          <w:szCs w:val="24"/>
        </w:rPr>
        <w:t xml:space="preserve"> 我单位有依法缴纳税收和社会保障资金的良好记录；</w:t>
      </w:r>
      <w:r/>
    </w:p>
    <w:p>
      <w:pPr>
        <w:ind w:firstLine="480"/>
        <w:spacing w:line="360" w:lineRule="auto"/>
        <w:rPr>
          <w:color w:val="auto"/>
          <w:sz w:val="24"/>
          <w:szCs w:val="24"/>
        </w:rPr>
      </w:pPr>
      <w:r>
        <w:rPr>
          <w:rFonts w:hint="eastAsia"/>
          <w:color w:val="auto"/>
          <w:sz w:val="24"/>
          <w:szCs w:val="24"/>
        </w:rPr>
        <w:t xml:space="preserve">4</w:t>
      </w:r>
      <w:r>
        <w:rPr>
          <w:color w:val="auto"/>
          <w:sz w:val="24"/>
          <w:szCs w:val="24"/>
        </w:rPr>
        <w:t xml:space="preserve">.</w:t>
      </w:r>
      <w:r>
        <w:rPr>
          <w:rFonts w:hint="eastAsia"/>
          <w:color w:val="auto"/>
          <w:sz w:val="24"/>
          <w:szCs w:val="24"/>
        </w:rPr>
        <w:t xml:space="preserve"> 我单位参加政府采购活动前三年内，在经营活动中没有重大违法记录；</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 投标截止日当日，供应商不得存在下列情形之一：</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5.1、单位负责人为同一人或者存在直接控股、管理关系的不同投标人；</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5.2、被各级财政主管部门取消采购项目所在地的参加政府采购资格且处于有效期内；</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5.3、被责令停业，暂扣或吊销营业执照，或吊销资质证书；</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5.4、进入清算程序，或被宣告破产，或其他丧失履约能力的情形；</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5.5、凡为采购项目提供整体设计、规范编制或者项目管理、监理、检测等服务的供应商，不得再参加本项目的采购活动。</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5.6、在中国政府采购网(www.ccgp.gov.cn)中被列入《政府采购严重违法失信行为记录名单》；</w:t>
      </w:r>
      <w:r/>
    </w:p>
    <w:p>
      <w:pPr>
        <w:ind w:firstLine="480"/>
        <w:spacing w:line="360" w:lineRule="auto"/>
        <w:rPr>
          <w:rFonts w:hint="eastAsia"/>
          <w:color w:val="auto"/>
          <w:sz w:val="24"/>
          <w:szCs w:val="24"/>
          <w:lang w:val="en-US" w:eastAsia="zh-CN"/>
        </w:rPr>
      </w:pPr>
      <w:r>
        <w:rPr>
          <w:rFonts w:hint="eastAsia"/>
          <w:color w:val="auto"/>
          <w:sz w:val="24"/>
          <w:szCs w:val="24"/>
          <w:lang w:val="en-US" w:eastAsia="zh-CN"/>
        </w:rPr>
        <w:t xml:space="preserve">5.7、在“信用中国”网站（http://www.creditchina.gov.cn/）中被列入失信被执行人名单和重大税收违法案件当事人名单；</w:t>
      </w:r>
      <w:r/>
    </w:p>
    <w:p>
      <w:pPr>
        <w:ind w:firstLine="480"/>
        <w:spacing w:line="360" w:lineRule="auto"/>
        <w:rPr>
          <w:rFonts w:hint="default" w:eastAsia="宋体"/>
          <w:color w:val="auto"/>
          <w:sz w:val="24"/>
          <w:szCs w:val="24"/>
          <w:lang w:val="en-US" w:eastAsia="zh-CN"/>
        </w:rPr>
      </w:pPr>
      <w:r>
        <w:rPr>
          <w:rFonts w:hint="eastAsia"/>
          <w:color w:val="auto"/>
          <w:sz w:val="24"/>
          <w:szCs w:val="24"/>
          <w:lang w:val="en-US" w:eastAsia="zh-CN"/>
        </w:rPr>
        <w:t xml:space="preserve">5.8、法律、法规规定的其他情形。</w:t>
      </w:r>
      <w:r/>
    </w:p>
    <w:p>
      <w:pPr>
        <w:ind w:firstLine="480"/>
        <w:spacing w:line="360" w:lineRule="auto"/>
        <w:rPr>
          <w:color w:val="auto"/>
          <w:sz w:val="24"/>
          <w:szCs w:val="24"/>
        </w:rPr>
      </w:pPr>
      <w:r>
        <w:rPr>
          <w:rFonts w:hint="eastAsia"/>
          <w:color w:val="auto"/>
          <w:sz w:val="24"/>
          <w:szCs w:val="24"/>
        </w:rPr>
        <w:t xml:space="preserve">以上承诺内容真实准确，若有不实，自愿承担相应的法律责任。</w:t>
      </w:r>
      <w:r/>
    </w:p>
    <w:p>
      <w:pPr>
        <w:ind w:left="440"/>
        <w:spacing w:line="360" w:lineRule="auto"/>
        <w:rPr>
          <w:color w:val="auto"/>
          <w:sz w:val="24"/>
          <w:szCs w:val="24"/>
        </w:rPr>
      </w:pPr>
      <w:r>
        <w:rPr>
          <w:color w:val="auto"/>
          <w:sz w:val="24"/>
          <w:szCs w:val="24"/>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供应商（电子签章）：</w:t>
      </w:r>
      <w:r/>
    </w:p>
    <w:p>
      <w:pPr>
        <w:ind w:left="420" w:firstLine="42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法定代表人（电子签章）：</w:t>
      </w:r>
      <w:r/>
    </w:p>
    <w:p>
      <w:pPr>
        <w:ind w:firstLine="480"/>
        <w:spacing w:line="400" w:lineRule="atLeast"/>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rPr>
      </w:r>
      <w:r/>
    </w:p>
    <w:p>
      <w:pPr>
        <w:pStyle w:val="1089"/>
        <w:rPr>
          <w:rFonts w:ascii="宋体" w:hAnsi="宋体"/>
          <w:b/>
          <w:bCs/>
          <w:color w:val="auto"/>
          <w:sz w:val="24"/>
          <w:szCs w:val="24"/>
        </w:rPr>
      </w:pPr>
      <w:r>
        <w:rPr>
          <w:rFonts w:ascii="宋体" w:hAnsi="宋体"/>
          <w:color w:val="auto"/>
          <w:sz w:val="24"/>
          <w:szCs w:val="24"/>
        </w:rPr>
        <w:t xml:space="preserve">日 期：      年   月   日</w:t>
      </w:r>
      <w:r/>
    </w:p>
    <w:p>
      <w:pPr>
        <w:ind w:left="440"/>
        <w:spacing w:line="360" w:lineRule="auto"/>
        <w:rPr>
          <w:color w:val="auto"/>
        </w:rPr>
      </w:pPr>
      <w:r>
        <w:rPr>
          <w:color w:val="auto"/>
        </w:rPr>
      </w:r>
      <w:r/>
    </w:p>
    <w:p>
      <w:pPr>
        <w:jc w:val="both"/>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24"/>
        </w:rPr>
      </w:r>
      <w:r/>
    </w:p>
    <w:p>
      <w:pPr>
        <w:jc w:val="both"/>
        <w:spacing w:line="440" w:lineRule="exact"/>
        <w:rPr>
          <w:rFonts w:hint="eastAsia" w:ascii="宋体" w:hAnsi="宋体" w:eastAsia="宋体" w:cs="宋体"/>
          <w:b/>
          <w:i/>
          <w:color w:val="auto"/>
          <w:sz w:val="32"/>
          <w:szCs w:val="32"/>
          <w:u w:val="single"/>
        </w:rPr>
        <w:outlineLvl w:val="2"/>
      </w:pPr>
      <w:r>
        <w:rPr>
          <w:rFonts w:hint="eastAsia" w:ascii="宋体" w:hAnsi="宋体" w:eastAsia="宋体" w:cs="宋体"/>
          <w:b/>
          <w:color w:val="auto"/>
          <w:sz w:val="24"/>
          <w:szCs w:val="24"/>
        </w:rPr>
        <w:t xml:space="preserve">附件</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 投标函</w:t>
      </w:r>
      <w:bookmarkEnd w:id="297"/>
      <w:r/>
      <w:bookmarkEnd w:id="298"/>
      <w:r/>
      <w:bookmarkEnd w:id="299"/>
      <w:r/>
      <w:bookmarkEnd w:id="300"/>
      <w:r/>
      <w:r/>
    </w:p>
    <w:p>
      <w:pPr>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致：</w:t>
      </w:r>
      <w:r>
        <w:rPr>
          <w:rFonts w:hint="eastAsia" w:ascii="宋体" w:hAnsi="宋体" w:cs="宋体"/>
          <w:color w:val="auto"/>
          <w:sz w:val="24"/>
          <w:szCs w:val="24"/>
          <w:lang w:val="zh-CN" w:eastAsia="zh-CN"/>
        </w:rPr>
        <w:t xml:space="preserve">靖江市农业农村局</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根据贵方的</w:t>
      </w:r>
      <w:r>
        <w:rPr>
          <w:rFonts w:hint="eastAsia" w:ascii="宋体" w:hAnsi="宋体" w:eastAsia="宋体" w:cs="宋体"/>
          <w:color w:val="auto"/>
          <w:sz w:val="24"/>
          <w:szCs w:val="21"/>
          <w:u w:val="single"/>
          <w:lang w:val="en-US" w:eastAsia="zh-CN" w:bidi="ar-SA"/>
        </w:rPr>
        <w:t xml:space="preserve">JSZC-321282-YZSX-G2024-000</w:t>
      </w:r>
      <w:r>
        <w:rPr>
          <w:rFonts w:hint="eastAsia" w:ascii="宋体" w:hAnsi="宋体" w:cs="宋体"/>
          <w:color w:val="auto"/>
          <w:sz w:val="24"/>
          <w:szCs w:val="21"/>
          <w:u w:val="single"/>
          <w:lang w:val="en-US" w:eastAsia="zh-CN" w:bidi="ar-SA"/>
        </w:rPr>
        <w:t xml:space="preserve">7</w:t>
      </w:r>
      <w:r>
        <w:rPr>
          <w:rFonts w:hint="eastAsia" w:ascii="宋体" w:hAnsi="宋体" w:eastAsia="宋体" w:cs="宋体"/>
          <w:color w:val="auto"/>
          <w:sz w:val="24"/>
          <w:szCs w:val="21"/>
          <w:u w:val="single"/>
          <w:lang w:val="en-US" w:eastAsia="zh-CN" w:bidi="ar-SA"/>
        </w:rPr>
        <w:t xml:space="preserve">号</w:t>
      </w:r>
      <w:r>
        <w:rPr>
          <w:rFonts w:hint="eastAsia" w:ascii="宋体" w:hAnsi="宋体" w:eastAsia="宋体" w:cs="宋体"/>
          <w:color w:val="auto"/>
          <w:sz w:val="24"/>
          <w:szCs w:val="21"/>
          <w:lang w:val="en-US" w:eastAsia="zh-CN" w:bidi="ar-SA"/>
        </w:rPr>
        <w:t xml:space="preserve">招标文件，正式授权下述签字人______（姓名）代表我方______________（投标人的名称），全权处理本次项目投标的有关事宜。</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据此函，__________签字人兹宣布同意如下：</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1、按招标文件规定的各项要求，向买方提供所需服务（包含与服务相关的货物）。</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2、我们完全理解贵方不一定将合同授予最低报价的投标人。</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3、我们已详细审核全部招标文件及其有效补充文件，我们知道必须放弃提出含糊不清或误解问题的权利。</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4、我们同意从规定的开标日期起遵循本投标文件，并在规定的投标有效期期满之前均具有约束力。</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5、同意向贵方提供贵方可能另外要求的与投标有关的任何证据或资料，并保证我方已提供和将要提供的文件是真实的、准确的。</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6、一旦我方中标，我方将根据招标文件的规定，严格履行合同的责任和义务，并保证在招标文件规定的时间完成项目，交付买方验收、使用。</w:t>
      </w:r>
      <w:r/>
    </w:p>
    <w:p>
      <w:pPr>
        <w:ind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7、与本投标有关的正式通讯地址为：</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地          址：</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邮          编：</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电          话：</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传          真：</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投标人开户行：</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账          号： </w:t>
      </w:r>
      <w:r/>
    </w:p>
    <w:p>
      <w:pPr>
        <w:ind w:left="420" w:firstLine="480"/>
        <w:jc w:val="left"/>
        <w:spacing w:before="0"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日           期：________年____月____日</w:t>
      </w:r>
      <w:r/>
    </w:p>
    <w:p>
      <w:pPr>
        <w:ind w:firstLine="420"/>
        <w:spacing w:line="440" w:lineRule="exact"/>
        <w:rPr>
          <w:rFonts w:hint="eastAsia" w:ascii="宋体" w:hAnsi="宋体" w:eastAsia="宋体" w:cs="宋体"/>
          <w:i/>
          <w:color w:val="auto"/>
          <w:sz w:val="24"/>
          <w:szCs w:val="24"/>
          <w:u w:val="single"/>
          <w:lang w:val="en-US" w:eastAsia="en-US"/>
        </w:rPr>
      </w:pPr>
      <w:r>
        <w:rPr>
          <w:rFonts w:hint="eastAsia" w:ascii="宋体" w:hAnsi="宋体" w:eastAsia="宋体" w:cs="宋体"/>
          <w:i/>
          <w:color w:val="auto"/>
          <w:sz w:val="24"/>
          <w:szCs w:val="24"/>
          <w:u w:val="single"/>
          <w:lang w:val="en-US" w:eastAsia="en-US"/>
        </w:rPr>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color w:val="auto"/>
          <w:sz w:val="24"/>
          <w:szCs w:val="44"/>
        </w:rPr>
        <w:br w:type="page" w:clear="all"/>
      </w:r>
      <w:bookmarkStart w:id="301" w:name="_Toc160113057"/>
      <w:r>
        <w:rPr>
          <w:rFonts w:hint="eastAsia" w:ascii="宋体" w:hAnsi="宋体" w:eastAsia="宋体" w:cs="宋体"/>
          <w:b/>
          <w:color w:val="auto"/>
          <w:sz w:val="24"/>
          <w:szCs w:val="24"/>
        </w:rPr>
        <w:t xml:space="preserve">附件</w:t>
      </w:r>
      <w:r>
        <w:rPr>
          <w:rFonts w:hint="eastAsia" w:ascii="宋体" w:hAnsi="宋体" w:cs="宋体"/>
          <w:b/>
          <w:color w:val="auto"/>
          <w:sz w:val="24"/>
          <w:szCs w:val="24"/>
          <w:lang w:val="en-US" w:eastAsia="zh-CN"/>
        </w:rPr>
        <w:t xml:space="preserve">10</w:t>
      </w:r>
      <w:r>
        <w:rPr>
          <w:rFonts w:hint="eastAsia" w:ascii="宋体" w:hAnsi="宋体" w:eastAsia="宋体" w:cs="宋体"/>
          <w:b/>
          <w:color w:val="auto"/>
          <w:sz w:val="24"/>
          <w:szCs w:val="24"/>
        </w:rPr>
        <w:t xml:space="preserve"> 中小企业声明函</w:t>
      </w:r>
      <w:bookmarkEnd w:id="301"/>
      <w:r/>
      <w:r/>
    </w:p>
    <w:p>
      <w:pPr>
        <w:ind w:firstLine="36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本公司郑重声明，根据《政府采购促进中小企业发展管理办法》（财库[2020]46号）的规定，本公司参加</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靖江市农业农村局</w:t>
      </w:r>
      <w:r>
        <w:rPr>
          <w:rFonts w:hint="eastAsia" w:ascii="宋体" w:hAnsi="宋体" w:eastAsia="宋体" w:cs="宋体"/>
          <w:color w:val="auto"/>
          <w:sz w:val="24"/>
          <w:szCs w:val="24"/>
          <w:lang w:val="zh-CN"/>
        </w:rPr>
        <w:t xml:space="preserve">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“靖江智能化稻麦轮作农机装备与技术集成示范”项目智能农机装备与设备平台采购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1"/>
        </w:rPr>
        <w:t xml:space="preserve">采购活动，提供的货物全部由符合政策要求的中小企业制造。相关企业的具体情况如下：</w:t>
      </w:r>
      <w:r/>
    </w:p>
    <w:p>
      <w:pPr>
        <w:ind w:firstLine="480"/>
        <w:jc w:val="left"/>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u w:val="single"/>
          <w:lang w:val="zh-CN"/>
        </w:rPr>
        <w:t xml:space="preserve">标的名称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工业</w:t>
      </w:r>
      <w:r>
        <w:rPr>
          <w:rFonts w:hint="eastAsia" w:ascii="宋体" w:hAnsi="宋体" w:eastAsia="宋体" w:cs="宋体"/>
          <w:color w:val="auto"/>
          <w:sz w:val="24"/>
          <w:szCs w:val="24"/>
          <w:u w:val="single"/>
        </w:rPr>
        <w:t xml:space="preserve"> 行业</w:t>
      </w:r>
      <w:r>
        <w:rPr>
          <w:rFonts w:hint="eastAsia" w:ascii="宋体" w:hAnsi="宋体" w:eastAsia="宋体" w:cs="宋体"/>
          <w:color w:val="auto"/>
          <w:sz w:val="24"/>
          <w:szCs w:val="24"/>
        </w:rPr>
        <w:t xml:space="preserve">；制造商为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 </w:t>
      </w:r>
      <w:r/>
    </w:p>
    <w:p>
      <w:pPr>
        <w:ind w:firstLine="480"/>
        <w:jc w:val="left"/>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u w:val="single"/>
          <w:lang w:val="zh-CN"/>
        </w:rPr>
        <w:t xml:space="preserve">标的名称</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，属于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zh-CN"/>
        </w:rPr>
        <w:t xml:space="preserve"> 行业</w:t>
      </w:r>
      <w:r>
        <w:rPr>
          <w:rFonts w:hint="eastAsia" w:ascii="宋体" w:hAnsi="宋体" w:eastAsia="宋体" w:cs="宋体"/>
          <w:color w:val="auto"/>
          <w:sz w:val="24"/>
          <w:szCs w:val="24"/>
          <w:lang w:val="zh-CN"/>
        </w:rPr>
        <w:t xml:space="preserve">；制造商为</w:t>
      </w:r>
      <w:r>
        <w:rPr>
          <w:rFonts w:hint="eastAsia" w:ascii="宋体" w:hAnsi="宋体" w:eastAsia="宋体" w:cs="宋体"/>
          <w:color w:val="auto"/>
          <w:sz w:val="24"/>
          <w:szCs w:val="24"/>
          <w:u w:val="single"/>
          <w:lang w:val="zh-CN"/>
        </w:rPr>
        <w:t xml:space="preserve">（企业名称）</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140"/>
        <w:spacing w:before="43" w:after="43" w:line="440" w:lineRule="exact"/>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u w:val="single"/>
          <w:lang w:val="zh-CN"/>
        </w:rPr>
        <w:t xml:space="preserve">（标的名称）</w:t>
      </w:r>
      <w:r>
        <w:rPr>
          <w:rFonts w:hint="eastAsia" w:ascii="宋体" w:hAnsi="宋体" w:eastAsia="宋体" w:cs="宋体"/>
          <w:color w:val="auto"/>
          <w:lang w:val="zh-CN"/>
        </w:rPr>
        <w:t xml:space="preserve">，属于</w:t>
      </w:r>
      <w:r>
        <w:rPr>
          <w:rFonts w:hint="eastAsia" w:ascii="宋体" w:hAnsi="宋体" w:eastAsia="宋体" w:cs="宋体"/>
          <w:color w:val="auto"/>
          <w:u w:val="single"/>
          <w:lang w:val="zh-CN"/>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rPr>
          <w:rFonts w:hint="eastAsia" w:ascii="宋体" w:hAnsi="宋体" w:eastAsia="宋体" w:cs="宋体"/>
          <w:color w:val="auto"/>
          <w:u w:val="single"/>
          <w:lang w:val="zh-CN"/>
        </w:rPr>
        <w:t xml:space="preserve">行业</w:t>
      </w:r>
      <w:r>
        <w:rPr>
          <w:rFonts w:hint="eastAsia" w:ascii="宋体" w:hAnsi="宋体" w:eastAsia="宋体" w:cs="宋体"/>
          <w:color w:val="auto"/>
          <w:lang w:val="zh-CN"/>
        </w:rPr>
        <w:t xml:space="preserve">；制造商为</w:t>
      </w:r>
      <w:r>
        <w:rPr>
          <w:rFonts w:hint="eastAsia" w:ascii="宋体" w:hAnsi="宋体" w:eastAsia="宋体" w:cs="宋体"/>
          <w:color w:val="auto"/>
          <w:u w:val="single"/>
          <w:lang w:val="zh-CN"/>
        </w:rPr>
        <w:t xml:space="preserve">（企业名称）</w:t>
      </w:r>
      <w:r>
        <w:rPr>
          <w:rFonts w:hint="eastAsia" w:ascii="宋体" w:hAnsi="宋体" w:eastAsia="宋体" w:cs="宋体"/>
          <w:color w:val="auto"/>
          <w:lang w:val="zh-CN"/>
        </w:rPr>
        <w:t xml:space="preserve">，</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rPr>
          <w:rFonts w:hint="eastAsia" w:ascii="宋体" w:hAnsi="宋体" w:eastAsia="宋体" w:cs="宋体"/>
          <w:color w:val="auto"/>
        </w:rPr>
        <w:t xml:space="preserve">；</w:t>
      </w:r>
      <w:r/>
    </w:p>
    <w:p>
      <w:pPr>
        <w:ind w:firstLine="480"/>
        <w:jc w:val="left"/>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right="2640" w:firstLine="360"/>
        <w:jc w:val="right"/>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投标人名称</w:t>
      </w:r>
      <w:r>
        <w:rPr>
          <w:rFonts w:hint="eastAsia" w:ascii="宋体" w:hAnsi="宋体" w:eastAsia="宋体" w:cs="宋体"/>
          <w:color w:val="auto"/>
          <w:sz w:val="24"/>
          <w:szCs w:val="24"/>
        </w:rPr>
        <w:t xml:space="preserve">（加盖CA电子公章）</w:t>
      </w:r>
      <w:r>
        <w:rPr>
          <w:rFonts w:hint="eastAsia" w:ascii="宋体" w:hAnsi="宋体" w:eastAsia="宋体" w:cs="宋体"/>
          <w:color w:val="auto"/>
          <w:sz w:val="24"/>
          <w:szCs w:val="21"/>
        </w:rPr>
        <w:t xml:space="preserve">：</w:t>
      </w:r>
      <w:r/>
    </w:p>
    <w:p>
      <w:pPr>
        <w:ind w:right="2640" w:firstLine="360"/>
        <w:jc w:val="right"/>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日  期：</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注：（1）从业人员、营业收入、资产总额填报上一年度数据，无上一年度数据的新成立企业可不填报。</w:t>
      </w:r>
      <w:r/>
    </w:p>
    <w:p>
      <w:pPr>
        <w:ind w:firstLine="482"/>
        <w:jc w:val="left"/>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（2）上述“中小企业声明函”格式原则上不得改动，因擅自改动引起的评审风险由投标人自行承担。如投标人提供其它小微企业制造的货物时，不需要相关制造商另外提供声明函。</w:t>
      </w:r>
      <w:r/>
    </w:p>
    <w:p>
      <w:pPr>
        <w:ind w:firstLine="482"/>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）货物类采购项目应当对“主要采购标的”（详见 “货物清单”内容）的制造商进行声明。涉及多个主要采购标的且由不同制造商制造的，应当逐一填报每个不同制造商的相关信息；若为同一制造商制造的无需重复填报。</w:t>
      </w:r>
      <w:r/>
    </w:p>
    <w:p>
      <w:pPr>
        <w:ind w:firstLine="482"/>
        <w:spacing w:line="440" w:lineRule="exact"/>
        <w:rPr>
          <w:rFonts w:hint="eastAsia" w:ascii="宋体" w:hAnsi="宋体" w:eastAsia="宋体" w:cs="宋体"/>
          <w:color w:val="auto"/>
          <w:sz w:val="24"/>
          <w:szCs w:val="24"/>
        </w:rPr>
      </w:pPr>
      <w:r/>
      <w:bookmarkStart w:id="302" w:name="_Hlk100143292"/>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）如未对上述声明函内（中型企业、小型企业、微型企业）进行勾选或明确，引起的评审风险由投标人自行承担。</w:t>
      </w:r>
      <w:bookmarkEnd w:id="302"/>
      <w:r/>
      <w:r/>
    </w:p>
    <w:p>
      <w:pPr>
        <w:jc w:val="center"/>
        <w:spacing w:line="440" w:lineRule="exact"/>
        <w:rPr>
          <w:rFonts w:hint="eastAsia" w:ascii="宋体" w:hAnsi="宋体" w:eastAsia="宋体" w:cs="宋体"/>
          <w:b/>
          <w:color w:val="auto"/>
          <w:sz w:val="32"/>
          <w:szCs w:val="32"/>
        </w:rPr>
        <w:outlineLvl w:val="2"/>
      </w:pPr>
      <w:r>
        <w:rPr>
          <w:rFonts w:hint="eastAsia" w:ascii="宋体" w:hAnsi="宋体" w:eastAsia="宋体" w:cs="宋体"/>
          <w:b/>
          <w:color w:val="auto"/>
          <w:sz w:val="32"/>
          <w:szCs w:val="32"/>
        </w:rPr>
        <w:br w:type="page" w:clear="all"/>
      </w:r>
      <w:bookmarkStart w:id="303" w:name="_Toc160113058"/>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 残疾人福利性单位声明函</w:t>
      </w:r>
      <w:bookmarkEnd w:id="303"/>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right="1560" w:firstLine="624"/>
        <w:jc w:val="center"/>
        <w:spacing w:line="360" w:lineRule="auto"/>
        <w:tabs>
          <w:tab w:val="left" w:pos="4860" w:leader="none"/>
        </w:tabs>
        <w:rPr>
          <w:rFonts w:hint="eastAsia" w:ascii="宋体" w:hAnsi="宋体" w:eastAsia="宋体" w:cs="宋体"/>
          <w:color w:val="auto"/>
          <w:sz w:val="24"/>
          <w:szCs w:val="21"/>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szCs w:val="21"/>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  期：</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89"/>
        <w:jc w:val="center"/>
        <w:spacing w:line="360" w:lineRule="exact"/>
        <w:rPr>
          <w:rFonts w:hint="eastAsia" w:ascii="宋体" w:hAnsi="宋体" w:eastAsia="宋体" w:cs="宋体"/>
          <w:b/>
          <w:color w:val="auto"/>
          <w:sz w:val="24"/>
          <w:szCs w:val="24"/>
          <w:lang w:val="en-US" w:eastAsia="zh-CN" w:bidi="ar-SA"/>
        </w:rPr>
        <w:outlineLvl w:val="1"/>
      </w:pPr>
      <w:r>
        <w:rPr>
          <w:rFonts w:hint="eastAsia" w:ascii="宋体" w:hAnsi="宋体" w:eastAsia="宋体" w:cs="宋体"/>
          <w:b/>
          <w:color w:val="auto"/>
          <w:sz w:val="24"/>
          <w:szCs w:val="24"/>
          <w:lang w:val="en-US" w:eastAsia="zh-CN" w:bidi="ar-SA"/>
        </w:rPr>
        <w:t xml:space="preserve">监狱企业证明</w:t>
      </w:r>
      <w:r/>
    </w:p>
    <w:p>
      <w:pPr>
        <w:pStyle w:val="1089"/>
        <w:ind w:firstLine="480"/>
        <w:spacing w:line="500" w:lineRule="exact"/>
        <w:rPr>
          <w:rFonts w:ascii="宋体" w:hAnsi="宋体"/>
          <w:bCs/>
          <w:color w:val="auto"/>
          <w:sz w:val="24"/>
        </w:rPr>
      </w:pPr>
      <w:r>
        <w:rPr>
          <w:rFonts w:ascii="宋体" w:hAnsi="宋体"/>
          <w:bCs/>
          <w:color w:val="auto"/>
          <w:sz w:val="24"/>
        </w:rPr>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tcPr>
          <w:p>
            <w:pPr>
              <w:pStyle w:val="1052"/>
              <w:jc w:val="center"/>
              <w:spacing w:before="0" w:beforeAutospacing="0" w:after="0" w:afterAutospacing="0"/>
              <w:widowControl w:val="off"/>
              <w:rPr>
                <w:rFonts w:ascii="宋体" w:hAnsi="宋体" w:eastAsia="楷体_GB2312" w:cs="宋体"/>
                <w:b/>
                <w:bCs/>
                <w:color w:val="auto"/>
              </w:rPr>
            </w:pPr>
            <w:r>
              <w:rPr>
                <w:rFonts w:hint="eastAsia" w:ascii="宋体" w:hAnsi="宋体" w:eastAsia="宋体" w:cs="宋体"/>
                <w:color w:val="auto"/>
                <w:sz w:val="24"/>
                <w:szCs w:val="21"/>
                <w:lang w:val="en-US" w:eastAsia="zh-CN" w:bidi="ar-SA"/>
              </w:rPr>
              <w:t xml:space="preserve">附省级以上监狱管理局、戒毒管理局（含新疆生产建设兵团）出具的属于监狱企业的证明文件原件扫描件</w:t>
            </w:r>
            <w:r/>
          </w:p>
        </w:tc>
      </w:tr>
    </w:tbl>
    <w:p>
      <w:pPr>
        <w:ind w:firstLine="624"/>
        <w:spacing w:line="360" w:lineRule="auto"/>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right="1560" w:firstLine="624"/>
        <w:jc w:val="center"/>
        <w:spacing w:line="360" w:lineRule="auto"/>
        <w:tabs>
          <w:tab w:val="left" w:pos="4860" w:leader="none"/>
        </w:tabs>
        <w:rPr>
          <w:rFonts w:hint="eastAsia" w:ascii="宋体" w:hAnsi="宋体" w:eastAsia="宋体" w:cs="宋体"/>
          <w:color w:val="auto"/>
          <w:sz w:val="24"/>
          <w:szCs w:val="21"/>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szCs w:val="21"/>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  期：</w:t>
      </w:r>
      <w:r/>
    </w:p>
    <w:p>
      <w:pPr>
        <w:jc w:val="center"/>
        <w:spacing w:line="440" w:lineRule="exact"/>
        <w:rPr>
          <w:rFonts w:hint="eastAsia" w:ascii="宋体" w:hAnsi="宋体" w:eastAsia="宋体" w:cs="宋体"/>
          <w:b/>
          <w:color w:val="auto"/>
          <w:sz w:val="32"/>
          <w:szCs w:val="32"/>
        </w:rPr>
        <w:outlineLvl w:val="2"/>
      </w:pPr>
      <w:r>
        <w:rPr>
          <w:rFonts w:hint="eastAsia" w:ascii="宋体" w:hAnsi="宋体" w:eastAsia="宋体" w:cs="宋体"/>
          <w:b/>
          <w:color w:val="auto"/>
          <w:sz w:val="32"/>
          <w:szCs w:val="32"/>
        </w:rPr>
        <w:br w:type="page" w:clear="all"/>
      </w:r>
      <w:bookmarkStart w:id="304" w:name="_Toc160113059"/>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2</w:t>
      </w:r>
      <w:r>
        <w:rPr>
          <w:rFonts w:hint="eastAsia" w:ascii="宋体" w:hAnsi="宋体" w:eastAsia="宋体" w:cs="宋体"/>
          <w:b/>
          <w:color w:val="auto"/>
          <w:sz w:val="24"/>
          <w:szCs w:val="24"/>
        </w:rPr>
        <w:t xml:space="preserve"> 实质性要求响应及偏离表</w:t>
      </w:r>
      <w:bookmarkEnd w:id="304"/>
      <w:r/>
      <w:r/>
    </w:p>
    <w:tbl>
      <w:tblPr>
        <w:tblStyle w:val="821"/>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3"/>
        <w:gridCol w:w="2976"/>
        <w:gridCol w:w="1418"/>
      </w:tblGrid>
      <w:tr>
        <w:trPr>
          <w:cantSplit/>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425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技术要求和商务要求中的实质性要求</w:t>
            </w:r>
            <w:r/>
          </w:p>
        </w:tc>
        <w:tc>
          <w:tcPr>
            <w:tcW w:w="2976"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418"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253" w:type="dxa"/>
            <w:vAlign w:val="top"/>
            <w:textDirection w:val="lrTb"/>
            <w:noWrap w:val="false"/>
          </w:tcPr>
          <w:p>
            <w:pPr>
              <w:jc w:val="left"/>
              <w:spacing w:line="440" w:lineRule="exact"/>
              <w:rPr>
                <w:rFonts w:hint="eastAsia" w:ascii="宋体" w:hAnsi="宋体" w:eastAsia="宋体" w:cs="宋体"/>
                <w:b/>
                <w:bCs/>
                <w:i/>
                <w:color w:val="auto"/>
                <w:sz w:val="24"/>
                <w:szCs w:val="24"/>
                <w:u w:val="single"/>
              </w:rPr>
            </w:pPr>
            <w:r>
              <w:rPr>
                <w:rFonts w:hint="eastAsia" w:ascii="宋体" w:hAnsi="宋体" w:eastAsia="宋体" w:cs="宋体"/>
                <w:b/>
                <w:bCs/>
                <w:i/>
                <w:color w:val="auto"/>
                <w:sz w:val="24"/>
                <w:szCs w:val="24"/>
                <w:u w:val="single"/>
              </w:rPr>
            </w:r>
            <w:r/>
          </w:p>
        </w:tc>
        <w:tc>
          <w:tcPr>
            <w:tcW w:w="297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8"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附件11-1 证明材料1，证明材料2，……（如需）</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1、投标人必须对技术要求和商务要求中的实质性要求逐条做出明确响应，</w:t>
      </w:r>
      <w:r>
        <w:rPr>
          <w:rFonts w:hint="eastAsia" w:ascii="宋体" w:hAnsi="宋体" w:eastAsia="宋体" w:cs="宋体"/>
          <w:color w:val="auto"/>
          <w:sz w:val="24"/>
          <w:szCs w:val="22"/>
        </w:rPr>
        <w:t xml:space="preserve">否则作无效投标处理。</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2、如果招标文件要求提供证明材料，投标人必须将证明材料列于该表之下。</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3、投标人未对实质性要求逐条作出明确响应的，或未按招标文件要求提供证明材料的，该项目作无效投标处理。</w:t>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b/>
          <w:bCs/>
          <w:color w:val="auto"/>
          <w:sz w:val="32"/>
          <w:szCs w:val="32"/>
        </w:rPr>
        <w:br w:type="page" w:clear="all"/>
      </w:r>
      <w:bookmarkStart w:id="305" w:name="_Toc160113060"/>
      <w:r/>
      <w:bookmarkStart w:id="306" w:name="_Toc146524605"/>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 详细配置表</w:t>
      </w:r>
      <w:bookmarkEnd w:id="305"/>
      <w:r/>
      <w:bookmarkEnd w:id="306"/>
      <w:r/>
      <w:r/>
    </w:p>
    <w:tbl>
      <w:tblPr>
        <w:tblStyle w:val="821"/>
        <w:tblW w:w="0" w:type="auto"/>
        <w:tblInd w:w="21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4"/>
        <w:gridCol w:w="735"/>
        <w:gridCol w:w="1785"/>
        <w:gridCol w:w="2205"/>
        <w:gridCol w:w="1050"/>
        <w:gridCol w:w="1974"/>
      </w:tblGrid>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货物名称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原产地及生产厂名</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w:t>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rPr>
                <w:rFonts w:hint="eastAsia" w:ascii="宋体" w:hAnsi="宋体" w:eastAsia="宋体" w:cs="宋体"/>
                <w:color w:val="auto"/>
                <w:szCs w:val="22"/>
              </w:rPr>
            </w:pPr>
            <w:r>
              <w:rPr>
                <w:rFonts w:hint="eastAsia" w:ascii="宋体" w:hAnsi="宋体" w:eastAsia="宋体" w:cs="宋体"/>
                <w:color w:val="auto"/>
                <w:szCs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rPr>
                <w:rFonts w:hint="eastAsia" w:ascii="宋体" w:hAnsi="宋体" w:eastAsia="宋体" w:cs="宋体"/>
                <w:b/>
                <w:color w:val="auto"/>
                <w:szCs w:val="22"/>
              </w:rPr>
            </w:pPr>
            <w:r>
              <w:rPr>
                <w:rFonts w:hint="eastAsia" w:ascii="宋体" w:hAnsi="宋体" w:eastAsia="宋体" w:cs="宋体"/>
                <w:b/>
                <w:color w:val="auto"/>
                <w:szCs w:val="22"/>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color w:val="auto"/>
                <w:sz w:val="28"/>
                <w:szCs w:val="22"/>
              </w:rPr>
            </w:pPr>
            <w:r>
              <w:rPr>
                <w:rFonts w:hint="eastAsia" w:ascii="宋体" w:hAnsi="宋体" w:eastAsia="宋体" w:cs="宋体"/>
                <w:color w:val="auto"/>
                <w:sz w:val="28"/>
                <w:szCs w:val="22"/>
              </w:rPr>
            </w:r>
            <w:r/>
          </w:p>
        </w:tc>
      </w:tr>
    </w:tbl>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注：1、投标人应根据拟提供货物的配置情况据实、详细填写上述表格。</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2、因表述含糊导致的评标风险将由投标人承担。</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3、如有需要说明的事项，请在备注中列明。</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4、表格不够可另接。</w:t>
      </w:r>
      <w:r/>
    </w:p>
    <w:p>
      <w:pPr>
        <w:ind w:firstLine="42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40" w:lineRule="exact"/>
        <w:rPr>
          <w:rFonts w:hint="eastAsia" w:ascii="宋体" w:hAnsi="宋体" w:eastAsia="宋体" w:cs="宋体"/>
          <w:color w:val="auto"/>
          <w:szCs w:val="22"/>
        </w:rPr>
      </w:pPr>
      <w:r>
        <w:rPr>
          <w:rFonts w:hint="eastAsia" w:ascii="宋体" w:hAnsi="宋体" w:eastAsia="宋体" w:cs="宋体"/>
          <w:color w:val="auto"/>
          <w:szCs w:val="22"/>
        </w:rPr>
      </w:r>
      <w:r/>
    </w:p>
    <w:p>
      <w:pPr>
        <w:jc w:val="center"/>
        <w:spacing w:line="440" w:lineRule="exact"/>
        <w:rPr>
          <w:rFonts w:hint="eastAsia" w:ascii="宋体" w:hAnsi="宋体" w:eastAsia="宋体" w:cs="宋体"/>
          <w:b/>
          <w:color w:val="auto"/>
          <w:szCs w:val="22"/>
        </w:rPr>
        <w:outlineLvl w:val="2"/>
      </w:pPr>
      <w:r>
        <w:rPr>
          <w:rFonts w:hint="eastAsia" w:ascii="宋体" w:hAnsi="宋体" w:eastAsia="宋体" w:cs="宋体"/>
          <w:color w:val="auto"/>
          <w:szCs w:val="22"/>
        </w:rPr>
        <w:br w:type="page" w:clear="all"/>
      </w:r>
      <w:bookmarkStart w:id="307" w:name="_Toc160113061"/>
      <w:r/>
      <w:bookmarkStart w:id="308" w:name="_Toc472326805"/>
      <w:r/>
      <w:bookmarkStart w:id="309" w:name="_Toc321922921"/>
      <w:r/>
      <w:bookmarkStart w:id="310" w:name="_Toc299960832"/>
      <w:r/>
      <w:bookmarkStart w:id="311" w:name="_Toc255645976"/>
      <w:r/>
      <w:bookmarkStart w:id="312" w:name="_Toc511680887"/>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4</w:t>
      </w:r>
      <w:r>
        <w:rPr>
          <w:rFonts w:hint="eastAsia" w:ascii="宋体" w:hAnsi="宋体" w:eastAsia="宋体" w:cs="宋体"/>
          <w:b/>
          <w:color w:val="auto"/>
          <w:sz w:val="24"/>
          <w:szCs w:val="24"/>
        </w:rPr>
        <w:t xml:space="preserve"> 投标设备综合性能说明</w:t>
      </w:r>
      <w:bookmarkEnd w:id="307"/>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主要内容应包括但不限于以下方面：</w:t>
      </w:r>
      <w:r/>
    </w:p>
    <w:p>
      <w:pPr>
        <w:ind w:firstLine="48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1、投标设备主要技术性能参数说明。</w:t>
      </w:r>
      <w:r/>
    </w:p>
    <w:p>
      <w:pPr>
        <w:ind w:firstLine="48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2、投标设备功能、性能特点说明。</w:t>
      </w:r>
      <w:r/>
    </w:p>
    <w:p>
      <w:pPr>
        <w:ind w:firstLine="480"/>
        <w:spacing w:line="500" w:lineRule="exact"/>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3、</w:t>
      </w:r>
      <w:r>
        <w:rPr>
          <w:rFonts w:hint="eastAsia" w:ascii="宋体" w:hAnsi="宋体" w:eastAsia="宋体" w:cs="宋体"/>
          <w:color w:val="auto"/>
          <w:sz w:val="24"/>
          <w:szCs w:val="24"/>
          <w:lang w:val="zh-CN"/>
        </w:rPr>
        <w:t xml:space="preserve">投标产品的彩色样本、图片资料、设备质量信誉情况。</w:t>
      </w:r>
      <w:r/>
    </w:p>
    <w:p>
      <w:pPr>
        <w:ind w:firstLine="480"/>
        <w:spacing w:line="500" w:lineRule="exact"/>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4、附相关证明文件。（投标人根据自身能力提供相关证明材料）</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5、其他说明。</w:t>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color w:val="auto"/>
          <w:sz w:val="24"/>
          <w:szCs w:val="24"/>
        </w:rPr>
        <w:br w:type="page" w:clear="all"/>
      </w:r>
      <w:bookmarkEnd w:id="308"/>
      <w:r/>
      <w:bookmarkEnd w:id="309"/>
      <w:r/>
      <w:bookmarkEnd w:id="310"/>
      <w:r/>
      <w:bookmarkEnd w:id="311"/>
      <w:r/>
      <w:bookmarkEnd w:id="312"/>
      <w:r/>
      <w:bookmarkStart w:id="313" w:name="_Toc160113062"/>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5</w:t>
      </w:r>
      <w:r>
        <w:rPr>
          <w:rFonts w:hint="eastAsia" w:ascii="宋体" w:hAnsi="宋体" w:eastAsia="宋体" w:cs="宋体"/>
          <w:b/>
          <w:color w:val="auto"/>
          <w:sz w:val="24"/>
          <w:szCs w:val="24"/>
        </w:rPr>
        <w:t xml:space="preserve"> 项目实施方案和售后服务承诺</w:t>
      </w:r>
      <w:bookmarkEnd w:id="313"/>
      <w:r/>
      <w:r/>
    </w:p>
    <w:p>
      <w:pPr>
        <w:spacing w:line="48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（一）投标人应根据招标要求及自身实际情况编写项目实施方案，主要内容应包括但不限于以下方面：</w:t>
      </w:r>
      <w:r/>
    </w:p>
    <w:p>
      <w:pPr>
        <w:ind w:firstLine="240"/>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1、</w:t>
      </w:r>
      <w:r>
        <w:rPr>
          <w:rFonts w:hint="eastAsia" w:ascii="宋体" w:hAnsi="宋体" w:eastAsia="宋体" w:cs="宋体"/>
          <w:color w:val="auto"/>
          <w:sz w:val="24"/>
          <w:szCs w:val="22"/>
          <w:lang w:val="zh-CN"/>
        </w:rPr>
        <w:t xml:space="preserve">项目实施方案</w:t>
      </w:r>
      <w:r>
        <w:rPr>
          <w:rFonts w:hint="eastAsia" w:ascii="宋体" w:hAnsi="宋体" w:eastAsia="宋体" w:cs="宋体"/>
          <w:color w:val="auto"/>
          <w:sz w:val="24"/>
          <w:szCs w:val="22"/>
        </w:rPr>
        <w:t xml:space="preserve">（</w:t>
      </w:r>
      <w:r>
        <w:rPr>
          <w:rFonts w:hint="eastAsia" w:ascii="宋体" w:hAnsi="宋体" w:eastAsia="宋体" w:cs="宋体"/>
          <w:color w:val="auto"/>
          <w:sz w:val="24"/>
          <w:szCs w:val="22"/>
          <w:lang w:val="zh-CN"/>
        </w:rPr>
        <w:t xml:space="preserve">详细的项目实施方案，包含管理方案（明确项目管理体制、责任分工，项目沟通机制、决策机制等）、应急预案、安全施工预案、实施方案</w:t>
      </w:r>
      <w:r>
        <w:rPr>
          <w:rFonts w:hint="eastAsia" w:ascii="宋体" w:hAnsi="宋体" w:eastAsia="宋体" w:cs="宋体"/>
          <w:color w:val="auto"/>
          <w:sz w:val="24"/>
          <w:szCs w:val="22"/>
        </w:rPr>
        <w:t xml:space="preserve">）。</w:t>
      </w:r>
      <w:r/>
    </w:p>
    <w:p>
      <w:pPr>
        <w:ind w:firstLine="240"/>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w:t>
      </w:r>
      <w:r>
        <w:rPr>
          <w:rFonts w:hint="eastAsia" w:ascii="宋体" w:hAnsi="宋体" w:eastAsia="宋体" w:cs="宋体"/>
          <w:color w:val="auto"/>
          <w:sz w:val="24"/>
          <w:szCs w:val="22"/>
          <w:lang w:val="zh-CN"/>
        </w:rPr>
        <w:t xml:space="preserve">现场培训方案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对本项目提供的现场培训方案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2"/>
        </w:rPr>
        <w:t xml:space="preserve">。</w:t>
      </w:r>
      <w:r/>
    </w:p>
    <w:p>
      <w:pPr>
        <w:ind w:firstLine="240"/>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3、售后服务方案</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4"/>
          <w:lang w:val="zh-CN"/>
        </w:rPr>
        <w:t xml:space="preserve">投标供应商提供详细的售后服务方案，包含安全保障、应急服务措施、培训服务、售后保障期限等方面</w:t>
      </w:r>
      <w:r>
        <w:rPr>
          <w:rFonts w:hint="eastAsia" w:ascii="宋体" w:hAnsi="宋体" w:eastAsia="宋体" w:cs="宋体"/>
          <w:color w:val="auto"/>
          <w:sz w:val="24"/>
          <w:szCs w:val="22"/>
          <w:lang w:eastAsia="zh-CN"/>
        </w:rPr>
        <w:t xml:space="preserve">）</w:t>
      </w:r>
      <w:r>
        <w:rPr>
          <w:rFonts w:hint="eastAsia" w:ascii="宋体" w:hAnsi="宋体" w:eastAsia="宋体" w:cs="宋体"/>
          <w:color w:val="auto"/>
          <w:sz w:val="24"/>
          <w:szCs w:val="22"/>
        </w:rPr>
        <w:t xml:space="preserve">。</w:t>
      </w:r>
      <w:r/>
    </w:p>
    <w:p>
      <w:pPr>
        <w:ind w:firstLine="240"/>
        <w:spacing w:line="46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w:t>
      </w:r>
      <w:r>
        <w:rPr>
          <w:rFonts w:hint="eastAsia" w:ascii="宋体" w:hAnsi="宋体" w:eastAsia="宋体" w:cs="宋体"/>
          <w:bCs/>
          <w:color w:val="auto"/>
          <w:sz w:val="24"/>
          <w:szCs w:val="22"/>
        </w:rPr>
        <w:t xml:space="preserve">进度计划及保障措施</w:t>
      </w:r>
      <w:r>
        <w:rPr>
          <w:rFonts w:hint="eastAsia" w:ascii="宋体" w:hAnsi="宋体" w:eastAsia="宋体" w:cs="宋体"/>
          <w:bCs/>
          <w:color w:val="auto"/>
          <w:sz w:val="24"/>
          <w:szCs w:val="22"/>
          <w:lang w:eastAsia="zh-CN"/>
        </w:rPr>
        <w:t xml:space="preserve">。</w:t>
      </w:r>
      <w:r/>
    </w:p>
    <w:p>
      <w:pPr>
        <w:ind w:firstLine="240"/>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2"/>
        </w:rPr>
        <w:t xml:space="preserve">（二）</w:t>
      </w:r>
      <w:r>
        <w:rPr>
          <w:rFonts w:hint="eastAsia" w:ascii="宋体" w:hAnsi="宋体" w:eastAsia="宋体" w:cs="宋体"/>
          <w:color w:val="auto"/>
          <w:sz w:val="24"/>
          <w:szCs w:val="24"/>
        </w:rPr>
        <w:t xml:space="preserve">投标人应根据招标文件相关要求编写质量保证和售后服务承诺，主要内容应包括但不限于以下方面：</w:t>
      </w:r>
      <w:r/>
    </w:p>
    <w:p>
      <w:pPr>
        <w:ind w:firstLine="24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1、</w:t>
      </w:r>
      <w:r>
        <w:rPr>
          <w:rFonts w:hint="eastAsia" w:ascii="宋体" w:hAnsi="宋体" w:eastAsia="宋体" w:cs="宋体"/>
          <w:bCs/>
          <w:color w:val="auto"/>
          <w:sz w:val="24"/>
          <w:szCs w:val="22"/>
          <w:lang w:eastAsia="zh-CN"/>
        </w:rPr>
        <w:t xml:space="preserve">售后响应时间</w:t>
      </w:r>
      <w:r>
        <w:rPr>
          <w:rFonts w:hint="eastAsia" w:ascii="宋体" w:hAnsi="宋体" w:eastAsia="宋体" w:cs="宋体"/>
          <w:bCs/>
          <w:color w:val="auto"/>
          <w:sz w:val="24"/>
          <w:szCs w:val="22"/>
        </w:rPr>
        <w:t xml:space="preserve">。</w:t>
      </w:r>
      <w:r/>
    </w:p>
    <w:p>
      <w:pPr>
        <w:ind w:firstLine="24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2、</w:t>
      </w:r>
      <w:r>
        <w:rPr>
          <w:rFonts w:hint="eastAsia" w:ascii="宋体" w:hAnsi="宋体" w:eastAsia="宋体" w:cs="宋体"/>
          <w:bCs/>
          <w:color w:val="auto"/>
          <w:sz w:val="24"/>
          <w:szCs w:val="22"/>
          <w:lang w:eastAsia="zh-CN"/>
        </w:rPr>
        <w:t xml:space="preserve">售后人员要求</w:t>
      </w:r>
      <w:r>
        <w:rPr>
          <w:rFonts w:hint="eastAsia" w:ascii="宋体" w:hAnsi="宋体" w:eastAsia="宋体" w:cs="宋体"/>
          <w:bCs/>
          <w:color w:val="auto"/>
          <w:sz w:val="24"/>
          <w:szCs w:val="22"/>
        </w:rPr>
        <w:t xml:space="preserve">。</w:t>
      </w:r>
      <w:r/>
    </w:p>
    <w:p>
      <w:pPr>
        <w:ind w:firstLine="24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3、</w:t>
      </w:r>
      <w:r>
        <w:rPr>
          <w:rFonts w:hint="eastAsia" w:ascii="宋体" w:hAnsi="宋体" w:eastAsia="宋体" w:cs="宋体"/>
          <w:bCs/>
          <w:color w:val="auto"/>
          <w:sz w:val="24"/>
          <w:szCs w:val="22"/>
          <w:lang w:val="en-US" w:eastAsia="zh-CN"/>
        </w:rPr>
        <w:t xml:space="preserve">售后服务承诺</w:t>
      </w:r>
      <w:r>
        <w:rPr>
          <w:rFonts w:hint="eastAsia" w:ascii="宋体" w:hAnsi="宋体" w:eastAsia="宋体" w:cs="宋体"/>
          <w:bCs/>
          <w:color w:val="auto"/>
          <w:sz w:val="24"/>
          <w:szCs w:val="22"/>
        </w:rPr>
        <w:t xml:space="preserve">（包括响应时间、方式、零配件供应及费用收取情况等）。</w:t>
      </w:r>
      <w:r/>
    </w:p>
    <w:p>
      <w:pPr>
        <w:ind w:firstLine="240"/>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lang w:val="en-US" w:eastAsia="zh-CN"/>
        </w:rPr>
        <w:t xml:space="preserve">4</w:t>
      </w:r>
      <w:r>
        <w:rPr>
          <w:rFonts w:hint="eastAsia" w:ascii="宋体" w:hAnsi="宋体" w:eastAsia="宋体" w:cs="宋体"/>
          <w:bCs/>
          <w:color w:val="auto"/>
          <w:sz w:val="24"/>
          <w:szCs w:val="22"/>
        </w:rPr>
        <w:t xml:space="preserve">、其他说明。</w:t>
      </w:r>
      <w:r/>
    </w:p>
    <w:p>
      <w:pPr>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r>
      <w:r/>
    </w:p>
    <w:p>
      <w:pPr>
        <w:ind w:firstLine="420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4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w:t>
      </w:r>
      <w:r/>
    </w:p>
    <w:p>
      <w:pPr>
        <w:jc w:val="center"/>
        <w:spacing w:line="440" w:lineRule="exact"/>
        <w:rPr>
          <w:rFonts w:hint="eastAsia" w:ascii="宋体" w:hAnsi="宋体" w:eastAsia="宋体" w:cs="宋体"/>
          <w:b/>
          <w:color w:val="auto"/>
          <w:sz w:val="24"/>
          <w:szCs w:val="24"/>
        </w:rPr>
        <w:outlineLvl w:val="2"/>
      </w:pPr>
      <w:r>
        <w:rPr>
          <w:rFonts w:hint="eastAsia" w:ascii="宋体" w:hAnsi="宋体" w:eastAsia="宋体" w:cs="宋体"/>
          <w:color w:val="auto"/>
          <w:szCs w:val="22"/>
        </w:rPr>
        <w:br w:type="page" w:clear="all"/>
      </w:r>
      <w:bookmarkStart w:id="314" w:name="_Toc146524609"/>
      <w:r/>
      <w:bookmarkStart w:id="315" w:name="_Toc522610225"/>
      <w:r/>
      <w:bookmarkStart w:id="316" w:name="_Toc354834784"/>
      <w:r/>
      <w:bookmarkStart w:id="317" w:name="_Toc43821328"/>
      <w:r/>
      <w:bookmarkStart w:id="318" w:name="_Toc387400419"/>
      <w:r/>
      <w:bookmarkStart w:id="319" w:name="_Toc160113063"/>
      <w:r>
        <w:rPr>
          <w:rFonts w:hint="eastAsia" w:ascii="宋体" w:hAnsi="宋体" w:eastAsia="宋体" w:cs="宋体"/>
          <w:b/>
          <w:color w:val="auto"/>
          <w:sz w:val="24"/>
          <w:szCs w:val="24"/>
        </w:rPr>
        <w:t xml:space="preserve">附件1</w:t>
      </w:r>
      <w:r>
        <w:rPr>
          <w:rFonts w:hint="eastAsia" w:ascii="宋体" w:hAnsi="宋体" w:cs="宋体"/>
          <w:b/>
          <w:color w:val="auto"/>
          <w:sz w:val="24"/>
          <w:szCs w:val="24"/>
          <w:lang w:val="en-US" w:eastAsia="zh-CN"/>
        </w:rPr>
        <w:t xml:space="preserve">6</w:t>
      </w:r>
      <w:r>
        <w:rPr>
          <w:rFonts w:hint="eastAsia" w:ascii="宋体" w:hAnsi="宋体" w:eastAsia="宋体" w:cs="宋体"/>
          <w:b/>
          <w:color w:val="auto"/>
          <w:sz w:val="24"/>
          <w:szCs w:val="24"/>
        </w:rPr>
        <w:t xml:space="preserve"> 业绩一览表</w:t>
      </w:r>
      <w:bookmarkEnd w:id="314"/>
      <w:r/>
      <w:bookmarkEnd w:id="315"/>
      <w:r/>
      <w:bookmarkEnd w:id="316"/>
      <w:r/>
      <w:bookmarkEnd w:id="317"/>
      <w:r/>
      <w:bookmarkEnd w:id="318"/>
      <w:r/>
      <w:bookmarkEnd w:id="319"/>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681"/>
        <w:gridCol w:w="1779"/>
        <w:gridCol w:w="1661"/>
        <w:gridCol w:w="2611"/>
        <w:gridCol w:w="1118"/>
      </w:tblGrid>
      <w:tr>
        <w:trPr>
          <w:jc w:val="center"/>
          <w:trHeight w:val="589"/>
        </w:trPr>
        <w:tc>
          <w:tcPr>
            <w:tcW w:w="829"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序号</w:t>
            </w:r>
            <w:r/>
          </w:p>
        </w:tc>
        <w:tc>
          <w:tcPr>
            <w:tcW w:w="1681"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项目名称</w:t>
            </w:r>
            <w:r/>
          </w:p>
        </w:tc>
        <w:tc>
          <w:tcPr>
            <w:tcW w:w="1779"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合同金额</w:t>
            </w:r>
            <w:r/>
          </w:p>
        </w:tc>
        <w:tc>
          <w:tcPr>
            <w:tcW w:w="1661"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实施日期</w:t>
            </w:r>
            <w:r/>
          </w:p>
        </w:tc>
        <w:tc>
          <w:tcPr>
            <w:tcW w:w="2611"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联系人及联系电话</w:t>
            </w:r>
            <w:r/>
          </w:p>
        </w:tc>
        <w:tc>
          <w:tcPr>
            <w:tcW w:w="1118" w:type="dxa"/>
            <w:vAlign w:val="center"/>
            <w:textDirection w:val="lrTb"/>
            <w:noWrap w:val="false"/>
          </w:tcPr>
          <w:p>
            <w:pPr>
              <w:jc w:val="center"/>
              <w:spacing w:line="440" w:lineRule="exact"/>
              <w:rPr>
                <w:rFonts w:hint="eastAsia" w:ascii="宋体" w:hAnsi="宋体" w:eastAsia="宋体" w:cs="宋体"/>
                <w:b/>
                <w:color w:val="auto"/>
                <w:sz w:val="24"/>
                <w:szCs w:val="22"/>
              </w:rPr>
            </w:pPr>
            <w:r>
              <w:rPr>
                <w:rFonts w:hint="eastAsia" w:ascii="宋体" w:hAnsi="宋体" w:eastAsia="宋体" w:cs="宋体"/>
                <w:b/>
                <w:color w:val="auto"/>
                <w:sz w:val="24"/>
                <w:szCs w:val="22"/>
              </w:rPr>
              <w:t xml:space="preserve">备注</w:t>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567"/>
        </w:trPr>
        <w:tc>
          <w:tcPr>
            <w:tcW w:w="82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w:t>
            </w:r>
            <w:r/>
          </w:p>
        </w:tc>
        <w:tc>
          <w:tcPr>
            <w:tcBorders>
              <w:bottom w:val="single" w:color="000000" w:sz="4" w:space="0"/>
            </w:tcBorders>
            <w:tcW w:w="168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Borders>
              <w:bottom w:val="single" w:color="000000" w:sz="4" w:space="0"/>
            </w:tcBorders>
            <w:tcW w:w="1779"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Borders>
              <w:bottom w:val="single" w:color="000000" w:sz="4" w:space="0"/>
            </w:tcBorders>
            <w:tcW w:w="166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Borders>
              <w:bottom w:val="single" w:color="000000" w:sz="4" w:space="0"/>
            </w:tcBorders>
            <w:tcW w:w="2611"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Borders>
              <w:bottom w:val="single" w:color="000000" w:sz="4" w:space="0"/>
            </w:tcBorders>
            <w:tcW w:w="1118" w:type="dxa"/>
            <w:vAlign w:val="center"/>
            <w:textDirection w:val="lrTb"/>
            <w:noWrap w:val="false"/>
          </w:tcPr>
          <w:p>
            <w:pPr>
              <w:jc w:val="center"/>
              <w:spacing w:line="44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bl>
    <w:p>
      <w:pPr>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注：1、上述业绩应为投标人2021年1月1日至今（以合同签订日期为准）实施的类似项目业绩</w:t>
      </w:r>
      <w:r>
        <w:rPr>
          <w:rFonts w:hint="eastAsia" w:ascii="宋体" w:hAnsi="宋体" w:eastAsia="宋体" w:cs="宋体"/>
          <w:color w:val="auto"/>
          <w:sz w:val="24"/>
          <w:szCs w:val="24"/>
        </w:rPr>
        <w:t xml:space="preserve">。</w:t>
      </w:r>
      <w:r/>
    </w:p>
    <w:p>
      <w:pPr>
        <w:ind w:firstLine="48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2、投标人需提供上述一览表中业绩的合同</w:t>
      </w:r>
      <w:r>
        <w:rPr>
          <w:rFonts w:hint="eastAsia" w:ascii="宋体" w:hAnsi="宋体" w:eastAsia="宋体" w:cs="宋体"/>
          <w:b/>
          <w:bCs/>
          <w:color w:val="auto"/>
          <w:sz w:val="24"/>
          <w:szCs w:val="24"/>
        </w:rPr>
        <w:t xml:space="preserve">（提供</w:t>
      </w:r>
      <w:r>
        <w:rPr>
          <w:rFonts w:hint="eastAsia" w:ascii="宋体" w:hAnsi="宋体" w:eastAsia="宋体" w:cs="宋体"/>
          <w:b/>
          <w:bCs/>
          <w:color w:val="auto"/>
          <w:sz w:val="24"/>
          <w:szCs w:val="24"/>
          <w:lang w:eastAsia="zh-CN"/>
        </w:rPr>
        <w:t xml:space="preserve">中标通知书、</w:t>
      </w:r>
      <w:r>
        <w:rPr>
          <w:rFonts w:hint="eastAsia" w:ascii="宋体" w:hAnsi="宋体" w:eastAsia="宋体" w:cs="宋体"/>
          <w:b/>
          <w:bCs/>
          <w:color w:val="auto"/>
          <w:sz w:val="24"/>
          <w:szCs w:val="24"/>
        </w:rPr>
        <w:t xml:space="preserve">合同</w:t>
      </w:r>
      <w:r>
        <w:rPr>
          <w:rFonts w:hint="eastAsia" w:ascii="宋体" w:hAnsi="宋体" w:eastAsia="宋体" w:cs="宋体"/>
          <w:b/>
          <w:bCs/>
          <w:color w:val="auto"/>
          <w:sz w:val="24"/>
          <w:szCs w:val="24"/>
          <w:lang w:eastAsia="zh-CN"/>
        </w:rPr>
        <w:t xml:space="preserve">及竣工验收证明扫描件</w:t>
      </w:r>
      <w:r>
        <w:rPr>
          <w:rFonts w:hint="eastAsia" w:ascii="宋体" w:hAnsi="宋体" w:eastAsia="宋体" w:cs="宋体"/>
          <w:b/>
          <w:bCs/>
          <w:color w:val="auto"/>
          <w:sz w:val="24"/>
          <w:szCs w:val="24"/>
        </w:rPr>
        <w:t xml:space="preserve">加盖</w:t>
      </w:r>
      <w:r>
        <w:rPr>
          <w:rFonts w:hint="eastAsia" w:ascii="宋体" w:hAnsi="宋体" w:eastAsia="宋体" w:cs="宋体"/>
          <w:b/>
          <w:bCs/>
          <w:color w:val="auto"/>
          <w:sz w:val="24"/>
          <w:szCs w:val="24"/>
          <w:lang w:eastAsia="zh-CN"/>
        </w:rPr>
        <w:t xml:space="preserve">电子签章，</w:t>
      </w:r>
      <w:r>
        <w:rPr>
          <w:rFonts w:hint="eastAsia" w:ascii="宋体" w:hAnsi="宋体" w:eastAsia="宋体" w:cs="宋体"/>
          <w:b/>
          <w:bCs/>
          <w:color w:val="auto"/>
          <w:sz w:val="24"/>
          <w:szCs w:val="24"/>
        </w:rPr>
        <w:t xml:space="preserve">未提供不得分）。</w:t>
      </w:r>
      <w:r/>
    </w:p>
    <w:p>
      <w:pPr>
        <w:ind w:firstLine="48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2"/>
        </w:rPr>
        <w:t xml:space="preserve">3、如有需要说明的事项，请在备注中列明</w:t>
      </w:r>
      <w:r>
        <w:rPr>
          <w:rFonts w:hint="eastAsia" w:ascii="宋体" w:hAnsi="宋体" w:cs="宋体"/>
          <w:color w:val="auto"/>
          <w:sz w:val="24"/>
          <w:szCs w:val="22"/>
          <w:lang w:eastAsia="zh-CN"/>
        </w:rPr>
        <w:t xml:space="preserve">。</w:t>
      </w:r>
      <w:r/>
    </w:p>
    <w:p>
      <w:pPr>
        <w:ind w:firstLine="24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440" w:lineRule="exact"/>
        <w:widowControl/>
        <w:rPr>
          <w:rFonts w:hint="eastAsia" w:ascii="宋体" w:hAnsi="宋体" w:eastAsia="宋体" w:cs="宋体"/>
          <w:color w:val="auto"/>
          <w:sz w:val="24"/>
          <w:szCs w:val="24"/>
        </w:rPr>
      </w:pPr>
      <w:r/>
      <w:bookmarkStart w:id="320" w:name="_Hlt26955054"/>
      <w:r/>
      <w:bookmarkEnd w:id="320"/>
      <w:r/>
      <w:r/>
    </w:p>
    <w:sectPr>
      <w:headerReference w:type="default" r:id="rId9"/>
      <w:footerReference w:type="default" r:id="rId12"/>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Symbol">
    <w:panose1 w:val="05050102010706020507"/>
  </w:font>
  <w:font w:name="Wingdings">
    <w:panose1 w:val="05000000000000000000"/>
  </w:font>
  <w:font w:name="Tahoma">
    <w:panose1 w:val="020B0604030504040204"/>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5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3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39"/>
                            <w:tabs>
                              <w:tab w:val="clear" w:pos="4153" w:leader="none"/>
                              <w:tab w:val="clear" w:pos="8306" w:leader="none"/>
                            </w:tabs>
                            <w:rPr>
                              <w:rStyle w:val="1059"/>
                            </w:rPr>
                          </w:pPr>
                          <w:r>
                            <w:fldChar w:fldCharType="begin"/>
                          </w:r>
                          <w:r>
                            <w:rPr>
                              <w:rStyle w:val="1059"/>
                            </w:rPr>
                            <w:instrText xml:space="preserve">PAGE  </w:instrText>
                          </w:r>
                          <w:r>
                            <w:fldChar w:fldCharType="separate"/>
                          </w:r>
                          <w:r>
                            <w:rPr>
                              <w:rStyle w:val="1059"/>
                            </w:rPr>
                            <w:t xml:space="preserve">73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9"/>
                      <w:tabs>
                        <w:tab w:val="clear" w:pos="4153" w:leader="none"/>
                        <w:tab w:val="clear" w:pos="8306" w:leader="none"/>
                      </w:tabs>
                      <w:rPr>
                        <w:rStyle w:val="1059"/>
                      </w:rPr>
                    </w:pPr>
                    <w:r>
                      <w:fldChar w:fldCharType="begin"/>
                    </w:r>
                    <w:r>
                      <w:rPr>
                        <w:rStyle w:val="1059"/>
                      </w:rPr>
                      <w:instrText xml:space="preserve">PAGE  </w:instrText>
                    </w:r>
                    <w:r>
                      <w:fldChar w:fldCharType="separate"/>
                    </w:r>
                    <w:r>
                      <w:rPr>
                        <w:rStyle w:val="1059"/>
                      </w:rPr>
                      <w:t xml:space="preserve">73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59"/>
      </w:rPr>
      <w:framePr w:wrap="around" w:vAnchor="text" w:hAnchor="margin" w:xAlign="right" w:y="1"/>
    </w:pPr>
    <w:r/>
    <w:r/>
  </w:p>
  <w:p>
    <w:pPr>
      <w:pStyle w:val="1039"/>
      <w:ind w:right="360"/>
      <w:jc w:val="center"/>
    </w:pPr>
    <w:r>
      <w:fldChar w:fldCharType="begin"/>
    </w:r>
    <w:r>
      <w:rPr>
        <w:rStyle w:val="1059"/>
      </w:rPr>
      <w:instrText xml:space="preserve"> PAGE </w:instrText>
    </w:r>
    <w:r>
      <w:fldChar w:fldCharType="separate"/>
    </w:r>
    <w:r>
      <w:rPr>
        <w:rStyle w:val="1059"/>
      </w:rPr>
      <w:t xml:space="preserve">69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0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820"/>
    <w:link w:val="1017"/>
    <w:uiPriority w:val="9"/>
    <w:rPr>
      <w:rFonts w:ascii="Arial" w:hAnsi="Arial" w:eastAsia="Arial" w:cs="Arial"/>
      <w:sz w:val="40"/>
      <w:szCs w:val="40"/>
    </w:rPr>
  </w:style>
  <w:style w:type="character" w:styleId="793">
    <w:name w:val="Heading 2 Char"/>
    <w:basedOn w:val="820"/>
    <w:link w:val="812"/>
    <w:uiPriority w:val="9"/>
    <w:rPr>
      <w:rFonts w:ascii="Arial" w:hAnsi="Arial" w:eastAsia="Arial" w:cs="Arial"/>
      <w:sz w:val="34"/>
    </w:rPr>
  </w:style>
  <w:style w:type="character" w:styleId="794">
    <w:name w:val="Heading 3 Char"/>
    <w:basedOn w:val="820"/>
    <w:link w:val="813"/>
    <w:uiPriority w:val="9"/>
    <w:rPr>
      <w:rFonts w:ascii="Arial" w:hAnsi="Arial" w:eastAsia="Arial" w:cs="Arial"/>
      <w:sz w:val="30"/>
      <w:szCs w:val="30"/>
    </w:rPr>
  </w:style>
  <w:style w:type="character" w:styleId="795">
    <w:name w:val="Heading 4 Char"/>
    <w:basedOn w:val="820"/>
    <w:link w:val="814"/>
    <w:uiPriority w:val="9"/>
    <w:rPr>
      <w:rFonts w:ascii="Arial" w:hAnsi="Arial" w:eastAsia="Arial" w:cs="Arial"/>
      <w:b/>
      <w:bCs/>
      <w:sz w:val="26"/>
      <w:szCs w:val="26"/>
    </w:rPr>
  </w:style>
  <w:style w:type="character" w:styleId="796">
    <w:name w:val="Heading 5 Char"/>
    <w:basedOn w:val="820"/>
    <w:link w:val="815"/>
    <w:uiPriority w:val="9"/>
    <w:rPr>
      <w:rFonts w:ascii="Arial" w:hAnsi="Arial" w:eastAsia="Arial" w:cs="Arial"/>
      <w:b/>
      <w:bCs/>
      <w:sz w:val="24"/>
      <w:szCs w:val="24"/>
    </w:rPr>
  </w:style>
  <w:style w:type="character" w:styleId="797">
    <w:name w:val="Heading 6 Char"/>
    <w:basedOn w:val="820"/>
    <w:link w:val="816"/>
    <w:uiPriority w:val="9"/>
    <w:rPr>
      <w:rFonts w:ascii="Arial" w:hAnsi="Arial" w:eastAsia="Arial" w:cs="Arial"/>
      <w:b/>
      <w:bCs/>
      <w:sz w:val="22"/>
      <w:szCs w:val="22"/>
    </w:rPr>
  </w:style>
  <w:style w:type="character" w:styleId="798">
    <w:name w:val="Heading 7 Char"/>
    <w:basedOn w:val="820"/>
    <w:link w:val="817"/>
    <w:uiPriority w:val="9"/>
    <w:rPr>
      <w:rFonts w:ascii="Arial" w:hAnsi="Arial" w:eastAsia="Arial" w:cs="Arial"/>
      <w:b/>
      <w:bCs/>
      <w:i/>
      <w:iCs/>
      <w:sz w:val="22"/>
      <w:szCs w:val="22"/>
    </w:rPr>
  </w:style>
  <w:style w:type="character" w:styleId="799">
    <w:name w:val="Heading 8 Char"/>
    <w:basedOn w:val="820"/>
    <w:link w:val="818"/>
    <w:uiPriority w:val="9"/>
    <w:rPr>
      <w:rFonts w:ascii="Arial" w:hAnsi="Arial" w:eastAsia="Arial" w:cs="Arial"/>
      <w:i/>
      <w:iCs/>
      <w:sz w:val="22"/>
      <w:szCs w:val="22"/>
    </w:rPr>
  </w:style>
  <w:style w:type="character" w:styleId="800">
    <w:name w:val="Heading 9 Char"/>
    <w:basedOn w:val="820"/>
    <w:link w:val="819"/>
    <w:uiPriority w:val="9"/>
    <w:rPr>
      <w:rFonts w:ascii="Arial" w:hAnsi="Arial" w:eastAsia="Arial" w:cs="Arial"/>
      <w:i/>
      <w:iCs/>
      <w:sz w:val="21"/>
      <w:szCs w:val="21"/>
    </w:rPr>
  </w:style>
  <w:style w:type="character" w:styleId="801">
    <w:name w:val="Title Char"/>
    <w:basedOn w:val="820"/>
    <w:link w:val="844"/>
    <w:uiPriority w:val="10"/>
    <w:rPr>
      <w:sz w:val="48"/>
      <w:szCs w:val="48"/>
    </w:rPr>
  </w:style>
  <w:style w:type="character" w:styleId="802">
    <w:name w:val="Subtitle Char"/>
    <w:basedOn w:val="820"/>
    <w:link w:val="837"/>
    <w:uiPriority w:val="11"/>
    <w:rPr>
      <w:sz w:val="24"/>
      <w:szCs w:val="24"/>
    </w:rPr>
  </w:style>
  <w:style w:type="character" w:styleId="803">
    <w:name w:val="Quote Char"/>
    <w:link w:val="871"/>
    <w:uiPriority w:val="29"/>
    <w:rPr>
      <w:i/>
    </w:rPr>
  </w:style>
  <w:style w:type="character" w:styleId="804">
    <w:name w:val="Intense Quote Char"/>
    <w:link w:val="873"/>
    <w:uiPriority w:val="30"/>
    <w:rPr>
      <w:i/>
    </w:rPr>
  </w:style>
  <w:style w:type="character" w:styleId="805">
    <w:name w:val="Header Char"/>
    <w:basedOn w:val="820"/>
    <w:link w:val="834"/>
    <w:uiPriority w:val="99"/>
  </w:style>
  <w:style w:type="character" w:styleId="806">
    <w:name w:val="Caption Char"/>
    <w:basedOn w:val="824"/>
    <w:link w:val="833"/>
    <w:uiPriority w:val="99"/>
  </w:style>
  <w:style w:type="character" w:styleId="807">
    <w:name w:val="Footnote Text Char"/>
    <w:link w:val="838"/>
    <w:uiPriority w:val="99"/>
    <w:rPr>
      <w:sz w:val="18"/>
    </w:rPr>
  </w:style>
  <w:style w:type="character" w:styleId="808">
    <w:name w:val="Endnote Text Char"/>
    <w:link w:val="831"/>
    <w:uiPriority w:val="99"/>
    <w:rPr>
      <w:sz w:val="20"/>
    </w:rPr>
  </w:style>
  <w:style w:type="paragraph" w:styleId="809">
    <w:name w:val="TOC Heading"/>
    <w:uiPriority w:val="39"/>
    <w:unhideWhenUsed/>
  </w:style>
  <w:style w:type="paragraph" w:styleId="81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1">
    <w:name w:val="Heading 1"/>
    <w:basedOn w:val="810"/>
    <w:next w:val="810"/>
    <w:link w:val="858"/>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59"/>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60"/>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61"/>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62"/>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63"/>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5"/>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6"/>
    <w:uiPriority w:val="9"/>
    <w:unhideWhenUsed/>
    <w:qFormat/>
    <w:pPr>
      <w:keepLines/>
      <w:keepNext/>
      <w:spacing w:before="320" w:after="200"/>
      <w:outlineLvl w:val="8"/>
    </w:pPr>
    <w:rPr>
      <w:rFonts w:ascii="Arial" w:hAnsi="Arial" w:eastAsia="Arial" w:cs="Arial"/>
      <w:i/>
      <w:iCs/>
    </w:rPr>
  </w:style>
  <w:style w:type="character" w:styleId="820" w:default="1">
    <w:name w:val="Default Paragraph Font"/>
    <w:uiPriority w:val="1"/>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spacing w:after="57"/>
    </w:pPr>
  </w:style>
  <w:style w:type="paragraph" w:styleId="823">
    <w:name w:val="Normal Indent"/>
    <w:basedOn w:val="810"/>
    <w:next w:val="810"/>
    <w:uiPriority w:val="0"/>
    <w:qFormat/>
    <w:pPr>
      <w:ind w:firstLine="420"/>
      <w:jc w:val="left"/>
    </w:pPr>
    <w:rPr>
      <w:rFonts w:ascii="宋体"/>
      <w:sz w:val="24"/>
      <w:szCs w:val="24"/>
    </w:rPr>
  </w:style>
  <w:style w:type="paragraph" w:styleId="824">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annotation text"/>
    <w:basedOn w:val="810"/>
    <w:uiPriority w:val="99"/>
    <w:semiHidden/>
    <w:unhideWhenUsed/>
    <w:qFormat/>
    <w:pPr>
      <w:jc w:val="left"/>
    </w:pPr>
  </w:style>
  <w:style w:type="paragraph" w:styleId="826">
    <w:name w:val="Body Text"/>
    <w:basedOn w:val="810"/>
    <w:next w:val="810"/>
    <w:link w:val="1135"/>
    <w:uiPriority w:val="0"/>
    <w:qFormat/>
    <w:pPr>
      <w:spacing w:after="120"/>
    </w:pPr>
    <w:rPr>
      <w:sz w:val="20"/>
      <w:szCs w:val="24"/>
    </w:rPr>
  </w:style>
  <w:style w:type="paragraph" w:styleId="827">
    <w:name w:val="toc 5"/>
    <w:basedOn w:val="810"/>
    <w:next w:val="810"/>
    <w:uiPriority w:val="39"/>
    <w:unhideWhenUsed/>
    <w:qFormat/>
    <w:pPr>
      <w:ind w:left="1134"/>
      <w:spacing w:after="57"/>
    </w:pPr>
  </w:style>
  <w:style w:type="paragraph" w:styleId="828">
    <w:name w:val="toc 3"/>
    <w:basedOn w:val="810"/>
    <w:next w:val="810"/>
    <w:uiPriority w:val="39"/>
    <w:unhideWhenUsed/>
    <w:qFormat/>
    <w:pPr>
      <w:ind w:left="567"/>
      <w:spacing w:after="57"/>
    </w:pPr>
  </w:style>
  <w:style w:type="paragraph" w:styleId="829">
    <w:name w:val="Plain Text"/>
    <w:basedOn w:val="810"/>
    <w:next w:val="823"/>
    <w:uiPriority w:val="0"/>
    <w:qFormat/>
    <w:pPr>
      <w:spacing w:line="360" w:lineRule="auto"/>
    </w:pPr>
    <w:rPr>
      <w:rFonts w:ascii="楷体_GB2312" w:hAnsi="Courier New" w:eastAsia="楷体_GB2312"/>
      <w:sz w:val="24"/>
      <w:szCs w:val="20"/>
    </w:rPr>
  </w:style>
  <w:style w:type="paragraph" w:styleId="830">
    <w:name w:val="toc 8"/>
    <w:basedOn w:val="810"/>
    <w:next w:val="810"/>
    <w:uiPriority w:val="39"/>
    <w:unhideWhenUsed/>
    <w:qFormat/>
    <w:pPr>
      <w:ind w:left="1984"/>
      <w:spacing w:after="57"/>
    </w:pPr>
  </w:style>
  <w:style w:type="paragraph" w:styleId="831">
    <w:name w:val="endnote text"/>
    <w:basedOn w:val="810"/>
    <w:link w:val="1004"/>
    <w:uiPriority w:val="99"/>
    <w:semiHidden/>
    <w:unhideWhenUsed/>
    <w:qFormat/>
    <w:rPr>
      <w:sz w:val="20"/>
    </w:rPr>
  </w:style>
  <w:style w:type="paragraph" w:styleId="832">
    <w:name w:val="Balloon Text"/>
    <w:basedOn w:val="810"/>
    <w:link w:val="1138"/>
    <w:uiPriority w:val="99"/>
    <w:semiHidden/>
    <w:unhideWhenUsed/>
    <w:qFormat/>
    <w:rPr>
      <w:sz w:val="18"/>
      <w:szCs w:val="18"/>
    </w:rPr>
  </w:style>
  <w:style w:type="paragraph" w:styleId="833">
    <w:name w:val="Footer"/>
    <w:basedOn w:val="810"/>
    <w:link w:val="877"/>
    <w:uiPriority w:val="99"/>
    <w:unhideWhenUsed/>
    <w:qFormat/>
    <w:pPr>
      <w:tabs>
        <w:tab w:val="center" w:pos="7143" w:leader="none"/>
        <w:tab w:val="right" w:pos="14287" w:leader="none"/>
      </w:tabs>
    </w:pPr>
  </w:style>
  <w:style w:type="paragraph" w:styleId="834">
    <w:name w:val="Header"/>
    <w:basedOn w:val="810"/>
    <w:link w:val="875"/>
    <w:uiPriority w:val="99"/>
    <w:unhideWhenUsed/>
    <w:qFormat/>
    <w:pPr>
      <w:tabs>
        <w:tab w:val="center" w:pos="7143" w:leader="none"/>
        <w:tab w:val="right" w:pos="14287" w:leader="none"/>
      </w:tabs>
    </w:pPr>
  </w:style>
  <w:style w:type="paragraph" w:styleId="835">
    <w:name w:val="toc 1"/>
    <w:basedOn w:val="810"/>
    <w:next w:val="810"/>
    <w:uiPriority w:val="39"/>
    <w:unhideWhenUsed/>
    <w:qFormat/>
    <w:pPr>
      <w:spacing w:after="57"/>
    </w:pPr>
  </w:style>
  <w:style w:type="paragraph" w:styleId="836">
    <w:name w:val="toc 4"/>
    <w:basedOn w:val="810"/>
    <w:next w:val="810"/>
    <w:uiPriority w:val="39"/>
    <w:unhideWhenUsed/>
    <w:qFormat/>
    <w:pPr>
      <w:ind w:left="850"/>
      <w:spacing w:after="57"/>
    </w:pPr>
  </w:style>
  <w:style w:type="paragraph" w:styleId="837">
    <w:name w:val="Subtitle"/>
    <w:basedOn w:val="810"/>
    <w:next w:val="810"/>
    <w:link w:val="870"/>
    <w:uiPriority w:val="11"/>
    <w:qFormat/>
    <w:pPr>
      <w:spacing w:before="200" w:after="200"/>
    </w:pPr>
    <w:rPr>
      <w:sz w:val="24"/>
      <w:szCs w:val="24"/>
    </w:rPr>
  </w:style>
  <w:style w:type="paragraph" w:styleId="838">
    <w:name w:val="footnote text"/>
    <w:basedOn w:val="810"/>
    <w:link w:val="1003"/>
    <w:uiPriority w:val="99"/>
    <w:semiHidden/>
    <w:unhideWhenUsed/>
    <w:qFormat/>
    <w:pPr>
      <w:spacing w:after="40"/>
    </w:pPr>
    <w:rPr>
      <w:sz w:val="18"/>
    </w:rPr>
  </w:style>
  <w:style w:type="paragraph" w:styleId="839">
    <w:name w:val="toc 6"/>
    <w:basedOn w:val="810"/>
    <w:next w:val="810"/>
    <w:uiPriority w:val="39"/>
    <w:unhideWhenUsed/>
    <w:qFormat/>
    <w:pPr>
      <w:ind w:left="1417"/>
      <w:spacing w:after="57"/>
    </w:pPr>
  </w:style>
  <w:style w:type="paragraph" w:styleId="840">
    <w:name w:val="table of figures"/>
    <w:basedOn w:val="810"/>
    <w:next w:val="810"/>
    <w:uiPriority w:val="99"/>
    <w:unhideWhenUsed/>
    <w:qFormat/>
  </w:style>
  <w:style w:type="paragraph" w:styleId="841">
    <w:name w:val="toc 2"/>
    <w:basedOn w:val="810"/>
    <w:next w:val="810"/>
    <w:uiPriority w:val="39"/>
    <w:unhideWhenUsed/>
    <w:qFormat/>
    <w:pPr>
      <w:ind w:left="283"/>
      <w:spacing w:after="57"/>
    </w:pPr>
  </w:style>
  <w:style w:type="paragraph" w:styleId="842">
    <w:name w:val="toc 9"/>
    <w:basedOn w:val="810"/>
    <w:next w:val="810"/>
    <w:uiPriority w:val="39"/>
    <w:unhideWhenUsed/>
    <w:qFormat/>
    <w:pPr>
      <w:ind w:left="2268"/>
      <w:spacing w:after="57"/>
    </w:pPr>
  </w:style>
  <w:style w:type="paragraph" w:styleId="843">
    <w:name w:val="Normal (Web)"/>
    <w:basedOn w:val="810"/>
    <w:uiPriority w:val="99"/>
    <w:semiHidden/>
    <w:unhideWhenUsed/>
    <w:qFormat/>
    <w:pPr>
      <w:ind w:left="0" w:right="0"/>
      <w:jc w:val="left"/>
      <w:spacing w:before="0" w:beforeAutospacing="1" w:after="0" w:afterAutospacing="1"/>
    </w:pPr>
    <w:rPr>
      <w:sz w:val="24"/>
      <w:lang w:val="en-US" w:eastAsia="zh-CN" w:bidi="ar"/>
    </w:rPr>
  </w:style>
  <w:style w:type="paragraph" w:styleId="844">
    <w:name w:val="Title"/>
    <w:basedOn w:val="810"/>
    <w:next w:val="810"/>
    <w:link w:val="869"/>
    <w:uiPriority w:val="10"/>
    <w:qFormat/>
    <w:pPr>
      <w:contextualSpacing/>
      <w:spacing w:before="300" w:after="200"/>
    </w:pPr>
    <w:rPr>
      <w:sz w:val="48"/>
      <w:szCs w:val="48"/>
    </w:r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20"/>
    <w:uiPriority w:val="22"/>
    <w:qFormat/>
    <w:rPr>
      <w:b/>
      <w:bCs/>
    </w:rPr>
  </w:style>
  <w:style w:type="character" w:styleId="847">
    <w:name w:val="endnote reference"/>
    <w:uiPriority w:val="99"/>
    <w:semiHidden/>
    <w:unhideWhenUsed/>
    <w:qFormat/>
    <w:rPr>
      <w:vertAlign w:val="superscript"/>
    </w:rPr>
  </w:style>
  <w:style w:type="character" w:styleId="848">
    <w:name w:val="FollowedHyperlink"/>
    <w:basedOn w:val="820"/>
    <w:uiPriority w:val="99"/>
    <w:semiHidden/>
    <w:unhideWhenUsed/>
    <w:qFormat/>
    <w:rPr>
      <w:color w:val="333333"/>
      <w:u w:val="none"/>
    </w:rPr>
  </w:style>
  <w:style w:type="character" w:styleId="849">
    <w:name w:val="HTML Definition"/>
    <w:basedOn w:val="820"/>
    <w:uiPriority w:val="99"/>
    <w:semiHidden/>
    <w:unhideWhenUsed/>
    <w:qFormat/>
    <w:rPr>
      <w:i/>
      <w:iCs/>
    </w:rPr>
  </w:style>
  <w:style w:type="character" w:styleId="850">
    <w:name w:val="HTML Typewriter"/>
    <w:basedOn w:val="820"/>
    <w:uiPriority w:val="99"/>
    <w:semiHidden/>
    <w:unhideWhenUsed/>
    <w:qFormat/>
    <w:rPr>
      <w:rFonts w:hint="default" w:ascii="monospace" w:hAnsi="monospace" w:eastAsia="monospace" w:cs="monospace"/>
      <w:sz w:val="20"/>
    </w:rPr>
  </w:style>
  <w:style w:type="character" w:styleId="851">
    <w:name w:val="Hyperlink"/>
    <w:basedOn w:val="820"/>
    <w:uiPriority w:val="99"/>
    <w:unhideWhenUsed/>
    <w:qFormat/>
    <w:rPr>
      <w:color w:val="0000ff" w:themeColor="hyperlink"/>
      <w:u w:val="single"/>
      <w14:textFill>
        <w14:solidFill>
          <w14:schemeClr w14:val="hlink"/>
        </w14:solidFill>
      </w14:textFill>
    </w:rPr>
  </w:style>
  <w:style w:type="character" w:styleId="852">
    <w:name w:val="HTML Code"/>
    <w:basedOn w:val="820"/>
    <w:uiPriority w:val="99"/>
    <w:semiHidden/>
    <w:unhideWhenUsed/>
    <w:qFormat/>
    <w:rPr>
      <w:rFonts w:hint="default" w:ascii="monospace" w:hAnsi="monospace" w:eastAsia="monospace" w:cs="monospace"/>
      <w:sz w:val="20"/>
    </w:rPr>
  </w:style>
  <w:style w:type="character" w:styleId="853">
    <w:name w:val="footnote reference"/>
    <w:uiPriority w:val="99"/>
    <w:unhideWhenUsed/>
    <w:qFormat/>
    <w:rPr>
      <w:vertAlign w:val="superscript"/>
    </w:rPr>
  </w:style>
  <w:style w:type="character" w:styleId="854">
    <w:name w:val="HTML Keyboard"/>
    <w:basedOn w:val="820"/>
    <w:uiPriority w:val="99"/>
    <w:semiHidden/>
    <w:unhideWhenUsed/>
    <w:qFormat/>
    <w:rPr>
      <w:rFonts w:ascii="monospace" w:hAnsi="monospace" w:eastAsia="monospace" w:cs="monospace"/>
      <w:sz w:val="20"/>
    </w:rPr>
  </w:style>
  <w:style w:type="character" w:styleId="855">
    <w:name w:val="HTML Sample"/>
    <w:basedOn w:val="820"/>
    <w:uiPriority w:val="99"/>
    <w:semiHidden/>
    <w:unhideWhenUsed/>
    <w:qFormat/>
    <w:rPr>
      <w:rFonts w:hint="default" w:ascii="monospace" w:hAnsi="monospace" w:eastAsia="monospace" w:cs="monospace"/>
    </w:rPr>
  </w:style>
  <w:style w:type="paragraph" w:styleId="856" w:customStyle="1">
    <w:name w:val="目录 111"/>
    <w:basedOn w:val="810"/>
    <w:next w:val="810"/>
    <w:uiPriority w:val="39"/>
    <w:qFormat/>
    <w:pPr>
      <w:tabs>
        <w:tab w:val="right" w:pos="9061" w:leader="dot"/>
      </w:tabs>
    </w:pPr>
    <w:rPr>
      <w:rFonts w:ascii="仿宋_GB2312" w:hAnsi="宋体" w:eastAsia="仿宋_GB2312" w:cs="仿宋_GB2312"/>
      <w:color w:val="000000"/>
    </w:rPr>
  </w:style>
  <w:style w:type="paragraph" w:styleId="857" w:customStyle="1">
    <w:name w:val="首行缩进"/>
    <w:basedOn w:val="810"/>
    <w:uiPriority w:val="0"/>
    <w:qFormat/>
    <w:pPr>
      <w:ind w:firstLine="480"/>
    </w:pPr>
    <w:rPr>
      <w:szCs w:val="20"/>
      <w:lang w:val="zh-CN"/>
    </w:rPr>
  </w:style>
  <w:style w:type="character" w:styleId="858" w:customStyle="1">
    <w:name w:val="标题 1 Char"/>
    <w:link w:val="811"/>
    <w:uiPriority w:val="9"/>
    <w:qFormat/>
    <w:rPr>
      <w:rFonts w:ascii="Arial" w:hAnsi="Arial" w:eastAsia="Arial" w:cs="Arial"/>
      <w:sz w:val="40"/>
      <w:szCs w:val="40"/>
    </w:rPr>
  </w:style>
  <w:style w:type="character" w:styleId="859" w:customStyle="1">
    <w:name w:val="标题 2 Char"/>
    <w:link w:val="812"/>
    <w:uiPriority w:val="9"/>
    <w:qFormat/>
    <w:rPr>
      <w:rFonts w:ascii="Arial" w:hAnsi="Arial" w:eastAsia="Arial" w:cs="Arial"/>
      <w:sz w:val="34"/>
    </w:rPr>
  </w:style>
  <w:style w:type="character" w:styleId="860" w:customStyle="1">
    <w:name w:val="标题 3 Char"/>
    <w:link w:val="813"/>
    <w:uiPriority w:val="9"/>
    <w:qFormat/>
    <w:rPr>
      <w:rFonts w:ascii="Arial" w:hAnsi="Arial" w:eastAsia="Arial" w:cs="Arial"/>
      <w:sz w:val="30"/>
      <w:szCs w:val="30"/>
    </w:rPr>
  </w:style>
  <w:style w:type="character" w:styleId="861" w:customStyle="1">
    <w:name w:val="标题 4 Char"/>
    <w:link w:val="814"/>
    <w:uiPriority w:val="9"/>
    <w:qFormat/>
    <w:rPr>
      <w:rFonts w:ascii="Arial" w:hAnsi="Arial" w:eastAsia="Arial" w:cs="Arial"/>
      <w:b/>
      <w:bCs/>
      <w:sz w:val="26"/>
      <w:szCs w:val="26"/>
    </w:rPr>
  </w:style>
  <w:style w:type="character" w:styleId="862" w:customStyle="1">
    <w:name w:val="标题 5 Char"/>
    <w:link w:val="815"/>
    <w:uiPriority w:val="9"/>
    <w:qFormat/>
    <w:rPr>
      <w:rFonts w:ascii="Arial" w:hAnsi="Arial" w:eastAsia="Arial" w:cs="Arial"/>
      <w:b/>
      <w:bCs/>
      <w:sz w:val="24"/>
      <w:szCs w:val="24"/>
    </w:rPr>
  </w:style>
  <w:style w:type="character" w:styleId="863" w:customStyle="1">
    <w:name w:val="标题 6 Char"/>
    <w:link w:val="816"/>
    <w:uiPriority w:val="9"/>
    <w:qFormat/>
    <w:rPr>
      <w:rFonts w:ascii="Arial" w:hAnsi="Arial" w:eastAsia="Arial" w:cs="Arial"/>
      <w:b/>
      <w:bCs/>
      <w:sz w:val="22"/>
      <w:szCs w:val="22"/>
    </w:rPr>
  </w:style>
  <w:style w:type="character" w:styleId="864" w:customStyle="1">
    <w:name w:val="标题 7 Char"/>
    <w:link w:val="817"/>
    <w:uiPriority w:val="9"/>
    <w:qFormat/>
    <w:rPr>
      <w:rFonts w:ascii="Arial" w:hAnsi="Arial" w:eastAsia="Arial" w:cs="Arial"/>
      <w:b/>
      <w:bCs/>
      <w:i/>
      <w:iCs/>
      <w:sz w:val="22"/>
      <w:szCs w:val="22"/>
    </w:rPr>
  </w:style>
  <w:style w:type="character" w:styleId="865" w:customStyle="1">
    <w:name w:val="标题 8 Char"/>
    <w:link w:val="818"/>
    <w:uiPriority w:val="9"/>
    <w:qFormat/>
    <w:rPr>
      <w:rFonts w:ascii="Arial" w:hAnsi="Arial" w:eastAsia="Arial" w:cs="Arial"/>
      <w:i/>
      <w:iCs/>
      <w:sz w:val="22"/>
      <w:szCs w:val="22"/>
    </w:rPr>
  </w:style>
  <w:style w:type="character" w:styleId="866" w:customStyle="1">
    <w:name w:val="标题 9 Char"/>
    <w:link w:val="819"/>
    <w:uiPriority w:val="9"/>
    <w:qFormat/>
    <w:rPr>
      <w:rFonts w:ascii="Arial" w:hAnsi="Arial" w:eastAsia="Arial" w:cs="Arial"/>
      <w:i/>
      <w:iCs/>
      <w:sz w:val="21"/>
      <w:szCs w:val="21"/>
    </w:rPr>
  </w:style>
  <w:style w:type="paragraph" w:styleId="867">
    <w:name w:val="List Paragraph"/>
    <w:basedOn w:val="810"/>
    <w:uiPriority w:val="34"/>
    <w:qFormat/>
    <w:pPr>
      <w:contextualSpacing/>
      <w:ind w:left="720"/>
    </w:p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Char"/>
    <w:link w:val="844"/>
    <w:uiPriority w:val="10"/>
    <w:qFormat/>
    <w:rPr>
      <w:sz w:val="48"/>
      <w:szCs w:val="48"/>
    </w:rPr>
  </w:style>
  <w:style w:type="character" w:styleId="870" w:customStyle="1">
    <w:name w:val="副标题 Char"/>
    <w:link w:val="837"/>
    <w:uiPriority w:val="11"/>
    <w:qFormat/>
    <w:rPr>
      <w:sz w:val="24"/>
      <w:szCs w:val="24"/>
    </w:rPr>
  </w:style>
  <w:style w:type="paragraph" w:styleId="871">
    <w:name w:val="Quote"/>
    <w:basedOn w:val="810"/>
    <w:next w:val="810"/>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810"/>
    <w:next w:val="810"/>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页眉 Char"/>
    <w:link w:val="834"/>
    <w:uiPriority w:val="99"/>
    <w:qFormat/>
  </w:style>
  <w:style w:type="character" w:styleId="876" w:customStyle="1">
    <w:name w:val="Footer Char"/>
    <w:link w:val="833"/>
    <w:uiPriority w:val="99"/>
    <w:qFormat/>
  </w:style>
  <w:style w:type="character" w:styleId="877" w:customStyle="1">
    <w:name w:val="页脚 Char"/>
    <w:link w:val="833"/>
    <w:uiPriority w:val="99"/>
    <w:qFormat/>
  </w:style>
  <w:style w:type="table" w:styleId="8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Char"/>
    <w:link w:val="838"/>
    <w:uiPriority w:val="99"/>
    <w:qFormat/>
    <w:rPr>
      <w:sz w:val="18"/>
    </w:rPr>
  </w:style>
  <w:style w:type="character" w:styleId="1004" w:customStyle="1">
    <w:name w:val="尾注文本 Char"/>
    <w:link w:val="831"/>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paragraph" w:styleId="1006" w:customStyle="1">
    <w:name w:val="标题 11"/>
    <w:basedOn w:val="810"/>
    <w:next w:val="810"/>
    <w:uiPriority w:val="0"/>
    <w:qFormat/>
    <w:pPr>
      <w:jc w:val="center"/>
      <w:keepLines/>
      <w:keepNext/>
      <w:spacing w:before="240" w:after="120" w:line="300" w:lineRule="auto"/>
      <w:outlineLvl w:val="0"/>
    </w:pPr>
    <w:rPr>
      <w:rFonts w:ascii="宋体" w:cs="宋体"/>
      <w:b/>
      <w:bCs/>
      <w:sz w:val="32"/>
      <w:szCs w:val="32"/>
    </w:rPr>
  </w:style>
  <w:style w:type="paragraph" w:styleId="1007" w:customStyle="1">
    <w:name w:val="标题 211"/>
    <w:basedOn w:val="810"/>
    <w:next w:val="810"/>
    <w:uiPriority w:val="0"/>
    <w:qFormat/>
    <w:pPr>
      <w:jc w:val="center"/>
      <w:keepLines/>
      <w:keepNext/>
      <w:spacing w:before="120" w:line="300" w:lineRule="auto"/>
      <w:outlineLvl w:val="1"/>
    </w:pPr>
    <w:rPr>
      <w:rFonts w:ascii="Arial" w:hAnsi="Arial" w:eastAsia="黑体" w:cs="Arial"/>
      <w:b/>
      <w:bCs/>
      <w:sz w:val="30"/>
      <w:szCs w:val="30"/>
    </w:rPr>
  </w:style>
  <w:style w:type="paragraph" w:styleId="1008" w:customStyle="1">
    <w:name w:val="标题 31"/>
    <w:basedOn w:val="810"/>
    <w:next w:val="810"/>
    <w:uiPriority w:val="0"/>
    <w:qFormat/>
    <w:pPr>
      <w:jc w:val="left"/>
      <w:keepLines/>
      <w:keepNext/>
      <w:spacing w:before="360" w:after="120"/>
      <w:outlineLvl w:val="2"/>
    </w:pPr>
    <w:rPr>
      <w:rFonts w:ascii="宋体" w:cs="宋体"/>
      <w:b/>
      <w:bCs/>
      <w:sz w:val="24"/>
      <w:szCs w:val="24"/>
      <w:u w:val="single"/>
    </w:rPr>
  </w:style>
  <w:style w:type="paragraph" w:styleId="1009" w:customStyle="1">
    <w:name w:val="标题 41"/>
    <w:basedOn w:val="810"/>
    <w:next w:val="81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10" w:customStyle="1">
    <w:name w:val="标题 61"/>
    <w:basedOn w:val="810"/>
    <w:next w:val="810"/>
    <w:uiPriority w:val="0"/>
    <w:qFormat/>
    <w:pPr>
      <w:keepLines/>
      <w:keepNext/>
      <w:spacing w:before="240" w:after="64" w:line="320" w:lineRule="auto"/>
      <w:outlineLvl w:val="5"/>
    </w:pPr>
    <w:rPr>
      <w:rFonts w:ascii="Arial" w:hAnsi="Arial" w:eastAsia="黑体" w:cs="Arial"/>
      <w:b/>
      <w:bCs/>
      <w:sz w:val="24"/>
      <w:szCs w:val="24"/>
    </w:rPr>
  </w:style>
  <w:style w:type="paragraph" w:styleId="1011" w:customStyle="1">
    <w:name w:val="标题 71"/>
    <w:basedOn w:val="810"/>
    <w:next w:val="810"/>
    <w:uiPriority w:val="0"/>
    <w:qFormat/>
    <w:pPr>
      <w:keepLines/>
      <w:keepNext/>
      <w:spacing w:before="240" w:after="64" w:line="320" w:lineRule="auto"/>
      <w:outlineLvl w:val="6"/>
    </w:pPr>
    <w:rPr>
      <w:b/>
      <w:bCs/>
      <w:sz w:val="24"/>
      <w:szCs w:val="24"/>
    </w:rPr>
  </w:style>
  <w:style w:type="paragraph" w:styleId="1012" w:customStyle="1">
    <w:name w:val="标题 81"/>
    <w:basedOn w:val="810"/>
    <w:next w:val="810"/>
    <w:uiPriority w:val="0"/>
    <w:qFormat/>
    <w:pPr>
      <w:keepLines/>
      <w:keepNext/>
      <w:spacing w:before="240" w:after="64" w:line="320" w:lineRule="auto"/>
      <w:outlineLvl w:val="7"/>
    </w:pPr>
    <w:rPr>
      <w:rFonts w:ascii="Arial" w:hAnsi="Arial" w:eastAsia="黑体" w:cs="Arial"/>
      <w:sz w:val="24"/>
      <w:szCs w:val="24"/>
    </w:rPr>
  </w:style>
  <w:style w:type="paragraph" w:styleId="1013" w:customStyle="1">
    <w:name w:val="标题 91"/>
    <w:basedOn w:val="810"/>
    <w:next w:val="810"/>
    <w:uiPriority w:val="0"/>
    <w:qFormat/>
    <w:pPr>
      <w:keepLines/>
      <w:keepNext/>
      <w:spacing w:before="240" w:after="64" w:line="320" w:lineRule="auto"/>
      <w:outlineLvl w:val="8"/>
    </w:pPr>
    <w:rPr>
      <w:rFonts w:ascii="Arial" w:hAnsi="Arial" w:eastAsia="黑体" w:cs="Arial"/>
    </w:rPr>
  </w:style>
  <w:style w:type="character" w:styleId="1014" w:customStyle="1">
    <w:name w:val="默认段落字体1"/>
    <w:uiPriority w:val="0"/>
    <w:semiHidden/>
    <w:qFormat/>
  </w:style>
  <w:style w:type="table" w:styleId="101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016" w:customStyle="1">
    <w:name w:val="标题 1 字符"/>
    <w:link w:val="1017"/>
    <w:uiPriority w:val="0"/>
    <w:qFormat/>
    <w:rPr>
      <w:rFonts w:ascii="Arial" w:hAnsi="Arial" w:eastAsia="Arial" w:cs="Times New Roman"/>
      <w:sz w:val="40"/>
      <w:szCs w:val="40"/>
      <w:lang w:val="en-US" w:eastAsia="zh-CN" w:bidi="ar-SA"/>
    </w:rPr>
  </w:style>
  <w:style w:type="paragraph" w:styleId="1017" w:customStyle="1">
    <w:name w:val="Heading 1"/>
    <w:next w:val="810"/>
    <w:link w:val="1016"/>
    <w:uiPriority w:val="9"/>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1018" w:customStyle="1">
    <w:name w:val="目录 71"/>
    <w:basedOn w:val="810"/>
    <w:next w:val="810"/>
    <w:uiPriority w:val="39"/>
    <w:qFormat/>
    <w:pPr>
      <w:ind w:left="2520"/>
    </w:pPr>
  </w:style>
  <w:style w:type="paragraph" w:styleId="1019" w:customStyle="1">
    <w:name w:val="注释标题1"/>
    <w:basedOn w:val="810"/>
    <w:next w:val="810"/>
    <w:uiPriority w:val="0"/>
    <w:qFormat/>
    <w:rPr>
      <w:rFonts w:ascii="Verdana" w:hAnsi="Verdana"/>
      <w:szCs w:val="20"/>
    </w:rPr>
  </w:style>
  <w:style w:type="paragraph" w:styleId="1020" w:customStyle="1">
    <w:name w:val="正文缩进1"/>
    <w:basedOn w:val="810"/>
    <w:link w:val="1021"/>
    <w:uiPriority w:val="0"/>
    <w:qFormat/>
    <w:pPr>
      <w:ind w:firstLine="420"/>
      <w:jc w:val="left"/>
    </w:pPr>
    <w:rPr>
      <w:rFonts w:ascii="宋体"/>
      <w:sz w:val="24"/>
      <w:szCs w:val="24"/>
    </w:rPr>
  </w:style>
  <w:style w:type="character" w:styleId="1021" w:customStyle="1">
    <w:name w:val="正文缩进 字符"/>
    <w:link w:val="1020"/>
    <w:uiPriority w:val="0"/>
    <w:qFormat/>
    <w:rPr>
      <w:rFonts w:ascii="宋体" w:cs="宋体"/>
      <w:sz w:val="24"/>
      <w:szCs w:val="24"/>
    </w:rPr>
  </w:style>
  <w:style w:type="paragraph" w:styleId="1022" w:customStyle="1">
    <w:name w:val="引文目录标题1"/>
    <w:basedOn w:val="810"/>
    <w:next w:val="810"/>
    <w:uiPriority w:val="0"/>
    <w:qFormat/>
    <w:pPr>
      <w:spacing w:before="120"/>
    </w:pPr>
    <w:rPr>
      <w:rFonts w:ascii="Arial" w:hAnsi="Arial"/>
      <w:sz w:val="24"/>
    </w:rPr>
  </w:style>
  <w:style w:type="paragraph" w:styleId="1023" w:customStyle="1">
    <w:name w:val="批注文字1"/>
    <w:basedOn w:val="810"/>
    <w:uiPriority w:val="0"/>
    <w:semiHidden/>
    <w:qFormat/>
    <w:pPr>
      <w:jc w:val="left"/>
    </w:pPr>
  </w:style>
  <w:style w:type="paragraph" w:styleId="1024" w:customStyle="1">
    <w:name w:val="正文文本1"/>
    <w:basedOn w:val="810"/>
    <w:link w:val="1025"/>
    <w:uiPriority w:val="0"/>
    <w:qFormat/>
    <w:pPr>
      <w:spacing w:before="120" w:line="22" w:lineRule="atLeast"/>
      <w:tabs>
        <w:tab w:val="left" w:pos="567" w:leader="none"/>
      </w:tabs>
    </w:pPr>
    <w:rPr>
      <w:rFonts w:ascii="宋体" w:hAnsi="宋体" w:cs="宋体"/>
      <w:sz w:val="24"/>
      <w:szCs w:val="24"/>
    </w:rPr>
  </w:style>
  <w:style w:type="character" w:styleId="1025" w:customStyle="1">
    <w:name w:val="正文文本 字符"/>
    <w:link w:val="1024"/>
    <w:uiPriority w:val="0"/>
    <w:qFormat/>
    <w:rPr>
      <w:sz w:val="21"/>
      <w:szCs w:val="24"/>
    </w:rPr>
  </w:style>
  <w:style w:type="paragraph" w:styleId="1026" w:customStyle="1">
    <w:name w:val="正文文本缩进1"/>
    <w:basedOn w:val="810"/>
    <w:next w:val="1027"/>
    <w:link w:val="1028"/>
    <w:uiPriority w:val="0"/>
    <w:qFormat/>
    <w:pPr>
      <w:ind w:left="420"/>
      <w:spacing w:after="120"/>
    </w:pPr>
  </w:style>
  <w:style w:type="paragraph" w:styleId="1027" w:customStyle="1">
    <w:name w:val="寄信人地址1"/>
    <w:basedOn w:val="810"/>
    <w:uiPriority w:val="99"/>
    <w:unhideWhenUsed/>
    <w:qFormat/>
    <w:rPr>
      <w:rFonts w:ascii="Arial" w:hAnsi="Arial"/>
    </w:rPr>
  </w:style>
  <w:style w:type="character" w:styleId="1028" w:customStyle="1">
    <w:name w:val="正文文本缩进 字符"/>
    <w:link w:val="1026"/>
    <w:uiPriority w:val="0"/>
    <w:qFormat/>
    <w:rPr>
      <w:sz w:val="21"/>
      <w:szCs w:val="21"/>
    </w:rPr>
  </w:style>
  <w:style w:type="paragraph" w:styleId="1029" w:customStyle="1">
    <w:name w:val="文本块1"/>
    <w:basedOn w:val="810"/>
    <w:uiPriority w:val="0"/>
    <w:qFormat/>
    <w:pPr>
      <w:ind w:left="1440" w:right="1440"/>
      <w:spacing w:after="120"/>
    </w:pPr>
  </w:style>
  <w:style w:type="paragraph" w:styleId="1030" w:customStyle="1">
    <w:name w:val="索引 41"/>
    <w:basedOn w:val="810"/>
    <w:next w:val="810"/>
    <w:uiPriority w:val="99"/>
    <w:unhideWhenUsed/>
    <w:qFormat/>
    <w:pPr>
      <w:ind w:left="600"/>
    </w:pPr>
  </w:style>
  <w:style w:type="paragraph" w:styleId="1031" w:customStyle="1">
    <w:name w:val="目录 51"/>
    <w:basedOn w:val="810"/>
    <w:next w:val="810"/>
    <w:uiPriority w:val="39"/>
    <w:qFormat/>
    <w:pPr>
      <w:ind w:left="1680"/>
    </w:pPr>
  </w:style>
  <w:style w:type="paragraph" w:styleId="1032" w:customStyle="1">
    <w:name w:val="目录 31"/>
    <w:basedOn w:val="810"/>
    <w:next w:val="810"/>
    <w:uiPriority w:val="39"/>
    <w:qFormat/>
    <w:pPr>
      <w:ind w:left="840"/>
    </w:pPr>
  </w:style>
  <w:style w:type="paragraph" w:styleId="1033" w:customStyle="1">
    <w:name w:val="纯文本1"/>
    <w:basedOn w:val="810"/>
    <w:next w:val="810"/>
    <w:link w:val="1034"/>
    <w:uiPriority w:val="0"/>
    <w:qFormat/>
    <w:rPr>
      <w:rFonts w:ascii="宋体" w:hAnsi="Courier New"/>
    </w:rPr>
  </w:style>
  <w:style w:type="character" w:styleId="1034" w:customStyle="1">
    <w:name w:val="纯文本 字符"/>
    <w:link w:val="1033"/>
    <w:uiPriority w:val="0"/>
    <w:qFormat/>
    <w:rPr>
      <w:rFonts w:ascii="宋体" w:hAnsi="Courier New" w:cs="宋体"/>
      <w:sz w:val="21"/>
      <w:szCs w:val="21"/>
    </w:rPr>
  </w:style>
  <w:style w:type="paragraph" w:styleId="1035" w:customStyle="1">
    <w:name w:val="目录 81"/>
    <w:basedOn w:val="810"/>
    <w:next w:val="810"/>
    <w:uiPriority w:val="39"/>
    <w:qFormat/>
    <w:pPr>
      <w:ind w:left="2940"/>
    </w:pPr>
  </w:style>
  <w:style w:type="paragraph" w:styleId="1036" w:customStyle="1">
    <w:name w:val="日期1"/>
    <w:basedOn w:val="810"/>
    <w:next w:val="810"/>
    <w:uiPriority w:val="0"/>
    <w:qFormat/>
  </w:style>
  <w:style w:type="paragraph" w:styleId="1037" w:customStyle="1">
    <w:name w:val="正文文本缩进 21"/>
    <w:basedOn w:val="810"/>
    <w:uiPriority w:val="0"/>
    <w:qFormat/>
    <w:pPr>
      <w:ind w:firstLine="480"/>
    </w:pPr>
    <w:rPr>
      <w:rFonts w:ascii="仿宋_GB2312" w:eastAsia="仿宋_GB2312" w:cs="仿宋_GB2312"/>
      <w:sz w:val="24"/>
      <w:szCs w:val="24"/>
    </w:rPr>
  </w:style>
  <w:style w:type="paragraph" w:styleId="1038" w:customStyle="1">
    <w:name w:val="批注框文本1"/>
    <w:basedOn w:val="810"/>
    <w:uiPriority w:val="0"/>
    <w:semiHidden/>
    <w:qFormat/>
    <w:rPr>
      <w:sz w:val="18"/>
      <w:szCs w:val="18"/>
    </w:rPr>
  </w:style>
  <w:style w:type="paragraph" w:styleId="1039" w:customStyle="1">
    <w:name w:val="页脚1"/>
    <w:basedOn w:val="810"/>
    <w:link w:val="1040"/>
    <w:uiPriority w:val="99"/>
    <w:qFormat/>
    <w:pPr>
      <w:jc w:val="left"/>
      <w:tabs>
        <w:tab w:val="center" w:pos="4153" w:leader="none"/>
        <w:tab w:val="right" w:pos="8306" w:leader="none"/>
      </w:tabs>
    </w:pPr>
    <w:rPr>
      <w:rFonts w:ascii="宋体"/>
      <w:sz w:val="18"/>
      <w:szCs w:val="18"/>
    </w:rPr>
  </w:style>
  <w:style w:type="character" w:styleId="1040" w:customStyle="1">
    <w:name w:val="页脚 字符"/>
    <w:link w:val="1039"/>
    <w:uiPriority w:val="99"/>
    <w:qFormat/>
    <w:rPr>
      <w:rFonts w:ascii="宋体" w:cs="宋体"/>
      <w:sz w:val="18"/>
      <w:szCs w:val="18"/>
    </w:rPr>
  </w:style>
  <w:style w:type="paragraph" w:styleId="1041" w:customStyle="1">
    <w:name w:val="页眉1"/>
    <w:basedOn w:val="810"/>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页眉 字符"/>
    <w:link w:val="1041"/>
    <w:uiPriority w:val="0"/>
    <w:qFormat/>
    <w:rPr>
      <w:sz w:val="18"/>
      <w:szCs w:val="18"/>
    </w:rPr>
  </w:style>
  <w:style w:type="paragraph" w:styleId="1043" w:customStyle="1">
    <w:name w:val="目录 41"/>
    <w:basedOn w:val="810"/>
    <w:next w:val="810"/>
    <w:uiPriority w:val="39"/>
    <w:qFormat/>
    <w:pPr>
      <w:ind w:left="1260"/>
    </w:pPr>
  </w:style>
  <w:style w:type="paragraph" w:styleId="1044" w:customStyle="1">
    <w:name w:val="副标题1"/>
    <w:basedOn w:val="810"/>
    <w:next w:val="810"/>
    <w:link w:val="1045"/>
    <w:uiPriority w:val="0"/>
    <w:qFormat/>
    <w:pPr>
      <w:jc w:val="center"/>
      <w:spacing w:before="240" w:after="60" w:line="312" w:lineRule="auto"/>
      <w:outlineLvl w:val="1"/>
    </w:pPr>
    <w:rPr>
      <w:rFonts w:ascii="Cambria" w:hAnsi="Cambria"/>
      <w:b/>
      <w:bCs/>
      <w:sz w:val="32"/>
      <w:szCs w:val="32"/>
    </w:rPr>
  </w:style>
  <w:style w:type="character" w:styleId="1045" w:customStyle="1">
    <w:name w:val="副标题 字符"/>
    <w:link w:val="1044"/>
    <w:uiPriority w:val="0"/>
    <w:qFormat/>
    <w:rPr>
      <w:rFonts w:ascii="Cambria" w:hAnsi="Cambria" w:cs="Times New Roman"/>
      <w:b/>
      <w:bCs/>
      <w:sz w:val="32"/>
      <w:szCs w:val="32"/>
    </w:rPr>
  </w:style>
  <w:style w:type="paragraph" w:styleId="1046" w:customStyle="1">
    <w:name w:val="目录 61"/>
    <w:basedOn w:val="810"/>
    <w:next w:val="810"/>
    <w:uiPriority w:val="39"/>
    <w:qFormat/>
    <w:pPr>
      <w:ind w:left="2100"/>
    </w:pPr>
  </w:style>
  <w:style w:type="paragraph" w:styleId="1047" w:customStyle="1">
    <w:name w:val="正文文本缩进 31"/>
    <w:basedOn w:val="810"/>
    <w:uiPriority w:val="0"/>
    <w:qFormat/>
    <w:pPr>
      <w:ind w:left="720" w:firstLine="480"/>
      <w:jc w:val="left"/>
      <w:spacing w:before="120" w:line="22" w:lineRule="atLeast"/>
    </w:pPr>
    <w:rPr>
      <w:rFonts w:ascii="宋体" w:cs="宋体"/>
      <w:sz w:val="24"/>
      <w:szCs w:val="24"/>
    </w:rPr>
  </w:style>
  <w:style w:type="paragraph" w:styleId="1048" w:customStyle="1">
    <w:name w:val="目录 21"/>
    <w:basedOn w:val="810"/>
    <w:next w:val="810"/>
    <w:uiPriority w:val="39"/>
    <w:qFormat/>
    <w:pPr>
      <w:spacing w:before="120" w:line="360" w:lineRule="auto"/>
    </w:pPr>
    <w:rPr>
      <w:rFonts w:ascii="仿宋_GB2312" w:hAnsi="宋体" w:eastAsia="仿宋_GB2312" w:cs="仿宋_GB2312"/>
      <w:b/>
      <w:bCs/>
      <w:sz w:val="24"/>
      <w:szCs w:val="24"/>
    </w:rPr>
  </w:style>
  <w:style w:type="paragraph" w:styleId="1049" w:customStyle="1">
    <w:name w:val="目录 91"/>
    <w:basedOn w:val="810"/>
    <w:next w:val="810"/>
    <w:uiPriority w:val="39"/>
    <w:qFormat/>
    <w:pPr>
      <w:ind w:left="3360"/>
    </w:pPr>
  </w:style>
  <w:style w:type="paragraph" w:styleId="1050" w:customStyle="1">
    <w:name w:val="正文文本 211"/>
    <w:basedOn w:val="81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051" w:customStyle="1">
    <w:name w:val="HTML 预设格式1"/>
    <w:basedOn w:val="8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52" w:customStyle="1">
    <w:name w:val="普通(网站)11"/>
    <w:basedOn w:val="81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53" w:customStyle="1">
    <w:name w:val="索引 11"/>
    <w:basedOn w:val="810"/>
    <w:next w:val="810"/>
    <w:uiPriority w:val="0"/>
    <w:semiHidden/>
    <w:qFormat/>
  </w:style>
  <w:style w:type="paragraph" w:styleId="1054" w:customStyle="1">
    <w:name w:val="标题11"/>
    <w:basedOn w:val="810"/>
    <w:next w:val="810"/>
    <w:uiPriority w:val="0"/>
    <w:qFormat/>
    <w:pPr>
      <w:jc w:val="center"/>
      <w:spacing w:before="240" w:after="60"/>
      <w:outlineLvl w:val="0"/>
    </w:pPr>
    <w:rPr>
      <w:rFonts w:ascii="Arial" w:hAnsi="Arial" w:cs="Arial"/>
      <w:b/>
      <w:bCs/>
      <w:sz w:val="32"/>
      <w:szCs w:val="32"/>
    </w:rPr>
  </w:style>
  <w:style w:type="paragraph" w:styleId="1055" w:customStyle="1">
    <w:name w:val="正文首行缩进1"/>
    <w:basedOn w:val="1024"/>
    <w:next w:val="810"/>
    <w:uiPriority w:val="99"/>
    <w:qFormat/>
    <w:pPr>
      <w:ind w:firstLine="420"/>
    </w:pPr>
    <w:rPr>
      <w:szCs w:val="20"/>
    </w:rPr>
  </w:style>
  <w:style w:type="paragraph" w:styleId="1056" w:customStyle="1">
    <w:name w:val="正文首行缩进 21"/>
    <w:basedOn w:val="1026"/>
    <w:next w:val="810"/>
    <w:uiPriority w:val="6"/>
    <w:qFormat/>
    <w:pPr>
      <w:ind w:firstLine="420"/>
    </w:pPr>
  </w:style>
  <w:style w:type="table" w:styleId="1057" w:customStyle="1">
    <w:name w:val="网格型1"/>
    <w:basedOn w:val="1015"/>
    <w:uiPriority w:val="0"/>
    <w:qFormat/>
    <w:tblPr>
      <w:tblCellMar>
        <w:left w:w="0" w:type="dxa"/>
        <w:top w:w="0" w:type="dxa"/>
        <w:right w:w="0" w:type="dxa"/>
        <w:bottom w:w="0" w:type="dxa"/>
      </w:tblCellMar>
    </w:tblPr>
  </w:style>
  <w:style w:type="character" w:styleId="1058" w:customStyle="1">
    <w:name w:val="要点1"/>
    <w:uiPriority w:val="0"/>
    <w:qFormat/>
    <w:rPr>
      <w:b/>
      <w:bCs/>
    </w:rPr>
  </w:style>
  <w:style w:type="character" w:styleId="1059" w:customStyle="1">
    <w:name w:val="页码1"/>
    <w:uiPriority w:val="0"/>
    <w:qFormat/>
  </w:style>
  <w:style w:type="character" w:styleId="1060" w:customStyle="1">
    <w:name w:val="已访问的超链接1"/>
    <w:uiPriority w:val="0"/>
    <w:qFormat/>
    <w:rPr>
      <w:color w:val="333333"/>
      <w:u w:val="none"/>
    </w:rPr>
  </w:style>
  <w:style w:type="character" w:styleId="1061" w:customStyle="1">
    <w:name w:val="强调1"/>
    <w:uiPriority w:val="0"/>
    <w:qFormat/>
  </w:style>
  <w:style w:type="character" w:styleId="1062" w:customStyle="1">
    <w:name w:val="超链接1"/>
    <w:basedOn w:val="1014"/>
    <w:uiPriority w:val="99"/>
    <w:qFormat/>
    <w:rPr>
      <w:color w:val="333333"/>
      <w:u w:val="none"/>
    </w:rPr>
  </w:style>
  <w:style w:type="character" w:styleId="1063" w:customStyle="1">
    <w:name w:val="批注引用1"/>
    <w:uiPriority w:val="0"/>
    <w:semiHidden/>
    <w:qFormat/>
    <w:rPr>
      <w:sz w:val="21"/>
      <w:szCs w:val="21"/>
    </w:rPr>
  </w:style>
  <w:style w:type="paragraph" w:styleId="1064" w:customStyle="1">
    <w:name w:val="标题 21"/>
    <w:basedOn w:val="810"/>
    <w:next w:val="810"/>
    <w:uiPriority w:val="0"/>
    <w:qFormat/>
    <w:pPr>
      <w:keepLines/>
      <w:keepNext/>
      <w:spacing w:before="260" w:after="260" w:line="416" w:lineRule="auto"/>
      <w:outlineLvl w:val="1"/>
    </w:pPr>
    <w:rPr>
      <w:rFonts w:ascii="Arial" w:hAnsi="Arial" w:eastAsia="黑体"/>
      <w:b/>
      <w:bCs/>
      <w:sz w:val="32"/>
      <w:szCs w:val="32"/>
    </w:rPr>
  </w:style>
  <w:style w:type="paragraph" w:styleId="106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66" w:customStyle="1">
    <w:name w:val="标题二、"/>
    <w:basedOn w:val="810"/>
    <w:uiPriority w:val="99"/>
    <w:qFormat/>
    <w:pPr>
      <w:ind w:firstLine="200"/>
      <w:spacing w:line="360" w:lineRule="auto"/>
      <w:outlineLvl w:val="2"/>
    </w:pPr>
    <w:rPr>
      <w:rFonts w:ascii="宋体" w:hAnsi="宋体"/>
      <w:b/>
    </w:rPr>
  </w:style>
  <w:style w:type="paragraph" w:styleId="1067" w:customStyle="1">
    <w:name w:val="Style1"/>
    <w:basedOn w:val="810"/>
    <w:uiPriority w:val="0"/>
    <w:qFormat/>
    <w:pPr>
      <w:spacing w:after="120"/>
      <w:widowControl/>
      <w:tabs>
        <w:tab w:val="left" w:pos="-720" w:leader="none"/>
      </w:tabs>
    </w:pPr>
    <w:rPr>
      <w:spacing w:val="-3"/>
      <w:sz w:val="24"/>
      <w:szCs w:val="20"/>
      <w:lang w:val="en-AU" w:eastAsia="en-US"/>
    </w:rPr>
  </w:style>
  <w:style w:type="paragraph" w:styleId="1068" w:customStyle="1">
    <w:name w:val="正文（缩进）"/>
    <w:basedOn w:val="810"/>
    <w:next w:val="1069"/>
    <w:uiPriority w:val="0"/>
    <w:qFormat/>
    <w:pPr>
      <w:ind w:firstLine="200"/>
      <w:spacing w:line="360" w:lineRule="auto"/>
    </w:pPr>
    <w:rPr>
      <w:rFonts w:ascii="宋体" w:hAnsi="宋体"/>
      <w:szCs w:val="28"/>
    </w:rPr>
  </w:style>
  <w:style w:type="paragraph" w:styleId="1069" w:customStyle="1">
    <w:name w:val="Char Char Char Char Char Char Char Char Char"/>
    <w:basedOn w:val="810"/>
    <w:next w:val="1070"/>
    <w:uiPriority w:val="0"/>
    <w:qFormat/>
    <w:pPr>
      <w:ind w:left="360" w:firstLine="5784"/>
    </w:pPr>
  </w:style>
  <w:style w:type="paragraph" w:styleId="1070" w:customStyle="1">
    <w:name w:val="正文文本 21"/>
    <w:basedOn w:val="810"/>
    <w:next w:val="1071"/>
    <w:uiPriority w:val="0"/>
    <w:qFormat/>
    <w:pPr>
      <w:ind w:left="720" w:firstLine="5680"/>
      <w:widowControl/>
    </w:pPr>
  </w:style>
  <w:style w:type="paragraph" w:styleId="1071" w:customStyle="1">
    <w:name w:val="默认段落字体 Para Char Char Char Char Char Char Char"/>
    <w:basedOn w:val="810"/>
    <w:next w:val="1072"/>
    <w:uiPriority w:val="0"/>
    <w:qFormat/>
    <w:pPr>
      <w:ind w:firstLine="200"/>
    </w:pPr>
    <w:rPr>
      <w:rFonts w:cs="Arial"/>
    </w:rPr>
  </w:style>
  <w:style w:type="paragraph" w:styleId="1072" w:customStyle="1">
    <w:name w:val="样式 首行缩进:  2 字符"/>
    <w:basedOn w:val="810"/>
    <w:next w:val="1073"/>
    <w:uiPriority w:val="0"/>
    <w:qFormat/>
    <w:pPr>
      <w:ind w:left="480" w:firstLine="5856"/>
      <w:spacing w:line="360" w:lineRule="auto"/>
    </w:pPr>
  </w:style>
  <w:style w:type="paragraph" w:styleId="1073" w:customStyle="1">
    <w:name w:val="样式 段后: 0.25 行"/>
    <w:basedOn w:val="810"/>
    <w:next w:val="1074"/>
    <w:uiPriority w:val="0"/>
    <w:qFormat/>
    <w:pPr>
      <w:ind w:left="420" w:firstLine="5796"/>
      <w:spacing w:line="300" w:lineRule="auto"/>
      <w:widowControl/>
    </w:pPr>
  </w:style>
  <w:style w:type="paragraph" w:styleId="1074" w:customStyle="1">
    <w:name w:val="正文 New New New New New New New New New New New New New New"/>
    <w:next w:val="1049"/>
    <w:uiPriority w:val="0"/>
    <w:qFormat/>
    <w:pPr>
      <w:ind w:firstLine="2048"/>
      <w:jc w:val="both"/>
      <w:widowControl w:val="off"/>
    </w:pPr>
    <w:rPr>
      <w:rFonts w:ascii="Calibri" w:hAnsi="Calibri" w:eastAsia="宋体" w:cs="Times New Roman"/>
      <w:lang w:val="en-US" w:eastAsia="zh-CN" w:bidi="ar-SA"/>
    </w:rPr>
  </w:style>
  <w:style w:type="character" w:styleId="1075" w:customStyle="1">
    <w:name w:val="font51"/>
    <w:uiPriority w:val="0"/>
    <w:qFormat/>
    <w:rPr>
      <w:rFonts w:hint="eastAsia" w:ascii="宋体" w:hAnsi="宋体" w:eastAsia="宋体" w:cs="宋体"/>
      <w:color w:val="000000"/>
      <w:sz w:val="20"/>
      <w:szCs w:val="20"/>
      <w:u w:val="none"/>
    </w:rPr>
  </w:style>
  <w:style w:type="character" w:styleId="1076" w:customStyle="1">
    <w:name w:val="current"/>
    <w:uiPriority w:val="0"/>
    <w:qFormat/>
    <w:rPr>
      <w:b/>
      <w:color w:val="99210b"/>
    </w:rPr>
  </w:style>
  <w:style w:type="character" w:styleId="1077" w:customStyle="1">
    <w:name w:val="hr6"/>
    <w:uiPriority w:val="0"/>
    <w:qFormat/>
  </w:style>
  <w:style w:type="character" w:styleId="1078" w:customStyle="1">
    <w:name w:val="Char"/>
    <w:uiPriority w:val="0"/>
    <w:qFormat/>
    <w:rPr>
      <w:rFonts w:ascii="宋体" w:hAnsi="Courier New" w:eastAsia="宋体" w:cs="宋体"/>
      <w:sz w:val="21"/>
      <w:szCs w:val="21"/>
      <w:lang w:val="en-US" w:eastAsia="zh-CN"/>
    </w:rPr>
  </w:style>
  <w:style w:type="character" w:styleId="1079" w:customStyle="1">
    <w:name w:val="font21"/>
    <w:basedOn w:val="820"/>
    <w:uiPriority w:val="0"/>
    <w:qFormat/>
    <w:rPr>
      <w:rFonts w:hint="eastAsia" w:ascii="宋体" w:hAnsi="宋体" w:eastAsia="宋体" w:cs="宋体"/>
      <w:color w:val="000000"/>
      <w:sz w:val="21"/>
      <w:szCs w:val="21"/>
      <w:u w:val="none"/>
    </w:rPr>
  </w:style>
  <w:style w:type="character" w:styleId="1080" w:customStyle="1">
    <w:name w:val="font11"/>
    <w:basedOn w:val="820"/>
    <w:uiPriority w:val="0"/>
    <w:qFormat/>
    <w:rPr>
      <w:rFonts w:hint="eastAsia" w:ascii="楷体" w:hAnsi="楷体" w:eastAsia="楷体" w:cs="楷体"/>
      <w:color w:val="000000"/>
      <w:sz w:val="24"/>
      <w:szCs w:val="24"/>
      <w:u w:val="none"/>
    </w:rPr>
  </w:style>
  <w:style w:type="character" w:styleId="1081" w:customStyle="1">
    <w:name w:val="bz"/>
    <w:uiPriority w:val="0"/>
    <w:qFormat/>
  </w:style>
  <w:style w:type="character" w:styleId="1082" w:customStyle="1">
    <w:name w:val="font41"/>
    <w:uiPriority w:val="0"/>
    <w:qFormat/>
    <w:rPr>
      <w:rFonts w:ascii="楷体_GB2312" w:eastAsia="楷体_GB2312" w:cs="楷体_GB2312"/>
      <w:color w:val="000000"/>
      <w:sz w:val="24"/>
      <w:szCs w:val="24"/>
      <w:u w:val="none"/>
    </w:rPr>
  </w:style>
  <w:style w:type="paragraph" w:styleId="1083" w:customStyle="1">
    <w:name w:val="表格"/>
    <w:basedOn w:val="810"/>
    <w:uiPriority w:val="0"/>
    <w:qFormat/>
    <w:pPr>
      <w:spacing w:line="400" w:lineRule="exact"/>
    </w:pPr>
    <w:rPr>
      <w:sz w:val="24"/>
      <w:szCs w:val="24"/>
    </w:rPr>
  </w:style>
  <w:style w:type="paragraph" w:styleId="1084" w:customStyle="1">
    <w:name w:val="Char Char Char Char"/>
    <w:basedOn w:val="810"/>
    <w:uiPriority w:val="0"/>
    <w:qFormat/>
    <w:pPr>
      <w:spacing w:after="160" w:line="240" w:lineRule="exact"/>
    </w:pPr>
  </w:style>
  <w:style w:type="paragraph" w:styleId="1085" w:customStyle="1">
    <w:name w:val="无间隔1"/>
    <w:uiPriority w:val="0"/>
    <w:qFormat/>
    <w:pPr>
      <w:jc w:val="both"/>
      <w:widowControl w:val="off"/>
    </w:pPr>
    <w:rPr>
      <w:rFonts w:ascii="Calibri" w:hAnsi="Calibri" w:eastAsia="宋体" w:cs="Times New Roman"/>
      <w:lang w:val="en-US" w:eastAsia="zh-CN" w:bidi="ar-SA"/>
    </w:rPr>
  </w:style>
  <w:style w:type="paragraph" w:styleId="1086" w:customStyle="1">
    <w:name w:val="附录标题3"/>
    <w:basedOn w:val="810"/>
    <w:next w:val="1020"/>
    <w:uiPriority w:val="0"/>
    <w:qFormat/>
    <w:pPr>
      <w:tabs>
        <w:tab w:val="left" w:pos="1080" w:leader="none"/>
      </w:tabs>
      <w:outlineLvl w:val="0"/>
    </w:pPr>
    <w:rPr>
      <w:rFonts w:ascii="Arial" w:hAnsi="Arial" w:cs="Arial"/>
      <w:sz w:val="24"/>
      <w:szCs w:val="24"/>
    </w:rPr>
  </w:style>
  <w:style w:type="paragraph" w:styleId="1087" w:customStyle="1">
    <w:name w:val="样式"/>
    <w:basedOn w:val="810"/>
    <w:next w:val="1033"/>
    <w:uiPriority w:val="0"/>
    <w:qFormat/>
    <w:rPr>
      <w:rFonts w:ascii="宋体" w:hAnsi="Courier New" w:cs="宋体"/>
    </w:rPr>
  </w:style>
  <w:style w:type="paragraph" w:styleId="1088" w:customStyle="1">
    <w:name w:val="Table Paragraph"/>
    <w:basedOn w:val="1089"/>
    <w:uiPriority w:val="1"/>
    <w:qFormat/>
    <w:rPr>
      <w:rFonts w:ascii="微软雅黑" w:hAnsi="微软雅黑" w:eastAsia="微软雅黑" w:cs="微软雅黑"/>
    </w:rPr>
  </w:style>
  <w:style w:type="paragraph" w:styleId="1089" w:customStyle="1">
    <w:name w:val="正文11"/>
    <w:next w:val="810"/>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目录 11"/>
    <w:basedOn w:val="1089"/>
    <w:next w:val="1089"/>
    <w:uiPriority w:val="0"/>
    <w:qFormat/>
    <w:pPr>
      <w:spacing w:line="360" w:lineRule="auto"/>
      <w:tabs>
        <w:tab w:val="right" w:pos="9060" w:leader="dot"/>
      </w:tabs>
    </w:pPr>
    <w:rPr>
      <w:sz w:val="24"/>
      <w:szCs w:val="24"/>
    </w:rPr>
  </w:style>
  <w:style w:type="paragraph" w:styleId="1091" w:customStyle="1">
    <w:name w:val="纯文本3"/>
    <w:basedOn w:val="810"/>
    <w:uiPriority w:val="0"/>
    <w:qFormat/>
    <w:rPr>
      <w:rFonts w:hint="eastAsia" w:ascii="宋体" w:hAnsi="Courier New" w:eastAsia="楷体_GB2312"/>
      <w:sz w:val="28"/>
      <w:szCs w:val="20"/>
    </w:rPr>
  </w:style>
  <w:style w:type="paragraph" w:styleId="1092" w:customStyle="1">
    <w:name w:val="列出段落1"/>
    <w:basedOn w:val="810"/>
    <w:uiPriority w:val="99"/>
    <w:qFormat/>
    <w:pPr>
      <w:ind w:firstLine="420"/>
    </w:pPr>
    <w:rPr>
      <w:rFonts w:ascii="Calibri" w:hAnsi="Calibri" w:cs="黑体"/>
      <w:szCs w:val="22"/>
    </w:rPr>
  </w:style>
  <w:style w:type="paragraph" w:styleId="1093" w:customStyle="1">
    <w:name w:val="标题1"/>
    <w:basedOn w:val="1054"/>
    <w:uiPriority w:val="0"/>
    <w:qFormat/>
    <w:pPr>
      <w:spacing w:after="240"/>
    </w:pPr>
    <w:rPr>
      <w:spacing w:val="2"/>
      <w:sz w:val="44"/>
      <w:szCs w:val="44"/>
    </w:rPr>
  </w:style>
  <w:style w:type="paragraph" w:styleId="1094" w:customStyle="1">
    <w:name w:val="WPSOffice手动目录 1"/>
    <w:uiPriority w:val="0"/>
    <w:qFormat/>
    <w:rPr>
      <w:rFonts w:ascii="Times New Roman" w:hAnsi="Times New Roman" w:eastAsia="宋体" w:cs="Times New Roman"/>
      <w:lang w:val="en-US" w:eastAsia="zh-CN" w:bidi="ar-SA"/>
    </w:rPr>
  </w:style>
  <w:style w:type="paragraph" w:styleId="1095" w:customStyle="1">
    <w:name w:val="Char1"/>
    <w:basedOn w:val="810"/>
    <w:uiPriority w:val="0"/>
    <w:qFormat/>
    <w:rPr>
      <w:rFonts w:ascii="Tahoma" w:hAnsi="Tahoma"/>
      <w:sz w:val="24"/>
      <w:szCs w:val="20"/>
    </w:rPr>
  </w:style>
  <w:style w:type="paragraph" w:styleId="1096" w:customStyle="1">
    <w:name w:val="TOC 标题2"/>
    <w:basedOn w:val="1006"/>
    <w:next w:val="81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097" w:customStyle="1">
    <w:name w:val="列表段落"/>
    <w:basedOn w:val="810"/>
    <w:uiPriority w:val="0"/>
    <w:qFormat/>
    <w:pPr>
      <w:ind w:firstLine="420"/>
    </w:pPr>
    <w:rPr>
      <w:sz w:val="18"/>
      <w:szCs w:val="18"/>
    </w:rPr>
  </w:style>
  <w:style w:type="paragraph" w:styleId="1098" w:customStyle="1">
    <w:name w:val="段"/>
    <w:next w:val="81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9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0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101" w:customStyle="1">
    <w:name w:val="ca-01"/>
    <w:uiPriority w:val="0"/>
    <w:qFormat/>
    <w:rPr>
      <w:rFonts w:ascii="宋体" w:hAnsi="宋体"/>
      <w:bCs/>
      <w:sz w:val="24"/>
      <w:szCs w:val="21"/>
    </w:rPr>
  </w:style>
  <w:style w:type="character" w:styleId="1102" w:customStyle="1">
    <w:name w:val="font191"/>
    <w:uiPriority w:val="0"/>
    <w:qFormat/>
    <w:rPr>
      <w:rFonts w:hint="eastAsia" w:ascii="宋体" w:hAnsi="宋体" w:eastAsia="宋体" w:cs="宋体"/>
      <w:b/>
      <w:bCs/>
      <w:color w:val="000000"/>
      <w:sz w:val="22"/>
      <w:szCs w:val="22"/>
      <w:u w:val="none"/>
    </w:rPr>
  </w:style>
  <w:style w:type="character" w:styleId="1103" w:customStyle="1">
    <w:name w:val="font181"/>
    <w:uiPriority w:val="0"/>
    <w:qFormat/>
    <w:rPr>
      <w:rFonts w:hint="eastAsia" w:ascii="宋体" w:hAnsi="宋体" w:eastAsia="宋体" w:cs="宋体"/>
      <w:color w:val="000000"/>
      <w:sz w:val="18"/>
      <w:szCs w:val="18"/>
      <w:u w:val="none"/>
    </w:rPr>
  </w:style>
  <w:style w:type="character" w:styleId="1104" w:customStyle="1">
    <w:name w:val="font12"/>
    <w:uiPriority w:val="0"/>
    <w:qFormat/>
    <w:rPr>
      <w:rFonts w:ascii="Arial" w:hAnsi="Arial" w:cs="Arial"/>
      <w:color w:val="000000"/>
      <w:sz w:val="18"/>
      <w:szCs w:val="18"/>
      <w:u w:val="none"/>
    </w:rPr>
  </w:style>
  <w:style w:type="character" w:styleId="1105" w:customStyle="1">
    <w:name w:val="font01"/>
    <w:basedOn w:val="820"/>
    <w:uiPriority w:val="0"/>
    <w:qFormat/>
    <w:rPr>
      <w:rFonts w:ascii="Arial" w:hAnsi="Arial" w:cs="Arial"/>
      <w:color w:val="000000"/>
      <w:sz w:val="22"/>
      <w:szCs w:val="22"/>
      <w:u w:val="none"/>
    </w:rPr>
  </w:style>
  <w:style w:type="character" w:styleId="1106" w:customStyle="1">
    <w:name w:val="font201"/>
    <w:uiPriority w:val="0"/>
    <w:qFormat/>
    <w:rPr>
      <w:rFonts w:hint="eastAsia" w:ascii="宋体" w:hAnsi="宋体" w:eastAsia="宋体" w:cs="宋体"/>
      <w:color w:val="000000"/>
      <w:sz w:val="18"/>
      <w:szCs w:val="18"/>
      <w:u w:val="none"/>
    </w:rPr>
  </w:style>
  <w:style w:type="character" w:styleId="1107" w:customStyle="1">
    <w:name w:val="font91"/>
    <w:uiPriority w:val="0"/>
    <w:qFormat/>
    <w:rPr>
      <w:rFonts w:ascii="Arial" w:hAnsi="Arial" w:cs="Arial"/>
      <w:color w:val="000000"/>
      <w:sz w:val="18"/>
      <w:szCs w:val="18"/>
      <w:u w:val="none"/>
    </w:rPr>
  </w:style>
  <w:style w:type="character" w:styleId="1108" w:customStyle="1">
    <w:name w:val="font101"/>
    <w:uiPriority w:val="0"/>
    <w:qFormat/>
    <w:rPr>
      <w:rFonts w:ascii="Arial" w:hAnsi="Arial" w:cs="Arial"/>
      <w:color w:val="000000"/>
      <w:sz w:val="18"/>
      <w:szCs w:val="18"/>
      <w:u w:val="none"/>
    </w:rPr>
  </w:style>
  <w:style w:type="character" w:styleId="1109" w:customStyle="1">
    <w:name w:val="font212"/>
    <w:uiPriority w:val="0"/>
    <w:qFormat/>
    <w:rPr>
      <w:rFonts w:hint="eastAsia" w:ascii="宋体" w:hAnsi="宋体" w:eastAsia="宋体" w:cs="宋体"/>
      <w:color w:val="000000"/>
      <w:sz w:val="20"/>
      <w:szCs w:val="20"/>
      <w:u w:val="none"/>
    </w:rPr>
  </w:style>
  <w:style w:type="character" w:styleId="1110" w:customStyle="1">
    <w:name w:val="font131"/>
    <w:uiPriority w:val="0"/>
    <w:qFormat/>
    <w:rPr>
      <w:rFonts w:ascii="Arial" w:hAnsi="Arial" w:cs="Arial"/>
      <w:color w:val="000000"/>
      <w:sz w:val="20"/>
      <w:szCs w:val="20"/>
      <w:u w:val="none"/>
    </w:rPr>
  </w:style>
  <w:style w:type="character" w:styleId="1111" w:customStyle="1">
    <w:name w:val="font141"/>
    <w:uiPriority w:val="0"/>
    <w:qFormat/>
    <w:rPr>
      <w:rFonts w:hint="eastAsia" w:ascii="宋体" w:hAnsi="宋体" w:eastAsia="宋体" w:cs="宋体"/>
      <w:color w:val="000000"/>
      <w:sz w:val="18"/>
      <w:szCs w:val="18"/>
      <w:u w:val="none"/>
    </w:rPr>
  </w:style>
  <w:style w:type="character" w:styleId="1112" w:customStyle="1">
    <w:name w:val="font111"/>
    <w:uiPriority w:val="0"/>
    <w:qFormat/>
    <w:rPr>
      <w:rFonts w:ascii="Arial" w:hAnsi="Arial" w:cs="Arial"/>
      <w:color w:val="000000"/>
      <w:sz w:val="20"/>
      <w:szCs w:val="20"/>
      <w:u w:val="none"/>
    </w:rPr>
  </w:style>
  <w:style w:type="character" w:styleId="1113" w:customStyle="1">
    <w:name w:val="font151"/>
    <w:uiPriority w:val="0"/>
    <w:qFormat/>
    <w:rPr>
      <w:rFonts w:hint="eastAsia" w:ascii="宋体" w:hAnsi="宋体" w:eastAsia="宋体" w:cs="宋体"/>
      <w:color w:val="000000"/>
      <w:sz w:val="20"/>
      <w:szCs w:val="20"/>
      <w:u w:val="none"/>
    </w:rPr>
  </w:style>
  <w:style w:type="paragraph" w:styleId="1114" w:customStyle="1">
    <w:name w:val="纯文本2"/>
    <w:basedOn w:val="810"/>
    <w:uiPriority w:val="0"/>
    <w:qFormat/>
    <w:rPr>
      <w:rFonts w:hint="eastAsia" w:ascii="宋体" w:hAnsi="Courier New" w:eastAsia="楷体_GB2312"/>
      <w:sz w:val="28"/>
      <w:szCs w:val="20"/>
    </w:rPr>
  </w:style>
  <w:style w:type="character" w:styleId="1115" w:customStyle="1">
    <w:name w:val="font61"/>
    <w:uiPriority w:val="0"/>
    <w:qFormat/>
    <w:rPr>
      <w:rFonts w:ascii="Arial" w:hAnsi="Arial" w:cs="Arial"/>
      <w:color w:val="000000"/>
      <w:sz w:val="20"/>
      <w:szCs w:val="20"/>
      <w:u w:val="none"/>
    </w:rPr>
  </w:style>
  <w:style w:type="character" w:styleId="1116" w:customStyle="1">
    <w:name w:val="font161"/>
    <w:uiPriority w:val="0"/>
    <w:qFormat/>
    <w:rPr>
      <w:rFonts w:hint="eastAsia" w:ascii="宋体" w:hAnsi="宋体" w:eastAsia="宋体" w:cs="宋体"/>
      <w:color w:val="000000"/>
      <w:sz w:val="22"/>
      <w:szCs w:val="22"/>
      <w:u w:val="none"/>
    </w:rPr>
  </w:style>
  <w:style w:type="character" w:styleId="1117" w:customStyle="1">
    <w:name w:val="font121"/>
    <w:uiPriority w:val="0"/>
    <w:qFormat/>
    <w:rPr>
      <w:rFonts w:hint="eastAsia" w:ascii="宋体" w:hAnsi="宋体" w:eastAsia="宋体" w:cs="宋体"/>
      <w:color w:val="000000"/>
      <w:sz w:val="20"/>
      <w:szCs w:val="20"/>
      <w:u w:val="none"/>
    </w:rPr>
  </w:style>
  <w:style w:type="character" w:styleId="1118" w:customStyle="1">
    <w:name w:val="font112"/>
    <w:uiPriority w:val="0"/>
    <w:qFormat/>
    <w:rPr>
      <w:rFonts w:ascii="Arial" w:hAnsi="Arial" w:cs="Arial"/>
      <w:color w:val="000000"/>
      <w:sz w:val="20"/>
      <w:szCs w:val="20"/>
      <w:u w:val="none"/>
    </w:rPr>
  </w:style>
  <w:style w:type="character" w:styleId="1119" w:customStyle="1">
    <w:name w:val="font31"/>
    <w:uiPriority w:val="0"/>
    <w:qFormat/>
    <w:rPr>
      <w:rFonts w:ascii="Arial" w:hAnsi="Arial" w:cs="Arial"/>
      <w:color w:val="000000"/>
      <w:sz w:val="22"/>
      <w:szCs w:val="22"/>
      <w:u w:val="none"/>
    </w:rPr>
  </w:style>
  <w:style w:type="character" w:styleId="1120" w:customStyle="1">
    <w:name w:val="font221"/>
    <w:uiPriority w:val="0"/>
    <w:qFormat/>
    <w:rPr>
      <w:rFonts w:hint="eastAsia" w:ascii="宋体" w:hAnsi="宋体" w:eastAsia="宋体" w:cs="宋体"/>
      <w:color w:val="000000"/>
      <w:sz w:val="20"/>
      <w:szCs w:val="20"/>
      <w:u w:val="none"/>
    </w:rPr>
  </w:style>
  <w:style w:type="character" w:styleId="1121" w:customStyle="1">
    <w:name w:val="font231"/>
    <w:uiPriority w:val="0"/>
    <w:qFormat/>
    <w:rPr>
      <w:rFonts w:hint="eastAsia" w:ascii="宋体" w:hAnsi="宋体" w:eastAsia="宋体" w:cs="宋体"/>
      <w:color w:val="000000"/>
      <w:sz w:val="22"/>
      <w:szCs w:val="22"/>
      <w:u w:val="none"/>
    </w:rPr>
  </w:style>
  <w:style w:type="character" w:styleId="1122" w:customStyle="1">
    <w:name w:val="font71"/>
    <w:uiPriority w:val="0"/>
    <w:qFormat/>
    <w:rPr>
      <w:rFonts w:ascii="Arial" w:hAnsi="Arial" w:cs="Arial"/>
      <w:color w:val="000000"/>
      <w:sz w:val="22"/>
      <w:szCs w:val="22"/>
      <w:u w:val="none"/>
    </w:rPr>
  </w:style>
  <w:style w:type="character" w:styleId="1123" w:customStyle="1">
    <w:name w:val="font241"/>
    <w:uiPriority w:val="0"/>
    <w:qFormat/>
    <w:rPr>
      <w:rFonts w:hint="eastAsia" w:ascii="宋体" w:hAnsi="宋体" w:eastAsia="宋体" w:cs="宋体"/>
      <w:b/>
      <w:bCs/>
      <w:color w:val="000000"/>
      <w:sz w:val="32"/>
      <w:szCs w:val="32"/>
      <w:u w:val="none"/>
    </w:rPr>
  </w:style>
  <w:style w:type="character" w:styleId="1124" w:customStyle="1">
    <w:name w:val="font251"/>
    <w:uiPriority w:val="0"/>
    <w:qFormat/>
    <w:rPr>
      <w:rFonts w:hint="eastAsia" w:ascii="宋体" w:hAnsi="宋体" w:eastAsia="宋体" w:cs="宋体"/>
      <w:color w:val="000000"/>
      <w:sz w:val="20"/>
      <w:szCs w:val="20"/>
      <w:u w:val="none"/>
    </w:rPr>
  </w:style>
  <w:style w:type="character" w:styleId="1125" w:customStyle="1">
    <w:name w:val="font261"/>
    <w:uiPriority w:val="0"/>
    <w:qFormat/>
    <w:rPr>
      <w:rFonts w:hint="eastAsia" w:ascii="宋体" w:hAnsi="宋体" w:eastAsia="宋体" w:cs="宋体"/>
      <w:color w:val="000000"/>
      <w:sz w:val="22"/>
      <w:szCs w:val="22"/>
      <w:u w:val="none"/>
    </w:rPr>
  </w:style>
  <w:style w:type="character" w:styleId="1126" w:customStyle="1">
    <w:name w:val="font232"/>
    <w:uiPriority w:val="0"/>
    <w:qFormat/>
    <w:rPr>
      <w:rFonts w:hint="eastAsia" w:ascii="宋体" w:hAnsi="宋体" w:eastAsia="宋体" w:cs="宋体"/>
      <w:b/>
      <w:bCs/>
      <w:color w:val="000000"/>
      <w:sz w:val="32"/>
      <w:szCs w:val="32"/>
      <w:u w:val="none"/>
    </w:rPr>
  </w:style>
  <w:style w:type="paragraph" w:styleId="1127" w:customStyle="1">
    <w:name w:val="p19"/>
    <w:basedOn w:val="810"/>
    <w:uiPriority w:val="0"/>
    <w:qFormat/>
    <w:pPr>
      <w:widowControl/>
    </w:pPr>
  </w:style>
  <w:style w:type="table" w:styleId="1128" w:customStyle="1">
    <w:name w:val="Table Normal"/>
    <w:uiPriority w:val="0"/>
    <w:unhideWhenUsed/>
    <w:qFormat/>
    <w:tblPr>
      <w:tblCellMar>
        <w:left w:w="0" w:type="dxa"/>
        <w:top w:w="0" w:type="dxa"/>
        <w:right w:w="0" w:type="dxa"/>
        <w:bottom w:w="0" w:type="dxa"/>
      </w:tblCellMar>
    </w:tblPr>
  </w:style>
  <w:style w:type="paragraph" w:styleId="1129" w:customStyle="1">
    <w:name w:val="修订1"/>
    <w:uiPriority w:val="99"/>
    <w:unhideWhenUsed/>
    <w:qFormat/>
    <w:rPr>
      <w:rFonts w:ascii="Times New Roman" w:hAnsi="Times New Roman" w:eastAsia="宋体" w:cs="Times New Roman"/>
      <w:sz w:val="21"/>
      <w:szCs w:val="21"/>
      <w:lang w:val="en-US" w:eastAsia="zh-CN" w:bidi="ar-SA"/>
    </w:rPr>
  </w:style>
  <w:style w:type="character" w:styleId="1130" w:customStyle="1">
    <w:name w:val="NormalCharacter1"/>
    <w:uiPriority w:val="0"/>
    <w:semiHidden/>
    <w:qFormat/>
  </w:style>
  <w:style w:type="paragraph" w:styleId="1131" w:customStyle="1">
    <w:name w:val="普通(网站)1"/>
    <w:basedOn w:val="1089"/>
    <w:uiPriority w:val="0"/>
    <w:qFormat/>
    <w:rPr>
      <w:sz w:val="24"/>
    </w:rPr>
  </w:style>
  <w:style w:type="paragraph" w:styleId="1132" w:customStyle="1">
    <w:name w:val="标题 51"/>
    <w:basedOn w:val="1089"/>
    <w:next w:val="1089"/>
    <w:uiPriority w:val="0"/>
    <w:qFormat/>
    <w:pPr>
      <w:ind w:left="40"/>
      <w:spacing w:before="10"/>
      <w:outlineLvl w:val="4"/>
    </w:pPr>
    <w:rPr>
      <w:rFonts w:ascii="楷体" w:hAnsi="楷体" w:eastAsia="楷体"/>
      <w:sz w:val="24"/>
      <w:szCs w:val="24"/>
    </w:rPr>
  </w:style>
  <w:style w:type="paragraph" w:styleId="1133" w:customStyle="1">
    <w:name w:val="脚注文本1"/>
    <w:basedOn w:val="810"/>
    <w:uiPriority w:val="99"/>
    <w:unhideWhenUsed/>
    <w:qFormat/>
    <w:pPr>
      <w:spacing w:after="40"/>
    </w:pPr>
    <w:rPr>
      <w:sz w:val="18"/>
    </w:rPr>
  </w:style>
  <w:style w:type="character" w:styleId="1134" w:customStyle="1">
    <w:name w:val="font81"/>
    <w:basedOn w:val="820"/>
    <w:uiPriority w:val="0"/>
    <w:qFormat/>
    <w:rPr>
      <w:rFonts w:hint="default" w:ascii="Times New Roman" w:hAnsi="Times New Roman" w:cs="Times New Roman"/>
      <w:b/>
      <w:bCs/>
      <w:color w:val="000000"/>
      <w:sz w:val="24"/>
      <w:szCs w:val="24"/>
      <w:u w:val="none"/>
    </w:rPr>
  </w:style>
  <w:style w:type="character" w:styleId="1135" w:customStyle="1">
    <w:name w:val="正文文本 Char"/>
    <w:link w:val="826"/>
    <w:uiPriority w:val="99"/>
    <w:qFormat/>
    <w:rPr>
      <w:rFonts w:ascii="Times New Roman" w:hAnsi="Times New Roman" w:eastAsia="宋体" w:cs="Times New Roman"/>
      <w:sz w:val="20"/>
      <w:szCs w:val="24"/>
    </w:rPr>
  </w:style>
  <w:style w:type="paragraph" w:styleId="1136" w:customStyle="1">
    <w:name w:val="普通正文"/>
    <w:basedOn w:val="810"/>
    <w:uiPriority w:val="0"/>
    <w:qFormat/>
    <w:pPr>
      <w:ind w:firstLine="480"/>
      <w:jc w:val="left"/>
      <w:spacing w:before="120" w:after="120" w:line="360" w:lineRule="auto"/>
    </w:pPr>
    <w:rPr>
      <w:rFonts w:ascii="Arial" w:hAnsi="Arial"/>
      <w:sz w:val="24"/>
      <w:szCs w:val="24"/>
    </w:rPr>
  </w:style>
  <w:style w:type="paragraph" w:styleId="1137"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character" w:styleId="1138" w:customStyle="1">
    <w:name w:val="批注框文本 Char"/>
    <w:basedOn w:val="820"/>
    <w:link w:val="832"/>
    <w:uiPriority w:val="99"/>
    <w:semiHidden/>
    <w:qFormat/>
    <w:rPr>
      <w:sz w:val="18"/>
      <w:szCs w:val="18"/>
    </w:rPr>
  </w:style>
  <w:style w:type="character" w:styleId="1139" w:customStyle="1">
    <w:name w:val="active16"/>
    <w:basedOn w:val="820"/>
    <w:uiPriority w:val="0"/>
    <w:qFormat/>
    <w:rPr>
      <w:color w:val="ffffff"/>
      <w:shd w:val="clear" w:color="auto" w:fill="0f5bb9"/>
    </w:rPr>
  </w:style>
  <w:style w:type="paragraph" w:styleId="1140" w:customStyle="1">
    <w:name w:val="_正文段落"/>
    <w:uiPriority w:val="0"/>
    <w:qFormat/>
    <w:pPr>
      <w:ind w:firstLine="480"/>
      <w:jc w:val="both"/>
      <w:spacing w:line="360" w:lineRule="auto"/>
      <w:widowControl w:val="off"/>
    </w:pPr>
    <w:rPr>
      <w:rFonts w:hint="default" w:ascii="宋体" w:hAnsi="宋体" w:eastAsia="宋体" w:cs="Times New Roman"/>
      <w:sz w:val="24"/>
      <w:szCs w:val="24"/>
      <w:lang w:val="en-US" w:eastAsia="zh-CN" w:bidi="ar-SA"/>
    </w:rPr>
  </w:style>
  <w:style w:type="character" w:styleId="1141" w:customStyle="1">
    <w:name w:val="first-child"/>
    <w:basedOn w:val="820"/>
    <w:uiPriority w:val="0"/>
    <w:qFormat/>
  </w:style>
  <w:style w:type="character" w:styleId="1142" w:customStyle="1">
    <w:name w:val="webupload"/>
    <w:basedOn w:val="820"/>
    <w:uiPriority w:val="0"/>
    <w:qFormat/>
    <w:rPr>
      <w:color w:val="4e7adb"/>
    </w:rPr>
  </w:style>
  <w:style w:type="character" w:styleId="1143" w:customStyle="1">
    <w:name w:val="hover5"/>
    <w:basedOn w:val="820"/>
    <w:uiPriority w:val="0"/>
    <w:qFormat/>
    <w:rPr>
      <w:color w:val="ffffff"/>
    </w:rPr>
  </w:style>
  <w:style w:type="character" w:styleId="1144" w:customStyle="1">
    <w:name w:val="hover6"/>
    <w:basedOn w:val="820"/>
    <w:uiPriority w:val="0"/>
    <w:qFormat/>
    <w:rPr>
      <w:color w:val="5fb878"/>
    </w:rPr>
  </w:style>
  <w:style w:type="character" w:styleId="1145" w:customStyle="1">
    <w:name w:val="hover7"/>
    <w:basedOn w:val="820"/>
    <w:uiPriority w:val="0"/>
    <w:qFormat/>
    <w:rPr>
      <w:color w:val="5fb878"/>
    </w:rPr>
  </w:style>
  <w:style w:type="character" w:styleId="1146" w:customStyle="1">
    <w:name w:val="layui-layer-tabnow"/>
    <w:basedOn w:val="820"/>
    <w:uiPriority w:val="0"/>
    <w:qFormat/>
    <w:rPr>
      <w:shd w:val="clear" w:color="auto" w:fill="ffffff"/>
    </w:rPr>
  </w:style>
  <w:style w:type="character" w:styleId="1147" w:customStyle="1">
    <w:name w:val="hover8"/>
    <w:basedOn w:val="820"/>
    <w:uiPriority w:val="0"/>
    <w:qFormat/>
    <w:rPr>
      <w:color w:val="ffffff"/>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杨洁羽</cp:lastModifiedBy>
  <cp:revision>12</cp:revision>
  <dcterms:created xsi:type="dcterms:W3CDTF">2022-07-21T10:36:00Z</dcterms:created>
  <dcterms:modified xsi:type="dcterms:W3CDTF">2024-10-08T08:32:57Z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07550CCFF4E84F4EB77EAAAB988C1E5A_13</vt:lpwstr>
  </property>
</Properties>
</file>