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编制说明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b/>
          <w:bCs/>
        </w:rPr>
      </w:pPr>
      <w:r>
        <w:rPr>
          <w:rFonts w:hint="eastAsia" w:ascii="宋体" w:hAnsi="宋体" w:eastAsia="宋体" w:cs="宋体"/>
          <w:b/>
          <w:bCs/>
          <w:sz w:val="24"/>
          <w:szCs w:val="24"/>
        </w:rPr>
        <w:t>一、工程概况：</w:t>
      </w:r>
    </w:p>
    <w:p>
      <w:pPr>
        <w:pStyle w:val="2"/>
        <w:keepNext w:val="0"/>
        <w:keepLines w:val="0"/>
        <w:widowControl/>
        <w:suppressLineNumbers w:val="0"/>
        <w:spacing w:before="0" w:beforeAutospacing="0" w:after="0" w:afterAutospacing="0"/>
        <w:ind w:left="0" w:right="0" w:firstLine="0"/>
      </w:pPr>
      <w:r>
        <w:rPr>
          <w:rFonts w:hint="eastAsia"/>
        </w:rPr>
        <w:t>本工程为</w:t>
      </w:r>
      <w:r>
        <w:t>大兴中心小学运动场提升改造项目</w:t>
      </w:r>
      <w:r>
        <w:rPr>
          <w:rFonts w:hint="eastAsia"/>
        </w:rPr>
        <w:t>，项目位于</w:t>
      </w:r>
      <w:r>
        <w:t>大兴中心小学</w:t>
      </w:r>
      <w:r>
        <w:rPr>
          <w:rFonts w:hint="eastAsia"/>
        </w:rPr>
        <w:t>。</w:t>
      </w:r>
      <w:r>
        <w:rPr>
          <w:rFonts w:hint="eastAsia" w:ascii="宋体" w:hAnsi="宋体" w:eastAsia="宋体" w:cs="宋体"/>
          <w:sz w:val="24"/>
          <w:szCs w:val="24"/>
        </w:rPr>
        <w:t>主要内容：</w:t>
      </w:r>
      <w:r>
        <w:rPr>
          <w:rFonts w:hint="eastAsia" w:ascii="宋体" w:hAnsi="宋体" w:eastAsia="宋体" w:cs="宋体"/>
          <w:sz w:val="24"/>
          <w:szCs w:val="24"/>
          <w:lang w:val="en-US" w:eastAsia="zh-CN"/>
        </w:rPr>
        <w:t>塑胶面层拆除与更换</w:t>
      </w:r>
      <w:r>
        <w:rPr>
          <w:rFonts w:hint="eastAsia" w:ascii="宋体" w:hAnsi="宋体" w:eastAsia="宋体" w:cs="宋体"/>
          <w:sz w:val="24"/>
          <w:szCs w:val="24"/>
        </w:rPr>
        <w:t>、</w:t>
      </w:r>
      <w:r>
        <w:rPr>
          <w:rFonts w:hint="eastAsia" w:ascii="宋体" w:hAnsi="宋体" w:eastAsia="宋体" w:cs="宋体"/>
          <w:sz w:val="24"/>
          <w:szCs w:val="24"/>
          <w:lang w:val="en-US" w:eastAsia="zh-CN"/>
        </w:rPr>
        <w:t>人造草坪拆除与更换</w:t>
      </w:r>
      <w:r>
        <w:rPr>
          <w:rFonts w:hint="eastAsia" w:ascii="宋体" w:hAnsi="宋体" w:eastAsia="宋体" w:cs="宋体"/>
          <w:sz w:val="24"/>
          <w:szCs w:val="24"/>
        </w:rPr>
        <w:t>、</w:t>
      </w:r>
      <w:r>
        <w:rPr>
          <w:rFonts w:hint="eastAsia" w:ascii="宋体" w:hAnsi="宋体" w:eastAsia="宋体" w:cs="宋体"/>
          <w:sz w:val="24"/>
          <w:szCs w:val="24"/>
          <w:lang w:val="en-US" w:eastAsia="zh-CN"/>
        </w:rPr>
        <w:t>其他配套零星改造等</w:t>
      </w:r>
      <w:r>
        <w:rPr>
          <w:rFonts w:hint="eastAsia" w:ascii="宋体" w:hAnsi="宋体" w:eastAsia="宋体" w:cs="宋体"/>
          <w:sz w:val="24"/>
          <w:szCs w:val="24"/>
        </w:rPr>
        <w:t>。</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b/>
          <w:bCs/>
        </w:rPr>
      </w:pPr>
      <w:r>
        <w:rPr>
          <w:rFonts w:hint="eastAsia" w:ascii="宋体" w:hAnsi="宋体" w:eastAsia="宋体" w:cs="宋体"/>
          <w:b/>
          <w:bCs/>
          <w:sz w:val="24"/>
          <w:szCs w:val="24"/>
        </w:rPr>
        <w:t>二、工程范围：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ascii="宋体" w:hAnsi="宋体" w:eastAsia="宋体" w:cs="宋体"/>
          <w:sz w:val="24"/>
          <w:szCs w:val="24"/>
        </w:rPr>
      </w:pPr>
      <w:r>
        <w:rPr>
          <w:rFonts w:ascii="宋体" w:hAnsi="宋体" w:eastAsia="宋体" w:cs="宋体"/>
          <w:sz w:val="24"/>
          <w:szCs w:val="24"/>
        </w:rPr>
        <w:t>具体详见</w:t>
      </w:r>
      <w:r>
        <w:rPr>
          <w:rFonts w:hint="eastAsia" w:ascii="宋体" w:hAnsi="宋体" w:eastAsia="宋体" w:cs="宋体"/>
          <w:sz w:val="24"/>
          <w:szCs w:val="24"/>
          <w:lang w:eastAsia="zh-CN"/>
        </w:rPr>
        <w:t>磋商文件</w:t>
      </w:r>
      <w:r>
        <w:rPr>
          <w:rFonts w:ascii="宋体" w:hAnsi="宋体" w:eastAsia="宋体" w:cs="宋体"/>
          <w:sz w:val="24"/>
          <w:szCs w:val="24"/>
        </w:rPr>
        <w:t xml:space="preserve">、施工图设计文件。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b/>
          <w:bCs/>
        </w:rPr>
      </w:pPr>
      <w:r>
        <w:rPr>
          <w:rFonts w:hint="eastAsia" w:ascii="宋体" w:hAnsi="宋体" w:eastAsia="宋体" w:cs="宋体"/>
          <w:b/>
          <w:bCs/>
          <w:sz w:val="24"/>
          <w:szCs w:val="24"/>
        </w:rPr>
        <w:t>三、编制依据：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rPr>
      </w:pPr>
      <w:r>
        <w:rPr>
          <w:rFonts w:hint="eastAsia"/>
        </w:rPr>
        <w:t>1、由</w:t>
      </w:r>
      <w:r>
        <w:rPr>
          <w:rFonts w:hint="eastAsia"/>
          <w:lang w:val="en-US" w:eastAsia="zh-CN"/>
        </w:rPr>
        <w:t>发包人</w:t>
      </w:r>
      <w:r>
        <w:rPr>
          <w:rFonts w:hint="eastAsia"/>
        </w:rPr>
        <w:t>提供的涉及本工程的图纸及相关资料；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rPr>
      </w:pPr>
      <w:r>
        <w:rPr>
          <w:rFonts w:hint="eastAsia"/>
        </w:rPr>
        <w:t>2、《建设工程工程量清单计价规范》（GB50500-2013）、《房屋建筑与装饰工程工程量计算规范》（GB50854</w:t>
      </w:r>
      <w:r>
        <w:rPr>
          <w:rFonts w:hint="eastAsia"/>
          <w:lang w:val="en-US" w:eastAsia="zh-CN"/>
        </w:rPr>
        <w:t>-</w:t>
      </w:r>
      <w:r>
        <w:rPr>
          <w:rFonts w:hint="eastAsia"/>
        </w:rPr>
        <w:t>2013）</w:t>
      </w:r>
      <w:r>
        <w:rPr>
          <w:rFonts w:hint="eastAsia"/>
          <w:lang w:eastAsia="zh-CN"/>
        </w:rPr>
        <w:t>、</w:t>
      </w:r>
      <w:r>
        <w:rPr>
          <w:rFonts w:hint="eastAsia"/>
        </w:rPr>
        <w:t>《通用安装工程工程量计算规范》（GB50856</w:t>
      </w:r>
      <w:r>
        <w:rPr>
          <w:rFonts w:hint="eastAsia"/>
          <w:lang w:val="en-US" w:eastAsia="zh-CN"/>
        </w:rPr>
        <w:t>-</w:t>
      </w:r>
      <w:r>
        <w:rPr>
          <w:rFonts w:hint="eastAsia"/>
        </w:rPr>
        <w:t>2013）</w:t>
      </w:r>
      <w:r>
        <w:rPr>
          <w:rFonts w:hint="eastAsia"/>
          <w:lang w:eastAsia="zh-CN"/>
        </w:rPr>
        <w:t>、</w:t>
      </w:r>
      <w:r>
        <w:rPr>
          <w:rFonts w:hint="eastAsia"/>
        </w:rPr>
        <w:t>《市政工程工程量计算规范》（GB50857-2013）</w:t>
      </w:r>
      <w:r>
        <w:rPr>
          <w:rFonts w:hint="eastAsia"/>
          <w:lang w:eastAsia="zh-CN"/>
        </w:rPr>
        <w:t>、</w:t>
      </w:r>
      <w:r>
        <w:rPr>
          <w:rFonts w:hint="eastAsia"/>
        </w:rPr>
        <w:t>《园林绿化工程工程量计算规范》（GB50858-2013）</w:t>
      </w:r>
      <w:r>
        <w:rPr>
          <w:rFonts w:hint="eastAsia"/>
          <w:lang w:eastAsia="zh-CN"/>
        </w:rPr>
        <w:t>、</w:t>
      </w:r>
      <w:r>
        <w:rPr>
          <w:rFonts w:hint="eastAsia"/>
        </w:rPr>
        <w:t>《江苏省建筑与装饰工程计价定额》（2014年）、《江苏省安装工程计价定额》（2014年）、《江苏省市政工程计价定额》（2014年）</w:t>
      </w:r>
      <w:r>
        <w:rPr>
          <w:rFonts w:hint="eastAsia"/>
          <w:lang w:eastAsia="zh-CN"/>
        </w:rPr>
        <w:t>、</w:t>
      </w:r>
      <w:r>
        <w:rPr>
          <w:rFonts w:hint="eastAsia"/>
        </w:rPr>
        <w:t>《江苏省仿古建筑与园林工程计价表》（2007）、《江苏省建设工程费用定额》（2014）及其配套文件；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auto"/>
        </w:rPr>
      </w:pPr>
      <w:r>
        <w:rPr>
          <w:rFonts w:hint="eastAsia"/>
        </w:rPr>
        <w:t>3、《省住房城乡建设厅关于建筑业实施营改增后江苏省建设工程计价依据调整的通知》（苏建价[2016]154号）</w:t>
      </w:r>
      <w:r>
        <w:rPr>
          <w:rFonts w:hint="eastAsia" w:ascii="宋体" w:hAnsi="宋体" w:eastAsia="宋体" w:cs="宋体"/>
          <w:sz w:val="24"/>
          <w:szCs w:val="24"/>
          <w:lang w:eastAsia="zh-CN"/>
        </w:rPr>
        <w:t>，</w:t>
      </w:r>
      <w:r>
        <w:rPr>
          <w:rFonts w:hint="eastAsia" w:ascii="宋体" w:hAnsi="宋体" w:eastAsia="宋体" w:cs="宋体"/>
          <w:sz w:val="24"/>
          <w:szCs w:val="24"/>
        </w:rPr>
        <w:t>《省住房城乡建设厅关于调整建设工程计价增值税税率的通知》</w:t>
      </w:r>
      <w:r>
        <w:rPr>
          <w:rFonts w:hint="eastAsia" w:ascii="宋体" w:hAnsi="宋体" w:eastAsia="宋体" w:cs="宋体"/>
          <w:color w:val="auto"/>
          <w:sz w:val="24"/>
          <w:szCs w:val="24"/>
        </w:rPr>
        <w:t>（苏建函价〔2019〕178号）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《省住房城乡建设厅关于调整建设工程按质论价等费用计取方法的公告》（公告〔2018〕24号）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《省住房城乡建设厅关于建筑工人实名制费用计取方法的公告》（公告〔2019〕19号）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关于明确材料预算价格中含税价和除税价计算方式的通知</w:t>
      </w:r>
      <w:r>
        <w:rPr>
          <w:rFonts w:hint="eastAsia" w:ascii="宋体" w:hAnsi="宋体" w:eastAsia="宋体" w:cs="宋体"/>
          <w:color w:val="auto"/>
          <w:sz w:val="24"/>
          <w:szCs w:val="24"/>
        </w:rPr>
        <w:t>》苏建价函﹝2025﹞2号；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auto"/>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《省住房城乡建设厅关于发布建设工程人工工资指导价的通知》（苏建函价[202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 xml:space="preserve">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、材料价格执行《宿迁工程造价管理》202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年第</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期，对于工程造价信</w:t>
      </w:r>
      <w:r>
        <w:rPr>
          <w:rFonts w:hint="eastAsia" w:ascii="宋体" w:hAnsi="宋体" w:eastAsia="宋体" w:cs="宋体"/>
          <w:sz w:val="24"/>
          <w:szCs w:val="24"/>
        </w:rPr>
        <w:t xml:space="preserve">息没有发布价格信息的材料，其价格参照市场价；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z w:val="24"/>
          <w:szCs w:val="24"/>
          <w:lang w:val="en-US" w:eastAsia="zh-CN"/>
        </w:rPr>
        <w:t>6</w:t>
      </w:r>
      <w:r>
        <w:rPr>
          <w:rFonts w:hint="eastAsia" w:ascii="宋体" w:hAnsi="宋体" w:eastAsia="宋体" w:cs="宋体"/>
          <w:sz w:val="24"/>
          <w:szCs w:val="24"/>
        </w:rPr>
        <w:t>、本工程涉及的图集、规范等其它相关造价资料。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四、根据发包方要求，结合工程具体情况，本</w:t>
      </w:r>
      <w:r>
        <w:rPr>
          <w:rFonts w:hint="eastAsia" w:ascii="宋体" w:hAnsi="宋体" w:eastAsia="宋体" w:cs="宋体"/>
          <w:b/>
          <w:bCs/>
          <w:sz w:val="24"/>
          <w:szCs w:val="24"/>
          <w:lang w:val="en-US" w:eastAsia="zh-CN"/>
        </w:rPr>
        <w:t>清单</w:t>
      </w:r>
      <w:r>
        <w:rPr>
          <w:rFonts w:hint="eastAsia" w:ascii="宋体" w:hAnsi="宋体" w:eastAsia="宋体" w:cs="宋体"/>
          <w:b/>
          <w:bCs/>
          <w:sz w:val="24"/>
          <w:szCs w:val="24"/>
        </w:rPr>
        <w:t>作如下说明：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rPr>
      </w:pPr>
      <w:r>
        <w:rPr>
          <w:rFonts w:hint="eastAsia"/>
        </w:rPr>
        <w:t>1、</w:t>
      </w:r>
      <w:r>
        <w:rPr>
          <w:rFonts w:hint="default"/>
          <w:lang w:val="en-US" w:eastAsia="zh-CN"/>
        </w:rPr>
        <w:t>本工程设暂列金额，具体详见单位工程暂列金额</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Theme="minorEastAsia"/>
          <w:lang w:eastAsia="zh-CN"/>
        </w:rPr>
      </w:pPr>
      <w:r>
        <w:rPr>
          <w:rFonts w:hint="eastAsia"/>
        </w:rPr>
        <w:t>2、本工程所有材料均须为环保材料，须达到国家环保要求，材料需送建设单位确认后方可进场施工</w:t>
      </w:r>
      <w:r>
        <w:rPr>
          <w:rFonts w:hint="eastAsia"/>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lang w:val="en-US" w:eastAsia="zh-CN"/>
        </w:rPr>
      </w:pPr>
      <w:r>
        <w:rPr>
          <w:rFonts w:hint="eastAsia"/>
          <w:lang w:val="en-US" w:eastAsia="zh-CN"/>
        </w:rPr>
        <w:t>3、</w:t>
      </w:r>
      <w:r>
        <w:rPr>
          <w:rFonts w:hint="eastAsia" w:ascii="宋体" w:hAnsi="宋体" w:eastAsia="宋体" w:cs="宋体"/>
          <w:sz w:val="24"/>
          <w:szCs w:val="24"/>
          <w:lang w:val="en-US" w:eastAsia="zh-CN"/>
        </w:rPr>
        <w:t>施工过程中，施工单位需对现有地面及墙面附着物、非施工部位等做好保护，如有损坏施工单位自行承担相关维修费用，若施工需要对现有成品进行移位，待施工完成后需恢复原位；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lang w:val="en-US" w:eastAsia="zh-CN"/>
        </w:rPr>
      </w:pPr>
      <w:r>
        <w:rPr>
          <w:rFonts w:hint="eastAsia"/>
          <w:lang w:val="en-US" w:eastAsia="zh-CN"/>
        </w:rPr>
        <w:t>4、施工过程中产生的建筑垃圾，施工单位自行弃置；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lang w:val="en-US" w:eastAsia="zh-CN"/>
        </w:rPr>
      </w:pPr>
      <w:r>
        <w:rPr>
          <w:rFonts w:hint="eastAsia"/>
          <w:lang w:val="en-US" w:eastAsia="zh-CN"/>
        </w:rPr>
        <w:t>5、所有混凝土模板安拆等一切措施费包含在混凝土工程量清单项中，不在单独计列模板安拆费；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lang w:val="en-US" w:eastAsia="zh-CN"/>
        </w:rPr>
      </w:pPr>
      <w:r>
        <w:rPr>
          <w:rFonts w:hint="eastAsia"/>
          <w:lang w:val="en-US" w:eastAsia="zh-CN"/>
        </w:rPr>
        <w:t>6、</w:t>
      </w:r>
      <w:r>
        <w:rPr>
          <w:rFonts w:hint="eastAsia"/>
        </w:rPr>
        <w:t>投标人应</w:t>
      </w:r>
      <w:r>
        <w:rPr>
          <w:rFonts w:hint="eastAsia"/>
          <w:lang w:val="en-US" w:eastAsia="zh-CN"/>
        </w:rPr>
        <w:t>自行</w:t>
      </w:r>
      <w:r>
        <w:rPr>
          <w:rFonts w:hint="eastAsia"/>
        </w:rPr>
        <w:t>踏勘现场并综合考虑图纸与现场情况后进行报价</w:t>
      </w:r>
      <w:r>
        <w:rPr>
          <w:rFonts w:hint="eastAsia"/>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lang w:eastAsia="zh-CN"/>
        </w:rPr>
      </w:pPr>
      <w:r>
        <w:rPr>
          <w:rFonts w:hint="eastAsia"/>
          <w:lang w:val="en-US" w:eastAsia="zh-CN"/>
        </w:rPr>
        <w:t>7、投标人</w:t>
      </w:r>
      <w:r>
        <w:rPr>
          <w:rFonts w:hint="eastAsia"/>
          <w:lang w:eastAsia="zh-CN"/>
        </w:rPr>
        <w:t>踏勘现场应充分考虑本工程特点，分析施工条件（水、电、 路、材料（垃圾）堆放、施工便道、临时道路、场地硬化的修建等）交通运输情况及自然地理条件，发包方对于现有的施工条件将不增加任何投入，涉及到的因施工条件须增加投入的因素，对现场已完工成品的保护、以及二次搬运、二次加工、现场安装等因素，投标人报价时应全面考量由此对施工成本和施工工期、其他可能对工程造成的影响并由此增加的费用等，在投标报价中予以考虑，结算时不予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rPr>
      </w:pPr>
      <w:r>
        <w:rPr>
          <w:rFonts w:hint="eastAsia"/>
          <w:lang w:val="en-US" w:eastAsia="zh-CN"/>
        </w:rPr>
        <w:t>8</w:t>
      </w:r>
      <w:r>
        <w:rPr>
          <w:rFonts w:hint="eastAsia"/>
        </w:rPr>
        <w:t>、各投标人应充分勘察现场，在投标报价中自行考虑材料设备场内外运输、起重吊装、二次搬运等费用，不论实际采用何种方案，结算时不应以任何理由要求调整；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Theme="minorEastAsia"/>
          <w:lang w:val="en-US" w:eastAsia="zh-CN"/>
        </w:rPr>
      </w:pPr>
      <w:r>
        <w:rPr>
          <w:rFonts w:hint="eastAsia"/>
          <w:lang w:val="en-US" w:eastAsia="zh-CN"/>
        </w:rPr>
        <w:t>9、本工程使用的混凝土均为预拌混凝土；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lang w:val="en-US" w:eastAsia="zh-CN"/>
        </w:rPr>
      </w:pPr>
      <w:r>
        <w:rPr>
          <w:rFonts w:hint="eastAsia"/>
          <w:lang w:val="en-US" w:eastAsia="zh-CN"/>
        </w:rPr>
        <w:t>10</w:t>
      </w:r>
      <w:r>
        <w:rPr>
          <w:rFonts w:hint="eastAsia"/>
        </w:rPr>
        <w:t>、</w:t>
      </w:r>
      <w:r>
        <w:rPr>
          <w:rFonts w:hint="eastAsia"/>
          <w:lang w:val="en-US" w:eastAsia="zh-CN"/>
        </w:rPr>
        <w:t>分部分项工程量清单中对工程项目特征及具体做法只做重点描述，详细情况见施工图设计及相关标准图集。组价时应结合投标人现场勘察情况包括完成所有工序工作内容的全部费用；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vertAlign w:val="baseline"/>
          <w:lang w:val="en-US" w:eastAsia="zh-CN"/>
        </w:rPr>
      </w:pPr>
      <w:r>
        <w:rPr>
          <w:rFonts w:hint="eastAsia"/>
          <w:lang w:val="en-US" w:eastAsia="zh-CN"/>
        </w:rPr>
        <w:t>11、</w:t>
      </w:r>
      <w:r>
        <w:rPr>
          <w:rFonts w:hint="eastAsia" w:ascii="宋体" w:hAnsi="宋体" w:eastAsia="宋体" w:cs="宋体"/>
          <w:sz w:val="24"/>
          <w:szCs w:val="24"/>
          <w:lang w:eastAsia="zh-CN"/>
        </w:rPr>
        <w:t>应甲方要求部分主材</w:t>
      </w:r>
      <w:r>
        <w:rPr>
          <w:rFonts w:hint="eastAsia" w:ascii="宋体" w:hAnsi="宋体" w:eastAsia="宋体" w:cs="宋体"/>
          <w:sz w:val="24"/>
          <w:szCs w:val="24"/>
          <w:lang w:val="en-US" w:eastAsia="zh-CN"/>
        </w:rPr>
        <w:t>要求如下</w:t>
      </w:r>
      <w:r>
        <w:rPr>
          <w:rFonts w:hint="eastAsia" w:ascii="宋体" w:hAnsi="宋体" w:eastAsia="宋体" w:cs="宋体"/>
          <w:sz w:val="24"/>
          <w:szCs w:val="24"/>
          <w:lang w:eastAsia="zh-CN"/>
        </w:rPr>
        <w:t>，投标人综合考虑在报价中：</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018"/>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序号</w:t>
            </w:r>
          </w:p>
        </w:tc>
        <w:tc>
          <w:tcPr>
            <w:tcW w:w="59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材料名称</w:t>
            </w:r>
          </w:p>
        </w:tc>
        <w:tc>
          <w:tcPr>
            <w:tcW w:w="401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1</w:t>
            </w:r>
          </w:p>
        </w:tc>
        <w:tc>
          <w:tcPr>
            <w:tcW w:w="59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default"/>
                <w:vertAlign w:val="baseline"/>
                <w:lang w:val="en-US" w:eastAsia="zh-CN"/>
              </w:rPr>
              <w:t>透气型塑胶面层</w:t>
            </w:r>
          </w:p>
        </w:tc>
        <w:tc>
          <w:tcPr>
            <w:tcW w:w="401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施工中涉及到的固体原料和非固体原料有害物质限量、气味须满足以下要求：符合GB 36246-2018《中小学合成材料面层运动场地》、GB/T22517-2020《体育场地使用要求及检验方法第6部分：田径场地》和GB/T14833-2020《合层材料运动场地面层》标准的全项型式检验报告，并且报告中有明确标识判定为合格。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材料须一次性进场，</w:t>
            </w:r>
            <w:r>
              <w:rPr>
                <w:rFonts w:hint="eastAsia"/>
                <w:vertAlign w:val="baseline"/>
                <w:lang w:val="en-US" w:eastAsia="zh-CN"/>
              </w:rPr>
              <w:t>经招标人现场取样送检</w:t>
            </w:r>
            <w:r>
              <w:rPr>
                <w:rFonts w:hint="default"/>
                <w:vertAlign w:val="baseline"/>
                <w:lang w:val="en-US" w:eastAsia="zh-CN"/>
              </w:rPr>
              <w:t>，满足上述检测标准后方可使用；面层施工完成后，经招标人现场取样送检合格后方可组织竣工验收。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2</w:t>
            </w:r>
          </w:p>
        </w:tc>
        <w:tc>
          <w:tcPr>
            <w:tcW w:w="59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default"/>
                <w:vertAlign w:val="baseline"/>
                <w:lang w:val="en-US" w:eastAsia="zh-CN"/>
              </w:rPr>
              <w:t>运动场足球场地人造草坪</w:t>
            </w:r>
          </w:p>
        </w:tc>
        <w:tc>
          <w:tcPr>
            <w:tcW w:w="4011" w:type="pct"/>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草丝纤维度≥12000Dtex，100%PE挤出型抗紫外线单丝草，草苗高度50mm，簇密度每平方≥12000针（一簇草丝≥6股12根），双层底布，丁苯背胶，足球场地专用人造草。按每平方≥28kg充注20-40目石英砂，按每平方≥5kg充填2~3mm粒径环保橡胶颗粒。机械充注，保证弹性层均匀与平整。人造草坪产品涉及的所有材料的物理及化学指标须符合GB 36246-2018《中小学合成材料面层运动场地》、GB/T 20394-2019《体育用人造草》规定。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材料须一次性进场，</w:t>
            </w:r>
            <w:r>
              <w:rPr>
                <w:rFonts w:hint="eastAsia"/>
                <w:vertAlign w:val="baseline"/>
                <w:lang w:val="en-US" w:eastAsia="zh-CN"/>
              </w:rPr>
              <w:t>经招标人现场取样送检</w:t>
            </w:r>
            <w:r>
              <w:rPr>
                <w:rFonts w:hint="default"/>
                <w:vertAlign w:val="baseline"/>
                <w:lang w:val="en-US" w:eastAsia="zh-CN"/>
              </w:rPr>
              <w:t>，满足上述检测标准后方可使用。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eastAsia"/>
                <w:vertAlign w:val="baseline"/>
                <w:lang w:val="en-US" w:eastAsia="zh-CN"/>
              </w:rPr>
              <w:t>3</w:t>
            </w:r>
          </w:p>
        </w:tc>
        <w:tc>
          <w:tcPr>
            <w:tcW w:w="59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vertAlign w:val="baseline"/>
                <w:lang w:val="en-US" w:eastAsia="zh-CN"/>
              </w:rPr>
            </w:pPr>
            <w:r>
              <w:rPr>
                <w:rFonts w:hint="default"/>
                <w:vertAlign w:val="baseline"/>
                <w:lang w:val="en-US" w:eastAsia="zh-CN"/>
              </w:rPr>
              <w:t>笼式足球场人造草坪</w:t>
            </w:r>
          </w:p>
        </w:tc>
        <w:tc>
          <w:tcPr>
            <w:tcW w:w="4011" w:type="pct"/>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草丝纤维度≥16000Dtex，100%PE挤出型抗紫外线单丝草，草苗高度30mm，簇密度每平方21000针（一簇草丝≥直丝12根+曲丝12根），双层底布，丁苯背胶，足球场地专用人造草。人造草坪产品涉及的所有材料的物理及化学指标须符合GB 36246-2018《中小学合成材料面层运动场地》、GB/T 20394-2019《体育用人造草》规定。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vertAlign w:val="baseline"/>
                <w:lang w:val="en-US" w:eastAsia="zh-CN"/>
              </w:rPr>
            </w:pPr>
            <w:r>
              <w:rPr>
                <w:rFonts w:hint="default"/>
                <w:vertAlign w:val="baseline"/>
                <w:lang w:val="en-US" w:eastAsia="zh-CN"/>
              </w:rPr>
              <w:t>材料须一次性进场，</w:t>
            </w:r>
            <w:r>
              <w:rPr>
                <w:rFonts w:hint="eastAsia"/>
                <w:vertAlign w:val="baseline"/>
                <w:lang w:val="en-US" w:eastAsia="zh-CN"/>
              </w:rPr>
              <w:t>经招标人现场取样送检</w:t>
            </w:r>
            <w:r>
              <w:rPr>
                <w:rFonts w:hint="default"/>
                <w:vertAlign w:val="baseline"/>
                <w:lang w:val="en-US" w:eastAsia="zh-CN"/>
              </w:rPr>
              <w:t>，满足上述检测标准后方可使用。</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kern w:val="0"/>
          <w:sz w:val="26"/>
          <w:szCs w:val="26"/>
          <w:lang w:val="en-US" w:eastAsia="zh-CN" w:bidi="ar"/>
        </w:rPr>
      </w:pPr>
      <w:r>
        <w:rPr>
          <w:rFonts w:hint="eastAsia"/>
          <w:lang w:val="en-US" w:eastAsia="zh-CN"/>
        </w:rPr>
        <w:t>12、总说明未尽之处，详见设计施工图纸，各投标单位在投标报价中应结合现场实际施工情况充分考虑其相关费用。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TRjODc3YzMwZDI4YjMxMTM3ODEwMDU1ODdhMTUifQ=="/>
  </w:docVars>
  <w:rsids>
    <w:rsidRoot w:val="00000000"/>
    <w:rsid w:val="00095767"/>
    <w:rsid w:val="02A50FF8"/>
    <w:rsid w:val="07D72EEC"/>
    <w:rsid w:val="0B082AC9"/>
    <w:rsid w:val="0ED66FD4"/>
    <w:rsid w:val="14D432AD"/>
    <w:rsid w:val="184254DE"/>
    <w:rsid w:val="1E117419"/>
    <w:rsid w:val="1EC55887"/>
    <w:rsid w:val="275C0FC8"/>
    <w:rsid w:val="310E70CF"/>
    <w:rsid w:val="388A2368"/>
    <w:rsid w:val="41E342F7"/>
    <w:rsid w:val="43D479FB"/>
    <w:rsid w:val="4ABB25E6"/>
    <w:rsid w:val="4C813A5E"/>
    <w:rsid w:val="4DA54E6C"/>
    <w:rsid w:val="4F645E3E"/>
    <w:rsid w:val="533336B1"/>
    <w:rsid w:val="5B2353A2"/>
    <w:rsid w:val="63AB1E49"/>
    <w:rsid w:val="650E1E8C"/>
    <w:rsid w:val="66FC290A"/>
    <w:rsid w:val="67B92AED"/>
    <w:rsid w:val="6A6D21BD"/>
    <w:rsid w:val="6DF64636"/>
    <w:rsid w:val="73DC405A"/>
    <w:rsid w:val="74C22004"/>
    <w:rsid w:val="782A7EE2"/>
    <w:rsid w:val="79A4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1972</Words>
  <Characters>2222</Characters>
  <Lines>0</Lines>
  <Paragraphs>0</Paragraphs>
  <TotalTime>20</TotalTime>
  <ScaleCrop>false</ScaleCrop>
  <LinksUpToDate>false</LinksUpToDate>
  <CharactersWithSpaces>2231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2021-07-20T00:52:00Z</dcterms:created>
  <dc:creator>Administrator</dc:creator>
  <cp:lastModifiedBy>8191183758</cp:lastModifiedBy>
  <dcterms:modified xsi:type="dcterms:W3CDTF">2025-07-03T01:42:23Z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D9FC8808BE28495BAB2DE441E6014BB6_13</vt:lpwstr>
  </property>
  <property fmtid="{D5CDD505-2E9C-101B-9397-08002B2CF9AE}" pid="4" name="KSOTemplateDocerSaveRecord">
    <vt:lpwstr>eyJoZGlkIjoiYzM4YjI1OGIxODg4MWU1NTNhMWRhN2E5ZDVhNmI1ZjMifQ==</vt:lpwstr>
  </property>
</Properties>
</file>