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ind w:firstLine="204"/>
        <w:pageBreakBefore w:val="0"/>
        <w:spacing w:before="120" w:beforeAutospacing="0" w:after="120" w:afterAutospacing="0" w:line="360" w:lineRule="auto"/>
        <w:rPr>
          <w:color w:val="auto"/>
          <w:highlight w:val="none"/>
        </w:rPr>
      </w:pPr>
      <w:r>
        <w:rPr>
          <w:color w:val="auto"/>
          <w:highlight w:val="none"/>
        </w:rPr>
        <w:t xml:space="preserve"> </w:t>
      </w:r>
      <w:r/>
    </w:p>
    <w:p>
      <w:pPr>
        <w:pStyle w:val="686"/>
        <w:ind w:firstLine="717"/>
        <w:jc w:val="left"/>
        <w:pageBreakBefore w:val="0"/>
        <w:spacing w:before="120" w:beforeAutospacing="0" w:after="120" w:afterAutospacing="0" w:line="360" w:lineRule="auto"/>
        <w:tabs>
          <w:tab w:val="left" w:pos="910" w:leader="none"/>
          <w:tab w:val="center" w:pos="4212" w:leader="none"/>
        </w:tabs>
        <w:rPr>
          <w:rFonts w:ascii="Arial" w:hAnsi="Arial" w:cs="Arial"/>
          <w:b/>
          <w:color w:val="auto"/>
          <w:sz w:val="84"/>
          <w:szCs w:val="84"/>
          <w:highlight w:val="none"/>
        </w:rPr>
      </w:pPr>
      <w:r>
        <w:rPr>
          <w:rFonts w:hint="eastAsia" w:ascii="Arial" w:hAnsi="Arial" w:eastAsia="宋体" w:cs="Arial"/>
          <w:b/>
          <w:color w:val="auto"/>
          <w:sz w:val="84"/>
          <w:szCs w:val="84"/>
          <w:highlight w:val="none"/>
          <w:lang w:eastAsia="zh-CN"/>
        </w:rPr>
        <w:tab/>
      </w:r>
      <w:r>
        <w:rPr>
          <w:rFonts w:hint="eastAsia" w:ascii="Arial" w:hAnsi="Arial" w:eastAsia="宋体" w:cs="Arial"/>
          <w:b/>
          <w:color w:val="auto"/>
          <w:sz w:val="84"/>
          <w:szCs w:val="84"/>
          <w:highlight w:val="none"/>
          <w:lang w:eastAsia="zh-CN"/>
        </w:rPr>
        <w:tab/>
      </w:r>
      <w:r>
        <w:rPr>
          <w:rFonts w:ascii="Arial" w:hAnsi="Arial" w:cs="Arial"/>
          <w:b/>
          <w:color w:val="auto"/>
          <w:sz w:val="84"/>
          <w:szCs w:val="84"/>
          <w:highlight w:val="none"/>
        </w:rPr>
        <w:t xml:space="preserve">招 标 文 件</w:t>
      </w:r>
      <w:r/>
    </w:p>
    <w:p>
      <w:pPr>
        <w:pStyle w:val="686"/>
        <w:ind w:firstLine="714"/>
        <w:jc w:val="center"/>
        <w:pageBreakBefore w:val="0"/>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86"/>
        <w:ind w:firstLine="714"/>
        <w:jc w:val="center"/>
        <w:pageBreakBefore w:val="0"/>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86"/>
        <w:ind w:firstLine="272"/>
        <w:jc w:val="center"/>
        <w:pageBreakBefore w:val="0"/>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亭湖区智慧托育应用管理平台建设项目</w:t>
      </w:r>
      <w:r/>
    </w:p>
    <w:p>
      <w:pPr>
        <w:pStyle w:val="686"/>
        <w:ind w:firstLine="272"/>
        <w:jc w:val="center"/>
        <w:pageBreakBefore w:val="0"/>
        <w:spacing w:beforeAutospacing="0" w:afterAutospacing="0"/>
        <w:rPr>
          <w:rFonts w:hint="eastAsia" w:ascii="Arial" w:hAnsi="Arial" w:cs="Arial"/>
          <w:b/>
          <w:color w:val="auto"/>
          <w:sz w:val="32"/>
          <w:szCs w:val="32"/>
          <w:highlight w:val="none"/>
          <w:lang w:eastAsia="zh-CN"/>
        </w:rPr>
      </w:pPr>
      <w:r>
        <w:rPr>
          <w:rFonts w:ascii="Times New Roman" w:hAnsi="Times New Roman"/>
          <w:b/>
          <w:color w:val="auto"/>
          <w:sz w:val="32"/>
          <w:szCs w:val="32"/>
          <w:highlight w:val="none"/>
        </w:rPr>
        <w:t xml:space="preserve">项目编号</w:t>
      </w:r>
      <w:r>
        <w:rPr>
          <w:rFonts w:hint="eastAsia" w:ascii="Arial" w:hAnsi="Arial" w:cs="Arial"/>
          <w:b/>
          <w:color w:val="auto"/>
          <w:sz w:val="32"/>
          <w:szCs w:val="32"/>
          <w:highlight w:val="none"/>
          <w:lang w:eastAsia="zh-CN"/>
        </w:rPr>
        <w:t xml:space="preserve">：</w:t>
      </w:r>
      <w:bookmarkStart w:id="186" w:name="_GoBack"/>
      <w:r/>
      <w:bookmarkEnd w:id="186"/>
      <w:r>
        <w:rPr>
          <w:rFonts w:hint="eastAsia" w:ascii="Arial" w:hAnsi="Arial" w:cs="Arial"/>
          <w:b/>
          <w:color w:val="auto"/>
          <w:sz w:val="32"/>
          <w:szCs w:val="32"/>
          <w:highlight w:val="none"/>
          <w:lang w:eastAsia="zh-CN"/>
        </w:rPr>
        <w:t xml:space="preserve">JSZC-320902-YPGS-G2024-0001</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t xml:space="preserve"> </w:t>
      </w:r>
      <w:r/>
    </w:p>
    <w:p>
      <w:pPr>
        <w:pStyle w:val="686"/>
        <w:ind w:firstLine="204"/>
        <w:pageBreakBefore w:val="0"/>
        <w:spacing w:beforeAutospacing="0" w:afterAutospacing="0" w:line="360" w:lineRule="auto"/>
        <w:rPr>
          <w:color w:val="auto"/>
          <w:highlight w:val="none"/>
        </w:rPr>
      </w:pPr>
      <w:r>
        <w:rPr>
          <w:color w:val="auto"/>
          <w:highlight w:val="none"/>
        </w:rPr>
      </w:r>
      <w:r/>
    </w:p>
    <w:p>
      <w:pPr>
        <w:pStyle w:val="686"/>
        <w:ind w:firstLine="204"/>
        <w:pageBreakBefore w:val="0"/>
        <w:spacing w:beforeAutospacing="0" w:afterAutospacing="0" w:line="360" w:lineRule="auto"/>
        <w:rPr>
          <w:color w:val="auto"/>
          <w:highlight w:val="none"/>
        </w:rPr>
      </w:pPr>
      <w:r>
        <w:rPr>
          <w:color w:val="auto"/>
          <w:highlight w:val="none"/>
        </w:rPr>
      </w:r>
      <w:r/>
    </w:p>
    <w:p>
      <w:pPr>
        <w:pStyle w:val="686"/>
        <w:ind w:firstLine="272"/>
        <w:jc w:val="center"/>
        <w:pageBreakBefore w:val="0"/>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eastAsia="宋体" w:cs="Arial"/>
          <w:b/>
          <w:color w:val="auto"/>
          <w:sz w:val="32"/>
          <w:szCs w:val="32"/>
          <w:highlight w:val="none"/>
          <w:lang w:val="en-US" w:eastAsia="zh-CN"/>
        </w:rPr>
        <w:t xml:space="preserve">:</w:t>
      </w:r>
      <w:r>
        <w:rPr>
          <w:rFonts w:hint="eastAsia" w:ascii="Arial" w:hAnsi="Arial" w:cs="Arial"/>
          <w:b/>
          <w:color w:val="auto"/>
          <w:sz w:val="32"/>
          <w:szCs w:val="32"/>
          <w:highlight w:val="none"/>
          <w:lang w:val="en-US" w:eastAsia="zh-CN"/>
        </w:rPr>
        <w:t xml:space="preserve">盐城市妇联实验幼儿园</w:t>
      </w:r>
      <w:r/>
    </w:p>
    <w:p>
      <w:pPr>
        <w:pStyle w:val="686"/>
        <w:ind w:firstLine="272"/>
        <w:jc w:val="center"/>
        <w:pageBreakBefore w:val="0"/>
        <w:spacing w:before="120" w:beforeAutospacing="0" w:after="120" w:afterAutospacing="0" w:line="360" w:lineRule="auto"/>
        <w:rPr>
          <w:color w:val="auto"/>
          <w:highlight w:val="none"/>
        </w:rPr>
      </w:pPr>
      <w:r>
        <w:rPr>
          <w:rFonts w:hint="eastAsia" w:ascii="Arial" w:hAnsi="Arial" w:cs="Arial"/>
          <w:b/>
          <w:color w:val="auto"/>
          <w:sz w:val="32"/>
          <w:szCs w:val="32"/>
          <w:highlight w:val="none"/>
          <w:u w:val="single"/>
          <w:lang w:val="en-US" w:eastAsia="zh-CN"/>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 11 </w:t>
      </w:r>
      <w:r>
        <w:rPr>
          <w:rFonts w:ascii="Arial" w:hAnsi="Arial" w:cs="Arial"/>
          <w:b/>
          <w:color w:val="auto"/>
          <w:sz w:val="32"/>
          <w:szCs w:val="32"/>
          <w:highlight w:val="none"/>
        </w:rPr>
        <w:t xml:space="preserve">月</w:t>
      </w:r>
      <w:r/>
    </w:p>
    <w:p>
      <w:pPr>
        <w:pStyle w:val="686"/>
        <w:ind w:firstLine="204"/>
        <w:pageBreakBefore w:val="0"/>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86"/>
        <w:ind w:firstLine="204"/>
        <w:jc w:val="center"/>
        <w:pageBreakBefore w:val="0"/>
        <w:spacing w:before="120" w:beforeAutospacing="0" w:after="120" w:afterAutospacing="0" w:line="360" w:lineRule="auto"/>
        <w:rPr>
          <w:color w:val="auto"/>
          <w:highlight w:val="none"/>
        </w:rPr>
      </w:pPr>
      <w:r>
        <w:rPr>
          <w:color w:val="auto"/>
          <w:highlight w:val="none"/>
        </w:rPr>
        <w:t xml:space="preserve"> </w:t>
      </w:r>
      <w:r/>
    </w:p>
    <w:p>
      <w:pPr>
        <w:pStyle w:val="686"/>
        <w:ind w:firstLine="178"/>
        <w:jc w:val="center"/>
        <w:pageBreakBefore w:val="0"/>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120614210"/>
      <w:r/>
      <w:bookmarkStart w:id="2" w:name="_Toc479757206"/>
      <w:r/>
      <w:bookmarkStart w:id="3" w:name="_Toc16938516"/>
      <w:r/>
      <w:bookmarkStart w:id="4" w:name="_Toc523127445"/>
      <w:r/>
      <w:bookmarkStart w:id="5" w:name="_Toc20823272"/>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86"/>
        <w:ind w:firstLine="204"/>
        <w:jc w:val="both"/>
        <w:pageBreakBefore w:val="0"/>
        <w:spacing w:beforeAutospacing="0" w:afterAutospacing="0" w:line="480" w:lineRule="auto"/>
        <w:rPr>
          <w:color w:val="auto"/>
          <w:highlight w:val="none"/>
        </w:rPr>
      </w:pPr>
      <w:r>
        <w:rPr>
          <w:color w:val="auto"/>
          <w:highlight w:val="none"/>
        </w:rPr>
        <w:t xml:space="preserve"> </w:t>
      </w:r>
      <w:r/>
    </w:p>
    <w:p>
      <w:pPr>
        <w:pStyle w:val="686"/>
        <w:jc w:val="both"/>
        <w:pageBreakBefore w:val="0"/>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rPr>
          <w:rFonts w:hint="eastAsia" w:ascii="黑体" w:hAnsi="宋体" w:eastAsia="黑体" w:cs="黑体"/>
          <w:color w:val="auto"/>
          <w:sz w:val="36"/>
          <w:szCs w:val="36"/>
          <w:highlight w:val="none"/>
        </w:rPr>
        <w:t xml:space="preserve"> </w:t>
      </w:r>
      <w:r/>
    </w:p>
    <w:p>
      <w:pPr>
        <w:pStyle w:val="686"/>
        <w:jc w:val="both"/>
        <w:pageBreakBefore w:val="0"/>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686"/>
        <w:jc w:val="both"/>
        <w:pageBreakBefore w:val="0"/>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19</w:t>
      </w:r>
      <w:r/>
    </w:p>
    <w:p>
      <w:pPr>
        <w:pStyle w:val="686"/>
        <w:jc w:val="both"/>
        <w:pageBreakBefore w:val="0"/>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26</w:t>
      </w:r>
      <w:r/>
    </w:p>
    <w:p>
      <w:pPr>
        <w:pStyle w:val="686"/>
        <w:jc w:val="both"/>
        <w:pageBreakBefore w:val="0"/>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44</w:t>
      </w:r>
      <w:r/>
    </w:p>
    <w:p>
      <w:pPr>
        <w:pStyle w:val="686"/>
        <w:jc w:val="both"/>
        <w:pageBreakBefore w:val="0"/>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49</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sectPr>
          <w:footnotePr/>
          <w:endnotePr/>
          <w:type w:val="nextPage"/>
          <w:pgSz w:w="11905" w:h="16838" w:orient="portrait"/>
          <w:pgMar w:top="1440" w:right="1803" w:bottom="1440" w:left="1803" w:header="624" w:footer="992" w:gutter="0"/>
          <w:cols w:num="1" w:sep="0" w:space="0" w:equalWidth="1"/>
          <w:docGrid w:linePitch="360"/>
        </w:sect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374"/>
        <w:jc w:val="center"/>
        <w:keepNext/>
        <w:pageBreakBefore w:val="0"/>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亭湖区智慧托育应用管理平台建设项目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SA"/>
        </w:rPr>
        <w:t xml:space="preserve">中国政府采购网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“江苏政府采购网、盐城市政府采购网”</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2024</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86"/>
        <w:ind w:firstLine="272"/>
        <w:jc w:val="both"/>
        <w:keepLines/>
        <w:keepNext/>
        <w:pageBreakBefore w:val="0"/>
        <w:spacing w:before="145" w:beforeAutospacing="0" w:after="145" w:afterAutospacing="0" w:line="500" w:lineRule="exact"/>
        <w:widowControl w:val="off"/>
        <w:rPr>
          <w:color w:val="auto"/>
          <w:highlight w:val="none"/>
        </w:rPr>
      </w:pPr>
      <w:r/>
      <w:bookmarkStart w:id="6" w:name="_Toc28359002"/>
      <w:r/>
      <w:bookmarkStart w:id="7" w:name="_Toc35393790"/>
      <w:r/>
      <w:bookmarkStart w:id="8" w:name="_Toc38985263"/>
      <w:r/>
      <w:bookmarkStart w:id="9" w:name="_Hlk24379207"/>
      <w:r/>
      <w:bookmarkStart w:id="10" w:name="_Toc35393621"/>
      <w:r/>
      <w:bookmarkStart w:id="11" w:name="_Toc28359079"/>
      <w:r>
        <w:rPr>
          <w:rFonts w:ascii="Times New Roman" w:hAnsi="Times New Roman"/>
          <w:b/>
          <w:color w:val="auto"/>
          <w:sz w:val="32"/>
          <w:szCs w:val="32"/>
          <w:highlight w:val="none"/>
        </w:rPr>
        <w:t xml:space="preserve">一、项目基本情况</w:t>
      </w:r>
      <w:bookmarkEnd w:id="6"/>
      <w:r/>
      <w:bookmarkEnd w:id="7"/>
      <w:r/>
      <w:bookmarkEnd w:id="8"/>
      <w:r/>
      <w:bookmarkEnd w:id="9"/>
      <w:r/>
      <w:bookmarkEnd w:id="10"/>
      <w:r/>
      <w:bookmarkEnd w:id="11"/>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1.项目编号：JSZC-320902-YPGS-G2024-0001</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2.项目名称：亭湖区智慧托育应用管理平台建设项目</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3.采购方式：公开招标</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4.预算金额：人民</w:t>
      </w:r>
      <w:r>
        <w:rPr>
          <w:rFonts w:hint="eastAsia" w:ascii="宋体" w:hAnsi="宋体" w:eastAsia="宋体" w:cs="宋体"/>
          <w:color w:val="auto"/>
          <w:sz w:val="24"/>
          <w:szCs w:val="24"/>
          <w:highlight w:val="none"/>
          <w:lang w:val="en-US" w:eastAsia="zh-CN"/>
        </w:rPr>
        <w:t xml:space="preserve">币380</w:t>
      </w:r>
      <w:r>
        <w:rPr>
          <w:rFonts w:hint="eastAsia" w:ascii="宋体" w:hAnsi="宋体" w:eastAsia="宋体" w:cs="宋体"/>
          <w:color w:val="000000"/>
          <w:sz w:val="24"/>
          <w:szCs w:val="24"/>
          <w:highlight w:val="none"/>
          <w:lang w:val="en-US" w:eastAsia="zh-CN"/>
        </w:rPr>
        <w:t xml:space="preserve">万元。</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5.最高限价：人民币</w:t>
      </w:r>
      <w:r>
        <w:rPr>
          <w:rFonts w:hint="eastAsia" w:ascii="宋体" w:hAnsi="宋体" w:eastAsia="宋体" w:cs="宋体"/>
          <w:color w:val="auto"/>
          <w:sz w:val="24"/>
          <w:szCs w:val="24"/>
          <w:highlight w:val="none"/>
          <w:lang w:val="en-US" w:eastAsia="zh-CN"/>
        </w:rPr>
        <w:t xml:space="preserve">380</w:t>
      </w:r>
      <w:r>
        <w:rPr>
          <w:rFonts w:hint="eastAsia" w:ascii="宋体" w:hAnsi="宋体" w:eastAsia="宋体" w:cs="宋体"/>
          <w:color w:val="000000"/>
          <w:sz w:val="24"/>
          <w:szCs w:val="24"/>
          <w:highlight w:val="none"/>
          <w:lang w:val="en-US" w:eastAsia="zh-CN"/>
        </w:rPr>
        <w:t xml:space="preserve">万元。</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6.采购需求（简介）：以推动亭湖托育高质量发展为目的，通过在亭湖区托育综合服务指导中心建设智慧托育示范中心，打造集分层管理、</w:t>
      </w:r>
      <w:r>
        <w:rPr>
          <w:rFonts w:hint="eastAsia" w:ascii="宋体" w:hAnsi="宋体" w:eastAsia="宋体" w:cs="宋体"/>
          <w:color w:val="000000"/>
          <w:sz w:val="24"/>
          <w:szCs w:val="24"/>
          <w:highlight w:val="none"/>
          <w:lang w:val="en-US" w:eastAsia="zh-CN"/>
        </w:rPr>
        <w:t xml:space="preserve">综合服务、宣传推广、资源共享等于一体的立体区级统筹智慧托育体系，利用智慧大屏、智能班牌、多功能考勤机、平板电脑等硬件与从业人员培训考试系统、托育机构评估管理系统、各功能室实训系统、班级保育照护系统等平台相结合，运用“数智化”管理云平台精准掌握全区托幼实况，婴幼儿在园情况，实现信息化、流程化、标准化管理，数据分析全覆盖，涵盖家长端、教师端、园长端等方面，打造集智能、便捷、阳光、安全于一体的一站式云管理，以此推动亭湖托育服务质量与水平的提档升级，发挥亭湖托育的示范引领作用。具体以本招标文件中第四章采购需求为准。</w:t>
      </w:r>
      <w:r/>
    </w:p>
    <w:p>
      <w:pPr>
        <w:pStyle w:val="686"/>
        <w:ind w:firstLine="480"/>
        <w:jc w:val="both"/>
        <w:pageBreakBefore w:val="0"/>
        <w:spacing w:beforeAutospacing="0" w:afterAutospacing="0" w:line="5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7.合同履行期限：60日内安装调试完毕并交付采购人投入使用。</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single"/>
          <w:lang w:val="en-US" w:eastAsia="zh-CN"/>
        </w:rPr>
        <w:t xml:space="preserve">不接受</w:t>
      </w:r>
      <w:r>
        <w:rPr>
          <w:rFonts w:hint="eastAsia" w:ascii="宋体" w:hAnsi="宋体" w:eastAsia="宋体" w:cs="宋体"/>
          <w:color w:val="000000"/>
          <w:sz w:val="24"/>
          <w:szCs w:val="24"/>
          <w:highlight w:val="none"/>
          <w:lang w:val="en-US" w:eastAsia="zh-CN"/>
        </w:rPr>
        <w:t xml:space="preserve">联合体参与招标。</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bookmarkStart w:id="12" w:name="_Toc38985264"/>
      <w:r/>
      <w:bookmarkStart w:id="13" w:name="_Toc28359003"/>
      <w:r/>
      <w:bookmarkStart w:id="14" w:name="_Toc35393791"/>
      <w:r/>
      <w:bookmarkStart w:id="15" w:name="_Toc28359080"/>
      <w:r/>
      <w:bookmarkStart w:id="16" w:name="_Toc35393622"/>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numPr>
          <w:ilvl w:val="0"/>
          <w:numId w:val="2"/>
        </w:numPr>
        <w:ind w:firstLine="480"/>
        <w:spacing w:line="560" w:lineRule="exact"/>
        <w:widowControl/>
        <w:rPr>
          <w:rFonts w:hint="eastAsia" w:ascii="宋体" w:hAnsi="宋体" w:eastAsia="宋体" w:cs="宋体"/>
          <w:b/>
          <w:bCs/>
          <w:sz w:val="24"/>
          <w:szCs w:val="20"/>
          <w:highlight w:val="none"/>
          <w:lang w:val="en-US" w:eastAsia="zh-CN"/>
        </w:rPr>
      </w:pPr>
      <w:r>
        <w:rPr>
          <w:rFonts w:hint="eastAsia" w:ascii="宋体" w:hAnsi="宋体" w:eastAsia="宋体" w:cs="宋体"/>
          <w:color w:val="000000"/>
          <w:sz w:val="24"/>
          <w:szCs w:val="24"/>
          <w:highlight w:val="none"/>
          <w:lang w:val="en-US" w:eastAsia="zh-CN" w:bidi="ar-SA"/>
        </w:rPr>
        <w:t xml:space="preserve">落实政府采购政策需满足的资格要求：/</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3.本</w:t>
      </w:r>
      <w:r>
        <w:rPr>
          <w:rFonts w:hint="eastAsia" w:ascii="宋体" w:hAnsi="宋体" w:eastAsia="宋体" w:cs="宋体"/>
          <w:color w:val="000000"/>
          <w:sz w:val="24"/>
          <w:szCs w:val="24"/>
          <w:highlight w:val="none"/>
          <w:lang w:val="en-US" w:eastAsia="zh-CN"/>
        </w:rPr>
        <w:t xml:space="preserve">项目的特定资格要求：</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3.2单位负责人为同一人或者存在直接控股、管理关系的不同供应商，不得参加同一合同项下的政府采购活动。</w:t>
      </w:r>
      <w:r/>
    </w:p>
    <w:p>
      <w:pPr>
        <w:pStyle w:val="686"/>
        <w:ind w:firstLine="480"/>
        <w:jc w:val="both"/>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1.时间：自招标文件公告发布之日起5个工作日</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2.地点：“苏采云”系统内免费下载（投标人必须在苏采云系统中获取采购文件，方能参与政府采购项目）。</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3.方式：本项目采用网上注册登记方式。</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 潜在供应商访问电子招标响应交易平台的网络地址和方法：</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“苏采云”系统用户注册--获取“CA 数字证书”--CA 绑定与登录--参与投标--下载采购文件（后缀名为“.kedt”）--将后缀名为“.kedt”的采购文件导入政府采购客户端工具--制作响应文</w:t>
      </w:r>
      <w:r>
        <w:rPr>
          <w:rFonts w:hint="eastAsia" w:ascii="宋体" w:hAnsi="宋体" w:eastAsia="宋体" w:cs="宋体"/>
          <w:color w:val="000000"/>
          <w:sz w:val="24"/>
          <w:szCs w:val="24"/>
          <w:highlight w:val="none"/>
        </w:rPr>
        <w:t xml:space="preserve">件--导出加密的响应文件（后缀名为 zip）--通过“苏采云”系统上传响应文件。具体见《“苏采云”系统供应商操作手册》（手册下载地址：苏采云系统-右侧消息通知栏）。</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潜在投标人访问“苏采云”系统方法：</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江苏省政府采购网首页-“苏采云”链接。</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3.3“CA 数字证书”的获取：</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供应商需办理 CA 锁，“苏采云”系统目前仅支持政务 CA，省内各地区办理的用于“苏采云”平台的政务 CA 全省通用。盐城地区政务 CA 办理请至亭湖区政务服务中心二楼 226 窗口办理，联系电话：15051556883。</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采购文件（后缀名为“.kedt”）、供应商操作手册及政府采购客户端</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工具可通过“苏采云”系统相应链接进行下载。</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招标代理机构（采购代理机构）将数据电文形式的采购文件加载至“苏采云”系统，供潜在供应商下载或者查阅。</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请潜在投标单位提前安装相应的控件（详见《“苏采云”系统供应商操作手册》）并使用谷歌浏览器登录“苏采云”系统参与不见面开评标。</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如潜在投标人未按上述要求操作，将自行承担所产生的风险。</w:t>
      </w:r>
      <w:r/>
    </w:p>
    <w:p>
      <w:pPr>
        <w:pStyle w:val="686"/>
        <w:numPr>
          <w:ilvl w:val="0"/>
          <w:numId w:val="3"/>
        </w:numPr>
        <w:ind w:firstLine="205"/>
        <w:jc w:val="both"/>
        <w:keepLines/>
        <w:keepNext/>
        <w:pageBreakBefore w:val="0"/>
        <w:spacing w:before="145" w:beforeAutospacing="0" w:after="145"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文件售价：免费。</w:t>
      </w:r>
      <w:r/>
    </w:p>
    <w:p>
      <w:pPr>
        <w:pStyle w:val="686"/>
        <w:numPr>
          <w:ilvl w:val="0"/>
          <w:numId w:val="4"/>
        </w:numPr>
        <w:ind w:firstLine="241"/>
        <w:jc w:val="both"/>
        <w:keepLines/>
        <w:keepNext/>
        <w:pageBreakBefore w:val="0"/>
        <w:spacing w:before="145" w:beforeAutospacing="0" w:after="145"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提交投标文件截止时间、开标时间和地点</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12</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9时00分</w:t>
      </w:r>
      <w:r>
        <w:rPr>
          <w:rFonts w:hint="eastAsia" w:ascii="宋体" w:hAnsi="宋体" w:eastAsia="宋体" w:cs="宋体"/>
          <w:color w:val="auto"/>
          <w:sz w:val="24"/>
          <w:szCs w:val="24"/>
          <w:highlight w:val="none"/>
        </w:rPr>
        <w:t xml:space="preserve">（北京时间）</w:t>
      </w:r>
      <w:r/>
    </w:p>
    <w:p>
      <w:pPr>
        <w:pStyle w:val="686"/>
        <w:numPr>
          <w:ilvl w:val="0"/>
          <w:numId w:val="0"/>
        </w:numPr>
        <w:ind w:firstLine="240"/>
        <w:jc w:val="both"/>
        <w:keepLines/>
        <w:keepNext/>
        <w:pageBreakBefore w:val="0"/>
        <w:spacing w:before="145" w:beforeAutospacing="0" w:after="145" w:afterAutospacing="0"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bookmarkStart w:id="17" w:name="_Toc38985267"/>
      <w:r/>
      <w:bookmarkStart w:id="18" w:name="_Toc28359084"/>
      <w:r/>
      <w:bookmarkStart w:id="19" w:name="_Toc35393625"/>
      <w:r/>
      <w:bookmarkStart w:id="20" w:name="_Toc28359007"/>
      <w:r/>
      <w:bookmarkStart w:id="21" w:name="_Toc35393794"/>
      <w:r>
        <w:rPr>
          <w:rFonts w:hint="eastAsia" w:ascii="宋体" w:hAnsi="宋体" w:eastAsia="宋体" w:cs="宋体"/>
          <w:b/>
          <w:color w:val="auto"/>
          <w:sz w:val="24"/>
          <w:szCs w:val="24"/>
          <w:highlight w:val="none"/>
        </w:rPr>
        <w:t xml:space="preserve">五、公告期限</w:t>
      </w:r>
      <w:bookmarkEnd w:id="17"/>
      <w:r/>
      <w:bookmarkEnd w:id="18"/>
      <w:r/>
      <w:bookmarkEnd w:id="19"/>
      <w:r/>
      <w:bookmarkEnd w:id="20"/>
      <w:r/>
      <w:bookmarkEnd w:id="21"/>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795"/>
      <w:r/>
      <w:bookmarkStart w:id="23" w:name="_Toc38985268"/>
      <w:r/>
      <w:bookmarkStart w:id="24"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686"/>
        <w:ind w:firstLine="205"/>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bookmarkStart w:id="25" w:name="_Toc28359018"/>
      <w:r>
        <w:rPr>
          <w:rFonts w:hint="eastAsia" w:ascii="宋体" w:hAnsi="宋体" w:eastAsia="宋体" w:cs="宋体"/>
          <w:color w:val="000000"/>
          <w:sz w:val="24"/>
          <w:szCs w:val="24"/>
          <w:highlight w:val="none"/>
          <w:lang w:val="en-US" w:eastAsia="zh-CN"/>
        </w:rPr>
        <w:t xml:space="preserve">1.根据省财政厅《关</w:t>
      </w:r>
      <w:r>
        <w:rPr>
          <w:rFonts w:hint="eastAsia" w:ascii="宋体" w:hAnsi="宋体" w:eastAsia="宋体" w:cs="宋体"/>
          <w:color w:val="000000"/>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http://czj.yancheng.gov.cn/art/2023/9/14/art_2407_4057499.html。</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2.有关本次招标的事项若存在变动或修改，敬请及时关注采购人在“中国政府采购网”、“江苏政府采购网”、“盐城市政府采购网”发布的更正公告。</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3.本次招标不收取投标保证金，不收取质量保证金。</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4、正本份数：1份，副本份数：4份，由投标人中标后书面送至采购代理机构。</w:t>
      </w:r>
      <w:r/>
    </w:p>
    <w:p>
      <w:pPr>
        <w:pStyle w:val="686"/>
        <w:ind w:firstLine="480"/>
        <w:jc w:val="both"/>
        <w:pageBreakBefore w:val="0"/>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5、投标人存在串通投标、以他人名义投标、弄虚作假等违法违规行为，或者无正当理由放弃投标、中标资格，造成项目招标失败的，不得参加该项目重新招标的投标。</w:t>
      </w:r>
      <w:r/>
    </w:p>
    <w:p>
      <w:pPr>
        <w:pStyle w:val="653"/>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25"/>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  </w:t>
      </w:r>
      <w:bookmarkStart w:id="26"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称：盐城市妇联实验幼儿园  </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地址：江苏省盐城市亭湖区开放大道北路43号 </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联系人：倪老师              </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联系方式：13327982393             </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名称：江苏一品项目管理有限公司</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w:t>
      </w:r>
      <w:r>
        <w:rPr>
          <w:rFonts w:hint="eastAsia" w:ascii="宋体" w:hAnsi="宋体" w:eastAsia="宋体" w:cs="宋体"/>
          <w:b w:val="0"/>
          <w:bCs w:val="0"/>
          <w:color w:val="auto"/>
          <w:sz w:val="24"/>
          <w:szCs w:val="24"/>
          <w:highlight w:val="none"/>
          <w:lang w:eastAsia="zh-CN"/>
        </w:rPr>
        <w:t xml:space="preserve">盐城市亭湖区希望大道22号海韵国际一号楼</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联系人：陈先生    </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联系方式：13770047439</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2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项目联系人：倪老师</w:t>
      </w:r>
      <w:r/>
    </w:p>
    <w:p>
      <w:pPr>
        <w:pStyle w:val="686"/>
        <w:ind w:left="0" w:right="0" w:firstLine="204"/>
        <w:jc w:val="both"/>
        <w:keepLines w:val="0"/>
        <w:keepNext w:val="0"/>
        <w:pageBreakBefore w:val="0"/>
        <w:spacing w:before="0" w:beforeAutospacing="0" w:after="0" w:afterAutospacing="0" w:line="50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话：13327982393 　　　　　</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　　　　　　　</w:t>
      </w:r>
      <w:r/>
    </w:p>
    <w:p>
      <w:pPr>
        <w:ind w:firstLine="178"/>
        <w:pageBreakBefore w:val="0"/>
        <w:rPr>
          <w:color w:val="auto"/>
          <w:highlight w:val="none"/>
        </w:rPr>
      </w:pPr>
      <w:r>
        <w:rPr>
          <w:color w:val="auto"/>
          <w:highlight w:val="none"/>
        </w:rPr>
        <w:t xml:space="preserve"> </w:t>
      </w:r>
      <w:r/>
    </w:p>
    <w:p>
      <w:pPr>
        <w:pStyle w:val="686"/>
        <w:ind w:right="840" w:firstLine="204"/>
        <w:jc w:val="both"/>
        <w:pageBreakBefore w:val="0"/>
        <w:spacing w:beforeAutospacing="0" w:afterAutospacing="0"/>
        <w:rPr>
          <w:color w:val="auto"/>
          <w:highlight w:val="none"/>
        </w:rPr>
      </w:pPr>
      <w:r>
        <w:rPr>
          <w:rFonts w:hint="eastAsia" w:ascii="宋体" w:hAnsi="宋体" w:eastAsia="宋体" w:cs="宋体"/>
          <w:color w:val="auto"/>
          <w:highlight w:val="none"/>
        </w:rPr>
        <w:br w:type="page" w:clear="all"/>
      </w:r>
      <w:r/>
    </w:p>
    <w:p>
      <w:pPr>
        <w:pStyle w:val="686"/>
        <w:ind w:firstLine="375"/>
        <w:jc w:val="center"/>
        <w:keepLines/>
        <w:keepNext/>
        <w:pageBreakBefore w:val="0"/>
        <w:spacing w:before="260" w:beforeAutospacing="0" w:after="260" w:afterAutospacing="0" w:line="415" w:lineRule="auto"/>
        <w:rPr>
          <w:color w:val="auto"/>
          <w:highlight w:val="none"/>
        </w:rPr>
      </w:pPr>
      <w:r/>
      <w:bookmarkStart w:id="28" w:name="_Toc120614211"/>
      <w:r/>
      <w:bookmarkStart w:id="29" w:name="_Hlt26668983"/>
      <w:r/>
      <w:bookmarkStart w:id="30" w:name="_Hlt26670399"/>
      <w:r/>
      <w:bookmarkStart w:id="31" w:name="_Hlt26670482"/>
      <w:r/>
      <w:bookmarkStart w:id="32" w:name="_Hlt26954846"/>
      <w:r/>
      <w:bookmarkStart w:id="33" w:name="_Hlt26670489"/>
      <w:r/>
      <w:bookmarkStart w:id="34" w:name="_Hlt16619475"/>
      <w:r/>
      <w:bookmarkStart w:id="35" w:name="_Hlt26954848"/>
      <w:r/>
      <w:bookmarkStart w:id="36" w:name="_Hlt26670425"/>
      <w:r/>
      <w:bookmarkStart w:id="37" w:name="_Hlt26954840"/>
      <w:r/>
      <w:bookmarkStart w:id="38" w:name="_Hlt26670403"/>
      <w:r/>
      <w:bookmarkStart w:id="39" w:name="_Hlt26670360"/>
      <w:r/>
      <w:bookmarkStart w:id="40" w:name="_Hlt26954731"/>
      <w:r/>
      <w:bookmarkStart w:id="41" w:name="_Hlt26954844"/>
      <w:r/>
      <w:bookmarkStart w:id="42" w:name="_Hlt26954739"/>
      <w:r/>
      <w:bookmarkStart w:id="43" w:name="_Hlt26954838"/>
      <w:r/>
      <w:bookmarkStart w:id="44" w:name="_Hlt26954852"/>
      <w:r/>
      <w:bookmarkStart w:id="45" w:name="_Hlt26954850"/>
      <w:r/>
      <w:bookmarkStart w:id="46" w:name="_Hlt26954842"/>
      <w:r/>
      <w:bookmarkStart w:id="47" w:name="_Hlt26668975"/>
      <w:r/>
      <w:bookmarkStart w:id="48" w:name="_Hlt26670373"/>
      <w:r/>
      <w:bookmarkStart w:id="49" w:name="_Toc513029226"/>
      <w:r/>
      <w:bookmarkStart w:id="50" w:name="_Hlt26670486"/>
      <w:r/>
      <w:bookmarkStart w:id="51" w:name="_Hlt26954734"/>
      <w:r>
        <w:rPr>
          <w:rFonts w:hint="eastAsia" w:ascii="黑体" w:hAnsi="宋体" w:eastAsia="黑体" w:cs="黑体"/>
          <w:b/>
          <w:color w:val="auto"/>
          <w:sz w:val="44"/>
          <w:szCs w:val="44"/>
          <w:highlight w:val="none"/>
        </w:rPr>
        <w:t xml:space="preserve">第二章  </w:t>
      </w:r>
      <w:bookmarkEnd w:id="28"/>
      <w:r/>
      <w:bookmarkStart w:id="52" w:name="_Toc16938518"/>
      <w:r/>
      <w:bookmarkStart w:id="53" w:name="_Toc20823274"/>
      <w:r/>
      <w:bookmarkStart w:id="54" w:name="_Toc120614213"/>
      <w:r/>
      <w:bookmarkStart w:id="55" w:name="_Toc513029202"/>
      <w:r>
        <w:rPr>
          <w:rFonts w:hint="eastAsia" w:ascii="黑体" w:hAnsi="宋体" w:eastAsia="黑体" w:cs="黑体"/>
          <w:b/>
          <w:color w:val="auto"/>
          <w:sz w:val="44"/>
          <w:szCs w:val="44"/>
          <w:highlight w:val="none"/>
        </w:rPr>
        <w:t xml:space="preserve">投标人须知</w:t>
      </w:r>
      <w:bookmarkEnd w:id="52"/>
      <w:r/>
      <w:bookmarkEnd w:id="53"/>
      <w:r/>
      <w:bookmarkEnd w:id="54"/>
      <w:r/>
      <w:bookmarkEnd w:id="55"/>
      <w:r/>
      <w:r/>
    </w:p>
    <w:p>
      <w:pPr>
        <w:ind w:firstLine="480"/>
        <w:spacing w:line="520" w:lineRule="exact"/>
        <w:widowControl/>
        <w:rPr>
          <w:rFonts w:eastAsia="Arial"/>
          <w:b/>
          <w:bCs/>
          <w:sz w:val="24"/>
          <w:szCs w:val="20"/>
          <w:highlight w:val="none"/>
          <w:lang w:val="zh-CN"/>
        </w:rPr>
      </w:pPr>
      <w:r/>
      <w:bookmarkStart w:id="56" w:name="_Toc513029203"/>
      <w:r/>
      <w:bookmarkStart w:id="57" w:name="_Toc16938519"/>
      <w:r/>
      <w:bookmarkStart w:id="58" w:name="_Toc120614214"/>
      <w:r/>
      <w:bookmarkStart w:id="59" w:name="_Toc20823275"/>
      <w:r/>
      <w:bookmarkStart w:id="60" w:name="_Toc513029209"/>
      <w:r/>
      <w:bookmarkStart w:id="61" w:name="_Toc120614215"/>
      <w:r/>
      <w:bookmarkStart w:id="62" w:name="_Toc20823281"/>
      <w:r/>
      <w:bookmarkStart w:id="63" w:name="_Toc16938525"/>
      <w:r>
        <w:rPr>
          <w:rFonts w:hint="eastAsia" w:eastAsia="Arial"/>
          <w:b/>
          <w:bCs/>
          <w:sz w:val="24"/>
          <w:szCs w:val="20"/>
          <w:highlight w:val="none"/>
          <w:lang w:val="zh-CN"/>
        </w:rPr>
        <w:t xml:space="preserve">一、总则</w:t>
      </w:r>
      <w:bookmarkEnd w:id="56"/>
      <w:r/>
      <w:bookmarkEnd w:id="57"/>
      <w:r/>
      <w:bookmarkEnd w:id="58"/>
      <w:r/>
      <w:bookmarkEnd w:id="59"/>
      <w:r/>
      <w:r/>
    </w:p>
    <w:p>
      <w:pPr>
        <w:ind w:firstLine="480"/>
        <w:spacing w:line="520" w:lineRule="exact"/>
        <w:widowControl/>
        <w:rPr>
          <w:rFonts w:eastAsia="Arial"/>
          <w:b/>
          <w:bCs/>
          <w:sz w:val="24"/>
          <w:szCs w:val="20"/>
          <w:highlight w:val="none"/>
          <w:lang w:val="zh-CN"/>
        </w:rPr>
      </w:pPr>
      <w:r/>
      <w:bookmarkStart w:id="64" w:name="_Toc16938520"/>
      <w:r/>
      <w:bookmarkStart w:id="65" w:name="_Toc20823276"/>
      <w:r/>
      <w:bookmarkStart w:id="66" w:name="_Toc513029204"/>
      <w:r/>
      <w:bookmarkStart w:id="67" w:name="_Toc458694821"/>
      <w:r>
        <w:rPr>
          <w:rFonts w:hint="eastAsia" w:eastAsia="Arial"/>
          <w:b/>
          <w:bCs/>
          <w:sz w:val="24"/>
          <w:szCs w:val="20"/>
          <w:highlight w:val="none"/>
          <w:lang w:val="zh-CN"/>
        </w:rPr>
        <w:t xml:space="preserve">1</w:t>
      </w:r>
      <w:bookmarkEnd w:id="64"/>
      <w:r>
        <w:rPr>
          <w:rFonts w:hint="eastAsia" w:eastAsia="Arial"/>
          <w:b/>
          <w:bCs/>
          <w:sz w:val="24"/>
          <w:szCs w:val="20"/>
          <w:highlight w:val="none"/>
          <w:lang w:val="zh-CN"/>
        </w:rPr>
        <w:t xml:space="preserve">、招标方式</w:t>
      </w:r>
      <w:bookmarkEnd w:id="65"/>
      <w:r/>
      <w:bookmarkEnd w:id="66"/>
      <w:r/>
      <w:bookmarkEnd w:id="67"/>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1.1本次招标采取公开招标方式，本招标文件仅适用于招标公告中所述项目。</w:t>
      </w:r>
      <w:r/>
    </w:p>
    <w:p>
      <w:pPr>
        <w:ind w:firstLine="480"/>
        <w:spacing w:line="520" w:lineRule="exact"/>
        <w:widowControl/>
        <w:rPr>
          <w:rFonts w:eastAsia="Arial"/>
          <w:b/>
          <w:bCs/>
          <w:sz w:val="24"/>
          <w:szCs w:val="20"/>
          <w:highlight w:val="none"/>
          <w:lang w:val="zh-CN"/>
        </w:rPr>
      </w:pPr>
      <w:r/>
      <w:bookmarkStart w:id="68" w:name="_Toc16938521"/>
      <w:r/>
      <w:bookmarkStart w:id="69" w:name="_Toc20823277"/>
      <w:r/>
      <w:bookmarkStart w:id="70" w:name="_Toc513029205"/>
      <w:r>
        <w:rPr>
          <w:rFonts w:hint="eastAsia" w:eastAsia="Arial"/>
          <w:b/>
          <w:bCs/>
          <w:sz w:val="24"/>
          <w:szCs w:val="20"/>
          <w:highlight w:val="none"/>
          <w:lang w:val="zh-CN"/>
        </w:rPr>
        <w:t xml:space="preserve">2、合格的投标人</w:t>
      </w:r>
      <w:bookmarkEnd w:id="68"/>
      <w:r/>
      <w:bookmarkEnd w:id="69"/>
      <w:r/>
      <w:bookmarkEnd w:id="70"/>
      <w:r/>
      <w:r/>
    </w:p>
    <w:p>
      <w:pPr>
        <w:ind w:firstLine="480"/>
        <w:spacing w:line="520" w:lineRule="exact"/>
        <w:widowControl/>
        <w:rPr>
          <w:rFonts w:eastAsia="Arial"/>
          <w:sz w:val="24"/>
          <w:szCs w:val="20"/>
          <w:highlight w:val="none"/>
        </w:rPr>
      </w:pPr>
      <w:r>
        <w:rPr>
          <w:rFonts w:hint="eastAsia" w:eastAsia="Arial"/>
          <w:sz w:val="24"/>
          <w:szCs w:val="20"/>
          <w:highlight w:val="none"/>
        </w:rPr>
        <w:t xml:space="preserve">2.1满足招标公告中供应商的资格要求的规定。</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2.2满足本文件实质性要求和条件的规定。</w:t>
      </w:r>
      <w:r/>
    </w:p>
    <w:p>
      <w:pPr>
        <w:ind w:firstLine="480"/>
        <w:spacing w:line="520" w:lineRule="exact"/>
        <w:widowControl/>
        <w:rPr>
          <w:rFonts w:eastAsia="Arial"/>
          <w:b/>
          <w:bCs/>
          <w:sz w:val="24"/>
          <w:szCs w:val="20"/>
          <w:highlight w:val="none"/>
          <w:lang w:val="zh-CN"/>
        </w:rPr>
      </w:pPr>
      <w:r/>
      <w:bookmarkStart w:id="71" w:name="_Toc16938522"/>
      <w:r/>
      <w:bookmarkStart w:id="72" w:name="_Toc513029206"/>
      <w:r/>
      <w:bookmarkStart w:id="73" w:name="_Toc20823278"/>
      <w:r>
        <w:rPr>
          <w:rFonts w:hint="eastAsia" w:eastAsia="Arial"/>
          <w:b/>
          <w:bCs/>
          <w:sz w:val="24"/>
          <w:szCs w:val="20"/>
          <w:highlight w:val="none"/>
          <w:lang w:val="zh-CN"/>
        </w:rPr>
        <w:t xml:space="preserve">3、适用法律</w:t>
      </w:r>
      <w:bookmarkEnd w:id="71"/>
      <w:r/>
      <w:bookmarkEnd w:id="72"/>
      <w:r/>
      <w:bookmarkEnd w:id="73"/>
      <w:r/>
      <w:r/>
    </w:p>
    <w:p>
      <w:pPr>
        <w:ind w:firstLine="480"/>
        <w:spacing w:line="520" w:lineRule="exact"/>
        <w:widowControl/>
        <w:rPr>
          <w:rFonts w:eastAsia="Arial"/>
          <w:sz w:val="24"/>
          <w:szCs w:val="20"/>
          <w:highlight w:val="none"/>
        </w:rPr>
      </w:pPr>
      <w:r>
        <w:rPr>
          <w:rFonts w:hint="eastAsia" w:eastAsia="Arial"/>
          <w:sz w:val="24"/>
          <w:szCs w:val="20"/>
          <w:highlight w:val="none"/>
        </w:rPr>
        <w:t xml:space="preserve">3.1本次招标及由此产生的合同受中华人民共和国有关的法律法规制约和保护。</w:t>
      </w:r>
      <w:r/>
    </w:p>
    <w:p>
      <w:pPr>
        <w:ind w:firstLine="480"/>
        <w:spacing w:line="520" w:lineRule="exact"/>
        <w:widowControl/>
        <w:rPr>
          <w:rFonts w:eastAsia="Arial"/>
          <w:b/>
          <w:bCs/>
          <w:sz w:val="24"/>
          <w:szCs w:val="20"/>
          <w:highlight w:val="none"/>
          <w:lang w:val="zh-CN"/>
        </w:rPr>
      </w:pPr>
      <w:r/>
      <w:bookmarkStart w:id="74" w:name="_Toc20823279"/>
      <w:r/>
      <w:bookmarkStart w:id="75" w:name="_Toc462564067"/>
      <w:r/>
      <w:bookmarkStart w:id="76" w:name="_Toc513029207"/>
      <w:r/>
      <w:bookmarkStart w:id="77" w:name="_Toc16938523"/>
      <w:r>
        <w:rPr>
          <w:rFonts w:hint="eastAsia" w:eastAsia="Arial"/>
          <w:b/>
          <w:bCs/>
          <w:sz w:val="24"/>
          <w:szCs w:val="20"/>
          <w:highlight w:val="none"/>
          <w:lang w:val="zh-CN"/>
        </w:rPr>
        <w:t xml:space="preserve">4、投标费用</w:t>
      </w:r>
      <w:bookmarkEnd w:id="74"/>
      <w:r/>
      <w:bookmarkEnd w:id="75"/>
      <w:r/>
      <w:bookmarkEnd w:id="76"/>
      <w:r/>
      <w:bookmarkEnd w:id="77"/>
      <w:r/>
      <w:r/>
    </w:p>
    <w:p>
      <w:pPr>
        <w:ind w:firstLine="480"/>
        <w:spacing w:line="520" w:lineRule="exact"/>
        <w:widowControl/>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lang w:eastAsia="zh-CN"/>
        </w:rPr>
        <w:t xml:space="preserve">4.1投标人应自行承担所有与参加投标有关的费用，无论投标过程中的做法和结果如何，采购人和采购代理机构在任何情况下均无义务和责任承担这些费用。</w:t>
      </w:r>
      <w:r/>
    </w:p>
    <w:p>
      <w:pPr>
        <w:ind w:firstLine="480"/>
        <w:spacing w:line="520" w:lineRule="exact"/>
        <w:widowControl/>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lang w:eastAsia="zh-CN"/>
        </w:rPr>
        <w:t xml:space="preserve">4.2本次招标采购人和采购代理机构不收取标书工本费。</w:t>
      </w:r>
      <w:r/>
    </w:p>
    <w:p>
      <w:pPr>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5、招标文件的约束力</w:t>
      </w:r>
      <w:r/>
    </w:p>
    <w:p>
      <w:pPr>
        <w:ind w:firstLine="480"/>
        <w:jc w:val="both"/>
        <w:spacing w:after="0" w:line="460" w:lineRule="atLeast"/>
        <w:widowControl/>
        <w:rPr>
          <w:rFonts w:hint="eastAsia" w:ascii="宋体" w:hAnsi="宋体" w:eastAsia="宋体" w:cs="宋体"/>
          <w:bCs/>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2"/>
          <w:highlight w:val="none"/>
          <w:lang w:eastAsia="zh-CN"/>
        </w:rPr>
        <w:t xml:space="preserve">5.1投标人一旦参加本项目采购活动，即被认为接受了本招标文件的规定和约束。</w:t>
      </w:r>
      <w:r/>
    </w:p>
    <w:p>
      <w:pPr>
        <w:pStyle w:val="686"/>
        <w:ind w:firstLine="205"/>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8" w:name="_Toc20823282"/>
      <w:r/>
      <w:bookmarkStart w:id="79" w:name="_Toc513029210"/>
      <w:r/>
      <w:bookmarkStart w:id="80" w:name="_Toc16938526"/>
      <w:r>
        <w:rPr>
          <w:rFonts w:hint="eastAsia" w:ascii="宋体" w:hAnsi="宋体" w:eastAsia="宋体" w:cs="宋体"/>
          <w:color w:val="auto"/>
          <w:sz w:val="24"/>
          <w:szCs w:val="24"/>
          <w:highlight w:val="none"/>
        </w:rPr>
        <w:t xml:space="preserve">6、招标文件构成</w:t>
      </w:r>
      <w:bookmarkEnd w:id="78"/>
      <w:r/>
      <w:bookmarkEnd w:id="79"/>
      <w:r/>
      <w:bookmarkEnd w:id="80"/>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205"/>
        <w:jc w:val="both"/>
        <w:keepLines/>
        <w:keepNext/>
        <w:pageBreakBefore w:val="0"/>
        <w:spacing w:beforeAutospacing="0" w:afterAutospacing="0" w:line="500" w:lineRule="exact"/>
        <w:widowControl w:val="off"/>
        <w:rPr>
          <w:rFonts w:hint="eastAsia" w:ascii="宋体" w:hAnsi="宋体" w:eastAsia="宋体" w:cs="宋体"/>
          <w:b/>
          <w:bCs/>
          <w:color w:val="auto"/>
          <w:sz w:val="24"/>
          <w:szCs w:val="24"/>
          <w:highlight w:val="none"/>
        </w:rPr>
      </w:pPr>
      <w:r/>
      <w:bookmarkStart w:id="81" w:name="_Toc462564070"/>
      <w:r/>
      <w:bookmarkStart w:id="82" w:name="_Toc16938527"/>
      <w:r/>
      <w:bookmarkStart w:id="83" w:name="_Toc20823283"/>
      <w:r/>
      <w:bookmarkStart w:id="84" w:name="_Toc513029211"/>
      <w:r>
        <w:rPr>
          <w:rFonts w:hint="eastAsia" w:ascii="宋体" w:hAnsi="宋体" w:eastAsia="宋体" w:cs="宋体"/>
          <w:b/>
          <w:bCs/>
          <w:color w:val="auto"/>
          <w:sz w:val="24"/>
          <w:szCs w:val="24"/>
          <w:highlight w:val="none"/>
        </w:rPr>
        <w:t xml:space="preserve">7、招标文件的澄清</w:t>
      </w:r>
      <w:bookmarkEnd w:id="81"/>
      <w:r/>
      <w:bookmarkEnd w:id="82"/>
      <w:r/>
      <w:bookmarkEnd w:id="83"/>
      <w:r/>
      <w:bookmarkEnd w:id="84"/>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686"/>
        <w:ind w:firstLine="205"/>
        <w:jc w:val="both"/>
        <w:keepLines/>
        <w:keepNext/>
        <w:pageBreakBefore w:val="0"/>
        <w:spacing w:beforeAutospacing="0" w:afterAutospacing="0" w:line="500" w:lineRule="exact"/>
        <w:widowControl w:val="off"/>
        <w:rPr>
          <w:rFonts w:hint="eastAsia" w:ascii="宋体" w:hAnsi="宋体" w:eastAsia="宋体" w:cs="宋体"/>
          <w:b/>
          <w:bCs/>
          <w:color w:val="auto"/>
          <w:sz w:val="24"/>
          <w:szCs w:val="24"/>
          <w:highlight w:val="none"/>
        </w:rPr>
      </w:pPr>
      <w:r/>
      <w:bookmarkStart w:id="85" w:name="_Toc462564071"/>
      <w:r/>
      <w:bookmarkStart w:id="86" w:name="_Toc20823284"/>
      <w:r/>
      <w:bookmarkStart w:id="87" w:name="_Toc16938528"/>
      <w:r/>
      <w:bookmarkStart w:id="88" w:name="_Toc513029212"/>
      <w:r>
        <w:rPr>
          <w:rFonts w:hint="eastAsia" w:ascii="宋体" w:hAnsi="宋体" w:eastAsia="宋体" w:cs="宋体"/>
          <w:b/>
          <w:bCs/>
          <w:color w:val="auto"/>
          <w:sz w:val="24"/>
          <w:szCs w:val="24"/>
          <w:highlight w:val="none"/>
        </w:rPr>
        <w:t xml:space="preserve">8、招标文件的修改</w:t>
      </w:r>
      <w:bookmarkEnd w:id="85"/>
      <w:r/>
      <w:bookmarkEnd w:id="86"/>
      <w:r/>
      <w:bookmarkEnd w:id="87"/>
      <w:r/>
      <w:bookmarkEnd w:id="88"/>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有权按照法定的要求推迟投标截止日期和开标日期。</w:t>
      </w:r>
      <w:r/>
    </w:p>
    <w:p>
      <w:pPr>
        <w:ind w:firstLine="204"/>
        <w:pageBreakBefore w:val="0"/>
        <w:spacing w:line="520" w:lineRule="exact"/>
        <w:widowControl/>
        <w:rPr>
          <w:rFonts w:hint="eastAsia" w:ascii="宋体" w:hAnsi="宋体" w:eastAsia="宋体" w:cs="宋体"/>
          <w:color w:val="auto"/>
          <w:sz w:val="24"/>
          <w:szCs w:val="24"/>
          <w:highlight w:val="none"/>
        </w:rPr>
      </w:pPr>
      <w:r>
        <w:rPr>
          <w:rFonts w:hint="eastAsia" w:eastAsia="Arial"/>
          <w:sz w:val="24"/>
          <w:szCs w:val="20"/>
          <w:highlight w:val="none"/>
        </w:rPr>
        <w:t xml:space="preserve">8.3招标文件的修改将在</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公布，补充文件将作为招标文件的组成部分，并对投标人具有约束力。</w:t>
      </w:r>
      <w:r/>
    </w:p>
    <w:p>
      <w:pPr>
        <w:pStyle w:val="686"/>
        <w:ind w:firstLine="205"/>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bookmarkStart w:id="89" w:name="_Toc120614216"/>
      <w:r/>
      <w:bookmarkStart w:id="90" w:name="_Toc16938529"/>
      <w:r/>
      <w:bookmarkStart w:id="91" w:name="_Toc20823285"/>
      <w:r/>
      <w:bookmarkStart w:id="92" w:name="_Toc462564072"/>
      <w:r/>
      <w:bookmarkStart w:id="93" w:name="_Toc513029213"/>
      <w:r>
        <w:rPr>
          <w:rFonts w:hint="eastAsia" w:ascii="宋体" w:hAnsi="宋体" w:eastAsia="宋体" w:cs="宋体"/>
          <w:b/>
          <w:color w:val="auto"/>
          <w:sz w:val="24"/>
          <w:szCs w:val="24"/>
          <w:highlight w:val="none"/>
        </w:rPr>
        <w:t xml:space="preserve">三、投标文件的编制</w:t>
      </w:r>
      <w:bookmarkEnd w:id="89"/>
      <w:r/>
      <w:bookmarkEnd w:id="90"/>
      <w:r/>
      <w:bookmarkEnd w:id="91"/>
      <w:r/>
      <w:bookmarkEnd w:id="92"/>
      <w:r/>
      <w:bookmarkEnd w:id="93"/>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4" w:name="_Toc462564073"/>
      <w:r/>
      <w:bookmarkStart w:id="95" w:name="_Toc513029214"/>
      <w:r/>
      <w:bookmarkStart w:id="96" w:name="_Toc16938530"/>
      <w:r/>
      <w:bookmarkStart w:id="97" w:name="_Toc20823286"/>
      <w:r>
        <w:rPr>
          <w:rFonts w:hint="eastAsia" w:ascii="宋体" w:hAnsi="宋体" w:eastAsia="宋体" w:cs="宋体"/>
          <w:color w:val="auto"/>
          <w:sz w:val="24"/>
          <w:szCs w:val="24"/>
          <w:highlight w:val="none"/>
        </w:rPr>
        <w:t xml:space="preserve">9、投标文件的语言及度量衡单位</w:t>
      </w:r>
      <w:bookmarkEnd w:id="94"/>
      <w:r/>
      <w:bookmarkEnd w:id="95"/>
      <w:r/>
      <w:bookmarkEnd w:id="96"/>
      <w:r/>
      <w:bookmarkEnd w:id="97"/>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8" w:name="_Toc20823287"/>
      <w:r/>
      <w:bookmarkStart w:id="99" w:name="_Toc16938531"/>
      <w:r/>
      <w:bookmarkStart w:id="100" w:name="_Toc513029215"/>
      <w:r/>
      <w:bookmarkStart w:id="101" w:name="_Toc462564074"/>
      <w:r>
        <w:rPr>
          <w:rFonts w:hint="eastAsia" w:ascii="宋体" w:hAnsi="宋体" w:eastAsia="宋体" w:cs="宋体"/>
          <w:color w:val="auto"/>
          <w:sz w:val="24"/>
          <w:szCs w:val="24"/>
          <w:highlight w:val="none"/>
        </w:rPr>
        <w:t xml:space="preserve">10、投标文件构成</w:t>
      </w:r>
      <w:bookmarkEnd w:id="98"/>
      <w:r/>
      <w:bookmarkEnd w:id="99"/>
      <w:r/>
      <w:bookmarkEnd w:id="100"/>
      <w:r/>
      <w:bookmarkEnd w:id="101"/>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11、证明投标人及投标标的符合招标文件规定的文件</w:t>
      </w:r>
      <w:r/>
    </w:p>
    <w:p>
      <w:pPr>
        <w:ind w:firstLine="480"/>
        <w:spacing w:line="520" w:lineRule="exact"/>
        <w:widowControl/>
        <w:rPr>
          <w:rFonts w:hint="eastAsia" w:eastAsia="Arial"/>
          <w:sz w:val="24"/>
          <w:szCs w:val="20"/>
          <w:highlight w:val="none"/>
          <w:lang w:val="zh-CN"/>
        </w:rPr>
      </w:pPr>
      <w:r/>
      <w:bookmarkStart w:id="102" w:name="_Toc49090508"/>
      <w:r/>
      <w:bookmarkStart w:id="103" w:name="_Toc14577355"/>
      <w:r>
        <w:rPr>
          <w:rFonts w:hint="eastAsia" w:eastAsia="Arial"/>
          <w:sz w:val="24"/>
          <w:szCs w:val="20"/>
          <w:highlight w:val="none"/>
        </w:rPr>
        <w:t xml:space="preserve">11.1投标人应按照法律、法规、规章和规范性文件以及招标文件要求提交证明文件，证明</w:t>
      </w:r>
      <w:r>
        <w:rPr>
          <w:rFonts w:hint="eastAsia" w:eastAsia="Arial"/>
          <w:sz w:val="24"/>
          <w:szCs w:val="20"/>
          <w:highlight w:val="none"/>
          <w:lang w:val="zh-CN"/>
        </w:rPr>
        <w:t xml:space="preserve">其及投标标的符合招标文件规定。</w:t>
      </w:r>
      <w:bookmarkEnd w:id="102"/>
      <w:r/>
      <w:bookmarkEnd w:id="103"/>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11.2招标文件对证明文件无明确形式要求的，证明文件可以以文字资料、图纸和数据等形式提交。</w:t>
      </w:r>
      <w:r/>
    </w:p>
    <w:p>
      <w:pPr>
        <w:ind w:firstLine="480"/>
        <w:spacing w:line="520" w:lineRule="exact"/>
        <w:widowControl/>
        <w:rPr>
          <w:rFonts w:hint="eastAsia" w:eastAsia="Arial"/>
          <w:b/>
          <w:bCs/>
          <w:sz w:val="24"/>
          <w:szCs w:val="20"/>
          <w:highlight w:val="none"/>
          <w:lang w:val="zh-CN" w:eastAsia="zh-CN"/>
        </w:rPr>
      </w:pPr>
      <w:r>
        <w:rPr>
          <w:rFonts w:hint="eastAsia" w:eastAsia="Arial"/>
          <w:b/>
          <w:bCs/>
          <w:sz w:val="24"/>
          <w:szCs w:val="20"/>
          <w:highlight w:val="none"/>
          <w:lang w:val="zh-CN" w:eastAsia="zh-CN"/>
        </w:rPr>
        <w:t xml:space="preserve">12、投标分项报价表</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12.1投标人应按照招标文件规定格式填报投标分项报价表。</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12.1投标人应按照招标文件规定格式填报投标分项报价表。</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12.3投标报价</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12.3.1投标人应按照招标文件规定格式填报报价清单，只允许有一个报价，任何有选择的报价将不予接受。</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12.3.2 标的物</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采购人需求的设备供应、安装，调试及有关技术服务等。</w:t>
      </w:r>
      <w:r/>
    </w:p>
    <w:p>
      <w:pPr>
        <w:ind w:firstLine="480"/>
        <w:spacing w:line="520" w:lineRule="exact"/>
        <w:widowControl/>
        <w:rPr>
          <w:rFonts w:hint="eastAsia" w:eastAsia="Arial"/>
          <w:sz w:val="24"/>
          <w:szCs w:val="20"/>
          <w:highlight w:val="none"/>
        </w:rPr>
      </w:pPr>
      <w:r>
        <w:rPr>
          <w:rFonts w:hint="eastAsia" w:eastAsia="Arial"/>
          <w:sz w:val="24"/>
          <w:szCs w:val="20"/>
          <w:highlight w:val="none"/>
          <w:lang w:val="en-US" w:eastAsia="zh-CN"/>
        </w:rPr>
        <w:t xml:space="preserve">12</w:t>
      </w:r>
      <w:r>
        <w:rPr>
          <w:rFonts w:hint="eastAsia" w:eastAsia="Arial"/>
          <w:sz w:val="24"/>
          <w:szCs w:val="20"/>
          <w:highlight w:val="none"/>
        </w:rPr>
        <w:t xml:space="preserve">.3有关费用处理</w:t>
      </w:r>
      <w:r/>
    </w:p>
    <w:p>
      <w:pPr>
        <w:ind w:firstLine="480"/>
        <w:spacing w:line="520" w:lineRule="exact"/>
        <w:widowControl/>
        <w:rPr>
          <w:rFonts w:hint="eastAsia" w:eastAsia="Arial"/>
          <w:sz w:val="24"/>
          <w:szCs w:val="20"/>
          <w:highlight w:val="none"/>
        </w:rPr>
      </w:pPr>
      <w:r/>
      <w:bookmarkStart w:id="104" w:name="OLE_LINK12"/>
      <w:r>
        <w:rPr>
          <w:rFonts w:hint="eastAsia" w:eastAsia="Arial"/>
          <w:sz w:val="24"/>
          <w:szCs w:val="20"/>
          <w:highlight w:val="none"/>
          <w:lang w:val="en-US" w:eastAsia="zh-CN"/>
        </w:rPr>
        <w:t xml:space="preserve">12.3.1</w:t>
      </w:r>
      <w:r>
        <w:rPr>
          <w:rFonts w:hint="eastAsia" w:eastAsia="Arial"/>
          <w:sz w:val="24"/>
          <w:szCs w:val="20"/>
          <w:highlight w:val="none"/>
        </w:rPr>
        <w:t xml:space="preserve">投标人根据现场实际情况、自身综合实力、结合市场行情、管理水平等各项因素自主报价，此报价应包括为完成招标文件中所确定招标范围内的全部内容所需的全部费用</w:t>
      </w:r>
      <w:bookmarkEnd w:id="104"/>
      <w:r>
        <w:rPr>
          <w:rFonts w:hint="eastAsia" w:eastAsia="Arial"/>
          <w:sz w:val="24"/>
          <w:szCs w:val="20"/>
          <w:highlight w:val="none"/>
        </w:rPr>
        <w:t xml:space="preserve">：</w:t>
      </w:r>
      <w:r>
        <w:rPr>
          <w:rFonts w:ascii="宋体" w:hAnsi="宋体" w:eastAsia="宋体"/>
          <w:sz w:val="24"/>
          <w:highlight w:val="none"/>
        </w:rPr>
        <w:t xml:space="preserve">包括但不限于对本次采购、安装、调试及其伴随服务各项支付金额的总和。上述金额包括乙方为完成上述采购、安装、调试、产品价格、包装费、上下货力资费、运杂费、保险费、安装布置就位费、随货提供的备品备件费及专用工具费、组装费、维修保养费、售后服务费、培训费、管理费、税金、利润及其验收合格前相关的所有费用，同时还应充分考虑市场风险、国家政策性调整风险系数以及承担的义务、责任、风险等一切因素、不可预见费及其他一切相关费用等全部费用。安装支付使用前的一切费用由供货方承担。</w:t>
      </w:r>
      <w:r>
        <w:rPr>
          <w:rFonts w:hint="eastAsia" w:eastAsia="Arial"/>
          <w:sz w:val="24"/>
          <w:szCs w:val="20"/>
          <w:highlight w:val="none"/>
        </w:rPr>
        <w:t xml:space="preserve">各类风险和政策性调整等风险已包括在投标报价中，最终结算时除合同约定调整外一律不予调整。</w:t>
      </w:r>
      <w:r/>
    </w:p>
    <w:p>
      <w:pPr>
        <w:ind w:firstLine="480"/>
        <w:spacing w:line="520" w:lineRule="exact"/>
        <w:widowControl/>
        <w:rPr>
          <w:rFonts w:hint="eastAsia" w:eastAsia="Arial"/>
          <w:sz w:val="24"/>
          <w:szCs w:val="20"/>
          <w:highlight w:val="none"/>
        </w:rPr>
      </w:pPr>
      <w:r>
        <w:rPr>
          <w:rFonts w:hint="eastAsia" w:eastAsia="Arial"/>
          <w:sz w:val="24"/>
          <w:szCs w:val="20"/>
          <w:highlight w:val="none"/>
          <w:lang w:val="en-US" w:eastAsia="zh-CN"/>
        </w:rPr>
        <w:t xml:space="preserve">12.3.2</w:t>
      </w:r>
      <w:r>
        <w:rPr>
          <w:rFonts w:hint="eastAsia" w:eastAsia="Arial"/>
          <w:sz w:val="24"/>
          <w:szCs w:val="20"/>
          <w:highlight w:val="none"/>
        </w:rPr>
        <w:t xml:space="preserve">其它费用处理</w:t>
      </w:r>
      <w:r/>
    </w:p>
    <w:p>
      <w:pPr>
        <w:ind w:firstLine="480"/>
        <w:spacing w:line="520" w:lineRule="exact"/>
        <w:widowControl/>
        <w:rPr>
          <w:rFonts w:hint="eastAsia" w:eastAsia="Arial"/>
          <w:b/>
          <w:bCs/>
          <w:sz w:val="24"/>
          <w:szCs w:val="20"/>
          <w:highlight w:val="none"/>
          <w:lang w:val="en-US" w:eastAsia="zh-CN"/>
        </w:rPr>
      </w:pPr>
      <w:r>
        <w:rPr>
          <w:rFonts w:hint="eastAsia" w:eastAsia="Arial"/>
          <w:sz w:val="24"/>
          <w:szCs w:val="20"/>
          <w:highlight w:val="none"/>
        </w:rPr>
        <w:t xml:space="preserve">本次招标代理服务费按[计价格 ［20</w:t>
      </w:r>
      <w:r>
        <w:rPr>
          <w:rFonts w:hint="eastAsia" w:eastAsia="Arial"/>
          <w:sz w:val="24"/>
          <w:szCs w:val="20"/>
          <w:highlight w:val="none"/>
          <w:lang w:val="en-US" w:eastAsia="zh-CN"/>
        </w:rPr>
        <w:t xml:space="preserve">2</w:t>
      </w:r>
      <w:r>
        <w:rPr>
          <w:rFonts w:hint="eastAsia" w:eastAsia="Arial"/>
          <w:sz w:val="24"/>
          <w:szCs w:val="20"/>
          <w:highlight w:val="none"/>
        </w:rPr>
        <w:t xml:space="preserve">2］</w:t>
      </w:r>
      <w:r>
        <w:rPr>
          <w:rFonts w:hint="eastAsia" w:eastAsia="Arial"/>
          <w:sz w:val="24"/>
          <w:szCs w:val="20"/>
          <w:highlight w:val="none"/>
          <w:lang w:val="en-US" w:eastAsia="zh-CN"/>
        </w:rPr>
        <w:t xml:space="preserve">002</w:t>
      </w:r>
      <w:r>
        <w:rPr>
          <w:rFonts w:hint="eastAsia" w:eastAsia="Arial"/>
          <w:sz w:val="24"/>
          <w:szCs w:val="20"/>
          <w:highlight w:val="none"/>
        </w:rPr>
        <w:t xml:space="preserve">号]文执行，此项费用由各供应商在投标报价时综合考虑，不单独列项报价。费用由成交供应商承担，在中标通知书发放前一次性支付给采购代理机构</w:t>
      </w:r>
      <w:r>
        <w:rPr>
          <w:rFonts w:hint="eastAsia" w:eastAsia="Arial"/>
          <w:sz w:val="24"/>
          <w:szCs w:val="20"/>
          <w:highlight w:val="none"/>
          <w:lang w:val="zh-CN"/>
        </w:rPr>
        <w:t xml:space="preserve">。</w:t>
      </w:r>
      <w:r>
        <w:rPr>
          <w:rFonts w:hint="eastAsia" w:eastAsia="Arial"/>
          <w:sz w:val="24"/>
          <w:szCs w:val="20"/>
          <w:highlight w:val="none"/>
        </w:rPr>
        <w:t xml:space="preserve">招标文件未列明，而投标人认为必需的费用也综合考虑在投标报价中。</w:t>
      </w:r>
      <w:r>
        <w:rPr>
          <w:rFonts w:hint="eastAsia" w:eastAsia="Arial"/>
          <w:b/>
          <w:bCs/>
          <w:sz w:val="24"/>
          <w:szCs w:val="20"/>
          <w:highlight w:val="none"/>
          <w:lang w:val="zh-CN"/>
        </w:rPr>
        <w:t xml:space="preserve"> </w:t>
      </w:r>
      <w:r/>
    </w:p>
    <w:p>
      <w:pPr>
        <w:ind w:firstLine="480"/>
        <w:spacing w:line="520" w:lineRule="exact"/>
        <w:widowControl/>
        <w:rPr>
          <w:rFonts w:hint="eastAsia" w:eastAsia="Arial"/>
          <w:b/>
          <w:bCs/>
          <w:sz w:val="24"/>
          <w:szCs w:val="20"/>
          <w:highlight w:val="none"/>
          <w:lang w:val="zh-CN"/>
        </w:rPr>
      </w:pPr>
      <w:r>
        <w:rPr>
          <w:rFonts w:hint="eastAsia" w:eastAsia="Arial"/>
          <w:b/>
          <w:bCs/>
          <w:sz w:val="24"/>
          <w:szCs w:val="20"/>
          <w:highlight w:val="none"/>
          <w:lang w:val="zh-CN"/>
        </w:rPr>
        <w:t xml:space="preserve">13、技术要求响应及偏离表、商务要求响应及偏离表</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13.1投标人需对招标文件中的技术要求与商务要求逐项作出响应或偏离，并说明原因。</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13.2投标人可在投标文件中提供认为需要的其他技术文件或说明。</w:t>
      </w:r>
      <w:r/>
    </w:p>
    <w:p>
      <w:pPr>
        <w:ind w:firstLine="480"/>
        <w:spacing w:line="520" w:lineRule="exact"/>
        <w:widowControl/>
        <w:rPr>
          <w:rFonts w:hint="eastAsia" w:eastAsia="Arial"/>
          <w:b/>
          <w:bCs/>
          <w:sz w:val="24"/>
          <w:szCs w:val="20"/>
          <w:highlight w:val="none"/>
          <w:lang w:val="zh-CN"/>
        </w:rPr>
      </w:pPr>
      <w:r/>
      <w:bookmarkStart w:id="105" w:name="_Toc14577360"/>
      <w:r/>
      <w:bookmarkStart w:id="106" w:name="_Toc49090511"/>
      <w:r>
        <w:rPr>
          <w:rFonts w:hint="eastAsia" w:eastAsia="Arial"/>
          <w:b/>
          <w:bCs/>
          <w:sz w:val="24"/>
          <w:szCs w:val="20"/>
          <w:highlight w:val="none"/>
          <w:lang w:val="zh-CN"/>
        </w:rPr>
        <w:t xml:space="preserve">14、投标函和开标一览表</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14.1投标人应按照招标文件中提供的格式完整、正确填写投标函、开标一览表。</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hint="eastAsia" w:eastAsia="Arial"/>
          <w:b/>
          <w:bCs/>
          <w:sz w:val="24"/>
          <w:szCs w:val="20"/>
          <w:highlight w:val="none"/>
          <w:lang w:val="zh-CN"/>
        </w:rPr>
      </w:pPr>
      <w:r>
        <w:rPr>
          <w:rFonts w:hint="eastAsia" w:eastAsia="Arial"/>
          <w:b/>
          <w:bCs/>
          <w:sz w:val="24"/>
          <w:szCs w:val="20"/>
          <w:highlight w:val="none"/>
          <w:lang w:val="zh-CN"/>
        </w:rPr>
        <w:t xml:space="preserve">15、投标有效期</w:t>
      </w:r>
      <w:bookmarkEnd w:id="105"/>
      <w:r/>
      <w:bookmarkEnd w:id="106"/>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15.1投标有效期为采购</w:t>
      </w:r>
      <w:r>
        <w:rPr>
          <w:rFonts w:hint="eastAsia" w:eastAsia="Arial"/>
          <w:sz w:val="24"/>
          <w:szCs w:val="20"/>
          <w:highlight w:val="none"/>
          <w:lang w:val="zh-CN" w:eastAsia="zh-CN"/>
        </w:rPr>
        <w:t xml:space="preserve">人</w:t>
      </w:r>
      <w:r>
        <w:rPr>
          <w:rFonts w:hint="eastAsia" w:eastAsia="Arial"/>
          <w:sz w:val="24"/>
          <w:szCs w:val="20"/>
          <w:highlight w:val="none"/>
          <w:lang w:val="zh-CN"/>
        </w:rPr>
        <w:t xml:space="preserve">规定的开标之日后六十（60）天。投标有效期比规定短的将被视为未实质性响应招标文件而予以拒绝。</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16、投标有效期的延长</w:t>
      </w:r>
      <w:r/>
    </w:p>
    <w:p>
      <w:pPr>
        <w:ind w:firstLine="480"/>
        <w:spacing w:line="520" w:lineRule="exact"/>
        <w:widowControl/>
        <w:rPr>
          <w:rFonts w:hint="eastAsia" w:eastAsia="Arial"/>
          <w:sz w:val="24"/>
          <w:szCs w:val="20"/>
          <w:highlight w:val="none"/>
          <w:lang w:val="zh-CN"/>
        </w:rPr>
      </w:pPr>
      <w:r>
        <w:rPr>
          <w:rFonts w:hint="eastAsia" w:eastAsia="Arial"/>
          <w:sz w:val="24"/>
          <w:szCs w:val="20"/>
          <w:highlight w:val="none"/>
          <w:lang w:val="zh-CN"/>
        </w:rPr>
        <w:t xml:space="preserve">16.1在特殊情况下，采购</w:t>
      </w:r>
      <w:r>
        <w:rPr>
          <w:rFonts w:hint="eastAsia" w:eastAsia="Arial"/>
          <w:sz w:val="24"/>
          <w:szCs w:val="20"/>
          <w:highlight w:val="none"/>
          <w:lang w:val="zh-CN" w:eastAsia="zh-CN"/>
        </w:rPr>
        <w:t xml:space="preserve">人</w:t>
      </w:r>
      <w:r>
        <w:rPr>
          <w:rFonts w:hint="eastAsia" w:eastAsia="Arial"/>
          <w:sz w:val="24"/>
          <w:szCs w:val="20"/>
          <w:highlight w:val="none"/>
          <w:lang w:val="zh-CN"/>
        </w:rPr>
        <w:t xml:space="preserve">于原投标有效期满之前，可向投标人提出延长投标有效期的要求。这种要求与答复均应采用书面形式。投标人可以拒绝采购</w:t>
      </w:r>
      <w:r>
        <w:rPr>
          <w:rFonts w:hint="eastAsia" w:eastAsia="Arial"/>
          <w:sz w:val="24"/>
          <w:szCs w:val="20"/>
          <w:highlight w:val="none"/>
          <w:lang w:val="zh-CN" w:eastAsia="zh-CN"/>
        </w:rPr>
        <w:t xml:space="preserve">人</w:t>
      </w:r>
      <w:r>
        <w:rPr>
          <w:rFonts w:hint="eastAsia" w:eastAsia="Arial"/>
          <w:sz w:val="24"/>
          <w:szCs w:val="20"/>
          <w:highlight w:val="none"/>
          <w:lang w:val="zh-CN"/>
        </w:rPr>
        <w:t xml:space="preserve">的这一要求而放弃投标。同意延长投标有效期的投标人既不能要求也不允许修改其投标文件，同时受投标有效期约束的所有权利与义务均延长至新的有效期。</w:t>
      </w:r>
      <w:r/>
    </w:p>
    <w:p>
      <w:pPr>
        <w:pStyle w:val="686"/>
        <w:ind w:firstLine="205"/>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bookmarkStart w:id="107" w:name="_Toc513029224"/>
      <w:r/>
      <w:bookmarkStart w:id="108" w:name="_Toc120614217"/>
      <w:r/>
      <w:bookmarkStart w:id="109" w:name="_Toc20823296"/>
      <w:r/>
      <w:bookmarkStart w:id="110" w:name="_Toc16938540"/>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1" w:name="_Toc16938541"/>
      <w:r/>
      <w:bookmarkStart w:id="112" w:name="_Toc462564084"/>
      <w:r/>
      <w:bookmarkStart w:id="113" w:name="_Toc513029225"/>
      <w:r/>
      <w:bookmarkStart w:id="114" w:name="_Toc20823297"/>
      <w:r>
        <w:rPr>
          <w:rFonts w:hint="eastAsia" w:ascii="宋体" w:hAnsi="宋体" w:eastAsia="宋体" w:cs="宋体"/>
          <w:color w:val="auto"/>
          <w:sz w:val="24"/>
          <w:szCs w:val="24"/>
          <w:highlight w:val="none"/>
        </w:rPr>
        <w:t xml:space="preserve">17、投标文件</w:t>
      </w:r>
      <w:bookmarkEnd w:id="111"/>
      <w:r/>
      <w:bookmarkEnd w:id="112"/>
      <w:r/>
      <w:bookmarkEnd w:id="113"/>
      <w:r/>
      <w:bookmarkEnd w:id="114"/>
      <w:r>
        <w:rPr>
          <w:rFonts w:hint="eastAsia" w:ascii="宋体" w:hAnsi="宋体" w:eastAsia="宋体" w:cs="宋体"/>
          <w:color w:val="auto"/>
          <w:sz w:val="24"/>
          <w:szCs w:val="24"/>
          <w:highlight w:val="none"/>
        </w:rPr>
        <w:t xml:space="preserve">的递交</w:t>
      </w:r>
      <w:r/>
    </w:p>
    <w:p>
      <w:pPr>
        <w:ind w:firstLine="204"/>
        <w:pageBreakBefore w:val="0"/>
        <w:spacing w:line="520" w:lineRule="exact"/>
        <w:widowControl/>
        <w:rPr>
          <w:rFonts w:eastAsia="Arial"/>
          <w:sz w:val="24"/>
          <w:szCs w:val="20"/>
          <w:highlight w:val="none"/>
          <w:lang w:val="zh-CN"/>
        </w:rPr>
      </w:pPr>
      <w:r>
        <w:rPr>
          <w:rFonts w:hint="eastAsia" w:eastAsia="Arial"/>
          <w:sz w:val="24"/>
          <w:szCs w:val="20"/>
          <w:highlight w:val="none"/>
          <w:lang w:val="zh-CN"/>
        </w:rPr>
        <w:t xml:space="preserve">17.1 电子投标文件的递交</w:t>
      </w:r>
      <w:r/>
    </w:p>
    <w:p>
      <w:pPr>
        <w:ind w:firstLine="204"/>
        <w:pageBreakBefore w:val="0"/>
        <w:spacing w:line="500" w:lineRule="exact"/>
        <w:widowControl/>
        <w:rPr>
          <w:rFonts w:hint="eastAsia"/>
          <w:sz w:val="24"/>
          <w:szCs w:val="20"/>
          <w:highlight w:val="none"/>
        </w:rPr>
      </w:pPr>
      <w:r>
        <w:rPr>
          <w:rFonts w:hint="eastAsia" w:eastAsia="Arial"/>
          <w:sz w:val="24"/>
          <w:szCs w:val="20"/>
          <w:highlight w:val="none"/>
          <w:lang w:val="zh-CN"/>
        </w:rPr>
        <w:t xml:space="preserve">投标人应当按照《操作手册》规定，在投标截止时间前制作并上传电子投标</w:t>
      </w:r>
      <w:bookmarkStart w:id="115" w:name="_Toc16938542"/>
      <w:r/>
      <w:bookmarkEnd w:id="115"/>
      <w:r/>
      <w:bookmarkStart w:id="116" w:name="_Toc20823298"/>
      <w:r/>
      <w:bookmarkEnd w:id="116"/>
      <w:r>
        <w:rPr>
          <w:rFonts w:hint="eastAsia"/>
          <w:sz w:val="24"/>
          <w:szCs w:val="20"/>
          <w:highlight w:val="none"/>
        </w:rPr>
        <w:t xml:space="preserve">文件。</w:t>
      </w:r>
      <w:r/>
    </w:p>
    <w:p>
      <w:pPr>
        <w:pStyle w:val="686"/>
        <w:ind w:firstLine="204"/>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7" w:name="_Toc20823299"/>
      <w:r/>
      <w:bookmarkStart w:id="118" w:name="_Toc513029227"/>
      <w:r/>
      <w:bookmarkStart w:id="119" w:name="_Toc16938543"/>
      <w:r>
        <w:rPr>
          <w:rFonts w:hint="eastAsia" w:ascii="宋体" w:hAnsi="宋体" w:eastAsia="宋体" w:cs="宋体"/>
          <w:color w:val="auto"/>
          <w:sz w:val="24"/>
          <w:szCs w:val="24"/>
          <w:highlight w:val="none"/>
        </w:rPr>
        <w:t xml:space="preserve">19、投标文件</w:t>
      </w:r>
      <w:bookmarkEnd w:id="117"/>
      <w:r/>
      <w:bookmarkEnd w:id="118"/>
      <w:r/>
      <w:bookmarkEnd w:id="119"/>
      <w:r>
        <w:rPr>
          <w:rFonts w:hint="eastAsia" w:ascii="宋体" w:hAnsi="宋体" w:eastAsia="宋体" w:cs="宋体"/>
          <w:color w:val="auto"/>
          <w:sz w:val="24"/>
          <w:szCs w:val="24"/>
          <w:highlight w:val="none"/>
        </w:rPr>
        <w:t xml:space="preserve">的拒收</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0" w:name="_Toc513029228"/>
      <w:r/>
      <w:bookmarkStart w:id="121" w:name="_Toc20823300"/>
      <w:r/>
      <w:bookmarkStart w:id="122" w:name="_Toc16938544"/>
      <w:r>
        <w:rPr>
          <w:rFonts w:hint="eastAsia" w:ascii="宋体" w:hAnsi="宋体" w:eastAsia="宋体" w:cs="宋体"/>
          <w:color w:val="auto"/>
          <w:sz w:val="24"/>
          <w:szCs w:val="24"/>
          <w:highlight w:val="none"/>
        </w:rPr>
        <w:t xml:space="preserve">20、投标文件的撤回和修改</w:t>
      </w:r>
      <w:bookmarkEnd w:id="120"/>
      <w:r/>
      <w:bookmarkEnd w:id="121"/>
      <w:r/>
      <w:bookmarkEnd w:id="122"/>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86"/>
        <w:ind w:firstLine="205"/>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bookmarkStart w:id="123" w:name="_Toc120614218"/>
      <w:r/>
      <w:bookmarkStart w:id="124" w:name="_Toc20823301"/>
      <w:r/>
      <w:bookmarkStart w:id="125" w:name="_Toc513029229"/>
      <w:r/>
      <w:bookmarkStart w:id="126" w:name="_Toc16938545"/>
      <w:r>
        <w:rPr>
          <w:rFonts w:hint="eastAsia" w:ascii="宋体" w:hAnsi="宋体" w:eastAsia="宋体" w:cs="宋体"/>
          <w:b/>
          <w:color w:val="auto"/>
          <w:sz w:val="24"/>
          <w:szCs w:val="24"/>
          <w:highlight w:val="none"/>
        </w:rPr>
        <w:t xml:space="preserve">五、开标与评标</w:t>
      </w:r>
      <w:bookmarkEnd w:id="123"/>
      <w:r/>
      <w:bookmarkEnd w:id="124"/>
      <w:r/>
      <w:bookmarkEnd w:id="125"/>
      <w:r/>
      <w:bookmarkEnd w:id="126"/>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7" w:name="_Toc20823302"/>
      <w:r/>
      <w:bookmarkStart w:id="128" w:name="_Toc16938546"/>
      <w:r/>
      <w:bookmarkStart w:id="129" w:name="_Toc513029230"/>
      <w:r>
        <w:rPr>
          <w:rFonts w:hint="eastAsia" w:ascii="宋体" w:hAnsi="宋体" w:eastAsia="宋体" w:cs="宋体"/>
          <w:color w:val="auto"/>
          <w:sz w:val="24"/>
          <w:szCs w:val="24"/>
          <w:highlight w:val="none"/>
        </w:rPr>
        <w:t xml:space="preserve">21、开标</w:t>
      </w:r>
      <w:bookmarkEnd w:id="127"/>
      <w:r/>
      <w:bookmarkEnd w:id="128"/>
      <w:r/>
      <w:bookmarkEnd w:id="129"/>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eastAsia="zh-CN"/>
        </w:rPr>
        <w:t xml:space="preserve">人或采购代理机构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20823303"/>
      <w:r/>
      <w:bookmarkStart w:id="131" w:name="_Toc513029231"/>
      <w:r/>
      <w:bookmarkStart w:id="132" w:name="_Toc16938547"/>
      <w:r>
        <w:rPr>
          <w:rFonts w:hint="eastAsia" w:ascii="宋体" w:hAnsi="宋体" w:eastAsia="宋体" w:cs="宋体"/>
          <w:color w:val="auto"/>
          <w:sz w:val="24"/>
          <w:szCs w:val="24"/>
          <w:highlight w:val="none"/>
        </w:rPr>
        <w:t xml:space="preserve">22、评标委员会</w:t>
      </w:r>
      <w:bookmarkEnd w:id="130"/>
      <w:r/>
      <w:bookmarkEnd w:id="131"/>
      <w:r/>
      <w:bookmarkEnd w:id="132"/>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86"/>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86"/>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22.3评委会独立工作，负责评审所有投标文件并确定中标侯选人。</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均不得向投标人或与评标无关的其他人员透露。</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20823304"/>
      <w:r/>
      <w:bookmarkStart w:id="134" w:name="_Toc16938548"/>
      <w:r/>
      <w:bookmarkStart w:id="135" w:name="_Toc513029232"/>
      <w:r>
        <w:rPr>
          <w:rFonts w:hint="eastAsia" w:ascii="宋体" w:hAnsi="宋体" w:eastAsia="宋体" w:cs="宋体"/>
          <w:color w:val="auto"/>
          <w:sz w:val="24"/>
          <w:szCs w:val="24"/>
          <w:highlight w:val="none"/>
        </w:rPr>
        <w:t xml:space="preserve">24、投标文件的澄清</w:t>
      </w:r>
      <w:bookmarkEnd w:id="133"/>
      <w:r/>
      <w:bookmarkEnd w:id="134"/>
      <w:r/>
      <w:bookmarkEnd w:id="135"/>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6" w:name="_Toc513029233"/>
      <w:r/>
      <w:bookmarkStart w:id="137" w:name="_Toc20823305"/>
      <w:r/>
      <w:bookmarkStart w:id="138" w:name="_Toc16938549"/>
      <w:r>
        <w:rPr>
          <w:rFonts w:hint="eastAsia" w:ascii="宋体" w:hAnsi="宋体" w:eastAsia="宋体" w:cs="宋体"/>
          <w:color w:val="auto"/>
          <w:sz w:val="24"/>
          <w:szCs w:val="24"/>
          <w:highlight w:val="none"/>
        </w:rPr>
        <w:t xml:space="preserve">25、对投标文件的初审</w:t>
      </w:r>
      <w:bookmarkEnd w:id="136"/>
      <w:r/>
      <w:bookmarkEnd w:id="137"/>
      <w:r/>
      <w:bookmarkEnd w:id="138"/>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将不再告知未通过资格审查和符合性审查的原因。</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9" w:name="_Toc513029234"/>
      <w:r/>
      <w:bookmarkStart w:id="140" w:name="_Toc16938550"/>
      <w:r/>
      <w:bookmarkStart w:id="141"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39"/>
      <w:r/>
      <w:bookmarkEnd w:id="140"/>
      <w:r/>
      <w:bookmarkEnd w:id="141"/>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2" w:name="_Toc513029235"/>
      <w:r/>
      <w:bookmarkStart w:id="143" w:name="_Toc16938551"/>
      <w:r/>
      <w:bookmarkStart w:id="144" w:name="_Toc20823307"/>
      <w:r>
        <w:rPr>
          <w:rFonts w:hint="eastAsia" w:ascii="宋体" w:hAnsi="宋体" w:eastAsia="宋体" w:cs="宋体"/>
          <w:color w:val="auto"/>
          <w:sz w:val="24"/>
          <w:szCs w:val="24"/>
          <w:highlight w:val="none"/>
        </w:rPr>
        <w:t xml:space="preserve">26.1无效投标条款</w:t>
      </w:r>
      <w:bookmarkEnd w:id="142"/>
      <w:r/>
      <w:bookmarkEnd w:id="143"/>
      <w:r/>
      <w:bookmarkEnd w:id="144"/>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6"/>
        <w:ind w:firstLine="205"/>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bookmarkStart w:id="145" w:name="_Toc120614219"/>
      <w:r>
        <w:rPr>
          <w:rFonts w:hint="eastAsia" w:ascii="宋体" w:hAnsi="宋体" w:eastAsia="宋体" w:cs="宋体"/>
          <w:b/>
          <w:color w:val="auto"/>
          <w:sz w:val="24"/>
          <w:szCs w:val="24"/>
          <w:highlight w:val="none"/>
        </w:rPr>
        <w:t xml:space="preserve">六、定标</w:t>
      </w:r>
      <w:bookmarkEnd w:id="145"/>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20823310"/>
      <w:r/>
      <w:bookmarkStart w:id="147" w:name="_Toc513029238"/>
      <w:r/>
      <w:bookmarkStart w:id="148" w:name="_Toc16938554"/>
      <w:r>
        <w:rPr>
          <w:rFonts w:hint="eastAsia" w:ascii="宋体" w:hAnsi="宋体" w:eastAsia="宋体" w:cs="宋体"/>
          <w:color w:val="auto"/>
          <w:sz w:val="24"/>
          <w:szCs w:val="24"/>
          <w:highlight w:val="none"/>
        </w:rPr>
        <w:t xml:space="preserve">27、</w:t>
      </w:r>
      <w:bookmarkEnd w:id="146"/>
      <w:r>
        <w:rPr>
          <w:rFonts w:hint="eastAsia" w:ascii="宋体" w:hAnsi="宋体" w:eastAsia="宋体" w:cs="宋体"/>
          <w:color w:val="auto"/>
          <w:sz w:val="24"/>
          <w:szCs w:val="24"/>
          <w:highlight w:val="none"/>
        </w:rPr>
        <w:t xml:space="preserve">确定</w:t>
      </w:r>
      <w:bookmarkEnd w:id="147"/>
      <w:r/>
      <w:bookmarkEnd w:id="148"/>
      <w:r>
        <w:rPr>
          <w:rFonts w:hint="eastAsia" w:ascii="宋体" w:hAnsi="宋体" w:eastAsia="宋体" w:cs="宋体"/>
          <w:color w:val="auto"/>
          <w:sz w:val="24"/>
          <w:szCs w:val="24"/>
          <w:highlight w:val="none"/>
        </w:rPr>
        <w:t xml:space="preserve">中标单位</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200451960"/>
      <w:r>
        <w:rPr>
          <w:rFonts w:hint="eastAsia" w:ascii="宋体" w:hAnsi="宋体" w:eastAsia="宋体" w:cs="宋体"/>
          <w:color w:val="auto"/>
          <w:sz w:val="24"/>
          <w:szCs w:val="24"/>
          <w:highlight w:val="none"/>
        </w:rPr>
        <w:t xml:space="preserve">27.5 有下列情形之一的，视为投标人串通投标，投标无效：</w:t>
      </w:r>
      <w:bookmarkEnd w:id="149"/>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或采购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提出质疑。上述应知其权益受到损害之日，是指：</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ind w:firstLine="204"/>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采购人及采购代理机构只接收以纸质原件形式送达的质疑,采购人和采购代理机构不接受未填写快递运单的快件。</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86"/>
        <w:ind w:firstLine="205"/>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bookmarkStart w:id="150" w:name="_Toc513029236"/>
      <w:r/>
      <w:bookmarkStart w:id="151" w:name="_Toc16938552"/>
      <w:r/>
      <w:bookmarkStart w:id="152" w:name="_Toc120614220"/>
      <w:r/>
      <w:bookmarkStart w:id="153" w:name="_Toc20823308"/>
      <w:r>
        <w:rPr>
          <w:rFonts w:hint="eastAsia" w:ascii="宋体" w:hAnsi="宋体" w:eastAsia="宋体" w:cs="宋体"/>
          <w:b/>
          <w:color w:val="auto"/>
          <w:sz w:val="24"/>
          <w:szCs w:val="24"/>
          <w:highlight w:val="none"/>
        </w:rPr>
        <w:t xml:space="preserve">七、授予合同</w:t>
      </w:r>
      <w:bookmarkEnd w:id="150"/>
      <w:r/>
      <w:bookmarkEnd w:id="151"/>
      <w:r/>
      <w:bookmarkEnd w:id="152"/>
      <w:r/>
      <w:bookmarkEnd w:id="153"/>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20823309"/>
      <w:r/>
      <w:bookmarkStart w:id="155" w:name="_Toc16938553"/>
      <w:r/>
      <w:bookmarkStart w:id="156" w:name="_Toc513029237"/>
      <w:r>
        <w:rPr>
          <w:rFonts w:hint="eastAsia" w:ascii="宋体" w:hAnsi="宋体" w:eastAsia="宋体" w:cs="宋体"/>
          <w:color w:val="auto"/>
          <w:sz w:val="24"/>
          <w:szCs w:val="24"/>
          <w:highlight w:val="none"/>
        </w:rPr>
        <w:t xml:space="preserve">30.签订合同</w:t>
      </w:r>
      <w:bookmarkEnd w:id="154"/>
      <w:r/>
      <w:bookmarkEnd w:id="155"/>
      <w:r/>
      <w:bookmarkEnd w:id="156"/>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6"/>
        <w:ind w:firstLine="20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7" w:name="_Toc513029242"/>
      <w:r/>
      <w:bookmarkStart w:id="158" w:name="_Toc16938558"/>
      <w:r/>
      <w:bookmarkStart w:id="159" w:name="_Toc20823314"/>
      <w:r/>
      <w:bookmarkStart w:id="160" w:name="_Toc479757207"/>
      <w:r/>
      <w:bookmarkStart w:id="161" w:name="_Toc120614221"/>
      <w:r>
        <w:rPr>
          <w:rFonts w:hint="eastAsia" w:ascii="宋体" w:hAnsi="宋体" w:eastAsia="宋体" w:cs="宋体"/>
          <w:color w:val="auto"/>
          <w:sz w:val="24"/>
          <w:szCs w:val="24"/>
          <w:highlight w:val="none"/>
        </w:rPr>
        <w:t xml:space="preserve">32、政府采购履约资金扶持政策</w:t>
      </w:r>
      <w:bookmarkEnd w:id="157"/>
      <w:r/>
      <w:bookmarkEnd w:id="158"/>
      <w:r/>
      <w:bookmarkEnd w:id="159"/>
      <w:r/>
      <w:bookmarkEnd w:id="160"/>
      <w:r/>
      <w:bookmarkEnd w:id="161"/>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86"/>
        <w:ind w:firstLine="480"/>
        <w:jc w:val="both"/>
        <w:spacing w:beforeAutospacing="0" w:afterAutospacing="0" w:line="480" w:lineRule="exact"/>
        <w:rPr>
          <w:rFonts w:ascii="宋体" w:hAnsi="宋体"/>
          <w:highlight w:val="none"/>
        </w:rPr>
      </w:pPr>
      <w:r>
        <w:rPr>
          <w:rFonts w:hint="eastAsia" w:ascii="宋体" w:hAnsi="宋体" w:cs="黑体"/>
          <w:color w:val="000000"/>
          <w:highlight w:val="none"/>
        </w:rPr>
        <w:t xml:space="preserve">33、其他</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33.1供应商对于投标产品的商品包装、快递包装应按照《关于印发《商品包装政府采购需求标准（试行）》、《快递包装政府采购需求标准（试行）》的通知》（财办库〔2020〕123号）执行。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33.2本文件中若涉及到数据中心采购，应按照《&lt;绿色数据中心政府采购需求标准（试行）&gt;的通知》（财库〔2023〕7号）执行。</w:t>
      </w:r>
      <w:r/>
    </w:p>
    <w:p>
      <w:pPr>
        <w:pStyle w:val="686"/>
        <w:ind w:firstLine="480"/>
        <w:jc w:val="both"/>
        <w:spacing w:beforeAutospacing="0" w:afterAutospacing="0" w:line="480" w:lineRule="exact"/>
        <w:rPr>
          <w:rFonts w:ascii="宋体" w:hAnsi="宋体" w:cs="宋体"/>
          <w:color w:val="000000"/>
          <w:highlight w:val="none"/>
        </w:rPr>
      </w:pPr>
      <w:r>
        <w:rPr>
          <w:rFonts w:hint="eastAsia" w:ascii="宋体" w:hAnsi="宋体" w:cs="宋体"/>
          <w:color w:val="000000"/>
          <w:highlight w:val="none"/>
        </w:rPr>
        <w:t xml:space="preserve">34.3 </w:t>
      </w:r>
      <w:r>
        <w:rPr>
          <w:rFonts w:hint="eastAsia" w:ascii="宋体" w:hAnsi="宋体" w:cs="宋体"/>
          <w:b w:val="0"/>
          <w:bCs w:val="0"/>
          <w:color w:val="auto"/>
          <w:highlight w:val="none"/>
        </w:rPr>
        <w:t xml:space="preserve">本项目落实预付款制度，预付款比例为</w:t>
      </w:r>
      <w:r>
        <w:rPr>
          <w:rFonts w:hint="eastAsia" w:ascii="宋体" w:hAnsi="宋体" w:cs="宋体"/>
          <w:b w:val="0"/>
          <w:bCs w:val="0"/>
          <w:color w:val="auto"/>
          <w:highlight w:val="none"/>
          <w:u w:val="single"/>
          <w:lang w:val="en-US" w:eastAsia="zh-CN"/>
        </w:rPr>
        <w:t xml:space="preserve"> </w:t>
      </w:r>
      <w:r>
        <w:rPr>
          <w:rFonts w:hint="eastAsia" w:ascii="宋体" w:hAnsi="宋体" w:cs="宋体"/>
          <w:b w:val="0"/>
          <w:bCs w:val="0"/>
          <w:color w:val="auto"/>
          <w:highlight w:val="none"/>
          <w:u w:val="single"/>
        </w:rPr>
        <w:t xml:space="preserve">30</w:t>
      </w:r>
      <w:r>
        <w:rPr>
          <w:rFonts w:hint="eastAsia" w:ascii="宋体" w:hAnsi="宋体" w:cs="宋体"/>
          <w:b w:val="0"/>
          <w:bCs w:val="0"/>
          <w:color w:val="auto"/>
          <w:highlight w:val="none"/>
          <w:u w:val="single"/>
          <w:lang w:val="en-US" w:eastAsia="zh-CN"/>
        </w:rPr>
        <w:t xml:space="preserve"> </w:t>
      </w:r>
      <w:r>
        <w:rPr>
          <w:rFonts w:hint="eastAsia" w:ascii="宋体" w:hAnsi="宋体" w:cs="宋体"/>
          <w:b w:val="0"/>
          <w:bCs w:val="0"/>
          <w:color w:val="auto"/>
          <w:highlight w:val="none"/>
        </w:rPr>
        <w:t xml:space="preserve">%。</w:t>
      </w:r>
      <w:r>
        <w:rPr>
          <w:rFonts w:hint="eastAsia" w:ascii="宋体" w:hAnsi="宋体" w:cs="宋体"/>
          <w:color w:val="000000"/>
          <w:highlight w:val="none"/>
        </w:rPr>
        <w:t xml:space="preserve">在签订合同时，中标、成交供应商明确书面表示无需预付款或者主动要求降低预付款比例的，采购人可就预付款比例作相应调整。</w:t>
      </w:r>
      <w:r/>
    </w:p>
    <w:p>
      <w:pPr>
        <w:pStyle w:val="686"/>
        <w:ind w:firstLine="480"/>
        <w:jc w:val="both"/>
        <w:spacing w:beforeAutospacing="0" w:afterAutospacing="0" w:line="480" w:lineRule="exact"/>
        <w:rPr>
          <w:rFonts w:ascii="宋体" w:hAnsi="宋体" w:cs="宋体"/>
          <w:color w:val="000000"/>
          <w:highlight w:val="none"/>
        </w:rPr>
      </w:pPr>
      <w:r>
        <w:rPr>
          <w:rFonts w:hint="eastAsia" w:ascii="宋体" w:hAnsi="宋体" w:cs="宋体"/>
          <w:color w:val="000000"/>
          <w:highlight w:val="none"/>
        </w:rPr>
        <w:t xml:space="preserve">34.4 确需收取履约保证金的，履约保证金的缴纳形式：</w:t>
      </w:r>
      <w:r/>
    </w:p>
    <w:p>
      <w:pPr>
        <w:pStyle w:val="686"/>
        <w:ind w:firstLine="480"/>
        <w:jc w:val="both"/>
        <w:spacing w:beforeAutospacing="0" w:afterAutospacing="0" w:line="480" w:lineRule="exact"/>
        <w:rPr>
          <w:rFonts w:ascii="宋体" w:hAnsi="宋体" w:cs="宋体"/>
          <w:color w:val="000000"/>
          <w:highlight w:val="none"/>
        </w:rPr>
      </w:pPr>
      <w:r>
        <w:rPr>
          <w:rFonts w:hint="eastAsia" w:ascii="宋体" w:hAnsi="宋体" w:cs="宋体"/>
          <w:color w:val="00000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6"/>
        <w:ind w:firstLine="480"/>
        <w:jc w:val="both"/>
        <w:spacing w:beforeAutospacing="0" w:afterAutospacing="0" w:line="480" w:lineRule="exact"/>
        <w:rPr>
          <w:rFonts w:ascii="宋体" w:hAnsi="宋体" w:cs="宋体"/>
          <w:color w:val="000000"/>
          <w:highlight w:val="none"/>
        </w:rPr>
      </w:pPr>
      <w:r>
        <w:rPr>
          <w:rFonts w:hint="eastAsia" w:ascii="宋体" w:hAnsi="宋体" w:cs="宋体"/>
          <w:color w:val="000000"/>
          <w:highlight w:val="none"/>
        </w:rPr>
        <w:t xml:space="preserve"> 如以履约保函（保险）形式缴纳履约保证金，供应商可通过政府采购电子履约保函（保险）平台（www.jsdzbh.com）在线申请履约保函（保险）。</w:t>
      </w:r>
      <w:r/>
    </w:p>
    <w:p>
      <w:pPr>
        <w:pStyle w:val="686"/>
        <w:ind w:firstLine="20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cs="宋体"/>
          <w:color w:val="000000"/>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ind w:firstLine="374"/>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86"/>
        <w:jc w:val="left"/>
        <w:pageBreakBefore w:val="0"/>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spacing w:line="460" w:lineRule="exact"/>
        <w:rPr>
          <w:rFonts w:hint="eastAsia" w:ascii="黑体" w:eastAsia="黑体"/>
          <w:bCs/>
          <w:sz w:val="44"/>
          <w:highlight w:val="none"/>
        </w:rPr>
      </w:pPr>
      <w:r/>
      <w:bookmarkStart w:id="162" w:name="_Hlt16619369"/>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黑体" w:eastAsia="黑体"/>
          <w:bCs/>
          <w:sz w:val="44"/>
          <w:highlight w:val="none"/>
        </w:rPr>
      </w:pPr>
      <w:r>
        <w:rPr>
          <w:rFonts w:hint="eastAsia" w:ascii="黑体" w:eastAsia="黑体"/>
          <w:bCs/>
          <w:sz w:val="44"/>
          <w:highlight w:val="none"/>
        </w:rPr>
      </w:r>
      <w:r/>
    </w:p>
    <w:p>
      <w:pPr>
        <w:jc w:val="center"/>
        <w:spacing w:line="460" w:lineRule="exact"/>
        <w:rPr>
          <w:rFonts w:hint="eastAsia" w:ascii="宋体" w:hAnsi="宋体" w:cs="宋体"/>
          <w:sz w:val="24"/>
          <w:szCs w:val="24"/>
          <w:highlight w:val="none"/>
          <w:lang w:val="zh-CN"/>
        </w:rPr>
      </w:pPr>
      <w:r>
        <w:rPr>
          <w:rFonts w:hint="eastAsia" w:ascii="黑体" w:eastAsia="黑体"/>
          <w:bCs/>
          <w:sz w:val="44"/>
          <w:highlight w:val="none"/>
        </w:rPr>
        <w:t xml:space="preserve">第三章 合同条款及格式</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440" w:lineRule="exact"/>
        <w:rPr>
          <w:rFonts w:ascii="宋体" w:hAnsi="宋体"/>
          <w:b/>
          <w:sz w:val="24"/>
          <w:szCs w:val="24"/>
          <w:highlight w:val="none"/>
        </w:rPr>
        <w:outlineLvl w:val="0"/>
      </w:pPr>
      <w:r>
        <w:rPr>
          <w:rFonts w:hint="eastAsia" w:ascii="宋体" w:hAnsi="宋体"/>
          <w:b/>
          <w:sz w:val="24"/>
          <w:szCs w:val="24"/>
          <w:highlight w:val="none"/>
        </w:rPr>
        <w:t xml:space="preserve">政府采购合同（合同编号）</w:t>
      </w:r>
      <w:r/>
    </w:p>
    <w:p>
      <w:pPr>
        <w:ind w:firstLine="240"/>
        <w:spacing w:after="120" w:line="440" w:lineRule="exact"/>
        <w:rPr>
          <w:rFonts w:hint="eastAsia" w:ascii="宋体" w:hAnsi="宋体"/>
          <w:sz w:val="24"/>
          <w:szCs w:val="24"/>
          <w:highlight w:val="none"/>
        </w:rPr>
      </w:pPr>
      <w:r>
        <w:rPr>
          <w:rFonts w:hint="eastAsia" w:ascii="宋体" w:hAnsi="宋体"/>
          <w:sz w:val="24"/>
          <w:szCs w:val="24"/>
          <w:highlight w:val="none"/>
        </w:rPr>
        <w:t xml:space="preserve">项目名称：</w:t>
      </w:r>
      <w:r/>
    </w:p>
    <w:p>
      <w:pPr>
        <w:ind w:firstLine="240"/>
        <w:spacing w:after="120" w:line="440" w:lineRule="exact"/>
        <w:rPr>
          <w:rFonts w:hint="eastAsia" w:ascii="宋体" w:hAnsi="宋体"/>
          <w:sz w:val="24"/>
          <w:szCs w:val="24"/>
          <w:highlight w:val="none"/>
        </w:rPr>
      </w:pPr>
      <w:r>
        <w:rPr>
          <w:rFonts w:hint="eastAsia" w:ascii="宋体" w:hAnsi="宋体"/>
          <w:sz w:val="24"/>
          <w:szCs w:val="24"/>
          <w:highlight w:val="none"/>
        </w:rPr>
        <w:t xml:space="preserve">项目编号：</w:t>
      </w:r>
      <w:r/>
    </w:p>
    <w:p>
      <w:pPr>
        <w:ind w:firstLine="480"/>
        <w:spacing w:line="440" w:lineRule="exact"/>
        <w:rPr>
          <w:rFonts w:ascii="宋体" w:hAnsi="宋体"/>
          <w:sz w:val="24"/>
          <w:szCs w:val="24"/>
          <w:highlight w:val="none"/>
        </w:rPr>
      </w:pPr>
      <w:r>
        <w:rPr>
          <w:rFonts w:ascii="宋体" w:hAnsi="宋体"/>
          <w:sz w:val="24"/>
          <w:szCs w:val="24"/>
          <w:highlight w:val="none"/>
        </w:rPr>
        <w:t xml:space="preserve">甲方（买方）：_________</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乙方（卖方）：_________</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甲、乙双方根据《中华人民共和国政府采购法》、《中华人民共和国民法典》等有关法律、法规的规定，甲方通过公开招标方式选聘乙方为</w:t>
      </w:r>
      <w:r>
        <w:rPr>
          <w:rFonts w:hint="eastAsia" w:ascii="宋体" w:hAnsi="宋体" w:eastAsia="宋体"/>
          <w:sz w:val="24"/>
          <w:szCs w:val="24"/>
          <w:highlight w:val="none"/>
          <w:u w:val="single"/>
          <w:lang w:eastAsia="zh-CN"/>
        </w:rPr>
        <w:t xml:space="preserve">亭湖区智慧托育应用管理平台建设项目</w:t>
      </w:r>
      <w:r>
        <w:rPr>
          <w:rFonts w:hint="eastAsia" w:ascii="宋体" w:hAnsi="宋体"/>
          <w:sz w:val="24"/>
          <w:szCs w:val="24"/>
          <w:highlight w:val="none"/>
        </w:rPr>
        <w:t xml:space="preserve">的供应商。在自愿、平等、诚实信用、协商一致的基础上，就本项目的有关事宜，订立本合同。</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一、合同内容</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1.1 标的名称：</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1.2</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标的质量：</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1.3 标的数量（规模）：</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1.4 履行时间（期限）：</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1.5 履行地点：</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1.6</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履行方式：</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二、合同金额</w:t>
      </w:r>
      <w:r/>
    </w:p>
    <w:p>
      <w:pPr>
        <w:pStyle w:val="686"/>
        <w:ind w:left="410" w:hanging="410"/>
        <w:jc w:val="left"/>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2.1本合同金额为（大写）：_______________________（_______元）人民币。</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三、技术资料</w:t>
      </w:r>
      <w:r/>
    </w:p>
    <w:p>
      <w:pPr>
        <w:pStyle w:val="686"/>
        <w:ind w:left="410" w:hanging="410"/>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3.1乙方应按招标文件规定的时间向甲方提供服务（包含与服务相关的货物）的有关技术资料。</w:t>
      </w:r>
      <w:r/>
    </w:p>
    <w:p>
      <w:pPr>
        <w:pStyle w:val="686"/>
        <w:ind w:left="410" w:hanging="410"/>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6"/>
        <w:ind w:left="412" w:hanging="412"/>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四、知识产权</w:t>
      </w:r>
      <w:r/>
    </w:p>
    <w:p>
      <w:pPr>
        <w:pStyle w:val="686"/>
        <w:ind w:left="408" w:hanging="408"/>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五、产权担保</w:t>
      </w:r>
      <w:r/>
    </w:p>
    <w:p>
      <w:pPr>
        <w:pStyle w:val="686"/>
        <w:ind w:left="408" w:hanging="408"/>
        <w:jc w:val="both"/>
        <w:keepLines w:val="0"/>
        <w:keepNext w:val="0"/>
        <w:pageBreakBefore w:val="0"/>
        <w:spacing w:beforeAutospacing="0" w:afterAutospacing="0" w:line="540" w:lineRule="exact"/>
        <w:widowControl w:val="off"/>
        <w:rPr>
          <w:color w:val="ff0000"/>
          <w:highlight w:val="none"/>
        </w:rPr>
      </w:pPr>
      <w:r>
        <w:rPr>
          <w:rFonts w:hint="eastAsia" w:ascii="宋体" w:hAnsi="宋体" w:eastAsia="宋体" w:cs="宋体"/>
          <w:color w:val="000000"/>
          <w:highlight w:val="none"/>
        </w:rPr>
        <w:t xml:space="preserve">5.1乙方保证所交付的服务（包含与服务相关的货物）的所有权完全属于乙方且无任何抵押、查封等产权瑕疵。</w:t>
      </w:r>
      <w:r>
        <w:rPr>
          <w:rFonts w:hint="eastAsia" w:ascii="宋体" w:hAnsi="宋体" w:cs="宋体"/>
          <w:color w:val="auto"/>
          <w:highlight w:val="none"/>
          <w:lang w:eastAsia="zh-CN"/>
        </w:rPr>
        <w:t xml:space="preserve">本项目</w:t>
      </w:r>
      <w:r>
        <w:rPr>
          <w:rFonts w:hint="eastAsia" w:ascii="宋体" w:hAnsi="宋体" w:eastAsia="宋体" w:cs="宋体"/>
          <w:color w:val="auto"/>
          <w:highlight w:val="none"/>
        </w:rPr>
        <w:t xml:space="preserve">所有数据资产为</w:t>
      </w:r>
      <w:r>
        <w:rPr>
          <w:rFonts w:hint="eastAsia" w:ascii="宋体" w:hAnsi="宋体" w:eastAsia="宋体" w:cs="宋体"/>
          <w:color w:val="auto"/>
          <w:highlight w:val="none"/>
          <w:lang w:eastAsia="zh-CN"/>
        </w:rPr>
        <w:t xml:space="preserve">盐城市妇联实验幼儿园</w:t>
      </w:r>
      <w:r>
        <w:rPr>
          <w:rFonts w:hint="eastAsia" w:ascii="宋体" w:hAnsi="宋体" w:eastAsia="宋体" w:cs="宋体"/>
          <w:color w:val="auto"/>
          <w:highlight w:val="none"/>
        </w:rPr>
        <w:t xml:space="preserve">所有。</w:t>
      </w:r>
      <w:r/>
    </w:p>
    <w:p>
      <w:pPr>
        <w:pStyle w:val="686"/>
        <w:ind w:left="410" w:hanging="410"/>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六、履约保证金</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6.1乙方交纳人民币_________元作为本合同的履约保证金。</w:t>
      </w:r>
      <w:r/>
    </w:p>
    <w:p>
      <w:pPr>
        <w:pStyle w:val="859"/>
        <w:jc w:val="both"/>
        <w:keepLines w:val="0"/>
        <w:keepNext w:val="0"/>
        <w:pageBreakBefore w:val="0"/>
        <w:spacing w:beforeAutospacing="0" w:afterAutospacing="0"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中标人在签订合同时交纳不超过中标额</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的履约保证金到招标人指定账户，根据合同履行情况，中标单位在履约期内无违约行为的，招标人在验收合格后15日内全额退还履约保证金，不计利息。 投标人自主选择以支票、汇票、本票、保函等非现金形式缴纳或提交。</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招标人对第三方信用服务机构依据标准规范评定为AA级及以上的政府采购供应商（需在签订采购合同前提供信用管理部门备案的第三方信用报告，且信用报告通过“信用盐城网”可查实），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color w:val="auto"/>
          <w:sz w:val="24"/>
          <w:szCs w:val="24"/>
          <w:highlight w:val="none"/>
        </w:rPr>
        <w:t xml:space="preserve">履约保证金缴纳比例</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中标额</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依据《关于在全省政府采购领域推行电子履约保函（保险）的通知》，鼓励供应商自愿使用履约保函（保险）代替缴纳履约保证金。</w:t>
      </w:r>
      <w:r>
        <w:rPr>
          <w:rFonts w:hint="eastAsia" w:ascii="宋体" w:hAnsi="宋体"/>
          <w:sz w:val="24"/>
          <w:highlight w:val="none"/>
        </w:rPr>
        <w:t xml:space="preserve">可以通过政府采购电子履约保函（保险）平台（www.jsdzbh.com）在线申请履约保函（保险）。</w:t>
      </w:r>
      <w:r/>
    </w:p>
    <w:p>
      <w:pPr>
        <w:pStyle w:val="686"/>
        <w:ind w:left="408" w:hanging="408"/>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6.2合同履行结束后，甲方应及时退还交纳的履约保证金。</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6.3履约保证金的退还：</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6.3.1方式：无息退还至投标人缴纳履约保证金的账户。如为保函，在到期时自行失效。</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6.3.2时间：验收合格且采购人收到发票后</w:t>
      </w:r>
      <w:r>
        <w:rPr>
          <w:rFonts w:hint="eastAsia" w:ascii="宋体" w:hAnsi="宋体" w:cs="宋体"/>
          <w:color w:val="000000"/>
          <w:sz w:val="24"/>
          <w:szCs w:val="22"/>
          <w:highlight w:val="none"/>
          <w:lang w:val="en-US" w:eastAsia="zh-CN" w:bidi="ar-SA"/>
        </w:rPr>
        <w:t xml:space="preserve">15</w:t>
      </w:r>
      <w:r>
        <w:rPr>
          <w:rFonts w:hint="eastAsia" w:ascii="宋体" w:hAnsi="宋体" w:eastAsia="宋体" w:cs="宋体"/>
          <w:color w:val="000000"/>
          <w:sz w:val="24"/>
          <w:szCs w:val="22"/>
          <w:highlight w:val="none"/>
          <w:lang w:val="en-US" w:eastAsia="zh-CN" w:bidi="ar-SA"/>
        </w:rPr>
        <w:t xml:space="preserve">日内。</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6.3.3条件：按合同要求全部履约完成并经采购人验收合格，且采购人收到中标人出具的发票。</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6.3.4不予退还情形：</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除不可抗力情况外，投标人出现下列情形之一的，其履约保证金，招标人将视情节决定不予退还或部分不予退还。</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（1）中标人无正当理由拒绝签订合同的，或者在签订合同时向采购人提出附加条件或者更改合同实质性内容要求的；</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（2）中标人不履行与采购人订立的合同的；</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（3）中标人所供货物或服务不符合招标文件规定要求的；</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（4）中标人采取欺骗、弄虚作假方式投标的或与其它投标人串通投标的；</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（5）中标人将合同内容转包、违法分包的；</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（6）中标人故意捏造事实或伪造证明材料，进行虚假恶意投诉或反映的。</w:t>
      </w:r>
      <w:r/>
    </w:p>
    <w:p>
      <w:pPr>
        <w:keepLines w:val="0"/>
        <w:keepNext w:val="0"/>
        <w:pageBreakBefore w:val="0"/>
        <w:spacing w:line="54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七、合同转包或分包</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7.1乙方不得将合同标的转包给他人履行。</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7.2乙方不得将合同标的分包给他人履行。</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7.3乙方如有转包或未经甲方同意的分包行为，甲方有权解除合同。</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八、合同款项支付</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8.1合同款项的支付方式及进度安排</w:t>
      </w:r>
      <w:r/>
    </w:p>
    <w:p>
      <w:pPr>
        <w:pStyle w:val="686"/>
        <w:ind w:left="0" w:firstLine="0"/>
        <w:jc w:val="both"/>
        <w:keepLines w:val="0"/>
        <w:keepNext w:val="0"/>
        <w:pageBreakBefore w:val="0"/>
        <w:spacing w:beforeAutospacing="0" w:afterAutospacing="0" w:line="540" w:lineRule="exact"/>
        <w:widowControl w:val="off"/>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rPr>
        <w:t xml:space="preserve">8.1.1 </w:t>
      </w:r>
      <w:r>
        <w:rPr>
          <w:rFonts w:hint="eastAsia" w:ascii="宋体" w:hAnsi="宋体" w:eastAsia="宋体" w:cs="宋体"/>
          <w:color w:val="auto"/>
          <w:highlight w:val="none"/>
          <w:u w:val="none"/>
          <w:lang w:val="en-US" w:eastAsia="zh-CN"/>
        </w:rPr>
        <w:t xml:space="preserve">合同签订后30日内支付合同价的30%作为预付款，（如乙方不需要预付款按乙方要求执行、乙方提供书面材料）；</w:t>
      </w:r>
      <w:r/>
    </w:p>
    <w:p>
      <w:pPr>
        <w:pStyle w:val="686"/>
        <w:ind w:left="0" w:firstLine="0"/>
        <w:jc w:val="both"/>
        <w:keepLines w:val="0"/>
        <w:keepNext w:val="0"/>
        <w:pageBreakBefore w:val="0"/>
        <w:spacing w:beforeAutospacing="0" w:afterAutospacing="0" w:line="540" w:lineRule="exact"/>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8.1.2 </w:t>
      </w:r>
      <w:r>
        <w:rPr>
          <w:rFonts w:hint="eastAsia" w:ascii="宋体" w:hAnsi="宋体" w:eastAsia="宋体" w:cs="宋体"/>
          <w:color w:val="auto"/>
          <w:highlight w:val="none"/>
          <w:u w:val="none"/>
          <w:lang w:val="en-US" w:eastAsia="zh-CN"/>
        </w:rPr>
        <w:t xml:space="preserve">项目验收合格正式运行后付至合同价的</w:t>
      </w:r>
      <w:r>
        <w:rPr>
          <w:rFonts w:hint="eastAsia" w:ascii="宋体" w:hAnsi="宋体" w:cs="宋体"/>
          <w:color w:val="auto"/>
          <w:highlight w:val="none"/>
          <w:u w:val="none"/>
          <w:lang w:val="en-US" w:eastAsia="zh-CN"/>
        </w:rPr>
        <w:t xml:space="preserve">6</w:t>
      </w:r>
      <w:r>
        <w:rPr>
          <w:rFonts w:hint="eastAsia" w:ascii="宋体" w:hAnsi="宋体" w:eastAsia="宋体" w:cs="宋体"/>
          <w:color w:val="auto"/>
          <w:highlight w:val="none"/>
          <w:u w:val="none"/>
          <w:lang w:val="en-US" w:eastAsia="zh-CN"/>
        </w:rPr>
        <w:t xml:space="preserve">0%（含预付款）；</w:t>
      </w:r>
      <w:r/>
    </w:p>
    <w:p>
      <w:pPr>
        <w:pStyle w:val="686"/>
        <w:ind w:left="0" w:firstLine="0"/>
        <w:jc w:val="both"/>
        <w:keepLines w:val="0"/>
        <w:keepNext w:val="0"/>
        <w:pageBreakBefore w:val="0"/>
        <w:spacing w:beforeAutospacing="0" w:afterAutospacing="0" w:line="540" w:lineRule="exact"/>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8.1.3项目正式运行起一年后</w:t>
      </w:r>
      <w:r>
        <w:rPr>
          <w:rFonts w:hint="eastAsia" w:ascii="宋体" w:hAnsi="宋体" w:cs="宋体"/>
          <w:color w:val="auto"/>
          <w:highlight w:val="none"/>
          <w:u w:val="none"/>
          <w:lang w:val="en-US" w:eastAsia="zh-CN"/>
        </w:rPr>
        <w:t xml:space="preserve">付至</w:t>
      </w:r>
      <w:r>
        <w:rPr>
          <w:rFonts w:hint="eastAsia" w:ascii="宋体" w:hAnsi="宋体" w:eastAsia="宋体" w:cs="宋体"/>
          <w:color w:val="auto"/>
          <w:highlight w:val="none"/>
          <w:u w:val="none"/>
          <w:lang w:val="en-US" w:eastAsia="zh-CN"/>
        </w:rPr>
        <w:t xml:space="preserve">合同价90%；</w:t>
      </w:r>
      <w:r/>
    </w:p>
    <w:p>
      <w:pPr>
        <w:pStyle w:val="686"/>
        <w:ind w:left="0" w:firstLine="0"/>
        <w:jc w:val="both"/>
        <w:keepLines w:val="0"/>
        <w:keepNext w:val="0"/>
        <w:pageBreakBefore w:val="0"/>
        <w:spacing w:beforeAutospacing="0" w:afterAutospacing="0" w:line="540" w:lineRule="exact"/>
        <w:widowControl w:val="off"/>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8.1.4项目正式运行起二年后付清合同价。</w:t>
      </w:r>
      <w:r/>
    </w:p>
    <w:p>
      <w:pPr>
        <w:pStyle w:val="686"/>
        <w:ind w:left="0" w:firstLine="0"/>
        <w:jc w:val="both"/>
        <w:keepLines w:val="0"/>
        <w:keepNext w:val="0"/>
        <w:pageBreakBefore w:val="0"/>
        <w:spacing w:beforeAutospacing="0" w:afterAutospacing="0" w:line="540" w:lineRule="exact"/>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8.1.4付款均无息，结算时，乙方需提供税务发票。</w:t>
      </w:r>
      <w:r/>
    </w:p>
    <w:p>
      <w:pPr>
        <w:pStyle w:val="686"/>
        <w:ind w:left="0" w:firstLine="0"/>
        <w:jc w:val="both"/>
        <w:keepLines w:val="0"/>
        <w:keepNext w:val="0"/>
        <w:pageBreakBefore w:val="0"/>
        <w:spacing w:beforeAutospacing="0" w:afterAutospacing="0" w:line="540" w:lineRule="exact"/>
        <w:widowControl w:val="off"/>
        <w:rPr>
          <w:rFonts w:hint="eastAsia" w:ascii="宋体" w:hAnsi="宋体" w:eastAsia="宋体" w:cs="宋体"/>
          <w:b/>
          <w:bCs/>
          <w:color w:val="auto"/>
          <w:highlight w:val="none"/>
          <w:u w:val="none"/>
          <w:lang w:val="en-US" w:eastAsia="zh-CN"/>
        </w:rPr>
      </w:pPr>
      <w:r>
        <w:rPr>
          <w:rFonts w:hint="eastAsia" w:ascii="宋体" w:hAnsi="宋体" w:eastAsia="宋体" w:cs="宋体"/>
          <w:b/>
          <w:bCs/>
          <w:color w:val="auto"/>
          <w:highlight w:val="none"/>
          <w:u w:val="none"/>
          <w:lang w:val="en-US" w:eastAsia="zh-CN"/>
        </w:rPr>
        <w:t xml:space="preserve">注：（1）项目验收合格正式运行起，免费维保年限根据投标人提交的承诺书年限确定。</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九、税费</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9.1本合同执行中相关的一切税费均由乙方负担。</w:t>
      </w:r>
      <w:r/>
    </w:p>
    <w:p>
      <w:pPr>
        <w:pStyle w:val="686"/>
        <w:jc w:val="both"/>
        <w:keepLines w:val="0"/>
        <w:keepNext w:val="0"/>
        <w:pageBreakBefore w:val="0"/>
        <w:spacing w:beforeAutospacing="0" w:afterAutospacing="0" w:line="5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十、安全责任</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项目服务期间，乙方的所有的工作人员的人身安全以及乙方在服务期间产生的各类安全责任事故均由乙方自行承担。</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十一、违约责任</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1.甲方无正当理由拒收货物与服务的，甲方向乙方偿付拒收货款总值的百分之五违约金；</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2.甲方无故逾期验收和办理货款支付手续的,甲方应按逾期付款总额每日万分之五向乙方支付违约金；</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甲方从待付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乙方所交的货物或服务不符合合同规定及招标文件规定标准的，甲方有权拒收该货物或服务，乙方愿意更换货物或服务，但逾期交付的，按乙方逾期交付处理。乙方拒绝更换交付或提供服务的，甲方有权拒绝支付价款，并可单方面解除合同；</w:t>
      </w:r>
      <w:r/>
    </w:p>
    <w:p>
      <w:pPr>
        <w:pStyle w:val="686"/>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5.乙方未完成招标文件要求，在合同价中按比例予以扣除。</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十二、不可抗力事件处理</w:t>
      </w:r>
      <w:r/>
    </w:p>
    <w:p>
      <w:pPr>
        <w:pStyle w:val="686"/>
        <w:ind w:left="480" w:hanging="480"/>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12.1在合同有效期内，任何一方因不可抗力事件导致不能履行合同，则合同履行期可延长，其延长期与不可抗力影响 期相同。</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12.2不可抗力事件发生后，应立即通知对方，并寄送有关权威机构出具的证明。</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12.3不可抗力事件延续120天以上，双方应通过友好协商，确定是否继续履行合同。</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十三、解决争议的方法</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13.1双方在签订、履行合同中所发生的一切争议，应通过友好协商解决。如协商不成，由甲方住所地人民法院管辖。</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b/>
          <w:color w:val="000000"/>
          <w:highlight w:val="none"/>
        </w:rPr>
        <w:t xml:space="preserve">十四、合同生效及其它</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14.1合同经双方法定代表人或授权委托代表人签字并加盖单位公章后生效。</w:t>
      </w:r>
      <w:r/>
    </w:p>
    <w:p>
      <w:pPr>
        <w:pStyle w:val="686"/>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14.2本合同未尽事宜，遵照《民法典》、《政府采购法》有关条文执行。</w:t>
      </w:r>
      <w:r/>
    </w:p>
    <w:p>
      <w:pPr>
        <w:pStyle w:val="686"/>
        <w:ind w:left="480" w:hanging="480"/>
        <w:jc w:val="both"/>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14.3 本合同正本一式</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份，具有同等法律效力，甲方、乙方各执</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份。</w:t>
      </w:r>
      <w:r/>
    </w:p>
    <w:p>
      <w:pPr>
        <w:ind w:firstLine="480"/>
        <w:spacing w:line="440" w:lineRule="exact"/>
        <w:rPr>
          <w:rFonts w:ascii="宋体" w:hAnsi="宋体" w:cs="宋体"/>
          <w:sz w:val="24"/>
          <w:szCs w:val="24"/>
          <w:highlight w:val="none"/>
          <w:u w:val="single"/>
        </w:rPr>
      </w:pPr>
      <w:r>
        <w:rPr>
          <w:rFonts w:ascii="宋体" w:hAnsi="宋体" w:cs="宋体"/>
          <w:sz w:val="24"/>
          <w:szCs w:val="24"/>
          <w:highlight w:val="none"/>
          <w:u w:val="single"/>
        </w:rPr>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甲方（盖章）：                         乙方（盖章）：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单位地址：                            单位地址：</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法定代表人（签章）：                   法定代表人（签章）：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委托代理人（签字）：                   委托代理人（签字）：</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电    话：                            电    话：</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传    真：                            传    真：</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开户银行：                            开户银行：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帐    号：                            帐    号：</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邮政编码：                            邮政编码：</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签订日期：                            签订日期：</w:t>
      </w:r>
      <w:r/>
    </w:p>
    <w:p>
      <w:pPr>
        <w:pStyle w:val="652"/>
        <w:numPr>
          <w:ilvl w:val="0"/>
          <w:numId w:val="0"/>
        </w:numPr>
        <w:jc w:val="both"/>
        <w:spacing w:line="360" w:lineRule="auto"/>
        <w:rPr>
          <w:rFonts w:hint="eastAsia" w:ascii="黑体" w:hAnsi="Times New Roman" w:eastAsia="黑体"/>
          <w:bCs/>
          <w:sz w:val="44"/>
          <w:highlight w:val="none"/>
        </w:rPr>
      </w:pPr>
      <w:r>
        <w:rPr>
          <w:rFonts w:hint="eastAsia" w:ascii="黑体" w:eastAsia="黑体"/>
          <w:bCs/>
          <w:color w:val="auto"/>
          <w:sz w:val="44"/>
          <w:highlight w:val="none"/>
        </w:rPr>
        <w:br w:type="page" w:clear="all"/>
      </w:r>
      <w:bookmarkStart w:id="163" w:name="_Toc120614281"/>
      <w:r/>
      <w:r/>
    </w:p>
    <w:p>
      <w:pPr>
        <w:rPr>
          <w:highlight w:val="none"/>
        </w:rPr>
        <w:sectPr>
          <w:footerReference w:type="default" r:id="rId9"/>
          <w:footnotePr/>
          <w:endnotePr/>
          <w:type w:val="nextPage"/>
          <w:pgSz w:w="11905" w:h="16838" w:orient="portrait"/>
          <w:pgMar w:top="1440" w:right="1803" w:bottom="1440" w:left="1803" w:header="624" w:footer="992" w:gutter="0"/>
          <w:pgNumType w:start="1"/>
          <w:cols w:num="1" w:sep="0" w:space="0" w:equalWidth="1"/>
          <w:docGrid w:linePitch="360"/>
        </w:sectPr>
      </w:pPr>
      <w:r>
        <w:rPr>
          <w:highlight w:val="none"/>
        </w:rPr>
      </w:r>
      <w:r/>
    </w:p>
    <w:tbl>
      <w:tblPr>
        <w:tblStyle w:val="662"/>
        <w:tblpPr w:horzAnchor="page" w:tblpX="1135" w:vertAnchor="page" w:tblpY="3462" w:leftFromText="180" w:topFromText="0" w:rightFromText="180" w:bottomFromText="0"/>
        <w:tblW w:w="137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7"/>
        <w:gridCol w:w="1014"/>
        <w:gridCol w:w="1003"/>
        <w:gridCol w:w="2416"/>
        <w:gridCol w:w="2367"/>
        <w:gridCol w:w="4654"/>
        <w:gridCol w:w="1456"/>
      </w:tblGrid>
      <w:tr>
        <w:trPr>
          <w:trHeight w:val="400"/>
        </w:trPr>
        <w:tc>
          <w:tcPr>
            <w:gridSpan w:val="7"/>
            <w:tcBorders>
              <w:top w:val="single" w:color="000000" w:sz="4" w:space="0"/>
              <w:left w:val="single" w:color="000000" w:sz="4" w:space="0"/>
              <w:bottom w:val="single" w:color="000000" w:sz="4" w:space="0"/>
              <w:right w:val="single" w:color="000000" w:sz="4" w:space="0"/>
            </w:tcBorders>
            <w:tcW w:w="13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亭湖区智慧托育应用管理平台建设项目汇总表</w:t>
            </w:r>
            <w:r/>
          </w:p>
        </w:tc>
      </w:tr>
      <w:tr>
        <w:trPr>
          <w:trHeight w:val="400"/>
        </w:trPr>
        <w:tc>
          <w:tcPr>
            <w:gridSpan w:val="7"/>
            <w:tcBorders>
              <w:top w:val="single" w:color="000000" w:sz="4" w:space="0"/>
              <w:left w:val="single" w:color="000000" w:sz="4" w:space="0"/>
              <w:bottom w:val="single" w:color="000000" w:sz="4" w:space="0"/>
              <w:right w:val="single" w:color="000000" w:sz="4" w:space="0"/>
            </w:tcBorders>
            <w:tcW w:w="1379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项目名称：亭湖区智慧托育应用管理平台建设项目  </w:t>
            </w:r>
            <w:r/>
          </w:p>
        </w:tc>
      </w:tr>
      <w:tr>
        <w:trPr>
          <w:trHeight w:val="40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系统名称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分项序号</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系统名称</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子系统</w:t>
            </w:r>
            <w:r/>
          </w:p>
        </w:tc>
        <w:tc>
          <w:tcPr>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功能描述</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2961"/>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智慧托育应用管理平台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none" w:color="000000" w:sz="4" w:space="0"/>
              <w:left w:val="none" w:color="000000" w:sz="4" w:space="0"/>
              <w:bottom w:val="none" w:color="000000" w:sz="4" w:space="0"/>
              <w:right w:val="none" w:color="000000" w:sz="4" w:space="0"/>
            </w:tcBorders>
            <w:tcW w:w="241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fldChar w:fldCharType="begin"/>
            </w:r>
            <w:r>
              <w:rPr>
                <w:rFonts w:hint="eastAsia" w:ascii="宋体" w:hAnsi="宋体" w:eastAsia="宋体" w:cs="宋体"/>
                <w:i w:val="0"/>
                <w:iCs w:val="0"/>
                <w:color w:val="auto"/>
                <w:sz w:val="22"/>
                <w:szCs w:val="22"/>
                <w:highlight w:val="none"/>
                <w:u w:val="none"/>
                <w:lang w:val="en-US" w:eastAsia="zh-CN" w:bidi="ar"/>
              </w:rPr>
              <w:instrText xml:space="preserve"> HYPERLINK "" \l "'1.智慧托育应用管理平台'!A1" </w:instrText>
            </w:r>
            <w:r>
              <w:rPr>
                <w:rFonts w:hint="eastAsia" w:ascii="宋体" w:hAnsi="宋体" w:eastAsia="宋体" w:cs="宋体"/>
                <w:i w:val="0"/>
                <w:iCs w:val="0"/>
                <w:color w:val="auto"/>
                <w:sz w:val="22"/>
                <w:szCs w:val="22"/>
                <w:highlight w:val="none"/>
                <w:u w:val="none"/>
                <w:lang w:val="en-US" w:eastAsia="zh-CN" w:bidi="ar"/>
              </w:rPr>
              <w:fldChar w:fldCharType="separate"/>
            </w:r>
            <w:r>
              <w:rPr>
                <w:rStyle w:val="692"/>
                <w:rFonts w:hint="eastAsia" w:ascii="宋体" w:hAnsi="宋体" w:eastAsia="宋体" w:cs="宋体"/>
                <w:i w:val="0"/>
                <w:iCs w:val="0"/>
                <w:color w:val="auto"/>
                <w:sz w:val="22"/>
                <w:szCs w:val="22"/>
                <w:highlight w:val="none"/>
                <w:u w:val="none"/>
              </w:rPr>
              <w:t xml:space="preserve">智慧托育应用管理平台</w:t>
            </w:r>
            <w:r>
              <w:rPr>
                <w:rFonts w:hint="eastAsia" w:ascii="宋体" w:hAnsi="宋体" w:eastAsia="宋体" w:cs="宋体"/>
                <w:i w:val="0"/>
                <w:iCs w:val="0"/>
                <w:color w:val="auto"/>
                <w:sz w:val="22"/>
                <w:szCs w:val="22"/>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1.1智慧托育应用管理平台</w:t>
            </w:r>
            <w:r/>
          </w:p>
        </w:tc>
        <w:tc>
          <w:tcPr>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数据资源分布式管理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应用支撑平台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系统综合管理平台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数据驾驶舱软件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智慧托育督导管理平台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智慧托育运营管理平台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家园共育管理平台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资源信息云平台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智慧托育人才管理系统（人才培养）</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前端展现系统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lang w:eastAsia="zh-CN"/>
              </w:rPr>
            </w:pPr>
            <w:r>
              <w:rPr>
                <w:rFonts w:hint="eastAsia" w:ascii="宋体" w:hAnsi="宋体" w:eastAsia="宋体" w:cs="宋体"/>
                <w:b/>
                <w:bCs/>
                <w:i w:val="0"/>
                <w:iCs w:val="0"/>
                <w:color w:val="auto"/>
                <w:sz w:val="22"/>
                <w:szCs w:val="22"/>
                <w:highlight w:val="none"/>
                <w:u w:val="none"/>
                <w:lang w:eastAsia="zh-CN"/>
              </w:rPr>
            </w:r>
            <w:r/>
          </w:p>
        </w:tc>
      </w:tr>
      <w:tr>
        <w:trPr>
          <w:trHeight w:val="48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智能化辅助设备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fldChar w:fldCharType="begin"/>
            </w:r>
            <w:r>
              <w:rPr>
                <w:rFonts w:hint="eastAsia" w:ascii="宋体" w:hAnsi="宋体" w:eastAsia="宋体" w:cs="宋体"/>
                <w:i w:val="0"/>
                <w:iCs w:val="0"/>
                <w:color w:val="auto"/>
                <w:sz w:val="22"/>
                <w:szCs w:val="22"/>
                <w:highlight w:val="none"/>
                <w:u w:val="none"/>
                <w:lang w:val="en-US" w:eastAsia="zh-CN" w:bidi="ar"/>
              </w:rPr>
              <w:instrText xml:space="preserve"> HYPERLINK "" \l "'2.智能化辅助设备'!A1" </w:instrText>
            </w:r>
            <w:r>
              <w:rPr>
                <w:rFonts w:hint="eastAsia" w:ascii="宋体" w:hAnsi="宋体" w:eastAsia="宋体" w:cs="宋体"/>
                <w:i w:val="0"/>
                <w:iCs w:val="0"/>
                <w:color w:val="auto"/>
                <w:sz w:val="22"/>
                <w:szCs w:val="22"/>
                <w:highlight w:val="none"/>
                <w:u w:val="none"/>
                <w:lang w:val="en-US" w:eastAsia="zh-CN" w:bidi="ar"/>
              </w:rPr>
              <w:fldChar w:fldCharType="separate"/>
            </w:r>
            <w:r>
              <w:rPr>
                <w:rStyle w:val="692"/>
                <w:rFonts w:hint="eastAsia" w:ascii="宋体" w:hAnsi="宋体" w:eastAsia="宋体" w:cs="宋体"/>
                <w:i w:val="0"/>
                <w:iCs w:val="0"/>
                <w:color w:val="auto"/>
                <w:sz w:val="22"/>
                <w:szCs w:val="22"/>
                <w:highlight w:val="none"/>
                <w:u w:val="none"/>
              </w:rPr>
              <w:t xml:space="preserve">智能化辅助设备</w:t>
            </w:r>
            <w:r>
              <w:rPr>
                <w:rFonts w:hint="eastAsia" w:ascii="宋体" w:hAnsi="宋体" w:eastAsia="宋体" w:cs="宋体"/>
                <w:i w:val="0"/>
                <w:iCs w:val="0"/>
                <w:color w:val="auto"/>
                <w:sz w:val="22"/>
                <w:szCs w:val="22"/>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2.1基础设备</w:t>
            </w:r>
            <w:r/>
          </w:p>
        </w:tc>
        <w:tc>
          <w:tcPr>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示范基地智能化基础设备。</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5个园所</w:t>
            </w:r>
            <w:r/>
          </w:p>
        </w:tc>
      </w:tr>
      <w:tr>
        <w:trPr>
          <w:trHeight w:val="69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托育展厅数据展示系统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fldChar w:fldCharType="begin"/>
            </w:r>
            <w:r>
              <w:rPr>
                <w:rFonts w:hint="eastAsia" w:ascii="宋体" w:hAnsi="宋体" w:eastAsia="宋体" w:cs="宋体"/>
                <w:i w:val="0"/>
                <w:iCs w:val="0"/>
                <w:color w:val="auto"/>
                <w:sz w:val="22"/>
                <w:szCs w:val="22"/>
                <w:highlight w:val="none"/>
                <w:u w:val="none"/>
                <w:lang w:val="en-US" w:eastAsia="zh-CN" w:bidi="ar"/>
              </w:rPr>
              <w:instrText xml:space="preserve"> HYPERLINK "" \l "'3.托育展厅数据展示'!A1" </w:instrText>
            </w:r>
            <w:r>
              <w:rPr>
                <w:rFonts w:hint="eastAsia" w:ascii="宋体" w:hAnsi="宋体" w:eastAsia="宋体" w:cs="宋体"/>
                <w:i w:val="0"/>
                <w:iCs w:val="0"/>
                <w:color w:val="auto"/>
                <w:sz w:val="22"/>
                <w:szCs w:val="22"/>
                <w:highlight w:val="none"/>
                <w:u w:val="none"/>
                <w:lang w:val="en-US" w:eastAsia="zh-CN" w:bidi="ar"/>
              </w:rPr>
              <w:fldChar w:fldCharType="separate"/>
            </w:r>
            <w:r>
              <w:rPr>
                <w:rStyle w:val="692"/>
                <w:rFonts w:hint="eastAsia" w:ascii="宋体" w:hAnsi="宋体" w:eastAsia="宋体" w:cs="宋体"/>
                <w:i w:val="0"/>
                <w:iCs w:val="0"/>
                <w:color w:val="auto"/>
                <w:sz w:val="22"/>
                <w:szCs w:val="22"/>
                <w:highlight w:val="none"/>
                <w:u w:val="none"/>
              </w:rPr>
              <w:t xml:space="preserve">托育展厅数据展示系统</w:t>
            </w:r>
            <w:r>
              <w:rPr>
                <w:rFonts w:hint="eastAsia" w:ascii="宋体" w:hAnsi="宋体" w:eastAsia="宋体" w:cs="宋体"/>
                <w:i w:val="0"/>
                <w:iCs w:val="0"/>
                <w:color w:val="auto"/>
                <w:sz w:val="22"/>
                <w:szCs w:val="22"/>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3.1托育展厅数据展示系统</w:t>
            </w:r>
            <w:r/>
          </w:p>
        </w:tc>
        <w:tc>
          <w:tcPr>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托育展厅数据展示屏</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1006"/>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实训室</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实训室</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4.1实训室基本设备</w:t>
            </w:r>
            <w:r/>
          </w:p>
        </w:tc>
        <w:tc>
          <w:tcPr>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家具</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玩具</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智能化软硬件</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托育中心</w:t>
            </w:r>
            <w:r/>
          </w:p>
        </w:tc>
      </w:tr>
    </w:tbl>
    <w:p>
      <w:pPr>
        <w:pStyle w:val="668"/>
        <w:jc w:val="center"/>
        <w:rPr>
          <w:b/>
          <w:bCs/>
          <w:sz w:val="44"/>
          <w:szCs w:val="40"/>
          <w:highlight w:val="none"/>
        </w:rPr>
        <w:sectPr>
          <w:footnotePr/>
          <w:endnotePr/>
          <w:type w:val="nextPage"/>
          <w:pgSz w:w="16838" w:h="11905" w:orient="landscape"/>
          <w:pgMar w:top="1803" w:right="1440" w:bottom="1803" w:left="1440" w:header="624" w:footer="992" w:gutter="0"/>
          <w:cols w:num="1" w:sep="0" w:space="0" w:equalWidth="1"/>
          <w:docGrid w:linePitch="360"/>
        </w:sectPr>
      </w:pPr>
      <w:r>
        <w:rPr>
          <w:rFonts w:hint="eastAsia"/>
          <w:b/>
          <w:bCs/>
          <w:sz w:val="44"/>
          <w:szCs w:val="40"/>
          <w:highlight w:val="none"/>
        </w:rPr>
        <w:t xml:space="preserve">第四章 项目需求</w:t>
      </w:r>
      <w:r/>
    </w:p>
    <w:tbl>
      <w:tblPr>
        <w:tblStyle w:val="662"/>
        <w:tblW w:w="9630" w:type="dxa"/>
        <w:tblInd w:w="-5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175"/>
        <w:gridCol w:w="6400"/>
        <w:gridCol w:w="660"/>
        <w:gridCol w:w="645"/>
      </w:tblGrid>
      <w:tr>
        <w:trPr>
          <w:trHeight w:val="400"/>
        </w:trPr>
        <w:tc>
          <w:tcPr>
            <w:gridSpan w:val="5"/>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fldChar w:fldCharType="begin"/>
            </w:r>
            <w:r>
              <w:rPr>
                <w:rFonts w:hint="eastAsia" w:ascii="宋体" w:hAnsi="宋体" w:eastAsia="宋体" w:cs="宋体"/>
                <w:b/>
                <w:bCs/>
                <w:i w:val="0"/>
                <w:iCs w:val="0"/>
                <w:color w:val="auto"/>
                <w:sz w:val="32"/>
                <w:szCs w:val="32"/>
                <w:highlight w:val="none"/>
                <w:u w:val="none"/>
                <w:lang w:val="en-US" w:eastAsia="zh-CN" w:bidi="ar"/>
              </w:rPr>
              <w:instrText xml:space="preserve"> HYPERLINK "" \l "汇总清单!A1" </w:instrText>
            </w:r>
            <w:r>
              <w:rPr>
                <w:rFonts w:hint="eastAsia" w:ascii="宋体" w:hAnsi="宋体" w:eastAsia="宋体" w:cs="宋体"/>
                <w:b/>
                <w:bCs/>
                <w:i w:val="0"/>
                <w:iCs w:val="0"/>
                <w:color w:val="auto"/>
                <w:sz w:val="32"/>
                <w:szCs w:val="32"/>
                <w:highlight w:val="none"/>
                <w:u w:val="none"/>
                <w:lang w:val="en-US" w:eastAsia="zh-CN" w:bidi="ar"/>
              </w:rPr>
              <w:fldChar w:fldCharType="separate"/>
            </w:r>
            <w:r>
              <w:rPr>
                <w:rStyle w:val="692"/>
                <w:rFonts w:hint="eastAsia" w:ascii="宋体" w:hAnsi="宋体" w:eastAsia="宋体" w:cs="宋体"/>
                <w:b/>
                <w:bCs/>
                <w:i w:val="0"/>
                <w:iCs w:val="0"/>
                <w:color w:val="auto"/>
                <w:sz w:val="32"/>
                <w:szCs w:val="32"/>
                <w:highlight w:val="none"/>
                <w:u w:val="none"/>
              </w:rPr>
              <w:t xml:space="preserve">1.智慧托育应用管理平台</w:t>
            </w:r>
            <w:r>
              <w:rPr>
                <w:rFonts w:hint="eastAsia" w:ascii="宋体" w:hAnsi="宋体" w:eastAsia="宋体" w:cs="宋体"/>
                <w:b/>
                <w:bCs/>
                <w:i w:val="0"/>
                <w:iCs w:val="0"/>
                <w:color w:val="auto"/>
                <w:sz w:val="32"/>
                <w:szCs w:val="32"/>
                <w:highlight w:val="none"/>
                <w:u w:val="none"/>
                <w:lang w:val="en-US" w:eastAsia="zh-CN" w:bidi="ar"/>
              </w:rPr>
              <w:fldChar w:fldCharType="end"/>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技术规格</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886"/>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数据资源分布式管理</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建设0-3岁婴育照护业务基础库、0-3岁婴育照护业务媒体资源库、0-3岁婴育照护业务专题库、系统配置信息库等数据库，实现数据资源分布式管理。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应用支撑平台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应用建设微服务管理系统、多源数据融合、消息服务、缓存服务、CMS内容管理子系统、日志管理、数据安全管理等相关模块，搭建应用支撑平台服务各场景各业务的数字化服务应用。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系统综合管理平台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部门管理：针对各层级监管部门及机构进行精细化管理。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角色管理：支持系统各角色的管理。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用户管理：根据部门与角色管理用户体系，包括监管人员用户、督导人员用户、机构从业人员用户、机构管理人员用户及账号管理，支持新增、修改、删除、查询等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权限管理：根据系统及实际业务需求场景，保证系统安全稳定的同时提升数字化服务效率，根据部门、角色与用户的管理体系建设权限管理服务，包括菜单权限、功能权限、数据权限等。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数据驾驶舱软件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机构分布图</w:t>
            </w:r>
            <w:r>
              <w:rPr>
                <w:rFonts w:hint="eastAsia" w:ascii="宋体" w:hAnsi="宋体" w:cs="宋体"/>
                <w:i w:val="0"/>
                <w:iCs w:val="0"/>
                <w:color w:val="000000"/>
                <w:sz w:val="22"/>
                <w:szCs w:val="22"/>
                <w:highlight w:val="none"/>
                <w:u w:val="none"/>
                <w:lang w:val="en-US" w:eastAsia="zh-CN" w:bidi="ar"/>
              </w:rPr>
              <w:t xml:space="preserve">及机构个性画像</w:t>
            </w:r>
            <w:r>
              <w:rPr>
                <w:rFonts w:hint="eastAsia" w:ascii="宋体" w:hAnsi="宋体" w:eastAsia="宋体" w:cs="宋体"/>
                <w:i w:val="0"/>
                <w:iCs w:val="0"/>
                <w:color w:val="000000"/>
                <w:sz w:val="22"/>
                <w:szCs w:val="22"/>
                <w:highlight w:val="none"/>
                <w:u w:val="none"/>
                <w:lang w:val="en-US" w:eastAsia="zh-CN" w:bidi="ar"/>
              </w:rPr>
              <w:t xml:space="preserve">：通过地图层层透视机构内部情况，区县-街道-机构园所</w:t>
            </w:r>
            <w:r>
              <w:rPr>
                <w:rFonts w:hint="eastAsia" w:ascii="宋体" w:hAnsi="宋体" w:cs="宋体"/>
                <w:i w:val="0"/>
                <w:iCs w:val="0"/>
                <w:color w:val="000000"/>
                <w:sz w:val="22"/>
                <w:szCs w:val="22"/>
                <w:highlight w:val="none"/>
                <w:u w:val="none"/>
                <w:lang w:val="en-US" w:eastAsia="zh-CN" w:bidi="ar"/>
              </w:rPr>
              <w:t xml:space="preserve">，点击具体机构可查看机构个性画像。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shd w:val="clear" w:color="auto" w:fill="auto"/>
                <w:lang w:val="en-US" w:eastAsia="zh-CN" w:bidi="ar"/>
              </w:rPr>
              <w:t xml:space="preserve">托育机构</w:t>
            </w:r>
            <w:r>
              <w:rPr>
                <w:rFonts w:hint="eastAsia" w:ascii="宋体" w:hAnsi="宋体" w:cs="宋体"/>
                <w:i w:val="0"/>
                <w:iCs w:val="0"/>
                <w:color w:val="000000"/>
                <w:sz w:val="22"/>
                <w:szCs w:val="22"/>
                <w:highlight w:val="none"/>
                <w:u w:val="none"/>
                <w:shd w:val="clear" w:color="auto" w:fill="auto"/>
                <w:lang w:val="en-US" w:eastAsia="zh-CN" w:bidi="ar"/>
              </w:rPr>
              <w:t xml:space="preserve">主题屏</w:t>
            </w:r>
            <w:r>
              <w:rPr>
                <w:rFonts w:hint="eastAsia" w:ascii="宋体" w:hAnsi="宋体" w:eastAsia="宋体" w:cs="宋体"/>
                <w:i w:val="0"/>
                <w:iCs w:val="0"/>
                <w:color w:val="000000"/>
                <w:sz w:val="22"/>
                <w:szCs w:val="22"/>
                <w:highlight w:val="none"/>
                <w:u w:val="none"/>
                <w:lang w:val="en-US" w:eastAsia="zh-CN" w:bidi="ar"/>
              </w:rPr>
              <w:t xml:space="preserve">：区域所有托育机构的宏观数据展示，包括机构数量，</w:t>
            </w:r>
            <w:r>
              <w:rPr>
                <w:rFonts w:hint="eastAsia" w:ascii="宋体" w:hAnsi="宋体" w:cs="宋体"/>
                <w:i w:val="0"/>
                <w:iCs w:val="0"/>
                <w:color w:val="000000"/>
                <w:sz w:val="22"/>
                <w:szCs w:val="22"/>
                <w:highlight w:val="none"/>
                <w:u w:val="none"/>
                <w:lang w:val="en-US" w:eastAsia="zh-CN" w:bidi="ar"/>
              </w:rPr>
              <w:t xml:space="preserve">各机构备案与运营状态</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各机构</w:t>
            </w:r>
            <w:r>
              <w:rPr>
                <w:rFonts w:hint="eastAsia" w:ascii="宋体" w:hAnsi="宋体" w:eastAsia="宋体" w:cs="宋体"/>
                <w:i w:val="0"/>
                <w:iCs w:val="0"/>
                <w:color w:val="000000"/>
                <w:sz w:val="22"/>
                <w:szCs w:val="22"/>
                <w:highlight w:val="none"/>
                <w:u w:val="none"/>
                <w:lang w:val="en-US" w:eastAsia="zh-CN" w:bidi="ar"/>
              </w:rPr>
              <w:t xml:space="preserve">托位数量</w:t>
            </w:r>
            <w:r>
              <w:rPr>
                <w:rFonts w:hint="eastAsia" w:ascii="宋体" w:hAnsi="宋体" w:cs="宋体"/>
                <w:i w:val="0"/>
                <w:iCs w:val="0"/>
                <w:color w:val="000000"/>
                <w:sz w:val="22"/>
                <w:szCs w:val="22"/>
                <w:highlight w:val="none"/>
                <w:u w:val="none"/>
                <w:lang w:val="en-US" w:eastAsia="zh-CN" w:bidi="ar"/>
              </w:rPr>
              <w:t xml:space="preserve">及</w:t>
            </w:r>
            <w:r>
              <w:rPr>
                <w:rFonts w:hint="eastAsia" w:ascii="宋体" w:hAnsi="宋体" w:eastAsia="宋体" w:cs="宋体"/>
                <w:i w:val="0"/>
                <w:iCs w:val="0"/>
                <w:color w:val="000000"/>
                <w:sz w:val="22"/>
                <w:szCs w:val="22"/>
                <w:highlight w:val="none"/>
                <w:u w:val="none"/>
                <w:lang w:val="en-US" w:eastAsia="zh-CN" w:bidi="ar"/>
              </w:rPr>
              <w:t xml:space="preserve">托位使用率等。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横向综合对比：提供机构之间综合情况对比和分析，提供决策依据。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★0-3岁婴幼儿分布图：针对区域0-3岁适龄婴幼儿和家庭的宏观数据展示，包括总人数，适龄婴幼儿数量等。（提供功能截图扫描件并加盖投标人公章）</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智慧托育督导管理平台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机构备案审核</w:t>
            </w:r>
            <w:r>
              <w:rPr>
                <w:rFonts w:hint="eastAsia" w:ascii="宋体" w:hAnsi="宋体" w:cs="宋体"/>
                <w:i w:val="0"/>
                <w:iCs w:val="0"/>
                <w:color w:val="000000"/>
                <w:sz w:val="22"/>
                <w:szCs w:val="22"/>
                <w:highlight w:val="none"/>
                <w:u w:val="none"/>
                <w:lang w:val="en-US" w:eastAsia="zh-CN" w:bidi="ar"/>
              </w:rPr>
              <w:t xml:space="preserve">：支持卫健监管部门创建机构账号，机构登录上传相关备案信息，卫健监管部门在线审核。</w:t>
            </w:r>
            <w:r/>
          </w:p>
          <w:p>
            <w:pPr>
              <w:numPr>
                <w:ilvl w:val="0"/>
                <w:numId w:val="5"/>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机构监管</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机构基本信息</w:t>
            </w:r>
            <w:r>
              <w:rPr>
                <w:rFonts w:hint="eastAsia" w:ascii="宋体" w:hAnsi="宋体" w:cs="宋体"/>
                <w:i w:val="0"/>
                <w:iCs w:val="0"/>
                <w:color w:val="000000"/>
                <w:sz w:val="22"/>
                <w:szCs w:val="22"/>
                <w:highlight w:val="none"/>
                <w:u w:val="none"/>
                <w:lang w:val="en-US" w:eastAsia="zh-CN" w:bidi="ar"/>
              </w:rPr>
              <w:t xml:space="preserve">管理、</w:t>
            </w:r>
            <w:r>
              <w:rPr>
                <w:rFonts w:hint="eastAsia" w:ascii="宋体" w:hAnsi="宋体" w:eastAsia="宋体" w:cs="宋体"/>
                <w:i w:val="0"/>
                <w:iCs w:val="0"/>
                <w:color w:val="000000"/>
                <w:sz w:val="22"/>
                <w:szCs w:val="22"/>
                <w:highlight w:val="none"/>
                <w:u w:val="none"/>
                <w:lang w:val="en-US" w:eastAsia="zh-CN" w:bidi="ar"/>
              </w:rPr>
              <w:t xml:space="preserve">机构从业人员资质管理、机构在托婴幼儿档案管理、机构婴幼儿请假管理、机构婴幼儿签到入离园管理、机构婴幼儿每日照护管理（一日生活）。</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★机构督导：</w:t>
            </w:r>
            <w:r>
              <w:rPr>
                <w:rFonts w:hint="eastAsia" w:ascii="宋体" w:hAnsi="宋体" w:cs="宋体"/>
                <w:i w:val="0"/>
                <w:iCs w:val="0"/>
                <w:color w:val="000000"/>
                <w:sz w:val="22"/>
                <w:szCs w:val="22"/>
                <w:highlight w:val="none"/>
                <w:u w:val="none"/>
                <w:lang w:val="en-US" w:eastAsia="zh-CN" w:bidi="ar"/>
              </w:rPr>
              <w:t xml:space="preserve">为方便卫健监管部门对机构进行智能督导，采用双随机督导的机制，实现托育机构智能选定，在线督导，督导结果记录，二次督导提醒等功能。</w:t>
            </w:r>
            <w:r>
              <w:rPr>
                <w:rFonts w:hint="eastAsia" w:ascii="宋体" w:hAnsi="宋体" w:eastAsia="宋体" w:cs="宋体"/>
                <w:i w:val="0"/>
                <w:iCs w:val="0"/>
                <w:color w:val="000000"/>
                <w:sz w:val="22"/>
                <w:szCs w:val="22"/>
                <w:highlight w:val="none"/>
                <w:u w:val="none"/>
                <w:lang w:val="en-US" w:eastAsia="zh-CN" w:bidi="ar"/>
              </w:rPr>
              <w:t xml:space="preserve">（提供功能截图扫描件并加盖投标人公章）</w:t>
            </w:r>
            <w:r/>
          </w:p>
          <w:p>
            <w:pPr>
              <w:numPr>
                <w:ilvl w:val="0"/>
                <w:numId w:val="0"/>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在线巡检：</w:t>
            </w:r>
            <w:r>
              <w:rPr>
                <w:rFonts w:hint="eastAsia" w:ascii="宋体" w:hAnsi="宋体" w:cs="宋体"/>
                <w:i w:val="0"/>
                <w:iCs w:val="0"/>
                <w:color w:val="000000"/>
                <w:sz w:val="22"/>
                <w:szCs w:val="22"/>
                <w:highlight w:val="none"/>
                <w:u w:val="none"/>
                <w:lang w:val="en-US" w:eastAsia="zh-CN" w:bidi="ar"/>
              </w:rPr>
              <w:t xml:space="preserve">在线管理区域所有托育机构的监控视频，包括监控教室点位、视频画面等。</w:t>
            </w:r>
            <w:r/>
          </w:p>
          <w:p>
            <w:pPr>
              <w:numPr>
                <w:ilvl w:val="0"/>
                <w:numId w:val="0"/>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OA协同治理办公</w:t>
            </w:r>
            <w:r>
              <w:rPr>
                <w:rFonts w:hint="eastAsia" w:ascii="宋体" w:hAnsi="宋体" w:cs="宋体"/>
                <w:i w:val="0"/>
                <w:iCs w:val="0"/>
                <w:color w:val="000000"/>
                <w:sz w:val="22"/>
                <w:szCs w:val="22"/>
                <w:highlight w:val="none"/>
                <w:u w:val="none"/>
                <w:lang w:val="en-US" w:eastAsia="zh-CN" w:bidi="ar"/>
              </w:rPr>
              <w:t xml:space="preserve">：支持区级卫健监管部门，街道监管部门协同管理区域所有托育机构日常业务。</w:t>
            </w:r>
            <w:r/>
          </w:p>
          <w:p>
            <w:pPr>
              <w:numPr>
                <w:ilvl w:val="0"/>
                <w:numId w:val="0"/>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系统运维配置管理子系统</w:t>
            </w:r>
            <w:r>
              <w:rPr>
                <w:rFonts w:hint="eastAsia" w:ascii="宋体" w:hAnsi="宋体" w:cs="宋体"/>
                <w:i w:val="0"/>
                <w:iCs w:val="0"/>
                <w:color w:val="000000"/>
                <w:sz w:val="22"/>
                <w:szCs w:val="22"/>
                <w:highlight w:val="none"/>
                <w:u w:val="none"/>
                <w:lang w:val="en-US" w:eastAsia="zh-CN" w:bidi="ar"/>
              </w:rPr>
              <w:t xml:space="preserve">：可通过运维配置管理，在线配置移动端功能、大屏相关基础数据、短信服务等。</w:t>
            </w:r>
            <w:r/>
          </w:p>
          <w:p>
            <w:pPr>
              <w:numPr>
                <w:ilvl w:val="0"/>
                <w:numId w:val="0"/>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系统</w:t>
            </w:r>
            <w:r>
              <w:rPr>
                <w:rFonts w:hint="eastAsia" w:ascii="宋体" w:hAnsi="宋体" w:cs="宋体"/>
                <w:i w:val="0"/>
                <w:iCs w:val="0"/>
                <w:color w:val="000000"/>
                <w:sz w:val="22"/>
                <w:szCs w:val="22"/>
                <w:highlight w:val="none"/>
                <w:u w:val="none"/>
                <w:lang w:val="en-US" w:eastAsia="zh-CN" w:bidi="ar"/>
              </w:rPr>
              <w:t xml:space="preserve">及托育服务工作</w:t>
            </w:r>
            <w:r>
              <w:rPr>
                <w:rFonts w:hint="eastAsia" w:ascii="宋体" w:hAnsi="宋体" w:eastAsia="宋体" w:cs="宋体"/>
                <w:i w:val="0"/>
                <w:iCs w:val="0"/>
                <w:color w:val="000000"/>
                <w:sz w:val="22"/>
                <w:szCs w:val="22"/>
                <w:highlight w:val="none"/>
                <w:u w:val="none"/>
                <w:lang w:val="en-US" w:eastAsia="zh-CN" w:bidi="ar"/>
              </w:rPr>
              <w:t xml:space="preserve">意见反馈</w:t>
            </w:r>
            <w:r>
              <w:rPr>
                <w:rFonts w:hint="eastAsia" w:ascii="宋体" w:hAnsi="宋体" w:cs="宋体"/>
                <w:i w:val="0"/>
                <w:iCs w:val="0"/>
                <w:color w:val="000000"/>
                <w:sz w:val="22"/>
                <w:szCs w:val="22"/>
                <w:highlight w:val="none"/>
                <w:u w:val="none"/>
                <w:lang w:val="en-US" w:eastAsia="zh-CN" w:bidi="ar"/>
              </w:rPr>
              <w:t xml:space="preserve">：卫健监管部门可通过管理端在线管理区域育儿家长对于托育服务工作机系统的意见建议，实现“民呼我为”“我有所为”。</w:t>
            </w:r>
            <w:r/>
          </w:p>
          <w:p>
            <w:pPr>
              <w:numPr>
                <w:ilvl w:val="0"/>
                <w:numId w:val="0"/>
              </w:numPr>
              <w:jc w:val="left"/>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托育机构质量评估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机构质量评估权重管理</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质量评估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大数据分析态势</w:t>
            </w:r>
            <w:r>
              <w:rPr>
                <w:rFonts w:hint="eastAsia" w:ascii="宋体" w:hAnsi="宋体" w:cs="宋体"/>
                <w:i w:val="0"/>
                <w:iCs w:val="0"/>
                <w:color w:val="000000"/>
                <w:sz w:val="22"/>
                <w:szCs w:val="22"/>
                <w:highlight w:val="none"/>
                <w:u w:val="none"/>
                <w:lang w:val="en-US" w:eastAsia="zh-CN" w:bidi="ar"/>
              </w:rPr>
              <w:t xml:space="preserve">感知等。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婴育照护政策“一键达”</w:t>
            </w:r>
            <w:r>
              <w:rPr>
                <w:rFonts w:hint="eastAsia" w:ascii="宋体" w:hAnsi="宋体" w:cs="宋体"/>
                <w:i w:val="0"/>
                <w:iCs w:val="0"/>
                <w:color w:val="000000"/>
                <w:sz w:val="22"/>
                <w:szCs w:val="22"/>
                <w:highlight w:val="none"/>
                <w:u w:val="none"/>
                <w:lang w:val="en-US" w:eastAsia="zh-CN" w:bidi="ar"/>
              </w:rPr>
              <w:t xml:space="preserve">：在线发布托育照护服务政策，协同至家长与机构端展示。</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智慧托育运营管理平台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班级管理</w:t>
            </w:r>
            <w:r>
              <w:rPr>
                <w:rFonts w:hint="eastAsia" w:ascii="宋体" w:hAnsi="宋体" w:cs="宋体"/>
                <w:i w:val="0"/>
                <w:iCs w:val="0"/>
                <w:color w:val="000000"/>
                <w:sz w:val="22"/>
                <w:szCs w:val="22"/>
                <w:highlight w:val="none"/>
                <w:u w:val="none"/>
                <w:lang w:val="en-US" w:eastAsia="zh-CN" w:bidi="ar"/>
              </w:rPr>
              <w:t xml:space="preserve">：可在线管理本机构的班级，包括乳儿班、托小班、托大班、混龄班等。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从业人员管理：</w:t>
            </w:r>
            <w:r>
              <w:rPr>
                <w:rFonts w:hint="eastAsia" w:ascii="宋体" w:hAnsi="宋体" w:cs="宋体"/>
                <w:i w:val="0"/>
                <w:iCs w:val="0"/>
                <w:color w:val="000000"/>
                <w:sz w:val="22"/>
                <w:szCs w:val="22"/>
                <w:highlight w:val="none"/>
                <w:u w:val="none"/>
                <w:lang w:val="en-US" w:eastAsia="zh-CN" w:bidi="ar"/>
              </w:rPr>
              <w:t xml:space="preserve">可在线管理机构的从业人员，包括</w:t>
            </w:r>
            <w:r>
              <w:rPr>
                <w:rFonts w:hint="eastAsia" w:ascii="宋体" w:hAnsi="宋体" w:eastAsia="宋体" w:cs="宋体"/>
                <w:i w:val="0"/>
                <w:iCs w:val="0"/>
                <w:color w:val="000000"/>
                <w:sz w:val="22"/>
                <w:szCs w:val="22"/>
                <w:highlight w:val="none"/>
                <w:u w:val="none"/>
                <w:lang w:val="en-US" w:eastAsia="zh-CN" w:bidi="ar"/>
              </w:rPr>
              <w:t xml:space="preserve">保育员、保健员、园长管理</w:t>
            </w:r>
            <w:r>
              <w:rPr>
                <w:rFonts w:hint="eastAsia" w:ascii="宋体" w:hAnsi="宋体" w:cs="宋体"/>
                <w:i w:val="0"/>
                <w:iCs w:val="0"/>
                <w:color w:val="000000"/>
                <w:sz w:val="22"/>
                <w:szCs w:val="22"/>
                <w:highlight w:val="none"/>
                <w:u w:val="none"/>
                <w:lang w:val="en-US" w:eastAsia="zh-CN" w:bidi="ar"/>
              </w:rPr>
              <w:t xml:space="preserve">等，并对从业人员</w:t>
            </w:r>
            <w:r>
              <w:rPr>
                <w:rFonts w:hint="eastAsia" w:ascii="宋体" w:hAnsi="宋体" w:eastAsia="宋体" w:cs="宋体"/>
                <w:i w:val="0"/>
                <w:iCs w:val="0"/>
                <w:color w:val="000000"/>
                <w:sz w:val="22"/>
                <w:szCs w:val="22"/>
                <w:highlight w:val="none"/>
                <w:u w:val="none"/>
                <w:lang w:val="en-US" w:eastAsia="zh-CN" w:bidi="ar"/>
              </w:rPr>
              <w:t xml:space="preserve">证照</w:t>
            </w:r>
            <w:r>
              <w:rPr>
                <w:rFonts w:hint="eastAsia" w:ascii="宋体" w:hAnsi="宋体" w:cs="宋体"/>
                <w:i w:val="0"/>
                <w:iCs w:val="0"/>
                <w:color w:val="000000"/>
                <w:sz w:val="22"/>
                <w:szCs w:val="22"/>
                <w:highlight w:val="none"/>
                <w:u w:val="none"/>
                <w:lang w:val="en-US" w:eastAsia="zh-CN" w:bidi="ar"/>
              </w:rPr>
              <w:t xml:space="preserve">进行</w:t>
            </w:r>
            <w:r>
              <w:rPr>
                <w:rFonts w:hint="eastAsia" w:ascii="宋体" w:hAnsi="宋体" w:eastAsia="宋体" w:cs="宋体"/>
                <w:i w:val="0"/>
                <w:iCs w:val="0"/>
                <w:color w:val="000000"/>
                <w:sz w:val="22"/>
                <w:szCs w:val="22"/>
                <w:highlight w:val="none"/>
                <w:u w:val="none"/>
                <w:lang w:val="en-US" w:eastAsia="zh-CN" w:bidi="ar"/>
              </w:rPr>
              <w:t xml:space="preserve">管理等</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在托婴幼儿管理：</w:t>
            </w:r>
            <w:r>
              <w:rPr>
                <w:rFonts w:hint="eastAsia" w:ascii="宋体" w:hAnsi="宋体" w:cs="宋体"/>
                <w:i w:val="0"/>
                <w:iCs w:val="0"/>
                <w:color w:val="000000"/>
                <w:sz w:val="22"/>
                <w:szCs w:val="22"/>
                <w:highlight w:val="none"/>
                <w:u w:val="none"/>
                <w:lang w:val="en-US" w:eastAsia="zh-CN" w:bidi="ar"/>
              </w:rPr>
              <w:t xml:space="preserve">对于在托婴幼儿的</w:t>
            </w:r>
            <w:r>
              <w:rPr>
                <w:rFonts w:hint="eastAsia" w:ascii="宋体" w:hAnsi="宋体" w:eastAsia="宋体" w:cs="宋体"/>
                <w:i w:val="0"/>
                <w:iCs w:val="0"/>
                <w:color w:val="000000"/>
                <w:sz w:val="22"/>
                <w:szCs w:val="22"/>
                <w:highlight w:val="none"/>
                <w:u w:val="none"/>
                <w:lang w:val="en-US" w:eastAsia="zh-CN" w:bidi="ar"/>
              </w:rPr>
              <w:t xml:space="preserve">托育成长档案管理、婴幼儿基础信息</w:t>
            </w:r>
            <w:r>
              <w:rPr>
                <w:rFonts w:hint="eastAsia" w:ascii="宋体" w:hAnsi="宋体" w:cs="宋体"/>
                <w:i w:val="0"/>
                <w:iCs w:val="0"/>
                <w:color w:val="000000"/>
                <w:sz w:val="22"/>
                <w:szCs w:val="22"/>
                <w:highlight w:val="none"/>
                <w:u w:val="none"/>
                <w:lang w:val="en-US" w:eastAsia="zh-CN" w:bidi="ar"/>
              </w:rPr>
              <w:t xml:space="preserve">管理等。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托育日常管理：请假管理、签到入离园管理、育儿计划</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卫生保健（消毒记录等）：消毒区域管理、消毒人员管理、消毒记录管理</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日常督导</w:t>
            </w:r>
            <w:r>
              <w:rPr>
                <w:rFonts w:hint="eastAsia" w:ascii="宋体" w:hAnsi="宋体" w:cs="宋体"/>
                <w:i w:val="0"/>
                <w:iCs w:val="0"/>
                <w:color w:val="000000"/>
                <w:sz w:val="22"/>
                <w:szCs w:val="22"/>
                <w:highlight w:val="none"/>
                <w:u w:val="none"/>
                <w:lang w:val="en-US" w:eastAsia="zh-CN" w:bidi="ar"/>
              </w:rPr>
              <w:t xml:space="preserve">：查看卫健监管部门对于机构的督导记录，提交整改报告，管理整改记录等。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照护服务机构质量评估（机构自评）</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★营养膳食管理（每周带量食谱、在用食物列表、本园菜谱分类、本园常用菜谱、营养配餐一览、每日食物一览、每周膳食总结等）（提供功能截图扫描件并加盖投标人公章）</w:t>
            </w:r>
            <w:r/>
          </w:p>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托育服务“码上评”</w:t>
            </w:r>
            <w:r>
              <w:rPr>
                <w:rFonts w:hint="eastAsia" w:ascii="宋体" w:hAnsi="宋体" w:cs="宋体"/>
                <w:i w:val="0"/>
                <w:iCs w:val="0"/>
                <w:color w:val="000000"/>
                <w:sz w:val="22"/>
                <w:szCs w:val="22"/>
                <w:highlight w:val="none"/>
                <w:u w:val="none"/>
                <w:lang w:val="en-US" w:eastAsia="zh-CN" w:bidi="ar"/>
              </w:rPr>
              <w:t xml:space="preserve">：支持托育机构在线查看家长对于机构的评价。</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t xml:space="preserve">科学育儿指导（父母育儿指导）</w:t>
            </w:r>
            <w:r>
              <w:rPr>
                <w:rFonts w:hint="eastAsia" w:ascii="宋体" w:hAnsi="宋体" w:cs="宋体"/>
                <w:i w:val="0"/>
                <w:iCs w:val="0"/>
                <w:color w:val="000000"/>
                <w:sz w:val="22"/>
                <w:szCs w:val="22"/>
                <w:highlight w:val="none"/>
                <w:u w:val="none"/>
                <w:lang w:val="en-US" w:eastAsia="zh-CN" w:bidi="ar"/>
              </w:rPr>
              <w:t xml:space="preserve">：支持在线发布图文、视频的育儿知识。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家园共育管理平台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★我要入托：托育机构智慧推荐（机构列表）、机构详情（基础信息、</w:t>
            </w:r>
            <w:r>
              <w:rPr>
                <w:rFonts w:hint="eastAsia" w:ascii="宋体" w:hAnsi="宋体" w:cs="宋体"/>
                <w:i w:val="0"/>
                <w:iCs w:val="0"/>
                <w:color w:val="000000"/>
                <w:sz w:val="22"/>
                <w:szCs w:val="22"/>
                <w:highlight w:val="none"/>
                <w:u w:val="none"/>
                <w:lang w:val="en-US" w:eastAsia="zh-CN" w:bidi="ar"/>
              </w:rPr>
              <w:t xml:space="preserve">收费标准</w:t>
            </w:r>
            <w:r>
              <w:rPr>
                <w:rFonts w:hint="eastAsia" w:ascii="宋体" w:hAnsi="宋体" w:eastAsia="宋体" w:cs="宋体"/>
                <w:i w:val="0"/>
                <w:iCs w:val="0"/>
                <w:color w:val="000000"/>
                <w:sz w:val="22"/>
                <w:szCs w:val="22"/>
                <w:highlight w:val="none"/>
                <w:u w:val="none"/>
                <w:lang w:val="en-US" w:eastAsia="zh-CN" w:bidi="ar"/>
              </w:rPr>
              <w:t xml:space="preserve">等）、预约探园入托（提供功能截图扫描件并加盖投标人公章）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家园共育：在托婴幼儿绑定、托育档案管理、每日照护管理、入离园签到管理、请假管理、机构公告、每日营养膳食、机构“码上评”</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婴幼儿健康画像（成长空间）：健康画像、成长档案</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我的（个人中心）：个人信息管理、关注宝贝（我的孩子管理）、设置、学习记录、活动记录、意见反馈</w:t>
            </w:r>
            <w:r>
              <w:rPr>
                <w:rFonts w:hint="eastAsia" w:ascii="宋体" w:hAnsi="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资源信息云平台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建立</w:t>
            </w:r>
            <w:r>
              <w:rPr>
                <w:rFonts w:hint="eastAsia" w:ascii="宋体" w:hAnsi="宋体" w:cs="宋体"/>
                <w:i w:val="0"/>
                <w:iCs w:val="0"/>
                <w:color w:val="000000"/>
                <w:sz w:val="22"/>
                <w:szCs w:val="22"/>
                <w:highlight w:val="none"/>
                <w:u w:val="none"/>
                <w:lang w:val="en-US" w:eastAsia="zh-CN" w:bidi="ar"/>
              </w:rPr>
              <w:t xml:space="preserve">0-3岁婴幼儿养育照护知识与服务</w:t>
            </w:r>
            <w:r>
              <w:rPr>
                <w:rFonts w:hint="eastAsia" w:ascii="宋体" w:hAnsi="宋体" w:eastAsia="宋体" w:cs="宋体"/>
                <w:i w:val="0"/>
                <w:iCs w:val="0"/>
                <w:color w:val="000000"/>
                <w:sz w:val="22"/>
                <w:szCs w:val="22"/>
                <w:highlight w:val="none"/>
                <w:u w:val="none"/>
                <w:lang w:val="en-US" w:eastAsia="zh-CN" w:bidi="ar"/>
              </w:rPr>
              <w:t xml:space="preserve">库，辐射1+N区域，为</w:t>
            </w:r>
            <w:r>
              <w:rPr>
                <w:rFonts w:hint="eastAsia" w:ascii="宋体" w:hAnsi="宋体" w:cs="宋体"/>
                <w:i w:val="0"/>
                <w:iCs w:val="0"/>
                <w:color w:val="000000"/>
                <w:sz w:val="22"/>
                <w:szCs w:val="22"/>
                <w:highlight w:val="none"/>
                <w:u w:val="none"/>
                <w:lang w:val="en-US" w:eastAsia="zh-CN" w:bidi="ar"/>
              </w:rPr>
              <w:t xml:space="preserve">区域</w:t>
            </w:r>
            <w:r>
              <w:rPr>
                <w:rFonts w:hint="eastAsia" w:ascii="宋体" w:hAnsi="宋体" w:eastAsia="宋体" w:cs="宋体"/>
                <w:i w:val="0"/>
                <w:iCs w:val="0"/>
                <w:color w:val="000000"/>
                <w:sz w:val="22"/>
                <w:szCs w:val="22"/>
                <w:highlight w:val="none"/>
                <w:u w:val="none"/>
                <w:lang w:val="en-US" w:eastAsia="zh-CN" w:bidi="ar"/>
              </w:rPr>
              <w:t xml:space="preserve">托育</w:t>
            </w:r>
            <w:r>
              <w:rPr>
                <w:rFonts w:hint="eastAsia" w:ascii="宋体" w:hAnsi="宋体" w:cs="宋体"/>
                <w:i w:val="0"/>
                <w:iCs w:val="0"/>
                <w:color w:val="000000"/>
                <w:sz w:val="22"/>
                <w:szCs w:val="22"/>
                <w:highlight w:val="none"/>
                <w:u w:val="none"/>
                <w:lang w:val="en-US" w:eastAsia="zh-CN" w:bidi="ar"/>
              </w:rPr>
              <w:t xml:space="preserve">照护服务机构</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育儿</w:t>
            </w:r>
            <w:r>
              <w:rPr>
                <w:rFonts w:hint="eastAsia" w:ascii="宋体" w:hAnsi="宋体" w:eastAsia="宋体" w:cs="宋体"/>
                <w:i w:val="0"/>
                <w:iCs w:val="0"/>
                <w:color w:val="000000"/>
                <w:sz w:val="22"/>
                <w:szCs w:val="22"/>
                <w:highlight w:val="none"/>
                <w:u w:val="none"/>
                <w:lang w:val="en-US" w:eastAsia="zh-CN" w:bidi="ar"/>
              </w:rPr>
              <w:t xml:space="preserve">家庭</w:t>
            </w:r>
            <w:r>
              <w:rPr>
                <w:rFonts w:hint="eastAsia" w:ascii="宋体" w:hAnsi="宋体" w:cs="宋体"/>
                <w:i w:val="0"/>
                <w:iCs w:val="0"/>
                <w:color w:val="000000"/>
                <w:sz w:val="22"/>
                <w:szCs w:val="22"/>
                <w:highlight w:val="none"/>
                <w:u w:val="none"/>
                <w:lang w:val="en-US" w:eastAsia="zh-CN" w:bidi="ar"/>
              </w:rPr>
              <w:t xml:space="preserve">等</w:t>
            </w:r>
            <w:r>
              <w:rPr>
                <w:rFonts w:hint="eastAsia" w:ascii="宋体" w:hAnsi="宋体" w:eastAsia="宋体" w:cs="宋体"/>
                <w:i w:val="0"/>
                <w:iCs w:val="0"/>
                <w:color w:val="000000"/>
                <w:sz w:val="22"/>
                <w:szCs w:val="22"/>
                <w:highlight w:val="none"/>
                <w:u w:val="none"/>
                <w:lang w:val="en-US" w:eastAsia="zh-CN" w:bidi="ar"/>
              </w:rPr>
              <w:t xml:space="preserve">提供资源共享、信息共享服务，具体包括0-3</w:t>
            </w:r>
            <w:r>
              <w:rPr>
                <w:rFonts w:hint="eastAsia" w:ascii="宋体" w:hAnsi="宋体" w:cs="宋体"/>
                <w:i w:val="0"/>
                <w:iCs w:val="0"/>
                <w:color w:val="000000"/>
                <w:sz w:val="22"/>
                <w:szCs w:val="22"/>
                <w:highlight w:val="none"/>
                <w:u w:val="none"/>
                <w:lang w:val="en-US" w:eastAsia="zh-CN" w:bidi="ar"/>
              </w:rPr>
              <w:t xml:space="preserve">岁婴幼儿养育照护图文、视频</w:t>
            </w:r>
            <w:r>
              <w:rPr>
                <w:rFonts w:hint="eastAsia" w:ascii="宋体" w:hAnsi="宋体" w:eastAsia="宋体" w:cs="宋体"/>
                <w:i w:val="0"/>
                <w:iCs w:val="0"/>
                <w:color w:val="000000"/>
                <w:sz w:val="22"/>
                <w:szCs w:val="22"/>
                <w:highlight w:val="none"/>
                <w:u w:val="none"/>
                <w:lang w:val="en-US" w:eastAsia="zh-CN" w:bidi="ar"/>
              </w:rPr>
              <w:t xml:space="preserve">知识</w:t>
            </w:r>
            <w:r>
              <w:rPr>
                <w:rFonts w:hint="eastAsia" w:ascii="宋体" w:hAnsi="宋体" w:cs="宋体"/>
                <w:i w:val="0"/>
                <w:iCs w:val="0"/>
                <w:color w:val="000000"/>
                <w:sz w:val="22"/>
                <w:szCs w:val="22"/>
                <w:highlight w:val="none"/>
                <w:u w:val="none"/>
                <w:lang w:val="en-US" w:eastAsia="zh-CN" w:bidi="ar"/>
              </w:rPr>
              <w:t xml:space="preserve">管理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养育照护小组活动管理</w:t>
            </w:r>
            <w:r>
              <w:rPr>
                <w:rFonts w:hint="eastAsia" w:ascii="宋体" w:hAnsi="宋体" w:eastAsia="宋体" w:cs="宋体"/>
                <w:i w:val="0"/>
                <w:iCs w:val="0"/>
                <w:color w:val="000000"/>
                <w:sz w:val="22"/>
                <w:szCs w:val="22"/>
                <w:highlight w:val="none"/>
                <w:u w:val="none"/>
                <w:lang w:val="en-US" w:eastAsia="zh-CN" w:bidi="ar"/>
              </w:rPr>
              <w:t xml:space="preserve">等，以点带面，让更多机构</w:t>
            </w:r>
            <w:r>
              <w:rPr>
                <w:rFonts w:hint="eastAsia" w:ascii="宋体" w:hAnsi="宋体" w:cs="宋体"/>
                <w:i w:val="0"/>
                <w:iCs w:val="0"/>
                <w:color w:val="000000"/>
                <w:sz w:val="22"/>
                <w:szCs w:val="22"/>
                <w:highlight w:val="none"/>
                <w:u w:val="none"/>
                <w:lang w:val="en-US" w:eastAsia="zh-CN" w:bidi="ar"/>
              </w:rPr>
              <w:t xml:space="preserve">及育儿家长快速建立科学育儿照护</w:t>
            </w:r>
            <w:r>
              <w:rPr>
                <w:rFonts w:hint="eastAsia" w:ascii="宋体" w:hAnsi="宋体" w:eastAsia="宋体" w:cs="宋体"/>
                <w:i w:val="0"/>
                <w:iCs w:val="0"/>
                <w:color w:val="000000"/>
                <w:sz w:val="22"/>
                <w:szCs w:val="22"/>
                <w:highlight w:val="none"/>
                <w:u w:val="none"/>
                <w:lang w:val="en-US" w:eastAsia="zh-CN" w:bidi="ar"/>
              </w:rPr>
              <w:t xml:space="preserve">服务体系</w:t>
            </w:r>
            <w:r>
              <w:rPr>
                <w:rFonts w:hint="eastAsia" w:ascii="宋体" w:hAnsi="宋体" w:cs="宋体"/>
                <w:i w:val="0"/>
                <w:iCs w:val="0"/>
                <w:color w:val="000000"/>
                <w:sz w:val="22"/>
                <w:szCs w:val="22"/>
                <w:highlight w:val="none"/>
                <w:u w:val="none"/>
                <w:lang w:val="en-US" w:eastAsia="zh-CN" w:bidi="ar"/>
              </w:rPr>
              <w:t xml:space="preserve">，提升区域养育照护服务水平，促进区域普惠托育、婴育照护服务高质量发展</w:t>
            </w:r>
            <w:r>
              <w:rPr>
                <w:rFonts w:hint="eastAsia" w:ascii="宋体" w:hAnsi="宋体" w:eastAsia="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资源内容</w:t>
            </w:r>
            <w:r>
              <w:rPr>
                <w:rFonts w:hint="eastAsia" w:ascii="宋体" w:hAnsi="宋体" w:cs="宋体"/>
                <w:i w:val="0"/>
                <w:iCs w:val="0"/>
                <w:color w:val="000000"/>
                <w:sz w:val="22"/>
                <w:szCs w:val="22"/>
                <w:highlight w:val="none"/>
                <w:u w:val="none"/>
                <w:lang w:val="en-US" w:eastAsia="zh-CN" w:bidi="ar"/>
              </w:rPr>
              <w:t xml:space="preserve">中台</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资源生产、触达与服务及数字化管理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，包括</w:t>
            </w:r>
            <w:r>
              <w:rPr>
                <w:rFonts w:hint="eastAsia" w:ascii="宋体" w:hAnsi="宋体" w:eastAsia="宋体" w:cs="宋体"/>
                <w:i w:val="0"/>
                <w:iCs w:val="0"/>
                <w:color w:val="000000"/>
                <w:sz w:val="22"/>
                <w:szCs w:val="22"/>
                <w:highlight w:val="none"/>
                <w:u w:val="none"/>
                <w:lang w:val="en-US" w:eastAsia="zh-CN" w:bidi="ar"/>
              </w:rPr>
              <w:t xml:space="preserve">卫健端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机构端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家长端</w:t>
            </w:r>
            <w:r>
              <w:rPr>
                <w:rFonts w:hint="eastAsia" w:ascii="宋体" w:hAnsi="宋体" w:cs="宋体"/>
                <w:i w:val="0"/>
                <w:iCs w:val="0"/>
                <w:color w:val="000000"/>
                <w:sz w:val="22"/>
                <w:szCs w:val="22"/>
                <w:highlight w:val="none"/>
                <w:u w:val="none"/>
                <w:lang w:val="en-US" w:eastAsia="zh-CN" w:bidi="ar"/>
              </w:rPr>
              <w:t xml:space="preserve">的数字化服务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智慧托育人才管理系统（人才培养）</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培训管理：</w:t>
            </w:r>
            <w:r>
              <w:rPr>
                <w:rFonts w:hint="eastAsia" w:ascii="宋体" w:hAnsi="宋体" w:cs="宋体"/>
                <w:i w:val="0"/>
                <w:iCs w:val="0"/>
                <w:color w:val="000000"/>
                <w:sz w:val="22"/>
                <w:szCs w:val="22"/>
                <w:highlight w:val="none"/>
                <w:u w:val="none"/>
                <w:lang w:val="en-US" w:eastAsia="zh-CN" w:bidi="ar"/>
              </w:rPr>
              <w:t xml:space="preserve">管理</w:t>
            </w:r>
            <w:r>
              <w:rPr>
                <w:rFonts w:hint="eastAsia" w:ascii="宋体" w:hAnsi="宋体" w:eastAsia="宋体" w:cs="宋体"/>
                <w:i w:val="0"/>
                <w:iCs w:val="0"/>
                <w:color w:val="000000"/>
                <w:sz w:val="22"/>
                <w:szCs w:val="22"/>
                <w:highlight w:val="none"/>
                <w:u w:val="none"/>
                <w:lang w:val="en-US" w:eastAsia="zh-CN" w:bidi="ar"/>
              </w:rPr>
              <w:t xml:space="preserve">各类培训活动发布，培训进度，考核通过率等；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预约</w:t>
            </w:r>
            <w:r>
              <w:rPr>
                <w:rFonts w:hint="eastAsia" w:ascii="宋体" w:hAnsi="宋体" w:cs="宋体"/>
                <w:i w:val="0"/>
                <w:iCs w:val="0"/>
                <w:color w:val="000000"/>
                <w:sz w:val="22"/>
                <w:szCs w:val="22"/>
                <w:highlight w:val="none"/>
                <w:u w:val="none"/>
                <w:lang w:val="en-US" w:eastAsia="zh-CN" w:bidi="ar"/>
              </w:rPr>
              <w:t xml:space="preserve">与签到</w:t>
            </w:r>
            <w:r>
              <w:rPr>
                <w:rFonts w:hint="eastAsia" w:ascii="宋体" w:hAnsi="宋体" w:eastAsia="宋体" w:cs="宋体"/>
                <w:i w:val="0"/>
                <w:iCs w:val="0"/>
                <w:color w:val="000000"/>
                <w:sz w:val="22"/>
                <w:szCs w:val="22"/>
                <w:highlight w:val="none"/>
                <w:u w:val="none"/>
                <w:lang w:val="en-US" w:eastAsia="zh-CN" w:bidi="ar"/>
              </w:rPr>
              <w:t xml:space="preserve">管理：从业人员在线预约培训，签到</w:t>
            </w:r>
            <w:r>
              <w:rPr>
                <w:rFonts w:hint="eastAsia" w:ascii="宋体" w:hAnsi="宋体" w:cs="宋体"/>
                <w:i w:val="0"/>
                <w:iCs w:val="0"/>
                <w:color w:val="000000"/>
                <w:sz w:val="22"/>
                <w:szCs w:val="22"/>
                <w:highlight w:val="none"/>
                <w:u w:val="none"/>
                <w:lang w:val="en-US" w:eastAsia="zh-CN" w:bidi="ar"/>
              </w:rPr>
              <w:t xml:space="preserve">等</w:t>
            </w:r>
            <w:r>
              <w:rPr>
                <w:rFonts w:hint="eastAsia" w:ascii="宋体" w:hAnsi="宋体" w:eastAsia="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成绩管理：培训成绩管理</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证书管理：电子证书发放，多端协同；</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数智分析：洞察人才底数，持证率分析，资质证件过期预警等；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前端展现系统</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系统以“一舱两端”呈现，支持根据业务与实际场景通过微信、钉钉、web及数字化大屏等多前台呈现。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★需具备“大屏</w:t>
            </w:r>
            <w:r>
              <w:rPr>
                <w:rFonts w:hint="eastAsia" w:ascii="宋体" w:hAnsi="宋体" w:cs="宋体"/>
                <w:i w:val="0"/>
                <w:iCs w:val="0"/>
                <w:color w:val="000000"/>
                <w:sz w:val="22"/>
                <w:szCs w:val="22"/>
                <w:highlight w:val="none"/>
                <w:u w:val="none"/>
                <w:lang w:val="en-US" w:eastAsia="zh-CN" w:bidi="ar"/>
              </w:rPr>
              <w:t xml:space="preserve">、驾驶舱、前端应用软件</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等类似功能</w:t>
            </w:r>
            <w:r>
              <w:rPr>
                <w:rFonts w:hint="eastAsia" w:ascii="宋体" w:hAnsi="宋体" w:eastAsia="宋体" w:cs="宋体"/>
                <w:i w:val="0"/>
                <w:iCs w:val="0"/>
                <w:color w:val="000000"/>
                <w:sz w:val="22"/>
                <w:szCs w:val="22"/>
                <w:highlight w:val="none"/>
                <w:u w:val="none"/>
                <w:lang w:val="en-US" w:eastAsia="zh-CN" w:bidi="ar"/>
              </w:rPr>
              <w:t xml:space="preserve">计算机软件著作权登记证书。</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云存储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云存储空间25T，五年服务期。如政府部门提供“政府云”等云储存,购买政府提供的服务。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r>
      <w:tr>
        <w:trPr>
          <w:trHeight w:val="1513"/>
        </w:trPr>
        <w:tc>
          <w:tcPr>
            <w:gridSpan w:val="5"/>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auto"/>
                <w:sz w:val="24"/>
                <w:highlight w:val="none"/>
                <w:lang w:val="en-US" w:eastAsia="zh-CN"/>
              </w:rPr>
              <w:t xml:space="preserve">备注：其中</w:t>
            </w:r>
            <w:r>
              <w:rPr>
                <w:rFonts w:hint="eastAsia" w:ascii="宋体" w:hAnsi="宋体" w:eastAsia="宋体" w:cs="宋体"/>
                <w:b/>
                <w:bCs/>
                <w:color w:val="auto"/>
                <w:sz w:val="24"/>
                <w:highlight w:val="none"/>
                <w:lang w:val="en-US" w:eastAsia="zh-CN"/>
              </w:rPr>
              <w:fldChar w:fldCharType="begin"/>
            </w:r>
            <w:r>
              <w:rPr>
                <w:rFonts w:hint="eastAsia" w:ascii="宋体" w:hAnsi="宋体" w:eastAsia="宋体" w:cs="宋体"/>
                <w:b/>
                <w:bCs/>
                <w:color w:val="auto"/>
                <w:sz w:val="24"/>
                <w:highlight w:val="none"/>
                <w:lang w:val="en-US" w:eastAsia="zh-CN"/>
              </w:rPr>
              <w:instrText xml:space="preserve"> HYPERLINK "" \l "汇总清单!A1" </w:instrText>
            </w:r>
            <w:r>
              <w:rPr>
                <w:rFonts w:hint="eastAsia" w:ascii="宋体" w:hAnsi="宋体" w:eastAsia="宋体" w:cs="宋体"/>
                <w:b/>
                <w:bCs/>
                <w:color w:val="auto"/>
                <w:sz w:val="24"/>
                <w:highlight w:val="none"/>
                <w:lang w:val="en-US" w:eastAsia="zh-CN"/>
              </w:rPr>
              <w:fldChar w:fldCharType="separate"/>
            </w:r>
            <w:r>
              <w:rPr>
                <w:rFonts w:hint="eastAsia" w:ascii="宋体" w:hAnsi="宋体" w:eastAsia="宋体" w:cs="宋体"/>
                <w:b/>
                <w:bCs/>
                <w:color w:val="auto"/>
                <w:sz w:val="24"/>
                <w:highlight w:val="none"/>
                <w:lang w:val="en-US" w:eastAsia="zh-CN"/>
              </w:rPr>
              <w:t xml:space="preserve">智慧托育应用管理平台</w:t>
            </w:r>
            <w:r>
              <w:rPr>
                <w:rFonts w:hint="eastAsia" w:ascii="宋体" w:hAnsi="宋体" w:eastAsia="宋体" w:cs="宋体"/>
                <w:b/>
                <w:bCs/>
                <w:color w:val="auto"/>
                <w:sz w:val="24"/>
                <w:highlight w:val="none"/>
                <w:lang w:val="en-US" w:eastAsia="zh-CN"/>
              </w:rPr>
              <w:fldChar w:fldCharType="end"/>
            </w:r>
            <w:r>
              <w:rPr>
                <w:rFonts w:hint="eastAsia" w:ascii="宋体" w:hAnsi="宋体" w:eastAsia="宋体" w:cs="宋体"/>
                <w:b/>
                <w:bCs/>
                <w:color w:val="auto"/>
                <w:sz w:val="24"/>
                <w:highlight w:val="none"/>
                <w:lang w:val="en-US" w:eastAsia="zh-CN"/>
              </w:rPr>
              <w:t xml:space="preserve">必须为基于安全可靠测评结果等级I级及以上的处理器（CPU）、操作系统和数据库开发，投标人需提供相关承诺与之适配环境的详细实施方案，否则招标人有权拒绝和中标方签订合同。安全可靠测评结果查阅中国信息安全测评中心发布的测评公告（网址：http://www.itsec.gov.cn/，查阅“测评公告”）。</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auto"/>
                <w:sz w:val="32"/>
                <w:szCs w:val="32"/>
                <w:highlight w:val="none"/>
                <w:u w:val="none"/>
                <w:lang w:val="en-US" w:eastAsia="zh-CN" w:bidi="ar"/>
              </w:rPr>
              <w:fldChar w:fldCharType="begin"/>
            </w:r>
            <w:r>
              <w:rPr>
                <w:rFonts w:hint="eastAsia" w:ascii="宋体" w:hAnsi="宋体" w:eastAsia="宋体" w:cs="宋体"/>
                <w:b/>
                <w:bCs/>
                <w:i w:val="0"/>
                <w:iCs w:val="0"/>
                <w:color w:val="auto"/>
                <w:sz w:val="32"/>
                <w:szCs w:val="32"/>
                <w:highlight w:val="none"/>
                <w:u w:val="none"/>
                <w:lang w:val="en-US" w:eastAsia="zh-CN" w:bidi="ar"/>
              </w:rPr>
              <w:instrText xml:space="preserve"> HYPERLINK "" \l "汇总清单!A1" </w:instrText>
            </w:r>
            <w:r>
              <w:rPr>
                <w:rFonts w:hint="eastAsia" w:ascii="宋体" w:hAnsi="宋体" w:eastAsia="宋体" w:cs="宋体"/>
                <w:b/>
                <w:bCs/>
                <w:i w:val="0"/>
                <w:iCs w:val="0"/>
                <w:color w:val="auto"/>
                <w:sz w:val="32"/>
                <w:szCs w:val="32"/>
                <w:highlight w:val="none"/>
                <w:u w:val="none"/>
                <w:lang w:val="en-US" w:eastAsia="zh-CN" w:bidi="ar"/>
              </w:rPr>
              <w:fldChar w:fldCharType="separate"/>
            </w:r>
            <w:r>
              <w:rPr>
                <w:rStyle w:val="692"/>
                <w:rFonts w:hint="eastAsia" w:ascii="宋体" w:hAnsi="宋体" w:eastAsia="宋体" w:cs="宋体"/>
                <w:b/>
                <w:bCs/>
                <w:i w:val="0"/>
                <w:iCs w:val="0"/>
                <w:color w:val="auto"/>
                <w:sz w:val="32"/>
                <w:szCs w:val="32"/>
                <w:highlight w:val="none"/>
                <w:u w:val="none"/>
              </w:rPr>
              <w:t xml:space="preserve">2.智能化辅助设备</w:t>
            </w:r>
            <w:r>
              <w:rPr>
                <w:rFonts w:hint="eastAsia" w:ascii="宋体" w:hAnsi="宋体" w:eastAsia="宋体" w:cs="宋体"/>
                <w:b/>
                <w:bCs/>
                <w:i w:val="0"/>
                <w:iCs w:val="0"/>
                <w:color w:val="auto"/>
                <w:sz w:val="32"/>
                <w:szCs w:val="32"/>
                <w:highlight w:val="none"/>
                <w:u w:val="none"/>
                <w:lang w:val="en-US" w:eastAsia="zh-CN" w:bidi="ar"/>
              </w:rPr>
              <w:fldChar w:fldCharType="end"/>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技术规格</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人脸考勤测温一体机</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≥200万宽动态双目摄像头，面部识别距离0.3-2米，支持照片视频防假，支持远程视频预览；</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设备采用深度学习算法，支持10000或100000 (T型号) 人脸库，人脸比对时间&lt;0.2s/人；</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设备采用非接触式体温检测模块，温度检测距离在0.3m~2m之间，测温范围30℃-45℃，检测精度±0.5℃;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晨检机器人</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材质：ABS环保注塑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无线通信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供电方式：锂电池24V</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额定功率：≤60W</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检测功能：晨检（手、口、眼睛、体温），包括口腔异常、眼睛异常。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空气环境监测设备</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风量：≥1000m³/h</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适用体积：≥100m³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白葡：99.99%</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自然菌：91%</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臭氧：0.064mg/m³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等离子体密度： 5.27×1016m-³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功率：55W 220V/50Hz</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噪音：≤55dB</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环境数据及签到显示屏</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整机设计</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1.整体采用包边设计，表面钢化玻璃在合金边框内，四角圆弧，双重保护，安全抗冲击。</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2.屏幕尺寸≥65英寸，分辨率≥3840×2160，表面采用耐磨、防划伤、高安全系数钢化玻璃。</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3.具有不少于8个前置物理按键，至少包含电源键、信号源、音量。</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4.产品采用红外多点触控技术，需支持手指轻触式多点互动体验，触摸免驱动，即插即用，需支持主流多种操作系统。</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5.环境数</w:t>
            </w:r>
            <w:r>
              <w:rPr>
                <w:rFonts w:hint="eastAsia" w:ascii="宋体" w:hAnsi="宋体" w:eastAsia="宋体" w:cs="宋体"/>
                <w:i w:val="0"/>
                <w:iCs w:val="0"/>
                <w:color w:val="000000"/>
                <w:sz w:val="22"/>
                <w:szCs w:val="22"/>
                <w:highlight w:val="none"/>
                <w:u w:val="none"/>
                <w:lang w:val="en-US" w:eastAsia="zh-CN" w:bidi="ar"/>
              </w:rPr>
              <w:t xml:space="preserve">据及签到显示屏需具有业务连续性管理体系、绿色供应链体系认证证书，提供证书扫描件及全国认证认可信息公共服务平台官网查询截图加盖投标单位公章。</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二、同屏软件</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手机、笔记本电脑等移动端通过自动搜索接收端设备和六位识别码两种方式无线连接到产品。支持不少于6个投屏客户端图像画面对比展示，在产品上可以反向控制操作笔记本电脑上的内容,支持单击、双击、右键控制。(投标需提供权威机构检测报告扫描件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2.支持将手机中的音视频文件无线推送至产品 ,并能进行播放和进行音量大小调节。支持鼠标遥控器功能,通过软件一键进行鼠标左键、右键、上下滚轮滑动、触摸板操控等功能。</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3.要求产品显示桌面可以实时同步到手机上,手机通过两个手指对产品桌面进行放大、缩小和漫游操作 ,方便手机端对产品进行远程控制。客户端投屏至少支持桌面同步、镜像投屏和拓展投屏功能，点击功能会跳转至对应控制页面；客户端进入控制页面，支持调节投屏清晰度，至少支持超清、高清等标准。</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三、教学管理软件</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软件可最小化至任务栏或退出应用，方便老师按照个人习惯使用；需支持组件及应用，默认显示天气组件，并显示我的电脑、白板、传屏、展台、资源中心、我的云盘、文件快传、回收站等；需支持快速调起白板、传屏、展台等应用；需支持将任意路径下的文件一键发送至教学桌面。</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2.可快速打开平台查看对应的资源中心及个人云盘；讲师的个人云盘存储空间不少于50G，讲师可查看自己的个人资源、云微课、云课件；讲师可将本地资源进行上传，也可将云端资源下载到本地。</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3.支持查看课程列表，至少包括常规课程、互动课程、直播课程；课表以日历的形式呈现，可直接切换点击日期查看对应的课程数量及列表。</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4.支持常规课程创建，可设置课程名称、上课日期、时间，选择班级、关联课件，设置课件自动打开时间。</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5.支持远程互动课程创建，可设置课程主题、开课日期、时间，设置成员加入课程自动上台、设置成员加入课程自动静音、设置课程密码、设置课程模式。</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6.支持直播课程创建，可在教育专属桌面直接打开平台并创建直播课程，创建完成后，在平台端可观看直播。</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7.支持对云端资源的文件/文件夹的操作，至少包含移动、重命名、分享、下载、删除、新建文件夹、刷新列表、搜索，也可通过文件名、文件更新时间、文件大小进行排序。</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8.支持云微课功能，可自动获取该账号下使用微课软件录制并上传至云端的全部文件列表；支持云课件功能，可自动获取该账号下使用白板软件制作并上传至云端的全部文件列表。</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支持手机和大屏/电脑之间的文件互传，支持文件快传弹窗，用户可扫码选择上传文件；也可选择电脑/大屏端文件进行下发，选择文件后刷新二维码弹窗，用户扫码带走文件，实现文件共享；支持查看上传的文件列表，查看文件名称、上传者及上传进度，也可打开、删除、取消文件；支持查看下载的文件列表，可查看文件名称、类型、大小、也可打开、删除、取消下载的文件。(投标需提供权威机构检测报告扫描件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w:t>
            </w:r>
            <w:r/>
          </w:p>
          <w:p>
            <w:pPr>
              <w:numPr>
                <w:ilvl w:val="0"/>
                <w:numId w:val="7"/>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设置开启/关闭数据同步，开启后，所有数据均会自动上传至云端，异地登录后也可选择下载并覆盖原有数据；支持设置开启/关闭开机自启；开启后，设备开机则会直接打开教学桌面；关闭后，设备开机则不会打开教学桌面，用户可以选择通过点击图标再打开。</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四、OPS插拔式电脑</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1．采用OPS插拔式架构，针脚数80pin，屏体与插拔式电脑无单独接线；</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2．处理器配置不低于6核心处理器性能；内存不低于8G；硬盘不低于256G-SSD 固态硬盘；</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3．具有独立非外扩展接口：HDMI out≥1 、Mic in≥1、 LINE-out≥1个、USB口≥6个，Rj45≥1个；</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4．内置有线网卡和无线网卡。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移动支架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适用于55-86英寸显示屏</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移动支架最大承重：不低于180KG</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紫外线灯定时开关</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工作电压:220V 50/60HZ</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基本功能</w:t>
            </w:r>
            <w:r>
              <w:rPr>
                <w:rFonts w:hint="eastAsia" w:ascii="宋体" w:hAnsi="宋体" w:eastAsia="宋体" w:cs="宋体"/>
                <w:i w:val="0"/>
                <w:iCs w:val="0"/>
                <w:color w:val="000000"/>
                <w:sz w:val="22"/>
                <w:szCs w:val="22"/>
                <w:highlight w:val="none"/>
                <w:u w:val="none"/>
                <w:lang w:val="en-US" w:eastAsia="zh-CN" w:bidi="ar"/>
              </w:rPr>
              <w:t xml:space="preserve"> 定时区间：0-120分钟</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机械金属机芯，带保护盖</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紫外线灯智能数据采集模块</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工作电压：220V（50HZ)</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基本功能 检测功率范围：5W-2500W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联网功能 电流电压数据上传、工作数据上传</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读取教室内所有紫外线灯的工作总数据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手持超微雾化器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电池类型 内置锂电池</w:t>
            </w:r>
            <w:r>
              <w:rPr>
                <w:rFonts w:hint="eastAsia" w:ascii="宋体" w:hAnsi="宋体" w:eastAsia="宋体" w:cs="宋体"/>
                <w:i w:val="0"/>
                <w:iCs w:val="0"/>
                <w:color w:val="000000"/>
                <w:sz w:val="22"/>
                <w:szCs w:val="22"/>
                <w:highlight w:val="none"/>
                <w:u w:val="none"/>
                <w:lang w:val="en-US" w:eastAsia="zh-CN" w:bidi="ar"/>
              </w:rPr>
              <w:t xml:space="preserve">不小于</w:t>
            </w:r>
            <w:r>
              <w:rPr>
                <w:rFonts w:hint="eastAsia" w:ascii="宋体" w:hAnsi="宋体" w:eastAsia="宋体" w:cs="宋体"/>
                <w:i w:val="0"/>
                <w:iCs w:val="0"/>
                <w:color w:val="000000"/>
                <w:sz w:val="22"/>
                <w:szCs w:val="22"/>
                <w:highlight w:val="none"/>
                <w:u w:val="none"/>
                <w:lang w:val="en-US" w:eastAsia="zh-CN" w:bidi="ar"/>
              </w:rPr>
              <w:t xml:space="preserve">/2000mAh</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充电电压 5V1A</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喷雾量 约12.5ml-16ml/min</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联网功能 打卡消毒，可将消毒数据上传</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落地式雾化器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工作电压：220V-240V</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额定功率：100W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雾化量：1.5L/小时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基本功能：定时功能、雾量调节、断水断电保护、间歇喷雾</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联网功能：在线设置工作任务、监控机器状态、消毒数据上传</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泡沫免洗手机器人</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电池类型 内置锂电池</w:t>
            </w:r>
            <w:r>
              <w:rPr>
                <w:rFonts w:hint="eastAsia" w:ascii="宋体" w:hAnsi="宋体" w:eastAsia="宋体" w:cs="宋体"/>
                <w:i w:val="0"/>
                <w:iCs w:val="0"/>
                <w:color w:val="000000"/>
                <w:sz w:val="22"/>
                <w:szCs w:val="22"/>
                <w:highlight w:val="none"/>
                <w:u w:val="none"/>
                <w:lang w:val="en-US" w:eastAsia="zh-CN" w:bidi="ar"/>
              </w:rPr>
              <w:t xml:space="preserve">不小于</w:t>
            </w:r>
            <w:r>
              <w:rPr>
                <w:rFonts w:hint="eastAsia" w:ascii="宋体" w:hAnsi="宋体" w:eastAsia="宋体" w:cs="宋体"/>
                <w:i w:val="0"/>
                <w:iCs w:val="0"/>
                <w:color w:val="000000"/>
                <w:sz w:val="22"/>
                <w:szCs w:val="22"/>
                <w:highlight w:val="none"/>
                <w:u w:val="none"/>
                <w:lang w:val="en-US" w:eastAsia="zh-CN" w:bidi="ar"/>
              </w:rPr>
              <w:t xml:space="preserve">/2000mAh</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充电电压 5V1A</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单次喷液量 幼儿约0.2ml、儿童约0.4ml</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联网功能：1.远程程序升级2.在线监控机器状态3.消毒数据上传4.在线更改语音提示</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鹅颈无线光学展示台</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一.硬件技术：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1.外型规格 ：机身采用高档铝合金材质外观一体成型，鹅颈式金属软管设计，拍摄高度角度可任意调节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2.摄像</w:t>
            </w:r>
            <w:r>
              <w:rPr>
                <w:rFonts w:hint="eastAsia" w:ascii="宋体" w:hAnsi="宋体" w:eastAsia="宋体" w:cs="宋体"/>
                <w:i w:val="0"/>
                <w:iCs w:val="0"/>
                <w:color w:val="000000"/>
                <w:sz w:val="22"/>
                <w:szCs w:val="22"/>
                <w:highlight w:val="none"/>
                <w:u w:val="none"/>
                <w:lang w:val="en-US" w:eastAsia="zh-CN" w:bidi="ar"/>
              </w:rPr>
              <w:t xml:space="preserve">头: 1/2.9英寸专业CMOS光学感光镜头,</w:t>
            </w:r>
            <w:r>
              <w:rPr>
                <w:rFonts w:hint="eastAsia" w:ascii="宋体" w:hAnsi="宋体" w:eastAsia="宋体" w:cs="宋体"/>
                <w:i w:val="0"/>
                <w:iCs w:val="0"/>
                <w:color w:val="000000"/>
                <w:sz w:val="22"/>
                <w:szCs w:val="22"/>
                <w:highlight w:val="none"/>
                <w:u w:val="none"/>
                <w:lang w:val="en-US" w:eastAsia="zh-CN" w:bidi="ar"/>
              </w:rPr>
              <w:t xml:space="preserve">不小于</w:t>
            </w:r>
            <w:r>
              <w:rPr>
                <w:rFonts w:hint="eastAsia" w:ascii="宋体" w:hAnsi="宋体" w:eastAsia="宋体" w:cs="宋体"/>
                <w:i w:val="0"/>
                <w:iCs w:val="0"/>
                <w:color w:val="000000"/>
                <w:sz w:val="22"/>
                <w:szCs w:val="22"/>
                <w:highlight w:val="none"/>
                <w:u w:val="none"/>
                <w:lang w:val="en-US" w:eastAsia="zh-CN" w:bidi="ar"/>
              </w:rPr>
              <w:t xml:space="preserve">800万像素，10倍光学放大，10倍数码放大；镜头自带图像旋转功能；不小于A3幅面(需提供权威机构检测报告</w:t>
            </w:r>
            <w:r>
              <w:rPr>
                <w:rFonts w:hint="eastAsia" w:ascii="宋体" w:hAnsi="宋体" w:eastAsia="宋体" w:cs="宋体"/>
                <w:i w:val="0"/>
                <w:iCs w:val="0"/>
                <w:color w:val="auto"/>
                <w:sz w:val="22"/>
                <w:szCs w:val="22"/>
                <w:highlight w:val="none"/>
                <w:u w:val="none"/>
                <w:lang w:val="en-US" w:eastAsia="zh-CN" w:bidi="ar"/>
              </w:rPr>
              <w:t xml:space="preserve">扫描件并加盖投标人公</w:t>
            </w:r>
            <w:r>
              <w:rPr>
                <w:rFonts w:hint="eastAsia" w:ascii="宋体" w:hAnsi="宋体" w:eastAsia="宋体" w:cs="宋体"/>
                <w:i w:val="0"/>
                <w:iCs w:val="0"/>
                <w:color w:val="000000"/>
                <w:sz w:val="22"/>
                <w:szCs w:val="22"/>
                <w:highlight w:val="none"/>
                <w:u w:val="none"/>
                <w:lang w:val="en-US" w:eastAsia="zh-CN" w:bidi="ar"/>
              </w:rPr>
              <w:t xml:space="preserve">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3.摄像头部分带保护镜片密封，防尘等级达到IP4X 级别，防水等级达到 IPX2 级别</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4.补光：四级触摸调光，改善画质；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5.7个亚克力防尘触摸按键：放大、缩小、自动、亮度+、亮度-、灯光、拍照/录像等，方便教学。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6.连接方式：无线（5.8G）与有线(USB)两种通道传输模式，无线可自动对频连接，无需扫码或输入无线密码进行连接,无线状态下可无障碍 30 米传输图像 @5M@30FPS；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7.无线状态下可同时将展台信号传输至无 PC 显示器端和带 PC 端展台软件两台设备上；也可以单独将信号直接传输至无 PC 显示器端或直接输出至PC电脑软件上；(提供权威机构检测报告扫描件并加盖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8.无线状态下硬件可对接任意第三方品牌展台软件，无需锁定特定展台软件(提供权威机构检测报告扫描件并加盖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.具备电量提示功能：开机按键根据电量存余比例对应数量提示。(投标需</w:t>
            </w:r>
            <w:r>
              <w:rPr>
                <w:rFonts w:hint="eastAsia" w:ascii="宋体" w:hAnsi="宋体" w:eastAsia="宋体" w:cs="宋体"/>
                <w:i w:val="0"/>
                <w:iCs w:val="0"/>
                <w:color w:val="auto"/>
                <w:sz w:val="22"/>
                <w:szCs w:val="22"/>
                <w:highlight w:val="none"/>
                <w:u w:val="none"/>
                <w:lang w:val="en-US" w:eastAsia="zh-CN" w:bidi="ar"/>
              </w:rPr>
              <w:t xml:space="preserve">提供权威机构所出具的权威检测报告扫描件并加盖投标人公</w:t>
            </w:r>
            <w:r>
              <w:rPr>
                <w:rFonts w:hint="eastAsia" w:ascii="宋体" w:hAnsi="宋体" w:eastAsia="宋体" w:cs="宋体"/>
                <w:i w:val="0"/>
                <w:iCs w:val="0"/>
                <w:color w:val="000000"/>
                <w:sz w:val="22"/>
                <w:szCs w:val="22"/>
                <w:highlight w:val="none"/>
                <w:u w:val="none"/>
                <w:lang w:val="en-US" w:eastAsia="zh-CN" w:bidi="ar"/>
              </w:rPr>
              <w:t xml:space="preserve">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10.安全：采用认证18650电池及安全保护电路，保障设备使用安全；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11.自动对焦：采用AF自动聚焦；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二.软件功能：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1、实物展示：对展示的画面可以进行动态即时左右旋转、放大、缩小、实际大小、全屏等操作；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2、功能设置：进行对焦、白平衡、亮度、对比度、饱和度、等设置，也可以一键将设置恢复为默认值，可设置图像的分辨率，设置后软件自动保存；图像文件存储：可保存拍摄图片资源，并可以随意浏览；</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3、微课：录制电脑屏幕，一键开始，一键停止，视频同步；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4、拍照：软件支持常规拍照、延时拍照等多种拍照模式；</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5、批注与擦除：支持动态批注，可选择颜色与线宽，可快速清除；</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大屏无线协作终端会议盒子</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硬件系统：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127*97*20mm</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2)CPU：</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四核；</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3)内存：</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2G；</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4)存储：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16G。</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5)显示分辨率：</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3840*2160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6)视频接口：</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1路HDMI输出接口</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7)音频接口：</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1个3.5mm音频输出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8)USB接口：</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1个USB2.0；1个USB 3.0；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9)有线网络：</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1个10/100/1000Mbps以太网RJ45接口；</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10)无线网络：2个WiF</w:t>
            </w:r>
            <w:r>
              <w:rPr>
                <w:rFonts w:hint="eastAsia" w:ascii="宋体" w:hAnsi="宋体" w:eastAsia="宋体" w:cs="宋体"/>
                <w:i w:val="0"/>
                <w:iCs w:val="0"/>
                <w:color w:val="000000"/>
                <w:sz w:val="22"/>
                <w:szCs w:val="22"/>
                <w:highlight w:val="none"/>
                <w:u w:val="none"/>
                <w:lang w:val="en-US" w:eastAsia="zh-CN" w:bidi="ar"/>
              </w:rPr>
              <w:t xml:space="preserve">i</w:t>
            </w:r>
            <w:r>
              <w:rPr>
                <w:rFonts w:hint="eastAsia" w:ascii="宋体" w:hAnsi="宋体" w:eastAsia="宋体" w:cs="宋体"/>
                <w:i w:val="0"/>
                <w:iCs w:val="0"/>
                <w:color w:val="ff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（802.11AC协议）无线模块；支持AP热点、STA终端连接、WiFi P2P工作模式；；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11)天线：内置3根高增益全向天线；</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12)开机时长：＜30s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13)电源：DC5V2A</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软件系统：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1)Airplay投屏：支持苹果iOS、MacOS设备自带的Airplay投</w:t>
            </w:r>
            <w:r>
              <w:rPr>
                <w:rFonts w:hint="eastAsia" w:ascii="宋体" w:hAnsi="宋体" w:eastAsia="宋体" w:cs="宋体"/>
                <w:i w:val="0"/>
                <w:iCs w:val="0"/>
                <w:color w:val="000000"/>
                <w:sz w:val="22"/>
                <w:szCs w:val="22"/>
                <w:highlight w:val="none"/>
                <w:u w:val="none"/>
                <w:lang w:val="en-US" w:eastAsia="zh-CN" w:bidi="ar"/>
              </w:rPr>
              <w:t xml:space="preserve">屏功能、无需安装任何软件；支持Airplay多路投屏；Miracast投屏：支持Android设备（手机、Pad）系统自带的无线投屏功能、无需安装任何软件；支持miracast多路投屏；支持HDCP，可以正常播放有版权的内容信息；WiDi投屏：无需安装任何软件；支持WiDi多路投屏；支持局域网MICE投屏；GooGlecast投屏：支持Googlecast的安卓设备无线投屏，支持Chrome、Edge浏览器投屏；Huawei Cast+投屏：支持华为/荣耀手机（含鸿蒙）自带的无线投屏功能、无需安装任何软件；</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)客户端投屏：可提供Android、iOS、MacOS、Windows 4套发射端软件,支持Windows、Mac、Android、iOS设备安装软件客户端方式进行无线投屏；支持扫码投屏和投屏码投屏；PC客户端支持扩展屏投屏和程序窗口投屏；客户端投屏支持跨网段投屏；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)网页投屏：支持Chrome内核浏览器，局域网内输入IP地址直接投屏，无需安装软件；（提供权威机构出具的检测报告扫描件加盖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商公章进行佐证）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)按键发射器：可选配USB/HDMI/Type-C三种接口的按键发射器，支持一键投屏；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)投屏PIN码：支持投屏安全加密，兼容Miracast PIN码，可有效避免误投；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)投屏时延：≤150ms；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)投屏距离：局域网投屏无距离限制；点对点投屏（无阻挡）最大可至40m；</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)投屏水印：支持投屏画面显示投屏环境水印信息（设备名称、当前会议室、时间等），方便信息追溯；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)抢投模式：提供抢投开启和关闭功能，允许或者禁止下一个用户的投屏画面抢占当前显示画面；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)★投屏反控：支持USB Touch，支持</w:t>
            </w:r>
            <w:r>
              <w:rPr>
                <w:rFonts w:hint="eastAsia" w:ascii="宋体" w:hAnsi="宋体" w:eastAsia="宋体" w:cs="宋体"/>
                <w:i w:val="0"/>
                <w:iCs w:val="0"/>
                <w:color w:val="000000"/>
                <w:sz w:val="22"/>
                <w:szCs w:val="22"/>
                <w:highlight w:val="none"/>
                <w:u w:val="none"/>
                <w:lang w:val="en-US" w:eastAsia="zh-CN" w:bidi="ar"/>
              </w:rPr>
              <w:t xml:space="preserve">多种系统</w:t>
            </w:r>
            <w:r>
              <w:rPr>
                <w:rFonts w:hint="eastAsia" w:ascii="宋体" w:hAnsi="宋体" w:eastAsia="宋体" w:cs="宋体"/>
                <w:i w:val="0"/>
                <w:iCs w:val="0"/>
                <w:color w:val="000000"/>
                <w:sz w:val="22"/>
                <w:szCs w:val="22"/>
                <w:highlight w:val="none"/>
                <w:u w:val="none"/>
                <w:lang w:val="en-US" w:eastAsia="zh-CN" w:bidi="ar"/>
              </w:rPr>
              <w:t xml:space="preserve">手机和电脑投屏反向控制；（投标需提供权威机构出具的检测报告扫描件加盖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公章进行佐证）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)多画面显示：最大可支持2路投屏终端同时无线投屏显示，能够在显示终端上自适应进行双画面显示切换。多屏画面布局下，支持对单一显示画面静音、全屏或移出操作；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)弱网传输：支持弱网传输对抗，可在10%~20%的网络丢包率情况下仍能流畅稳定投屏；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)UI主题：内置多套UI设计模板，可自定义选择UI风格；</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)自定义壁纸：支持自定义更换系统壁纸，支持多壁纸循环播放；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)自定义动画：支持自定义更换系统开机动画，支持多视频文件循环播放；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t xml:space="preserve">)信息发布：内置图片、视频、字幕推送功能，通过web管理系统或统一管理平台，可自定义设置信息发布的内容和发布；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lang w:val="en-US" w:eastAsia="zh-CN" w:bidi="ar"/>
              </w:rPr>
              <w:t xml:space="preserve">)投屏状态监测：支持投屏分辨率、丢包率、码率、帧率及信号强度信息显示；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lang w:val="en-US" w:eastAsia="zh-CN" w:bidi="ar"/>
              </w:rPr>
              <w:t xml:space="preserve">)WEB管理：智能终端支持web管理控制，通过web管理可远程进行设备参数配置和产品运维；</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lang w:val="en-US" w:eastAsia="zh-CN" w:bidi="ar"/>
              </w:rPr>
              <w:t xml:space="preserve">)自动开关机：内置独立MCU处理电路，可监控主机状态，支持定时重启功能；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t xml:space="preserve">)自动休眠：支持空闲时自动进入休眠状态；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lang w:val="en-US" w:eastAsia="zh-CN" w:bidi="ar"/>
              </w:rPr>
              <w:t xml:space="preserve">)Web上网认证：支持Portal登录认证，提供更安全的网络连接服务；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)★集控管理：可接入统一管理平台，支持远程管控，支持统一运维管控；（投标需提供权威机构出具的检测报告扫描件加盖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公章进行佐证）</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)系统语言：支持简体中文、繁体中文、英文</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多媒体控制终端</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一、控制终端技术要求：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1、支持独立控制面板，金属边框材质，亚克力触摸按键，左侧控制按键，每个按键都具备状态指示灯，按键面板设有刷卡区域，方便用户IC卡刷卡操作；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2、主机内置高性能HDMI音视频高清交叉矩阵模块，支持HDMI矩阵切换：HDMI输入口:3路 ，HDMI输出口:2路，支持4K高清输出，支持HDMI音视频分离；</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3、主机具备1路功率检测功能设备电源输出接口，可实时反馈当前用电设备的用电功率智能判断用电设备的工作状态，设备电源输出接口具有延时断电功能；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4、主机内置232控制码，通过4位拨码开关选择投影机、触摸一体机等品牌控制码无需写码，永不丢码；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主机具有3.5音频输出接口：≥1路，控制面板接口：≥1路，外接读卡器接口：≥1路，RJ45接口：≥4路，RS232控制接口：≥2路，RS485控制接口：≥2路，I/O口：≥4路，5V直流可控电源接口：≥2路，12V直流可控电源接口：≥2路，USB-B型接口：≥1路，电源输入接口：≥1路，功率检测电源输出接口：≥1路，幕布电源输出接口：≥1路；（投标需提供佐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二、控制终端嵌入式软件要求：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1、控制终端软件采用嵌入式Linux或国产操作系统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、终端控制软件支持对教室多媒体设备和环境设备的精细化控制，视频源切换、广播等功能；</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、支持对接智能物联网综合管理平台，控制和管理教室本地设备协同工作；</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健康上报系统</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【健康打卡】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1.支持家长通过手机微信绑定孩子和绑定班级，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系统定时推送提醒，家长帮助孩子测量体温、观察体况以及如实上报共同居住家庭成员疫情重点地区旅行史、往来人员的接触史后选择正常上报或异常上报，系统智能比对，自动生成红、黄、青、绿码，分类进行正常上学或居家观察或送医就诊等状态提醒，指导家长精确判断、合理安排。</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【出勤日报】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1.支持班主任和学校管理员随时随地查看当日班级每个</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健康状态和</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离家上学前健康打卡的情况，待全部</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健康打卡完成后点击“出勤日报”上报即可。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【异常登记】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在校期间身体出现异常状况后，班主任扫码或选择该</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进行所见症状的记录并及时点击“异常登记”上报即可。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【复学申请审批】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1.支持家长在孩子病情痊愈、症状消失后复学时，只需在变更申报栏目中填报和提交证明材料，待班主任或校医审验通过后方能健康打卡正常上学。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入校时自助刷码签到，筛选并阻止健康异常状态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入校。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3.以模板消息的方式告知家长孩子入校时间或来校接回孩子居家观察、送医就诊。</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4.支持学校相关负责人和班主任实时查看详情和历史记录。</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★投标人所投产品需提供平台系统功能截图扫描件并加盖投标人公章</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控制管理移动终端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屏幕尺寸：≥10 英寸及以上;</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处理器：≥八核处理器;内存容量：≥4G，存储容量：≥64GB;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分辨率≥1920*1200;前置摄像头≥500 万像素，后置摄像头≥800 万像素;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终端电池容量≥7000mAh;</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具备802.11ac/a/b/g/n 无线协议；需具备无线蓝牙；配置皮套。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线材辅料</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含设备安装所需电源线、信号线、网线等等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r>
      <w:tr>
        <w:trPr>
          <w:trHeight w:val="79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系统集成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包含设备安装、运输、培训</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r>
      <w:tr>
        <w:trPr>
          <w:trHeight w:val="795"/>
        </w:trPr>
        <w:tc>
          <w:tcPr>
            <w:gridSpan w:val="5"/>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auto"/>
                <w:sz w:val="24"/>
                <w:highlight w:val="none"/>
                <w:lang w:val="en-US" w:eastAsia="zh-CN"/>
              </w:rPr>
              <w:t xml:space="preserve">备注：其中</w:t>
            </w:r>
            <w:r>
              <w:rPr>
                <w:rFonts w:hint="eastAsia" w:ascii="宋体" w:hAnsi="宋体" w:eastAsia="宋体" w:cs="宋体"/>
                <w:b/>
                <w:bCs/>
                <w:color w:val="auto"/>
                <w:sz w:val="24"/>
                <w:highlight w:val="none"/>
                <w:lang w:val="en-US" w:eastAsia="zh-CN"/>
              </w:rPr>
              <w:fldChar w:fldCharType="begin"/>
            </w:r>
            <w:r>
              <w:rPr>
                <w:rFonts w:hint="eastAsia" w:ascii="宋体" w:hAnsi="宋体" w:eastAsia="宋体" w:cs="宋体"/>
                <w:b/>
                <w:bCs/>
                <w:color w:val="auto"/>
                <w:sz w:val="24"/>
                <w:highlight w:val="none"/>
                <w:lang w:val="en-US" w:eastAsia="zh-CN"/>
              </w:rPr>
              <w:instrText xml:space="preserve"> HYPERLINK "" \l "汇总清单!A1" </w:instrText>
            </w:r>
            <w:r>
              <w:rPr>
                <w:rFonts w:hint="eastAsia" w:ascii="宋体" w:hAnsi="宋体" w:eastAsia="宋体" w:cs="宋体"/>
                <w:b/>
                <w:bCs/>
                <w:color w:val="auto"/>
                <w:sz w:val="24"/>
                <w:highlight w:val="none"/>
                <w:lang w:val="en-US" w:eastAsia="zh-CN"/>
              </w:rPr>
              <w:fldChar w:fldCharType="separate"/>
            </w:r>
            <w:r>
              <w:rPr>
                <w:rFonts w:hint="eastAsia" w:ascii="宋体" w:hAnsi="宋体" w:eastAsia="宋体" w:cs="宋体"/>
                <w:b/>
                <w:bCs/>
                <w:color w:val="auto"/>
                <w:sz w:val="24"/>
                <w:highlight w:val="none"/>
                <w:lang w:val="en-US" w:eastAsia="zh-CN"/>
              </w:rPr>
              <w:t xml:space="preserve">智慧托育应用管理平台</w:t>
            </w:r>
            <w:r>
              <w:rPr>
                <w:rFonts w:hint="eastAsia" w:ascii="宋体" w:hAnsi="宋体" w:eastAsia="宋体" w:cs="宋体"/>
                <w:b/>
                <w:bCs/>
                <w:color w:val="auto"/>
                <w:sz w:val="24"/>
                <w:highlight w:val="none"/>
                <w:lang w:val="en-US" w:eastAsia="zh-CN"/>
              </w:rPr>
              <w:fldChar w:fldCharType="end"/>
            </w:r>
            <w:r>
              <w:rPr>
                <w:rFonts w:hint="eastAsia" w:ascii="宋体" w:hAnsi="宋体" w:eastAsia="宋体" w:cs="宋体"/>
                <w:b/>
                <w:bCs/>
                <w:color w:val="auto"/>
                <w:sz w:val="24"/>
                <w:highlight w:val="none"/>
                <w:lang w:val="en-US" w:eastAsia="zh-CN"/>
              </w:rPr>
              <w:t xml:space="preserve">必须为基于安全可靠测评结果等级I级及以上的处理器（CPU）、操作系统和数据库开发，投标人需提供相关承诺与之适配环境的详细实施方案，否则招标人有权拒绝和中标方签订合同。安全可靠测评结果查阅中国信息安全测评中心发布的测评公告（网址：http://www.itsec.gov.cn/，查阅“测评公告”）。</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auto"/>
                <w:sz w:val="32"/>
                <w:szCs w:val="32"/>
                <w:highlight w:val="none"/>
                <w:u w:val="none"/>
                <w:lang w:val="en-US" w:eastAsia="zh-CN" w:bidi="ar"/>
              </w:rPr>
              <w:fldChar w:fldCharType="begin"/>
            </w:r>
            <w:r>
              <w:rPr>
                <w:rFonts w:hint="eastAsia" w:ascii="宋体" w:hAnsi="宋体" w:eastAsia="宋体" w:cs="宋体"/>
                <w:b/>
                <w:bCs/>
                <w:i w:val="0"/>
                <w:iCs w:val="0"/>
                <w:color w:val="auto"/>
                <w:sz w:val="32"/>
                <w:szCs w:val="32"/>
                <w:highlight w:val="none"/>
                <w:u w:val="none"/>
                <w:lang w:val="en-US" w:eastAsia="zh-CN" w:bidi="ar"/>
              </w:rPr>
              <w:instrText xml:space="preserve"> HYPERLINK "" \l "汇总清单!A1" </w:instrText>
            </w:r>
            <w:r>
              <w:rPr>
                <w:rFonts w:hint="eastAsia" w:ascii="宋体" w:hAnsi="宋体" w:eastAsia="宋体" w:cs="宋体"/>
                <w:b/>
                <w:bCs/>
                <w:i w:val="0"/>
                <w:iCs w:val="0"/>
                <w:color w:val="auto"/>
                <w:sz w:val="32"/>
                <w:szCs w:val="32"/>
                <w:highlight w:val="none"/>
                <w:u w:val="none"/>
                <w:lang w:val="en-US" w:eastAsia="zh-CN" w:bidi="ar"/>
              </w:rPr>
              <w:fldChar w:fldCharType="separate"/>
            </w:r>
            <w:r>
              <w:rPr>
                <w:rStyle w:val="692"/>
                <w:rFonts w:hint="eastAsia" w:ascii="宋体" w:hAnsi="宋体" w:eastAsia="宋体" w:cs="宋体"/>
                <w:b/>
                <w:bCs/>
                <w:i w:val="0"/>
                <w:iCs w:val="0"/>
                <w:color w:val="auto"/>
                <w:sz w:val="32"/>
                <w:szCs w:val="32"/>
                <w:highlight w:val="none"/>
                <w:u w:val="none"/>
              </w:rPr>
              <w:t xml:space="preserve">3.智慧托育展示厅</w:t>
            </w:r>
            <w:r>
              <w:rPr>
                <w:rFonts w:hint="eastAsia" w:ascii="宋体" w:hAnsi="宋体" w:eastAsia="宋体" w:cs="宋体"/>
                <w:b/>
                <w:bCs/>
                <w:i w:val="0"/>
                <w:iCs w:val="0"/>
                <w:color w:val="auto"/>
                <w:sz w:val="32"/>
                <w:szCs w:val="32"/>
                <w:highlight w:val="none"/>
                <w:u w:val="none"/>
                <w:lang w:val="en-US" w:eastAsia="zh-CN" w:bidi="ar"/>
              </w:rPr>
              <w:fldChar w:fldCharType="end"/>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技术规格</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红外对频无线扩声一体机</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有源音箱：</w:t>
            </w:r>
            <w:r/>
          </w:p>
          <w:p>
            <w:pPr>
              <w:numPr>
                <w:ilvl w:val="0"/>
                <w:numId w:val="8"/>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接线方式：主音箱采用下沉嵌入式接线端口，插上线后线材插头引藏不外露；使接线后不再杂乱、更整洁美观；</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、音箱二分频单元组成，≥5寸中低音单元：≥3寸高音单元，音质层次更丰富；</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、内置D类≥50W数字功放电路，峰值功率≥100W；具有≥1组立体声音频输入，副箱输出1组，红外模块扩展口1组，要求内置双接收天线；</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、DSP专业音频处理主控（32位RISC内核，最高频率 288MHz，集成FPU支持浮点运算），具有高速的运算能力，音乐及话筒扩音分别单独算法，营造创新扩音体验；</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标配：音箱配套顶部吊装挂件一套及设备壁挂安装的不锈钢螺丝胶塞：电源线8字尾，无氧铜1.5米一条；立体声带屏蔽音频3.5转3.5，无氧铜3米线一条；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音箱数字功放需提供采用DSP音频处理芯片，音乐及话筒分别单独算法，音乐模式及话筒扩音模式，双通道音效分别独立控制；营造创新扩音体验；模拟真人开机提示音，学习氛围从仪式感开启；音乐闪避，话筒优先：使用无线话筒时，音箱播放中的音乐声音会逐渐由大变小，具有音乐闪避、话筒优先功能，突显话筒声音；该功能具有独立物理开关按钮，可启用或关闭。（投标需提供权威机构检测报告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红外对频无线话筒：</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1、吊坠式话筒具备防滚跌落设计；ABS+PC塑料材质，外观新颖，话筒顶部为黑透红透红外材质；话筒不慎跌落地上要求不能出现有炸咪现象。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话筒采用红外(波长900nm)及UHF双频技术，稳定可靠避免串频、断频问题；无线话筒采用电容式驻极体音头，拾音距离≥20cm清晰拾音，符合人体工学轻松使用，不需刻意将话筒贴近嘴巴拾音使用；同时具有3.5mm外接话筒接口，可外接头戴或领夹咪使用或传输其它音频文件；（提供权威机构检测报告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3、开机自动配对，要求话筒连接成功及断开均有提示音，兼容同品牌接收设备，携带话筒任意一个教室使用，人手一话筒，干净卫生、易管理；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内置智能传感器陀螺仪功能，话筒放置桌面静止短时间不使用会自动静音，拿起话筒激活使用，无需再繁琐操作按键；长时间不使用话筒则会自动关机；实现即用即忘的智能目的；同一环境下多支无线话筒使用时，具有后进先出模式功能，无需关闭使用中的话筒，可强行切入使用，多话筒灵活切换使用，师生课堂互动更灵活。</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、考虑无线话筒耐用性，要求无线话筒采用通用性强的1节AA 14500型号（3.7V）的可充电锂离子电池，话筒背面为独立的可拆卸电池盖，后期更换电池维护无优；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、可选配套甄选尼龙布+EVA+佳积布材质定致而成专属手提话筒收纳包，并印制有“麦克风专用包”字样；可收纳话筒、头戴咪、充电线、U盘、手机等教学辅件；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红外无线连接器：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采用3.5mm插头,适用于同品牌扩声设备，长度≥3米；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多功能麦克风充电箱：</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1、金属材质，壁挂式安装，带机械锁有效保护麦克风及相关配件丢失；</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2、具备麦克风收纳、充电、充电检测保护、红外对频接收等功能于一体；</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3、要求麦克风充电柜具红外对频接收功能，接收器件≥3个，有效避免对频连接角度小问题；支持话筒正反面均可进行充电，无需担心话筒放反充不上电情况。</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LED小间距全彩</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室内显示屏</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1、像素点间距：1.86mm；像素点密度：288906像素点/平方米。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2、模组尺寸：320*160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3、LED灯珠波长误差范围：芯片的波长误差值在±1nm之内，每个灯芯的亮度误差在5%之内</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4、PCB设计：灯驱合一，多层电路板HDI工艺设计，PCB焊盘采用沉金工艺处理，具备独特的消隐、节能功能；LED发光芯片共阴设计，通过EBL技术提高发光效率。符合CQC13-471301- 2018标准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5、屏面反光率：≤2%;</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6、维护方式及安装方式：支持纯前维护方式。支持后维护。支持模组磁吸安装方式。支持带电维护;</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、亮度调节：支持通过配套软件0-100%多级调节，设置亮度定时调节，及通过亮度传感器自动调节（手动/自动/软件任意调节）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、图像处理功能：具体视频降噪、运动补偿、色彩变换等图像处理功能；支持多色域转换；符合4K超高清显示认证与HDR 显示认证要求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、自检技术：可实现LED单点检测，通讯检测，温度检测，电源检测，温度监控；可实现远程监督控制，对可能发生的潜在故障记录日志，并向操作员发出警报信号；可一键自检。</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t xml:space="preserve">、功耗（W/㎡）：峰值650，平均：≤200，带电黑屏：≤30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lang w:val="en-US" w:eastAsia="zh-CN" w:bidi="ar"/>
              </w:rPr>
              <w:t xml:space="preserve">、像素点失控（坏点）率：≤1/1500000；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、画面延时：≤1ms；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t xml:space="preserve">、平均修复时间（MTTR）：≤2分钟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lang w:val="en-US" w:eastAsia="zh-CN" w:bidi="ar"/>
              </w:rPr>
              <w:t xml:space="preserve">、支持屏体拼缝亮线，暗线校正：先进的除亮、暗线功能，从软、硬两方面彻底改善困扰小间距LED安装精度造成的亮、暗线问题；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lang w:val="en-US" w:eastAsia="zh-CN" w:bidi="ar"/>
              </w:rPr>
              <w:t xml:space="preserve">、绝缘电阻试验：电源插头或电源引入端子与外壳裸露金属部件之间的绝缘电阻在正常大气条件下应≥100MΩ，湿热条件下应≥2MΩ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机械强度测试：根据GB 4943.1-2011信息技术设备安全标准对设备进行机械强度试验（提供权威机构检测报告扫描件并加盖投标人公章）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lang w:val="en-US" w:eastAsia="zh-CN" w:bidi="ar"/>
              </w:rPr>
              <w:t xml:space="preserve">、P1.86;面积5.12m*2.56m，屏幕像素:2752*1376，箱体数量:16宽*16高                 </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lang w:val="en-US" w:eastAsia="zh-CN" w:bidi="ar"/>
              </w:rPr>
              <w:t xml:space="preserve">、含电源，接收卡</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平米</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视频处理器</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最大带载520万像素，最宽8192像素，最高4096像素，HDMI×1、DVI×2 、SDI×1,3画面显示，位置、大小自由调节，最大输入分辨率1920*1200@60Hz，支持分辨率任意设置，支持串口控制，支持双USB2.0控制和级联，8路千兆网口输出</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大屏控制软件</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控制软件:控制播放软件</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智能配电柜</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1.控制方式：RS485转USB控制，+中控485协议，网络TCP协议，网络UDP协议,232协议+多台联控+RF无线遥控+按键启动+网口控制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2.产品特点: 手自动一体，遥控开关，PLC远程控制，定时开关，分步上电，温度监测，烟雾监测，温湿度采集保护</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3.软件实时监控温度，烟雾。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4.支持分布式阶级上电/断电功能。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5.支持高温断电，烟雾断电，过流，短路断电。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6.支持遥控，电脑控制。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7.设备前端和电脑端同时报警。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8.可自定义编辑启动时间，停止时间，每日定时开关机编辑点不少于4个，每个定时点带是否启用功能，在一周内每天可设置不同的定时点和每组星期；每组定时单独控制，每组星期单独选项。 </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9.温度上下限报警，报警并断电记录。</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钢结构及包边</w:t>
            </w:r>
            <w:r/>
          </w:p>
        </w:tc>
        <w:tc>
          <w:tcPr>
            <w:shd w:val="clear" w:color="auto" w:fill="ffffff"/>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国标材料现场制作</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平米</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智拼平板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显示区域≥1210.8mm宽 × 682.0mm高,壁挂支架。2.材质:铝型材加钣金结构，符合国家标准，静电喷涂工艺，经久耐用，底坐钣金结构，底坐高度及倾斜角度符合人体工学结构，方便触摸及与大屏互动。</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（一）硬件参数要求： </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2.1屏幕尺寸≥55英寸，LED背光，显示比例:16:9(全屏)，屏幕物理分辨率≥1920*1080，亮度≥350cd/㎡；对比度≥4000:1；可视角度≥178度；具备不小于2*15W或总功率30w的音箱。</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2.2具备常用功能的前置快捷按键，可满足Windows系统的上网需求；</w:t>
            </w:r>
            <w:r/>
          </w:p>
          <w:p>
            <w:pPr>
              <w:numPr>
                <w:ilvl w:val="0"/>
                <w:numId w:val="0"/>
              </w:num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2.3支持手机、电脑投屏，投屏器带大屏接收器；</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2.4内置感光控制系统,具备护眼模式，实现智能光控，书写时屏显自动变暗，在有效保护</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和</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视力的同时，强化节能；</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t xml:space="preserve">产品无故障运行 ≥ MTBF20万小时提供国家市场监督管理总局官网针对需提供的检验检测报告编号查询结果及查询截图并加盖</w:t>
            </w:r>
            <w:r>
              <w:rPr>
                <w:rFonts w:hint="eastAsia" w:ascii="宋体" w:hAnsi="宋体" w:cs="宋体"/>
                <w:i w:val="0"/>
                <w:iCs w:val="0"/>
                <w:color w:val="000000"/>
                <w:sz w:val="22"/>
                <w:szCs w:val="22"/>
                <w:highlight w:val="none"/>
                <w:u w:val="none"/>
                <w:lang w:val="en-US" w:eastAsia="zh-CN" w:bidi="ar"/>
              </w:rPr>
              <w:t xml:space="preserve">投标人</w:t>
            </w:r>
            <w:r>
              <w:rPr>
                <w:rFonts w:hint="eastAsia" w:ascii="宋体" w:hAnsi="宋体" w:eastAsia="宋体" w:cs="宋体"/>
                <w:i w:val="0"/>
                <w:iCs w:val="0"/>
                <w:color w:val="000000"/>
                <w:sz w:val="22"/>
                <w:szCs w:val="22"/>
                <w:highlight w:val="none"/>
                <w:u w:val="none"/>
                <w:lang w:val="en-US" w:eastAsia="zh-CN" w:bidi="ar"/>
              </w:rPr>
              <w:t xml:space="preserve">公章；</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2.6整机具备护眼模式、智能光控、以及书写时屏显变暗功能； </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2.7设备支持环境烟雾检测，提高安全预警。</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（二）交互式白板软件功能：</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内置安装交互式电子白板软件及单机版资源库：具备多点书写、板擦、绘图、漫游、录放、无限漫游、照相机、聚光灯、放大镜、屏幕肃静、幕布等基础功能。页面可无限漫游，书写无边界。（</w:t>
            </w:r>
            <w:r>
              <w:rPr>
                <w:rFonts w:hint="eastAsia" w:ascii="宋体" w:hAnsi="宋体" w:eastAsia="宋体" w:cs="宋体"/>
                <w:i w:val="0"/>
                <w:iCs w:val="0"/>
                <w:color w:val="000000"/>
                <w:sz w:val="22"/>
                <w:szCs w:val="22"/>
                <w:highlight w:val="none"/>
                <w:u w:val="none"/>
                <w:lang w:val="en-US" w:eastAsia="zh-CN" w:bidi="ar"/>
              </w:rPr>
              <w:t xml:space="preserve">需提供说明书扫描件加盖投标人公章）</w:t>
            </w:r>
            <w:r>
              <w:rPr>
                <w:rFonts w:hint="eastAsia" w:ascii="宋体" w:hAnsi="宋体" w:eastAsia="宋体" w:cs="宋体"/>
                <w:i w:val="0"/>
                <w:iCs w:val="0"/>
                <w:color w:val="000000"/>
                <w:sz w:val="22"/>
                <w:szCs w:val="22"/>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书写：软件提供不少于10支书写笔，(包括：手写识别笔、手势笔、智能笔、激光笔、图章笔等)；可根据手势实现上下翻页、擦除对象、手势识别聚光灯、放大镜等教学工具（提供手势说明，便于用户快速掌握）；手写识别笔可预设多种字体、中英文、加粗、倾斜、对齐方式、颜色等，满足不同</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的书写需要。     。</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（三）电脑配置要求：</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采用内置电脑模块</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1．采用OPS插拔式架构，针脚数80pin，屏体与插拔式电脑无单独接线；</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2．处理器配置不低于6核心处理器性能；内存不低于8G；硬盘不低于256G-SSD 固态硬盘；</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3．具有独立非外扩展接口：HDMI out≥1 、Mic in≥1、 LINE-out≥1个、USB口≥6个，Rj45≥1个；</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4．内置有线网卡和无线网卡。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线材辅料</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含设备安装所需电源线、信号线、网线等等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数据服务端软件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托幼一体化平台数据服务端软件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支持托幼一体化平台数据应用展示；</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可以作为控制端进行对设备的画面视频切换和管控，客户端无需安装。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触控控制屏</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lang w:val="en-US" w:eastAsia="zh-CN" w:bidi="ar"/>
              </w:rPr>
              <w:t xml:space="preserve">英寸触摸屏；≥10点触控显示器IPS触摸屏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auto"/>
                <w:sz w:val="24"/>
                <w:highlight w:val="none"/>
                <w:lang w:val="en-US" w:eastAsia="zh-CN"/>
              </w:rPr>
              <w:t xml:space="preserve">备注：其中</w:t>
            </w:r>
            <w:r>
              <w:rPr>
                <w:rFonts w:hint="eastAsia" w:ascii="宋体" w:hAnsi="宋体" w:eastAsia="宋体" w:cs="宋体"/>
                <w:b/>
                <w:bCs/>
                <w:color w:val="auto"/>
                <w:sz w:val="24"/>
                <w:highlight w:val="none"/>
                <w:lang w:val="en-US" w:eastAsia="zh-CN"/>
              </w:rPr>
              <w:fldChar w:fldCharType="begin"/>
            </w:r>
            <w:r>
              <w:rPr>
                <w:rFonts w:hint="eastAsia" w:ascii="宋体" w:hAnsi="宋体" w:eastAsia="宋体" w:cs="宋体"/>
                <w:b/>
                <w:bCs/>
                <w:color w:val="auto"/>
                <w:sz w:val="24"/>
                <w:highlight w:val="none"/>
                <w:lang w:val="en-US" w:eastAsia="zh-CN"/>
              </w:rPr>
              <w:instrText xml:space="preserve"> HYPERLINK "" \l "汇总清单!A1" </w:instrText>
            </w:r>
            <w:r>
              <w:rPr>
                <w:rFonts w:hint="eastAsia" w:ascii="宋体" w:hAnsi="宋体" w:eastAsia="宋体" w:cs="宋体"/>
                <w:b/>
                <w:bCs/>
                <w:color w:val="auto"/>
                <w:sz w:val="24"/>
                <w:highlight w:val="none"/>
                <w:lang w:val="en-US" w:eastAsia="zh-CN"/>
              </w:rPr>
              <w:fldChar w:fldCharType="separate"/>
            </w:r>
            <w:r>
              <w:rPr>
                <w:rFonts w:hint="eastAsia" w:ascii="宋体" w:hAnsi="宋体" w:eastAsia="宋体" w:cs="宋体"/>
                <w:b/>
                <w:bCs/>
                <w:color w:val="auto"/>
                <w:sz w:val="24"/>
                <w:highlight w:val="none"/>
                <w:lang w:val="en-US" w:eastAsia="zh-CN"/>
              </w:rPr>
              <w:t xml:space="preserve">智慧托育应用管理平台</w:t>
            </w:r>
            <w:r>
              <w:rPr>
                <w:rFonts w:hint="eastAsia" w:ascii="宋体" w:hAnsi="宋体" w:eastAsia="宋体" w:cs="宋体"/>
                <w:b/>
                <w:bCs/>
                <w:color w:val="auto"/>
                <w:sz w:val="24"/>
                <w:highlight w:val="none"/>
                <w:lang w:val="en-US" w:eastAsia="zh-CN"/>
              </w:rPr>
              <w:fldChar w:fldCharType="end"/>
            </w:r>
            <w:r>
              <w:rPr>
                <w:rFonts w:hint="eastAsia" w:ascii="宋体" w:hAnsi="宋体" w:eastAsia="宋体" w:cs="宋体"/>
                <w:b/>
                <w:bCs/>
                <w:color w:val="auto"/>
                <w:sz w:val="24"/>
                <w:highlight w:val="none"/>
                <w:lang w:val="en-US" w:eastAsia="zh-CN"/>
              </w:rPr>
              <w:t xml:space="preserve">必须为基于安全可靠测评结果等级I级及以上的处理器（CPU）、操作系统和数据库开发，投标人需提供相关承诺与之适配环境的详细实施方案，否则招标人有权拒绝和中标方签订合同。安全可靠测评结果查阅中国信息安全测评中心发布的测评公告（网址：http://www.itsec.gov.cn/，查阅“测评公告”）。</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SA"/>
              </w:rPr>
              <w:suppressLineNumbers w:val="0"/>
            </w:pPr>
            <w:r>
              <w:rPr>
                <w:rFonts w:hint="eastAsia" w:ascii="宋体" w:hAnsi="宋体" w:eastAsia="宋体" w:cs="宋体"/>
                <w:b/>
                <w:bCs/>
                <w:i w:val="0"/>
                <w:iCs w:val="0"/>
                <w:color w:val="auto"/>
                <w:sz w:val="32"/>
                <w:szCs w:val="32"/>
                <w:highlight w:val="none"/>
                <w:u w:val="none"/>
                <w:lang w:val="en-US" w:eastAsia="zh-CN" w:bidi="ar"/>
              </w:rPr>
              <w:fldChar w:fldCharType="begin"/>
            </w:r>
            <w:r>
              <w:rPr>
                <w:rFonts w:hint="eastAsia" w:ascii="宋体" w:hAnsi="宋体" w:eastAsia="宋体" w:cs="宋体"/>
                <w:b/>
                <w:bCs/>
                <w:i w:val="0"/>
                <w:iCs w:val="0"/>
                <w:color w:val="auto"/>
                <w:sz w:val="32"/>
                <w:szCs w:val="32"/>
                <w:highlight w:val="none"/>
                <w:u w:val="none"/>
                <w:lang w:val="en-US" w:eastAsia="zh-CN" w:bidi="ar"/>
              </w:rPr>
              <w:instrText xml:space="preserve"> HYPERLINK "" \l "汇总清单!A1" </w:instrText>
            </w:r>
            <w:r>
              <w:rPr>
                <w:rFonts w:hint="eastAsia" w:ascii="宋体" w:hAnsi="宋体" w:eastAsia="宋体" w:cs="宋体"/>
                <w:b/>
                <w:bCs/>
                <w:i w:val="0"/>
                <w:iCs w:val="0"/>
                <w:color w:val="auto"/>
                <w:sz w:val="32"/>
                <w:szCs w:val="32"/>
                <w:highlight w:val="none"/>
                <w:u w:val="none"/>
                <w:lang w:val="en-US" w:eastAsia="zh-CN" w:bidi="ar"/>
              </w:rPr>
              <w:fldChar w:fldCharType="separate"/>
            </w:r>
            <w:r>
              <w:rPr>
                <w:rStyle w:val="692"/>
                <w:rFonts w:hint="eastAsia" w:ascii="宋体" w:hAnsi="宋体" w:eastAsia="宋体" w:cs="宋体"/>
                <w:b/>
                <w:bCs/>
                <w:i w:val="0"/>
                <w:iCs w:val="0"/>
                <w:color w:val="auto"/>
                <w:sz w:val="32"/>
                <w:szCs w:val="32"/>
                <w:highlight w:val="none"/>
                <w:u w:val="none"/>
              </w:rPr>
              <w:t xml:space="preserve">实训室</w:t>
            </w:r>
            <w:r>
              <w:rPr>
                <w:rFonts w:hint="eastAsia" w:ascii="宋体" w:hAnsi="宋体" w:eastAsia="宋体" w:cs="宋体"/>
                <w:b/>
                <w:bCs/>
                <w:i w:val="0"/>
                <w:iCs w:val="0"/>
                <w:color w:val="auto"/>
                <w:sz w:val="32"/>
                <w:szCs w:val="32"/>
                <w:highlight w:val="none"/>
                <w:u w:val="none"/>
                <w:lang w:val="en-US" w:eastAsia="zh-CN" w:bidi="ar"/>
              </w:rPr>
              <w:fldChar w:fldCharType="end"/>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技术规格</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日常照护操作台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default" w:ascii="宋体" w:hAnsi="宋体" w:eastAsia="宋体" w:cs="宋体"/>
                <w:i w:val="0"/>
                <w:iCs w:val="0"/>
                <w:color w:val="000000"/>
                <w:sz w:val="22"/>
                <w:szCs w:val="22"/>
                <w:highlight w:val="none"/>
                <w:u w:val="none"/>
                <w:lang w:val="en-US"/>
              </w:rPr>
            </w:pPr>
            <w:r>
              <w:rPr>
                <w:rFonts w:hint="eastAsia" w:ascii="宋体" w:hAnsi="宋体" w:cs="宋体"/>
                <w:color w:val="000000"/>
                <w:sz w:val="22"/>
                <w:szCs w:val="22"/>
                <w:highlight w:val="none"/>
                <w:lang w:bidi="ar"/>
              </w:rPr>
              <w:t xml:space="preserve">≥82.0*120.0*110.0CM，材质为钢结构加压缩实木板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日常照护配套立柜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使用材质为樟子松木，尺寸为≥130.0*140.0*40.0CM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游戏设计操作台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用于亲子互动用，尺寸为≥120×60×50cm，桌面为橡胶木，桌角为樟子松</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教具展示柜高矮柜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用于产品的摆放与展示使用，使用材质为樟子松，尺寸≥200×30×150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重生娃娃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default" w:ascii="宋体" w:hAnsi="宋体" w:eastAsia="宋体" w:cs="宋体"/>
                <w:i w:val="0"/>
                <w:iCs w:val="0"/>
                <w:color w:val="000000"/>
                <w:sz w:val="22"/>
                <w:szCs w:val="22"/>
                <w:highlight w:val="none"/>
                <w:u w:val="none"/>
                <w:lang w:val="en-US"/>
              </w:rPr>
            </w:pPr>
            <w:r>
              <w:rPr>
                <w:rFonts w:hint="eastAsia" w:ascii="宋体" w:hAnsi="宋体" w:cs="宋体"/>
                <w:color w:val="000000"/>
                <w:sz w:val="22"/>
                <w:szCs w:val="22"/>
                <w:highlight w:val="none"/>
                <w:lang w:bidi="ar"/>
              </w:rPr>
              <w:t xml:space="preserve">模仿2-3岁娃娃</w:t>
            </w:r>
            <w:r>
              <w:rPr>
                <w:rFonts w:hint="eastAsia"/>
                <w:highlight w:val="none"/>
              </w:rPr>
              <w:t xml:space="preserve">，材质为软胶，尺寸</w:t>
            </w:r>
            <w:r>
              <w:rPr>
                <w:rFonts w:hint="eastAsia" w:ascii="宋体" w:hAnsi="宋体" w:cs="宋体"/>
                <w:color w:val="000000"/>
                <w:sz w:val="22"/>
                <w:szCs w:val="22"/>
                <w:highlight w:val="none"/>
                <w:lang w:bidi="ar"/>
              </w:rPr>
              <w:t xml:space="preserve">≥</w:t>
            </w:r>
            <w:r>
              <w:rPr>
                <w:rFonts w:hint="eastAsia"/>
                <w:highlight w:val="none"/>
              </w:rPr>
              <w:t xml:space="preserve">55公分高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仿真娃娃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模仿1-2岁娃娃，材质为软胶，尺寸为≥50公分高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四肢可动娃娃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模仿1岁娃娃，材质为软胶，尺寸为≥30公分高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新生儿娃娃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用于宝妈学习使用，材质为软胶，尺寸为≥30公分高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智能回应类娃娃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提高宝宝智力，材质为软胶，尺寸为≥50公分高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包被</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材质为纯棉纱，尺寸≥100×100cm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席</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包被</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加厚，材质为纯棉，尺寸为≥90×90cm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席</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隔尿垫</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用于床铺上防止床单尿湿，材质有纯棉透气层，夹棉戏水层，TPU防水层，针织透气层，和硅胶防滑层组成，尺寸是根据床的大小来定制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席</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口水巾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用于擦宝宝流口水使用，使用材质为纯棉A类六层纱布组成，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衣物鞋袜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用于宝宝穿着使用，衣物袜材质为纯棉，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小方巾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default" w:ascii="宋体" w:hAnsi="宋体" w:eastAsia="宋体" w:cs="宋体"/>
                <w:i w:val="0"/>
                <w:iCs w:val="0"/>
                <w:color w:val="000000"/>
                <w:sz w:val="22"/>
                <w:szCs w:val="22"/>
                <w:highlight w:val="none"/>
                <w:u w:val="none"/>
                <w:lang w:val="en-US"/>
              </w:rPr>
            </w:pPr>
            <w:r>
              <w:rPr>
                <w:rFonts w:hint="eastAsia" w:ascii="宋体" w:hAnsi="宋体" w:cs="宋体"/>
                <w:color w:val="000000"/>
                <w:sz w:val="22"/>
                <w:szCs w:val="22"/>
                <w:highlight w:val="none"/>
                <w:lang w:bidi="ar"/>
              </w:rPr>
              <w:t xml:space="preserve">≥40*40CM，使用材质为纯棉A类六层纱布组成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浴巾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default" w:ascii="宋体" w:hAnsi="宋体" w:eastAsia="宋体" w:cs="宋体"/>
                <w:i w:val="0"/>
                <w:iCs w:val="0"/>
                <w:color w:val="000000"/>
                <w:sz w:val="22"/>
                <w:szCs w:val="22"/>
                <w:highlight w:val="none"/>
                <w:u w:val="none"/>
                <w:lang w:val="en-US"/>
              </w:rPr>
            </w:pPr>
            <w:r>
              <w:rPr>
                <w:rFonts w:hint="eastAsia" w:ascii="宋体" w:hAnsi="宋体" w:cs="宋体"/>
                <w:color w:val="000000"/>
                <w:sz w:val="22"/>
                <w:szCs w:val="22"/>
                <w:highlight w:val="none"/>
                <w:lang w:bidi="ar"/>
              </w:rPr>
              <w:t xml:space="preserve">≥60*120CM，使用材质为6层纯棉沙组成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床上用品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rPr>
              <w:t xml:space="preserve">用于产后或宝宝尿床后更换使用，采用纯棉材质，尺寸是根据床的大小来定制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孕期保健图卡</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auto"/>
                <w:sz w:val="22"/>
                <w:szCs w:val="22"/>
                <w:highlight w:val="none"/>
                <w:u w:val="none"/>
              </w:rPr>
            </w:pPr>
            <w:r>
              <w:rPr>
                <w:rFonts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574040</wp:posOffset>
                      </wp:positionH>
                      <wp:positionV relativeFrom="paragraph">
                        <wp:posOffset>0</wp:posOffset>
                      </wp:positionV>
                      <wp:extent cx="1071245" cy="726440"/>
                      <wp:effectExtent l="0" t="0" r="0" b="0"/>
                      <wp:wrapNone/>
                      <wp:docPr id="2" name="ID_B73E8774DBA24C66A077783CE7B139D0"/>
                      <wp:cNvGraphicFramePr/>
                      <a:graphic xmlns:a="http://schemas.openxmlformats.org/drawingml/2006/main">
                        <a:graphicData uri="http://schemas.openxmlformats.org/drawingml/2006/picture">
                          <pic:pic xmlns:pic="http://schemas.openxmlformats.org/drawingml/2006/picture">
                            <pic:nvPicPr>
                              <pic:cNvPr id="12" name="ID_B73E8774DBA24C66A077783CE7B139D0"/>
                              <pic:cNvPicPr/>
                              <pic:nvPr/>
                            </pic:nvPicPr>
                            <pic:blipFill>
                              <a:blip r:embed="rId11"/>
                              <a:stretch/>
                            </pic:blipFill>
                            <pic:spPr bwMode="auto">
                              <a:xfrm>
                                <a:off x="0" y="0"/>
                                <a:ext cx="1071245"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5.2pt;mso-position-horizontal:absolute;mso-position-vertical-relative:text;margin-top:0.0pt;mso-position-vertical:absolute;width:84.3pt;height:57.2pt;mso-wrap-distance-left:9.0pt;mso-wrap-distance-top:0.0pt;mso-wrap-distance-right:9.0pt;mso-wrap-distance-bottom:0.0pt;" stroked="f">
                      <v:path textboxrect="0,0,0,0"/>
                      <v:imagedata r:id="rId11" o:title=""/>
                    </v:shape>
                  </w:pict>
                </mc:Fallback>
              </mc:AlternateContent>
            </w:r>
            <w:r>
              <w:rPr>
                <w:rFonts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579755</wp:posOffset>
                      </wp:positionH>
                      <wp:positionV relativeFrom="paragraph">
                        <wp:posOffset>0</wp:posOffset>
                      </wp:positionV>
                      <wp:extent cx="1076960" cy="726440"/>
                      <wp:effectExtent l="0" t="0" r="0" b="0"/>
                      <wp:wrapNone/>
                      <wp:docPr id="3" name="ID_B5BF18E09CFE43799C5EE3D44F45FB47"/>
                      <wp:cNvGraphicFramePr/>
                      <a:graphic xmlns:a="http://schemas.openxmlformats.org/drawingml/2006/main">
                        <a:graphicData uri="http://schemas.openxmlformats.org/drawingml/2006/picture">
                          <pic:pic xmlns:pic="http://schemas.openxmlformats.org/drawingml/2006/picture">
                            <pic:nvPicPr>
                              <pic:cNvPr id="13" name="ID_B5BF18E09CFE43799C5EE3D44F45FB47"/>
                              <pic:cNvPicPr/>
                              <pic:nvPr/>
                            </pic:nvPicPr>
                            <pic:blipFill>
                              <a:blip r:embed="rId11"/>
                              <a:stretch/>
                            </pic:blipFill>
                            <pic:spPr bwMode="auto">
                              <a:xfrm>
                                <a:off x="0" y="0"/>
                                <a:ext cx="107696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45.6pt;mso-position-horizontal:absolute;mso-position-vertical-relative:text;margin-top:0.0pt;mso-position-vertical:absolute;width:84.8pt;height:57.2pt;mso-wrap-distance-left:9.0pt;mso-wrap-distance-top:0.0pt;mso-wrap-distance-right:9.0pt;mso-wrap-distance-bottom:0.0pt;" stroked="f">
                      <v:path textboxrect="0,0,0,0"/>
                      <v:imagedata r:id="rId11" o:title=""/>
                    </v:shape>
                  </w:pict>
                </mc:Fallback>
              </mc:AlternateContent>
            </w:r>
            <w:r>
              <w:rPr>
                <w:rFonts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591820</wp:posOffset>
                      </wp:positionH>
                      <wp:positionV relativeFrom="paragraph">
                        <wp:posOffset>0</wp:posOffset>
                      </wp:positionV>
                      <wp:extent cx="1076960" cy="726440"/>
                      <wp:effectExtent l="0" t="0" r="0" b="0"/>
                      <wp:wrapNone/>
                      <wp:docPr id="4" name="ID_DE60E1367F4D47B68B43A253F9DB257F"/>
                      <wp:cNvGraphicFramePr/>
                      <a:graphic xmlns:a="http://schemas.openxmlformats.org/drawingml/2006/main">
                        <a:graphicData uri="http://schemas.openxmlformats.org/drawingml/2006/picture">
                          <pic:pic xmlns:pic="http://schemas.openxmlformats.org/drawingml/2006/picture">
                            <pic:nvPicPr>
                              <pic:cNvPr id="14" name="ID_DE60E1367F4D47B68B43A253F9DB257F"/>
                              <pic:cNvPicPr/>
                              <pic:nvPr/>
                            </pic:nvPicPr>
                            <pic:blipFill>
                              <a:blip r:embed="rId11"/>
                              <a:stretch/>
                            </pic:blipFill>
                            <pic:spPr bwMode="auto">
                              <a:xfrm>
                                <a:off x="0" y="0"/>
                                <a:ext cx="107696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46.6pt;mso-position-horizontal:absolute;mso-position-vertical-relative:text;margin-top:0.0pt;mso-position-vertical:absolute;width:84.8pt;height:57.2pt;mso-wrap-distance-left:9.0pt;mso-wrap-distance-top:0.0pt;mso-wrap-distance-right:9.0pt;mso-wrap-distance-bottom:0.0pt;" stroked="f">
                      <v:path textboxrect="0,0,0,0"/>
                      <v:imagedata r:id="rId11" o:title=""/>
                    </v:shape>
                  </w:pict>
                </mc:Fallback>
              </mc:AlternateContent>
            </w:r>
            <w:r>
              <w:rPr>
                <w:rFonts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600075</wp:posOffset>
                      </wp:positionH>
                      <wp:positionV relativeFrom="paragraph">
                        <wp:posOffset>0</wp:posOffset>
                      </wp:positionV>
                      <wp:extent cx="1074420" cy="726440"/>
                      <wp:effectExtent l="0" t="0" r="0" b="0"/>
                      <wp:wrapNone/>
                      <wp:docPr id="5" name="ID_CA31AD5AD4A240A69EBE9CEAC8E99D77"/>
                      <wp:cNvGraphicFramePr/>
                      <a:graphic xmlns:a="http://schemas.openxmlformats.org/drawingml/2006/main">
                        <a:graphicData uri="http://schemas.openxmlformats.org/drawingml/2006/picture">
                          <pic:pic xmlns:pic="http://schemas.openxmlformats.org/drawingml/2006/picture">
                            <pic:nvPicPr>
                              <pic:cNvPr id="15" name="ID_CA31AD5AD4A240A69EBE9CEAC8E99D77"/>
                              <pic:cNvPicPr/>
                              <pic:nvPr/>
                            </pic:nvPicPr>
                            <pic:blipFill>
                              <a:blip r:embed="rId11"/>
                              <a:stretch/>
                            </pic:blipFill>
                            <pic:spPr bwMode="auto">
                              <a:xfrm>
                                <a:off x="0" y="0"/>
                                <a:ext cx="107442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47.2pt;mso-position-horizontal:absolute;mso-position-vertical-relative:text;margin-top:0.0pt;mso-position-vertical:absolute;width:84.6pt;height:57.2pt;mso-wrap-distance-left:9.0pt;mso-wrap-distance-top:0.0pt;mso-wrap-distance-right:9.0pt;mso-wrap-distance-bottom:0.0pt;" stroked="f">
                      <v:path textboxrect="0,0,0,0"/>
                      <v:imagedata r:id="rId11" o:title=""/>
                    </v:shape>
                  </w:pict>
                </mc:Fallback>
              </mc:AlternateContent>
            </w:r>
            <w:r>
              <w:rPr>
                <w:rFonts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600075</wp:posOffset>
                      </wp:positionH>
                      <wp:positionV relativeFrom="paragraph">
                        <wp:posOffset>0</wp:posOffset>
                      </wp:positionV>
                      <wp:extent cx="1074420" cy="726440"/>
                      <wp:effectExtent l="0" t="0" r="0" b="0"/>
                      <wp:wrapNone/>
                      <wp:docPr id="6" name="ID_E826D4FD2F1D481EA1CFBD3451A51F56"/>
                      <wp:cNvGraphicFramePr/>
                      <a:graphic xmlns:a="http://schemas.openxmlformats.org/drawingml/2006/main">
                        <a:graphicData uri="http://schemas.openxmlformats.org/drawingml/2006/picture">
                          <pic:pic xmlns:pic="http://schemas.openxmlformats.org/drawingml/2006/picture">
                            <pic:nvPicPr>
                              <pic:cNvPr id="16" name="ID_E826D4FD2F1D481EA1CFBD3451A51F56"/>
                              <pic:cNvPicPr/>
                              <pic:nvPr/>
                            </pic:nvPicPr>
                            <pic:blipFill>
                              <a:blip r:embed="rId11"/>
                              <a:stretch/>
                            </pic:blipFill>
                            <pic:spPr bwMode="auto">
                              <a:xfrm>
                                <a:off x="0" y="0"/>
                                <a:ext cx="107442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47.2pt;mso-position-horizontal:absolute;mso-position-vertical-relative:text;margin-top:0.0pt;mso-position-vertical:absolute;width:84.6pt;height:57.2pt;mso-wrap-distance-left:9.0pt;mso-wrap-distance-top:0.0pt;mso-wrap-distance-right:9.0pt;mso-wrap-distance-bottom:0.0pt;" stroked="f">
                      <v:path textboxrect="0,0,0,0"/>
                      <v:imagedata r:id="rId11" o:title=""/>
                    </v:shape>
                  </w:pict>
                </mc:Fallback>
              </mc:AlternateContent>
            </w:r>
            <w:r>
              <w:rPr>
                <w:rFonts w:hint="eastAsia" w:ascii="宋体" w:hAnsi="宋体" w:cs="宋体"/>
                <w:color w:val="auto"/>
                <w:sz w:val="22"/>
                <w:szCs w:val="22"/>
                <w:highlight w:val="none"/>
                <w:lang w:bidi="ar"/>
              </w:rPr>
              <w:t xml:space="preserve">实践学习使用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产程模拟体验图卡</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围产期人体器管模型</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rPr>
              <w:t xml:space="preserve">环保pvc，由妊娠胚胎发育过程模型。</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软体新生儿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实践学习使用，采用软</w:t>
            </w:r>
            <w:r>
              <w:rPr>
                <w:rFonts w:hint="eastAsia" w:ascii="宋体" w:hAnsi="宋体" w:eastAsia="宋体" w:cs="宋体"/>
                <w:color w:val="auto"/>
                <w:sz w:val="22"/>
                <w:szCs w:val="22"/>
                <w:highlight w:val="none"/>
                <w:lang w:val="en-US" w:eastAsia="zh-CN" w:bidi="ar"/>
              </w:rPr>
              <w:t xml:space="preserve">体</w:t>
            </w:r>
            <w:r>
              <w:rPr>
                <w:rFonts w:hint="eastAsia" w:ascii="宋体" w:hAnsi="宋体" w:cs="宋体"/>
                <w:color w:val="auto"/>
                <w:sz w:val="22"/>
                <w:szCs w:val="22"/>
                <w:highlight w:val="none"/>
                <w:lang w:bidi="ar"/>
              </w:rPr>
              <w:t xml:space="preserve">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4"/>
                <w:szCs w:val="24"/>
                <w:highlight w:val="none"/>
                <w:u w:val="none"/>
              </w:rPr>
            </w:pPr>
            <w:r>
              <w:rPr>
                <w:rFonts w:hint="eastAsia" w:ascii="宋体" w:hAnsi="宋体" w:cs="宋体"/>
                <w:color w:val="auto"/>
                <w:sz w:val="24"/>
                <w:highlight w:val="none"/>
                <w:lang w:bidi="ar"/>
              </w:rPr>
              <w:t xml:space="preserve">软体羊膜囊</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实践学习使用，，采用硅胶材质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4"/>
                <w:szCs w:val="24"/>
                <w:highlight w:val="none"/>
                <w:u w:val="none"/>
              </w:rPr>
            </w:pPr>
            <w:r>
              <w:rPr>
                <w:rFonts w:hint="eastAsia" w:ascii="宋体" w:hAnsi="宋体" w:cs="宋体"/>
                <w:color w:val="auto"/>
                <w:sz w:val="24"/>
                <w:highlight w:val="none"/>
                <w:lang w:bidi="ar"/>
              </w:rPr>
              <w:t xml:space="preserve">软体胎盘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实践学习使用，采用硅胶材质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软体骨盆</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实践学习使用，采用硅胶材质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软体会阴</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实践学习使用，材质硅胶材质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4"/>
                <w:szCs w:val="24"/>
                <w:highlight w:val="none"/>
                <w:u w:val="none"/>
              </w:rPr>
            </w:pPr>
            <w:r>
              <w:rPr>
                <w:rFonts w:hint="eastAsia" w:ascii="宋体" w:hAnsi="宋体" w:cs="宋体"/>
                <w:color w:val="auto"/>
                <w:sz w:val="24"/>
                <w:highlight w:val="none"/>
                <w:lang w:bidi="ar"/>
              </w:rPr>
              <w:t xml:space="preserve">新生儿胃容量模拟器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cs="宋体"/>
                <w:color w:val="auto"/>
                <w:sz w:val="22"/>
                <w:szCs w:val="22"/>
                <w:highlight w:val="none"/>
                <w:lang w:bidi="ar"/>
              </w:rPr>
              <w:t xml:space="preserve">实践学习使用  使用软件材质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哺乳枕</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减负作用，使用材质为A面为纯棉+ B面3D网面，尺寸为外弧度长≥150cm深度≥55cm宽度≥55cm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会阴侧切垫</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分娩</w:t>
            </w:r>
            <w:r>
              <w:rPr>
                <w:rFonts w:hint="eastAsia" w:ascii="宋体" w:hAnsi="宋体" w:eastAsia="宋体" w:cs="宋体"/>
                <w:color w:val="000000"/>
                <w:sz w:val="22"/>
                <w:szCs w:val="22"/>
                <w:highlight w:val="none"/>
                <w:lang w:val="en-US" w:eastAsia="zh-CN" w:bidi="ar"/>
              </w:rPr>
              <w:t xml:space="preserve">时</w:t>
            </w:r>
            <w:r>
              <w:rPr>
                <w:rFonts w:hint="eastAsia" w:ascii="宋体" w:hAnsi="宋体" w:cs="宋体"/>
                <w:color w:val="000000"/>
                <w:sz w:val="22"/>
                <w:szCs w:val="22"/>
                <w:highlight w:val="none"/>
                <w:lang w:bidi="ar"/>
              </w:rPr>
              <w:t xml:space="preserve">使用，材质为，水晶绒加透气网加记忆棉，尺寸≥44×7×39cm。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产后康复床</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改善睡眠质量、减轻关节僵硬、提高身体柔韧性等功效作用，材质为钢结构，表面采用进来皮革面料，尺寸≥175×58×58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产后运动康复器具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减轻关节僵硬等功效作用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气管异物训练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spacing w:after="220"/>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rPr>
              <w:t xml:space="preserve">婴儿梗塞模型  pvc材质，尺寸≥55*22cm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卫生急救包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简单的救急用品的包装，尺寸≥19×25cm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灭火器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用于明火，灭火使用，尺寸≥42×13cmm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灭火毯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用于小明火使用，，材质为玻璃棉，尺寸≥145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氧气面罩</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改善呼吸困难:某些疾病或状况可能引起呼吸困难，面罩尺寸≥12×8cm，材质为进口硅胶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破拆锤</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快速破除障碍物 ，材质为高度铁加木手柄，尺寸≥38×11×2cm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红绿指挥捧</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333333"/>
                <w:sz w:val="22"/>
                <w:szCs w:val="22"/>
                <w:highlight w:val="none"/>
                <w:lang w:bidi="ar"/>
              </w:rPr>
              <w:t xml:space="preserve">疏散引导、信号传递，材质为塑料加红绿信号灯，尺寸</w:t>
            </w:r>
            <w:r>
              <w:rPr>
                <w:rFonts w:hint="eastAsia" w:ascii="宋体" w:hAnsi="宋体" w:cs="宋体"/>
                <w:color w:val="000000"/>
                <w:sz w:val="22"/>
                <w:szCs w:val="22"/>
                <w:highlight w:val="none"/>
                <w:lang w:bidi="ar"/>
              </w:rPr>
              <w:t xml:space="preserve">≥</w:t>
            </w:r>
            <w:r>
              <w:rPr>
                <w:rFonts w:hint="eastAsia" w:ascii="宋体" w:hAnsi="宋体" w:cs="宋体"/>
                <w:color w:val="333333"/>
                <w:sz w:val="22"/>
                <w:szCs w:val="22"/>
                <w:highlight w:val="none"/>
                <w:lang w:bidi="ar"/>
              </w:rPr>
              <w:t xml:space="preserve">26×3cm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手电筒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照明使用，尺寸≥20×40cm，材质为，进口防爆外壳，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氧气包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一般应急急救使用尺寸≥70×50cm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纸尿裤</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NB/S/M/L/XL/XXL</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柔纸巾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婴幼儿专用，材质为进口原生木浆，尺寸≥10×10cm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湿纸巾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婴幼儿专用，材质为进来原生木浆，尺寸≥12×12cm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棉棒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用于擦伤，碰伤，简单处理伤口消毒使用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奶粉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default" w:ascii="宋体" w:hAnsi="宋体" w:eastAsia="宋体" w:cs="宋体"/>
                <w:i w:val="0"/>
                <w:iCs w:val="0"/>
                <w:color w:val="000000"/>
                <w:sz w:val="22"/>
                <w:szCs w:val="22"/>
                <w:highlight w:val="none"/>
                <w:u w:val="none"/>
                <w:lang w:val="en-US" w:eastAsia="zh-CN"/>
              </w:rPr>
            </w:pPr>
            <w:r>
              <w:rPr>
                <w:rFonts w:hint="eastAsia" w:ascii="宋体" w:hAnsi="宋体" w:cs="宋体"/>
                <w:color w:val="000000"/>
                <w:sz w:val="22"/>
                <w:szCs w:val="22"/>
                <w:highlight w:val="none"/>
                <w:lang w:bidi="ar"/>
              </w:rPr>
              <w:t xml:space="preserve">婴儿使用≤</w:t>
            </w:r>
            <w:r>
              <w:rPr>
                <w:rFonts w:hint="eastAsia" w:ascii="宋体" w:hAnsi="宋体" w:eastAsia="宋体" w:cs="宋体"/>
                <w:color w:val="000000"/>
                <w:sz w:val="22"/>
                <w:szCs w:val="22"/>
                <w:highlight w:val="none"/>
                <w:lang w:val="en-US" w:eastAsia="zh-CN" w:bidi="ar"/>
              </w:rPr>
              <w:t xml:space="preserve">400G/</w:t>
            </w:r>
            <w:r>
              <w:rPr>
                <w:rFonts w:hint="eastAsia" w:ascii="宋体" w:hAnsi="宋体" w:cs="宋体"/>
                <w:color w:val="000000"/>
                <w:sz w:val="22"/>
                <w:szCs w:val="22"/>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 w:val="22"/>
                <w:szCs w:val="22"/>
                <w:highlight w:val="none"/>
                <w:lang w:bidi="ar"/>
              </w:rPr>
              <w:t xml:space="preserve">罐</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消毒液</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default" w:ascii="宋体" w:hAnsi="宋体" w:eastAsia="宋体" w:cs="宋体"/>
                <w:i w:val="0"/>
                <w:iCs w:val="0"/>
                <w:color w:val="000000"/>
                <w:sz w:val="22"/>
                <w:szCs w:val="22"/>
                <w:highlight w:val="none"/>
                <w:u w:val="none"/>
                <w:lang w:val="en-US"/>
              </w:rPr>
            </w:pPr>
            <w:r>
              <w:rPr>
                <w:rFonts w:hint="eastAsia" w:ascii="宋体" w:hAnsi="宋体" w:cs="宋体"/>
                <w:color w:val="000000"/>
                <w:sz w:val="22"/>
                <w:szCs w:val="22"/>
                <w:highlight w:val="none"/>
                <w:lang w:bidi="ar"/>
              </w:rPr>
              <w:t xml:space="preserve">地板、餐具、衣物、玩具均可使用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碘伏酒精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用于擦伤，碰伤，简单处理伤口消毒使用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手消</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100g</w:t>
            </w:r>
            <w:r>
              <w:rPr>
                <w:rFonts w:hint="eastAsia" w:ascii="宋体" w:hAnsi="宋体" w:cs="宋体"/>
                <w:color w:val="000000"/>
                <w:sz w:val="22"/>
                <w:szCs w:val="22"/>
                <w:highlight w:val="none"/>
                <w:lang w:bidi="ar"/>
              </w:rPr>
              <w:t xml:space="preserve">用于手部简单消毒</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幼儿学步镜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 尺寸≥120*60*10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爬行垫</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地垫优质pu+珍珠海绵材质，尺寸≥200*180cm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钻爬三件套</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135×90×45cm</w:t>
            </w:r>
            <w:r>
              <w:rPr>
                <w:rFonts w:hint="eastAsia" w:ascii="宋体" w:hAnsi="宋体" w:cs="宋体"/>
                <w:color w:val="000000"/>
                <w:sz w:val="22"/>
                <w:szCs w:val="22"/>
                <w:highlight w:val="none"/>
                <w:lang w:bidi="ar"/>
              </w:rPr>
              <w:t xml:space="preserve">按需求拼搭、组合</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学爬桥/月亮船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榉木尺寸≥102*40*24cm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学步扶箱</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榉木尺寸≥28*28*186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婴幼儿学步推车</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尺寸≥333*39*50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活动健身架</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（榉木三角架）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1.材质：实木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2.包装尺寸：大于等于100*8*30cm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布条悬环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1.材质：实木+布</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2.包装尺寸：大于等于10*8*1.5cm</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3.榉木木环直径7cm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4.布条带长大于等于45cm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豆荚摇铃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3.产品尺寸：大于等于11.5*2.5*1.9cm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太阳花摇铃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3.包装尺寸：大于等于10*10cxm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圆形摇铃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3.包装尺寸：大于等于8*8cm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圆柱形摇铃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3.产品尺寸：大于等于11.5*3.5cm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葫芦（4个月）</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1.材质：天然葫芦</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3.包装尺寸：大于等于8*8cm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小木车</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3.尺寸：大于等于8*6*6cm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球体配套练习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3.包装尺寸：大于等于12*5*5cm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4.一个装蛋的木杯和一个圆形的积木组成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蛋杯与蛋配套练习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2.包装：ppo袋子。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3.包装尺寸：大于等于12*5*5cm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4.一个装蛋的木杯和一个蛋形的积木组成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正方体配套练习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2.包装：ppo袋子。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3.尺寸：大于等于5*5*4.5cm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4.一个正方形的底盒，一个正方体的积木组成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视觉追踪器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榉木，尺寸为大于等于50*25*60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永久目标盒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2.包装尺寸：大于等于25*12*12</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3.一个木制底盘和一个木球组成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圆球长方体抽屉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2.包装尺寸：大于等于25.5*11*1</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3.带抽屉的木盒和一个木球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盒子和编织球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2.包装尺寸：大于等于5*15*11</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3.一个木盒带可拉出的抽屉，一个大于孔径的毛线球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木制纺织鼓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材质：多层板+榉木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包装尺寸：大于等于29*20.5*16cm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木质底座一个，固定彩色滚筒</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39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球的集合</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（布球，学爬行毛线球，摇晃球玩具手脚训练加长方形布竹筐）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布积木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一套包含6块布积木（每块布积木的尺寸：大于等于7*7*7厘米）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压球台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2.包装尺寸：大于等于28*13*13cm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3.一个顶部带孔的木架，红黄蓝绿四个颜色的木球。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小套环</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（带底座的立柱圆木环）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1.材质：榉木无漆</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2.包装方式：ppo袋子。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3.尺寸：大于等于10.3*8cm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圆柱垂直拨号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2.包装尺寸：大于等于2.15*15*12.5cm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3.一个带有垂直木条的底板，三个圆形有孔的积木，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立体垂直拨号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2.包装尺寸：大于等于15*15*12.5cm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3.一个带有垂直木条的底板，三个正方体有孔的积木，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木桩与彩色圆环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1.材质：多层板+榉木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val="en-US" w:eastAsia="zh-CN" w:bidi="ar"/>
              </w:rPr>
              <w:t xml:space="preserve">2</w:t>
            </w:r>
            <w:r>
              <w:rPr>
                <w:rFonts w:hint="eastAsia" w:ascii="宋体" w:hAnsi="宋体" w:cs="宋体"/>
                <w:color w:val="000000"/>
                <w:sz w:val="22"/>
                <w:szCs w:val="22"/>
                <w:highlight w:val="none"/>
                <w:lang w:bidi="ar"/>
              </w:rPr>
              <w:t xml:space="preserve">.圆形底座一个，红、黄、蓝、绿、橙、紫圆圈各一个</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三圆三色垂直套环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2.包装尺寸：大于等于15*15*9cm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3.一个带有1根垂直木条的底板，红，黄，蓝，三种不同大小的有孔积木。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堆堆看</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2.一个榉木底座，红黄蓝三色圆环各一个</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套塔</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尺寸为大于等于10*10*21CM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 木制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滑动小木环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2.包装尺寸：大于等于35.5*14.5*13cm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3.六种颜色的木制圆环,一个底座</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三色圆柱嵌盒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2.包装尺寸：大于等于：30.5*15.5*5cm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3.一个带六个圆形孔的底座，红黄蓝三种颜色的积木组成。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木制络筒机</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包装尺寸：大于等于：15.5*15.5*11.5cm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一个正方形盒子，侧面带有迷你型可织布络筒机装置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木螺丝</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2.尺寸：大于等于20*11.5cm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开与关的工作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（中式六角盒）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1.开关-抽绳布袋                    </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2.开关-按扣布袋                    </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3.开关-拉链布袋                  </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4.开关-铁盒                  </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5.开关-塑料盒                     </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6.开关-拧盖塑料瓶              </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7.开关-中式收纳盒</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39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竹筒摇铃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规格：大于等于20*4.8cm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圆柱体摇铃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木质，规格：大于等于12*1.5*1.5cm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皮带上的铃铛</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腕铃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1对</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手鼓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6寸手鼓</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单棒铃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单铃木柄</w:t>
            </w:r>
            <w:r>
              <w:rPr>
                <w:rFonts w:hint="eastAsia" w:ascii="宋体" w:hAnsi="宋体" w:eastAsia="宋体" w:cs="宋体"/>
                <w:color w:val="000000"/>
                <w:sz w:val="22"/>
                <w:szCs w:val="22"/>
                <w:highlight w:val="none"/>
                <w:lang w:val="en-US" w:eastAsia="zh-CN" w:bidi="ar"/>
              </w:rPr>
              <w:t xml:space="preserve">≥</w:t>
            </w:r>
            <w:r>
              <w:rPr>
                <w:rFonts w:hint="eastAsia" w:ascii="宋体" w:hAnsi="宋体" w:cs="宋体"/>
                <w:color w:val="000000"/>
                <w:sz w:val="22"/>
                <w:szCs w:val="22"/>
                <w:highlight w:val="none"/>
                <w:lang w:bidi="ar"/>
              </w:rPr>
              <w:t xml:space="preserve">19×5×3cm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小碰铃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直径大于等于3.5厘米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木制砂蛋</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1个木制：大于等于6*4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沙锤</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木质：大于等于21.5*5.8厘米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双头砂球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木质：大于等于15厘米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木质响板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1个红色木制响板，规格：大于等于21－5.5－3㎝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枣木舞板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两个，材质  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直径大于等于5.5厘米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木鱼</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大于等于5*14.5cm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水果筐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材质：保利龙+泡沫</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篮筐尺寸：大于等于26*17*8cm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水果尺寸：大于等于6-9cm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蔬菜筐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材质：保利龙+泡沫</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篮筐尺寸：大于等于26*17*8cm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蔬菜尺寸：大于等于7-9cm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农场动物</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材质：榉木+其他。</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规格：5种农场动物</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托盘尺寸：小号大于等于20*25*4.6cm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野生动物</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材质：榉木+其他。</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规格：5种野生动物</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托盘尺寸：小号大于等于20*25*4.6cm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布书</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10*11cm，一套6本</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绘本</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精装绘本，世界各大经典名作6本。</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两层开放柜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榉木，尺寸大于等于105*30*30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三层开放柜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榉木，，尺寸大于等于105*30*53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方桌（圆柱脚）</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榉木，尺寸大于等于60*60*H35-40-45-50-55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断奶椅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榉木，尺寸为大于等于33*29*37H座高16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多功能幼儿椅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榉木，尺寸为大于等于31*31*36座板高度16.5/21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讲师凳</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尺寸:大于等于长330mm宽250mm高200mm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帐篷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四杆大于等于120*120*165cm，包装尺寸：大于等于92*28*16cm，纯棉帆布，松木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材质为，进口猫抓布，加海绵，榉木，尺寸大于等于36*39*42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双人沙发</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材质为，进口猫抓布，加海绵，榉木，尺寸大于等于65.5*39*42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移动书架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榉木。尺寸大于等于50*35*44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摇椅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环保塑料+布等材质  材质为加厚加粗精钢材质，尺寸为大于等于80×50cm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小地毯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尺寸为大于等于直径1米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花瓣坐垫</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弹力绒面料，羽绒棉填充，直径大于等于40cm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毛绒玩具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毛绒材质，规格：大于等于1.3米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排队牵引走步绳</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15节彩色固定环，间距大于等于28cm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心理感官动作时间线（0-3）</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≥160*30cm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婴幼儿洗澡池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规格，≥95x55x85cm；  亚克力材质，有上下水龙头</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婴幼儿游泳池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亚克力材质，外径大于等于115*85*90公分。气泡或冲浪功能。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安全指甲钳</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防止夹肉小剪刀、指甲钳、锉刀、耳勺、镊子、收纳袋</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洗头帽</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强韧EVA材质，冲水不压塌，触感无毛刺，抗撕裂，不变型。可按头围调节大小。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婴儿脖圈</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pvc材质，可充气使用。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M:0-3个月，直径大于等于8.5cm，外径大于等于40cm。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L：适合4-12个月，直径大于等于9.5cm，外径大于等于40cm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方巾套装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棉质,小方巾 大于等于20*20CM，大浴巾不少于 90*60cm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婴儿包被盖毯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大于等于120*100cm 100%纯棉材质。工艺泡泡纱，4层纱。</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婴幼儿换洗衣物</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婴儿服装一套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小内裤</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面包内裤，96%棉4%氨纶，尺码：宽大于等于90mm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长裤</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纯棉材质，尺码：大于等于80cm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倒固体</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（不锈钢）</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1.倒固体（不锈钢）-小号带把不锈钢杯</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2.倒固体（不锈钢）-小号带把不锈钢杯</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3.木质托盘（小号大于等于20*25*4.6cm）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倒的工作2</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小木托盘，小瓷碗2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倒固体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1.倒固体-水滴杯，</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2.倒固体-水滴杯</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3.仿瓷托盘（小号大于等于27*20*1.3cm）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倒水的工作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（透明杯）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1.倒水（透明杯）-带把透明杯</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2.倒水（透明杯）-带把透明杯</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3.倒水（透明杯）-玻璃托盘（大于等于25*15*2cm）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配件：清洁海绵</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舀的工作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（银质）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1.舀（银质）-银质莲花盘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2.舀（银质）-银质莲花盘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3.舀（银质）-小银勺</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4.中国风托盘（小号，大于等于24.2*17.8*2.3）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舀的工作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（铲勺）</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1.舀（瓷方碟）-瓷方碟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2.舀（瓷方碟）-瓷方碟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3.舀（瓷方碟）-铲勺</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4.仿瓷托盘（小号，大于等于27*20*1.3cm）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捉虫子工作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托盘一个，捉虫子工具一套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夹的工作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(夹蜜蜂)</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1.夹（捉蜜蜂）-夹蜜蜂工具（大于等于16.5*13.8*4cm）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2.木质托盘（小号，大于等于20*25*4.6cm）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拔萝卜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1.拔萝卜（大于等于12.5*12.5*5.5cm）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2.木质托盘（小号，大于等于20*25*4.6cm）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穿的工作1</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穿穿看、六个不同颜色的圆形木块、一个红色立方体、一个蓝色圆柱木块、一条两端系有小木棒的绳子加篮子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大串珠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锻炼儿童的手眼协调能力，及学习各种颜色，大于等于22.5*19*5cm,0.65kg木质+线绳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开锁箱（16个月）</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用于认识和学习日常生活中各种不同的锁，大于等于37*17*18cm，木质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宝宝拖车积木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大于等于18.5*15.5*9cm 木制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100块桶装彩色大积木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榉木材质，带卡通印花，100粒/套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桶</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单个形状嵌板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多层板材质，内含4个几何图形，单个嵌板边长14cm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多形状嵌板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多层板材质，内含三个圆嵌板（大于等于26*15*35cm），三个几何图形嵌板（大于等于26*15*35cm）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五种几何嵌板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包装尺寸：大于等于23.5*23*7.5cm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一个可嵌入五个形状的底板，五种不同形状颜色带捏手的几何形状积木组成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木桩与彩色圆环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大于等于20.5*20.5*3cm多层板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圆片正方抽屉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2.包装尺寸：大于等于16*16*12cm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3.一个木盒带可拉出的抽屉，五个圆片。</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箱子和可滑动盖子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2.包装尺寸：大于等于31*18*10.5cm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3.一个木盒加可推拉的盖，一个绿色圆片和一个红色圆柱组成。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绿片投入盒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2.包装尺寸：大于等于30*15.5*12cm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3.一个木制底盒，盒上有一个小孔的木板，可翻动，一个小圆片积木组成。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毛钱球配套盒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2.包装尺寸：大于等于30*15.5*12cm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3.一个木盒，一个毛球组成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几何立体组形状配套盒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2.包装尺寸：大于等于30*15.5*11.5cm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3.一个木制底盒，盒上有不同形状孔的木板，可翻动，四个不同形状的积木组成。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箱子与盒子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2.包装尺寸为： 大于等于31*16*10cm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3.一个木制底盒，三个抽屉配与盒子颜色对应的球各一个</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长方体配套盒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2.包装尺寸：大于等于16*16*12cm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3.一个木盒带可开的小门，一个长方形的积木。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三棱柱配套盒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2.包装尺寸：大于等于16*16*12cm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3.一个木盒带可开的小门，一个三角形的积木。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正方体配套盒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2.包装尺寸：大于等于16*16*12cm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3.一个木盒带可开的小门，一个正方形的积木。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小圆柱配套盒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2.包装尺寸：大于等于16*16*12cm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3.一个木盒带可开的小门，一个小圆柱的积木。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大圆柱配套盒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2.包装尺寸：大于等于16*16*12cm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3.一个木盒带可开的小门，一个大圆柱的积木。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分类盒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2.尺寸:大于等于15×12.5×17.5cm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3.带抽屉木盒一个，四块几何形状板依次有（长方体）、（三角形）、（正方体和圆形）、（长方体和三角形和正方体和圆形）的孔。实心（圆柱体、三角体、长方体、正方体）各一个。</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水平拨号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2.包装尺寸：大于等于15*15*12.5cm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3.一个带水平木条的底板，三个圆形有孔的积木，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平行蛇套环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1.材质：多层板+铁</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2.包装尺寸：大于等于15*15*12cm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蛇套环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1.材质：多层板+铁</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2.包装尺寸：大于等于15*15*12cm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指压球托盘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2.包装尺寸：大于等于30cm*16.5*4cm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3.一个带有毛粘布的底盒，一块有孔的木板，一个毛线球组成。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圆片托盘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2.包装尺寸：大于等于30cm*16.5*4cm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3.一个带有毛粘布的底盒，一块有孔的木板，一个小圆片组成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三色套环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2.包装尺寸：大于等于15*15*12.5cm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3.一个带有3根不同颜色垂直木条的底板，红，黄，蓝三色各三个有孔的积木，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彩虹套环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2.包装尺寸：大于等于15*15*13cm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3.一个带有4根垂直木条的底板，红黄蓝绿四种渐变色有孔积木。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原木色四个圆球板钉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2.包装尺寸：大于等于12.5*12.5*6cm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3.一个带有垂直木条的底板，四个带有孔的圆形积木。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蓝色四个球和板钉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2.包装尺寸：大于等于12.5*12.5*6cm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3.一个带有垂直木条的底板，四个蓝色带有孔的圆形积木。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弯曲&amp;分类</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1.材质：夹板+榉木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2.包装尺寸：大于等于15*15*12.5cm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3.一个带有1根带木钉垂直木条的底板，红，黄，蓝，三种不有孔积木。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神秘箱</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多层板材质，包装规格：大于等于35*31*20cm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双响筒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产品材质：椿木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尺寸：大于等于筒直径约4.2CM、长19CM | 棍长16CM | 敲棒长19.5CM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打棒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规格 大于等于20*2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刮棒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材质：椿木，配刮棒一根</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尺寸：大于等于20cm*2.5cm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13铃棒铃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13铃棒铃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T4三角铁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音乐三角铁，T4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三音音素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长度大于等于16CM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水果配对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材质：泡沫材质。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规格：15对仿真水果，</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篮子尺寸：大于等于17*8cm。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1个编织篮子组成。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蔬菜配对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材质：泡沫材质。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规格：15对仿真蔬菜，</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篮子尺寸：大于等于17*8cm。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1个编织篮子组成。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海洋配对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val="en-US" w:eastAsia="zh-CN" w:bidi="ar"/>
              </w:rPr>
              <w:t xml:space="preserve">≥4</w:t>
            </w:r>
            <w:r>
              <w:rPr>
                <w:rFonts w:hint="eastAsia" w:ascii="宋体" w:hAnsi="宋体" w:cs="宋体"/>
                <w:color w:val="000000"/>
                <w:sz w:val="22"/>
                <w:szCs w:val="22"/>
                <w:highlight w:val="none"/>
                <w:lang w:bidi="ar"/>
              </w:rPr>
              <w:t xml:space="preserve">x2.7x1.8cm仿真海洋动物，加篮子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鸟类配对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val="en-US" w:eastAsia="zh-CN" w:bidi="ar"/>
              </w:rPr>
              <w:t xml:space="preserve">≥4</w:t>
            </w:r>
            <w:r>
              <w:rPr>
                <w:rFonts w:hint="eastAsia" w:ascii="宋体" w:hAnsi="宋体" w:cs="宋体"/>
                <w:color w:val="000000"/>
                <w:sz w:val="22"/>
                <w:szCs w:val="22"/>
                <w:highlight w:val="none"/>
                <w:lang w:bidi="ar"/>
              </w:rPr>
              <w:t xml:space="preserve">x2.7x1.8cm仿真鸟类动物，加篮子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昆虫配对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val="en-US" w:eastAsia="zh-CN" w:bidi="ar"/>
              </w:rPr>
              <w:t xml:space="preserve">≥4</w:t>
            </w:r>
            <w:r>
              <w:rPr>
                <w:rFonts w:hint="eastAsia" w:ascii="宋体" w:hAnsi="宋体" w:cs="宋体"/>
                <w:color w:val="000000"/>
                <w:sz w:val="22"/>
                <w:szCs w:val="22"/>
                <w:highlight w:val="none"/>
                <w:lang w:bidi="ar"/>
              </w:rPr>
              <w:t xml:space="preserve">x2.7x1.8cm仿真昆虫动物，加篮子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交通工具拼图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规格：大于等于0.5*21*21cm材质：杨木，锻炼宝宝的精细动作，提升专注力，耐力。</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大握纽森林动物拼图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规格：4个嵌板，1个底座组成。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尺寸：大于等于30*11*1cm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大小排列嵌板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材质：木质，五种大小嵌板各1块，嵌入底板一块组成，规格：大于等于39.5*14.5*0.8cm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方向感觉嵌板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材质：木质，5块大小相同，方向不同的嵌板各1块，嵌入底板一块组成，规格：39.5*14.5*0.8cm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书籍</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精选世界著名绘本，是儿童优秀的启蒙语言画册 一套6本</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梳妆的工作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1.梳妆（木）-镜子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2.梳妆（木）-首饰盒</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3.梳妆（木）-梳子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4.梳妆（木）-收纳盘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刷牙工作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1.刷牙-牙齿模型</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2.刷牙-瓷水杯</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3.刷牙-牙刷</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4.刷牙-小方巾</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5.仿瓷托盘尺寸为大于等于（小号27*20*1.3cm）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擦鼻涕</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垃圾盒，小方盘，镜子，圆形木托盘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除尘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桌面扫把，除尘扫把</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卫生架+五件套</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一个清洁架。弹尘，扫把，桌面扫把，拖把，编制扫把，</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晾衣架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尺寸为大于等于60*60*23cm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洗布架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尺寸：大于等于长770mm宽310mm高350mm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涂鸦</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规格 36色</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黏土</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24色</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印章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1.印-印章</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2.印-颜料盘</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3.木质托盘尺寸为大于等于（中号25.5*4.6*33.4cm）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拼贴画的工作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1.拼贴画彩盒</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2.胶棒</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3.木质托盘（中号）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配件：各种可以用来黏贴的材料</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水彩画</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1.水彩画-涮笔筒</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2.水彩笔-水彩</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3.水彩笔-调色盘</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4.中国风托盘，尺寸为大于等于（小号24.2*17.8*2.3）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三指抓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1.三指抓-三指抓</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2.三指抓-金色珠粒小碗</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3.木质托盘，尺寸为大于等于（小号20*25*4.6cm）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倒固体（一倒三）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1.倒固体（一对三）-尖嘴壶，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2.倒固体（一对三）-三个杯子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3.仿瓷托盘，尺寸大于等于（小号27*20*1.3cm）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配件：清洁海绵</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穿的工作2</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串珠盒,锻炼儿童的手眼协调能力，及学习各种颜色，尺寸大于等于22.5*19*5cm,0.65kg木质+线绳+篮子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虫吃苹果与奶酪</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虫吃奶酪，大于等于12cm*5cm，加篮子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穿线的工作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水果串串乐，优质木材 水性漆 ，水果串珠加篮子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夹衣服的工作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夹衣服，一个小托，若干彩色夹子，仿真纸质小衣服。加小木托盘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拧的工作1</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拧木螺丝，尺寸：大于等于22.2*9.2*6.5cn </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螺丝尺寸：大于等于3*4cm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加篮子加木托盘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1把钥匙和锁（14个月）</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金属小锁，钥匙一把，木质托盘（小号）</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锁盒带底盘和投入物</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1.材质：多层板+锁头黄铜材质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2.包装尺寸，大于等于40*27.5*12.5cm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3.印有蓝色、白色、橙色、黄色、绿色、红色6格底板一块，+6款带锁形式投入盒</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夹的工作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（食物夹）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1.夹（食物夹）-花边瓷碗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2.夹（食物夹）-花边瓷碗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3.夹（食物夹）-食物夹</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4.木质托盘，尺寸大于等于（小号20*25*4.6cm）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夹的工作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（筷子夹）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1.夹（筷子夹）-圆碟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2.夹（筷子夹）-圆碟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3.夹（筷子夹）-筷子枕</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4.夹（筷子夹）-木筷子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5.夹（筷子夹）-毛毡球</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6.仿瓷托盘尺寸大于等于（小号27*20*1.3cm）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婴儿螺丝1</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1.材质：榉木+五金件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2.包装尺寸，大于等于21*7*8.5cm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3.一个榉木底座，不同尺寸螺丝三组。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婴儿螺丝2</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1.材质：榉木+五金件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2.包装尺寸，大于等于21*7*11cm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3.一个榉木底座，不同尺寸螺母三组。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绕珠架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大于等于22.5*16.5*18.5CM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方形拼装积木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350g 积木加木制大托盘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100块桶装大积木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榉木材质，环保清漆，100粒/套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桶</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彩虹光影积木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1.材质：橡胶木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2.包装尺寸：大于等于26*21*6cm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一个圆柱体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包装尺寸大于等于：8*8*7cm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一个木制底座，一个带柄圆柱。</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三个圆柱体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2.一个木制底座，3组不同直径的圆柱。</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五个圆柱体</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1.材质：榉木。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2.一个木制底座，5组不同直径的圆柱。</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感受大小</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五步粉红塔，榉木材质，由边长分别为，大于等于2、4、6、8、10cm5块立方体及一个中号榉木托盘组成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感受粗细</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五步棕色梯，榉木材质，由横切面边长分别为，大于等于2、4、6、8、10cm5块长方体及一个中号榉木托盘组成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感受温度</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温量板，由金属、石材、木质、地毯片各2块组成，培养对温度的感觉，辨别温度的差异。大于等于14*14*8cm,榉木+其他木质、石材、金属等0.7kg</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感受触感</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材质：榉木+其他材质。规格：由一个带有不同材质底座及10个带有不同材质的圆筒组成。尺寸：大于等于40*10*2cm，单个圆柱尺寸大于等于4.5*4.5cm。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颜色分类1</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简单的插柱，1.材质：优质实木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2.包装尺寸：大于等于22*22*5cm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3.木制底板一块，红、黄、蓝、绿、橙无色带柄圆柱各5枚。</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四色分类盘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四色分类盘，多层板材质，由红黄蓝绿四色小圆片及一个原木色分格底盘组成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堆叠</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木质彩色叠石加榉木小木托盘（尺寸：大于等于25*20cm）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五步套盒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包装尺寸：大于等于22*22*7.5cm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感受色彩</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彩虹积木（包装尺寸：大于等于25.5*4*13cm）加小木托盘（尺寸：大于等于25*20cm）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几何体支柱</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由1个插板盒、3个圆柱、3个三棱柱、3个四方柱组成。培养儿童对实体的感觉，认识几何体特征，可作颜色分类，高-〉低比较，排序。包装规格约为大于等于15*15*10cm，木质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圆柱体阶梯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2.包装尺寸：大于等于20*20*10cm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3.由一个插板，5组直径一样高度和颜色递增的圆柱组成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几何体阶梯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2.包装尺寸：大于等于20*20*10cm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3.由一个插板，4个长方体，4个三棱柱，4个圆柱组成，4个扁长条组成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形状盒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产品尺寸：大于等于14.5*14.5*13CM</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产品重量：0.6KG</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产品包装：热收缩膜</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主要材质：松木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组合几何体盘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2.包装尺寸：大于等于30*8.5cm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圆倍数积木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2.包装尺寸：大于等于35*10*4.5cm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3.一个可嵌入四个圆形的底板，整圆，2等分圆，3等分圆，4等分圆形积木组成。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基本图形积木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2.包装尺寸：大于等于35*10*4.5cm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3.一个带不同形状的垂直多层板底板，四种不同形状的孔径圆，三种颜色的圆形积木组成。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四个圆形积木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2.包装尺寸：大于等于35*10*4.5cm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3.一个带不同大于等于直径的多层板底板，四种不同孔径的圆，三种颜色的积木组成。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基本图形积木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2.包装尺寸：大于等于35*10*4.5cm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3.一个带不同形状的垂直多层板底板，四种不同形状的孔径圆，三种颜色的圆形积木组成。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三角形和正方形积木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2.包装尺寸：大于等于35*10*4.5cm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倍数积木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2.包装尺寸：大于等于35*10*4.5cm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3.一个可嵌入四种形状的底板，1等分的长方体，2等分的三角体，三等分的圆形，四等分的正方体积木组成。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四个三角形积木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2.包装尺寸：大于等于35*10*4.5cm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3.一个可嵌入三角形状的底板，1等分三角形，2等分三角形，3等分三角形，4等分三角形积木组成。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分解几何盘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1.材质：多层板+其他木质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2.包装尺寸：大于等于23*23*4cm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3.木质底座一个，9组几何体，圆柱体，正四棱柱，六棱柱被分割成两等份和三等分的圆柱体，正四棱柱以及六棱柱，共18块。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圆圆板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由100个彩色圆组成。可做颜色的排序、对应。以及小号榉木托盘一个（大于等于25*20cm）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不规则拼盘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由部规则几何图形嵌板组成，认识几何图形与锻炼观察能。尺寸大于等于22*22*2.5cm木质 0.4kg</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四方拼盘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1.材质：多层板+其他材质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2.产品尺寸：大于等于25*25*2.5cm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小鸭子嵌板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2.尺寸：大于等于14.6*10.5*0.9cm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3.大小颜色不同的鸭子排序，颜色认知 厘米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鲸鱼嵌板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2.尺寸：大于等于14.6*10.5*0.9cm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3.大小颜色深浅不同的鲸鱼排序，颜色认知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小鱼嵌板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2.尺寸：大于等于14.6*10.5*0.9cm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3.大小颜色不同的小鱼排序，颜色认知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大象嵌板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1.材质：多层板，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2.尺寸：大于等于14.6*10.5*0.9cm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3.大小颜色不同的大象排序，颜色认知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八音按钟</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一套八个，金属材质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豪华8音音块</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大于等于70*39*11cm，豪华8音音块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复制浴室用品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材质：榉木+其他。</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规格：浴室用品</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客厅物品与卡片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（相似对应物品）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材质：木质+布艺+纸卡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规格：仿真客厅家具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中式乐器与卡片</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材质：木质+纸卡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规格：5款中式乐器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中国风托盘尺寸：大于等于（小号24.2*17.8*2.3）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工程车与卡片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（相似对应物品）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材质：塑料+纸卡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规格：5款工程车</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神秘袋：一般配对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材质：金属+木质+塑料。</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规格：日常用品</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包装尺寸：大于等于20*15cm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贝壳配对</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材质：贝壳。</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规格：6对贝壳，</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篮子尺寸：大于等于17*8cm。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1个编织篮子组成。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神秘袋：鞋子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材质：木艺+pu+翻毛皮</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规格：4款不同鞋子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包装尺寸：大于等于20*30cm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木片积木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配对，每个对象都有两个，黑色塑料小托盘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餐厅物品与卡片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(相似对应物品）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材质：木质+纸卡。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规格：仿真餐厅家具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中国风托盘，尺寸大于等于（小号24.2*17.8*2.3）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电器类与卡片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(相似对应物品）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材质：木质+纸卡。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规格：仿真电器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炊具与卡片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（相似对应物品）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材质：不锈钢+纸卡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规格：4中厨房炊具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园林工具与卡片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（相似对应物品）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材质：金属+纸卡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规格：仿真园林工具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木质托盘，尺寸大于等于（小号20*25*4.6cm）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文具类与卡片</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(完全对应物品）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材质：木质+金属+纸卡</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规格：4款文具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中国风托盘，尺寸大于等于（小号24.2*17.8*2.3）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西式乐器与卡片</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西方乐器，配对图片，白色塑料托盘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概念配对1</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铁盒卡片，加篮子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概念配对2</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概念配对，动物与皮肤配对，加篮子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概念配对3</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概念配对，动物与环境配对，加篮子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动物和脚印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材质：PVC卡片，配套红榉木盒子，16个版</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概念配对4</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概念配对，职业与环境卡片5对配对，加篮子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绘本</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6本，精选世界著名绘本，是儿童优秀的启蒙语言画册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梳妆的工作</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（木质）</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1.梳妆（木）-镜子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2.梳妆（木）-首饰盒</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3.梳妆（木）-梳子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4.梳妆（木）-收纳盘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擦鼻涕</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垃圾盒，小方盘，镜子，圆形木托盘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卫生工具整理架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1.弹尘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2.扫把</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3.迷你拖把</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4.桌面扫把</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5.编织扫把</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6.玻璃刮板</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7.清洁架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折布盒</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材质：榉木+斜纹布</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尺寸：大于等于28*28*5.5cm</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正方形收纳木盒一个，内有6片蓝色有裁先的蓝色布料。</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叠毛巾</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小竹筐，五条毛巾</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擦亮镜子</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（粉托盘）</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1.擦镜子-小喷瓶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2.擦镜子-小瓷碟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3.擦镜子-海绵</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4.擦镜子-小棉布</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5.密胺托盘-粉（小号大于等于17*24*1.3cm）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木器抛光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三格瓷盘，抛光液，棉球，棉片，眼镜布，海绵，大圆竹篮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银器抛光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二格瓷盘，小瓷盘，棉球，棉片，海绵，椭圆竹篮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擦鞋</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一个鞋刷子，一个增亮抹布，一管鞋油，一个竹篮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洗贝壳</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大玻璃碗，若干贝壳，刷子，贝壳盘，香皂，海绵，小白托盘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擦叶子</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小喷壶，绿色柱状瓷碗，小叶盘，棉球，篮子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给植物</w:t>
            </w:r>
            <w:r/>
          </w:p>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浇水</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浇水壶，海绵，竹篮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插花</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一个透明花瓶，一个大号窄扣玻璃花瓶，一个大号瓷花瓶，一个玻璃水壶，一个小号星星玻璃瓶，一个小号玻璃花瓶，一个小号瓷花瓶，一个瓷碗，花边垫，2个瓷碟，一个漏斗，一把剪刀，一个收纳筐，一个海绵。</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洗手工作套装</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1.倒固体洗手-铁艺桶，盆，壶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2.倒固体洗手-白色方形瓷碟3个</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3.倒固体洗手-木刷子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4.倒固体洗手-香皂</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5.倒固体洗手-围裙</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6.倒固体洗手-手套抹布</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7.倒固体洗手-圆形抹布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洗布晾布</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铁艺桶，盆1个，壶，搓衣板，围裙，毛巾，晾衣架，碟子2个，香皂一个</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洗手台</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榉木，尺寸大于等于80*35*45cm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洗碗架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榉木，尺寸大于等于160*35*45cm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擦玻璃的工作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1.擦玻璃-刮板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2.擦玻璃-喷壶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3.擦玻璃-抹布</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4.擦玻璃-收纳盒</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削黄瓜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1.切-双耳陶瓷碗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2.切-条纹圆碗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3.切-不锈钢夹子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4.切-削皮器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5.切-水果刀</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6.密胺托盘，尺寸：大于等于（大号38*26*1.3cm）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切鸡蛋</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1.切-双耳陶瓷盘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2.切-条纹圆碗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3.切-条纹盅</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4.切-切蛋器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5.切-不锈钢夹子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6.切-鸡蛋收纳盒</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7.密胺托盘，尺寸：大于等于（大号38*26*1.3cm）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切香蕉</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1.切香蕉B-双耳陶瓷盘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2.切香蕉B-条纹圆碗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3.切香蕉B-玻璃船盘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4.切香蕉B-方形切板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5.切香蕉B-不锈钢夹子</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6.切香蕉B-切香蕉器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7.密胺托盘，尺寸：大于等于（大号38*26*1.3cm）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切苹果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1.切苹果B-双耳陶瓷盘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2.切苹果B-条纹圆碗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3.切苹果B-条纹盅</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4.切苹果B-条纹椭圆盘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5.切苹果B-苹果分割器</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6.仿瓷托盘，尺寸：大于等于(大号38.5*29*1.8cm）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榨橙汁</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1.榨（橙汁）-条纹圆碗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2.榨（橙汁）-条纹盅</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3.榨（橙汁）-凉水壶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4.榨（橙汁）-榨汁器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5.榨（橙汁）-小切板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6.榨（橙汁）-果酱刀</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密胺托盘，尺寸：大于等于（大号38*26*1.3cm）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涂抹果酱（蓝色）</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1.抹（蓝色）-条纹圆碗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2.抹（蓝色）-手柄调味碟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3.抹（蓝色）-条纹椭圆盘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4.抹（蓝色）-方形切板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5.抹（蓝色）-果酱刀</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6.抹（蓝色）-不锈钢夹子</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7.密胺托盘，尺寸：大于等于（大号38*26*1.3cm）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做饭团B</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1.做饭团B-条纹圆碗</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2.做饭团B-条纹盅</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3.做饭团B-条纹椭圆盘</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4.做饭团B-饭团神器</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5.做饭团B-圆形切板</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6.密胺托盘，尺寸：大于等于（中号31*22.5*1.3cm）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分享食物1</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1.玻璃花边盆</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2.透明冰桶</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3.方形切板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4.圆形切板</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5.手持切板</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6.整理架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分享食物2</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1.花型碟</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2.心形碟</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3.手持调料碟</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洗餐具</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1.沥水篮</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2.清洁刷</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沥水</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1.沥水盘，尺寸：大于等于（33*16*4cm）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油画棒36色</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规格 36色</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艺术-黏土</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1.黏-橡皮泥</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2.黏-若干模具 </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3.编织篮子大号，大于等于36*25*7cm。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艺术-印章海绵画</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1.大7字滚刷</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2.大号弹弓印花</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3.滚筒印花</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4.小号弹弓印花</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5.滚轮印章</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6.大号弹弓滚轮</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7.套彩平板滚刷</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8.套方形板刷</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9.套鱼头板刷</w:t>
            </w:r>
            <w:r/>
          </w:p>
          <w:p>
            <w:pPr>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10.套旋转画刷</w:t>
            </w:r>
            <w:r/>
          </w:p>
          <w:p>
            <w:pPr>
              <w:jc w:val="left"/>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2"/>
                <w:szCs w:val="22"/>
                <w:highlight w:val="none"/>
                <w:lang w:bidi="ar"/>
              </w:rPr>
              <w:t xml:space="preserve">11.套爆炸款</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远程管理便携式终端</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15.6吋  LPDDR4X 16GB SSD 512GB</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大屏无线协作终端会议盒子</w:t>
            </w:r>
            <w:r/>
          </w:p>
        </w:tc>
        <w:tc>
          <w:tcPr>
            <w:shd w:val="clear" w:color="auto" w:fill="auto"/>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lang w:val="en-US" w:eastAsia="zh-CN" w:bidi="ar"/>
              </w:rPr>
              <w:t xml:space="preserve">参数同</w:t>
            </w:r>
            <w:r>
              <w:rPr>
                <w:rFonts w:hint="eastAsia" w:ascii="宋体" w:hAnsi="宋体" w:eastAsia="宋体" w:cs="宋体"/>
                <w:color w:val="000000"/>
                <w:sz w:val="22"/>
                <w:szCs w:val="22"/>
                <w:highlight w:val="none"/>
                <w:lang w:val="en-US" w:eastAsia="zh-CN" w:bidi="ar"/>
              </w:rPr>
              <w:fldChar w:fldCharType="begin"/>
            </w:r>
            <w:r>
              <w:rPr>
                <w:rFonts w:hint="eastAsia" w:ascii="宋体" w:hAnsi="宋体" w:eastAsia="宋体" w:cs="宋体"/>
                <w:color w:val="000000"/>
                <w:sz w:val="22"/>
                <w:szCs w:val="22"/>
                <w:highlight w:val="none"/>
                <w:lang w:val="en-US" w:eastAsia="zh-CN" w:bidi="ar"/>
              </w:rPr>
              <w:instrText xml:space="preserve"> HYPERLINK "" \l "汇总清单!A1" </w:instrText>
            </w:r>
            <w:r>
              <w:rPr>
                <w:rFonts w:hint="eastAsia" w:ascii="宋体" w:hAnsi="宋体" w:eastAsia="宋体" w:cs="宋体"/>
                <w:color w:val="000000"/>
                <w:sz w:val="22"/>
                <w:szCs w:val="22"/>
                <w:highlight w:val="none"/>
                <w:lang w:val="en-US" w:eastAsia="zh-CN" w:bidi="ar"/>
              </w:rPr>
              <w:fldChar w:fldCharType="separate"/>
            </w:r>
            <w:r>
              <w:rPr>
                <w:rFonts w:hint="eastAsia" w:ascii="宋体" w:hAnsi="宋体" w:eastAsia="宋体" w:cs="宋体"/>
                <w:color w:val="000000"/>
                <w:sz w:val="22"/>
                <w:szCs w:val="22"/>
                <w:highlight w:val="none"/>
                <w:lang w:bidi="ar"/>
              </w:rPr>
              <w:t xml:space="preserve">2.智能化辅助设备</w:t>
            </w:r>
            <w:r>
              <w:rPr>
                <w:rFonts w:hint="eastAsia" w:ascii="宋体" w:hAnsi="宋体" w:eastAsia="宋体" w:cs="宋体"/>
                <w:color w:val="000000"/>
                <w:sz w:val="22"/>
                <w:szCs w:val="22"/>
                <w:highlight w:val="none"/>
                <w:lang w:val="en-US" w:eastAsia="zh-CN" w:bidi="ar"/>
              </w:rPr>
              <w:fldChar w:fldCharType="end"/>
            </w:r>
            <w:r>
              <w:rPr>
                <w:rFonts w:hint="eastAsia" w:ascii="宋体" w:hAnsi="宋体" w:eastAsia="宋体" w:cs="宋体"/>
                <w:color w:val="000000"/>
                <w:sz w:val="22"/>
                <w:szCs w:val="22"/>
                <w:highlight w:val="none"/>
                <w:lang w:val="en-US" w:eastAsia="zh-CN" w:bidi="ar"/>
              </w:rPr>
              <w:t xml:space="preserve">第12项：大屏无线协作终端会议盒子</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环境数据及签到显示屏</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除屏幕尺寸≥75英寸，其他</w:t>
            </w:r>
            <w:r>
              <w:rPr>
                <w:rFonts w:hint="eastAsia" w:ascii="宋体" w:hAnsi="宋体" w:eastAsia="宋体" w:cs="宋体"/>
                <w:color w:val="000000"/>
                <w:sz w:val="22"/>
                <w:szCs w:val="22"/>
                <w:highlight w:val="none"/>
                <w:lang w:val="en-US" w:eastAsia="zh-CN" w:bidi="ar"/>
              </w:rPr>
              <w:t xml:space="preserve">参数同</w:t>
            </w:r>
            <w:r>
              <w:rPr>
                <w:rFonts w:hint="eastAsia" w:ascii="宋体" w:hAnsi="宋体" w:eastAsia="宋体" w:cs="宋体"/>
                <w:color w:val="000000"/>
                <w:sz w:val="22"/>
                <w:szCs w:val="22"/>
                <w:highlight w:val="none"/>
                <w:lang w:val="en-US" w:eastAsia="zh-CN" w:bidi="ar"/>
              </w:rPr>
              <w:fldChar w:fldCharType="begin"/>
            </w:r>
            <w:r>
              <w:rPr>
                <w:rFonts w:hint="eastAsia" w:ascii="宋体" w:hAnsi="宋体" w:eastAsia="宋体" w:cs="宋体"/>
                <w:color w:val="000000"/>
                <w:sz w:val="22"/>
                <w:szCs w:val="22"/>
                <w:highlight w:val="none"/>
                <w:lang w:val="en-US" w:eastAsia="zh-CN" w:bidi="ar"/>
              </w:rPr>
              <w:instrText xml:space="preserve"> HYPERLINK "" \l "汇总清单!A1" </w:instrText>
            </w:r>
            <w:r>
              <w:rPr>
                <w:rFonts w:hint="eastAsia" w:ascii="宋体" w:hAnsi="宋体" w:eastAsia="宋体" w:cs="宋体"/>
                <w:color w:val="000000"/>
                <w:sz w:val="22"/>
                <w:szCs w:val="22"/>
                <w:highlight w:val="none"/>
                <w:lang w:val="en-US" w:eastAsia="zh-CN" w:bidi="ar"/>
              </w:rPr>
              <w:fldChar w:fldCharType="separate"/>
            </w:r>
            <w:r>
              <w:rPr>
                <w:rFonts w:hint="eastAsia" w:ascii="宋体" w:hAnsi="宋体" w:eastAsia="宋体" w:cs="宋体"/>
                <w:color w:val="000000"/>
                <w:sz w:val="22"/>
                <w:szCs w:val="22"/>
                <w:highlight w:val="none"/>
                <w:lang w:bidi="ar"/>
              </w:rPr>
              <w:t xml:space="preserve">2.智能化辅助设备</w:t>
            </w:r>
            <w:r>
              <w:rPr>
                <w:rFonts w:hint="eastAsia" w:ascii="宋体" w:hAnsi="宋体" w:eastAsia="宋体" w:cs="宋体"/>
                <w:color w:val="000000"/>
                <w:sz w:val="22"/>
                <w:szCs w:val="22"/>
                <w:highlight w:val="none"/>
                <w:lang w:val="en-US" w:eastAsia="zh-CN" w:bidi="ar"/>
              </w:rPr>
              <w:fldChar w:fldCharType="end"/>
            </w:r>
            <w:r>
              <w:rPr>
                <w:rFonts w:hint="eastAsia" w:ascii="宋体" w:hAnsi="宋体" w:eastAsia="宋体" w:cs="宋体"/>
                <w:color w:val="000000"/>
                <w:sz w:val="22"/>
                <w:szCs w:val="22"/>
                <w:highlight w:val="none"/>
                <w:lang w:val="en-US" w:eastAsia="zh-CN" w:bidi="ar"/>
              </w:rPr>
              <w:t xml:space="preserve">第4项</w:t>
            </w:r>
            <w:r>
              <w:rPr>
                <w:rFonts w:hint="eastAsia" w:ascii="宋体" w:hAnsi="宋体" w:eastAsia="宋体" w:cs="宋体"/>
                <w:i w:val="0"/>
                <w:iCs w:val="0"/>
                <w:color w:val="000000"/>
                <w:sz w:val="22"/>
                <w:szCs w:val="22"/>
                <w:highlight w:val="none"/>
                <w:u w:val="none"/>
                <w:lang w:val="en-US" w:eastAsia="zh-CN" w:bidi="ar"/>
              </w:rPr>
              <w:t xml:space="preserve">环境数据及签到显示屏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移动支架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适用于55-86英寸显示屏</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移动支架最大承重：不低于180KG</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互动实训教学系统</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可加入多个班级进行授课，并可在授课过程中无缝切换班级。支持</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查看当前授课班级的小组、</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在线名单及详情，支持在界面中直观显示在线、离线</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名单。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可将交互式课件资料下发给</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，并支持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完成点击、拖拽、批注等操作。</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可通过屏幕截图或实时画面了解</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作答情况及课堂笔记。支持分组下发交互式课件，能够针对不同</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组别一键推送课件不同页码的内容。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可下发游戏化互动题目，包括分类、填空、配对、双人竞赛等类型，</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通过终端作答后，</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端可收集全班</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每一个选项的答题正确率及错误</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名单。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听课模式下</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可将作业、试卷等用现场拍照或调用图库方式即时上传</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授课端。</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授课端可选择随机或指定</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照片进行展示，并支持对每张图片进行标注等操作。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支持自习模式、听课模式便捷切换；自习模式下，</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可自主查阅资料；听课模式下，</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可管控</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设备，并支持在管控状态下进行互动。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支持无走动巡堂，可采集不少于4个</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的屏幕，采集过程</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屏幕自动管控，支持更换、增删</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屏幕的操作，帮助</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快速总览</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学习情况。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支持</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发起课堂即时问答，支持预设题目数量、答题时间，并推送相应题干内容至</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端供</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作答，支持单选题、多选题、判断题等多种题型。答题过程中实时统计答题进度、预设正确答案、作答及未作答</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名单。答题结束后以</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或小组形式汇总各题各选项的选择名单及题目正确率。</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 支持课堂选人回答功能，支持老师抢答、讲师随机抽选等方式。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9.支持老师通过终端发表个人观点，可输入不少于6条观点。讲师端可自动生成观点文字排布图，并支持筛选词频展示主流观点。支持按照观点相同人数进行排序展示。支持随机抽选单个老师展示其观点。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 支持</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调用精品题库进行随堂小测，可预设答题时间，并在小测结束后自动批改客观题；全程提供作答进度、正确率等数据，供</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掌控测验进度及测验重难点。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11.支持</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调用题库资源自定义生成答题竞赛小游戏。答题结果支持自动批改，即时展现</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答题正确率和答题时间，生成</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积分榜。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所有答题互动自动生成报告单，</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可通过移动二维码或本地下载等方式获取本节课程内所有答题互动记录。记录包括：互动次数、未参与</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、答题类型、各题各选项的选择名单、各题目正确率、生生互动评分详情等。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13.提供小组合作学习功能，</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可通过手动或</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自选的方式进行分组，分组后</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可分别下发一个或多个任务，</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可查看任务相关学习文件资源，小组成员可进行协同编辑。支持小组内不同</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通过不同终端在同一白板操作界面上实时输入笔迹、文本、图片等内容，并可支持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之间相互协作编辑。支持对文档内容进行复制粘贴，支持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下发资料进行截图并插入；协作任务结束后</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可查看所有小组的任务结果并给予评价。(须提供出具的检测报告扫描件并加盖投标人公章)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14.支持根据</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作答结果生成班级知识图谱；可获取知识点上下级及前序知识点关联关系，各知识点的练习量、正确率、掌握度情况；可分辨高频知识点；可查看某一知识点的下级知识点练习量、正确率、掌握度情况。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 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查看个人学习任务，学习任务按照时间轴顺序排列，并且可以按照科目、老师、学习进度及任务类型等维度进行筛选。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 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通过学习任务进入学习，包括音视频、互动课件、图片、文档等学习资源的浏览，支持单选、多选、判断、填空题、主观题等习题的作答，作答方式不限于拍照、音频、文本输入。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在拍照作答时，支持照片编辑进行图像处理，提升可阅读性，并且图像处理区域可以自动识别纸张区域，还可以进行处理区域的手动调整。</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查看个人学习数据总览，包括总学习时长、学科掌握度、答题数、学习资源数；学科掌握度可查看个人和班级均值对比。支持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查看老师点赞、推荐作业数据，支持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查看同学点赞数据。</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支持</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培训</w:t>
            </w:r>
            <w:r>
              <w:rPr>
                <w:rFonts w:hint="eastAsia" w:ascii="宋体" w:hAnsi="宋体" w:eastAsia="宋体" w:cs="宋体"/>
                <w:i w:val="0"/>
                <w:iCs w:val="0"/>
                <w:color w:val="000000"/>
                <w:sz w:val="22"/>
                <w:szCs w:val="22"/>
                <w:highlight w:val="none"/>
                <w:u w:val="none"/>
                <w:lang w:val="en-US" w:eastAsia="zh-CN" w:bidi="ar"/>
              </w:rPr>
              <w:t xml:space="preserve">平板</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1.显示屏尺寸：</w:t>
            </w:r>
            <w:r>
              <w:rPr>
                <w:rFonts w:hint="eastAsia" w:ascii="宋体" w:hAnsi="宋体" w:eastAsia="宋体" w:cs="宋体"/>
                <w:i w:val="0"/>
                <w:iCs w:val="0"/>
                <w:color w:val="000000"/>
                <w:sz w:val="22"/>
                <w:szCs w:val="22"/>
                <w:highlight w:val="none"/>
                <w:u w:val="none"/>
                <w:lang w:val="en-US" w:eastAsia="zh-CN" w:bidi="ar"/>
              </w:rPr>
              <w:t xml:space="preserve">≥10英寸</w:t>
            </w:r>
            <w:r>
              <w:rPr>
                <w:rFonts w:hint="eastAsia" w:ascii="宋体" w:hAnsi="宋体" w:eastAsia="宋体" w:cs="宋体"/>
                <w:i w:val="0"/>
                <w:iCs w:val="0"/>
                <w:color w:val="000000"/>
                <w:sz w:val="22"/>
                <w:szCs w:val="22"/>
                <w:highlight w:val="none"/>
                <w:u w:val="none"/>
                <w:lang w:val="en-US" w:eastAsia="zh-CN" w:bidi="ar"/>
              </w:rPr>
              <w:t xml:space="preserve">，屏幕分辨率：≥1920×1200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2.采用八核CPU，主频：≥2.0GHz。</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3.内存容量：≥6GB；存储容量：≥128GB。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4.电池容量：≥8000mAh（典型值）。</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5.摄像头：双摄像头，前置≥800万像素，后置≥800万像素，后摄支持文档矫正增强功能，可以倾斜拍摄文档，并进行自动矫正和文字效果显示增强。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6.接口支持：扬声器≥2个；麦克风≥2个；USB TYPE C接口≥1个；支持耳机功能；Micro SD卡接口≥1个（最大支持512GB）。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7.WiFi：支持802.11a/b/g/n/ac（2.4G&amp;5.8GHz)；支持蓝牙功能。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8.屏幕支持圆偏振光技术；支持防眩光功能；通过类纸显示标准符合性证书；蓝光危害级别为RG0无危害。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9.护眼功能：支持距离感应功能，用户与平板距离低于设定距离时，自动弹出护眼警示；支持感光保护，自动检测环境光亮度，自动调整匹配的屏幕亮度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10.防护设计：支持防摔，带皮套100cm掉落至地面无损坏；支持IP43防尘防水。</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11.安全设计：采用V0防火阻燃材料；支持充电保护功能。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无线AP</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1、支持802.11a/b/g/n/ac wave2标准，整机6条空间流；支持2.4G+5G+5G三射频；2.4GHz 单射频最大接入速率≥400Mbps，5GHz单射频最大接入速率≥867Mbps，整机最大接入速率≥2134Mbps。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2、10/100/1000M Base-T以太网口≥2个；USB接口≥1个。</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3、内置智能天线阵, 具备动态波束功能。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4、单射频接入人数≥128，最大接入终端数量≥384个。</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5、支持IP防护等级≥IP41，工作温度：-10℃～50℃；工作湿度（非凝结）：5%~95%。</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6、支持虚拟AP技术，单频支持至少8个SSID，整机≥24个SSID，支持SSID隐藏，支持英文、中文、中英文混合SSID。</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7、室内型双频AP，胖瘦一体化，胖瘦可相互转换，出厂缺省胖AP模式。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8、支持网关路由模式，支持PPPOE拨号、静态IP，DHCP获取三种上网方式。</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支持基于MAC地址的接入控制，包括黑名单和白名单；支持防 DDoS 攻击能力，防止系统受到流量攻击和表项资源攻击，如ICMPFLOODING、ARP FLOODING、UDP FLOODING 攻击等。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白板软件</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（一）备授课功能：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1.为</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提供100T的云存储空间。</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2.支持PPT的原生解析，</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可将pptx课件转化为互动教学课件，保留pptx原文件中的文字、图片、表格等对象及动画的可编辑性，并可为课件增加互动教学元素。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3、课件回收站功能：按照删除时间存储已删除课件，支持用户在3天内自主或彻底删除单份/多份/全部已删除课件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4、具备云端静默推送下载功能，无需用户手动下载即可实现应用的在线升级，升级具有信息验证机制。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（二）互动资源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1.有互动课件资源，包含学科教育各学段各地区教材版本 169 个。具备互动课件资源，包含学科教育各学段教材版本全部教学章节、专题教育 14 个主题教育、特殊教育3大分类不少于200000 份的互动课件。</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2.提供不少于30个物理及化学三维实验视频，覆盖常用经典教学实验。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cs="宋体"/>
                <w:i w:val="0"/>
                <w:iCs w:val="0"/>
                <w:color w:val="000000"/>
                <w:sz w:val="22"/>
                <w:szCs w:val="22"/>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Style w:val="863"/>
                <w:highlight w:val="none"/>
                <w:lang w:val="en-US" w:eastAsia="zh-CN" w:bidi="ar"/>
              </w:rPr>
              <w:t xml:space="preserve">充电柜</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1.平板电脑支持尺寸：10英寸以上</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2.平板电脑方式方向：横放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3.平板充电数量：40-60位</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4.充电接口：220V插座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5.柜体内部设计方便走线。</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6.柜体采用全封闭式防盗结构，安全存储。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7.柜门采用大转角设计，方便多位同学同时取放平板。</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8.充电柜采用可移动式设计，具备万向轮，可移动。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1、采用功放与有源音箱一体化设计，内置麦克风无线接收模块，帮助</w:t>
            </w:r>
            <w:r>
              <w:rPr>
                <w:rFonts w:hint="eastAsia" w:ascii="宋体" w:hAnsi="宋体" w:cs="宋体"/>
                <w:i w:val="0"/>
                <w:iCs w:val="0"/>
                <w:color w:val="000000"/>
                <w:sz w:val="22"/>
                <w:szCs w:val="22"/>
                <w:highlight w:val="none"/>
                <w:u w:val="none"/>
                <w:lang w:val="en-US" w:eastAsia="zh-CN" w:bidi="ar"/>
              </w:rPr>
              <w:t xml:space="preserve">讲师</w:t>
            </w:r>
            <w:r>
              <w:rPr>
                <w:rFonts w:hint="eastAsia" w:ascii="宋体" w:hAnsi="宋体" w:eastAsia="宋体" w:cs="宋体"/>
                <w:i w:val="0"/>
                <w:iCs w:val="0"/>
                <w:color w:val="000000"/>
                <w:sz w:val="22"/>
                <w:szCs w:val="22"/>
                <w:highlight w:val="none"/>
                <w:u w:val="none"/>
                <w:lang w:val="en-US" w:eastAsia="zh-CN" w:bidi="ar"/>
              </w:rPr>
              <w:t xml:space="preserve">实现多媒体扩音以及本地扩声功能。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2、输出额定功率≥ 2x15W。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3、全频喇叭单元尺寸≥5英寸；</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4、距离音箱10米处声压级≥75dB。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5、具备≥1路电源开关、≥1路Line in、≥1路USB 接口（USB接口可外接U盘设备对音箱固件进行升级）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6、支持无线麦克风扩音接收，采用Wi-Fi射频2.4GHz与 5GHz双频段传输，有效避免环境中运营商U段（700MHz）的信号干扰。（需提供权威机构检测报告扫描件并加盖投标人公章）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7、采用红外对码方式，避免连接到其他教室音箱。可快速完成与教学扩声麦克风对码，无需繁琐操作。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8、配置独立音频数字信号处理芯片，支持啸叫抑制功能。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9、支持蓝牙无线接收，可分享移动设备上的音频。支持密码模式，防止</w:t>
            </w:r>
            <w:r>
              <w:rPr>
                <w:rFonts w:hint="eastAsia" w:ascii="宋体" w:hAnsi="宋体" w:cs="宋体"/>
                <w:i w:val="0"/>
                <w:iCs w:val="0"/>
                <w:color w:val="000000"/>
                <w:sz w:val="22"/>
                <w:szCs w:val="22"/>
                <w:highlight w:val="none"/>
                <w:u w:val="none"/>
                <w:lang w:val="en-US" w:eastAsia="zh-CN" w:bidi="ar"/>
              </w:rPr>
              <w:t xml:space="preserve">老师</w:t>
            </w:r>
            <w:r>
              <w:rPr>
                <w:rFonts w:hint="eastAsia" w:ascii="宋体" w:hAnsi="宋体" w:eastAsia="宋体" w:cs="宋体"/>
                <w:i w:val="0"/>
                <w:iCs w:val="0"/>
                <w:color w:val="000000"/>
                <w:sz w:val="22"/>
                <w:szCs w:val="22"/>
                <w:highlight w:val="none"/>
                <w:u w:val="none"/>
                <w:lang w:val="en-US" w:eastAsia="zh-CN" w:bidi="ar"/>
              </w:rPr>
              <w:t xml:space="preserve">连接。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10、支持教室多媒体设备通过蓝牙无线连接音箱，实现控制有源音箱的音量的功能。</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11、为保证兼容性及稳定性，一体化音箱需与为无线麦克风同一品牌厂家。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麦克风</w:t>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1.无线麦克风集音频发射处理器、天线、电池、拾音麦克风于一体，配合一体化有源音箱，无需任何外接辅助设备即可实现本地扩声功能。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2.采样率≥48KHz，16bit；扩音增益≥15dB；声频响150Hz-16kHz，声信噪比≥60dB；配合一体化有源音箱，扩音延时≤35ms。（需提供权威机构检测报告扫描件并加盖投标人公章）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3.用Wi-Fi射频频段传输，有效避免环境中运营商U段（700MHz）信号干扰。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4.支持2.4GHz与5GHz双频段工作，信道数量≥26个。</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5.电续航时间≥7小时，满电状态可满足一天内10节课（45分钟/一节课）的高频授课，充电10分钟满足一节课授课时间。</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6.采用红外对码方式连接，避免连接到其他教室音箱。可在5S内快速完成与教学扩声音箱对码，无需繁琐操作。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7.具备3.5mm外置麦克风接口，无线传输有效距离≥15 米。</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8.为保证兼容性及稳定性，无线麦克风需与一体化有源音箱为同一品牌厂家。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0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94"/>
        </w:trPr>
        <w:tc>
          <w:tcPr>
            <w:gridSpan w:val="5"/>
            <w:tcBorders>
              <w:top w:val="single" w:color="000000" w:sz="4" w:space="0"/>
              <w:left w:val="single" w:color="000000" w:sz="4" w:space="0"/>
              <w:bottom w:val="single" w:color="000000" w:sz="4" w:space="0"/>
              <w:right w:val="single" w:color="000000" w:sz="4" w:space="0"/>
            </w:tcBorders>
            <w:tcW w:w="9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auto"/>
                <w:sz w:val="24"/>
                <w:highlight w:val="none"/>
                <w:lang w:val="en-US" w:eastAsia="zh-CN"/>
              </w:rPr>
              <w:t xml:space="preserve">备注：其中</w:t>
            </w:r>
            <w:r>
              <w:rPr>
                <w:rFonts w:hint="eastAsia" w:ascii="宋体" w:hAnsi="宋体" w:eastAsia="宋体" w:cs="宋体"/>
                <w:b/>
                <w:bCs/>
                <w:color w:val="auto"/>
                <w:sz w:val="24"/>
                <w:highlight w:val="none"/>
                <w:lang w:val="en-US" w:eastAsia="zh-CN"/>
              </w:rPr>
              <w:fldChar w:fldCharType="begin"/>
            </w:r>
            <w:r>
              <w:rPr>
                <w:rFonts w:hint="eastAsia" w:ascii="宋体" w:hAnsi="宋体" w:eastAsia="宋体" w:cs="宋体"/>
                <w:b/>
                <w:bCs/>
                <w:color w:val="auto"/>
                <w:sz w:val="24"/>
                <w:highlight w:val="none"/>
                <w:lang w:val="en-US" w:eastAsia="zh-CN"/>
              </w:rPr>
              <w:instrText xml:space="preserve"> HYPERLINK "" \l "汇总清单!A1" </w:instrText>
            </w:r>
            <w:r>
              <w:rPr>
                <w:rFonts w:hint="eastAsia" w:ascii="宋体" w:hAnsi="宋体" w:eastAsia="宋体" w:cs="宋体"/>
                <w:b/>
                <w:bCs/>
                <w:color w:val="auto"/>
                <w:sz w:val="24"/>
                <w:highlight w:val="none"/>
                <w:lang w:val="en-US" w:eastAsia="zh-CN"/>
              </w:rPr>
              <w:fldChar w:fldCharType="separate"/>
            </w:r>
            <w:r>
              <w:rPr>
                <w:rFonts w:hint="eastAsia" w:ascii="宋体" w:hAnsi="宋体" w:eastAsia="宋体" w:cs="宋体"/>
                <w:b/>
                <w:bCs/>
                <w:color w:val="auto"/>
                <w:sz w:val="24"/>
                <w:highlight w:val="none"/>
                <w:lang w:val="en-US" w:eastAsia="zh-CN"/>
              </w:rPr>
              <w:t xml:space="preserve">智慧托育应用管理平台</w:t>
            </w:r>
            <w:r>
              <w:rPr>
                <w:rFonts w:hint="eastAsia" w:ascii="宋体" w:hAnsi="宋体" w:eastAsia="宋体" w:cs="宋体"/>
                <w:b/>
                <w:bCs/>
                <w:color w:val="auto"/>
                <w:sz w:val="24"/>
                <w:highlight w:val="none"/>
                <w:lang w:val="en-US" w:eastAsia="zh-CN"/>
              </w:rPr>
              <w:fldChar w:fldCharType="end"/>
            </w:r>
            <w:r>
              <w:rPr>
                <w:rFonts w:hint="eastAsia" w:ascii="宋体" w:hAnsi="宋体" w:eastAsia="宋体" w:cs="宋体"/>
                <w:b/>
                <w:bCs/>
                <w:color w:val="auto"/>
                <w:sz w:val="24"/>
                <w:highlight w:val="none"/>
                <w:lang w:val="en-US" w:eastAsia="zh-CN"/>
              </w:rPr>
              <w:t xml:space="preserve">必须为基于安全可靠测评结果等级I级及以上的处理器（CPU）、操作系统和数据库开发，投标人需提供相关承诺与之适配环境的详细实施方案，否则招标人有权拒绝和中标方签订合同。安全可靠测评结果查阅中国信息安全测评中心发布的测评公告（网址：http://www.itsec.gov.cn/，查阅“测评公告”）。</w:t>
            </w:r>
            <w:r/>
          </w:p>
        </w:tc>
      </w:tr>
    </w:tbl>
    <w:p>
      <w:pPr>
        <w:rPr>
          <w:highlight w:val="none"/>
        </w:rPr>
      </w:pPr>
      <w:r>
        <w:rPr>
          <w:highlight w:val="none"/>
        </w:rPr>
      </w:r>
      <w:r/>
    </w:p>
    <w:p>
      <w:pPr>
        <w:rPr>
          <w:highlight w:val="none"/>
        </w:rPr>
      </w:pPr>
      <w:r>
        <w:rPr>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、整体服务需求</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1.1供应商应根据对本项目服务需求，提出项目管理方案、售后服务支持方案及技术培训服务。</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1.2售后服务要求供应商需负责平台的安装、调试、试运行、维护、升级、数据库更新、技术支持、培训和项目管理等活动。</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技术培训服务要求供应商应当根据采购人要求及项目实际运行的需要，对采购人的技术人员提供培训，至少应包括技术培训和系统使用培训，具体大纲、课程安排、人次、地点、方式等相关事宜由双方共同约定。培训所需费用由供应商负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本招标文件对采购产品的性能和技术参数要求，均为基本需求参考值，投标产品技术性能应达到同等或更优。</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中标后供应商必须保证其所供货物非三无产品或贴标产品。如发现其产品为三无产品或贴标产品，采购人有权要求其无条件更换，其费用由中标人承担，拒不更换的采购人有权解除采购合同，履约保证金不予退还，已供货价款不予结算，造成损失的赔偿采购人相关损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，并承担一切因中标人违约造成的不良后果。</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二、验收标准</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2.中标人交货前应对产品作出全面检查和对验收文件进行整理，并列出清单，作为采购人收货验收和使用的技术条件依据，检验的结果应随货物交采购人。</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4.对技术复杂的货物，采购人可请国家认可的专业检测机构参与初步验收及最终验收，并由其出具质量检测报告。</w:t>
      </w:r>
      <w:r/>
    </w:p>
    <w:p>
      <w:pPr>
        <w:pStyle w:val="668"/>
        <w:rPr>
          <w:rFonts w:hint="eastAsia"/>
          <w:highlight w:val="none"/>
        </w:rPr>
      </w:pPr>
      <w:r>
        <w:rPr>
          <w:rFonts w:hint="eastAsia" w:ascii="宋体" w:hAnsi="宋体" w:eastAsia="宋体" w:cs="宋体"/>
          <w:sz w:val="24"/>
          <w:szCs w:val="24"/>
          <w:highlight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、其他商务要求</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1、运维服务期</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本项目运维服务为3年。（自交货验收合格之日起计）</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2、交货期、交货方式及交货地点</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交货期：本项目完成时间为签订合同后</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日历天内。</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交货方式：采购人指定的交货方式</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交货地点：采购人指定地点。</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3、投标货币</w:t>
      </w:r>
      <w:r>
        <w:rPr>
          <w:rFonts w:hint="eastAsia" w:ascii="宋体" w:hAnsi="宋体" w:eastAsia="宋体" w:cs="宋体"/>
          <w:sz w:val="24"/>
          <w:szCs w:val="24"/>
          <w:highlight w:val="none"/>
        </w:rPr>
        <w:tab/>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本项目投标货币单位为人民币。</w:t>
      </w:r>
      <w:r/>
    </w:p>
    <w:p>
      <w:pPr>
        <w:numPr>
          <w:ilvl w:val="0"/>
          <w:numId w:val="0"/>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四、前期咨询服务费</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1、本项目报价包含但不限于前期咨询费，前期咨询费收取参照苏招协【2022】002号文件。按10750计取，该费用折算在报价中，在报价单中不单独列明。中标供应商在中标公告公示后七个工作日内一次性缴纳。</w:t>
      </w:r>
      <w:r/>
    </w:p>
    <w:p>
      <w:pPr>
        <w:pStyle w:val="6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2、本项目编制采购需求、采购清单费用共29500元，以及后期产生的验收费、审计费等费用共10000元（暂定，后期按实计算），以上由中标人承担支付。</w:t>
      </w:r>
      <w:r/>
    </w:p>
    <w:p>
      <w:pPr>
        <w:pStyle w:val="668"/>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、演示要求</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演示方式 现场演示</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投标人演示人员和设备需在评标前到达盐城市</w:t>
      </w:r>
      <w:r>
        <w:rPr>
          <w:rFonts w:hint="eastAsia" w:ascii="宋体" w:hAnsi="宋体" w:eastAsia="宋体" w:cs="宋体"/>
          <w:sz w:val="24"/>
          <w:szCs w:val="24"/>
          <w:highlight w:val="none"/>
          <w:lang w:val="en-US" w:eastAsia="zh-CN"/>
        </w:rPr>
        <w:t xml:space="preserve">亭湖区</w:t>
      </w:r>
      <w:r>
        <w:rPr>
          <w:rFonts w:hint="eastAsia" w:ascii="宋体" w:hAnsi="宋体" w:eastAsia="宋体" w:cs="宋体"/>
          <w:sz w:val="24"/>
          <w:szCs w:val="24"/>
          <w:highlight w:val="none"/>
        </w:rPr>
        <w:t xml:space="preserve">公共资源交易中心四楼等候区。按照苏采云系统安排的顺序进行现场演示，演示需按照招标文件的规定和评标委员会的要求进行，时间不超过15分钟。采购中心提供投影机及幕布，其他所需设备由投标人自备。</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具体演示内容详见评标办法</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投标人需在“法人授权书”中注明进行现场演示的人员姓名及身份证号，不接受非注明的人员进入评审现场进行演示。投标人进入评审现场的人员应出示有效身份证件。</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注：采购标的的所属行业为软件和</w:t>
      </w:r>
      <w:r>
        <w:rPr>
          <w:rFonts w:hint="eastAsia" w:ascii="宋体" w:hAnsi="宋体" w:eastAsia="宋体" w:cs="宋体"/>
          <w:color w:val="auto"/>
          <w:sz w:val="24"/>
          <w:szCs w:val="24"/>
          <w:highlight w:val="none"/>
        </w:rPr>
        <w:t xml:space="preserve">信息技术服务业</w:t>
      </w:r>
      <w:r>
        <w:rPr>
          <w:rFonts w:hint="eastAsia" w:ascii="宋体" w:hAnsi="宋体" w:eastAsia="宋体" w:cs="宋体"/>
          <w:color w:val="auto"/>
          <w:sz w:val="24"/>
          <w:szCs w:val="24"/>
          <w:highlight w:val="none"/>
          <w:lang w:val="en-US" w:eastAsia="zh-CN"/>
        </w:rPr>
        <w:t xml:space="preserve">和制造业</w:t>
      </w:r>
      <w:r>
        <w:rPr>
          <w:rFonts w:hint="eastAsia" w:ascii="宋体" w:hAnsi="宋体" w:eastAsia="宋体" w:cs="宋体"/>
          <w:sz w:val="24"/>
          <w:szCs w:val="24"/>
          <w:highlight w:val="none"/>
        </w:rPr>
        <w:t xml:space="preserve">，根据《工业和信息化部、国家统计局、国家发展和改革委员会、财政部关于印发中小企业划型标准规定的通知》（工信部联企业[2011]300号）规定的划分标准填写。</w:t>
      </w:r>
      <w:r/>
    </w:p>
    <w:p>
      <w:pPr>
        <w:rPr>
          <w:highlight w:val="none"/>
        </w:rPr>
      </w:pPr>
      <w:r>
        <w:rPr>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rFonts w:hint="eastAsia"/>
          <w:b w:val="0"/>
          <w:bCs/>
          <w:highlight w:val="none"/>
        </w:rPr>
      </w:pPr>
      <w:r>
        <w:rPr>
          <w:rFonts w:hint="eastAsia"/>
          <w:b w:val="0"/>
          <w:bCs/>
          <w:highlight w:val="none"/>
        </w:rPr>
      </w:r>
      <w:r/>
    </w:p>
    <w:p>
      <w:pPr>
        <w:pStyle w:val="857"/>
        <w:ind w:firstLine="0"/>
        <w:jc w:val="center"/>
        <w:spacing w:line="240" w:lineRule="auto"/>
        <w:rPr>
          <w:b w:val="0"/>
          <w:bCs w:val="0"/>
          <w:highlight w:val="none"/>
        </w:rPr>
      </w:pPr>
      <w:r>
        <w:rPr>
          <w:rFonts w:hint="eastAsia"/>
          <w:b w:val="0"/>
          <w:bCs/>
          <w:highlight w:val="none"/>
        </w:rPr>
      </w:r>
      <w:r>
        <w:rPr>
          <w:rFonts w:hint="eastAsia"/>
          <w:b w:val="0"/>
          <w:bCs/>
          <w:highlight w:val="none"/>
        </w:rPr>
      </w:r>
    </w:p>
    <w:p>
      <w:pPr>
        <w:pStyle w:val="857"/>
        <w:ind w:firstLine="0"/>
        <w:jc w:val="center"/>
        <w:spacing w:line="240" w:lineRule="auto"/>
        <w:rPr>
          <w:rFonts w:hint="eastAsia"/>
          <w:b w:val="0"/>
          <w:bCs w:val="0"/>
          <w:highlight w:val="none"/>
        </w:rPr>
      </w:pPr>
      <w:r>
        <w:rPr>
          <w:rFonts w:hint="eastAsia"/>
          <w:b w:val="0"/>
          <w:bCs/>
          <w:highlight w:val="none"/>
        </w:rPr>
      </w:r>
      <w:r>
        <w:rPr>
          <w:rFonts w:hint="eastAsia"/>
          <w:b w:val="0"/>
          <w:bCs/>
          <w:highlight w:val="none"/>
        </w:rPr>
      </w:r>
    </w:p>
    <w:p>
      <w:pPr>
        <w:pStyle w:val="857"/>
        <w:ind w:firstLine="0"/>
        <w:jc w:val="center"/>
        <w:spacing w:line="240" w:lineRule="auto"/>
        <w:rPr>
          <w:rFonts w:hint="eastAsia"/>
          <w:b w:val="0"/>
          <w:bCs w:val="0"/>
          <w:highlight w:val="none"/>
        </w:rPr>
      </w:pPr>
      <w:r>
        <w:rPr>
          <w:rFonts w:hint="eastAsia"/>
          <w:b w:val="0"/>
          <w:bCs/>
          <w:highlight w:val="none"/>
        </w:rPr>
        <w:t xml:space="preserve">第五章</w:t>
      </w:r>
      <w:r>
        <w:rPr>
          <w:rFonts w:ascii="Calibri" w:hAnsi="Calibri" w:cs="Calibri"/>
          <w:b w:val="0"/>
          <w:bCs/>
          <w:highlight w:val="none"/>
        </w:rPr>
        <w:t xml:space="preserve"> </w:t>
      </w:r>
      <w:r>
        <w:rPr>
          <w:rFonts w:hint="eastAsia"/>
          <w:b w:val="0"/>
          <w:bCs/>
          <w:highlight w:val="none"/>
        </w:rPr>
        <w:t xml:space="preserve"> 评标方法与评标标准</w:t>
      </w:r>
      <w:r/>
    </w:p>
    <w:p>
      <w:pPr>
        <w:ind w:firstLine="480"/>
        <w:spacing w:line="560" w:lineRule="exact"/>
        <w:widowControl/>
        <w:rPr>
          <w:b/>
          <w:bCs/>
          <w:sz w:val="24"/>
          <w:szCs w:val="20"/>
          <w:highlight w:val="none"/>
        </w:rPr>
      </w:pPr>
      <w:r>
        <w:rPr>
          <w:rFonts w:hint="eastAsia"/>
          <w:b/>
          <w:bCs/>
          <w:sz w:val="24"/>
          <w:szCs w:val="20"/>
          <w:highlight w:val="none"/>
        </w:rPr>
        <w:t xml:space="preserve">一、定标原则</w:t>
      </w:r>
      <w:r/>
    </w:p>
    <w:p>
      <w:pPr>
        <w:ind w:firstLine="480"/>
        <w:spacing w:line="560" w:lineRule="exact"/>
        <w:widowControl/>
        <w:rPr>
          <w:sz w:val="24"/>
          <w:szCs w:val="20"/>
          <w:highlight w:val="none"/>
        </w:rPr>
      </w:pPr>
      <w:r>
        <w:rPr>
          <w:rFonts w:hint="eastAsia"/>
          <w:sz w:val="24"/>
          <w:szCs w:val="20"/>
          <w:highlight w:val="none"/>
        </w:rPr>
        <w:t xml:space="preserve">采用</w:t>
      </w:r>
      <w:r>
        <w:rPr>
          <w:rFonts w:hint="eastAsia"/>
          <w:sz w:val="24"/>
          <w:szCs w:val="20"/>
          <w:highlight w:val="none"/>
          <w:u w:val="single"/>
        </w:rPr>
        <w:t xml:space="preserve">综合评分法</w:t>
      </w:r>
      <w:r>
        <w:rPr>
          <w:rFonts w:hint="eastAsia"/>
          <w:sz w:val="24"/>
          <w:szCs w:val="20"/>
          <w:highlight w:val="none"/>
        </w:rPr>
        <w:t xml:space="preserve">的，评标结果按评审后得分由高到低顺序排列。得分相同的，按投标报价由低到高顺序排列。得分且投标报价相同的</w:t>
      </w:r>
      <w:r>
        <w:rPr>
          <w:rFonts w:hint="eastAsia" w:eastAsia="宋体"/>
          <w:sz w:val="24"/>
          <w:szCs w:val="20"/>
          <w:highlight w:val="none"/>
          <w:lang w:eastAsia="zh-CN"/>
        </w:rPr>
        <w:t xml:space="preserve">，</w:t>
      </w:r>
      <w:r>
        <w:rPr>
          <w:rFonts w:hint="eastAsia"/>
          <w:sz w:val="24"/>
          <w:szCs w:val="20"/>
          <w:highlight w:val="none"/>
        </w:rPr>
        <w:t xml:space="preserve">投标文件满足招标文件全部实质性要求，且按照评审因素的量化指标评审得分最高的投标人为中标候选人。本项目选取1名中标候选人。</w:t>
      </w:r>
      <w:r/>
    </w:p>
    <w:p>
      <w:pPr>
        <w:ind w:firstLine="480"/>
        <w:spacing w:line="560" w:lineRule="exact"/>
        <w:widowControl/>
        <w:rPr>
          <w:b/>
          <w:bCs/>
          <w:sz w:val="24"/>
          <w:szCs w:val="20"/>
          <w:highlight w:val="none"/>
        </w:rPr>
      </w:pPr>
      <w:r>
        <w:rPr>
          <w:rFonts w:hint="eastAsia"/>
          <w:b/>
          <w:bCs/>
          <w:sz w:val="24"/>
          <w:szCs w:val="20"/>
          <w:highlight w:val="none"/>
        </w:rPr>
        <w:t xml:space="preserve">政府采购政策功能落实</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1、小微型企业价格扣除</w:t>
      </w:r>
      <w:r/>
    </w:p>
    <w:p>
      <w:pPr>
        <w:pStyle w:val="686"/>
        <w:ind w:firstLine="36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86"/>
        <w:ind w:firstLine="36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（2）供应商需按照采购文件的要求提供相应的《</w:t>
      </w:r>
      <w:r>
        <w:rPr>
          <w:rFonts w:hint="eastAsia" w:cstheme="minorBidi"/>
          <w:sz w:val="24"/>
          <w:szCs w:val="20"/>
          <w:highlight w:val="none"/>
          <w:lang w:val="en-US" w:eastAsia="zh-CN" w:bidi="ar-SA"/>
        </w:rPr>
        <w:t xml:space="preserve">中</w:t>
      </w:r>
      <w:r>
        <w:rPr>
          <w:rFonts w:hint="eastAsia" w:asciiTheme="minorHAnsi" w:hAnsiTheme="minorHAnsi" w:eastAsiaTheme="minorEastAsia" w:cstheme="minorBidi"/>
          <w:sz w:val="24"/>
          <w:szCs w:val="20"/>
          <w:highlight w:val="none"/>
          <w:lang w:val="en-US" w:eastAsia="zh-CN" w:bidi="ar-SA"/>
        </w:rPr>
        <w:t xml:space="preserve">小微企业声明函》。</w:t>
      </w:r>
      <w:r/>
    </w:p>
    <w:p>
      <w:pPr>
        <w:pStyle w:val="686"/>
        <w:ind w:firstLine="36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（3）企业标准请参照《关于印发中小企业划型标准规定的通知》（工信部联企业[2011]300号）文件规定自行填写。</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2、残疾人福利单位价格扣除</w:t>
      </w:r>
      <w:r/>
    </w:p>
    <w:p>
      <w:pPr>
        <w:pStyle w:val="686"/>
        <w:ind w:left="120" w:firstLine="36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（1）本项目对残疾人福利性单位视同小型、微型企业，给予</w:t>
      </w:r>
      <w:r>
        <w:rPr>
          <w:rFonts w:hint="eastAsia" w:asciiTheme="minorHAnsi" w:hAnsiTheme="minorHAnsi" w:eastAsiaTheme="minorEastAsia" w:cstheme="minorBidi"/>
          <w:sz w:val="24"/>
          <w:szCs w:val="20"/>
          <w:highlight w:val="none"/>
          <w:u w:val="single"/>
          <w:lang w:val="en-US" w:eastAsia="zh-CN" w:bidi="ar-SA"/>
        </w:rPr>
        <w:t xml:space="preserve">20%</w:t>
      </w:r>
      <w:r/>
    </w:p>
    <w:p>
      <w:pPr>
        <w:pStyle w:val="686"/>
        <w:ind w:left="120" w:firstLine="36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（2）残疾人福利单位需按照采购文件的要求提供《残疾人福利性单位声明函》。</w:t>
      </w:r>
      <w:r/>
    </w:p>
    <w:p>
      <w:pPr>
        <w:pStyle w:val="686"/>
        <w:ind w:left="120" w:firstLine="36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（3）残疾人福利单位标准请参照《关于促进残疾人就业政府采购政策的通知》（财库〔2017〕141号）。</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3、监狱和戒毒企业价格扣除</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（1）本项目对监狱和戒毒企业（简称监狱企业）视同小型、微型企业，给予</w:t>
      </w:r>
      <w:r>
        <w:rPr>
          <w:rFonts w:hint="eastAsia" w:asciiTheme="minorHAnsi" w:hAnsiTheme="minorHAnsi" w:eastAsiaTheme="minorEastAsia" w:cstheme="minorBidi"/>
          <w:sz w:val="24"/>
          <w:szCs w:val="20"/>
          <w:highlight w:val="none"/>
          <w:u w:val="single"/>
          <w:lang w:val="en-US" w:eastAsia="zh-CN" w:bidi="ar-SA"/>
        </w:rPr>
        <w:t xml:space="preserve">20%</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（3）监狱企业标准请参照《关于政府采购支持监狱企业发展有关问题的通知》（财库[2014]68号）。</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4、残疾人福利单位、监狱企业属于</w:t>
      </w:r>
      <w:r>
        <w:rPr>
          <w:rFonts w:hint="eastAsia" w:cstheme="minorBidi"/>
          <w:sz w:val="24"/>
          <w:szCs w:val="20"/>
          <w:highlight w:val="none"/>
          <w:lang w:val="en-US" w:eastAsia="zh-CN" w:bidi="ar-SA"/>
        </w:rPr>
        <w:t xml:space="preserve">中</w:t>
      </w:r>
      <w:r>
        <w:rPr>
          <w:rFonts w:hint="eastAsia" w:asciiTheme="minorHAnsi" w:hAnsiTheme="minorHAnsi" w:eastAsiaTheme="minorEastAsia" w:cstheme="minorBidi"/>
          <w:sz w:val="24"/>
          <w:szCs w:val="20"/>
          <w:highlight w:val="none"/>
          <w:lang w:val="en-US" w:eastAsia="zh-CN" w:bidi="ar-SA"/>
        </w:rPr>
        <w:t xml:space="preserve">小型、微型企业的，不重复享受政策。</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86"/>
        <w:ind w:firstLine="480"/>
        <w:pageBreakBefore w:val="0"/>
        <w:spacing w:before="120" w:beforeAutospacing="0" w:after="120" w:afterAutospacing="0"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6、联合体各方均为</w:t>
      </w:r>
      <w:r>
        <w:rPr>
          <w:rFonts w:hint="eastAsia" w:cstheme="minorBidi"/>
          <w:sz w:val="24"/>
          <w:szCs w:val="20"/>
          <w:highlight w:val="none"/>
          <w:lang w:val="en-US" w:eastAsia="zh-CN" w:bidi="ar-SA"/>
        </w:rPr>
        <w:t xml:space="preserve">中</w:t>
      </w:r>
      <w:r>
        <w:rPr>
          <w:rFonts w:hint="eastAsia" w:asciiTheme="minorHAnsi" w:hAnsiTheme="minorHAnsi" w:eastAsiaTheme="minorEastAsia" w:cstheme="minorBidi"/>
          <w:sz w:val="24"/>
          <w:szCs w:val="20"/>
          <w:highlight w:val="none"/>
          <w:lang w:val="en-US" w:eastAsia="zh-CN" w:bidi="ar-SA"/>
        </w:rPr>
        <w:t xml:space="preserve">小型、微型企业（残疾人福利单位、监狱企业）的，联合体享受20%。</w:t>
      </w:r>
      <w:r/>
    </w:p>
    <w:p>
      <w:pPr>
        <w:ind w:firstLine="480"/>
        <w:pageBreakBefore w:val="0"/>
        <w:spacing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7、严格执行政府采购关于支持</w:t>
      </w:r>
      <w:r>
        <w:rPr>
          <w:rFonts w:hint="eastAsia" w:asciiTheme="minorHAnsi" w:hAnsiTheme="minorHAnsi" w:eastAsiaTheme="minorEastAsia" w:cstheme="minorBidi"/>
          <w:sz w:val="24"/>
          <w:szCs w:val="20"/>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8、供应商对于投标产品的商品包装、快递包装应按照《关于印发《商品包装政府采购需求标准（试行）》、《快递包装政府采购需求标准（试行）》的通知》（财办库〔2020〕123号）执行。</w:t>
      </w:r>
      <w:r/>
    </w:p>
    <w:p>
      <w:pPr>
        <w:ind w:firstLine="480"/>
        <w:pageBreakBefore w:val="0"/>
        <w:spacing w:line="420" w:lineRule="exact"/>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9、本文件中若涉及到数据中心采购，应按照《&lt;绿色数据中心政府采购需求标准（试行）&gt;的通知》（财库〔2023〕7号）执行。</w:t>
      </w:r>
      <w:r/>
    </w:p>
    <w:p>
      <w:pPr>
        <w:ind w:firstLine="480"/>
        <w:spacing w:line="560" w:lineRule="exact"/>
        <w:widowControl/>
        <w:rPr>
          <w:rFonts w:hint="eastAsia"/>
          <w:sz w:val="24"/>
          <w:szCs w:val="20"/>
          <w:highlight w:val="none"/>
          <w:lang w:val="en-US" w:eastAsia="zh-CN"/>
        </w:rPr>
      </w:pPr>
      <w:r>
        <w:rPr>
          <w:rFonts w:hint="eastAsia" w:asciiTheme="minorHAnsi" w:hAnsiTheme="minorHAnsi" w:eastAsiaTheme="minorEastAsia" w:cstheme="minorBidi"/>
          <w:sz w:val="24"/>
          <w:szCs w:val="20"/>
          <w:highlight w:val="none"/>
          <w:lang w:val="en-US" w:eastAsia="zh-CN" w:bidi="ar-SA"/>
        </w:rPr>
        <w:t xml:space="preserve">10、根据《江苏省政府采购信用管理暂行办法》的规定，供应商信用评价结果为三星的扣2分，评价结果为二星的扣3分，评价结果为一星的扣4分</w:t>
      </w:r>
      <w:r>
        <w:rPr>
          <w:rFonts w:hint="eastAsia"/>
          <w:sz w:val="24"/>
          <w:szCs w:val="20"/>
          <w:highlight w:val="none"/>
          <w:lang w:val="en-US" w:eastAsia="zh-CN"/>
        </w:rPr>
        <w:t xml:space="preserve">。</w:t>
      </w:r>
      <w:r/>
    </w:p>
    <w:p>
      <w:pPr>
        <w:pStyle w:val="686"/>
        <w:pageBreakBefore w:val="0"/>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6"/>
        <w:pageBreakBefore w:val="0"/>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6"/>
        <w:pageBreakBefore w:val="0"/>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6"/>
        <w:pageBreakBefore w:val="0"/>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6"/>
        <w:pageBreakBefore w:val="0"/>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6"/>
        <w:pageBreakBefore w:val="0"/>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6"/>
        <w:pageBreakBefore w:val="0"/>
        <w:spacing w:before="120" w:beforeAutospacing="0" w:after="120" w:afterAutospacing="0" w:line="0" w:lineRule="atLeas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评标方法与评标标准</w:t>
      </w:r>
      <w:r>
        <w:rPr>
          <w:rFonts w:hint="eastAsia" w:ascii="宋体" w:hAnsi="宋体" w:eastAsia="宋体" w:cs="宋体"/>
          <w:b/>
          <w:color w:val="auto"/>
          <w:highlight w:val="none"/>
          <w:lang w:eastAsia="zh-CN"/>
        </w:rPr>
        <w:t xml:space="preserve">：</w:t>
      </w:r>
      <w:r/>
    </w:p>
    <w:tbl>
      <w:tblPr>
        <w:tblStyle w:val="662"/>
        <w:tblW w:w="10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822"/>
        <w:gridCol w:w="7796"/>
      </w:tblGrid>
      <w:tr>
        <w:trPr>
          <w:jc w:val="center"/>
          <w:trHeight w:val="386"/>
        </w:trPr>
        <w:tc>
          <w:tcPr>
            <w:tcW w:w="1616" w:type="dxa"/>
            <w:vAlign w:val="center"/>
            <w:textDirection w:val="lrTb"/>
            <w:noWrap w:val="false"/>
          </w:tcPr>
          <w:p>
            <w:pPr>
              <w:jc w:val="center"/>
              <w:spacing w:line="560" w:lineRule="exact"/>
              <w:widowControl/>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评审因素</w:t>
            </w:r>
            <w:r/>
          </w:p>
        </w:tc>
        <w:tc>
          <w:tcPr>
            <w:tcW w:w="822" w:type="dxa"/>
            <w:vAlign w:val="center"/>
            <w:textDirection w:val="lrTb"/>
            <w:noWrap w:val="false"/>
          </w:tcPr>
          <w:p>
            <w:pPr>
              <w:jc w:val="center"/>
              <w:spacing w:line="560" w:lineRule="exact"/>
              <w:widowControl/>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分值</w:t>
            </w:r>
            <w:r/>
          </w:p>
        </w:tc>
        <w:tc>
          <w:tcPr>
            <w:tcW w:w="7796" w:type="dxa"/>
            <w:vAlign w:val="center"/>
            <w:textDirection w:val="lrTb"/>
            <w:noWrap w:val="false"/>
          </w:tcPr>
          <w:p>
            <w:pPr>
              <w:jc w:val="center"/>
              <w:spacing w:line="560" w:lineRule="exact"/>
              <w:widowControl/>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sz w:val="24"/>
                <w:szCs w:val="20"/>
                <w:highlight w:val="none"/>
                <w:lang w:val="en-US" w:eastAsia="zh-CN" w:bidi="ar-SA"/>
              </w:rPr>
              <w:t xml:space="preserve">评分细则</w:t>
            </w:r>
            <w:r/>
          </w:p>
        </w:tc>
      </w:tr>
      <w:tr>
        <w:trPr>
          <w:jc w:val="center"/>
          <w:trHeight w:val="387"/>
        </w:trPr>
        <w:tc>
          <w:tcPr>
            <w:gridSpan w:val="3"/>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ind w:firstLine="480"/>
              <w:jc w:val="center"/>
              <w:spacing w:line="560" w:lineRule="exact"/>
              <w:widowControl/>
              <w:rPr>
                <w:rFonts w:hint="eastAsia" w:asciiTheme="minorHAnsi" w:hAnsiTheme="minorHAnsi" w:eastAsiaTheme="minorEastAsia" w:cstheme="minorBidi"/>
                <w:sz w:val="24"/>
                <w:szCs w:val="20"/>
                <w:highlight w:val="none"/>
                <w:lang w:val="en-US" w:eastAsia="zh-CN" w:bidi="ar-SA"/>
              </w:rPr>
            </w:pPr>
            <w:r>
              <w:rPr>
                <w:rFonts w:hint="eastAsia" w:asciiTheme="minorHAnsi" w:hAnsiTheme="minorHAnsi" w:eastAsiaTheme="minorEastAsia" w:cstheme="minorBidi"/>
                <w:b/>
                <w:bCs/>
                <w:sz w:val="24"/>
                <w:szCs w:val="20"/>
                <w:highlight w:val="none"/>
                <w:lang w:val="en-US" w:eastAsia="zh-CN" w:bidi="ar-SA"/>
              </w:rPr>
              <w:t xml:space="preserve">价格分（30分）</w:t>
            </w:r>
            <w:r/>
          </w:p>
        </w:tc>
      </w:tr>
      <w:tr>
        <w:trPr>
          <w:jc w:val="center"/>
          <w:trHeight w:val="1430"/>
        </w:trPr>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w:t>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分采用低价优先法计算，即满足招标文件要求且报价最低的供应商报价为评标基准价，其报价分为满分30分。其他供应商的报价分统一按照以下公式计算：投标报价得分=(评标基准价/该供应商的投标报价)×30分（四舍五入后保留小数点后两位）。</w:t>
            </w:r>
            <w:r/>
          </w:p>
        </w:tc>
      </w:tr>
      <w:tr>
        <w:trPr>
          <w:jc w:val="center"/>
          <w:trHeight w:val="90"/>
        </w:trPr>
        <w:tc>
          <w:tcPr>
            <w:gridSpan w:val="3"/>
            <w:tcW w:w="1023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Theme="minorHAnsi" w:hAnsiTheme="minorHAnsi" w:eastAsiaTheme="minorEastAsia" w:cstheme="minorBidi"/>
                <w:b/>
                <w:bCs/>
                <w:sz w:val="24"/>
                <w:szCs w:val="20"/>
                <w:highlight w:val="none"/>
                <w:lang w:val="en-US" w:eastAsia="zh-CN" w:bidi="ar-SA"/>
              </w:rPr>
              <w:t xml:space="preserve">技术</w:t>
            </w:r>
            <w:r>
              <w:rPr>
                <w:rFonts w:hint="eastAsia" w:asciiTheme="minorHAnsi" w:hAnsiTheme="minorHAnsi" w:eastAsiaTheme="minorEastAsia" w:cstheme="minorBidi"/>
                <w:b/>
                <w:bCs/>
                <w:sz w:val="24"/>
                <w:szCs w:val="20"/>
                <w:highlight w:val="none"/>
                <w:lang w:val="en-US" w:eastAsia="zh-CN" w:bidi="ar-SA"/>
              </w:rPr>
              <w:t xml:space="preserve">分（</w:t>
            </w:r>
            <w:r>
              <w:rPr>
                <w:rFonts w:hint="eastAsia" w:cstheme="minorBidi"/>
                <w:b/>
                <w:bCs/>
                <w:sz w:val="24"/>
                <w:szCs w:val="20"/>
                <w:highlight w:val="none"/>
                <w:lang w:val="en-US" w:eastAsia="zh-CN" w:bidi="ar-SA"/>
              </w:rPr>
              <w:t xml:space="preserve">56</w:t>
            </w:r>
            <w:r>
              <w:rPr>
                <w:rFonts w:hint="eastAsia" w:asciiTheme="minorHAnsi" w:hAnsiTheme="minorHAnsi" w:eastAsiaTheme="minorEastAsia" w:cstheme="minorBidi"/>
                <w:b/>
                <w:bCs/>
                <w:sz w:val="24"/>
                <w:szCs w:val="20"/>
                <w:highlight w:val="none"/>
                <w:lang w:val="en-US" w:eastAsia="zh-CN" w:bidi="ar-SA"/>
              </w:rPr>
              <w:t xml:space="preserve">分</w:t>
            </w:r>
            <w:r>
              <w:rPr>
                <w:rFonts w:hint="eastAsia" w:asciiTheme="minorHAnsi" w:hAnsiTheme="minorHAnsi" w:eastAsiaTheme="minorEastAsia" w:cstheme="minorBidi"/>
                <w:b/>
                <w:bCs/>
                <w:sz w:val="24"/>
                <w:szCs w:val="20"/>
                <w:highlight w:val="none"/>
                <w:lang w:val="en-US" w:eastAsia="zh-CN" w:bidi="ar-SA"/>
              </w:rPr>
              <w:t xml:space="preserve">）</w:t>
            </w:r>
            <w:r/>
          </w:p>
        </w:tc>
      </w:tr>
      <w:tr>
        <w:trPr>
          <w:jc w:val="center"/>
          <w:trHeight w:val="1323"/>
        </w:trPr>
        <w:tc>
          <w:tcPr>
            <w:tcW w:w="161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产品配置及技术参数</w:t>
            </w:r>
            <w:r/>
          </w:p>
        </w:tc>
        <w:tc>
          <w:tcPr>
            <w:tcW w:w="822"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w:t>
            </w:r>
            <w:r/>
          </w:p>
        </w:tc>
        <w:tc>
          <w:tcPr>
            <w:tcW w:w="779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根据供应商提供的《技术参数响应及偏离表》和检测报告等情况，由评标委员会进行评分。完全满足技术指标要求的，得38分；招标文件中标注★号指标有一项不满足扣2分；注</w:t>
            </w:r>
            <w:r>
              <w:rPr>
                <w:rFonts w:hint="eastAsia" w:ascii="微软雅黑" w:hAnsi="微软雅黑" w:eastAsia="微软雅黑" w:cs="微软雅黑"/>
                <w:i w:val="0"/>
                <w:iCs w:val="0"/>
                <w:color w:val="000000"/>
                <w:sz w:val="22"/>
                <w:szCs w:val="22"/>
                <w:highlight w:val="none"/>
                <w:u w:val="none"/>
                <w:lang w:val="en-US" w:eastAsia="zh-CN" w:bidi="ar"/>
              </w:rPr>
              <w:t xml:space="preserve">▲</w:t>
            </w:r>
            <w:r>
              <w:rPr>
                <w:rFonts w:hint="eastAsia" w:ascii="宋体" w:hAnsi="宋体" w:eastAsia="宋体" w:cs="宋体"/>
                <w:color w:val="auto"/>
                <w:sz w:val="24"/>
                <w:szCs w:val="24"/>
                <w:highlight w:val="none"/>
                <w:lang w:val="en-US" w:eastAsia="zh-CN" w:bidi="ar-SA"/>
              </w:rPr>
              <w:t xml:space="preserve">号指标有一项不满足扣1分；（备注：各投标人应提供相关证明材料（检测报告或证明材料）扫描件加盖投标单位公章。）</w:t>
            </w:r>
            <w:r/>
          </w:p>
        </w:tc>
      </w:tr>
      <w:tr>
        <w:trPr>
          <w:jc w:val="center"/>
          <w:trHeight w:val="376"/>
        </w:trPr>
        <w:tc>
          <w:tcPr>
            <w:tcW w:w="1616" w:type="dxa"/>
            <w:vAlign w:val="center"/>
            <w:textDirection w:val="lrTb"/>
            <w:noWrap w:val="false"/>
          </w:tcPr>
          <w:p>
            <w:pPr>
              <w:pStyle w:val="665"/>
              <w:numPr>
                <w:ilvl w:val="0"/>
                <w:numId w:val="0"/>
              </w:num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65"/>
              <w:numPr>
                <w:ilvl w:val="0"/>
                <w:numId w:val="0"/>
              </w:num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产品资质</w:t>
            </w:r>
            <w:r/>
          </w:p>
          <w:p>
            <w:pPr>
              <w:pStyle w:val="665"/>
              <w:numPr>
                <w:ilvl w:val="0"/>
                <w:numId w:val="0"/>
              </w:num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与性能</w:t>
            </w:r>
            <w:r/>
          </w:p>
          <w:p>
            <w:pPr>
              <w:pStyle w:val="665"/>
              <w:numPr>
                <w:ilvl w:val="0"/>
                <w:numId w:val="0"/>
              </w:numPr>
              <w:ind w:left="0" w:firstLine="0"/>
              <w:jc w:val="center"/>
              <w:rPr>
                <w:rFonts w:hint="eastAsia" w:asciiTheme="minorHAnsi" w:hAnsiTheme="minorHAnsi" w:eastAsiaTheme="minorEastAsia" w:cstheme="minorBidi"/>
                <w:sz w:val="24"/>
                <w:szCs w:val="24"/>
                <w:highlight w:val="none"/>
                <w:lang w:val="en-US" w:eastAsia="zh-CN" w:bidi="ar-SA"/>
              </w:rPr>
            </w:pPr>
            <w:r>
              <w:rPr>
                <w:rFonts w:hint="eastAsia" w:asciiTheme="minorHAnsi" w:hAnsiTheme="minorHAnsi" w:eastAsiaTheme="minorEastAsia" w:cstheme="minorBidi"/>
                <w:sz w:val="24"/>
                <w:szCs w:val="24"/>
                <w:highlight w:val="none"/>
                <w:lang w:val="en-US" w:eastAsia="zh-CN" w:bidi="ar-SA"/>
              </w:rPr>
            </w:r>
            <w:r/>
          </w:p>
        </w:tc>
        <w:tc>
          <w:tcPr>
            <w:tcW w:w="822" w:type="dxa"/>
            <w:vAlign w:val="center"/>
            <w:textDirection w:val="lrTb"/>
            <w:noWrap w:val="false"/>
          </w:tcPr>
          <w:p>
            <w:pPr>
              <w:pStyle w:val="665"/>
              <w:numPr>
                <w:ilvl w:val="0"/>
                <w:numId w:val="0"/>
              </w:numPr>
              <w:ind w:left="0" w:firstLine="0"/>
              <w:jc w:val="center"/>
              <w:rPr>
                <w:rFonts w:hint="default" w:asciiTheme="minorHAnsi" w:hAnsiTheme="minorHAnsi" w:eastAsiaTheme="minorEastAsia" w:cstheme="minorBidi"/>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18</w:t>
            </w:r>
            <w:r/>
          </w:p>
        </w:tc>
        <w:tc>
          <w:tcPr>
            <w:tcW w:w="7796" w:type="dxa"/>
            <w:vAlign w:val="center"/>
            <w:textDirection w:val="lrTb"/>
            <w:noWrap w:val="false"/>
          </w:tcPr>
          <w:p>
            <w:pPr>
              <w:pStyle w:val="668"/>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演示功能1】数据驾驶舱软件：机构个性画像。通过机构辐射图查看区域机构点位，点击进入机构个性画像，可在线查看当前机构的基本信息、在托婴幼儿信息、从业人员及所持证照情况、机构监控、VR云看托等功能进行打分：演示内容完整准确、界面友好流畅的，得3分；演示内容覆盖较为完整、界面相对友好流畅的，得1.5分；其他不得分。</w:t>
            </w:r>
            <w:r/>
          </w:p>
          <w:p>
            <w:pPr>
              <w:pStyle w:val="668"/>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【演示功能2】智慧托育督导管理平台：机构监管-机构消毒记录管理。通过机构列表，在线管理区域所有托育机构的消毒情况，包括各机构物品消毒记录、隔离室消毒管理、紫外线消毒记录等功能</w:t>
            </w:r>
            <w:r>
              <w:rPr>
                <w:rFonts w:hint="eastAsia" w:ascii="宋体" w:hAnsi="宋体" w:eastAsia="宋体" w:cs="宋体"/>
                <w:sz w:val="24"/>
                <w:szCs w:val="24"/>
                <w:highlight w:val="none"/>
              </w:rPr>
              <w:t xml:space="preserve">进行打分：</w:t>
            </w:r>
            <w:r>
              <w:rPr>
                <w:rFonts w:hint="eastAsia" w:ascii="宋体" w:hAnsi="宋体" w:eastAsia="宋体" w:cs="宋体"/>
                <w:color w:val="auto"/>
                <w:sz w:val="24"/>
                <w:szCs w:val="24"/>
                <w:highlight w:val="none"/>
                <w:lang w:val="en-US" w:eastAsia="zh-CN" w:bidi="ar-SA"/>
              </w:rPr>
              <w:t xml:space="preserve">演示内容完整准确、界面友好流畅的，得3分；演示内容覆盖较为完整、界面相对友好流畅的，得1.5分；其他不得分。</w:t>
            </w:r>
            <w:r/>
          </w:p>
          <w:p>
            <w:pPr>
              <w:pStyle w:val="668"/>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【演示功能3】智慧托育督导管理平台：机构监管-营养膳食。管理在用食物记录，查看各食物类型、营养价值等。管理各机构的托育配餐情况、食物记录、膳食总结情况，查看各机构配餐的标准与等级等功能</w:t>
            </w:r>
            <w:r>
              <w:rPr>
                <w:rFonts w:hint="eastAsia" w:ascii="宋体" w:hAnsi="宋体" w:eastAsia="宋体" w:cs="宋体"/>
                <w:sz w:val="24"/>
                <w:szCs w:val="24"/>
                <w:highlight w:val="none"/>
              </w:rPr>
              <w:t xml:space="preserve">进行打分：</w:t>
            </w:r>
            <w:r>
              <w:rPr>
                <w:rFonts w:hint="eastAsia" w:ascii="宋体" w:hAnsi="宋体" w:eastAsia="宋体" w:cs="宋体"/>
                <w:color w:val="auto"/>
                <w:sz w:val="24"/>
                <w:szCs w:val="24"/>
                <w:highlight w:val="none"/>
                <w:lang w:val="en-US" w:eastAsia="zh-CN" w:bidi="ar-SA"/>
              </w:rPr>
              <w:t xml:space="preserve">演示内容完整准确、界面友好流畅的，得3分；演示内容覆盖较为完整、界面相对友好流畅的，得1.5分；其他不得分。</w:t>
            </w:r>
            <w:r/>
          </w:p>
          <w:p>
            <w:pPr>
              <w:pStyle w:val="668"/>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演示功能4】智慧托育运营管理平台：托育日常管理-每日照护记录管理。可在线管理机构每一在托婴幼儿的每日照护记录情况，记录孩子每日的睡眠、奶量、户外活动、换尿布等信息，数据协同至家长移动端生成每日照护记录报告等功能</w:t>
            </w:r>
            <w:r>
              <w:rPr>
                <w:rFonts w:hint="eastAsia" w:ascii="宋体" w:hAnsi="宋体" w:eastAsia="宋体" w:cs="宋体"/>
                <w:sz w:val="24"/>
                <w:szCs w:val="24"/>
                <w:highlight w:val="none"/>
              </w:rPr>
              <w:t xml:space="preserve">进行打分：</w:t>
            </w:r>
            <w:r>
              <w:rPr>
                <w:rFonts w:hint="eastAsia" w:ascii="宋体" w:hAnsi="宋体" w:eastAsia="宋体" w:cs="宋体"/>
                <w:color w:val="auto"/>
                <w:sz w:val="24"/>
                <w:szCs w:val="24"/>
                <w:highlight w:val="none"/>
                <w:lang w:val="en-US" w:eastAsia="zh-CN" w:bidi="ar-SA"/>
              </w:rPr>
              <w:t xml:space="preserve">演示内容完整准确、界面友好流畅的，得3分；演示内容覆盖较为完整、界面相对友好流畅的，得1.5分；其他不得分。</w:t>
            </w:r>
            <w:r/>
          </w:p>
          <w:p>
            <w:pPr>
              <w:pStyle w:val="668"/>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【演示功能5】智慧托育运营管理平台：科学育儿指导-养育照护小组活动。可在线发布机构养育照护小组活动，管理历次活动记录、预约签到情况、家长评价情况、活动点滴记录等功能</w:t>
            </w:r>
            <w:r>
              <w:rPr>
                <w:rFonts w:hint="eastAsia" w:ascii="宋体" w:hAnsi="宋体" w:eastAsia="宋体" w:cs="宋体"/>
                <w:sz w:val="24"/>
                <w:szCs w:val="24"/>
                <w:highlight w:val="none"/>
              </w:rPr>
              <w:t xml:space="preserve">进行打分：</w:t>
            </w:r>
            <w:r>
              <w:rPr>
                <w:rFonts w:hint="eastAsia" w:ascii="宋体" w:hAnsi="宋体" w:eastAsia="宋体" w:cs="宋体"/>
                <w:color w:val="auto"/>
                <w:sz w:val="24"/>
                <w:szCs w:val="24"/>
                <w:highlight w:val="none"/>
                <w:lang w:val="en-US" w:eastAsia="zh-CN" w:bidi="ar-SA"/>
              </w:rPr>
              <w:t xml:space="preserve">演示内容完整准确、界面友好流畅的，得3分；演示内容覆盖较为完整、界面相对友好流畅的，得1.5分；其他不得分。</w:t>
            </w:r>
            <w:r/>
          </w:p>
          <w:p>
            <w:pPr>
              <w:pStyle w:val="668"/>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演示功能6】家园共育管理平台：婴幼儿健康画像。家长可在线通过健康画像中的生长发育五维度测评，从身体、语言、动作、认知、情感与社会性维度综合自测，判断孩子的生长发育状态，获取指导建议等功能</w:t>
            </w:r>
            <w:r>
              <w:rPr>
                <w:rFonts w:hint="eastAsia" w:ascii="宋体" w:hAnsi="宋体" w:eastAsia="宋体" w:cs="宋体"/>
                <w:sz w:val="24"/>
                <w:szCs w:val="24"/>
                <w:highlight w:val="none"/>
              </w:rPr>
              <w:t xml:space="preserve">进行打分：</w:t>
            </w:r>
            <w:r>
              <w:rPr>
                <w:rFonts w:hint="eastAsia" w:ascii="宋体" w:hAnsi="宋体" w:eastAsia="宋体" w:cs="宋体"/>
                <w:color w:val="auto"/>
                <w:sz w:val="24"/>
                <w:szCs w:val="24"/>
                <w:highlight w:val="none"/>
                <w:lang w:val="en-US" w:eastAsia="zh-CN" w:bidi="ar-SA"/>
              </w:rPr>
              <w:t xml:space="preserve">演示内容完整准确、界面友好流畅的，得3分；演示内容覆盖较为完整、界面相对友好流畅的，得1.5分；其他不得分。</w:t>
            </w:r>
            <w:r/>
          </w:p>
          <w:p>
            <w:pPr>
              <w:pStyle w:val="668"/>
              <w:spacing w:line="240" w:lineRule="auto"/>
              <w:rPr>
                <w:rFonts w:hint="default" w:asciiTheme="minorHAnsi" w:hAnsiTheme="minorHAnsi" w:eastAsiaTheme="minorEastAsia" w:cstheme="minorBidi"/>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投标人提供所投产品演示采用真实软件系统现场演示，演示时间不超过15分钟(不得使用PPT、FLASH、录屏视频的方式演示，否则此项得0分），未演示不得分。以上每项演示功能功能要求且演示过程中功能界面整洁美观。</w:t>
            </w:r>
            <w:r/>
          </w:p>
        </w:tc>
      </w:tr>
      <w:tr>
        <w:trPr>
          <w:jc w:val="center"/>
          <w:trHeight w:val="404"/>
        </w:trPr>
        <w:tc>
          <w:tcPr>
            <w:gridSpan w:val="3"/>
            <w:tcW w:w="10234" w:type="dxa"/>
            <w:vAlign w:val="center"/>
            <w:textDirection w:val="lrTb"/>
            <w:noWrap w:val="false"/>
          </w:tcPr>
          <w:p>
            <w:pPr>
              <w:jc w:val="center"/>
              <w:spacing w:line="560" w:lineRule="exact"/>
              <w:widowControl/>
              <w:tabs>
                <w:tab w:val="left" w:pos="397" w:leader="none"/>
              </w:tabs>
              <w:rPr>
                <w:rFonts w:hint="eastAsia" w:asciiTheme="minorHAnsi" w:hAnsiTheme="minorHAnsi" w:eastAsiaTheme="minorEastAsia" w:cstheme="minorBidi"/>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商务部分（8分）</w:t>
            </w:r>
            <w:r/>
          </w:p>
        </w:tc>
      </w:tr>
      <w:tr>
        <w:trPr>
          <w:jc w:val="center"/>
          <w:trHeight w:val="1027"/>
        </w:trPr>
        <w:tc>
          <w:tcPr>
            <w:tcBorders>
              <w:bottom w:val="single" w:color="auto" w:sz="4" w:space="0"/>
            </w:tcBorders>
            <w:tcW w:w="1616" w:type="dxa"/>
            <w:vAlign w:val="center"/>
            <w:textDirection w:val="lrTb"/>
            <w:noWrap w:val="false"/>
          </w:tcPr>
          <w:p>
            <w:pPr>
              <w:pStyle w:val="665"/>
              <w:numPr>
                <w:ilvl w:val="0"/>
                <w:numId w:val="0"/>
              </w:numPr>
              <w:ind w:left="0" w:firstLine="0"/>
              <w:jc w:val="center"/>
              <w:rPr>
                <w:rFonts w:hint="eastAsia" w:asciiTheme="minorHAnsi" w:hAnsiTheme="minorHAnsi" w:eastAsiaTheme="minorEastAsia" w:cstheme="minorBidi"/>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企业实力</w:t>
            </w:r>
            <w:r/>
          </w:p>
        </w:tc>
        <w:tc>
          <w:tcPr>
            <w:tcBorders>
              <w:bottom w:val="single" w:color="auto" w:sz="4" w:space="0"/>
            </w:tcBorders>
            <w:tcW w:w="822" w:type="dxa"/>
            <w:vAlign w:val="center"/>
            <w:textDirection w:val="lrTb"/>
            <w:noWrap w:val="false"/>
          </w:tcPr>
          <w:p>
            <w:pPr>
              <w:pStyle w:val="665"/>
              <w:numPr>
                <w:ilvl w:val="0"/>
                <w:numId w:val="0"/>
              </w:numPr>
              <w:ind w:left="0" w:firstLine="0"/>
              <w:jc w:val="center"/>
              <w:rPr>
                <w:rFonts w:hint="default" w:asciiTheme="minorHAnsi" w:hAnsiTheme="minorHAnsi" w:eastAsiaTheme="minorEastAsia" w:cstheme="minorBidi"/>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Borders>
              <w:bottom w:val="single" w:color="auto" w:sz="4" w:space="0"/>
            </w:tcBorders>
            <w:tcW w:w="779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1.投标人需具有在有效期内的信息安全管理体系、信息技术服务管理体系认证证书并提供证书扫描件及全国认证认可信息公共服务平台官网查询截图，每提供一个证书得1分，满分</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2.项目负责人（项目经理）要求：具有人力资源和社会保障部、工业和信息化部颁发的信息系统项目管理师证书；得1分，满分</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分。提供相关证书扫描件【须提供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开标前三个月内任意一个月</w:t>
            </w:r>
            <w:r>
              <w:rPr>
                <w:rFonts w:hint="eastAsia" w:ascii="宋体" w:hAnsi="宋体" w:eastAsia="宋体" w:cs="宋体"/>
                <w:color w:val="auto"/>
                <w:sz w:val="24"/>
                <w:szCs w:val="24"/>
                <w:highlight w:val="none"/>
                <w:lang w:val="en-US" w:eastAsia="zh-CN" w:bidi="ar-SA"/>
              </w:rPr>
              <w:t xml:space="preserve">社保证明】</w:t>
            </w:r>
            <w:r/>
          </w:p>
          <w:p>
            <w:pPr>
              <w:jc w:val="left"/>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组成员：具有人力资源和社会保障部、工业和信息化部颁发的系统分析师证书、系统架构设计师证书、软件设计师证书、系统分析师证书、网络工程师证书；每提供一个证书（相同证书不能重复记分）得1分，满分</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分。提供相关证书扫描件【须提供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开标前三个月内任意一个月</w:t>
            </w:r>
            <w:r>
              <w:rPr>
                <w:rFonts w:hint="eastAsia" w:ascii="宋体" w:hAnsi="宋体" w:eastAsia="宋体" w:cs="宋体"/>
                <w:color w:val="auto"/>
                <w:sz w:val="24"/>
                <w:szCs w:val="24"/>
                <w:highlight w:val="none"/>
                <w:lang w:val="en-US" w:eastAsia="zh-CN" w:bidi="ar-SA"/>
              </w:rPr>
              <w:t xml:space="preserve">社保证明】</w:t>
            </w:r>
            <w:r/>
          </w:p>
        </w:tc>
      </w:tr>
      <w:tr>
        <w:trPr>
          <w:jc w:val="center"/>
          <w:trHeight w:val="386"/>
        </w:trPr>
        <w:tc>
          <w:tcPr>
            <w:gridSpan w:val="3"/>
            <w:tcW w:w="10234" w:type="dxa"/>
            <w:vAlign w:val="center"/>
            <w:textDirection w:val="lrTb"/>
            <w:noWrap w:val="false"/>
          </w:tcPr>
          <w:p>
            <w:pPr>
              <w:jc w:val="center"/>
              <w:spacing w:line="560" w:lineRule="exact"/>
              <w:widowControl/>
              <w:rPr>
                <w:rFonts w:hint="eastAsia" w:asciiTheme="minorHAnsi" w:hAnsiTheme="minorHAnsi" w:eastAsiaTheme="minorEastAsia" w:cstheme="minorBidi"/>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实施方案及售后服务（6分）</w:t>
            </w:r>
            <w:r/>
          </w:p>
        </w:tc>
      </w:tr>
      <w:tr>
        <w:trPr>
          <w:jc w:val="center"/>
          <w:trHeight w:val="426"/>
        </w:trPr>
        <w:tc>
          <w:tcPr>
            <w:tcW w:w="161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w:t>
            </w:r>
            <w:r/>
          </w:p>
          <w:p>
            <w:pPr>
              <w:pStyle w:val="688"/>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2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tcW w:w="779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1、针对投标人售后服务能力（包括但不限于：售后保障措施、响应及解决时间、售后人员安排及培训安排等）进行评价：</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（1）售后服务能力强大、具备完善的售后保障措施、响应及解决时间快速且及时、培训安排合理、完全能够满足用户的需求的得3分；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（2）投标人提供的售后服务能力基本符合要求、售后保障措施基本完善、响应及解决时间基本及时、处理办法有效但有待进一步提高、培训安排有待改进的得2分；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（3）售后服务能力较差、售后保障措施不够完善、响应及解决时间缓慢、处理办法缺乏有效性、培训安排不合理、难以满足用户的需求的得.1分；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（4）未提供不得分 ；</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2、针对投标人提供的安装调试方案 (包括实施计划、人员安排、质量保证措施)进行评价:</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（1）安装调试方案详细完整，步骤科学合理，能够确保设备的安装调试顺利完成，达到预期的使用效果的得1.5分分；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（2）安装调试方案基本完整，步骤较为科学合理，能够保证设备的安装调试顺利完成，但存在一些不足或安全隐患的得1分；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（3）安装调试方案不够完整，步骤缺乏科学合理性，难以保证设备的安装调试顺利完成，存在较大的缺陷或安全隐患的得0.5分；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（4）未提供不得分 。</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3、针对投标人提供的进度计划进行评价:</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（1）有进度计划表，进度保障措施完善。提供的方案合理可行，针对性强，得分1.5分分；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（2）有进度计划表，进度保障措施较为完善。提供的方案较为合理可行，针对性较强，得分1分；</w:t>
            </w:r>
            <w:r/>
          </w:p>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（3）有进度计划表，进度保障措施不够完善。提供的方案不够合理可行，针对性不够强，得分0.5分；</w:t>
            </w:r>
            <w:r/>
          </w:p>
          <w:p>
            <w:p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（4）未提供不得分 。</w:t>
            </w:r>
            <w:r/>
          </w:p>
        </w:tc>
      </w:tr>
    </w:tbl>
    <w:p>
      <w:pPr>
        <w:pStyle w:val="668"/>
        <w:jc w:val="left"/>
        <w:rPr>
          <w:rFonts w:hint="eastAsia" w:ascii="宋体" w:hAnsi="宋体" w:eastAsia="宋体" w:cs="宋体"/>
          <w:b/>
          <w:bCs/>
          <w:color w:val="auto"/>
          <w:sz w:val="24"/>
          <w:highlight w:val="none"/>
        </w:rPr>
      </w:pPr>
      <w:r/>
      <w:bookmarkStart w:id="164" w:name="_Toc120614282"/>
      <w:r/>
      <w:bookmarkStart w:id="165" w:name="_Toc49090576"/>
      <w:r/>
      <w:r/>
    </w:p>
    <w:p>
      <w:pPr>
        <w:pStyle w:val="668"/>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668"/>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0"/>
        <w:jc w:val="center"/>
        <w:keepNext/>
        <w:spacing w:line="240" w:lineRule="auto"/>
        <w:rPr>
          <w:rFonts w:ascii="Calibri" w:hAnsi="Calibri" w:cs="Times New Roman"/>
          <w:color w:val="auto"/>
          <w:sz w:val="24"/>
          <w:szCs w:val="24"/>
          <w:highlight w:val="none"/>
        </w:rPr>
      </w:pPr>
      <w:r>
        <w:rPr>
          <w:rFonts w:hint="eastAsia" w:ascii="黑体" w:eastAsia="黑体" w:cs="黑体"/>
          <w:sz w:val="44"/>
          <w:szCs w:val="44"/>
          <w:highlight w:val="none"/>
        </w:rPr>
        <w:t xml:space="preserve">第六章  投标文件格式</w:t>
      </w:r>
      <w:r/>
    </w:p>
    <w:p>
      <w:pPr>
        <w:ind w:firstLine="0"/>
        <w:jc w:val="center"/>
        <w:spacing w:line="240" w:lineRule="auto"/>
        <w:rPr>
          <w:b/>
          <w:sz w:val="72"/>
          <w:szCs w:val="72"/>
          <w:highlight w:val="none"/>
        </w:rPr>
      </w:pPr>
      <w:r/>
      <w:bookmarkStart w:id="166" w:name="_Toc26554094"/>
      <w:r/>
      <w:bookmarkEnd w:id="166"/>
      <w:r/>
      <w:bookmarkStart w:id="167" w:name="_Hlt26955039"/>
      <w:r/>
      <w:bookmarkEnd w:id="167"/>
      <w:r/>
      <w:bookmarkStart w:id="168" w:name="_Hlt26671244"/>
      <w:r/>
      <w:bookmarkEnd w:id="168"/>
      <w:r/>
      <w:r/>
    </w:p>
    <w:p>
      <w:pPr>
        <w:ind w:firstLine="0"/>
        <w:jc w:val="center"/>
        <w:spacing w:line="240" w:lineRule="auto"/>
        <w:rPr>
          <w:b/>
          <w:sz w:val="72"/>
          <w:szCs w:val="72"/>
          <w:highlight w:val="none"/>
        </w:rPr>
      </w:pPr>
      <w:r>
        <w:rPr>
          <w:b/>
          <w:sz w:val="72"/>
          <w:szCs w:val="72"/>
          <w:highlight w:val="none"/>
        </w:rPr>
      </w:r>
      <w:r/>
    </w:p>
    <w:p>
      <w:pPr>
        <w:ind w:firstLine="0"/>
        <w:jc w:val="center"/>
        <w:spacing w:line="240" w:lineRule="auto"/>
        <w:rPr>
          <w:b/>
          <w:sz w:val="72"/>
          <w:szCs w:val="72"/>
          <w:highlight w:val="none"/>
        </w:rPr>
      </w:pPr>
      <w:r>
        <w:rPr>
          <w:b/>
          <w:sz w:val="72"/>
          <w:szCs w:val="72"/>
          <w:highlight w:val="none"/>
        </w:rPr>
      </w:r>
      <w:r/>
    </w:p>
    <w:p>
      <w:pPr>
        <w:ind w:firstLine="0"/>
        <w:jc w:val="center"/>
        <w:spacing w:line="240" w:lineRule="auto"/>
        <w:rPr>
          <w:rFonts w:ascii="Calibri" w:hAnsi="Calibri" w:cs="Times New Roman"/>
          <w:color w:val="auto"/>
          <w:sz w:val="24"/>
          <w:szCs w:val="24"/>
          <w:highlight w:val="none"/>
        </w:rPr>
      </w:pPr>
      <w:r>
        <w:rPr>
          <w:rFonts w:hint="eastAsia"/>
          <w:b/>
          <w:sz w:val="72"/>
          <w:szCs w:val="72"/>
          <w:highlight w:val="none"/>
        </w:rPr>
        <w:t xml:space="preserve">投 标 文 件</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both"/>
        <w:spacing w:line="240" w:lineRule="auto"/>
        <w:rPr>
          <w:b/>
          <w:sz w:val="36"/>
          <w:szCs w:val="36"/>
          <w:highlight w:val="none"/>
        </w:rPr>
      </w:pPr>
      <w:r>
        <w:rPr>
          <w:b/>
          <w:sz w:val="36"/>
          <w:szCs w:val="36"/>
          <w:highlight w:val="none"/>
        </w:rPr>
      </w:r>
      <w:r/>
    </w:p>
    <w:p>
      <w:pPr>
        <w:ind w:firstLine="0"/>
        <w:jc w:val="both"/>
        <w:spacing w:line="240" w:lineRule="auto"/>
        <w:rPr>
          <w:b/>
          <w:sz w:val="36"/>
          <w:szCs w:val="36"/>
          <w:highlight w:val="none"/>
        </w:rPr>
      </w:pPr>
      <w:r>
        <w:rPr>
          <w:b/>
          <w:sz w:val="36"/>
          <w:szCs w:val="36"/>
          <w:highlight w:val="none"/>
        </w:rPr>
      </w:r>
      <w:r/>
    </w:p>
    <w:p>
      <w:pPr>
        <w:ind w:firstLine="1547"/>
        <w:jc w:val="both"/>
        <w:rPr>
          <w:rFonts w:ascii="Calibri" w:hAnsi="Calibri" w:cs="Times New Roman"/>
          <w:color w:val="auto"/>
          <w:sz w:val="24"/>
          <w:szCs w:val="24"/>
          <w:highlight w:val="none"/>
        </w:rPr>
      </w:pPr>
      <w:r>
        <w:rPr>
          <w:rFonts w:hint="eastAsia"/>
          <w:b/>
          <w:sz w:val="36"/>
          <w:szCs w:val="36"/>
          <w:highlight w:val="none"/>
        </w:rPr>
        <w:t xml:space="preserve">项目 名 称：</w:t>
      </w:r>
      <w:r>
        <w:rPr>
          <w:rFonts w:hint="eastAsia"/>
          <w:b/>
          <w:sz w:val="36"/>
          <w:szCs w:val="36"/>
          <w:highlight w:val="none"/>
          <w:u w:val="single"/>
        </w:rPr>
        <w:t xml:space="preserve">                   </w:t>
      </w:r>
      <w:r/>
    </w:p>
    <w:p>
      <w:pPr>
        <w:ind w:firstLine="1547"/>
        <w:jc w:val="both"/>
        <w:rPr>
          <w:rFonts w:ascii="Calibri" w:hAnsi="Calibri" w:cs="Times New Roman"/>
          <w:color w:val="auto"/>
          <w:sz w:val="24"/>
          <w:szCs w:val="24"/>
          <w:highlight w:val="none"/>
        </w:rPr>
      </w:pPr>
      <w:r>
        <w:rPr>
          <w:rFonts w:hint="eastAsia"/>
          <w:b/>
          <w:sz w:val="36"/>
          <w:szCs w:val="36"/>
          <w:highlight w:val="none"/>
        </w:rPr>
        <w:t xml:space="preserve">项目 编 号：</w:t>
      </w:r>
      <w:r>
        <w:rPr>
          <w:rFonts w:hint="eastAsia"/>
          <w:b/>
          <w:sz w:val="36"/>
          <w:szCs w:val="36"/>
          <w:highlight w:val="none"/>
          <w:u w:val="single"/>
        </w:rPr>
        <w:t xml:space="preserve">                   </w:t>
      </w:r>
      <w:r/>
    </w:p>
    <w:p>
      <w:pPr>
        <w:ind w:firstLine="1547"/>
        <w:jc w:val="both"/>
        <w:rPr>
          <w:rFonts w:ascii="Calibri" w:hAnsi="Calibri" w:cs="Times New Roman"/>
          <w:color w:val="auto"/>
          <w:sz w:val="24"/>
          <w:szCs w:val="24"/>
          <w:highlight w:val="none"/>
        </w:rPr>
      </w:pPr>
      <w:r>
        <w:rPr>
          <w:rFonts w:hint="eastAsia"/>
          <w:b/>
          <w:sz w:val="36"/>
          <w:szCs w:val="36"/>
          <w:highlight w:val="none"/>
        </w:rPr>
        <w:t xml:space="preserve">投标人名称：</w:t>
      </w:r>
      <w:r>
        <w:rPr>
          <w:rFonts w:hint="eastAsia"/>
          <w:b/>
          <w:sz w:val="36"/>
          <w:szCs w:val="36"/>
          <w:highlight w:val="none"/>
          <w:u w:val="single"/>
        </w:rPr>
        <w:t xml:space="preserve">（加盖CA电子公章） </w:t>
      </w:r>
      <w:r/>
    </w:p>
    <w:p>
      <w:pPr>
        <w:ind w:firstLine="1547"/>
        <w:jc w:val="both"/>
        <w:rPr>
          <w:rFonts w:ascii="Calibri" w:hAnsi="Calibri" w:cs="Times New Roman"/>
          <w:color w:val="auto"/>
          <w:sz w:val="24"/>
          <w:szCs w:val="24"/>
          <w:highlight w:val="none"/>
        </w:rPr>
      </w:pPr>
      <w:r>
        <w:rPr>
          <w:rFonts w:hint="eastAsia"/>
          <w:b/>
          <w:sz w:val="36"/>
          <w:szCs w:val="36"/>
          <w:highlight w:val="none"/>
        </w:rPr>
        <w:t xml:space="preserve">日      期：</w:t>
      </w:r>
      <w:r>
        <w:rPr>
          <w:rFonts w:hint="eastAsia"/>
          <w:b/>
          <w:sz w:val="36"/>
          <w:szCs w:val="36"/>
          <w:highlight w:val="none"/>
          <w:u w:val="single"/>
        </w:rPr>
        <w:t xml:space="preserve">                   </w:t>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20" w:lineRule="exact"/>
        <w:rPr>
          <w:rFonts w:hint="eastAsia"/>
          <w:b/>
          <w:bCs/>
          <w:sz w:val="28"/>
          <w:szCs w:val="22"/>
          <w:highlight w:val="none"/>
        </w:rPr>
      </w:pPr>
      <w:r>
        <w:rPr>
          <w:rFonts w:hint="eastAsia"/>
          <w:b/>
          <w:bCs/>
          <w:sz w:val="28"/>
          <w:szCs w:val="22"/>
          <w:highlight w:val="none"/>
        </w:rPr>
      </w:r>
      <w:r/>
    </w:p>
    <w:p>
      <w:pPr>
        <w:jc w:val="center"/>
        <w:spacing w:line="520" w:lineRule="exact"/>
        <w:rPr>
          <w:b/>
          <w:bCs/>
          <w:sz w:val="28"/>
          <w:szCs w:val="22"/>
          <w:highlight w:val="none"/>
        </w:rPr>
      </w:pPr>
      <w:r>
        <w:rPr>
          <w:rFonts w:hint="eastAsia"/>
          <w:b/>
          <w:bCs/>
          <w:sz w:val="28"/>
          <w:szCs w:val="22"/>
          <w:highlight w:val="none"/>
        </w:rPr>
        <w:t xml:space="preserve">投标文件目录</w:t>
      </w:r>
      <w:r/>
    </w:p>
    <w:p>
      <w:pPr>
        <w:ind w:firstLine="480"/>
        <w:spacing w:line="520" w:lineRule="exact"/>
        <w:rPr>
          <w:sz w:val="24"/>
          <w:highlight w:val="none"/>
        </w:rPr>
      </w:pPr>
      <w:r>
        <w:rPr>
          <w:rFonts w:hint="eastAsia"/>
          <w:sz w:val="24"/>
          <w:highlight w:val="none"/>
        </w:rPr>
        <w:t xml:space="preserve">一、法人或者其他组织的营业执照等证明文件，自然人的身份证明</w:t>
      </w:r>
      <w:r/>
    </w:p>
    <w:p>
      <w:pPr>
        <w:ind w:firstLine="480"/>
        <w:spacing w:line="520" w:lineRule="exact"/>
        <w:rPr>
          <w:sz w:val="24"/>
          <w:highlight w:val="none"/>
        </w:rPr>
      </w:pPr>
      <w:r>
        <w:rPr>
          <w:rFonts w:hint="eastAsia"/>
          <w:sz w:val="24"/>
          <w:highlight w:val="none"/>
        </w:rPr>
        <w:t xml:space="preserve">二、上一年度的财务状况报表（至少提供资产负债表、利润表、现金流量表，投标人成立不满一年无需提供）</w:t>
      </w:r>
      <w:r/>
    </w:p>
    <w:p>
      <w:pPr>
        <w:ind w:firstLine="480"/>
        <w:spacing w:line="520" w:lineRule="exact"/>
        <w:rPr>
          <w:sz w:val="24"/>
          <w:highlight w:val="none"/>
        </w:rPr>
      </w:pPr>
      <w:r>
        <w:rPr>
          <w:rFonts w:hint="eastAsia"/>
          <w:sz w:val="24"/>
          <w:highlight w:val="none"/>
        </w:rPr>
        <w:t xml:space="preserve">三、具备履行合同所必需的设备和专业技术能力的书面声明</w:t>
      </w:r>
      <w:r/>
    </w:p>
    <w:p>
      <w:pPr>
        <w:ind w:firstLine="480"/>
        <w:spacing w:line="520" w:lineRule="exact"/>
        <w:rPr>
          <w:sz w:val="24"/>
          <w:highlight w:val="none"/>
        </w:rPr>
      </w:pPr>
      <w:r>
        <w:rPr>
          <w:rFonts w:hint="eastAsia"/>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20" w:lineRule="exact"/>
        <w:rPr>
          <w:sz w:val="24"/>
          <w:highlight w:val="none"/>
        </w:rPr>
      </w:pPr>
      <w:r>
        <w:rPr>
          <w:rFonts w:hint="eastAsia"/>
          <w:sz w:val="24"/>
          <w:highlight w:val="none"/>
        </w:rPr>
        <w:t xml:space="preserve">五、参加政府采购活动前 3 年内在经营活动中没有重大违法记录的书面声明</w:t>
      </w:r>
      <w:r/>
    </w:p>
    <w:p>
      <w:pPr>
        <w:ind w:firstLine="480"/>
        <w:spacing w:line="520" w:lineRule="exact"/>
        <w:rPr>
          <w:sz w:val="24"/>
          <w:highlight w:val="none"/>
        </w:rPr>
      </w:pPr>
      <w:r>
        <w:rPr>
          <w:rFonts w:hint="eastAsia"/>
          <w:sz w:val="24"/>
          <w:highlight w:val="none"/>
        </w:rPr>
        <w:t xml:space="preserve">六、特定资格要求的证明文件（如果本项目设置特定资格要求，则需要提供）</w:t>
      </w:r>
      <w:r/>
    </w:p>
    <w:p>
      <w:pPr>
        <w:ind w:firstLine="480"/>
        <w:spacing w:line="520" w:lineRule="exact"/>
        <w:rPr>
          <w:sz w:val="24"/>
          <w:highlight w:val="none"/>
        </w:rPr>
      </w:pPr>
      <w:r>
        <w:rPr>
          <w:rFonts w:hint="eastAsia"/>
          <w:sz w:val="24"/>
          <w:highlight w:val="none"/>
        </w:rPr>
        <w:t xml:space="preserve">七、法人授权书</w:t>
      </w:r>
      <w:r/>
    </w:p>
    <w:p>
      <w:pPr>
        <w:ind w:firstLine="480"/>
        <w:spacing w:line="520" w:lineRule="exact"/>
        <w:rPr>
          <w:sz w:val="24"/>
          <w:highlight w:val="none"/>
        </w:rPr>
      </w:pPr>
      <w:r>
        <w:rPr>
          <w:rFonts w:hint="eastAsia"/>
          <w:sz w:val="24"/>
          <w:highlight w:val="none"/>
        </w:rPr>
        <w:t xml:space="preserve">八、投标函</w:t>
      </w:r>
      <w:r/>
    </w:p>
    <w:p>
      <w:pPr>
        <w:ind w:firstLine="480"/>
        <w:spacing w:line="520" w:lineRule="exact"/>
        <w:rPr>
          <w:rFonts w:hint="eastAsia"/>
          <w:sz w:val="24"/>
          <w:highlight w:val="none"/>
        </w:rPr>
      </w:pPr>
      <w:r>
        <w:rPr>
          <w:rFonts w:hint="eastAsia"/>
          <w:sz w:val="24"/>
          <w:highlight w:val="none"/>
        </w:rPr>
        <w:t xml:space="preserve">九、中小微企业声明函</w:t>
      </w:r>
      <w:r/>
    </w:p>
    <w:p>
      <w:pPr>
        <w:ind w:firstLine="480"/>
        <w:spacing w:line="520" w:lineRule="exact"/>
        <w:rPr>
          <w:rFonts w:hint="eastAsia"/>
          <w:sz w:val="24"/>
          <w:highlight w:val="none"/>
        </w:rPr>
      </w:pPr>
      <w:r>
        <w:rPr>
          <w:rFonts w:hint="eastAsia"/>
          <w:sz w:val="24"/>
          <w:highlight w:val="none"/>
        </w:rPr>
        <w:t xml:space="preserve">十、残疾人福利性单位声明函</w:t>
      </w:r>
      <w:r/>
    </w:p>
    <w:p>
      <w:pPr>
        <w:ind w:firstLine="480"/>
        <w:spacing w:line="520" w:lineRule="exact"/>
        <w:rPr>
          <w:rFonts w:hint="eastAsia"/>
          <w:sz w:val="24"/>
          <w:highlight w:val="none"/>
        </w:rPr>
      </w:pPr>
      <w:r>
        <w:rPr>
          <w:rFonts w:hint="eastAsia"/>
          <w:sz w:val="24"/>
          <w:highlight w:val="none"/>
        </w:rPr>
        <w:t xml:space="preserve">十一、投标分项报价表</w:t>
      </w:r>
      <w:r/>
    </w:p>
    <w:p>
      <w:pPr>
        <w:ind w:firstLine="480"/>
        <w:spacing w:line="520" w:lineRule="exact"/>
        <w:rPr>
          <w:rFonts w:hint="eastAsia"/>
          <w:sz w:val="24"/>
          <w:highlight w:val="none"/>
        </w:rPr>
      </w:pPr>
      <w:r>
        <w:rPr>
          <w:rFonts w:hint="eastAsia"/>
          <w:sz w:val="24"/>
          <w:highlight w:val="none"/>
        </w:rPr>
        <w:t xml:space="preserve">十二、技术要求响应及偏离表</w:t>
      </w:r>
      <w:r/>
    </w:p>
    <w:p>
      <w:pPr>
        <w:ind w:firstLine="480"/>
        <w:spacing w:line="520" w:lineRule="exact"/>
        <w:rPr>
          <w:rFonts w:hint="eastAsia"/>
          <w:sz w:val="24"/>
          <w:highlight w:val="none"/>
        </w:rPr>
      </w:pPr>
      <w:r>
        <w:rPr>
          <w:rFonts w:hint="eastAsia"/>
          <w:sz w:val="24"/>
          <w:highlight w:val="none"/>
        </w:rPr>
        <w:t xml:space="preserve">十三、商务要求响应及偏离表</w:t>
      </w:r>
      <w:r/>
    </w:p>
    <w:p>
      <w:pPr>
        <w:ind w:firstLine="480"/>
        <w:spacing w:line="520" w:lineRule="exact"/>
        <w:rPr>
          <w:rFonts w:hint="eastAsia"/>
          <w:sz w:val="24"/>
          <w:highlight w:val="none"/>
        </w:rPr>
      </w:pPr>
      <w:r>
        <w:rPr>
          <w:rFonts w:hint="eastAsia"/>
          <w:sz w:val="24"/>
          <w:highlight w:val="none"/>
        </w:rPr>
        <w:t xml:space="preserve">十四、开标一览表</w:t>
      </w:r>
      <w:r/>
    </w:p>
    <w:p>
      <w:pPr>
        <w:ind w:firstLine="480"/>
        <w:spacing w:line="520" w:lineRule="exact"/>
        <w:rPr>
          <w:rFonts w:hint="eastAsia"/>
          <w:sz w:val="24"/>
          <w:highlight w:val="none"/>
        </w:rPr>
      </w:pPr>
      <w:r>
        <w:rPr>
          <w:rFonts w:hint="eastAsia"/>
          <w:sz w:val="24"/>
          <w:highlight w:val="none"/>
        </w:rPr>
        <w:t xml:space="preserve">十五、服务方案等</w:t>
      </w:r>
      <w:r/>
    </w:p>
    <w:p>
      <w:pPr>
        <w:ind w:firstLine="480"/>
        <w:spacing w:line="520" w:lineRule="exact"/>
        <w:rPr>
          <w:rFonts w:hint="eastAsia"/>
          <w:sz w:val="24"/>
          <w:highlight w:val="none"/>
        </w:rPr>
      </w:pPr>
      <w:r>
        <w:rPr>
          <w:rFonts w:hint="eastAsia"/>
          <w:sz w:val="24"/>
          <w:highlight w:val="none"/>
        </w:rPr>
        <w:t xml:space="preserve">十</w:t>
      </w:r>
      <w:r>
        <w:rPr>
          <w:rFonts w:hint="eastAsia"/>
          <w:sz w:val="24"/>
          <w:highlight w:val="none"/>
          <w:lang w:eastAsia="zh-CN"/>
        </w:rPr>
        <w:t xml:space="preserve">六</w:t>
      </w:r>
      <w:r>
        <w:rPr>
          <w:rFonts w:hint="eastAsia"/>
          <w:sz w:val="24"/>
          <w:highlight w:val="none"/>
        </w:rPr>
        <w:t xml:space="preserve">、盐城市亭湖区政府采购事前信用承诺书</w:t>
      </w:r>
      <w:r/>
    </w:p>
    <w:p>
      <w:pPr>
        <w:ind w:firstLine="480"/>
        <w:spacing w:line="520" w:lineRule="exact"/>
        <w:rPr>
          <w:rFonts w:hint="eastAsia"/>
          <w:sz w:val="24"/>
          <w:highlight w:val="none"/>
        </w:rPr>
      </w:pPr>
      <w:r>
        <w:rPr>
          <w:rFonts w:hint="eastAsia"/>
          <w:sz w:val="24"/>
          <w:highlight w:val="none"/>
        </w:rPr>
      </w:r>
      <w:r/>
    </w:p>
    <w:p>
      <w:pPr>
        <w:ind w:firstLine="480"/>
        <w:spacing w:line="520" w:lineRule="exact"/>
        <w:rPr>
          <w:rFonts w:hint="eastAsia"/>
          <w:sz w:val="24"/>
          <w:highlight w:val="none"/>
        </w:rPr>
      </w:pPr>
      <w:r>
        <w:rPr>
          <w:rFonts w:hint="eastAsia"/>
          <w:sz w:val="24"/>
          <w:highlight w:val="none"/>
        </w:rPr>
      </w:r>
      <w:r/>
    </w:p>
    <w:p>
      <w:pPr>
        <w:pStyle w:val="686"/>
        <w:ind w:firstLine="204"/>
        <w:jc w:val="both"/>
        <w:pageBreakBefore w:val="0"/>
        <w:spacing w:beforeAutospacing="0" w:afterAutospacing="0" w:line="0" w:lineRule="atLeast"/>
        <w:rPr>
          <w:color w:val="auto"/>
          <w:highlight w:val="none"/>
        </w:rPr>
      </w:pPr>
      <w:r>
        <w:rPr>
          <w:color w:val="auto"/>
          <w:highlight w:val="none"/>
        </w:rPr>
        <w:t xml:space="preserve"> </w:t>
      </w:r>
      <w:r/>
    </w:p>
    <w:p>
      <w:pPr>
        <w:pStyle w:val="686"/>
        <w:ind w:firstLine="204"/>
        <w:jc w:val="both"/>
        <w:pageBreakBefore w:val="0"/>
        <w:spacing w:beforeAutospacing="0" w:afterAutospacing="0" w:line="0" w:lineRule="atLeast"/>
        <w:rPr>
          <w:color w:val="auto"/>
          <w:highlight w:val="none"/>
        </w:rPr>
      </w:pPr>
      <w:r>
        <w:rPr>
          <w:color w:val="auto"/>
          <w:highlight w:val="none"/>
        </w:rPr>
        <w:t xml:space="preserve"> </w:t>
      </w:r>
      <w:r/>
    </w:p>
    <w:p>
      <w:pPr>
        <w:pStyle w:val="686"/>
        <w:ind w:firstLine="204"/>
        <w:jc w:val="both"/>
        <w:pageBreakBefore w:val="0"/>
        <w:spacing w:beforeAutospacing="0" w:afterAutospacing="0" w:line="0" w:lineRule="atLeast"/>
        <w:rPr>
          <w:color w:val="auto"/>
          <w:highlight w:val="none"/>
        </w:rPr>
      </w:pPr>
      <w:r>
        <w:rPr>
          <w:color w:val="auto"/>
          <w:highlight w:val="none"/>
        </w:rPr>
        <w:t xml:space="preserve"> </w:t>
      </w:r>
      <w:r/>
    </w:p>
    <w:p>
      <w:pPr>
        <w:pStyle w:val="686"/>
        <w:ind w:firstLine="204"/>
        <w:jc w:val="both"/>
        <w:pageBreakBefore w:val="0"/>
        <w:spacing w:beforeAutospacing="0" w:afterAutospacing="0" w:line="0" w:lineRule="atLeast"/>
        <w:rPr>
          <w:color w:val="auto"/>
          <w:highlight w:val="none"/>
        </w:rPr>
      </w:pPr>
      <w:r>
        <w:rPr>
          <w:color w:val="auto"/>
          <w:highlight w:val="none"/>
        </w:rPr>
        <w:t xml:space="preserve"> </w:t>
      </w:r>
      <w:r/>
    </w:p>
    <w:p>
      <w:pPr>
        <w:pStyle w:val="686"/>
        <w:ind w:firstLine="204"/>
        <w:jc w:val="both"/>
        <w:pageBreakBefore w:val="0"/>
        <w:spacing w:beforeAutospacing="0" w:afterAutospacing="0" w:line="0" w:lineRule="atLeast"/>
        <w:rPr>
          <w:color w:val="auto"/>
          <w:highlight w:val="none"/>
        </w:rPr>
      </w:pPr>
      <w:r>
        <w:rPr>
          <w:color w:val="auto"/>
          <w:highlight w:val="none"/>
        </w:rPr>
      </w:r>
      <w:r/>
    </w:p>
    <w:p>
      <w:pPr>
        <w:pStyle w:val="686"/>
        <w:ind w:firstLine="204"/>
        <w:jc w:val="both"/>
        <w:pageBreakBefore w:val="0"/>
        <w:spacing w:beforeAutospacing="0" w:afterAutospacing="0" w:line="0" w:lineRule="atLeast"/>
        <w:rPr>
          <w:color w:val="auto"/>
          <w:highlight w:val="none"/>
        </w:rPr>
      </w:pPr>
      <w:r>
        <w:rPr>
          <w:color w:val="auto"/>
          <w:highlight w:val="none"/>
        </w:rPr>
      </w:r>
      <w:r/>
    </w:p>
    <w:p>
      <w:pPr>
        <w:pStyle w:val="686"/>
        <w:ind w:firstLine="204"/>
        <w:jc w:val="both"/>
        <w:pageBreakBefore w:val="0"/>
        <w:spacing w:beforeAutospacing="0" w:afterAutospacing="0" w:line="0" w:lineRule="atLeast"/>
        <w:rPr>
          <w:color w:val="auto"/>
          <w:highlight w:val="none"/>
        </w:rPr>
      </w:pPr>
      <w:r>
        <w:rPr>
          <w:color w:val="auto"/>
          <w:highlight w:val="none"/>
        </w:rPr>
      </w:r>
      <w:r/>
    </w:p>
    <w:p>
      <w:pPr>
        <w:pStyle w:val="686"/>
        <w:ind w:firstLine="204"/>
        <w:jc w:val="both"/>
        <w:pageBreakBefore w:val="0"/>
        <w:spacing w:beforeAutospacing="0" w:afterAutospacing="0" w:line="0" w:lineRule="atLeast"/>
        <w:rPr>
          <w:color w:val="auto"/>
          <w:highlight w:val="none"/>
        </w:rPr>
      </w:pPr>
      <w:r>
        <w:rPr>
          <w:color w:val="auto"/>
          <w:highlight w:val="none"/>
        </w:rPr>
      </w:r>
      <w:r/>
    </w:p>
    <w:p>
      <w:pPr>
        <w:pStyle w:val="686"/>
        <w:ind w:firstLine="204"/>
        <w:jc w:val="both"/>
        <w:pageBreakBefore w:val="0"/>
        <w:spacing w:beforeAutospacing="0" w:afterAutospacing="0" w:line="0" w:lineRule="atLeast"/>
        <w:rPr>
          <w:color w:val="auto"/>
          <w:highlight w:val="none"/>
        </w:rPr>
      </w:pPr>
      <w:r>
        <w:rPr>
          <w:color w:val="auto"/>
          <w:highlight w:val="none"/>
        </w:rPr>
        <w:t xml:space="preserve"> </w:t>
      </w:r>
      <w:r/>
    </w:p>
    <w:p>
      <w:pPr>
        <w:pStyle w:val="858"/>
        <w:ind w:firstLine="482"/>
        <w:jc w:val="center"/>
        <w:rPr>
          <w:highlight w:val="none"/>
        </w:rPr>
      </w:pPr>
      <w:r>
        <w:rPr>
          <w:rFonts w:hint="eastAsia" w:ascii="黑体" w:hAnsi="黑体" w:eastAsia="黑体" w:cs="黑体"/>
          <w:i/>
          <w:sz w:val="32"/>
          <w:szCs w:val="32"/>
          <w:highlight w:val="none"/>
          <w:u w:val="single"/>
        </w:rPr>
        <w:t xml:space="preserve">一、法人或者其他组织的营业执照等证明文件，自然人的身份证明</w:t>
      </w:r>
      <w:r/>
    </w:p>
    <w:p>
      <w:pPr>
        <w:pStyle w:val="859"/>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rFonts w:hint="eastAsia"/>
          <w:highlight w:val="none"/>
        </w:rPr>
        <w:t xml:space="preserve">                                      </w:t>
      </w:r>
      <w:r/>
    </w:p>
    <w:p>
      <w:pPr>
        <w:pStyle w:val="859"/>
        <w:jc w:val="center"/>
        <w:spacing w:beforeAutospacing="0" w:afterAutospacing="0" w:line="500" w:lineRule="exact"/>
        <w:rPr>
          <w:rFonts w:ascii="黑体" w:hAnsi="黑体" w:eastAsia="黑体" w:cs="黑体"/>
          <w:i/>
          <w:sz w:val="32"/>
          <w:szCs w:val="32"/>
          <w:highlight w:val="none"/>
          <w:u w:val="single"/>
        </w:rPr>
        <w:outlineLvl w:val="1"/>
      </w:pPr>
      <w:r>
        <w:rPr>
          <w:rFonts w:hint="eastAsia"/>
          <w:highlight w:val="none"/>
        </w:rPr>
        <w:br w:type="page" w:clear="all"/>
      </w:r>
      <w:r>
        <w:rPr>
          <w:rFonts w:hint="eastAsia" w:ascii="黑体" w:hAnsi="黑体" w:eastAsia="黑体" w:cs="黑体"/>
          <w:i/>
          <w:sz w:val="32"/>
          <w:szCs w:val="32"/>
          <w:highlight w:val="none"/>
          <w:u w:val="single"/>
        </w:rPr>
        <w:t xml:space="preserve">二、上一年度的财务状况报表</w:t>
      </w:r>
      <w:r/>
    </w:p>
    <w:p>
      <w:pPr>
        <w:pStyle w:val="859"/>
        <w:ind w:firstLine="480"/>
        <w:jc w:val="center"/>
        <w:spacing w:beforeAutospacing="0" w:afterAutospacing="0" w:line="380" w:lineRule="exact"/>
        <w:rPr>
          <w:highlight w:val="none"/>
        </w:rPr>
      </w:pPr>
      <w:r>
        <w:rPr>
          <w:rFonts w:hint="eastAsia"/>
          <w:highlight w:val="none"/>
        </w:rPr>
        <w:t xml:space="preserve">（投标人成立不满一年不需提供）</w:t>
      </w:r>
      <w:r/>
    </w:p>
    <w:p>
      <w:pPr>
        <w:pStyle w:val="860"/>
        <w:ind w:firstLine="480"/>
        <w:jc w:val="center"/>
        <w:spacing w:line="400" w:lineRule="exact"/>
        <w:rPr>
          <w:sz w:val="24"/>
          <w:szCs w:val="21"/>
          <w:highlight w:val="none"/>
        </w:rPr>
      </w:pPr>
      <w:r>
        <w:rPr>
          <w:sz w:val="24"/>
          <w:szCs w:val="21"/>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jc w:val="center"/>
        <w:spacing w:beforeAutospacing="0" w:afterAutospacing="0" w:line="500" w:lineRule="exact"/>
        <w:rPr>
          <w:rFonts w:hint="eastAsia"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r>
      <w:r/>
    </w:p>
    <w:p>
      <w:pPr>
        <w:pStyle w:val="859"/>
        <w:jc w:val="center"/>
        <w:spacing w:beforeAutospacing="0" w:afterAutospacing="0" w:line="500" w:lineRule="exact"/>
        <w:rPr>
          <w:rFonts w:hint="eastAsia"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r>
      <w:r/>
    </w:p>
    <w:p>
      <w:pPr>
        <w:pStyle w:val="859"/>
        <w:jc w:val="center"/>
        <w:spacing w:beforeAutospacing="0" w:afterAutospacing="0" w:line="500" w:lineRule="exact"/>
        <w:rPr>
          <w:rFonts w:hint="eastAsia"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r>
      <w:r/>
    </w:p>
    <w:p>
      <w:pPr>
        <w:pStyle w:val="859"/>
        <w:jc w:val="center"/>
        <w:spacing w:beforeAutospacing="0" w:afterAutospacing="0" w:line="500" w:lineRule="exact"/>
        <w:rPr>
          <w:rFonts w:hint="eastAsia"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r>
      <w:r/>
    </w:p>
    <w:p>
      <w:pPr>
        <w:pStyle w:val="859"/>
        <w:jc w:val="center"/>
        <w:spacing w:beforeAutospacing="0" w:afterAutospacing="0" w:line="500" w:lineRule="exact"/>
        <w:rPr>
          <w:rFonts w:hint="eastAsia"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r>
      <w:r/>
    </w:p>
    <w:p>
      <w:pPr>
        <w:pStyle w:val="859"/>
        <w:jc w:val="center"/>
        <w:spacing w:beforeAutospacing="0" w:afterAutospacing="0" w:line="500" w:lineRule="exact"/>
        <w:rPr>
          <w:rFonts w:hint="eastAsia"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r>
      <w:r/>
    </w:p>
    <w:p>
      <w:pPr>
        <w:pStyle w:val="859"/>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859"/>
        <w:ind w:firstLine="480"/>
        <w:jc w:val="both"/>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859"/>
        <w:ind w:firstLine="480"/>
        <w:jc w:val="both"/>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859"/>
        <w:ind w:firstLine="480"/>
        <w:jc w:val="both"/>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859"/>
        <w:ind w:firstLine="480"/>
        <w:jc w:val="both"/>
        <w:spacing w:beforeAutospacing="0" w:afterAutospacing="0" w:line="500" w:lineRule="exact"/>
        <w:rPr>
          <w:highlight w:val="none"/>
        </w:rPr>
      </w:pPr>
      <w:r>
        <w:rPr>
          <w:rFonts w:hint="eastAsia"/>
          <w:highlight w:val="none"/>
        </w:rPr>
        <w:t xml:space="preserve">                </w:t>
      </w:r>
      <w:r/>
    </w:p>
    <w:p>
      <w:pPr>
        <w:ind w:firstLine="440"/>
        <w:rPr>
          <w:highlight w:val="none"/>
        </w:rPr>
      </w:pPr>
      <w:r>
        <w:rPr>
          <w:rFonts w:hint="eastAsia"/>
          <w:highlight w:val="none"/>
        </w:rPr>
        <w:br w:type="page" w:clear="all"/>
      </w:r>
      <w:r/>
    </w:p>
    <w:p>
      <w:pPr>
        <w:pStyle w:val="859"/>
        <w:ind w:firstLine="0"/>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四、依法缴纳税收和社会保障资金的相关材料</w:t>
      </w:r>
      <w:r/>
    </w:p>
    <w:p>
      <w:pPr>
        <w:pStyle w:val="859"/>
        <w:ind w:firstLine="480"/>
        <w:jc w:val="both"/>
        <w:spacing w:beforeAutospacing="0" w:afterAutospacing="0" w:line="440" w:lineRule="exact"/>
        <w:rPr>
          <w:szCs w:val="24"/>
          <w:highlight w:val="none"/>
        </w:rPr>
      </w:pPr>
      <w:r>
        <w:rPr>
          <w:rFonts w:hint="eastAsia"/>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pStyle w:val="859"/>
        <w:ind w:firstLine="480"/>
        <w:rPr>
          <w:highlight w:val="none"/>
        </w:rPr>
      </w:pPr>
      <w:r>
        <w:rPr>
          <w:highlight w:val="none"/>
        </w:rPr>
      </w:r>
      <w:r/>
    </w:p>
    <w:p>
      <w:pPr>
        <w:pStyle w:val="845"/>
        <w:ind w:firstLine="643"/>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pStyle w:val="858"/>
        <w:ind w:firstLine="48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0"/>
        <w:rPr>
          <w:sz w:val="24"/>
          <w:szCs w:val="22"/>
          <w:highlight w:val="none"/>
        </w:rPr>
      </w:pPr>
      <w:r>
        <w:rPr>
          <w:sz w:val="24"/>
          <w:szCs w:val="22"/>
          <w:highlight w:val="none"/>
        </w:rPr>
      </w:r>
      <w:r/>
    </w:p>
    <w:p>
      <w:pPr>
        <w:ind w:firstLine="480"/>
        <w:rPr>
          <w:sz w:val="24"/>
          <w:szCs w:val="22"/>
          <w:highlight w:val="none"/>
        </w:rPr>
      </w:pPr>
      <w:r>
        <w:rPr>
          <w:sz w:val="24"/>
          <w:szCs w:val="22"/>
          <w:highlight w:val="none"/>
        </w:rPr>
      </w:r>
      <w:r/>
    </w:p>
    <w:p>
      <w:pPr>
        <w:ind w:firstLine="480"/>
        <w:rPr>
          <w:sz w:val="24"/>
          <w:szCs w:val="22"/>
          <w:highlight w:val="none"/>
        </w:rPr>
      </w:pPr>
      <w:r>
        <w:rPr>
          <w:sz w:val="24"/>
          <w:szCs w:val="22"/>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859"/>
        <w:ind w:firstLine="480"/>
        <w:rPr>
          <w:highlight w:val="none"/>
        </w:rPr>
      </w:pPr>
      <w:r>
        <w:rPr>
          <w:highlight w:val="none"/>
        </w:rPr>
      </w:r>
      <w:r/>
    </w:p>
    <w:p>
      <w:pPr>
        <w:pStyle w:val="859"/>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五、参加政府采购活动前 3 年内在经营活动中没有重大违法记录的书面声明</w:t>
      </w:r>
      <w:r/>
    </w:p>
    <w:p>
      <w:pPr>
        <w:pStyle w:val="859"/>
        <w:ind w:firstLine="3618"/>
        <w:jc w:val="both"/>
        <w:spacing w:beforeAutospacing="0" w:afterAutospacing="0" w:line="500" w:lineRule="exact"/>
        <w:rPr>
          <w:highlight w:val="none"/>
        </w:rPr>
      </w:pPr>
      <w:r>
        <w:rPr>
          <w:rFonts w:hint="eastAsia"/>
          <w:b/>
          <w:sz w:val="44"/>
          <w:szCs w:val="44"/>
          <w:highlight w:val="none"/>
        </w:rPr>
        <w:t xml:space="preserve">声  明</w:t>
      </w:r>
      <w:r/>
    </w:p>
    <w:p>
      <w:pPr>
        <w:pStyle w:val="859"/>
        <w:ind w:firstLine="482"/>
        <w:jc w:val="both"/>
        <w:spacing w:beforeAutospacing="0" w:afterAutospacing="0" w:line="500" w:lineRule="exact"/>
        <w:rPr>
          <w:highlight w:val="none"/>
        </w:rPr>
      </w:pP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ind w:firstLine="440"/>
        <w:rPr>
          <w:highlight w:val="none"/>
        </w:rPr>
      </w:pPr>
      <w:r>
        <w:rPr>
          <w:rFonts w:hint="eastAsia"/>
          <w:highlight w:val="none"/>
        </w:rPr>
        <w:br w:type="page" w:clear="all"/>
      </w:r>
      <w:r/>
    </w:p>
    <w:p>
      <w:pPr>
        <w:pStyle w:val="859"/>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六、特定资格要求的证明文件</w:t>
      </w:r>
      <w:r/>
    </w:p>
    <w:p>
      <w:pPr>
        <w:pStyle w:val="859"/>
        <w:ind w:firstLine="480"/>
        <w:jc w:val="center"/>
        <w:spacing w:beforeAutospacing="0" w:afterAutospacing="0" w:line="500" w:lineRule="exact"/>
        <w:rPr>
          <w:highlight w:val="none"/>
        </w:rPr>
      </w:pPr>
      <w:r>
        <w:rPr>
          <w:rFonts w:hint="eastAsia"/>
          <w:highlight w:val="none"/>
        </w:rPr>
        <w:t xml:space="preserve">如果本项目申请人的特定资格要求中要求提供的，必须提供。</w:t>
      </w:r>
      <w:r/>
    </w:p>
    <w:p>
      <w:pPr>
        <w:pStyle w:val="861"/>
        <w:ind w:firstLine="883"/>
        <w:spacing w:line="240" w:lineRule="auto"/>
        <w:rPr>
          <w:highlight w:val="none"/>
        </w:rPr>
      </w:pPr>
      <w:r>
        <w:rPr>
          <w:highlight w:val="none"/>
        </w:rPr>
      </w:r>
      <w:r/>
    </w:p>
    <w:p>
      <w:pPr>
        <w:ind w:firstLine="440"/>
        <w:rPr>
          <w:highlight w:val="none"/>
        </w:rPr>
      </w:pPr>
      <w:r>
        <w:rPr>
          <w:highlight w:val="none"/>
        </w:rPr>
      </w:r>
      <w:r/>
    </w:p>
    <w:p>
      <w:pPr>
        <w:pStyle w:val="695"/>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pStyle w:val="859"/>
        <w:ind w:firstLine="480"/>
        <w:rPr>
          <w:highlight w:val="none"/>
        </w:rPr>
      </w:pPr>
      <w:r>
        <w:rPr>
          <w:highlight w:val="none"/>
        </w:rPr>
      </w:r>
      <w:r/>
    </w:p>
    <w:p>
      <w:pPr>
        <w:ind w:firstLine="560"/>
        <w:rPr>
          <w:sz w:val="28"/>
          <w:highlight w:val="none"/>
        </w:rPr>
      </w:pPr>
      <w:r>
        <w:rPr>
          <w:rFonts w:hint="eastAsia"/>
          <w:sz w:val="28"/>
          <w:highlight w:val="none"/>
        </w:rPr>
        <w:br w:type="page" w:clear="all"/>
      </w:r>
      <w:r/>
    </w:p>
    <w:p>
      <w:pPr>
        <w:pStyle w:val="859"/>
        <w:ind w:firstLine="0"/>
        <w:jc w:val="center"/>
        <w:spacing w:beforeAutospacing="0" w:afterAutospacing="0" w:line="500" w:lineRule="exact"/>
        <w:rPr>
          <w:rFonts w:ascii="黑体" w:hAnsi="黑体" w:eastAsia="黑体" w:cs="黑体"/>
          <w:i/>
          <w:sz w:val="32"/>
          <w:szCs w:val="32"/>
          <w:highlight w:val="none"/>
          <w:u w:val="single"/>
        </w:rPr>
        <w:outlineLvl w:val="1"/>
      </w:pPr>
      <w:r/>
      <w:bookmarkStart w:id="169" w:name="_格式3__银行出具的资信证明"/>
      <w:r/>
      <w:bookmarkStart w:id="170" w:name="_Hlt26955070"/>
      <w:r/>
      <w:bookmarkStart w:id="171" w:name="_Hlt26671380"/>
      <w:r>
        <w:rPr>
          <w:rFonts w:hint="eastAsia" w:ascii="黑体" w:hAnsi="黑体" w:eastAsia="黑体" w:cs="黑体"/>
          <w:i/>
          <w:sz w:val="32"/>
          <w:szCs w:val="32"/>
          <w:highlight w:val="none"/>
          <w:u w:val="single"/>
        </w:rPr>
        <w:t xml:space="preserve">七、法人授权书</w:t>
      </w:r>
      <w:r/>
    </w:p>
    <w:p>
      <w:pPr>
        <w:pStyle w:val="859"/>
        <w:ind w:firstLine="480"/>
        <w:rPr>
          <w:highlight w:val="none"/>
        </w:rPr>
      </w:pPr>
      <w:r>
        <w:rPr>
          <w:rFonts w:hint="eastAsia"/>
          <w:highlight w:val="none"/>
        </w:rPr>
        <w:t xml:space="preserve">本授权书声明：____________（投标人名称）授权________________（被授权人的姓名）为我方就</w:t>
      </w:r>
      <w:r>
        <w:rPr>
          <w:rFonts w:hint="eastAsia" w:eastAsia="宋体"/>
          <w:highlight w:val="none"/>
          <w:u w:val="single"/>
          <w:lang w:eastAsia="zh-CN"/>
        </w:rPr>
        <w:t xml:space="preserve">JSZC-320902-YPGS-G2024-0001</w:t>
      </w:r>
      <w:r>
        <w:rPr>
          <w:rFonts w:hint="eastAsia"/>
          <w:highlight w:val="none"/>
          <w:u w:val="single"/>
          <w:lang w:val="en-US" w:eastAsia="zh-CN"/>
        </w:rPr>
        <w:t xml:space="preserve"> </w:t>
      </w:r>
      <w:r>
        <w:rPr>
          <w:rFonts w:hint="eastAsia"/>
          <w:highlight w:val="none"/>
        </w:rPr>
        <w:t xml:space="preserve">号</w:t>
      </w:r>
      <w:r>
        <w:rPr>
          <w:rFonts w:hint="eastAsia"/>
          <w:szCs w:val="20"/>
          <w:highlight w:val="none"/>
          <w:u w:val="single"/>
          <w:lang w:eastAsia="zh-CN"/>
        </w:rPr>
        <w:t xml:space="preserve">亭湖区智慧托育应用管理平台建设项目</w:t>
      </w:r>
      <w:r>
        <w:rPr>
          <w:rFonts w:hint="eastAsia"/>
          <w:highlight w:val="none"/>
        </w:rPr>
        <w:t xml:space="preserve">采购活动的合法代理人，以本单位名义全权处理一切与该项目采购有关的事务。</w:t>
      </w:r>
      <w:r/>
    </w:p>
    <w:p>
      <w:pPr>
        <w:pStyle w:val="859"/>
        <w:ind w:firstLine="480"/>
        <w:spacing w:line="240" w:lineRule="auto"/>
        <w:rPr>
          <w:highlight w:val="none"/>
        </w:rPr>
      </w:pPr>
      <w:r>
        <w:rPr>
          <w:rFonts w:hint="eastAsia"/>
          <w:highlight w:val="none"/>
        </w:rPr>
        <w:t xml:space="preserve">本授权书于______年____月____日起生效，特此声明。</w:t>
      </w:r>
      <w:r/>
    </w:p>
    <w:p>
      <w:pPr>
        <w:pStyle w:val="859"/>
        <w:ind w:firstLine="480"/>
        <w:spacing w:line="240" w:lineRule="auto"/>
        <w:rPr>
          <w:highlight w:val="none"/>
        </w:rPr>
      </w:pPr>
      <w:r>
        <w:rPr>
          <w:rFonts w:hint="eastAsia"/>
          <w:highlight w:val="none"/>
        </w:rPr>
        <w:t xml:space="preserve">被授权人身份证号码：</w:t>
      </w:r>
      <w:r>
        <w:rPr>
          <w:rFonts w:hint="eastAsia"/>
          <w:highlight w:val="none"/>
          <w:u w:val="single"/>
        </w:rPr>
        <w:t xml:space="preserve">                      </w:t>
      </w:r>
      <w:r>
        <w:rPr>
          <w:rFonts w:hint="eastAsia"/>
          <w:highlight w:val="none"/>
        </w:rPr>
        <w:t xml:space="preserve">              </w:t>
      </w:r>
      <w:r/>
    </w:p>
    <w:p>
      <w:pPr>
        <w:pStyle w:val="859"/>
        <w:ind w:firstLine="480"/>
        <w:spacing w:line="240" w:lineRule="auto"/>
        <w:rPr>
          <w:highlight w:val="none"/>
        </w:rPr>
      </w:pPr>
      <w:r>
        <w:rPr>
          <w:rFonts w:hint="eastAsia"/>
          <w:highlight w:val="none"/>
        </w:rPr>
        <w:t xml:space="preserve">被授权人联系电话：</w:t>
      </w:r>
      <w:r>
        <w:rPr>
          <w:rFonts w:hint="eastAsia"/>
          <w:highlight w:val="none"/>
          <w:u w:val="single"/>
        </w:rPr>
        <w:t xml:space="preserve">  （手机）              </w:t>
      </w:r>
      <w:r>
        <w:rPr>
          <w:rFonts w:hint="eastAsia"/>
          <w:highlight w:val="none"/>
        </w:rPr>
        <w:t xml:space="preserve">                   </w:t>
      </w:r>
      <w:r/>
    </w:p>
    <w:p>
      <w:pPr>
        <w:pStyle w:val="859"/>
        <w:ind w:firstLine="480"/>
        <w:spacing w:line="240" w:lineRule="auto"/>
        <w:rPr>
          <w:highlight w:val="none"/>
        </w:rPr>
      </w:pPr>
      <w:r>
        <w:rPr>
          <w:rFonts w:hint="eastAsia"/>
          <w:highlight w:val="none"/>
        </w:rPr>
        <w:t xml:space="preserve">授权单位名称：</w:t>
      </w:r>
      <w:r>
        <w:rPr>
          <w:rFonts w:hint="eastAsia"/>
          <w:highlight w:val="none"/>
          <w:u w:val="single"/>
        </w:rPr>
        <w:t xml:space="preserve">（加盖CA电子公章）          </w:t>
      </w:r>
      <w:r>
        <w:rPr>
          <w:rFonts w:hint="eastAsia"/>
          <w:highlight w:val="none"/>
        </w:rPr>
        <w:t xml:space="preserve">            </w:t>
      </w:r>
      <w:r/>
    </w:p>
    <w:p>
      <w:pPr>
        <w:pStyle w:val="859"/>
        <w:ind w:firstLine="480"/>
        <w:spacing w:line="240" w:lineRule="auto"/>
        <w:rPr>
          <w:highlight w:val="none"/>
        </w:rPr>
      </w:pPr>
      <w:r>
        <w:rPr>
          <w:rFonts w:hint="eastAsia"/>
          <w:highlight w:val="none"/>
        </w:rPr>
        <w:t xml:space="preserve">单 位 地 址：</w:t>
      </w:r>
      <w:r>
        <w:rPr>
          <w:rFonts w:hint="eastAsia"/>
          <w:highlight w:val="none"/>
          <w:u w:val="single"/>
        </w:rPr>
        <w:t xml:space="preserve">                            </w:t>
      </w:r>
      <w:r>
        <w:rPr>
          <w:rFonts w:hint="eastAsia"/>
          <w:highlight w:val="none"/>
        </w:rPr>
        <w:t xml:space="preserve">            </w:t>
      </w:r>
      <w:r/>
    </w:p>
    <w:p>
      <w:pPr>
        <w:pStyle w:val="859"/>
        <w:ind w:firstLine="480"/>
        <w:spacing w:line="240" w:lineRule="auto"/>
        <w:rPr>
          <w:szCs w:val="22"/>
          <w:highlight w:val="none"/>
        </w:rPr>
      </w:pPr>
      <w:r>
        <w:rPr>
          <w:rFonts w:hint="eastAsia"/>
          <w:szCs w:val="22"/>
          <w:highlight w:val="none"/>
        </w:rPr>
        <w:t xml:space="preserve">日       期：</w:t>
      </w:r>
      <w:r>
        <w:rPr>
          <w:rFonts w:hint="eastAsia"/>
          <w:szCs w:val="22"/>
          <w:highlight w:val="none"/>
          <w:u w:val="singl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jc w:val="both"/>
        <w:spacing w:beforeAutospacing="0" w:afterAutospacing="0" w:line="0" w:lineRule="atLeast"/>
        <w:rPr>
          <w:rFonts w:hint="eastAsia" w:ascii="宋体" w:hAnsi="宋体" w:eastAsia="宋体" w:cs="宋体"/>
          <w:sz w:val="24"/>
          <w:szCs w:val="32"/>
          <w:highlight w:val="none"/>
        </w:rPr>
      </w:pPr>
      <w:r>
        <w:rPr>
          <w:rFonts w:hint="eastAsia" w:asciiTheme="minorEastAsia" w:hAnsiTheme="minorEastAsia" w:eastAsiaTheme="minorEastAsia" w:cstheme="minorEastAsia"/>
          <w:sz w:val="21"/>
          <w:highlight w:val="none"/>
        </w:rPr>
        <w:t xml:space="preserve"> </w:t>
      </w:r>
      <w:r>
        <w:rPr>
          <w:rFonts w:hint="eastAsia" w:ascii="宋体" w:hAnsi="宋体" w:eastAsia="宋体" w:cs="宋体"/>
          <w:sz w:val="24"/>
          <w:szCs w:val="32"/>
          <w:highlight w:val="none"/>
        </w:rPr>
        <w:t xml:space="preserve">我公司</w:t>
      </w:r>
      <w:r>
        <w:rPr>
          <w:rFonts w:hint="eastAsia" w:ascii="宋体" w:hAnsi="宋体" w:eastAsia="宋体" w:cs="宋体"/>
          <w:sz w:val="24"/>
          <w:szCs w:val="32"/>
          <w:highlight w:val="none"/>
          <w:u w:val="single"/>
        </w:rPr>
        <w:t xml:space="preserve">         （单位）</w:t>
      </w:r>
      <w:r>
        <w:rPr>
          <w:rFonts w:hint="eastAsia" w:ascii="宋体" w:hAnsi="宋体" w:eastAsia="宋体" w:cs="宋体"/>
          <w:sz w:val="24"/>
          <w:szCs w:val="32"/>
          <w:highlight w:val="none"/>
        </w:rPr>
        <w:t xml:space="preserve">委托进行现场演示的人员为</w:t>
      </w:r>
      <w:r>
        <w:rPr>
          <w:rFonts w:hint="eastAsia" w:ascii="宋体" w:hAnsi="宋体" w:eastAsia="宋体" w:cs="宋体"/>
          <w:sz w:val="24"/>
          <w:szCs w:val="32"/>
          <w:highlight w:val="none"/>
          <w:u w:val="single"/>
        </w:rPr>
        <w:t xml:space="preserve">    （人员姓名）</w:t>
      </w:r>
      <w:r>
        <w:rPr>
          <w:rFonts w:hint="eastAsia" w:ascii="宋体" w:hAnsi="宋体" w:eastAsia="宋体" w:cs="宋体"/>
          <w:sz w:val="24"/>
          <w:szCs w:val="32"/>
          <w:highlight w:val="none"/>
        </w:rPr>
        <w:t xml:space="preserve">，身份证号：</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w:t>
      </w:r>
      <w:r/>
    </w:p>
    <w:p>
      <w:pPr>
        <w:pStyle w:val="686"/>
        <w:jc w:val="both"/>
        <w:spacing w:beforeAutospacing="0" w:afterAutospacing="0" w:line="0" w:lineRule="atLeast"/>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t xml:space="preserve"> </w:t>
      </w:r>
      <w:r/>
    </w:p>
    <w:p>
      <w:pPr>
        <w:ind w:firstLine="480"/>
        <w:jc w:val="center"/>
        <w:rPr>
          <w:highlight w:val="none"/>
        </w:rPr>
      </w:pPr>
      <w:r>
        <w:rPr>
          <w:rFonts w:hint="eastAsia" w:ascii="黑体" w:hAnsi="黑体" w:eastAsia="黑体" w:cs="黑体"/>
          <w:i/>
          <w:sz w:val="32"/>
          <w:szCs w:val="32"/>
          <w:highlight w:val="none"/>
          <w:u w:val="single"/>
        </w:rPr>
        <w:t xml:space="preserve">八、投标函</w:t>
      </w:r>
      <w:r/>
    </w:p>
    <w:p>
      <w:pPr>
        <w:ind w:firstLine="480"/>
        <w:rPr>
          <w:rFonts w:hint="eastAsia" w:eastAsia="宋体"/>
          <w:sz w:val="24"/>
          <w:szCs w:val="24"/>
          <w:highlight w:val="none"/>
          <w:lang w:eastAsia="zh-CN"/>
        </w:rPr>
      </w:pPr>
      <w:r>
        <w:rPr>
          <w:rFonts w:hint="eastAsia"/>
          <w:sz w:val="24"/>
          <w:szCs w:val="24"/>
          <w:highlight w:val="none"/>
        </w:rPr>
        <w:t xml:space="preserve">致：</w:t>
      </w:r>
      <w:r>
        <w:rPr>
          <w:rFonts w:hint="eastAsia"/>
          <w:sz w:val="24"/>
          <w:szCs w:val="24"/>
          <w:highlight w:val="none"/>
          <w:lang w:val="en-US" w:eastAsia="zh-CN"/>
        </w:rPr>
        <w:t xml:space="preserve"> </w:t>
      </w:r>
      <w:r/>
    </w:p>
    <w:p>
      <w:pPr>
        <w:ind w:firstLine="480"/>
        <w:rPr>
          <w:sz w:val="24"/>
          <w:szCs w:val="24"/>
          <w:highlight w:val="none"/>
        </w:rPr>
      </w:pPr>
      <w:r>
        <w:rPr>
          <w:rFonts w:hint="eastAsia"/>
          <w:sz w:val="24"/>
          <w:szCs w:val="24"/>
          <w:highlight w:val="none"/>
        </w:rPr>
        <w:t xml:space="preserve">根据贵方的</w:t>
      </w:r>
      <w:r>
        <w:rPr>
          <w:rFonts w:hint="eastAsia" w:eastAsia="宋体"/>
          <w:sz w:val="24"/>
          <w:szCs w:val="24"/>
          <w:highlight w:val="none"/>
          <w:u w:val="single"/>
          <w:lang w:eastAsia="zh-CN"/>
        </w:rPr>
        <w:t xml:space="preserve">JSZC-320902-YPGS-G2024-0001</w:t>
      </w:r>
      <w:r>
        <w:rPr>
          <w:rFonts w:hint="eastAsia"/>
          <w:sz w:val="24"/>
          <w:szCs w:val="24"/>
          <w:highlight w:val="none"/>
        </w:rPr>
        <w:t xml:space="preserve">号招标文件，正式授权下述签字人______(姓名)代表我方______________（投标人的名称），全权处理本次项目投标的有关事宜。</w:t>
      </w:r>
      <w:r/>
    </w:p>
    <w:p>
      <w:pPr>
        <w:ind w:firstLine="480"/>
        <w:rPr>
          <w:sz w:val="24"/>
          <w:szCs w:val="24"/>
          <w:highlight w:val="none"/>
        </w:rPr>
      </w:pPr>
      <w:r>
        <w:rPr>
          <w:rFonts w:hint="eastAsia"/>
          <w:sz w:val="24"/>
          <w:szCs w:val="24"/>
          <w:highlight w:val="none"/>
        </w:rPr>
        <w:t xml:space="preserve">据此函，__________签字人兹宣布同意如下：</w:t>
      </w:r>
      <w:r/>
    </w:p>
    <w:p>
      <w:pPr>
        <w:ind w:firstLine="480"/>
        <w:rPr>
          <w:sz w:val="24"/>
          <w:szCs w:val="24"/>
          <w:highlight w:val="none"/>
        </w:rPr>
      </w:pPr>
      <w:r>
        <w:rPr>
          <w:rFonts w:hint="eastAsia"/>
          <w:sz w:val="24"/>
          <w:szCs w:val="24"/>
          <w:highlight w:val="none"/>
        </w:rPr>
        <w:t xml:space="preserve">1.按招标文件规定的各项要求，向买方提供所需服务（包含与服务相关的货物）。</w:t>
      </w:r>
      <w:r/>
    </w:p>
    <w:p>
      <w:pPr>
        <w:ind w:firstLine="480"/>
        <w:rPr>
          <w:sz w:val="24"/>
          <w:szCs w:val="24"/>
          <w:highlight w:val="none"/>
        </w:rPr>
      </w:pPr>
      <w:r>
        <w:rPr>
          <w:rFonts w:hint="eastAsia"/>
          <w:sz w:val="24"/>
          <w:szCs w:val="24"/>
          <w:highlight w:val="none"/>
        </w:rPr>
        <w:t xml:space="preserve">2.我们完全理解贵方不一定将合同授予最低报价的投标人。</w:t>
      </w:r>
      <w:r/>
    </w:p>
    <w:p>
      <w:pPr>
        <w:ind w:firstLine="480"/>
        <w:rPr>
          <w:sz w:val="24"/>
          <w:szCs w:val="24"/>
          <w:highlight w:val="none"/>
        </w:rPr>
      </w:pPr>
      <w:r>
        <w:rPr>
          <w:rFonts w:hint="eastAsia"/>
          <w:sz w:val="24"/>
          <w:szCs w:val="24"/>
          <w:highlight w:val="none"/>
        </w:rPr>
        <w:t xml:space="preserve">3.我们已详细审核全部招标文件及其有效补充文件，我们知道必须放弃提出含糊不清或误解问题的权利。</w:t>
      </w:r>
      <w:r/>
    </w:p>
    <w:p>
      <w:pPr>
        <w:ind w:firstLine="480"/>
        <w:rPr>
          <w:sz w:val="24"/>
          <w:szCs w:val="24"/>
          <w:highlight w:val="none"/>
        </w:rPr>
      </w:pPr>
      <w:r>
        <w:rPr>
          <w:rFonts w:hint="eastAsia"/>
          <w:sz w:val="24"/>
          <w:szCs w:val="24"/>
          <w:highlight w:val="none"/>
        </w:rPr>
        <w:t xml:space="preserve">4.我们同意从规定的开标日期起遵循本投标文件，并在规定的投标有效期期满之前均具有约束力。</w:t>
      </w:r>
      <w:r/>
    </w:p>
    <w:p>
      <w:pPr>
        <w:ind w:firstLine="480"/>
        <w:rPr>
          <w:sz w:val="24"/>
          <w:szCs w:val="24"/>
          <w:highlight w:val="none"/>
        </w:rPr>
      </w:pPr>
      <w:r>
        <w:rPr>
          <w:rFonts w:hint="eastAsia"/>
          <w:sz w:val="24"/>
          <w:szCs w:val="24"/>
          <w:highlight w:val="none"/>
        </w:rPr>
        <w:t xml:space="preserve">5.同意向贵方提供贵方可能另外要求的与投标有关的任何证据或资料，并保证我方已提供和将要提供的文件是真实的、准确的。</w:t>
      </w:r>
      <w:r/>
    </w:p>
    <w:p>
      <w:pPr>
        <w:ind w:firstLine="480"/>
        <w:rPr>
          <w:sz w:val="24"/>
          <w:szCs w:val="24"/>
          <w:highlight w:val="none"/>
        </w:rPr>
      </w:pPr>
      <w:r>
        <w:rPr>
          <w:rFonts w:hint="eastAsia"/>
          <w:sz w:val="24"/>
          <w:szCs w:val="24"/>
          <w:highlight w:val="none"/>
        </w:rPr>
        <w:t xml:space="preserve">6.一旦我方中标,我方将根据招标文件的规定，严格履行合同的责任和义务,并保证在招标文件规定的时间完成项目，交付买方验收、使用。</w:t>
      </w:r>
      <w:r/>
    </w:p>
    <w:p>
      <w:pPr>
        <w:ind w:firstLine="480"/>
        <w:rPr>
          <w:sz w:val="24"/>
          <w:szCs w:val="24"/>
          <w:highlight w:val="none"/>
        </w:rPr>
      </w:pPr>
      <w:r>
        <w:rPr>
          <w:rFonts w:hint="eastAsia"/>
          <w:sz w:val="24"/>
          <w:szCs w:val="24"/>
          <w:highlight w:val="none"/>
        </w:rPr>
        <w:t xml:space="preserve">7.与本投标有关的正式通讯地址为：</w:t>
      </w:r>
      <w:r/>
    </w:p>
    <w:p>
      <w:pPr>
        <w:ind w:firstLine="480"/>
        <w:rPr>
          <w:sz w:val="24"/>
          <w:szCs w:val="24"/>
          <w:highlight w:val="none"/>
        </w:rPr>
      </w:pPr>
      <w:r>
        <w:rPr>
          <w:rFonts w:hint="eastAsia"/>
          <w:sz w:val="24"/>
          <w:szCs w:val="24"/>
          <w:highlight w:val="none"/>
        </w:rPr>
        <w:t xml:space="preserve">地        址：</w:t>
      </w:r>
      <w:r/>
    </w:p>
    <w:p>
      <w:pPr>
        <w:ind w:firstLine="480"/>
        <w:rPr>
          <w:sz w:val="24"/>
          <w:szCs w:val="24"/>
          <w:highlight w:val="none"/>
        </w:rPr>
      </w:pPr>
      <w:r>
        <w:rPr>
          <w:rFonts w:hint="eastAsia"/>
          <w:sz w:val="24"/>
          <w:szCs w:val="24"/>
          <w:highlight w:val="none"/>
        </w:rPr>
        <w:t xml:space="preserve">邮        编：</w:t>
      </w:r>
      <w:r/>
    </w:p>
    <w:p>
      <w:pPr>
        <w:ind w:firstLine="480"/>
        <w:rPr>
          <w:sz w:val="24"/>
          <w:szCs w:val="24"/>
          <w:highlight w:val="none"/>
        </w:rPr>
      </w:pPr>
      <w:r>
        <w:rPr>
          <w:rFonts w:hint="eastAsia"/>
          <w:sz w:val="24"/>
          <w:szCs w:val="24"/>
          <w:highlight w:val="none"/>
        </w:rPr>
        <w:t xml:space="preserve">电        话：</w:t>
      </w:r>
      <w:r/>
    </w:p>
    <w:p>
      <w:pPr>
        <w:ind w:firstLine="480"/>
        <w:rPr>
          <w:sz w:val="24"/>
          <w:szCs w:val="24"/>
          <w:highlight w:val="none"/>
        </w:rPr>
      </w:pPr>
      <w:r>
        <w:rPr>
          <w:rFonts w:hint="eastAsia"/>
          <w:sz w:val="24"/>
          <w:szCs w:val="24"/>
          <w:highlight w:val="none"/>
        </w:rPr>
        <w:t xml:space="preserve">传        真：</w:t>
      </w:r>
      <w:r/>
    </w:p>
    <w:p>
      <w:pPr>
        <w:ind w:firstLine="480"/>
        <w:rPr>
          <w:sz w:val="24"/>
          <w:szCs w:val="24"/>
          <w:highlight w:val="none"/>
        </w:rPr>
      </w:pPr>
      <w:r>
        <w:rPr>
          <w:rFonts w:hint="eastAsia"/>
          <w:sz w:val="24"/>
          <w:szCs w:val="24"/>
          <w:highlight w:val="none"/>
        </w:rPr>
        <w:t xml:space="preserve">投标人开户行：</w:t>
      </w:r>
      <w:r/>
    </w:p>
    <w:p>
      <w:pPr>
        <w:ind w:firstLine="480"/>
        <w:rPr>
          <w:sz w:val="24"/>
          <w:szCs w:val="24"/>
          <w:highlight w:val="none"/>
        </w:rPr>
      </w:pPr>
      <w:r>
        <w:rPr>
          <w:rFonts w:hint="eastAsia"/>
          <w:sz w:val="24"/>
          <w:szCs w:val="24"/>
          <w:highlight w:val="none"/>
        </w:rPr>
        <w:t xml:space="preserve">账        号： </w:t>
      </w:r>
      <w:r/>
    </w:p>
    <w:p>
      <w:pPr>
        <w:ind w:firstLine="480"/>
        <w:rPr>
          <w:sz w:val="24"/>
          <w:szCs w:val="24"/>
          <w:highlight w:val="none"/>
        </w:rPr>
      </w:pPr>
      <w:r>
        <w:rPr>
          <w:rFonts w:hint="eastAsia"/>
          <w:sz w:val="24"/>
          <w:szCs w:val="24"/>
          <w:highlight w:val="none"/>
        </w:rPr>
        <w:t xml:space="preserve">日        期：______年____月____日</w:t>
      </w:r>
      <w:r/>
    </w:p>
    <w:p>
      <w:pPr>
        <w:pStyle w:val="686"/>
        <w:ind w:firstLine="204"/>
        <w:jc w:val="center"/>
        <w:pageBreakBefore w:val="0"/>
        <w:spacing w:beforeAutospacing="0" w:afterAutospacing="0" w:line="0" w:lineRule="atLeast"/>
        <w:rPr>
          <w:color w:val="auto"/>
          <w:highlight w:val="none"/>
        </w:rPr>
      </w:pPr>
      <w:r>
        <w:rPr>
          <w:color w:val="auto"/>
          <w:highlight w:val="none"/>
        </w:rPr>
        <w:t xml:space="preserve"> </w:t>
      </w:r>
      <w:r/>
    </w:p>
    <w:p>
      <w:pPr>
        <w:pStyle w:val="686"/>
        <w:ind w:firstLine="204"/>
        <w:jc w:val="center"/>
        <w:pageBreakBefore w:val="0"/>
        <w:spacing w:beforeAutospacing="0" w:afterAutospacing="0" w:line="0" w:lineRule="atLeast"/>
        <w:rPr>
          <w:color w:val="auto"/>
          <w:highlight w:val="none"/>
        </w:rPr>
      </w:pPr>
      <w:r>
        <w:rPr>
          <w:color w:val="auto"/>
          <w:highlight w:val="none"/>
        </w:rPr>
        <w:t xml:space="preserve"> </w:t>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pStyle w:val="686"/>
        <w:ind w:firstLine="204"/>
        <w:jc w:val="center"/>
        <w:pageBreakBefore w:val="0"/>
        <w:spacing w:beforeAutospacing="0" w:afterAutospacing="0" w:line="0" w:lineRule="atLeast"/>
        <w:rPr>
          <w:color w:val="auto"/>
          <w:highlight w:val="none"/>
        </w:rPr>
      </w:pPr>
      <w:r>
        <w:rPr>
          <w:color w:val="auto"/>
          <w:highlight w:val="none"/>
        </w:rPr>
      </w:r>
      <w:r/>
    </w:p>
    <w:p>
      <w:pPr>
        <w:ind w:firstLine="56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九、中小微企业声明函（货物）</w:t>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本公司（联合体）郑重声明，根据《政府采购促进中小企业发展管理办法》(财库[2020]46号)的规定，本公司（联合体）参加</w:t>
      </w:r>
      <w:r>
        <w:rPr>
          <w:rFonts w:hint="eastAsia"/>
          <w:sz w:val="24"/>
          <w:szCs w:val="20"/>
          <w:highlight w:val="none"/>
          <w:u w:val="single"/>
          <w:lang w:eastAsia="zh-CN"/>
        </w:rPr>
        <w:t xml:space="preserve">盐城市妇联实验幼儿园</w:t>
      </w:r>
      <w:r>
        <w:rPr>
          <w:rFonts w:hint="eastAsia"/>
          <w:sz w:val="24"/>
          <w:szCs w:val="20"/>
          <w:highlight w:val="none"/>
        </w:rPr>
        <w:t xml:space="preserve">，</w:t>
      </w:r>
      <w:r>
        <w:rPr>
          <w:rFonts w:hint="eastAsia"/>
          <w:sz w:val="24"/>
          <w:highlight w:val="none"/>
        </w:rPr>
        <w:t xml:space="preserve">采购编号为</w:t>
      </w:r>
      <w:r>
        <w:rPr>
          <w:rFonts w:hint="eastAsia" w:eastAsia="宋体"/>
          <w:sz w:val="24"/>
          <w:highlight w:val="none"/>
          <w:u w:val="single"/>
          <w:lang w:eastAsia="zh-CN"/>
        </w:rPr>
        <w:t xml:space="preserve">JSZC-320902-YPGS-G2024-0001</w:t>
      </w:r>
      <w:r>
        <w:rPr>
          <w:rFonts w:hint="eastAsia"/>
          <w:sz w:val="24"/>
          <w:highlight w:val="none"/>
        </w:rPr>
        <w:t xml:space="preserve">，</w:t>
      </w:r>
      <w:r>
        <w:rPr>
          <w:rFonts w:hint="eastAsia"/>
          <w:sz w:val="24"/>
          <w:szCs w:val="20"/>
          <w:highlight w:val="none"/>
          <w:u w:val="single"/>
          <w:lang w:eastAsia="zh-CN"/>
        </w:rPr>
        <w:t xml:space="preserve">亭湖区智慧托育应用管理平台建设项目</w:t>
      </w:r>
      <w:r>
        <w:rPr>
          <w:rFonts w:hint="eastAsia"/>
          <w:sz w:val="24"/>
          <w:highlight w:val="none"/>
        </w:rPr>
        <w:t xml:space="preserve">的采购活动，提供的货物全部由符合政策要求的</w:t>
      </w:r>
      <w:r>
        <w:rPr>
          <w:rFonts w:hint="eastAsia" w:eastAsia="宋体"/>
          <w:sz w:val="24"/>
          <w:highlight w:val="none"/>
          <w:lang w:val="en-US" w:eastAsia="zh-CN"/>
        </w:rPr>
        <w:t xml:space="preserve">中</w:t>
      </w:r>
      <w:r>
        <w:rPr>
          <w:rFonts w:hint="eastAsia"/>
          <w:sz w:val="24"/>
          <w:highlight w:val="none"/>
        </w:rPr>
        <w:t xml:space="preserve">小微企业制造。根据《工业和信息化部、国家统计局、国家发展和改革委员会、财政部关于印发中小企业划型标准规定的通知》（工信部联企业[2011]300号）的规定，相关企业（含联合体中的</w:t>
      </w:r>
      <w:r>
        <w:rPr>
          <w:rFonts w:hint="eastAsia" w:eastAsia="宋体"/>
          <w:sz w:val="24"/>
          <w:highlight w:val="none"/>
          <w:lang w:val="en-US" w:eastAsia="zh-CN"/>
        </w:rPr>
        <w:t xml:space="preserve">中</w:t>
      </w:r>
      <w:r>
        <w:rPr>
          <w:rFonts w:hint="eastAsia"/>
          <w:sz w:val="24"/>
          <w:highlight w:val="none"/>
        </w:rPr>
        <w:t xml:space="preserve">小微企业、签订分包意向协议的</w:t>
      </w:r>
      <w:r>
        <w:rPr>
          <w:rFonts w:hint="eastAsia" w:eastAsia="宋体"/>
          <w:sz w:val="24"/>
          <w:highlight w:val="none"/>
          <w:lang w:val="en-US" w:eastAsia="zh-CN"/>
        </w:rPr>
        <w:t xml:space="preserve">中</w:t>
      </w:r>
      <w:r>
        <w:rPr>
          <w:rFonts w:hint="eastAsia"/>
          <w:sz w:val="24"/>
          <w:highlight w:val="none"/>
        </w:rPr>
        <w:t xml:space="preserve">小微企业）的具体情况如下：</w:t>
      </w:r>
      <w:r/>
    </w:p>
    <w:p>
      <w:pPr>
        <w:ind w:firstLine="480"/>
        <w:spacing w:line="500" w:lineRule="exact"/>
        <w:rPr>
          <w:rFonts w:hint="eastAsia"/>
          <w:sz w:val="24"/>
          <w:highlight w:val="none"/>
        </w:rPr>
      </w:pPr>
      <w:r>
        <w:rPr>
          <w:rFonts w:hint="eastAsia"/>
          <w:sz w:val="24"/>
          <w:highlight w:val="none"/>
        </w:rPr>
        <w:t xml:space="preserve">1.</w:t>
      </w:r>
      <w:r>
        <w:rPr>
          <w:rFonts w:hint="eastAsia"/>
          <w:sz w:val="24"/>
          <w:highlight w:val="none"/>
          <w:u w:val="single"/>
        </w:rPr>
        <w:t xml:space="preserve">（标的名称）</w:t>
      </w:r>
      <w:r>
        <w:rPr>
          <w:rFonts w:hint="eastAsia"/>
          <w:sz w:val="24"/>
          <w:highlight w:val="none"/>
        </w:rPr>
        <w:t xml:space="preserve">，属于</w:t>
      </w:r>
      <w:r>
        <w:rPr>
          <w:rFonts w:hint="eastAsia"/>
          <w:sz w:val="24"/>
          <w:highlight w:val="none"/>
          <w:u w:val="single"/>
        </w:rPr>
        <w:t xml:space="preserve">       </w:t>
      </w:r>
      <w:r>
        <w:rPr>
          <w:rFonts w:hint="eastAsia"/>
          <w:sz w:val="24"/>
          <w:highlight w:val="none"/>
        </w:rPr>
        <w:t xml:space="preserve">行业；制造商为</w:t>
      </w:r>
      <w:r>
        <w:rPr>
          <w:rFonts w:hint="eastAsia"/>
          <w:sz w:val="24"/>
          <w:highlight w:val="none"/>
          <w:u w:val="single"/>
        </w:rPr>
        <w:t xml:space="preserve">（企业名称）</w:t>
      </w:r>
      <w:r>
        <w:rPr>
          <w:rFonts w:hint="eastAsia"/>
          <w:sz w:val="24"/>
          <w:highlight w:val="none"/>
        </w:rPr>
        <w:t xml:space="preserve">，从业人员 </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sz w:val="24"/>
          <w:highlight w:val="none"/>
          <w:u w:val="single"/>
        </w:rPr>
        <w:t xml:space="preserve">（</w:t>
      </w:r>
      <w:r>
        <w:rPr>
          <w:rFonts w:hint="eastAsia" w:eastAsia="宋体"/>
          <w:sz w:val="24"/>
          <w:highlight w:val="none"/>
          <w:u w:val="single"/>
          <w:lang w:val="en-US" w:eastAsia="zh-CN"/>
        </w:rPr>
        <w:t xml:space="preserve">中</w:t>
      </w:r>
      <w:r>
        <w:rPr>
          <w:rFonts w:hint="eastAsia"/>
          <w:sz w:val="24"/>
          <w:highlight w:val="none"/>
          <w:u w:val="single"/>
        </w:rPr>
        <w:t xml:space="preserve">型企业、小型企业、微型企业）</w:t>
      </w:r>
      <w:r>
        <w:rPr>
          <w:rFonts w:hint="eastAsia"/>
          <w:sz w:val="24"/>
          <w:highlight w:val="none"/>
        </w:rPr>
        <w:t xml:space="preserve">；</w:t>
      </w:r>
      <w:r/>
    </w:p>
    <w:p>
      <w:pPr>
        <w:ind w:firstLine="480"/>
        <w:spacing w:line="500" w:lineRule="exact"/>
        <w:rPr>
          <w:rFonts w:hint="eastAsia"/>
          <w:sz w:val="24"/>
          <w:highlight w:val="none"/>
        </w:rPr>
      </w:pPr>
      <w:r>
        <w:rPr>
          <w:rFonts w:hint="eastAsia"/>
          <w:sz w:val="24"/>
          <w:highlight w:val="none"/>
        </w:rPr>
        <w:t xml:space="preserve">2.</w:t>
      </w:r>
      <w:r>
        <w:rPr>
          <w:rFonts w:hint="eastAsia"/>
          <w:sz w:val="24"/>
          <w:highlight w:val="none"/>
          <w:u w:val="single"/>
        </w:rPr>
        <w:t xml:space="preserve">（标的名称）</w:t>
      </w:r>
      <w:r>
        <w:rPr>
          <w:rFonts w:hint="eastAsia"/>
          <w:sz w:val="24"/>
          <w:highlight w:val="none"/>
        </w:rPr>
        <w:t xml:space="preserve">，属于</w:t>
      </w:r>
      <w:r>
        <w:rPr>
          <w:rFonts w:hint="eastAsia"/>
          <w:sz w:val="24"/>
          <w:highlight w:val="none"/>
          <w:u w:val="single"/>
        </w:rPr>
        <w:t xml:space="preserve">       </w:t>
      </w:r>
      <w:r>
        <w:rPr>
          <w:rFonts w:hint="eastAsia"/>
          <w:sz w:val="24"/>
          <w:highlight w:val="none"/>
        </w:rPr>
        <w:t xml:space="preserve">行业；制造商为</w:t>
      </w:r>
      <w:r>
        <w:rPr>
          <w:rFonts w:hint="eastAsia"/>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sz w:val="24"/>
          <w:highlight w:val="none"/>
          <w:u w:val="single"/>
        </w:rPr>
        <w:t xml:space="preserve">（</w:t>
      </w:r>
      <w:r>
        <w:rPr>
          <w:rFonts w:hint="eastAsia" w:eastAsia="宋体"/>
          <w:sz w:val="24"/>
          <w:highlight w:val="none"/>
          <w:u w:val="single"/>
          <w:lang w:val="en-US" w:eastAsia="zh-CN"/>
        </w:rPr>
        <w:t xml:space="preserve">中</w:t>
      </w:r>
      <w:r>
        <w:rPr>
          <w:rFonts w:hint="eastAsia"/>
          <w:sz w:val="24"/>
          <w:highlight w:val="none"/>
          <w:u w:val="single"/>
        </w:rPr>
        <w:t xml:space="preserve">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ind w:firstLine="480"/>
        <w:spacing w:line="500" w:lineRule="exact"/>
        <w:rPr>
          <w:sz w:val="24"/>
          <w:highlight w:val="none"/>
        </w:rPr>
      </w:pPr>
      <w:r>
        <w:rPr>
          <w:rFonts w:hint="eastAsia"/>
          <w:sz w:val="24"/>
          <w:highlight w:val="none"/>
        </w:rPr>
        <w:t xml:space="preserve"> </w:t>
      </w:r>
      <w:r/>
    </w:p>
    <w:p>
      <w:pPr>
        <w:ind w:firstLine="480"/>
        <w:jc w:val="right"/>
        <w:spacing w:line="500" w:lineRule="exact"/>
        <w:rPr>
          <w:sz w:val="24"/>
          <w:highlight w:val="none"/>
        </w:rPr>
      </w:pPr>
      <w:r>
        <w:rPr>
          <w:rFonts w:hint="eastAsia"/>
          <w:sz w:val="24"/>
          <w:highlight w:val="none"/>
        </w:rPr>
        <w:t xml:space="preserve">企业名称（加盖CA电子公章）：        </w:t>
      </w:r>
      <w:r/>
    </w:p>
    <w:p>
      <w:pPr>
        <w:ind w:firstLine="480"/>
        <w:jc w:val="center"/>
        <w:spacing w:line="500" w:lineRule="exact"/>
        <w:rPr>
          <w:sz w:val="24"/>
          <w:highlight w:val="none"/>
        </w:rPr>
      </w:pPr>
      <w:r>
        <w:rPr>
          <w:rFonts w:hint="eastAsia" w:eastAsia="宋体"/>
          <w:sz w:val="24"/>
          <w:highlight w:val="none"/>
          <w:lang w:val="en-US" w:eastAsia="zh-CN"/>
        </w:rPr>
        <w:t xml:space="preserve">                </w:t>
      </w:r>
      <w:r>
        <w:rPr>
          <w:rFonts w:hint="eastAsia"/>
          <w:sz w:val="24"/>
          <w:highlight w:val="none"/>
        </w:rPr>
        <w:t xml:space="preserve">日  期：        </w:t>
      </w:r>
      <w:r/>
    </w:p>
    <w:p>
      <w:pPr>
        <w:ind w:firstLine="480"/>
        <w:spacing w:line="500" w:lineRule="exact"/>
        <w:rPr>
          <w:sz w:val="24"/>
          <w:highlight w:val="none"/>
        </w:rPr>
      </w:pPr>
      <w:r>
        <w:rPr>
          <w:rFonts w:hint="eastAsia"/>
          <w:sz w:val="24"/>
          <w:highlight w:val="none"/>
        </w:rPr>
        <w:t xml:space="preserve"> </w:t>
      </w:r>
      <w:r/>
    </w:p>
    <w:p>
      <w:pPr>
        <w:ind w:firstLine="480"/>
        <w:spacing w:line="500" w:lineRule="exact"/>
        <w:rPr>
          <w:sz w:val="24"/>
          <w:highlight w:val="none"/>
        </w:rPr>
      </w:pPr>
      <w:r>
        <w:rPr>
          <w:rFonts w:hint="eastAsia"/>
          <w:sz w:val="24"/>
          <w:highlight w:val="none"/>
        </w:rPr>
        <w:t xml:space="preserve">备注1：从业人员、营业收入、资产总额填报上一年度数据，无上一年度数据的新成立企业可不填报。</w:t>
      </w:r>
      <w:r/>
    </w:p>
    <w:p>
      <w:pPr>
        <w:ind w:firstLine="480"/>
        <w:spacing w:line="500" w:lineRule="exact"/>
        <w:rPr>
          <w:rFonts w:cs="黑体"/>
          <w:i/>
          <w:sz w:val="32"/>
          <w:szCs w:val="32"/>
          <w:highlight w:val="none"/>
          <w:u w:val="single"/>
        </w:rPr>
      </w:pPr>
      <w:r>
        <w:rPr>
          <w:rFonts w:hint="eastAsia"/>
          <w:sz w:val="24"/>
          <w:highlight w:val="none"/>
        </w:rPr>
        <w:t xml:space="preserve">备注2：供应商如不提供此声明函，价格将不做相应扣除（如项目全面面向中小企业，则资格审查不通过）。</w:t>
      </w:r>
      <w:r/>
    </w:p>
    <w:p>
      <w:pPr>
        <w:pStyle w:val="856"/>
        <w:ind w:firstLine="204"/>
        <w:pageBreakBefore w:val="0"/>
        <w:rPr>
          <w:rFonts w:hint="eastAsia" w:ascii="宋体" w:hAnsi="宋体" w:cs="宋体"/>
          <w:bCs/>
          <w:color w:val="auto"/>
          <w:highlight w:val="none"/>
        </w:rPr>
      </w:pPr>
      <w:r>
        <w:rPr>
          <w:rFonts w:hint="eastAsia" w:ascii="宋体" w:hAnsi="宋体" w:cs="宋体"/>
          <w:bCs/>
          <w:color w:val="auto"/>
          <w:highlight w:val="none"/>
        </w:rPr>
      </w:r>
      <w:r/>
    </w:p>
    <w:p>
      <w:pPr>
        <w:contextualSpacing/>
        <w:ind w:left="0" w:firstLine="0"/>
        <w:jc w:val="center"/>
        <w:spacing w:line="360" w:lineRule="auto"/>
        <w:widowControl w:val="off"/>
        <w:rPr>
          <w:rFonts w:hint="eastAsia" w:ascii="黑体" w:hAnsi="黑体" w:eastAsia="黑体" w:cs="黑体"/>
          <w:i/>
          <w:color w:val="000000"/>
          <w:sz w:val="32"/>
          <w:szCs w:val="32"/>
          <w:highlight w:val="none"/>
          <w:u w:val="single"/>
          <w:lang w:val="en-US" w:eastAsia="zh-CN" w:bidi="ar-SA"/>
        </w:rPr>
      </w:pPr>
      <w:r>
        <w:rPr>
          <w:rFonts w:hint="eastAsia" w:ascii="黑体" w:hAnsi="黑体" w:eastAsia="黑体" w:cs="黑体"/>
          <w:i/>
          <w:color w:val="000000"/>
          <w:sz w:val="32"/>
          <w:szCs w:val="32"/>
          <w:highlight w:val="none"/>
          <w:u w:val="single"/>
          <w:lang w:val="en-US" w:eastAsia="zh-CN" w:bidi="ar-SA"/>
        </w:rPr>
      </w:r>
      <w:r/>
    </w:p>
    <w:p>
      <w:pPr>
        <w:ind w:firstLine="560"/>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中小企业声明函（工程、服务）</w:t>
      </w:r>
      <w:r/>
    </w:p>
    <w:p>
      <w:pPr>
        <w:contextualSpacing/>
        <w:spacing w:line="400" w:lineRule="exact"/>
        <w:rPr>
          <w:rFonts w:hint="eastAsia" w:ascii="仿宋" w:hAnsi="仿宋"/>
          <w:b/>
          <w:bCs/>
          <w:szCs w:val="21"/>
          <w:highlight w:val="none"/>
        </w:rPr>
      </w:pPr>
      <w:r>
        <w:rPr>
          <w:rFonts w:hint="eastAsia" w:ascii="仿宋" w:hAnsi="仿宋"/>
          <w:b/>
          <w:bCs/>
          <w:szCs w:val="21"/>
          <w:highlight w:val="none"/>
        </w:rPr>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本公司（联合体）郑重声明，根据《政府采购促进中小企业发展管理办法》（财库﹝2020﹞46 号）的规定，本公司（联合体）参加 </w:t>
      </w:r>
      <w:r>
        <w:rPr>
          <w:rFonts w:hint="eastAsia" w:ascii="Times New Roman" w:hAnsi="Times New Roman" w:eastAsia="宋体" w:cs="Times New Roman"/>
          <w:sz w:val="24"/>
          <w:highlight w:val="none"/>
          <w:u w:val="single"/>
        </w:rPr>
        <w:t xml:space="preserve">盐城市妇联实验幼儿园 </w:t>
      </w:r>
      <w:r>
        <w:rPr>
          <w:rFonts w:hint="eastAsia" w:ascii="Times New Roman" w:hAnsi="Times New Roman" w:eastAsia="宋体" w:cs="Times New Roman"/>
          <w:sz w:val="24"/>
          <w:highlight w:val="none"/>
        </w:rPr>
        <w:t xml:space="preserve">（单位名称）</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采购编号为</w:t>
      </w:r>
      <w:r>
        <w:rPr>
          <w:rFonts w:hint="eastAsia" w:ascii="Times New Roman" w:hAnsi="Times New Roman" w:eastAsia="宋体" w:cs="Times New Roman"/>
          <w:sz w:val="24"/>
          <w:highlight w:val="none"/>
          <w:u w:val="single"/>
          <w:lang w:eastAsia="zh-CN"/>
        </w:rPr>
        <w:t xml:space="preserve">JSZC-320902-YPGS-G2024-0001</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u w:val="single"/>
          <w:lang w:eastAsia="zh-CN"/>
        </w:rPr>
        <w:t xml:space="preserve">亭湖区智慧托育应用管理平台建设项目</w:t>
      </w:r>
      <w:r>
        <w:rPr>
          <w:rFonts w:hint="eastAsia" w:ascii="Times New Roman" w:hAnsi="Times New Roman" w:eastAsia="宋体" w:cs="Times New Roman"/>
          <w:sz w:val="24"/>
          <w:highlight w:val="none"/>
        </w:rPr>
        <w:t xml:space="preserve">的采购活动，工程的施工单位全部为符合政策要求的中小企业（或者：服务全部由符合政策要求的中小企业承接）。相关企业（含联合体中的中小企业、签订分包意向协议的中小企业）的具体情况如下：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（标的名称） ，属于</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（采购文件中明确的所属行业）行业；承建（承接）企业为</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（企业名称），从业人员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 人，营业收入为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万元，资产总额为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万元，属于</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（中型企业、小型企业、微型企业）；</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（标的名称） ，属于</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（采购文件中明确的所属行业）行业；承建（承接）企业为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（企业名称），从业人员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人，营业收入为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万元，资产总额为 </w:t>
      </w:r>
      <w:r>
        <w:rPr>
          <w:rFonts w:hint="eastAsia" w:ascii="Times New Roman" w:hAnsi="Times New Roman" w:eastAsia="宋体" w:cs="Times New Roman"/>
          <w:sz w:val="24"/>
          <w:highlight w:val="none"/>
          <w:u w:val="single"/>
        </w:rPr>
        <w:t xml:space="preserve">         万</w:t>
      </w:r>
      <w:r>
        <w:rPr>
          <w:rFonts w:hint="eastAsia" w:ascii="Times New Roman" w:hAnsi="Times New Roman" w:eastAsia="宋体" w:cs="Times New Roman"/>
          <w:sz w:val="24"/>
          <w:highlight w:val="none"/>
        </w:rPr>
        <w:t xml:space="preserve">元，属 </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（中型企业、小型企业、微型企业）；</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本企业对上述声明内容的真实性负责。如有虚假，将依法承担相应责任。</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ind w:firstLine="2702"/>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企业名称（加盖CA电子公章）：        </w:t>
      </w:r>
      <w:r/>
    </w:p>
    <w:p>
      <w:pPr>
        <w:ind w:firstLine="480"/>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日  期：        </w:t>
      </w:r>
      <w:r/>
    </w:p>
    <w:p>
      <w:pPr>
        <w:ind w:firstLine="480"/>
        <w:spacing w:line="500" w:lineRule="exact"/>
        <w:rPr>
          <w:sz w:val="24"/>
          <w:highlight w:val="none"/>
        </w:rPr>
      </w:pPr>
      <w:r>
        <w:rPr>
          <w:rFonts w:hint="eastAsia"/>
          <w:sz w:val="24"/>
          <w:highlight w:val="none"/>
        </w:rPr>
        <w:t xml:space="preserve">备注1：从业人员、营业收入、资产总额填报上一年度数据，无上一年度数据的新成立企业可不填报。</w:t>
      </w:r>
      <w:r/>
    </w:p>
    <w:p>
      <w:pPr>
        <w:ind w:firstLine="480"/>
        <w:spacing w:line="500" w:lineRule="exact"/>
        <w:rPr>
          <w:rFonts w:cs="黑体"/>
          <w:i/>
          <w:sz w:val="32"/>
          <w:szCs w:val="32"/>
          <w:highlight w:val="none"/>
          <w:u w:val="single"/>
        </w:rPr>
      </w:pPr>
      <w:r>
        <w:rPr>
          <w:rFonts w:hint="eastAsia"/>
          <w:sz w:val="24"/>
          <w:highlight w:val="none"/>
        </w:rPr>
        <w:t xml:space="preserve">备注2：供应商如不提供此声明函，价格将不做相应扣除（如项目全面面向中小企业，则资格审查不通过）。</w:t>
      </w:r>
      <w:r/>
    </w:p>
    <w:p>
      <w:pPr>
        <w:contextualSpacing/>
        <w:ind w:left="0" w:firstLine="0"/>
        <w:jc w:val="center"/>
        <w:spacing w:line="360" w:lineRule="auto"/>
        <w:widowControl w:val="off"/>
        <w:rPr>
          <w:rFonts w:hint="eastAsia" w:ascii="黑体" w:hAnsi="黑体" w:eastAsia="黑体" w:cs="黑体"/>
          <w:i/>
          <w:color w:val="000000"/>
          <w:sz w:val="32"/>
          <w:szCs w:val="32"/>
          <w:highlight w:val="none"/>
          <w:u w:val="single"/>
          <w:lang w:val="en-US" w:eastAsia="zh-CN" w:bidi="ar-SA"/>
        </w:rPr>
      </w:pPr>
      <w:r>
        <w:rPr>
          <w:rFonts w:hint="eastAsia" w:ascii="黑体" w:hAnsi="黑体" w:eastAsia="黑体" w:cs="黑体"/>
          <w:i/>
          <w:color w:val="000000"/>
          <w:sz w:val="32"/>
          <w:szCs w:val="32"/>
          <w:highlight w:val="none"/>
          <w:u w:val="single"/>
          <w:lang w:val="en-US" w:eastAsia="zh-CN" w:bidi="ar-SA"/>
        </w:rPr>
      </w:r>
      <w:r/>
    </w:p>
    <w:p>
      <w:pPr>
        <w:contextualSpacing/>
        <w:ind w:left="0" w:firstLine="0"/>
        <w:jc w:val="center"/>
        <w:spacing w:line="360" w:lineRule="auto"/>
        <w:widowControl w:val="off"/>
        <w:rPr>
          <w:rFonts w:hint="default" w:ascii="黑体" w:hAnsi="黑体" w:eastAsia="黑体" w:cs="黑体"/>
          <w:i/>
          <w:color w:val="000000"/>
          <w:sz w:val="32"/>
          <w:szCs w:val="32"/>
          <w:highlight w:val="none"/>
          <w:u w:val="single"/>
          <w:lang w:val="en-US" w:eastAsia="zh-CN" w:bidi="ar-SA"/>
        </w:rPr>
      </w:pPr>
      <w:r>
        <w:rPr>
          <w:rFonts w:hint="eastAsia" w:ascii="黑体" w:hAnsi="黑体" w:eastAsia="黑体" w:cs="黑体"/>
          <w:i/>
          <w:color w:val="000000"/>
          <w:sz w:val="32"/>
          <w:szCs w:val="32"/>
          <w:highlight w:val="none"/>
          <w:u w:val="single"/>
          <w:lang w:val="en-US" w:eastAsia="zh-CN" w:bidi="ar-SA"/>
        </w:rPr>
        <w:t xml:space="preserve">十、残疾人福利性单位声明函</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0"/>
          <w:highlight w:val="none"/>
          <w:u w:val="single"/>
          <w:lang w:eastAsia="zh-CN"/>
        </w:rPr>
        <w:t xml:space="preserve">盐城市妇联实验幼儿园</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000000"/>
          <w:sz w:val="24"/>
          <w:szCs w:val="24"/>
          <w:highlight w:val="none"/>
          <w:u w:val="single"/>
          <w:lang w:eastAsia="zh-CN"/>
        </w:rPr>
        <w:t xml:space="preserve">JSZC-320902-YPGS-G2024-0001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亭湖区智慧托育应用管理平台建设项目</w:t>
      </w:r>
      <w:r>
        <w:rPr>
          <w:rFonts w:hint="eastAsia" w:ascii="宋体" w:hAnsi="宋体" w:eastAsia="宋体" w:cs="宋体"/>
          <w:color w:val="000000"/>
          <w:sz w:val="24"/>
          <w:szCs w:val="24"/>
          <w:highlight w:val="none"/>
        </w:rPr>
        <w:t xml:space="preserve">采购活动由本单位提供服务。</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备注：1、供应商如不提供此声明函，价格将不做相应扣除</w:t>
      </w:r>
      <w:r>
        <w:rPr>
          <w:rFonts w:hint="eastAsia" w:ascii="宋体" w:hAnsi="宋体" w:eastAsia="宋体" w:cs="宋体"/>
          <w:color w:val="000000"/>
          <w:sz w:val="24"/>
          <w:szCs w:val="21"/>
          <w:highlight w:val="none"/>
        </w:rPr>
        <w:t xml:space="preserve">（如项目全面面向中小企业，则资格审查不通过）</w:t>
      </w:r>
      <w:r>
        <w:rPr>
          <w:rFonts w:hint="eastAsia" w:ascii="宋体" w:hAnsi="宋体" w:eastAsia="宋体" w:cs="宋体"/>
          <w:color w:val="000000"/>
          <w:sz w:val="24"/>
          <w:szCs w:val="24"/>
          <w:highlight w:val="none"/>
        </w:rPr>
        <w:t xml:space="preserve">。2、中标人为残疾人福利单位的，此声明函将随中标结果同时公告，接受社会监督</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企业名称（加盖CA电子公章）：</w:t>
      </w:r>
      <w:r/>
    </w:p>
    <w:p>
      <w:pPr>
        <w:ind w:firstLine="7200"/>
        <w:jc w:val="left"/>
        <w:spacing w:line="360" w:lineRule="auto"/>
        <w:rPr>
          <w:rFonts w:hint="eastAsia" w:ascii="宋体" w:hAnsi="宋体" w:eastAsia="宋体" w:cs="宋体"/>
          <w:color w:val="000000"/>
          <w:sz w:val="24"/>
          <w:szCs w:val="24"/>
          <w:highlight w:val="none"/>
        </w:rPr>
        <w:sectPr>
          <w:footnotePr/>
          <w:endnotePr/>
          <w:type w:val="nextPage"/>
          <w:pgSz w:w="11905" w:h="16838" w:orient="portrait"/>
          <w:pgMar w:top="1440" w:right="1803" w:bottom="1440" w:left="1803" w:header="624" w:footer="992" w:gutter="0"/>
          <w:cols w:num="1" w:sep="0" w:space="0" w:equalWidth="1"/>
          <w:docGrid w:linePitch="360"/>
        </w:sectPr>
      </w:pPr>
      <w:r>
        <w:rPr>
          <w:rFonts w:hint="eastAsia" w:ascii="宋体" w:hAnsi="宋体" w:eastAsia="宋体" w:cs="宋体"/>
          <w:color w:val="000000"/>
          <w:sz w:val="24"/>
          <w:szCs w:val="24"/>
          <w:highlight w:val="none"/>
        </w:rPr>
        <w:t xml:space="preserve"> 日  期：</w:t>
      </w:r>
      <w:r/>
    </w:p>
    <w:p>
      <w:pPr>
        <w:jc w:val="center"/>
        <w:rPr>
          <w:rFonts w:hint="default" w:ascii="宋体" w:hAnsi="宋体" w:eastAsia="宋体" w:cs="宋体"/>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十一、投标分项报价表</w:t>
      </w:r>
      <w:r/>
    </w:p>
    <w:tbl>
      <w:tblPr>
        <w:tblStyle w:val="662"/>
        <w:tblW w:w="1418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19"/>
        <w:gridCol w:w="11"/>
        <w:gridCol w:w="914"/>
        <w:gridCol w:w="990"/>
        <w:gridCol w:w="1605"/>
        <w:gridCol w:w="1576"/>
        <w:gridCol w:w="1260"/>
        <w:gridCol w:w="1368"/>
        <w:gridCol w:w="1767"/>
        <w:gridCol w:w="2249"/>
      </w:tblGrid>
      <w:tr>
        <w:trPr>
          <w:trHeight w:val="718"/>
        </w:trPr>
        <w:tc>
          <w:tcPr>
            <w:tcW w:w="82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gridSpan w:val="2"/>
            <w:tcW w:w="1630"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货品</w:t>
            </w:r>
            <w:r>
              <w:rPr>
                <w:rFonts w:hint="eastAsia" w:ascii="宋体" w:hAnsi="宋体" w:eastAsia="宋体" w:cs="宋体"/>
                <w:sz w:val="22"/>
                <w:szCs w:val="22"/>
                <w:highlight w:val="none"/>
              </w:rPr>
              <w:t xml:space="preserve">名称</w:t>
            </w:r>
            <w:r/>
          </w:p>
        </w:tc>
        <w:tc>
          <w:tcPr>
            <w:tcW w:w="91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单位</w:t>
            </w:r>
            <w:r/>
          </w:p>
        </w:tc>
        <w:tc>
          <w:tcPr>
            <w:tcW w:w="990" w:type="dxa"/>
            <w:vAlign w:val="center"/>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数量</w:t>
            </w:r>
            <w:r/>
          </w:p>
        </w:tc>
        <w:tc>
          <w:tcPr>
            <w:tcW w:w="1605"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全费用综合单价（元）</w:t>
            </w:r>
            <w:r/>
          </w:p>
        </w:tc>
        <w:tc>
          <w:tcPr>
            <w:tcW w:w="157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合价（元）</w:t>
            </w:r>
            <w:r/>
          </w:p>
        </w:tc>
        <w:tc>
          <w:tcPr>
            <w:tcW w:w="1260" w:type="dxa"/>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投标品牌</w:t>
            </w:r>
            <w:r/>
          </w:p>
        </w:tc>
        <w:tc>
          <w:tcPr>
            <w:tcW w:w="1368" w:type="dxa"/>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规格型号</w:t>
            </w:r>
            <w:r/>
          </w:p>
        </w:tc>
        <w:tc>
          <w:tcPr>
            <w:tcW w:w="1767" w:type="dxa"/>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产地</w:t>
            </w:r>
            <w:r/>
          </w:p>
        </w:tc>
        <w:tc>
          <w:tcPr>
            <w:tcW w:w="2249" w:type="dxa"/>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备注</w:t>
            </w:r>
            <w:r/>
          </w:p>
        </w:tc>
      </w:tr>
      <w:tr>
        <w:trPr>
          <w:trHeight w:val="379"/>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2"/>
            <w:tcW w:w="163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r>
            <w:r/>
          </w:p>
        </w:tc>
        <w:tc>
          <w:tcPr>
            <w:tcW w:w="914"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c>
          <w:tcPr>
            <w:tcW w:w="99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rPr>
              <w:suppressLineNumbers w:val="0"/>
            </w:pPr>
            <w:r>
              <w:rPr>
                <w:rFonts w:hint="eastAsia" w:ascii="宋体" w:hAnsi="宋体" w:eastAsia="宋体" w:cs="宋体"/>
                <w:sz w:val="22"/>
                <w:szCs w:val="22"/>
                <w:highlight w:val="none"/>
                <w:lang w:val="en-US"/>
              </w:rPr>
            </w:r>
            <w:r/>
          </w:p>
        </w:tc>
        <w:tc>
          <w:tcPr>
            <w:tcW w:w="1605"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7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60"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368"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67"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249" w:type="dxa"/>
            <w:vAlign w:val="center"/>
            <w:textDirection w:val="lrTb"/>
            <w:noWrap w:val="false"/>
          </w:tcPr>
          <w:p>
            <w:pPr>
              <w:jc w:val="center"/>
              <w:widowControl/>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r>
            <w:r/>
          </w:p>
        </w:tc>
      </w:tr>
      <w:tr>
        <w:trPr>
          <w:trHeight w:val="333"/>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2"/>
            <w:tcW w:w="163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r>
            <w:r/>
          </w:p>
        </w:tc>
        <w:tc>
          <w:tcPr>
            <w:tcW w:w="914"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c>
          <w:tcPr>
            <w:tcW w:w="99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rPr>
              <w:suppressLineNumbers w:val="0"/>
            </w:pPr>
            <w:r>
              <w:rPr>
                <w:rFonts w:hint="eastAsia" w:ascii="宋体" w:hAnsi="宋体" w:eastAsia="宋体" w:cs="宋体"/>
                <w:sz w:val="22"/>
                <w:szCs w:val="22"/>
                <w:highlight w:val="none"/>
                <w:lang w:val="en-US"/>
              </w:rPr>
            </w:r>
            <w:r/>
          </w:p>
        </w:tc>
        <w:tc>
          <w:tcPr>
            <w:tcW w:w="1605"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7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60"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368"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67"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249" w:type="dxa"/>
            <w:vAlign w:val="center"/>
            <w:textDirection w:val="lrTb"/>
            <w:noWrap w:val="false"/>
          </w:tcPr>
          <w:p>
            <w:pPr>
              <w:jc w:val="center"/>
              <w:widowControl/>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r>
            <w:r/>
          </w:p>
        </w:tc>
      </w:tr>
      <w:tr>
        <w:trPr>
          <w:trHeight w:val="446"/>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2"/>
            <w:tcW w:w="163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r>
            <w:r/>
          </w:p>
        </w:tc>
        <w:tc>
          <w:tcPr>
            <w:tcW w:w="914"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c>
          <w:tcPr>
            <w:tcW w:w="99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rPr>
              <w:suppressLineNumbers w:val="0"/>
            </w:pPr>
            <w:r>
              <w:rPr>
                <w:rFonts w:hint="eastAsia" w:ascii="宋体" w:hAnsi="宋体" w:eastAsia="宋体" w:cs="宋体"/>
                <w:sz w:val="22"/>
                <w:szCs w:val="22"/>
                <w:highlight w:val="none"/>
                <w:lang w:val="en-US"/>
              </w:rPr>
            </w:r>
            <w:r/>
          </w:p>
        </w:tc>
        <w:tc>
          <w:tcPr>
            <w:tcW w:w="1605"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7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60"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368"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67"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249" w:type="dxa"/>
            <w:vAlign w:val="center"/>
            <w:textDirection w:val="lrTb"/>
            <w:noWrap w:val="false"/>
          </w:tcPr>
          <w:p>
            <w:pPr>
              <w:jc w:val="center"/>
              <w:widowControl/>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r>
            <w:r/>
          </w:p>
        </w:tc>
      </w:tr>
      <w:tr>
        <w:trPr>
          <w:trHeight w:val="389"/>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2"/>
            <w:tcW w:w="163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r>
            <w:r/>
          </w:p>
        </w:tc>
        <w:tc>
          <w:tcPr>
            <w:tcW w:w="914"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c>
          <w:tcPr>
            <w:tcW w:w="99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rPr>
              <w:suppressLineNumbers w:val="0"/>
            </w:pPr>
            <w:r>
              <w:rPr>
                <w:rFonts w:hint="eastAsia" w:ascii="宋体" w:hAnsi="宋体" w:eastAsia="宋体" w:cs="宋体"/>
                <w:sz w:val="22"/>
                <w:szCs w:val="22"/>
                <w:highlight w:val="none"/>
                <w:lang w:val="en-US"/>
              </w:rPr>
            </w:r>
            <w:r/>
          </w:p>
        </w:tc>
        <w:tc>
          <w:tcPr>
            <w:tcW w:w="1605"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7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60"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368"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67"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249" w:type="dxa"/>
            <w:vAlign w:val="center"/>
            <w:textDirection w:val="lrTb"/>
            <w:noWrap w:val="false"/>
          </w:tcPr>
          <w:p>
            <w:pPr>
              <w:jc w:val="center"/>
              <w:widowControl/>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r>
            <w:r/>
          </w:p>
        </w:tc>
      </w:tr>
      <w:tr>
        <w:trPr>
          <w:trHeight w:val="331"/>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gridSpan w:val="2"/>
            <w:tcW w:w="1630"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清单设计编制费</w:t>
            </w:r>
            <w:r/>
          </w:p>
        </w:tc>
        <w:tc>
          <w:tcPr>
            <w:tcW w:w="914"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项</w:t>
            </w:r>
            <w:r/>
          </w:p>
        </w:tc>
        <w:tc>
          <w:tcPr>
            <w:tcW w:w="990"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1605"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29500</w:t>
            </w:r>
            <w:r/>
          </w:p>
        </w:tc>
        <w:tc>
          <w:tcPr>
            <w:tcW w:w="1576"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29500</w:t>
            </w:r>
            <w:r/>
          </w:p>
        </w:tc>
        <w:tc>
          <w:tcPr>
            <w:tcW w:w="1260"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tcW w:w="1368"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tcW w:w="1767"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tcW w:w="2249" w:type="dxa"/>
            <w:vAlign w:val="center"/>
            <w:textDirection w:val="lrTb"/>
            <w:noWrap w:val="false"/>
          </w:tcPr>
          <w:p>
            <w:pPr>
              <w:jc w:val="center"/>
              <w:widowControl/>
              <w:rPr>
                <w:rFonts w:hint="eastAsia" w:ascii="宋体" w:hAnsi="宋体" w:eastAsia="宋体" w:cs="宋体"/>
                <w:sz w:val="28"/>
                <w:szCs w:val="22"/>
                <w:highlight w:val="none"/>
                <w:lang w:val="en-US" w:eastAsia="zh-CN"/>
              </w:rPr>
            </w:pPr>
            <w:r>
              <w:rPr>
                <w:rFonts w:hint="eastAsia" w:ascii="宋体" w:hAnsi="宋体" w:eastAsia="宋体" w:cs="宋体"/>
                <w:sz w:val="18"/>
                <w:szCs w:val="18"/>
                <w:highlight w:val="none"/>
                <w:lang w:val="en-US" w:eastAsia="zh-CN"/>
              </w:rPr>
              <w:t xml:space="preserve">此费用为不可竞争费。由中标单位支付前期设计公司</w:t>
            </w:r>
            <w:r/>
          </w:p>
        </w:tc>
      </w:tr>
      <w:tr>
        <w:trPr>
          <w:trHeight w:val="331"/>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gridSpan w:val="2"/>
            <w:tcW w:w="1630"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其它费用</w:t>
            </w:r>
            <w:r/>
          </w:p>
        </w:tc>
        <w:tc>
          <w:tcPr>
            <w:tcW w:w="914"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项</w:t>
            </w:r>
            <w:r/>
          </w:p>
        </w:tc>
        <w:tc>
          <w:tcPr>
            <w:tcW w:w="990"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1605"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10000</w:t>
            </w:r>
            <w:r/>
          </w:p>
        </w:tc>
        <w:tc>
          <w:tcPr>
            <w:tcW w:w="1576"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10000</w:t>
            </w:r>
            <w:r/>
          </w:p>
        </w:tc>
        <w:tc>
          <w:tcPr>
            <w:tcW w:w="1260"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tcW w:w="1368"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tcW w:w="1767" w:type="dxa"/>
            <w:vAlign w:val="center"/>
            <w:textDirection w:val="lrTb"/>
            <w:noWrap w:val="false"/>
          </w:tcPr>
          <w:p>
            <w:pPr>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tcW w:w="2249" w:type="dxa"/>
            <w:vAlign w:val="center"/>
            <w:textDirection w:val="lrTb"/>
            <w:noWrap w:val="false"/>
          </w:tcPr>
          <w:p>
            <w:pPr>
              <w:jc w:val="center"/>
              <w:widowControl/>
              <w:rPr>
                <w:rFonts w:hint="eastAsia" w:ascii="宋体" w:hAnsi="宋体" w:eastAsia="宋体" w:cs="宋体"/>
                <w:sz w:val="28"/>
                <w:szCs w:val="22"/>
                <w:highlight w:val="none"/>
                <w:lang w:val="en-US" w:eastAsia="zh-CN"/>
              </w:rPr>
            </w:pPr>
            <w:r>
              <w:rPr>
                <w:rFonts w:hint="eastAsia" w:ascii="宋体" w:hAnsi="宋体" w:eastAsia="宋体" w:cs="宋体"/>
                <w:sz w:val="18"/>
                <w:szCs w:val="18"/>
                <w:highlight w:val="none"/>
                <w:lang w:val="en-US" w:eastAsia="zh-CN"/>
              </w:rPr>
              <w:t xml:space="preserve">此费用为不可竞争费。后期按实计算。</w:t>
            </w:r>
            <w:r/>
          </w:p>
        </w:tc>
      </w:tr>
      <w:tr>
        <w:trPr>
          <w:trHeight w:val="319"/>
        </w:trPr>
        <w:tc>
          <w:tcPr>
            <w:tcW w:w="828" w:type="dxa"/>
            <w:vAlign w:val="center"/>
            <w:textDirection w:val="lrTb"/>
            <w:noWrap w:val="false"/>
          </w:tcPr>
          <w:p>
            <w:pPr>
              <w:jc w:val="center"/>
              <w:keepLines w:val="0"/>
              <w:keepNext w:val="0"/>
              <w:widowControl/>
              <w:rPr>
                <w:rFonts w:hint="eastAsia" w:ascii="宋体" w:hAnsi="宋体" w:eastAsia="宋体" w:cs="宋体"/>
                <w:bCs/>
                <w:sz w:val="22"/>
                <w:szCs w:val="22"/>
                <w:highlight w:val="none"/>
              </w:rPr>
              <w:suppressLineNumbers w:val="0"/>
            </w:pPr>
            <w:r>
              <w:rPr>
                <w:rFonts w:hint="eastAsia" w:ascii="宋体" w:hAnsi="宋体" w:eastAsia="宋体" w:cs="宋体"/>
                <w:color w:val="000000"/>
                <w:sz w:val="22"/>
                <w:szCs w:val="22"/>
                <w:highlight w:val="none"/>
              </w:rPr>
              <w:t xml:space="preserve">……</w:t>
            </w:r>
            <w:r/>
          </w:p>
        </w:tc>
        <w:tc>
          <w:tcPr>
            <w:gridSpan w:val="2"/>
            <w:tcW w:w="163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eastAsia="zh-CN"/>
              </w:rPr>
              <w:suppressLineNumbers w:val="0"/>
            </w:pPr>
            <w:r>
              <w:rPr>
                <w:rFonts w:hint="eastAsia" w:ascii="宋体" w:hAnsi="宋体" w:eastAsia="宋体" w:cs="宋体"/>
                <w:color w:val="000000"/>
                <w:sz w:val="22"/>
                <w:szCs w:val="22"/>
                <w:highlight w:val="none"/>
              </w:rPr>
              <w:t xml:space="preserve">……</w:t>
            </w:r>
            <w:r/>
          </w:p>
        </w:tc>
        <w:tc>
          <w:tcPr>
            <w:tcW w:w="914"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c>
          <w:tcPr>
            <w:tcW w:w="990" w:type="dxa"/>
            <w:vAlign w:val="center"/>
            <w:textDirection w:val="lrTb"/>
            <w:noWrap w:val="false"/>
          </w:tcPr>
          <w:p>
            <w:pPr>
              <w:jc w:val="center"/>
              <w:keepLines w:val="0"/>
              <w:keepNext w:val="0"/>
              <w:widowControl/>
              <w:rPr>
                <w:rFonts w:hint="eastAsia" w:ascii="宋体" w:hAnsi="宋体" w:eastAsia="宋体" w:cs="宋体"/>
                <w:sz w:val="22"/>
                <w:szCs w:val="22"/>
                <w:highlight w:val="none"/>
                <w:lang w:val="en-US"/>
              </w:rPr>
              <w:suppressLineNumbers w:val="0"/>
            </w:pPr>
            <w:r>
              <w:rPr>
                <w:rFonts w:hint="eastAsia" w:ascii="宋体" w:hAnsi="宋体" w:eastAsia="宋体" w:cs="宋体"/>
                <w:sz w:val="22"/>
                <w:szCs w:val="22"/>
                <w:highlight w:val="none"/>
                <w:lang w:val="en-US"/>
              </w:rPr>
            </w:r>
            <w:r/>
          </w:p>
        </w:tc>
        <w:tc>
          <w:tcPr>
            <w:tcW w:w="1605"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7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60"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368"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67"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249" w:type="dxa"/>
            <w:vAlign w:val="center"/>
            <w:textDirection w:val="lrTb"/>
            <w:noWrap w:val="false"/>
          </w:tcPr>
          <w:p>
            <w:pPr>
              <w:jc w:val="center"/>
              <w:widowControl/>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r>
            <w:r/>
          </w:p>
        </w:tc>
      </w:tr>
      <w:tr>
        <w:trPr>
          <w:trHeight w:val="535"/>
        </w:trPr>
        <w:tc>
          <w:tcPr>
            <w:gridSpan w:val="2"/>
            <w:tcW w:w="2447" w:type="dxa"/>
            <w:vAlign w:val="center"/>
            <w:textDirection w:val="lrTb"/>
            <w:noWrap w:val="false"/>
          </w:tcPr>
          <w:p>
            <w:pPr>
              <w:jc w:val="center"/>
              <w:widowControl/>
              <w:rPr>
                <w:rFonts w:hint="eastAsia" w:ascii="宋体" w:hAnsi="宋体" w:eastAsia="宋体" w:cs="宋体"/>
                <w:sz w:val="24"/>
                <w:szCs w:val="21"/>
                <w:highlight w:val="none"/>
              </w:rPr>
            </w:pPr>
            <w:r>
              <w:rPr>
                <w:rFonts w:hint="eastAsia" w:ascii="宋体" w:hAnsi="宋体" w:eastAsia="宋体" w:cs="宋体"/>
                <w:i w:val="0"/>
                <w:iCs w:val="0"/>
                <w:color w:val="000000"/>
                <w:sz w:val="22"/>
                <w:szCs w:val="22"/>
                <w:highlight w:val="none"/>
                <w:u w:val="none"/>
                <w:lang w:val="en-US" w:eastAsia="zh-CN" w:bidi="ar"/>
              </w:rPr>
              <w:t xml:space="preserve">合计：</w:t>
            </w:r>
            <w:r/>
          </w:p>
        </w:tc>
        <w:tc>
          <w:tcPr>
            <w:gridSpan w:val="9"/>
            <w:tcW w:w="11740" w:type="dxa"/>
            <w:vAlign w:val="center"/>
            <w:textDirection w:val="lrTb"/>
            <w:noWrap w:val="false"/>
          </w:tcPr>
          <w:p>
            <w:pPr>
              <w:jc w:val="left"/>
              <w:widowControl/>
              <w:rPr>
                <w:rFonts w:hint="eastAsia" w:ascii="宋体" w:hAnsi="宋体" w:eastAsia="宋体" w:cs="宋体"/>
                <w:sz w:val="22"/>
                <w:szCs w:val="20"/>
                <w:highlight w:val="none"/>
                <w:lang w:val="en-US" w:eastAsia="zh-CN"/>
              </w:rPr>
            </w:pPr>
            <w:r>
              <w:rPr>
                <w:rFonts w:hint="eastAsia" w:ascii="宋体" w:hAnsi="宋体" w:eastAsia="宋体" w:cs="宋体"/>
                <w:sz w:val="22"/>
                <w:szCs w:val="20"/>
                <w:highlight w:val="none"/>
              </w:rPr>
              <w:t xml:space="preserve">人民币（大写）</w:t>
            </w:r>
            <w:r>
              <w:rPr>
                <w:rFonts w:hint="eastAsia" w:ascii="宋体" w:hAnsi="宋体" w:eastAsia="宋体" w:cs="宋体"/>
                <w:sz w:val="22"/>
                <w:szCs w:val="20"/>
                <w:highlight w:val="none"/>
                <w:u w:val="single"/>
              </w:rPr>
              <w:t xml:space="preserve">           </w:t>
            </w:r>
            <w:r>
              <w:rPr>
                <w:rFonts w:hint="eastAsia" w:ascii="宋体" w:hAnsi="宋体" w:eastAsia="宋体" w:cs="宋体"/>
                <w:sz w:val="22"/>
                <w:szCs w:val="20"/>
                <w:highlight w:val="none"/>
              </w:rPr>
              <w:t xml:space="preserve">元整（¥</w:t>
            </w:r>
            <w:r>
              <w:rPr>
                <w:rFonts w:hint="eastAsia" w:ascii="宋体" w:hAnsi="宋体" w:eastAsia="宋体" w:cs="宋体"/>
                <w:sz w:val="22"/>
                <w:szCs w:val="20"/>
                <w:highlight w:val="none"/>
                <w:u w:val="single"/>
              </w:rPr>
              <w:t xml:space="preserve">        </w:t>
            </w:r>
            <w:r>
              <w:rPr>
                <w:rFonts w:hint="eastAsia" w:ascii="宋体" w:hAnsi="宋体" w:eastAsia="宋体" w:cs="宋体"/>
                <w:sz w:val="22"/>
                <w:szCs w:val="20"/>
                <w:highlight w:val="none"/>
              </w:rPr>
              <w:t xml:space="preserve">元）</w:t>
            </w:r>
            <w:r/>
          </w:p>
        </w:tc>
      </w:tr>
    </w:tbl>
    <w:p>
      <w:pPr>
        <w:pStyle w:val="864"/>
        <w:ind w:firstLine="480"/>
        <w:keepLines w:val="0"/>
        <w:keepNext w:val="0"/>
        <w:pageBreakBefore w:val="0"/>
        <w:spacing w:after="0"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本项目报价采用总承包方式，投标人的报价应包括（但不限于）设备费用（含全套设备、辅材、配件、备品备件、专用工具、技术资料等）、直接和间接成本费、劳务费、清洁费、包装费、采购费、生产费、运杂费（含运输费）、装卸费、保险费、保修费、管理费、配合费、安装费、调试费、检测费、技术（含操作、维护等）培训及售后服务费、</w:t>
      </w:r>
      <w:r>
        <w:rPr>
          <w:rFonts w:hint="eastAsia" w:ascii="宋体" w:hAnsi="宋体" w:eastAsia="宋体" w:cs="宋体"/>
          <w:bCs/>
          <w:sz w:val="22"/>
          <w:szCs w:val="22"/>
          <w:highlight w:val="none"/>
        </w:rPr>
        <w:t xml:space="preserve">招标</w:t>
      </w:r>
      <w:r>
        <w:rPr>
          <w:rFonts w:hint="eastAsia" w:ascii="宋体" w:hAnsi="宋体" w:cs="宋体"/>
          <w:bCs/>
          <w:sz w:val="22"/>
          <w:szCs w:val="22"/>
          <w:highlight w:val="none"/>
          <w:lang w:val="en-US" w:eastAsia="zh-CN"/>
        </w:rPr>
        <w:t xml:space="preserve">咨询</w:t>
      </w:r>
      <w:r>
        <w:rPr>
          <w:rFonts w:hint="eastAsia" w:ascii="宋体" w:hAnsi="宋体" w:eastAsia="宋体" w:cs="宋体"/>
          <w:bCs/>
          <w:sz w:val="22"/>
          <w:szCs w:val="22"/>
          <w:highlight w:val="none"/>
        </w:rPr>
        <w:t xml:space="preserve">服务费</w:t>
      </w: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评审费、</w:t>
      </w:r>
      <w:r>
        <w:rPr>
          <w:rFonts w:hint="eastAsia" w:ascii="宋体" w:hAnsi="宋体" w:eastAsia="宋体" w:cs="宋体"/>
          <w:sz w:val="22"/>
          <w:szCs w:val="22"/>
          <w:highlight w:val="none"/>
        </w:rPr>
        <w:t xml:space="preserve">税金、利润、风险费、成品保护费、不可预见费及其他一切相关费用等所需的全部费用，招标文件另有规定的除外。投标报价不得高于控制价。</w:t>
      </w:r>
      <w:r/>
    </w:p>
    <w:p>
      <w:pPr>
        <w:pStyle w:val="864"/>
        <w:numPr>
          <w:ilvl w:val="0"/>
          <w:numId w:val="8"/>
        </w:numPr>
        <w:ind w:left="0" w:firstLine="0"/>
        <w:keepLines w:val="0"/>
        <w:keepNext w:val="0"/>
        <w:pageBreakBefore w:val="0"/>
        <w:spacing w:after="0"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中标后经采购人确认后方可供货。</w:t>
      </w:r>
      <w:r/>
    </w:p>
    <w:p>
      <w:pPr>
        <w:ind w:left="560" w:firstLine="9240"/>
        <w:jc w:val="left"/>
        <w:keepLines w:val="0"/>
        <w:keepNext w:val="0"/>
        <w:pageBreakBefore w:val="0"/>
        <w:spacing w:before="0" w:after="0" w:line="440" w:lineRule="exact"/>
        <w:widowControl w:val="off"/>
        <w:rPr>
          <w:rFonts w:hint="eastAsia" w:ascii="宋体" w:hAnsi="宋体" w:eastAsia="宋体" w:cs="宋体"/>
          <w:sz w:val="22"/>
          <w:szCs w:val="20"/>
          <w:highlight w:val="none"/>
          <w:lang w:val="en-US" w:eastAsia="zh-CN" w:bidi="ar-SA"/>
        </w:rPr>
      </w:pPr>
      <w:r>
        <w:rPr>
          <w:rFonts w:hint="eastAsia" w:ascii="宋体" w:hAnsi="宋体" w:eastAsia="宋体" w:cs="宋体"/>
          <w:sz w:val="22"/>
          <w:szCs w:val="20"/>
          <w:highlight w:val="none"/>
          <w:lang w:val="en-US" w:eastAsia="zh-CN" w:bidi="ar-SA"/>
        </w:rPr>
        <w:t xml:space="preserve">投标人（公章）： </w:t>
      </w:r>
      <w:r/>
    </w:p>
    <w:p>
      <w:pPr>
        <w:ind w:firstLine="9768"/>
        <w:jc w:val="both"/>
        <w:keepLines w:val="0"/>
        <w:keepNext w:val="0"/>
        <w:pageBreakBefore w:val="0"/>
        <w:spacing w:line="440" w:lineRule="exact"/>
        <w:widowControl w:val="off"/>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法定代表人或授权代表（签字或盖章）：</w:t>
      </w:r>
      <w:r/>
    </w:p>
    <w:p>
      <w:pPr>
        <w:jc w:val="left"/>
        <w:spacing w:before="50" w:after="203"/>
        <w:rPr>
          <w:rFonts w:hint="eastAsia" w:ascii="宋体" w:hAnsi="宋体" w:eastAsia="宋体" w:cs="宋体"/>
          <w:b/>
          <w:sz w:val="28"/>
          <w:szCs w:val="28"/>
          <w:highlight w:val="none"/>
        </w:rPr>
      </w:pPr>
      <w:r>
        <w:rPr>
          <w:rFonts w:hint="eastAsia" w:ascii="宋体" w:hAnsi="宋体" w:eastAsia="宋体" w:cs="宋体"/>
          <w:sz w:val="22"/>
          <w:szCs w:val="21"/>
          <w:highlight w:val="none"/>
        </w:rPr>
        <w:t xml:space="preserve"> </w:t>
      </w:r>
      <w:r>
        <w:rPr>
          <w:rFonts w:hint="eastAsia" w:ascii="宋体" w:hAnsi="宋体" w:eastAsia="宋体" w:cs="宋体"/>
          <w:sz w:val="22"/>
          <w:szCs w:val="21"/>
          <w:highlight w:val="none"/>
          <w:lang w:val="en-US" w:eastAsia="zh-CN"/>
        </w:rPr>
        <w:t xml:space="preserve">                                                                                 </w:t>
      </w:r>
      <w:r>
        <w:rPr>
          <w:rFonts w:hint="eastAsia" w:ascii="宋体" w:hAnsi="宋体" w:eastAsia="宋体" w:cs="宋体"/>
          <w:sz w:val="22"/>
          <w:szCs w:val="21"/>
          <w:highlight w:val="none"/>
        </w:rPr>
        <w:t xml:space="preserve">日期：  </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年</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月</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日</w:t>
      </w:r>
      <w:r/>
    </w:p>
    <w:p>
      <w:pPr>
        <w:jc w:val="center"/>
        <w:tabs>
          <w:tab w:val="left" w:pos="2792" w:leader="none"/>
          <w:tab w:val="center" w:pos="4961" w:leader="none"/>
        </w:tabs>
        <w:rPr>
          <w:rFonts w:hint="eastAsia" w:ascii="宋体" w:hAnsi="宋体" w:eastAsia="宋体" w:cs="宋体"/>
          <w:b/>
          <w:sz w:val="32"/>
          <w:szCs w:val="32"/>
          <w:highlight w:val="none"/>
        </w:rPr>
        <w:sectPr>
          <w:footnotePr/>
          <w:endnotePr/>
          <w:type w:val="nextPage"/>
          <w:pgSz w:w="16838" w:h="11905" w:orient="landscape"/>
          <w:pgMar w:top="1803" w:right="1440" w:bottom="1803" w:left="1440" w:header="624" w:footer="992" w:gutter="0"/>
          <w:cols w:num="1" w:sep="0" w:space="0" w:equalWidth="1"/>
          <w:docGrid w:linePitch="360"/>
        </w:sectPr>
      </w:pPr>
      <w:r>
        <w:rPr>
          <w:rFonts w:hint="eastAsia" w:ascii="宋体" w:hAnsi="宋体" w:eastAsia="宋体" w:cs="宋体"/>
          <w:b/>
          <w:sz w:val="32"/>
          <w:szCs w:val="32"/>
          <w:highlight w:val="none"/>
        </w:rPr>
      </w:r>
      <w:r/>
    </w:p>
    <w:p>
      <w:pPr>
        <w:jc w:val="center"/>
        <w:tabs>
          <w:tab w:val="left" w:pos="2792" w:leader="none"/>
          <w:tab w:val="center" w:pos="4961" w:leader="none"/>
        </w:tabs>
        <w:rPr>
          <w:rFonts w:hint="eastAsia" w:ascii="宋体" w:hAnsi="宋体" w:eastAsia="宋体" w:cs="宋体"/>
          <w:b/>
          <w:sz w:val="32"/>
          <w:szCs w:val="32"/>
          <w:highlight w:val="none"/>
        </w:rPr>
        <w:sectPr>
          <w:footnotePr/>
          <w:endnotePr/>
          <w:type w:val="nextPage"/>
          <w:pgSz w:w="11905" w:h="16838" w:orient="portrait"/>
          <w:pgMar w:top="1440" w:right="1803" w:bottom="1440" w:left="1803" w:header="624" w:footer="992" w:gutter="0"/>
          <w:cols w:num="1" w:sep="0" w:space="0" w:equalWidth="1"/>
          <w:docGrid w:linePitch="360"/>
        </w:sectPr>
      </w:pPr>
      <w:r>
        <w:rPr>
          <w:rFonts w:hint="eastAsia" w:ascii="宋体" w:hAnsi="宋体" w:eastAsia="宋体" w:cs="宋体"/>
          <w:b/>
          <w:sz w:val="32"/>
          <w:szCs w:val="32"/>
          <w:highlight w:val="none"/>
        </w:rPr>
      </w:r>
      <w:r/>
    </w:p>
    <w:p>
      <w:pPr>
        <w:pStyle w:val="686"/>
        <w:jc w:val="center"/>
        <w:pageBreakBefore w:val="0"/>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bl>
    <w:p>
      <w:pPr>
        <w:pStyle w:val="686"/>
        <w:ind w:firstLine="204"/>
        <w:jc w:val="both"/>
        <w:pageBreakBefore w:val="0"/>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86"/>
        <w:ind w:firstLine="204"/>
        <w:jc w:val="center"/>
        <w:pageBreakBefore w:val="0"/>
        <w:spacing w:beforeAutospacing="0" w:afterAutospacing="0"/>
        <w:rPr>
          <w:color w:val="auto"/>
          <w:highlight w:val="none"/>
        </w:rPr>
      </w:pPr>
      <w:r>
        <w:rPr>
          <w:color w:val="auto"/>
          <w:highlight w:val="none"/>
        </w:rPr>
        <w:t xml:space="preserve"> </w:t>
      </w:r>
      <w:r/>
    </w:p>
    <w:p>
      <w:pPr>
        <w:pStyle w:val="686"/>
        <w:ind w:firstLine="204"/>
        <w:jc w:val="center"/>
        <w:pageBreakBefore w:val="0"/>
        <w:spacing w:beforeAutospacing="0" w:afterAutospacing="0"/>
        <w:rPr>
          <w:color w:val="auto"/>
          <w:highlight w:val="none"/>
        </w:rPr>
      </w:pPr>
      <w:r>
        <w:rPr>
          <w:color w:val="auto"/>
          <w:highlight w:val="none"/>
        </w:rPr>
        <w:t xml:space="preserve"> </w:t>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r>
      <w:r/>
    </w:p>
    <w:p>
      <w:pPr>
        <w:pStyle w:val="686"/>
        <w:ind w:firstLine="204"/>
        <w:jc w:val="center"/>
        <w:pageBreakBefore w:val="0"/>
        <w:spacing w:beforeAutospacing="0" w:afterAutospacing="0"/>
        <w:rPr>
          <w:color w:val="auto"/>
          <w:highlight w:val="none"/>
        </w:rPr>
      </w:pPr>
      <w:r>
        <w:rPr>
          <w:color w:val="auto"/>
          <w:highlight w:val="none"/>
        </w:rPr>
        <w:t xml:space="preserve"> </w:t>
      </w:r>
      <w:r/>
    </w:p>
    <w:p>
      <w:pPr>
        <w:pStyle w:val="686"/>
        <w:ind w:firstLine="204"/>
        <w:jc w:val="center"/>
        <w:pageBreakBefore w:val="0"/>
        <w:spacing w:beforeAutospacing="0" w:afterAutospacing="0"/>
        <w:rPr>
          <w:color w:val="auto"/>
          <w:highlight w:val="none"/>
        </w:rPr>
      </w:pPr>
      <w:r>
        <w:rPr>
          <w:color w:val="auto"/>
          <w:highlight w:val="none"/>
        </w:rPr>
        <w:t xml:space="preserve"> </w:t>
      </w:r>
      <w:r/>
    </w:p>
    <w:p>
      <w:pPr>
        <w:pStyle w:val="686"/>
        <w:jc w:val="center"/>
        <w:pageBreakBefore w:val="0"/>
        <w:spacing w:beforeAutospacing="0" w:afterAutospacing="0"/>
        <w:rPr>
          <w:color w:val="auto"/>
          <w:highlight w:val="none"/>
        </w:rPr>
      </w:pPr>
      <w:r/>
      <w:bookmarkStart w:id="172"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bookmarkStart w:id="173" w:name="_Hlt26580838"/>
            <w:r/>
            <w:bookmarkStart w:id="174" w:name="_Hlt26955056"/>
            <w:r/>
            <w:bookmarkStart w:id="175" w:name="_Hlt26671372"/>
            <w:r/>
            <w:bookmarkStart w:id="176" w:name="_Hlt26671343"/>
            <w:r/>
            <w:bookmarkStart w:id="177" w:name="_Hlt24879081"/>
            <w:r/>
            <w:bookmarkStart w:id="178" w:name="_Hlt26782999"/>
            <w:r/>
            <w:bookmarkStart w:id="179" w:name="_Hlt26955064"/>
            <w:r/>
            <w:bookmarkStart w:id="180" w:name="_Hlt26609391"/>
            <w:r>
              <w:rPr>
                <w:rFonts w:hint="eastAsia" w:ascii="宋体" w:hAnsi="宋体" w:eastAsia="宋体" w:cs="宋体"/>
                <w:color w:val="auto"/>
                <w:highlight w:val="none"/>
              </w:rPr>
              <w:t xml:space="preserve">序号</w:t>
            </w:r>
            <w:bookmarkEnd w:id="173"/>
            <w:r/>
            <w:bookmarkEnd w:id="174"/>
            <w:r/>
            <w:bookmarkEnd w:id="175"/>
            <w:r/>
            <w:bookmarkEnd w:id="176"/>
            <w:r/>
            <w:bookmarkEnd w:id="177"/>
            <w:r/>
            <w:bookmarkEnd w:id="178"/>
            <w:r/>
            <w:bookmarkEnd w:id="179"/>
            <w:r/>
            <w:bookmarkEnd w:id="18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86"/>
              <w:ind w:firstLine="204"/>
              <w:jc w:val="center"/>
              <w:pageBreakBefore w:val="0"/>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ind w:firstLine="204"/>
              <w:jc w:val="center"/>
              <w:pageBreakBefore w:val="0"/>
              <w:spacing w:beforeAutospacing="0" w:afterAutospacing="0"/>
              <w:rPr>
                <w:color w:val="auto"/>
                <w:highlight w:val="none"/>
              </w:rPr>
            </w:pPr>
            <w:r>
              <w:rPr>
                <w:color w:val="auto"/>
                <w:highlight w:val="none"/>
              </w:rPr>
              <w:t xml:space="preserve"> </w:t>
            </w:r>
            <w:r/>
          </w:p>
        </w:tc>
      </w:tr>
    </w:tbl>
    <w:p>
      <w:pPr>
        <w:pStyle w:val="686"/>
        <w:ind w:firstLine="204"/>
        <w:jc w:val="both"/>
        <w:pageBreakBefore w:val="0"/>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86"/>
        <w:ind w:firstLine="204"/>
        <w:jc w:val="both"/>
        <w:pageBreakBefore w:val="0"/>
        <w:spacing w:beforeAutospacing="0" w:afterAutospacing="0" w:line="480" w:lineRule="auto"/>
        <w:rPr>
          <w:color w:val="auto"/>
          <w:highlight w:val="none"/>
        </w:rPr>
      </w:pPr>
      <w:r>
        <w:rPr>
          <w:color w:val="auto"/>
          <w:highlight w:val="none"/>
        </w:rPr>
        <w:t xml:space="preserve"> </w:t>
      </w:r>
      <w:r/>
    </w:p>
    <w:p>
      <w:pPr>
        <w:pStyle w:val="686"/>
        <w:ind w:firstLine="204"/>
        <w:jc w:val="both"/>
        <w:pageBreakBefore w:val="0"/>
        <w:spacing w:beforeAutospacing="0" w:afterAutospacing="0" w:line="480" w:lineRule="auto"/>
        <w:rPr>
          <w:color w:val="auto"/>
          <w:highlight w:val="none"/>
        </w:rPr>
      </w:pPr>
      <w:r>
        <w:rPr>
          <w:color w:val="auto"/>
          <w:highlight w:val="none"/>
        </w:rPr>
        <w:t xml:space="preserve"> </w:t>
      </w:r>
      <w:r/>
    </w:p>
    <w:p>
      <w:pPr>
        <w:pStyle w:val="686"/>
        <w:ind w:firstLine="204"/>
        <w:jc w:val="center"/>
        <w:pageBreakBefore w:val="0"/>
        <w:spacing w:beforeAutospacing="0" w:afterAutospacing="0"/>
        <w:rPr>
          <w:color w:val="auto"/>
          <w:highlight w:val="none"/>
        </w:rPr>
      </w:pPr>
      <w:r/>
      <w:bookmarkStart w:id="181" w:name="_Hlt26671374"/>
      <w:r/>
      <w:bookmarkStart w:id="182" w:name="_Hlt26955066"/>
      <w:r/>
      <w:bookmarkStart w:id="183" w:name="_Toc462564146"/>
      <w:r/>
      <w:bookmarkStart w:id="184" w:name="_Hlt26609389"/>
      <w:r/>
      <w:bookmarkStart w:id="185" w:name="_格式2__法定代表人授权书"/>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t xml:space="preserve"> </w:t>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pStyle w:val="686"/>
        <w:ind w:firstLine="204"/>
        <w:jc w:val="both"/>
        <w:pageBreakBefore w:val="0"/>
        <w:spacing w:beforeAutospacing="0" w:afterAutospacing="0"/>
        <w:rPr>
          <w:color w:val="auto"/>
          <w:highlight w:val="none"/>
        </w:rPr>
      </w:pPr>
      <w:r>
        <w:rPr>
          <w:color w:val="auto"/>
          <w:highlight w:val="none"/>
        </w:rPr>
      </w:r>
      <w:r/>
    </w:p>
    <w:p>
      <w:pPr>
        <w:ind w:firstLine="442"/>
        <w:jc w:val="center"/>
        <w:spacing w:line="360" w:lineRule="auto"/>
        <w:rPr>
          <w:rFonts w:ascii="宋体" w:hAnsi="宋体" w:eastAsia="宋体" w:cs="宋体"/>
          <w:color w:val="000000"/>
          <w:sz w:val="22"/>
          <w:szCs w:val="21"/>
          <w:highlight w:val="none"/>
        </w:rPr>
      </w:pPr>
      <w:r>
        <w:rPr>
          <w:color w:val="auto"/>
          <w:highlight w:val="none"/>
        </w:rPr>
        <w:t xml:space="preserve"> </w:t>
      </w:r>
      <w:r>
        <w:rPr>
          <w:rFonts w:hint="eastAsia" w:ascii="黑体" w:hAnsi="黑体" w:eastAsia="黑体" w:cs="黑体"/>
          <w:i/>
          <w:color w:val="000000"/>
          <w:sz w:val="32"/>
          <w:szCs w:val="32"/>
          <w:highlight w:val="none"/>
          <w:u w:val="single"/>
        </w:rPr>
        <w:t xml:space="preserve">十四、开标一览表</w:t>
      </w:r>
      <w:r/>
    </w:p>
    <w:p>
      <w:pPr>
        <w:ind w:firstLine="480"/>
        <w:spacing w:before="100" w:beforeAutospacing="1" w:after="100" w:afterAutospacing="1" w:line="280" w:lineRule="exact"/>
        <w:widowControl/>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投标人全称（加盖CA电子签章）：</w:t>
      </w:r>
      <w:r/>
    </w:p>
    <w:p>
      <w:pPr>
        <w:ind w:firstLine="480"/>
        <w:spacing w:before="100" w:beforeAutospacing="1" w:after="100" w:afterAutospacing="1" w:line="280" w:lineRule="exact"/>
        <w:widowControl/>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项目名称：亭湖区智慧托育应用管理平台建设项目</w:t>
      </w:r>
      <w:r/>
    </w:p>
    <w:p>
      <w:pPr>
        <w:ind w:firstLine="480"/>
        <w:spacing w:before="100" w:beforeAutospacing="1" w:after="100" w:afterAutospacing="1" w:line="280" w:lineRule="exact"/>
        <w:widowControl/>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招标编号：JSZC-320902-YPGS-G2024-0001         </w:t>
      </w:r>
      <w:r/>
    </w:p>
    <w:tbl>
      <w:tblPr>
        <w:tblStyle w:val="662"/>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420"/>
              <w:spacing w:before="100" w:beforeAutospacing="1" w:after="100" w:afterAutospacing="1" w:line="240" w:lineRule="auto"/>
              <w:widowControl/>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420"/>
              <w:spacing w:before="100" w:beforeAutospacing="1" w:after="100" w:afterAutospacing="1" w:line="360" w:lineRule="auto"/>
              <w:widowControl/>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小写：                        （人民币：元）</w:t>
            </w:r>
            <w:r/>
          </w:p>
        </w:tc>
      </w:tr>
    </w:tbl>
    <w:p>
      <w:pPr>
        <w:ind w:firstLine="480"/>
        <w:spacing w:before="100" w:beforeAutospacing="1" w:after="100" w:afterAutospacing="1" w:line="360" w:lineRule="auto"/>
        <w:widowControl/>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p>
    <w:p>
      <w:pPr>
        <w:ind w:firstLine="480"/>
        <w:jc w:val="right"/>
        <w:spacing w:before="100" w:beforeAutospacing="1" w:after="100" w:afterAutospacing="1" w:line="360" w:lineRule="auto"/>
        <w:widowControl/>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日期：</w:t>
      </w:r>
      <w:r>
        <w:rPr>
          <w:rFonts w:hint="eastAsia" w:ascii="宋体" w:hAnsi="宋体" w:eastAsia="宋体" w:cs="宋体"/>
          <w:color w:val="000000"/>
          <w:sz w:val="24"/>
          <w:szCs w:val="21"/>
          <w:highlight w:val="none"/>
          <w:u w:val="single"/>
          <w:lang w:val="en-US" w:eastAsia="zh-CN" w:bidi="ar-SA"/>
        </w:rPr>
        <w:t xml:space="preserve">    </w:t>
      </w:r>
      <w:r>
        <w:rPr>
          <w:rFonts w:hint="eastAsia" w:ascii="宋体" w:hAnsi="宋体" w:eastAsia="宋体" w:cs="宋体"/>
          <w:color w:val="000000"/>
          <w:sz w:val="24"/>
          <w:szCs w:val="21"/>
          <w:highlight w:val="none"/>
          <w:lang w:val="en-US" w:eastAsia="zh-CN" w:bidi="ar-SA"/>
        </w:rPr>
        <w:t xml:space="preserve">年</w:t>
      </w:r>
      <w:r>
        <w:rPr>
          <w:rFonts w:hint="eastAsia" w:ascii="宋体" w:hAnsi="宋体" w:eastAsia="宋体" w:cs="宋体"/>
          <w:color w:val="000000"/>
          <w:sz w:val="24"/>
          <w:szCs w:val="21"/>
          <w:highlight w:val="none"/>
          <w:u w:val="single"/>
          <w:lang w:val="en-US" w:eastAsia="zh-CN" w:bidi="ar-SA"/>
        </w:rPr>
        <w:t xml:space="preserve">   </w:t>
      </w:r>
      <w:r>
        <w:rPr>
          <w:rFonts w:hint="eastAsia" w:ascii="宋体" w:hAnsi="宋体" w:eastAsia="宋体" w:cs="宋体"/>
          <w:color w:val="000000"/>
          <w:sz w:val="24"/>
          <w:szCs w:val="21"/>
          <w:highlight w:val="none"/>
          <w:lang w:val="en-US" w:eastAsia="zh-CN" w:bidi="ar-SA"/>
        </w:rPr>
        <w:t xml:space="preserve">月</w:t>
      </w:r>
      <w:r>
        <w:rPr>
          <w:rFonts w:hint="eastAsia" w:ascii="宋体" w:hAnsi="宋体" w:eastAsia="宋体" w:cs="宋体"/>
          <w:color w:val="000000"/>
          <w:sz w:val="24"/>
          <w:szCs w:val="21"/>
          <w:highlight w:val="none"/>
          <w:u w:val="single"/>
          <w:lang w:val="en-US" w:eastAsia="zh-CN" w:bidi="ar-SA"/>
        </w:rPr>
        <w:t xml:space="preserve">   </w:t>
      </w:r>
      <w:r>
        <w:rPr>
          <w:rFonts w:hint="eastAsia" w:ascii="宋体" w:hAnsi="宋体" w:eastAsia="宋体" w:cs="宋体"/>
          <w:color w:val="000000"/>
          <w:sz w:val="24"/>
          <w:szCs w:val="21"/>
          <w:highlight w:val="none"/>
          <w:lang w:val="en-US" w:eastAsia="zh-CN" w:bidi="ar-SA"/>
        </w:rPr>
        <w:t xml:space="preserve">日</w:t>
      </w:r>
      <w:r/>
    </w:p>
    <w:p>
      <w:pPr>
        <w:pStyle w:val="686"/>
        <w:ind w:firstLine="204"/>
        <w:jc w:val="both"/>
        <w:pageBreakBefore w:val="0"/>
        <w:spacing w:beforeAutospacing="0" w:afterAutospacing="0"/>
        <w:rPr>
          <w:color w:val="auto"/>
          <w:highlight w:val="none"/>
        </w:rPr>
      </w:pPr>
      <w:r>
        <w:rPr>
          <w:color w:val="auto"/>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2"/>
        <w:jc w:val="center"/>
        <w:pageBreakBefore w:val="0"/>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十五、服务方案等</w:t>
      </w:r>
      <w:r/>
    </w:p>
    <w:p>
      <w:pPr>
        <w:pStyle w:val="686"/>
        <w:ind w:firstLine="204"/>
        <w:jc w:val="both"/>
        <w:pageBreakBefore w:val="0"/>
        <w:spacing w:beforeAutospacing="0" w:afterAutospacing="0"/>
        <w:tabs>
          <w:tab w:val="left" w:pos="2160" w:leader="none"/>
        </w:tabs>
        <w:rPr>
          <w:color w:val="auto"/>
          <w:highlight w:val="none"/>
        </w:rPr>
      </w:pPr>
      <w:r>
        <w:rPr>
          <w:color w:val="auto"/>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95"/>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272"/>
        <w:pageBreakBefore w:val="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left="0" w:right="0" w:firstLine="272"/>
        <w:jc w:val="center"/>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eastAsia="zh-CN"/>
        </w:rPr>
        <w:t xml:space="preserve">六</w:t>
      </w:r>
      <w:r>
        <w:rPr>
          <w:rFonts w:hint="eastAsia" w:ascii="宋体" w:hAnsi="宋体" w:eastAsia="宋体" w:cs="宋体"/>
          <w:color w:val="auto"/>
          <w:sz w:val="32"/>
          <w:szCs w:val="32"/>
          <w:highlight w:val="none"/>
        </w:rPr>
        <w:t xml:space="preserve">、</w:t>
      </w:r>
      <w:bookmarkEnd w:id="26"/>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162"/>
      <w:r/>
      <w:bookmarkEnd w:id="163"/>
      <w:r/>
      <w:bookmarkEnd w:id="164"/>
      <w:r/>
      <w:bookmarkEnd w:id="165"/>
      <w:r/>
      <w:bookmarkEnd w:id="169"/>
      <w:r/>
      <w:bookmarkEnd w:id="170"/>
      <w:r/>
      <w:bookmarkEnd w:id="171"/>
      <w:r/>
      <w:bookmarkEnd w:id="172"/>
      <w:r/>
      <w:bookmarkEnd w:id="181"/>
      <w:r/>
      <w:bookmarkEnd w:id="182"/>
      <w:r/>
      <w:bookmarkEnd w:id="183"/>
      <w:r/>
      <w:bookmarkEnd w:id="184"/>
      <w:r/>
      <w:bookmarkEnd w:id="185"/>
      <w:r>
        <w:rPr>
          <w:rFonts w:ascii="黑体" w:hAnsi="黑体" w:eastAsia="黑体" w:cs="黑体"/>
          <w:color w:val="auto"/>
          <w:sz w:val="32"/>
          <w:highlight w:val="none"/>
        </w:rPr>
        <w:t xml:space="preserve">盐城市亭湖区政府采购事前信用承诺书</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为营造我区公开、公平、公正、诚实守信的政府采购交易环境，树立诚信守法的供应商形象，本人代表本单位作出以下承诺：</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（四）严格遵守即时信息公示规定，及时维护和更新维护和更新盐城市政府采购网中与本单位相关的信息；</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（六）自觉接受政府、行业组织、社会公众、新闻舆论的监督；</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（八）本人已认真阅读了上述承诺，并向本单位员工作了宣传教育。</w:t>
      </w:r>
      <w:r/>
    </w:p>
    <w:p>
      <w:pPr>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单位名称（盖章）：</w:t>
      </w:r>
      <w:r/>
    </w:p>
    <w:p>
      <w:pPr>
        <w:jc w:val="center"/>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法定代表人（签字或盖章）：</w:t>
      </w:r>
      <w:r/>
    </w:p>
    <w:p>
      <w:pPr>
        <w:jc w:val="center"/>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p>
    <w:p>
      <w:pPr>
        <w:pStyle w:val="686"/>
        <w:ind w:firstLine="273"/>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6"/>
        <w:ind w:firstLine="273"/>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562"/>
        <w:jc w:val="center"/>
        <w:spacing w:beforeAutospacing="0" w:afterAutospacing="0" w:line="360" w:lineRule="auto"/>
        <w:widowControl w:val="off"/>
        <w:rPr>
          <w:rFonts w:hint="default"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质疑函范本</w:t>
      </w:r>
      <w:r/>
    </w:p>
    <w:p>
      <w:pPr>
        <w:ind w:firstLine="562"/>
        <w:jc w:val="both"/>
        <w:spacing w:before="290"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一、质疑供应商基本信息</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质疑供应商：</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u w:val="single"/>
          <w:lang w:val="en-US" w:eastAsia="zh-CN" w:bidi="ar-SA"/>
        </w:rPr>
      </w:pPr>
      <w:r>
        <w:rPr>
          <w:rFonts w:hint="eastAsia" w:ascii="宋体" w:hAnsi="宋体" w:eastAsia="宋体" w:cs="宋体"/>
          <w:b w:val="0"/>
          <w:bCs/>
          <w:color w:val="000000"/>
          <w:sz w:val="24"/>
          <w:szCs w:val="24"/>
          <w:highlight w:val="none"/>
          <w:lang w:val="en-US" w:eastAsia="zh-CN" w:bidi="ar-SA"/>
        </w:rPr>
        <w:t xml:space="preserve">地址：</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邮编：</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u w:val="single"/>
          <w:lang w:val="en-US" w:eastAsia="zh-CN" w:bidi="ar-SA"/>
        </w:rPr>
      </w:pPr>
      <w:r>
        <w:rPr>
          <w:rFonts w:hint="eastAsia" w:ascii="宋体" w:hAnsi="宋体" w:eastAsia="宋体" w:cs="宋体"/>
          <w:b w:val="0"/>
          <w:bCs/>
          <w:color w:val="000000"/>
          <w:sz w:val="24"/>
          <w:szCs w:val="24"/>
          <w:highlight w:val="none"/>
          <w:lang w:val="en-US" w:eastAsia="zh-CN" w:bidi="ar-SA"/>
        </w:rPr>
        <w:t xml:space="preserve">联系人：</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联系电话：</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授权代表：</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联系电话：</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u w:val="single"/>
          <w:lang w:val="en-US" w:eastAsia="zh-CN" w:bidi="ar-SA"/>
        </w:rPr>
      </w:pPr>
      <w:r>
        <w:rPr>
          <w:rFonts w:hint="eastAsia" w:ascii="宋体" w:hAnsi="宋体" w:eastAsia="宋体" w:cs="宋体"/>
          <w:b w:val="0"/>
          <w:bCs/>
          <w:color w:val="000000"/>
          <w:sz w:val="24"/>
          <w:szCs w:val="24"/>
          <w:highlight w:val="none"/>
          <w:lang w:val="en-US" w:eastAsia="zh-CN" w:bidi="ar-SA"/>
        </w:rPr>
        <w:t xml:space="preserve">地址： </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邮编：</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二、质疑项目基本情况</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质疑项目的名称：</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u w:val="single"/>
          <w:lang w:val="en-US" w:eastAsia="zh-CN" w:bidi="ar-SA"/>
        </w:rPr>
      </w:pPr>
      <w:r>
        <w:rPr>
          <w:rFonts w:hint="eastAsia" w:ascii="宋体" w:hAnsi="宋体" w:eastAsia="宋体" w:cs="宋体"/>
          <w:b w:val="0"/>
          <w:bCs/>
          <w:color w:val="000000"/>
          <w:sz w:val="24"/>
          <w:szCs w:val="24"/>
          <w:highlight w:val="none"/>
          <w:lang w:val="en-US" w:eastAsia="zh-CN" w:bidi="ar-SA"/>
        </w:rPr>
        <w:t xml:space="preserve">质疑项目的编号：</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包号：</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u w:val="single"/>
          <w:lang w:val="en-US" w:eastAsia="zh-CN" w:bidi="ar-SA"/>
        </w:rPr>
        <w:tab/>
      </w:r>
      <w:r>
        <w:rPr>
          <w:rFonts w:hint="eastAsia" w:ascii="宋体" w:hAnsi="宋体" w:eastAsia="宋体" w:cs="宋体"/>
          <w:b w:val="0"/>
          <w:bCs/>
          <w:color w:val="000000"/>
          <w:sz w:val="24"/>
          <w:szCs w:val="24"/>
          <w:highlight w:val="none"/>
          <w:u w:val="single"/>
          <w:lang w:val="en-US" w:eastAsia="zh-CN" w:bidi="ar-SA"/>
        </w:rPr>
        <w:tab/>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采购人名称：</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采购文件获取日期：</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三、质疑事项具体内容</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质疑事项1：</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事实依据：</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法律依据：</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质疑事项2</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四、与质疑事项相关的质疑请求</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请求：</w:t>
      </w:r>
      <w:r>
        <w:rPr>
          <w:rFonts w:hint="eastAsia" w:ascii="宋体" w:hAnsi="宋体" w:eastAsia="宋体" w:cs="宋体"/>
          <w:b w:val="0"/>
          <w:bCs/>
          <w:color w:val="000000"/>
          <w:sz w:val="24"/>
          <w:szCs w:val="24"/>
          <w:highlight w:val="none"/>
          <w:u w:val="single"/>
          <w:lang w:val="en-US" w:eastAsia="zh-CN" w:bidi="ar-SA"/>
        </w:rPr>
        <w:t xml:space="preserve">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签字(签章)：                 公章：            日期：    </w:t>
      </w:r>
      <w:r/>
    </w:p>
    <w:p>
      <w:pPr>
        <w:ind w:firstLine="562"/>
        <w:jc w:val="both"/>
        <w:spacing w:beforeAutospacing="0" w:afterAutospacing="0"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质疑函制作说明：</w:t>
      </w:r>
      <w:r/>
    </w:p>
    <w:p>
      <w:pPr>
        <w:ind w:firstLine="480"/>
        <w:spacing w:beforeAutospacing="0" w:afterAutospacing="0"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1.供应商提出质疑时，应提交质疑函和必要的证明材料。</w:t>
      </w:r>
      <w:r/>
    </w:p>
    <w:p>
      <w:pPr>
        <w:ind w:firstLine="480"/>
        <w:spacing w:beforeAutospacing="0" w:afterAutospacing="0"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beforeAutospacing="0" w:afterAutospacing="0"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3.质疑供应商若对项目的某一分包进行质疑，质疑函中应列明具体分包号。</w:t>
      </w:r>
      <w:r/>
    </w:p>
    <w:p>
      <w:pPr>
        <w:ind w:firstLine="480"/>
        <w:spacing w:beforeAutospacing="0" w:afterAutospacing="0"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4.质疑函的质疑事项应具体、明确，并有必要的事实依据和法律依据。</w:t>
      </w:r>
      <w:r/>
    </w:p>
    <w:p>
      <w:pPr>
        <w:ind w:firstLine="480"/>
        <w:spacing w:beforeAutospacing="0" w:afterAutospacing="0"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5.质疑函的质疑请求应与质疑事项相关。</w:t>
      </w:r>
      <w:r/>
    </w:p>
    <w:p>
      <w:pPr>
        <w:ind w:firstLine="480"/>
        <w:spacing w:beforeAutospacing="0" w:afterAutospacing="0"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spacing w:before="100" w:beforeAutospacing="0" w:after="100" w:afterAutospacing="0" w:line="500" w:lineRule="exact"/>
        <w:widowControl/>
        <w:rPr>
          <w:rFonts w:hint="default" w:ascii="黑体" w:hAnsi="黑体" w:eastAsia="黑体" w:cs="宋体"/>
          <w:b w:val="0"/>
          <w:bCs/>
          <w:color w:val="000000"/>
          <w:sz w:val="24"/>
          <w:szCs w:val="24"/>
          <w:highlight w:val="none"/>
          <w:lang w:val="en-US" w:eastAsia="zh-CN" w:bidi="ar-SA"/>
        </w:rPr>
      </w:pPr>
      <w:r>
        <w:rPr>
          <w:rFonts w:hint="default" w:ascii="黑体" w:hAnsi="黑体" w:eastAsia="黑体" w:cs="宋体"/>
          <w:b w:val="0"/>
          <w:bCs/>
          <w:color w:val="000000"/>
          <w:sz w:val="24"/>
          <w:szCs w:val="24"/>
          <w:highlight w:val="none"/>
          <w:lang w:val="en-US" w:eastAsia="zh-CN" w:bidi="ar-SA"/>
        </w:rPr>
      </w:r>
      <w:r/>
    </w:p>
    <w:p>
      <w:pPr>
        <w:ind w:firstLine="178"/>
        <w:pageBreakBefore w:val="0"/>
        <w:rPr>
          <w:color w:val="auto"/>
          <w:highlight w:val="none"/>
        </w:rPr>
      </w:pPr>
      <w:r>
        <w:rPr>
          <w:color w:val="auto"/>
          <w:highlight w:val="none"/>
        </w:rPr>
      </w:r>
      <w:r/>
    </w:p>
    <w:sectPr>
      <w:footnotePr/>
      <w:endnotePr/>
      <w:type w:val="nextPage"/>
      <w:pgSz w:w="11905" w:h="16838" w:orient="portrait"/>
      <w:pgMar w:top="1440" w:right="1803" w:bottom="1440" w:left="1803" w:header="62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仿宋_GB2312">
    <w:panose1 w:val="02010609060101010101"/>
  </w:font>
  <w:font w:name="幼圆">
    <w:panose1 w:val="02010509060101010101"/>
  </w:font>
  <w:font w:name="华文中宋">
    <w:panose1 w:val="02010600040101010101"/>
  </w:font>
  <w:font w:name="黑体">
    <w:panose1 w:val="02010609060101010101"/>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7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8"/>
  </w:num>
  <w:num w:numId="5">
    <w:abstractNumId w:val="5"/>
  </w:num>
  <w:num w:numId="6">
    <w:abstractNumId w:val="6"/>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2">
    <w:name w:val="Heading 1"/>
    <w:basedOn w:val="651"/>
    <w:next w:val="651"/>
    <w:uiPriority w:val="0"/>
    <w:qFormat/>
    <w:pPr>
      <w:jc w:val="center"/>
      <w:keepNext/>
      <w:outlineLvl w:val="0"/>
    </w:pPr>
    <w:rPr>
      <w:rFonts w:ascii="楷体_GB2312" w:eastAsia="楷体_GB2312"/>
      <w:sz w:val="28"/>
      <w:szCs w:val="28"/>
    </w:rPr>
  </w:style>
  <w:style w:type="paragraph" w:styleId="653">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4">
    <w:name w:val="Heading 3"/>
    <w:basedOn w:val="651"/>
    <w:next w:val="651"/>
    <w:link w:val="698"/>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9"/>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700"/>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701"/>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703"/>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04"/>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table of authorities"/>
    <w:basedOn w:val="651"/>
    <w:next w:val="651"/>
    <w:uiPriority w:val="99"/>
    <w:qFormat/>
    <w:pPr>
      <w:ind w:left="420"/>
    </w:pPr>
  </w:style>
  <w:style w:type="paragraph" w:styleId="665">
    <w:name w:val="Normal Indent"/>
    <w:basedOn w:val="651"/>
    <w:uiPriority w:val="0"/>
    <w:qFormat/>
    <w:pPr>
      <w:ind w:firstLine="420"/>
    </w:pPr>
    <w:rPr>
      <w:szCs w:val="20"/>
    </w:rPr>
  </w:style>
  <w:style w:type="paragraph" w:styleId="666">
    <w:name w:val="Caption"/>
    <w:basedOn w:val="651"/>
    <w:next w:val="6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51"/>
    <w:uiPriority w:val="99"/>
    <w:semiHidden/>
    <w:unhideWhenUsed/>
    <w:qFormat/>
  </w:style>
  <w:style w:type="paragraph" w:styleId="668">
    <w:name w:val="Body Text"/>
    <w:basedOn w:val="651"/>
    <w:next w:val="651"/>
    <w:uiPriority w:val="0"/>
    <w:qFormat/>
    <w:rPr>
      <w:rFonts w:ascii="楷体_GB2312" w:hAnsi="Arial" w:eastAsia="楷体_GB2312"/>
      <w:sz w:val="28"/>
    </w:rPr>
  </w:style>
  <w:style w:type="paragraph" w:styleId="669">
    <w:name w:val="Block Text"/>
    <w:basedOn w:val="651"/>
    <w:uiPriority w:val="99"/>
    <w:qFormat/>
    <w:pPr>
      <w:ind w:left="1440" w:right="1440"/>
      <w:spacing w:after="120"/>
      <w:tabs>
        <w:tab w:val="left" w:pos="9000" w:leader="none"/>
      </w:tabs>
    </w:pPr>
  </w:style>
  <w:style w:type="paragraph" w:styleId="670">
    <w:name w:val="List Bullet 2"/>
    <w:basedOn w:val="651"/>
    <w:uiPriority w:val="0"/>
    <w:qFormat/>
    <w:pPr>
      <w:numPr>
        <w:ilvl w:val="0"/>
        <w:numId w:val="1"/>
      </w:numPr>
    </w:pPr>
  </w:style>
  <w:style w:type="paragraph" w:styleId="671">
    <w:name w:val="toc 5"/>
    <w:basedOn w:val="651"/>
    <w:next w:val="651"/>
    <w:uiPriority w:val="39"/>
    <w:unhideWhenUsed/>
    <w:qFormat/>
    <w:pPr>
      <w:ind w:left="1134" w:right="0" w:firstLine="0"/>
      <w:spacing w:after="57"/>
    </w:pPr>
  </w:style>
  <w:style w:type="paragraph" w:styleId="672">
    <w:name w:val="toc 3"/>
    <w:basedOn w:val="651"/>
    <w:next w:val="651"/>
    <w:uiPriority w:val="39"/>
    <w:unhideWhenUsed/>
    <w:qFormat/>
    <w:pPr>
      <w:ind w:left="567" w:right="0" w:firstLine="0"/>
      <w:spacing w:after="57"/>
    </w:pPr>
  </w:style>
  <w:style w:type="paragraph" w:styleId="673">
    <w:name w:val="Plain Text"/>
    <w:basedOn w:val="651"/>
    <w:uiPriority w:val="0"/>
    <w:qFormat/>
    <w:rPr>
      <w:rFonts w:ascii="宋体" w:hAnsi="Courier New" w:cs="Courier New"/>
    </w:rPr>
  </w:style>
  <w:style w:type="paragraph" w:styleId="674">
    <w:name w:val="toc 8"/>
    <w:basedOn w:val="651"/>
    <w:next w:val="651"/>
    <w:uiPriority w:val="39"/>
    <w:unhideWhenUsed/>
    <w:qFormat/>
    <w:pPr>
      <w:ind w:left="1984" w:right="0" w:firstLine="0"/>
      <w:spacing w:after="57"/>
    </w:pPr>
  </w:style>
  <w:style w:type="paragraph" w:styleId="675">
    <w:name w:val="endnote text"/>
    <w:basedOn w:val="651"/>
    <w:link w:val="842"/>
    <w:uiPriority w:val="99"/>
    <w:semiHidden/>
    <w:unhideWhenUsed/>
    <w:qFormat/>
    <w:pPr>
      <w:spacing w:after="0" w:line="240" w:lineRule="auto"/>
    </w:pPr>
    <w:rPr>
      <w:sz w:val="20"/>
    </w:rPr>
  </w:style>
  <w:style w:type="paragraph" w:styleId="676">
    <w:name w:val="Footer"/>
    <w:basedOn w:val="651"/>
    <w:link w:val="847"/>
    <w:uiPriority w:val="0"/>
    <w:qFormat/>
    <w:pPr>
      <w:jc w:val="left"/>
      <w:tabs>
        <w:tab w:val="center" w:pos="4153" w:leader="none"/>
        <w:tab w:val="right" w:pos="8306" w:leader="none"/>
      </w:tabs>
    </w:pPr>
    <w:rPr>
      <w:sz w:val="18"/>
      <w:szCs w:val="18"/>
    </w:rPr>
  </w:style>
  <w:style w:type="paragraph" w:styleId="677">
    <w:name w:val="Header"/>
    <w:basedOn w:val="651"/>
    <w:link w:val="846"/>
    <w:uiPriority w:val="0"/>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1"/>
    <w:next w:val="651"/>
    <w:uiPriority w:val="39"/>
    <w:unhideWhenUsed/>
    <w:qFormat/>
    <w:pPr>
      <w:ind w:left="0" w:right="0" w:firstLine="0"/>
      <w:spacing w:after="57"/>
    </w:pPr>
  </w:style>
  <w:style w:type="paragraph" w:styleId="679">
    <w:name w:val="toc 4"/>
    <w:basedOn w:val="651"/>
    <w:next w:val="651"/>
    <w:uiPriority w:val="39"/>
    <w:unhideWhenUsed/>
    <w:qFormat/>
    <w:pPr>
      <w:ind w:left="850" w:right="0" w:firstLine="0"/>
      <w:spacing w:after="57"/>
    </w:pPr>
  </w:style>
  <w:style w:type="paragraph" w:styleId="680">
    <w:name w:val="Subtitle"/>
    <w:basedOn w:val="651"/>
    <w:next w:val="651"/>
    <w:link w:val="708"/>
    <w:uiPriority w:val="11"/>
    <w:qFormat/>
    <w:pPr>
      <w:spacing w:before="200" w:after="200"/>
    </w:pPr>
    <w:rPr>
      <w:sz w:val="24"/>
      <w:szCs w:val="24"/>
    </w:rPr>
  </w:style>
  <w:style w:type="paragraph" w:styleId="681">
    <w:name w:val="footnote text"/>
    <w:basedOn w:val="651"/>
    <w:link w:val="841"/>
    <w:uiPriority w:val="99"/>
    <w:semiHidden/>
    <w:unhideWhenUsed/>
    <w:qFormat/>
    <w:pPr>
      <w:spacing w:after="40" w:line="240" w:lineRule="auto"/>
    </w:pPr>
    <w:rPr>
      <w:sz w:val="18"/>
    </w:rPr>
  </w:style>
  <w:style w:type="paragraph" w:styleId="682">
    <w:name w:val="toc 6"/>
    <w:basedOn w:val="651"/>
    <w:next w:val="651"/>
    <w:uiPriority w:val="39"/>
    <w:unhideWhenUsed/>
    <w:qFormat/>
    <w:pPr>
      <w:ind w:left="1417" w:right="0" w:firstLine="0"/>
      <w:spacing w:after="57"/>
    </w:pPr>
  </w:style>
  <w:style w:type="paragraph" w:styleId="683">
    <w:name w:val="table of figures"/>
    <w:basedOn w:val="651"/>
    <w:next w:val="651"/>
    <w:uiPriority w:val="99"/>
    <w:unhideWhenUsed/>
    <w:qFormat/>
    <w:pPr>
      <w:spacing w:after="0" w:afterAutospacing="0"/>
    </w:pPr>
  </w:style>
  <w:style w:type="paragraph" w:styleId="684">
    <w:name w:val="toc 2"/>
    <w:basedOn w:val="651"/>
    <w:next w:val="651"/>
    <w:uiPriority w:val="39"/>
    <w:unhideWhenUsed/>
    <w:qFormat/>
    <w:pPr>
      <w:ind w:left="283" w:right="0" w:firstLine="0"/>
      <w:spacing w:after="57"/>
    </w:pPr>
  </w:style>
  <w:style w:type="paragraph" w:styleId="685">
    <w:name w:val="toc 9"/>
    <w:basedOn w:val="651"/>
    <w:next w:val="651"/>
    <w:uiPriority w:val="39"/>
    <w:unhideWhenUsed/>
    <w:qFormat/>
    <w:pPr>
      <w:ind w:left="2268" w:right="0" w:firstLine="0"/>
      <w:spacing w:after="57"/>
    </w:pPr>
  </w:style>
  <w:style w:type="paragraph" w:styleId="686">
    <w:name w:val="Normal (Web)"/>
    <w:basedOn w:val="651"/>
    <w:uiPriority w:val="0"/>
    <w:qFormat/>
    <w:pPr>
      <w:jc w:val="left"/>
      <w:spacing w:beforeAutospacing="1" w:afterAutospacing="1"/>
    </w:pPr>
    <w:rPr>
      <w:rFonts w:cs="Times New Roman"/>
      <w:sz w:val="24"/>
    </w:rPr>
  </w:style>
  <w:style w:type="paragraph" w:styleId="687">
    <w:name w:val="Title"/>
    <w:basedOn w:val="651"/>
    <w:next w:val="651"/>
    <w:link w:val="707"/>
    <w:uiPriority w:val="10"/>
    <w:qFormat/>
    <w:pPr>
      <w:contextualSpacing/>
      <w:spacing w:before="300" w:after="200"/>
    </w:pPr>
    <w:rPr>
      <w:sz w:val="48"/>
      <w:szCs w:val="48"/>
    </w:rPr>
  </w:style>
  <w:style w:type="paragraph" w:styleId="688">
    <w:name w:val="Body Text First Indent"/>
    <w:basedOn w:val="668"/>
    <w:next w:val="651"/>
    <w:uiPriority w:val="0"/>
    <w:qFormat/>
    <w:pPr>
      <w:ind w:firstLine="420"/>
    </w:pPr>
    <w:rPr>
      <w:rFonts w:ascii="Times New Roman" w:hAnsi="Times New Roman"/>
      <w:sz w:val="21"/>
      <w:szCs w:val="24"/>
    </w:rPr>
  </w:style>
  <w:style w:type="table" w:styleId="689">
    <w:name w:val="Table Grid"/>
    <w:basedOn w:val="66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Strong"/>
    <w:basedOn w:val="661"/>
    <w:uiPriority w:val="0"/>
    <w:qFormat/>
    <w:rPr>
      <w:b/>
    </w:rPr>
  </w:style>
  <w:style w:type="character" w:styleId="691">
    <w:name w:val="endnote reference"/>
    <w:basedOn w:val="661"/>
    <w:uiPriority w:val="99"/>
    <w:semiHidden/>
    <w:unhideWhenUsed/>
    <w:qFormat/>
    <w:rPr>
      <w:vertAlign w:val="superscript"/>
    </w:rPr>
  </w:style>
  <w:style w:type="character" w:styleId="692">
    <w:name w:val="Hyperlink"/>
    <w:basedOn w:val="661"/>
    <w:uiPriority w:val="99"/>
    <w:unhideWhenUsed/>
    <w:qFormat/>
    <w:rPr>
      <w:color w:val="0563c1" w:themeColor="hyperlink"/>
      <w:u w:val="single"/>
      <w14:textFill>
        <w14:solidFill>
          <w14:schemeClr w14:val="hlink"/>
        </w14:solidFill>
      </w14:textFill>
    </w:rPr>
  </w:style>
  <w:style w:type="character" w:styleId="693">
    <w:name w:val="footnote reference"/>
    <w:basedOn w:val="661"/>
    <w:uiPriority w:val="99"/>
    <w:unhideWhenUsed/>
    <w:qFormat/>
    <w:rPr>
      <w:vertAlign w:val="superscript"/>
    </w:rPr>
  </w:style>
  <w:style w:type="paragraph" w:styleId="694" w:customStyle="1">
    <w:name w:val="索引 41"/>
    <w:basedOn w:val="651"/>
    <w:next w:val="651"/>
    <w:uiPriority w:val="99"/>
    <w:qFormat/>
    <w:pPr>
      <w:ind w:left="840" w:hanging="210"/>
      <w:jc w:val="left"/>
      <w:spacing w:line="240" w:lineRule="auto"/>
    </w:pPr>
    <w:rPr>
      <w:sz w:val="20"/>
    </w:rPr>
  </w:style>
  <w:style w:type="paragraph" w:styleId="695" w:customStyle="1">
    <w:name w:val="文本块1"/>
    <w:basedOn w:val="651"/>
    <w:uiPriority w:val="99"/>
    <w:qFormat/>
    <w:pPr>
      <w:ind w:left="1440" w:right="1440"/>
      <w:spacing w:after="120"/>
      <w:tabs>
        <w:tab w:val="left" w:pos="9000" w:leader="none"/>
      </w:tabs>
    </w:pPr>
  </w:style>
  <w:style w:type="character" w:styleId="696" w:customStyle="1">
    <w:name w:val="Heading 1 Char"/>
    <w:basedOn w:val="661"/>
    <w:uiPriority w:val="9"/>
    <w:qFormat/>
    <w:rPr>
      <w:rFonts w:ascii="Arial" w:hAnsi="Arial" w:eastAsia="Arial" w:cs="Arial"/>
      <w:sz w:val="40"/>
      <w:szCs w:val="40"/>
    </w:rPr>
  </w:style>
  <w:style w:type="character" w:styleId="697" w:customStyle="1">
    <w:name w:val="Heading 2 Char"/>
    <w:basedOn w:val="661"/>
    <w:uiPriority w:val="9"/>
    <w:qFormat/>
    <w:rPr>
      <w:rFonts w:ascii="Arial" w:hAnsi="Arial" w:eastAsia="Arial" w:cs="Arial"/>
      <w:sz w:val="34"/>
    </w:rPr>
  </w:style>
  <w:style w:type="character" w:styleId="698" w:customStyle="1">
    <w:name w:val="Heading 3 Char"/>
    <w:basedOn w:val="661"/>
    <w:link w:val="654"/>
    <w:uiPriority w:val="9"/>
    <w:qFormat/>
    <w:rPr>
      <w:rFonts w:ascii="Arial" w:hAnsi="Arial" w:eastAsia="Arial" w:cs="Arial"/>
      <w:sz w:val="30"/>
      <w:szCs w:val="30"/>
    </w:rPr>
  </w:style>
  <w:style w:type="character" w:styleId="699" w:customStyle="1">
    <w:name w:val="Heading 4 Char"/>
    <w:basedOn w:val="661"/>
    <w:link w:val="655"/>
    <w:uiPriority w:val="9"/>
    <w:qFormat/>
    <w:rPr>
      <w:rFonts w:ascii="Arial" w:hAnsi="Arial" w:eastAsia="Arial" w:cs="Arial"/>
      <w:b/>
      <w:bCs/>
      <w:sz w:val="26"/>
      <w:szCs w:val="26"/>
    </w:rPr>
  </w:style>
  <w:style w:type="character" w:styleId="700" w:customStyle="1">
    <w:name w:val="Heading 5 Char"/>
    <w:basedOn w:val="661"/>
    <w:link w:val="656"/>
    <w:uiPriority w:val="9"/>
    <w:qFormat/>
    <w:rPr>
      <w:rFonts w:ascii="Arial" w:hAnsi="Arial" w:eastAsia="Arial" w:cs="Arial"/>
      <w:b/>
      <w:bCs/>
      <w:sz w:val="24"/>
      <w:szCs w:val="24"/>
    </w:rPr>
  </w:style>
  <w:style w:type="character" w:styleId="701" w:customStyle="1">
    <w:name w:val="Heading 6 Char"/>
    <w:basedOn w:val="661"/>
    <w:link w:val="657"/>
    <w:uiPriority w:val="9"/>
    <w:qFormat/>
    <w:rPr>
      <w:rFonts w:ascii="Arial" w:hAnsi="Arial" w:eastAsia="Arial" w:cs="Arial"/>
      <w:b/>
      <w:bCs/>
      <w:sz w:val="22"/>
      <w:szCs w:val="22"/>
    </w:rPr>
  </w:style>
  <w:style w:type="character" w:styleId="702" w:customStyle="1">
    <w:name w:val="Heading 7 Char"/>
    <w:basedOn w:val="661"/>
    <w:link w:val="658"/>
    <w:uiPriority w:val="9"/>
    <w:qFormat/>
    <w:rPr>
      <w:rFonts w:ascii="Arial" w:hAnsi="Arial" w:eastAsia="Arial" w:cs="Arial"/>
      <w:b/>
      <w:bCs/>
      <w:i/>
      <w:iCs/>
      <w:sz w:val="22"/>
      <w:szCs w:val="22"/>
    </w:rPr>
  </w:style>
  <w:style w:type="character" w:styleId="703" w:customStyle="1">
    <w:name w:val="Heading 8 Char"/>
    <w:basedOn w:val="661"/>
    <w:link w:val="659"/>
    <w:uiPriority w:val="9"/>
    <w:qFormat/>
    <w:rPr>
      <w:rFonts w:ascii="Arial" w:hAnsi="Arial" w:eastAsia="Arial" w:cs="Arial"/>
      <w:i/>
      <w:iCs/>
      <w:sz w:val="22"/>
      <w:szCs w:val="22"/>
    </w:rPr>
  </w:style>
  <w:style w:type="character" w:styleId="704" w:customStyle="1">
    <w:name w:val="Heading 9 Char"/>
    <w:basedOn w:val="661"/>
    <w:link w:val="660"/>
    <w:uiPriority w:val="9"/>
    <w:qFormat/>
    <w:rPr>
      <w:rFonts w:ascii="Arial" w:hAnsi="Arial" w:eastAsia="Arial" w:cs="Arial"/>
      <w:i/>
      <w:iCs/>
      <w:sz w:val="21"/>
      <w:szCs w:val="21"/>
    </w:rPr>
  </w:style>
  <w:style w:type="paragraph" w:styleId="705">
    <w:name w:val="List Paragraph"/>
    <w:basedOn w:val="651"/>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basedOn w:val="661"/>
    <w:link w:val="687"/>
    <w:uiPriority w:val="10"/>
    <w:qFormat/>
    <w:rPr>
      <w:sz w:val="48"/>
      <w:szCs w:val="48"/>
    </w:rPr>
  </w:style>
  <w:style w:type="character" w:styleId="708" w:customStyle="1">
    <w:name w:val="Subtitle Char"/>
    <w:basedOn w:val="661"/>
    <w:link w:val="680"/>
    <w:uiPriority w:val="11"/>
    <w:qFormat/>
    <w:rPr>
      <w:sz w:val="24"/>
      <w:szCs w:val="24"/>
    </w:rPr>
  </w:style>
  <w:style w:type="paragraph" w:styleId="709">
    <w:name w:val="Quote"/>
    <w:basedOn w:val="651"/>
    <w:next w:val="651"/>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51"/>
    <w:next w:val="651"/>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basedOn w:val="661"/>
    <w:uiPriority w:val="99"/>
    <w:qFormat/>
  </w:style>
  <w:style w:type="character" w:styleId="714" w:customStyle="1">
    <w:name w:val="Footer Char"/>
    <w:basedOn w:val="661"/>
    <w:uiPriority w:val="99"/>
    <w:qFormat/>
  </w:style>
  <w:style w:type="character" w:styleId="715" w:customStyle="1">
    <w:name w:val="Caption Char"/>
    <w:uiPriority w:val="99"/>
    <w:qFormat/>
  </w:style>
  <w:style w:type="table" w:styleId="716"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6"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6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5" w:customStyle="1">
    <w:name w:val="Grid Table 4 - Accent 2"/>
    <w:basedOn w:val="6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6" w:customStyle="1">
    <w:name w:val="Grid Table 4 - Accent 3"/>
    <w:basedOn w:val="6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7" w:customStyle="1">
    <w:name w:val="Grid Table 4 - Accent 4"/>
    <w:basedOn w:val="6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8" w:customStyle="1">
    <w:name w:val="Grid Table 4 - Accent 5"/>
    <w:basedOn w:val="66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9" w:customStyle="1">
    <w:name w:val="Grid Table 4 - Accent 6"/>
    <w:basedOn w:val="6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0"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2"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3"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4"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5"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6"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7"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basedOn w:val="66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9" w:customStyle="1">
    <w:name w:val="Grid Table 6 Colorful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0" w:customStyle="1">
    <w:name w:val="Grid Table 6 Colorful - Accent 3"/>
    <w:basedOn w:val="6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1" w:customStyle="1">
    <w:name w:val="Grid Table 6 Colorful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2" w:customStyle="1">
    <w:name w:val="Grid Table 6 Colorful - Accent 5"/>
    <w:basedOn w:val="66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3" w:customStyle="1">
    <w:name w:val="Grid Table 6 Colorful - Accent 6"/>
    <w:basedOn w:val="6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4" w:customStyle="1">
    <w:name w:val="Grid Table 7 Colorful"/>
    <w:basedOn w:val="6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6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6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6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6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List Table 2"/>
    <w:basedOn w:val="6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6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0" w:customStyle="1">
    <w:name w:val="List Table 2 - Accent 2"/>
    <w:basedOn w:val="6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1" w:customStyle="1">
    <w:name w:val="List Table 2 - Accent 3"/>
    <w:basedOn w:val="6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2" w:customStyle="1">
    <w:name w:val="List Table 2 - Accent 4"/>
    <w:basedOn w:val="6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3" w:customStyle="1">
    <w:name w:val="List Table 2 - Accent 5"/>
    <w:basedOn w:val="66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4" w:customStyle="1">
    <w:name w:val="List Table 2 - Accent 6"/>
    <w:basedOn w:val="6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5" w:customStyle="1">
    <w:name w:val="List Table 3"/>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6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3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6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2"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6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4 - Accent 2"/>
    <w:basedOn w:val="6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5" w:customStyle="1">
    <w:name w:val="List Table 4 - Accent 3"/>
    <w:basedOn w:val="6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6" w:customStyle="1">
    <w:name w:val="List Table 4 - Accent 4"/>
    <w:basedOn w:val="6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7" w:customStyle="1">
    <w:name w:val="List Table 4 - Accent 5"/>
    <w:basedOn w:val="66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8" w:customStyle="1">
    <w:name w:val="List Table 4 - Accent 6"/>
    <w:basedOn w:val="6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9"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basedOn w:val="66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basedOn w:val="6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basedOn w:val="6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basedOn w:val="6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basedOn w:val="66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basedOn w:val="6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6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basedOn w:val="66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8" w:customStyle="1">
    <w:name w:val="List Table 6 Colorful - Accent 2"/>
    <w:basedOn w:val="6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9" w:customStyle="1">
    <w:name w:val="List Table 6 Colorful - Accent 3"/>
    <w:basedOn w:val="6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0" w:customStyle="1">
    <w:name w:val="List Table 6 Colorful - Accent 4"/>
    <w:basedOn w:val="6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1" w:customStyle="1">
    <w:name w:val="List Table 6 Colorful - Accent 5"/>
    <w:basedOn w:val="66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2" w:customStyle="1">
    <w:name w:val="List Table 6 Colorful - Accent 6"/>
    <w:basedOn w:val="6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3"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6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6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Lined - Accent 2"/>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Lined - Accent 3"/>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Lined - Accent 5"/>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6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Bordered &amp; Lined - Accent 2"/>
    <w:basedOn w:val="6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Bordered &amp; Lined - Accent 3"/>
    <w:basedOn w:val="6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Bordered &amp; Lined - Accent 4"/>
    <w:basedOn w:val="6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Bordered &amp; Lined - Accent 5"/>
    <w:basedOn w:val="66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Bordered &amp; Lined - Accent 6"/>
    <w:basedOn w:val="6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6" w:customStyle="1">
    <w:name w:val="Bordered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7" w:customStyle="1">
    <w:name w:val="Bordered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8" w:customStyle="1">
    <w:name w:val="Bordered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9" w:customStyle="1">
    <w:name w:val="Bordered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0" w:customStyle="1">
    <w:name w:val="Bordered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1" w:customStyle="1">
    <w:name w:val="Footnote Text Char"/>
    <w:link w:val="681"/>
    <w:uiPriority w:val="99"/>
    <w:qFormat/>
    <w:rPr>
      <w:sz w:val="18"/>
    </w:rPr>
  </w:style>
  <w:style w:type="character" w:styleId="842" w:customStyle="1">
    <w:name w:val="Endnote Text Char"/>
    <w:link w:val="675"/>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普通正文"/>
    <w:basedOn w:val="651"/>
    <w:uiPriority w:val="99"/>
    <w:qFormat/>
    <w:pPr>
      <w:ind w:firstLine="480"/>
      <w:jc w:val="left"/>
      <w:spacing w:before="120" w:after="120" w:line="360" w:lineRule="auto"/>
    </w:pPr>
    <w:rPr>
      <w:rFonts w:ascii="Arial" w:hAnsi="Arial"/>
      <w:sz w:val="24"/>
      <w:szCs w:val="24"/>
    </w:rPr>
  </w:style>
  <w:style w:type="paragraph" w:styleId="845" w:customStyle="1">
    <w:name w:val="标题 311"/>
    <w:basedOn w:val="651"/>
    <w:next w:val="651"/>
    <w:uiPriority w:val="9"/>
    <w:unhideWhenUsed/>
    <w:qFormat/>
    <w:pPr>
      <w:keepLines/>
      <w:keepNext/>
      <w:spacing w:before="320" w:after="200"/>
      <w:outlineLvl w:val="2"/>
    </w:pPr>
    <w:rPr>
      <w:rFonts w:ascii="Arial" w:hAnsi="Arial" w:eastAsia="Arial" w:cs="Arial"/>
      <w:sz w:val="30"/>
      <w:szCs w:val="30"/>
    </w:rPr>
  </w:style>
  <w:style w:type="character" w:styleId="846" w:customStyle="1">
    <w:name w:val="页眉 Char"/>
    <w:basedOn w:val="661"/>
    <w:link w:val="677"/>
    <w:uiPriority w:val="0"/>
    <w:qFormat/>
    <w:rPr>
      <w:rFonts w:asciiTheme="minorHAnsi" w:hAnsiTheme="minorHAnsi" w:eastAsiaTheme="minorEastAsia" w:cstheme="minorBidi"/>
      <w:sz w:val="18"/>
      <w:szCs w:val="18"/>
    </w:rPr>
  </w:style>
  <w:style w:type="character" w:styleId="847" w:customStyle="1">
    <w:name w:val="页脚 Char"/>
    <w:basedOn w:val="661"/>
    <w:link w:val="676"/>
    <w:uiPriority w:val="0"/>
    <w:qFormat/>
    <w:rPr>
      <w:rFonts w:asciiTheme="minorHAnsi" w:hAnsiTheme="minorHAnsi" w:eastAsiaTheme="minorEastAsia" w:cstheme="minorBidi"/>
      <w:sz w:val="18"/>
      <w:szCs w:val="18"/>
    </w:rPr>
  </w:style>
  <w:style w:type="paragraph" w:styleId="848" w:customStyle="1">
    <w:name w:val="一级条标题"/>
    <w:basedOn w:val="849"/>
    <w:next w:val="850"/>
    <w:uiPriority w:val="99"/>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49" w:customStyle="1">
    <w:name w:val="章标题"/>
    <w:next w:val="6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0" w:customStyle="1">
    <w:name w:val="段"/>
    <w:next w:val="85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51" w:customStyle="1">
    <w:name w:val="正文 A"/>
    <w:next w:val="850"/>
    <w:uiPriority w:val="0"/>
    <w:qFormat/>
    <w:pPr>
      <w:jc w:val="both"/>
      <w:widowControl w:val="off"/>
    </w:pPr>
    <w:rPr>
      <w:rFonts w:hint="default" w:ascii="Times New Roman" w:hAnsi="Times New Roman" w:eastAsia="Calibri" w:cs="Calibri"/>
      <w:color w:val="000000"/>
      <w:sz w:val="21"/>
      <w:szCs w:val="21"/>
    </w:rPr>
  </w:style>
  <w:style w:type="paragraph" w:styleId="852" w:customStyle="1">
    <w:name w:val="首行缩进"/>
    <w:basedOn w:val="651"/>
    <w:uiPriority w:val="0"/>
    <w:qFormat/>
    <w:pPr>
      <w:ind w:firstLine="480"/>
      <w:spacing w:line="360" w:lineRule="auto"/>
    </w:pPr>
    <w:rPr>
      <w:rFonts w:ascii="宋体" w:hAnsi="宋体" w:cs="宋体"/>
      <w:sz w:val="24"/>
    </w:rPr>
  </w:style>
  <w:style w:type="paragraph" w:styleId="853" w:customStyle="1">
    <w:name w:val="p0"/>
    <w:basedOn w:val="651"/>
    <w:uiPriority w:val="0"/>
    <w:qFormat/>
    <w:pPr>
      <w:widowControl/>
    </w:pPr>
    <w:rPr>
      <w:rFonts w:ascii="Times New Roman" w:hAnsi="Times New Roman"/>
    </w:rPr>
  </w:style>
  <w:style w:type="paragraph" w:styleId="854" w:customStyle="1">
    <w:name w:val="正文文本1"/>
    <w:basedOn w:val="651"/>
    <w:next w:val="855"/>
    <w:uiPriority w:val="99"/>
    <w:qFormat/>
    <w:rPr>
      <w:rFonts w:ascii="华文中宋" w:eastAsia="华文中宋"/>
      <w:bCs/>
      <w:sz w:val="28"/>
    </w:rPr>
  </w:style>
  <w:style w:type="paragraph" w:styleId="855" w:customStyle="1">
    <w:name w:val="列表1"/>
    <w:basedOn w:val="651"/>
    <w:uiPriority w:val="99"/>
    <w:qFormat/>
    <w:pPr>
      <w:contextualSpacing/>
      <w:ind w:left="200" w:hanging="200"/>
      <w:spacing w:line="240" w:lineRule="auto"/>
    </w:pPr>
    <w:rPr>
      <w:rFonts w:ascii="Times New Roman" w:hAnsi="Times New Roman"/>
    </w:rPr>
  </w:style>
  <w:style w:type="paragraph" w:styleId="85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57" w:customStyle="1">
    <w:name w:val="普通(网站)11"/>
    <w:basedOn w:val="651"/>
    <w:uiPriority w:val="0"/>
    <w:unhideWhenUsed/>
    <w:qFormat/>
    <w:pPr>
      <w:ind w:firstLine="5742"/>
      <w:jc w:val="center"/>
      <w:spacing w:before="100" w:beforeAutospacing="1" w:after="100" w:afterAutospacing="1"/>
      <w:widowControl/>
    </w:pPr>
    <w:rPr>
      <w:rFonts w:asciiTheme="majorEastAsia" w:hAnsiTheme="majorEastAsia" w:eastAsiaTheme="majorEastAsia"/>
      <w:b/>
      <w:sz w:val="44"/>
    </w:rPr>
  </w:style>
  <w:style w:type="paragraph" w:styleId="858" w:customStyle="1">
    <w:name w:val="Char"/>
    <w:basedOn w:val="651"/>
    <w:uiPriority w:val="0"/>
    <w:qFormat/>
    <w:pPr>
      <w:tabs>
        <w:tab w:val="left" w:pos="360" w:leader="none"/>
      </w:tabs>
    </w:pPr>
    <w:rPr>
      <w:sz w:val="24"/>
    </w:rPr>
  </w:style>
  <w:style w:type="paragraph" w:styleId="859" w:customStyle="1">
    <w:name w:val="普通(网站)1"/>
    <w:basedOn w:val="651"/>
    <w:uiPriority w:val="99"/>
    <w:qFormat/>
    <w:pPr>
      <w:spacing w:before="100" w:beforeAutospacing="1" w:after="100" w:afterAutospacing="1"/>
      <w:widowControl/>
    </w:pPr>
    <w:rPr>
      <w:sz w:val="24"/>
    </w:rPr>
  </w:style>
  <w:style w:type="paragraph" w:styleId="860" w:customStyle="1">
    <w:name w:val="正文缩进11"/>
    <w:basedOn w:val="651"/>
    <w:uiPriority w:val="0"/>
    <w:qFormat/>
    <w:rPr>
      <w:szCs w:val="20"/>
    </w:rPr>
  </w:style>
  <w:style w:type="paragraph" w:styleId="861" w:customStyle="1">
    <w:name w:val="标题 211"/>
    <w:basedOn w:val="651"/>
    <w:next w:val="651"/>
    <w:uiPriority w:val="0"/>
    <w:qFormat/>
    <w:pPr>
      <w:jc w:val="center"/>
      <w:keepLines/>
      <w:keepNext/>
      <w:spacing w:before="260" w:after="260" w:line="416" w:lineRule="auto"/>
      <w:outlineLvl w:val="1"/>
    </w:pPr>
    <w:rPr>
      <w:rFonts w:ascii="Arial" w:hAnsi="Arial" w:eastAsia="幼圆"/>
      <w:b/>
      <w:sz w:val="44"/>
      <w:szCs w:val="20"/>
    </w:rPr>
  </w:style>
  <w:style w:type="paragraph" w:styleId="862" w:customStyle="1">
    <w:name w:val="表内文字"/>
    <w:basedOn w:val="651"/>
    <w:uiPriority w:val="0"/>
    <w:qFormat/>
    <w:pPr>
      <w:jc w:val="center"/>
      <w:spacing w:line="360" w:lineRule="auto"/>
      <w:tabs>
        <w:tab w:val="left" w:pos="1418" w:leader="none"/>
      </w:tabs>
    </w:pPr>
    <w:rPr>
      <w:rFonts w:hint="eastAsia" w:ascii="仿宋_GB2312" w:eastAsia="仿宋_GB2312"/>
      <w:spacing w:val="-20"/>
      <w:sz w:val="24"/>
    </w:rPr>
  </w:style>
  <w:style w:type="character" w:styleId="863" w:customStyle="1">
    <w:name w:val="font41"/>
    <w:basedOn w:val="661"/>
    <w:uiPriority w:val="0"/>
    <w:qFormat/>
    <w:rPr>
      <w:rFonts w:hint="eastAsia" w:ascii="宋体" w:hAnsi="宋体" w:eastAsia="宋体" w:cs="宋体"/>
      <w:color w:val="000000"/>
      <w:sz w:val="20"/>
      <w:szCs w:val="20"/>
      <w:u w:val="none"/>
    </w:rPr>
  </w:style>
  <w:style w:type="paragraph" w:styleId="864" w:customStyle="1">
    <w:name w:val="正文首行缩进1"/>
    <w:next w:val="65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29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陈洋</cp:lastModifiedBy>
  <cp:revision>278</cp:revision>
  <dcterms:created xsi:type="dcterms:W3CDTF">2014-10-29T12:08:00Z</dcterms:created>
  <dcterms:modified xsi:type="dcterms:W3CDTF">2024-11-11T00:31:34Z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CED784886BD046989B385476794BD472_13</vt:lpwstr>
  </property>
</Properties>
</file>