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83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831"/>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 xml:space="preserve">（暗标）</w:t>
      </w:r>
      <w:r/>
    </w:p>
    <w:p>
      <w:pPr>
        <w:pStyle w:val="8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JSZC-320213-JZCG-G2024-0069</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无锡市梁溪区水利闸泵站联调联控信息化项目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无锡市梁溪区防汛设施管理站</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8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1"/>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无锡市公共资源交易中心梁溪分中心</w:t>
      </w:r>
      <w:r/>
    </w:p>
    <w:p>
      <w:pPr>
        <w:pStyle w:val="83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rPr>
        <w:t xml:space="preserve">一</w:t>
      </w:r>
      <w:r>
        <w:rPr>
          <w:rFonts w:hint="eastAsia" w:ascii="黑体" w:hAnsi="华文中宋" w:eastAsia="黑体"/>
          <w:bCs/>
          <w:color w:val="auto"/>
          <w:sz w:val="32"/>
          <w:szCs w:val="32"/>
          <w:highlight w:val="none"/>
        </w:rPr>
        <w:t xml:space="preserve">月</w:t>
      </w:r>
      <w:r/>
    </w:p>
    <w:p>
      <w:pPr>
        <w:pStyle w:val="83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无锡市梁溪区防汛设施管理站</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无锡市公共资源交易中心梁溪分中心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无锡市梁溪区水利闸泵站联调联控信息化项目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JSZC-320213-JZCG-G2024-0069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无锡市梁溪区水利闸泵站联调联控信息化项目</w:t>
      </w:r>
      <w:r>
        <w:rPr>
          <w:rFonts w:hint="eastAsia" w:ascii="宋体" w:hAnsi="宋体"/>
          <w:color w:val="auto"/>
          <w:sz w:val="24"/>
          <w:szCs w:val="24"/>
          <w:highlight w:val="none"/>
        </w:rPr>
        <w:t xml:space="preserve">采购项目的潜在投标人应在“无锡政府采购网”“江苏政府采购网”自行浏览招标文件，如有投标意向须在本招标文件有效获取期内通过登录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w:t>
      </w:r>
      <w:r>
        <w:rPr>
          <w:rFonts w:hint="eastAsia" w:ascii="宋体" w:hAnsi="宋体"/>
          <w:color w:val="auto"/>
          <w:sz w:val="24"/>
          <w:szCs w:val="24"/>
          <w:highlight w:val="none"/>
          <w:lang w:val="en-US" w:eastAsia="zh-CN"/>
        </w:rPr>
        <w:t xml:space="preserve">25年2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49"/>
        <w:ind w:firstLine="452"/>
        <w:keepLines w:val="0"/>
        <w:keepNext w:val="0"/>
        <w:spacing w:before="0" w:after="0" w:line="500" w:lineRule="exact"/>
        <w:rPr>
          <w:color w:val="auto"/>
          <w:sz w:val="30"/>
          <w:szCs w:val="30"/>
          <w:highlight w:val="none"/>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JSZC-320213-JZCG-G2024-0069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无锡市梁溪区水利闸泵站联调联控信息化项目</w:t>
      </w:r>
      <w:bookmarkEnd w:id="1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998.77</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998.77</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749"/>
        <w:ind w:firstLine="452"/>
        <w:keepLines w:val="0"/>
        <w:keepNext w:val="0"/>
        <w:spacing w:before="0" w:after="0" w:line="500" w:lineRule="exact"/>
        <w:rPr>
          <w:color w:val="auto"/>
          <w:sz w:val="30"/>
          <w:szCs w:val="30"/>
          <w:highlight w:val="none"/>
        </w:rPr>
      </w:pPr>
      <w:r/>
      <w:bookmarkStart w:id="12" w:name="_Toc35393622"/>
      <w:r/>
      <w:bookmarkStart w:id="13" w:name="_Toc28359080"/>
      <w:r/>
      <w:bookmarkStart w:id="14" w:name="_Toc38985264"/>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sz w:val="24"/>
          <w:szCs w:val="24"/>
          <w:highlight w:val="none"/>
        </w:rPr>
        <w:t xml:space="preserve">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74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82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4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rPr>
        <w:t xml:space="preserve">2月</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49"/>
        <w:ind w:firstLine="452"/>
        <w:keepLines w:val="0"/>
        <w:keepNext w:val="0"/>
        <w:spacing w:before="0" w:after="0" w:line="500" w:lineRule="exact"/>
        <w:rPr>
          <w:color w:val="auto"/>
          <w:sz w:val="30"/>
          <w:szCs w:val="30"/>
          <w:highlight w:val="none"/>
        </w:rPr>
      </w:pPr>
      <w:r/>
      <w:bookmarkStart w:id="27" w:name="_Toc35393794"/>
      <w:r/>
      <w:bookmarkStart w:id="28" w:name="_Toc35393625"/>
      <w:r/>
      <w:bookmarkStart w:id="29" w:name="_Toc38985267"/>
      <w:r/>
      <w:bookmarkStart w:id="30" w:name="_Toc28359084"/>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4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49"/>
        <w:ind w:firstLine="452"/>
        <w:keepLines w:val="0"/>
        <w:keepNext w:val="0"/>
        <w:spacing w:before="0" w:after="0" w:line="500" w:lineRule="exact"/>
        <w:rPr>
          <w:color w:val="auto"/>
          <w:sz w:val="30"/>
          <w:szCs w:val="30"/>
          <w:highlight w:val="none"/>
        </w:rPr>
      </w:pPr>
      <w:r/>
      <w:bookmarkStart w:id="35" w:name="_Toc35393627"/>
      <w:r/>
      <w:bookmarkStart w:id="36" w:name="_Toc28359008"/>
      <w:r/>
      <w:bookmarkStart w:id="37" w:name="_Toc35393796"/>
      <w:r/>
      <w:bookmarkStart w:id="38" w:name="_Toc38985269"/>
      <w:r/>
      <w:bookmarkStart w:id="39" w:name="_Toc28359085"/>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无锡市梁溪区防汛设施管理站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通扬南路280号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无锡市公共资源交易中心梁溪分中心</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梁溪区清名路380号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孙振</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0510-82604947</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金杰</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0510-82604947</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王湉湉</w:t>
      </w:r>
      <w:r>
        <w:rPr>
          <w:rFonts w:hint="eastAsia" w:ascii="宋体" w:hAnsi="宋体" w:cs="宋体"/>
          <w:color w:val="auto"/>
          <w:sz w:val="24"/>
          <w:szCs w:val="24"/>
          <w:highlight w:val="none"/>
        </w:rPr>
        <w:t xml:space="preserve">；电话：0510-8</w:t>
      </w:r>
      <w:r>
        <w:rPr>
          <w:rFonts w:hint="eastAsia" w:ascii="宋体" w:hAnsi="宋体" w:cs="宋体"/>
          <w:color w:val="auto"/>
          <w:sz w:val="24"/>
          <w:szCs w:val="24"/>
          <w:highlight w:val="none"/>
          <w:lang w:val="en-US" w:eastAsia="zh-CN"/>
        </w:rPr>
        <w:t xml:space="preserve">5058802</w:t>
      </w:r>
      <w:r/>
    </w:p>
    <w:p>
      <w:pPr>
        <w:pStyle w:val="74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749"/>
        <w:ind w:firstLine="452"/>
        <w:keepLines w:val="0"/>
        <w:keepNext w:val="0"/>
        <w:spacing w:before="0" w:after="0" w:line="500" w:lineRule="exact"/>
        <w:rPr>
          <w:rFonts w:hint="eastAsia"/>
          <w:color w:val="auto"/>
          <w:sz w:val="30"/>
          <w:szCs w:val="30"/>
          <w:highlight w:val="none"/>
        </w:rPr>
      </w:pPr>
      <w:r/>
      <w:bookmarkStart w:id="47" w:name="_Toc120614214"/>
      <w:r/>
      <w:bookmarkStart w:id="48" w:name="_Toc20823275"/>
      <w:r/>
      <w:bookmarkStart w:id="49" w:name="_Toc513029203"/>
      <w:r/>
      <w:bookmarkStart w:id="50" w:name="_Toc16938519"/>
      <w:r>
        <w:rPr>
          <w:rFonts w:hint="eastAsia"/>
          <w:color w:val="auto"/>
          <w:sz w:val="30"/>
          <w:szCs w:val="30"/>
          <w:highlight w:val="none"/>
        </w:rPr>
        <w:t xml:space="preserve">一、总则</w:t>
      </w:r>
      <w:bookmarkEnd w:id="47"/>
      <w:r/>
      <w:bookmarkEnd w:id="48"/>
      <w:r/>
      <w:bookmarkEnd w:id="49"/>
      <w:r/>
      <w:bookmarkEnd w:id="50"/>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55" w:name="_Toc16938521"/>
      <w:r/>
      <w:bookmarkStart w:id="56" w:name="_Toc513029205"/>
      <w:r/>
      <w:bookmarkStart w:id="57" w:name="_Toc20823277"/>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61" w:name="_Toc462564067"/>
      <w:r/>
      <w:bookmarkStart w:id="62" w:name="_Toc20823279"/>
      <w:r/>
      <w:bookmarkStart w:id="63" w:name="_Toc513029207"/>
      <w:r/>
      <w:bookmarkStart w:id="64" w:name="_Toc16938523"/>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无锡市公共资源交易中心梁溪分中心</w:t>
      </w:r>
      <w:r>
        <w:rPr>
          <w:rFonts w:hint="eastAsia" w:ascii="宋体" w:hAnsi="宋体"/>
          <w:color w:val="auto"/>
          <w:sz w:val="24"/>
          <w:highlight w:val="none"/>
        </w:rPr>
        <w:t xml:space="preserve">（以下简称交易中心）在任何情况下均无义务和责任承担这些费用。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749"/>
        <w:ind w:firstLine="452"/>
        <w:keepLines w:val="0"/>
        <w:keepNext w:val="0"/>
        <w:spacing w:before="0" w:after="0" w:line="500" w:lineRule="exact"/>
        <w:rPr>
          <w:rFonts w:hint="eastAsia"/>
          <w:color w:val="auto"/>
          <w:sz w:val="30"/>
          <w:szCs w:val="30"/>
          <w:highlight w:val="none"/>
        </w:rPr>
      </w:pPr>
      <w:r/>
      <w:bookmarkStart w:id="65" w:name="_Toc20823281"/>
      <w:r/>
      <w:bookmarkStart w:id="66" w:name="_Toc120614215"/>
      <w:r/>
      <w:bookmarkStart w:id="67" w:name="_Toc513029209"/>
      <w:r/>
      <w:bookmarkStart w:id="68" w:name="_Toc16938525"/>
      <w:r>
        <w:rPr>
          <w:rFonts w:hint="eastAsia"/>
          <w:color w:val="auto"/>
          <w:sz w:val="30"/>
          <w:szCs w:val="30"/>
          <w:highlight w:val="none"/>
        </w:rPr>
        <w:t xml:space="preserve">二、招标文件</w:t>
      </w:r>
      <w:bookmarkEnd w:id="65"/>
      <w:r/>
      <w:bookmarkEnd w:id="66"/>
      <w:r/>
      <w:bookmarkEnd w:id="67"/>
      <w:r/>
      <w:bookmarkEnd w:id="68"/>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72" w:name="_Toc462564070"/>
      <w:r/>
      <w:bookmarkStart w:id="73" w:name="_Toc16938527"/>
      <w:r/>
      <w:bookmarkStart w:id="74" w:name="_Toc20823283"/>
      <w:r/>
      <w:bookmarkStart w:id="75" w:name="_Toc513029211"/>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bookmarkStart w:id="76" w:name="_Toc513029212"/>
      <w:r/>
      <w:bookmarkStart w:id="77" w:name="_Toc16938528"/>
      <w:r/>
      <w:bookmarkStart w:id="78" w:name="_Toc20823284"/>
      <w:r/>
      <w:bookmarkStart w:id="79" w:name="_Toc462564071"/>
      <w:r>
        <w:rPr>
          <w:rFonts w:hint="eastAsia" w:ascii="宋体" w:hAnsi="宋体"/>
          <w:bCs/>
          <w:color w:val="auto"/>
          <w:sz w:val="24"/>
        </w:rPr>
        <w:t xml:space="preserve">7.1交易中心根据采购人要求将于以下时间、地点公开组织召开开标前答疑会。投标人如有需要对招标文件要求澄清的问题，请于答疑会前</w:t>
      </w:r>
      <w:r>
        <w:rPr>
          <w:rFonts w:hint="eastAsia" w:ascii="宋体" w:hAnsi="宋体"/>
          <w:color w:val="auto"/>
          <w:sz w:val="24"/>
        </w:rPr>
        <w:t xml:space="preserve">按招标公告</w:t>
      </w:r>
      <w:r>
        <w:rPr>
          <w:rFonts w:hint="eastAsia" w:ascii="宋体" w:hAnsi="宋体"/>
          <w:bCs/>
          <w:color w:val="auto"/>
          <w:sz w:val="24"/>
        </w:rPr>
        <w:t xml:space="preserve">或招标文件中</w:t>
      </w:r>
      <w:r>
        <w:rPr>
          <w:rFonts w:hint="eastAsia" w:ascii="宋体" w:hAnsi="宋体"/>
          <w:color w:val="auto"/>
          <w:sz w:val="24"/>
        </w:rPr>
        <w:t xml:space="preserve">的联系方式以书面形式通知交易中心，或可于答疑会时将其带至现</w:t>
      </w:r>
      <w:r>
        <w:rPr>
          <w:rFonts w:hint="eastAsia" w:ascii="宋体" w:hAnsi="宋体"/>
          <w:color w:val="auto"/>
          <w:sz w:val="24"/>
          <w:highlight w:val="none"/>
        </w:rPr>
        <w:t xml:space="preserve">场。</w:t>
      </w:r>
      <w:r/>
    </w:p>
    <w:p>
      <w:pPr>
        <w:ind w:firstLine="480"/>
        <w:spacing w:line="5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答疑会时间：202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13日10:</w:t>
      </w:r>
      <w:r>
        <w:rPr>
          <w:rFonts w:hint="eastAsia" w:ascii="宋体" w:hAnsi="宋体"/>
          <w:bCs/>
          <w:color w:val="auto"/>
          <w:sz w:val="24"/>
          <w:szCs w:val="24"/>
          <w:highlight w:val="none"/>
          <w:lang w:val="en-US" w:eastAsia="zh-CN"/>
        </w:rPr>
        <w:t xml:space="preserve">30</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highlight w:val="none"/>
        </w:rPr>
        <w:t xml:space="preserve">答疑会地点：无锡市公共资源交易中心梁溪分中心开标</w:t>
      </w:r>
      <w:r>
        <w:rPr>
          <w:rFonts w:hint="eastAsia" w:ascii="宋体" w:hAnsi="宋体"/>
          <w:bCs/>
          <w:color w:val="auto"/>
          <w:sz w:val="24"/>
          <w:szCs w:val="24"/>
        </w:rPr>
        <w:t xml:space="preserve">一室（清名路380号6楼）</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749"/>
        <w:ind w:firstLine="452"/>
        <w:keepLines w:val="0"/>
        <w:keepNext w:val="0"/>
        <w:spacing w:before="0" w:after="0" w:line="500" w:lineRule="exact"/>
        <w:rPr>
          <w:rFonts w:hint="eastAsia"/>
          <w:color w:val="auto"/>
          <w:sz w:val="30"/>
          <w:szCs w:val="30"/>
          <w:highlight w:val="none"/>
        </w:rPr>
      </w:pPr>
      <w:r/>
      <w:bookmarkStart w:id="80" w:name="_Toc513029213"/>
      <w:r/>
      <w:bookmarkStart w:id="81" w:name="_Toc16938529"/>
      <w:r/>
      <w:bookmarkStart w:id="82" w:name="_Toc20823285"/>
      <w:r/>
      <w:bookmarkStart w:id="83" w:name="_Toc462564072"/>
      <w:r/>
      <w:bookmarkStart w:id="84" w:name="_Toc120614216"/>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rPr>
      </w:pPr>
      <w:r>
        <w:rPr>
          <w:rFonts w:hint="eastAsia" w:ascii="宋体" w:hAnsi="宋体"/>
          <w:bCs/>
          <w:color w:val="auto"/>
          <w:sz w:val="24"/>
          <w:szCs w:val="24"/>
        </w:rPr>
        <w:t xml:space="preserve">9.3投标文件由投标人按给定格式如实填写（编写），须有法人（盖章）、法定代表人或法定代表人授权代表签字或盖章，方为有效，未尽事宜可自行补充。</w:t>
      </w:r>
      <w:r/>
    </w:p>
    <w:p>
      <w:pPr>
        <w:ind w:firstLine="480"/>
        <w:keepLines w:val="0"/>
        <w:keepNext w:val="0"/>
        <w:pageBreakBefore w:val="0"/>
        <w:spacing w:line="500" w:lineRule="exact"/>
        <w:widowControl w:val="off"/>
        <w:rPr>
          <w:rFonts w:hint="eastAsia" w:ascii="宋体" w:hAnsi="宋体"/>
          <w:bCs/>
          <w:color w:val="auto"/>
          <w:sz w:val="24"/>
          <w:szCs w:val="24"/>
        </w:rPr>
      </w:pPr>
      <w:r>
        <w:rPr>
          <w:rFonts w:hint="eastAsia" w:ascii="宋体" w:hAnsi="宋体"/>
          <w:bCs/>
          <w:color w:val="auto"/>
          <w:sz w:val="24"/>
          <w:szCs w:val="24"/>
          <w:lang w:val="zh-CN"/>
        </w:rPr>
        <w:t xml:space="preserve">9.4如无特别说明，</w:t>
      </w:r>
      <w:r>
        <w:rPr>
          <w:rFonts w:hint="eastAsia" w:ascii="宋体" w:hAnsi="宋体"/>
          <w:bCs/>
          <w:color w:val="auto"/>
          <w:sz w:val="24"/>
          <w:szCs w:val="24"/>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rPr>
      </w:pPr>
      <w:r>
        <w:rPr>
          <w:rFonts w:hint="eastAsia" w:ascii="宋体" w:hAnsi="宋体"/>
          <w:bCs/>
          <w:color w:val="auto"/>
          <w:sz w:val="24"/>
          <w:szCs w:val="24"/>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rPr>
      </w:pPr>
      <w:r>
        <w:rPr>
          <w:rFonts w:hint="eastAsia" w:ascii="宋体" w:hAnsi="宋体"/>
          <w:bCs/>
          <w:color w:val="auto"/>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Cs/>
          <w:color w:val="auto"/>
          <w:sz w:val="24"/>
          <w:szCs w:val="24"/>
        </w:rPr>
      </w:pPr>
      <w:r>
        <w:rPr>
          <w:rFonts w:hint="eastAsia" w:ascii="宋体" w:hAnsi="宋体"/>
          <w:bCs/>
          <w:color w:val="auto"/>
          <w:sz w:val="24"/>
          <w:szCs w:val="24"/>
        </w:rPr>
        <w:t xml:space="preserve">9.7投标费用自理。</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9.8在评分标准中除了投标报价外，还须包含明标（产品和材料及质量检测报告、投标人综合实力）和暗标（技术方案）两大部分，其暗标编制要求如下：</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（1）暗标编制应按采购文件规定的格式制作，要求版面整洁、字迹清楚、不得涂改、不得标注。</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（3）字体、段落、页码、页面布局的设置：</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字体：一级标题为宋体黑色二号字，其余正文均采用宋体黑色小四号字体，不得出现手写。</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段落：使用1.5倍行间距、字间距标准、每段段前空两格。</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页码：页码应当连续居中，不得有空白页。不得设置页眉，页脚只准出现页码，采用黑色小5号阿拉伯数字格式，设在页脚对中位置。</w:t>
      </w:r>
      <w:r/>
    </w:p>
    <w:p>
      <w:pPr>
        <w:ind w:firstLine="482"/>
        <w:keepLines w:val="0"/>
        <w:keepNext w:val="0"/>
        <w:pageBreakBefore w:val="0"/>
        <w:spacing w:line="500" w:lineRule="exact"/>
        <w:widowControl w:val="off"/>
        <w:rPr>
          <w:rFonts w:hint="eastAsia" w:ascii="宋体" w:hAnsi="宋体"/>
          <w:b/>
          <w:color w:val="auto"/>
          <w:sz w:val="24"/>
          <w:szCs w:val="24"/>
        </w:rPr>
      </w:pPr>
      <w:r>
        <w:rPr>
          <w:rFonts w:hint="eastAsia" w:ascii="宋体" w:hAnsi="宋体"/>
          <w:b/>
          <w:color w:val="auto"/>
          <w:sz w:val="24"/>
          <w:szCs w:val="24"/>
        </w:rPr>
        <w:t xml:space="preserve">页面布局：纸张方向纵向、页面底色白色，分栏为一栏。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89" w:name="_Toc462564074"/>
      <w:r/>
      <w:bookmarkStart w:id="90" w:name="_Toc16938531"/>
      <w:r/>
      <w:bookmarkStart w:id="91" w:name="_Toc513029215"/>
      <w:r/>
      <w:bookmarkStart w:id="92" w:name="_Toc20823287"/>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rPr>
        <w:t xml:space="preserve">上述《评标方法与评标标准》中技术部分不得有体现投标人身份的内容是指：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10.4.4不得有其他体现投标人身份的内容。</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w:t>
      </w:r>
      <w:r>
        <w:rPr>
          <w:rFonts w:hint="eastAsia" w:ascii="宋体" w:hAnsi="宋体"/>
          <w:bCs/>
          <w:color w:val="auto"/>
          <w:sz w:val="24"/>
          <w:highlight w:val="none"/>
          <w:lang w:eastAsia="zh-CN"/>
        </w:rPr>
        <w:t xml:space="preserve">件的</w:t>
      </w:r>
      <w:r>
        <w:rPr>
          <w:rFonts w:hint="eastAsia" w:ascii="宋体" w:hAnsi="宋体"/>
          <w:bCs/>
          <w:color w:val="auto"/>
          <w:sz w:val="24"/>
          <w:highlight w:val="none"/>
        </w:rPr>
        <w:t xml:space="preserve">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08" w:name="_Hlt26670486"/>
      <w:r/>
      <w:bookmarkEnd w:id="108"/>
      <w:r/>
      <w:bookmarkStart w:id="109" w:name="_Hlt26954842"/>
      <w:r/>
      <w:bookmarkEnd w:id="109"/>
      <w:r/>
      <w:bookmarkStart w:id="110" w:name="_Hlt26668983"/>
      <w:r/>
      <w:bookmarkEnd w:id="110"/>
      <w:r/>
      <w:bookmarkStart w:id="111" w:name="_Hlt26670482"/>
      <w:r/>
      <w:bookmarkEnd w:id="111"/>
      <w:r/>
      <w:bookmarkStart w:id="112" w:name="_Hlt26954731"/>
      <w:r/>
      <w:bookmarkEnd w:id="112"/>
      <w:r/>
      <w:bookmarkStart w:id="113" w:name="_Hlt26954846"/>
      <w:r/>
      <w:bookmarkEnd w:id="113"/>
      <w:r/>
      <w:bookmarkStart w:id="114" w:name="_Hlt26954848"/>
      <w:r/>
      <w:bookmarkEnd w:id="114"/>
      <w:r/>
      <w:bookmarkStart w:id="115" w:name="_Hlt26670403"/>
      <w:r/>
      <w:bookmarkEnd w:id="115"/>
      <w:r/>
      <w:bookmarkStart w:id="116" w:name="_Hlt26670425"/>
      <w:r/>
      <w:bookmarkEnd w:id="116"/>
      <w:r/>
      <w:bookmarkStart w:id="117" w:name="_Hlt26954844"/>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49"/>
        <w:ind w:firstLine="452"/>
        <w:keepLines w:val="0"/>
        <w:keepNext w:val="0"/>
        <w:spacing w:before="0" w:after="0" w:line="500" w:lineRule="exact"/>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16938540"/>
      <w:r/>
      <w:bookmarkStart w:id="127" w:name="_Toc20823296"/>
      <w:r/>
      <w:bookmarkStart w:id="128" w:name="_Toc120614217"/>
      <w:r>
        <w:rPr>
          <w:rFonts w:hint="eastAsia"/>
          <w:color w:val="auto"/>
          <w:sz w:val="30"/>
          <w:szCs w:val="30"/>
          <w:highlight w:val="none"/>
        </w:rPr>
        <w:t xml:space="preserve">四、投标文件的递交</w:t>
      </w:r>
      <w:bookmarkEnd w:id="125"/>
      <w:r/>
      <w:bookmarkEnd w:id="126"/>
      <w:r/>
      <w:bookmarkEnd w:id="127"/>
      <w:r/>
      <w:bookmarkEnd w:id="128"/>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856"/>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749"/>
        <w:ind w:firstLine="452"/>
        <w:keepLines w:val="0"/>
        <w:keepNext w:val="0"/>
        <w:spacing w:before="0" w:after="0" w:line="500" w:lineRule="exact"/>
        <w:rPr>
          <w:rFonts w:hint="eastAsia"/>
          <w:color w:val="auto"/>
          <w:sz w:val="30"/>
          <w:szCs w:val="30"/>
          <w:highlight w:val="none"/>
        </w:rPr>
      </w:pPr>
      <w:r/>
      <w:bookmarkStart w:id="142" w:name="_Toc20823301"/>
      <w:r/>
      <w:bookmarkStart w:id="143" w:name="_Toc513029229"/>
      <w:r/>
      <w:bookmarkStart w:id="144" w:name="_Toc16938545"/>
      <w:r/>
      <w:bookmarkStart w:id="145" w:name="_Toc120614218"/>
      <w:r>
        <w:rPr>
          <w:rFonts w:hint="eastAsia"/>
          <w:color w:val="auto"/>
          <w:sz w:val="30"/>
          <w:szCs w:val="30"/>
          <w:highlight w:val="none"/>
        </w:rPr>
        <w:t xml:space="preserve">五、开标与评标</w:t>
      </w:r>
      <w:bookmarkEnd w:id="142"/>
      <w:r/>
      <w:bookmarkEnd w:id="143"/>
      <w:r/>
      <w:bookmarkEnd w:id="144"/>
      <w:r/>
      <w:bookmarkEnd w:id="145"/>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46" w:name="_Toc20823302"/>
      <w:r/>
      <w:bookmarkStart w:id="147" w:name="_Toc513029230"/>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w:t>
      </w:r>
      <w:r>
        <w:rPr>
          <w:rFonts w:hint="eastAsia" w:ascii="宋体" w:hAnsi="宋体"/>
          <w:bCs/>
          <w:color w:val="auto"/>
          <w:sz w:val="24"/>
          <w:highlight w:val="none"/>
          <w:lang w:eastAsia="zh-CN"/>
        </w:rPr>
        <w:t xml:space="preserve">投标</w:t>
      </w:r>
      <w:r>
        <w:rPr>
          <w:rFonts w:hint="eastAsia" w:ascii="宋体" w:hAnsi="宋体"/>
          <w:bCs/>
          <w:color w:val="auto"/>
          <w:sz w:val="24"/>
          <w:highlight w:val="none"/>
        </w:rPr>
        <w:t xml:space="preserve">建议等，采购人、评委、交易中心均不得向投标人或与评标无关的其他人员透露。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澄清、说明和补正，其风险由投标人自行承担。</w:t>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55" w:name="_Toc16938549"/>
      <w:r/>
      <w:bookmarkStart w:id="156" w:name="_Toc20823305"/>
      <w:r/>
      <w:bookmarkStart w:id="157" w:name="_Toc513029233"/>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w:t>
      </w:r>
      <w:r>
        <w:rPr>
          <w:rFonts w:hint="eastAsia" w:ascii="宋体" w:hAnsi="宋体"/>
          <w:bCs/>
          <w:color w:val="auto"/>
          <w:sz w:val="24"/>
          <w:highlight w:val="none"/>
          <w:lang w:eastAsia="zh-CN"/>
        </w:rPr>
        <w:t xml:space="preserve">做</w:t>
      </w:r>
      <w:r>
        <w:rPr>
          <w:rFonts w:hint="eastAsia" w:ascii="宋体" w:hAnsi="宋体"/>
          <w:bCs/>
          <w:color w:val="auto"/>
          <w:sz w:val="24"/>
          <w:highlight w:val="none"/>
        </w:rPr>
        <w:t xml:space="preserve">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49"/>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auto"/>
          <w:sz w:val="24"/>
          <w:szCs w:val="24"/>
          <w:highlight w:val="none"/>
          <w:lang w:eastAsia="zh-CN"/>
        </w:rPr>
        <w:t xml:space="preserve">质疑</w:t>
      </w:r>
      <w:r>
        <w:rPr>
          <w:rFonts w:hint="eastAsia" w:ascii="宋体" w:hAnsi="宋体"/>
          <w:color w:val="auto"/>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49"/>
        <w:ind w:firstLine="452"/>
        <w:keepLines w:val="0"/>
        <w:keepNext w:val="0"/>
        <w:spacing w:before="0" w:after="0" w:line="500" w:lineRule="exact"/>
        <w:rPr>
          <w:rFonts w:hint="eastAsia"/>
          <w:color w:val="auto"/>
          <w:sz w:val="30"/>
          <w:szCs w:val="30"/>
          <w:highlight w:val="none"/>
        </w:rPr>
      </w:pPr>
      <w:r/>
      <w:bookmarkStart w:id="169" w:name="_Toc120614220"/>
      <w:r/>
      <w:bookmarkStart w:id="170" w:name="_Toc20823308"/>
      <w:r/>
      <w:bookmarkStart w:id="171" w:name="_Toc16938552"/>
      <w:r/>
      <w:bookmarkStart w:id="172" w:name="_Toc513029236"/>
      <w:r>
        <w:rPr>
          <w:rFonts w:hint="eastAsia"/>
          <w:color w:val="auto"/>
          <w:sz w:val="30"/>
          <w:szCs w:val="30"/>
          <w:highlight w:val="none"/>
        </w:rPr>
        <w:t xml:space="preserve">七、授予合同</w:t>
      </w:r>
      <w:bookmarkEnd w:id="169"/>
      <w:r/>
      <w:bookmarkEnd w:id="170"/>
      <w:r/>
      <w:bookmarkEnd w:id="171"/>
      <w:r/>
      <w:bookmarkEnd w:id="172"/>
      <w:r/>
      <w:r/>
    </w:p>
    <w:p>
      <w:pPr>
        <w:pStyle w:val="750"/>
        <w:ind w:firstLine="422"/>
        <w:keepLines w:val="0"/>
        <w:keepNext w:val="0"/>
        <w:spacing w:before="0" w:after="0" w:line="500" w:lineRule="exact"/>
        <w:rPr>
          <w:rFonts w:hint="eastAsia"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50"/>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748"/>
        <w:jc w:val="center"/>
        <w:spacing w:line="500" w:lineRule="exact"/>
        <w:rPr>
          <w:rFonts w:hint="eastAsia" w:ascii="黑体" w:eastAsia="黑体"/>
          <w:bCs/>
          <w:color w:val="auto"/>
          <w:sz w:val="36"/>
          <w:szCs w:val="36"/>
          <w:highlight w:val="none"/>
        </w:rPr>
      </w:pPr>
      <w:r/>
      <w:bookmarkStart w:id="176" w:name="_Toc16938558"/>
      <w:r/>
      <w:bookmarkStart w:id="177" w:name="_Toc120614221"/>
      <w:r/>
      <w:bookmarkStart w:id="178" w:name="_Toc513029242"/>
      <w:r/>
      <w:bookmarkStart w:id="179" w:name="_Toc479757207"/>
      <w:r/>
      <w:bookmarkStart w:id="180" w:name="_Toc20823314"/>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16938559"/>
      <w:r/>
      <w:bookmarkStart w:id="182" w:name="_Toc513029243"/>
      <w:r/>
      <w:bookmarkStart w:id="183" w:name="_Toc20823315"/>
      <w:r>
        <w:rPr>
          <w:rFonts w:hint="eastAsia" w:ascii="宋体" w:hAnsi="宋体"/>
          <w:bCs/>
          <w:color w:val="auto"/>
          <w:sz w:val="24"/>
          <w:highlight w:val="none"/>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82"/>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782"/>
        <w:spacing w:line="40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782"/>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782"/>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lang w:eastAsia="zh-CN"/>
        </w:rPr>
        <w:t xml:space="preserve">无锡市公共资源交易中心梁溪分中心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p>
    <w:p>
      <w:pPr>
        <w:pStyle w:val="782"/>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p>
    <w:p>
      <w:pPr>
        <w:pStyle w:val="782"/>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 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p>
    <w:p>
      <w:pPr>
        <w:pStyle w:val="782"/>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w:t>
      </w:r>
      <w:r>
        <w:rPr>
          <w:rFonts w:hint="eastAsia" w:hAnsi="宋体"/>
          <w:color w:val="auto"/>
          <w:sz w:val="24"/>
          <w:szCs w:val="24"/>
          <w:highlight w:val="none"/>
          <w:lang w:eastAsia="zh-CN"/>
        </w:rPr>
        <w:t xml:space="preserve">提供基于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p>
    <w:p>
      <w:pPr>
        <w:pStyle w:val="782"/>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2"/>
        <w:spacing w:line="400" w:lineRule="exact"/>
        <w:rPr>
          <w:rFonts w:hint="eastAsia" w:hAnsi="宋体"/>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pStyle w:val="782"/>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782"/>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p>
    <w:p>
      <w:pPr>
        <w:pStyle w:val="782"/>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p>
    <w:p>
      <w:pPr>
        <w:pStyle w:val="782"/>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pStyle w:val="782"/>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pStyle w:val="782"/>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采购人收到发票后10个工作日内，尾款支付比例：合同金额的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p>
    <w:p>
      <w:pPr>
        <w:pStyle w:val="782"/>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（注：根据《关于做好政府采购支持企业发展有关事项的通知》（苏采购</w:t>
      </w:r>
      <w:r>
        <w:rPr>
          <w:rFonts w:hint="eastAsia" w:hAnsi="宋体"/>
          <w:bCs/>
          <w:color w:val="auto"/>
          <w:sz w:val="24"/>
          <w:szCs w:val="24"/>
          <w:highlight w:val="none"/>
          <w:lang w:eastAsia="zh-CN"/>
        </w:rPr>
        <w:t xml:space="preserve">〔2020〕52号</w:t>
      </w:r>
      <w:r>
        <w:rPr>
          <w:rFonts w:hint="eastAsia" w:hAnsi="宋体"/>
          <w:bCs/>
          <w:color w:val="auto"/>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甲方按照采购合同的约定对每一项技术、服务、安全标准的履约情况进行确认。验收结束后</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验收小组出具验收书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列明各项标准的验收情况及项目总体评价</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由验收双方共同签署。验收结果与采购合同约定的资金支付及履约保证金返还条件挂钩。履约验收的各项资料存档备查。</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甲方将及时报告本级财政部门。</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7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p>
    <w:p>
      <w:pPr>
        <w:pStyle w:val="7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w:t>
      </w:r>
      <w:r>
        <w:rPr>
          <w:rFonts w:hint="eastAsia" w:hAnsi="宋体"/>
          <w:b/>
          <w:color w:val="auto"/>
          <w:sz w:val="24"/>
          <w:szCs w:val="24"/>
          <w:highlight w:val="none"/>
          <w:lang w:eastAsia="zh-CN"/>
        </w:rPr>
        <w:t xml:space="preserve">他</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p>
    <w:p>
      <w:pPr>
        <w:pStyle w:val="7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p>
    <w:p>
      <w:pPr>
        <w:pStyle w:val="782"/>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p>
    <w:p>
      <w:pPr>
        <w:pStyle w:val="782"/>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p>
    <w:p>
      <w:pPr>
        <w:pStyle w:val="782"/>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782"/>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p>
    <w:p>
      <w:pPr>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p>
    <w:p>
      <w:pPr>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bookmarkStart w:id="191" w:name="_Toc26554093"/>
      <w:r/>
      <w:bookmarkStart w:id="192" w:name="_Toc49090575"/>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本项目标的物所属行业：软件和信息化服务业</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pStyle w:val="741"/>
        <w:numPr>
          <w:ilvl w:val="0"/>
          <w:numId w:val="1"/>
        </w:numPr>
        <w:keepLines/>
        <w:keepNext/>
        <w:pageBreakBefore w:val="0"/>
        <w:spacing w:before="157" w:line="360" w:lineRule="auto"/>
        <w:widowControl w:val="off"/>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项目背景</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历年以来，</w:t>
      </w:r>
      <w:r>
        <w:rPr>
          <w:rFonts w:hint="eastAsia" w:ascii="宋体" w:hAnsi="宋体" w:cs="宋体"/>
          <w:color w:val="auto"/>
          <w:szCs w:val="21"/>
          <w:highlight w:val="none"/>
        </w:rPr>
        <w:t xml:space="preserve">无锡市梁溪区</w:t>
      </w:r>
      <w:r>
        <w:rPr>
          <w:rFonts w:ascii="宋体" w:hAnsi="宋体" w:cs="宋体"/>
          <w:color w:val="auto"/>
          <w:szCs w:val="21"/>
          <w:highlight w:val="none"/>
        </w:rPr>
        <w:t xml:space="preserve">通过工程调度对城市中心区内河水位进行有效调控；同时通过控制建筑物的灵活调度，引清释污，改善城市中心区水环境，闸泵站发挥着不可替代的作用。但是，闸泵站配套的信息自动化设备</w:t>
      </w:r>
      <w:r>
        <w:rPr>
          <w:rFonts w:hint="eastAsia" w:ascii="宋体" w:hAnsi="宋体" w:cs="宋体"/>
          <w:color w:val="auto"/>
          <w:szCs w:val="21"/>
          <w:highlight w:val="none"/>
        </w:rPr>
        <w:t xml:space="preserve">建设</w:t>
      </w:r>
      <w:r>
        <w:rPr>
          <w:rFonts w:ascii="宋体" w:hAnsi="宋体" w:cs="宋体"/>
          <w:color w:val="auto"/>
          <w:szCs w:val="21"/>
          <w:highlight w:val="none"/>
        </w:rPr>
        <w:t xml:space="preserve">年代久远，</w:t>
      </w:r>
      <w:r>
        <w:rPr>
          <w:rFonts w:hint="eastAsia" w:ascii="宋体" w:hAnsi="宋体" w:cs="宋体"/>
          <w:color w:val="auto"/>
          <w:szCs w:val="21"/>
          <w:highlight w:val="none"/>
        </w:rPr>
        <w:t xml:space="preserve">已经</w:t>
      </w:r>
      <w:r>
        <w:rPr>
          <w:rFonts w:ascii="宋体" w:hAnsi="宋体" w:cs="宋体"/>
          <w:color w:val="auto"/>
          <w:szCs w:val="21"/>
          <w:highlight w:val="none"/>
        </w:rPr>
        <w:t xml:space="preserve">不能满足远程控制的需求</w:t>
      </w:r>
      <w:r>
        <w:rPr>
          <w:rFonts w:hint="eastAsia" w:ascii="宋体" w:hAnsi="宋体" w:cs="宋体"/>
          <w:color w:val="auto"/>
          <w:szCs w:val="21"/>
          <w:highlight w:val="none"/>
        </w:rPr>
        <w:t xml:space="preserve">；且</w:t>
      </w:r>
      <w:r>
        <w:rPr>
          <w:rFonts w:ascii="宋体" w:hAnsi="宋体" w:cs="宋体"/>
          <w:color w:val="auto"/>
          <w:szCs w:val="21"/>
          <w:highlight w:val="none"/>
        </w:rPr>
        <w:t xml:space="preserve">部分系统运行时间长，早期的功能设计已不再满足当今信息技术日益发展的需要</w:t>
      </w:r>
      <w:r>
        <w:rPr>
          <w:rFonts w:hint="eastAsia" w:ascii="宋体" w:hAnsi="宋体" w:cs="宋体"/>
          <w:color w:val="auto"/>
          <w:szCs w:val="21"/>
          <w:highlight w:val="none"/>
        </w:rPr>
        <w:t xml:space="preserve">，</w:t>
      </w:r>
      <w:r>
        <w:rPr>
          <w:rFonts w:ascii="宋体" w:hAnsi="宋体" w:cs="宋体"/>
          <w:color w:val="auto"/>
          <w:szCs w:val="21"/>
          <w:highlight w:val="none"/>
        </w:rPr>
        <w:t xml:space="preserve">对城市防洪工作也带来较严重的负面影响。因此，对现有信息自动化系统进行升级改造，成为当前最为迫切的需求。</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本项目将采用先进的信息化技术，建设水利闸泵站联调联控系统，实现对水利工程的全面监控和自动化控制，提高水利工程的运行效率和管理水平，促进水利工程的可持续发展。</w:t>
      </w:r>
      <w:r/>
    </w:p>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建设目标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本项目以监测感知数字化、日常管理标准化、调度决策科学化、防灾减灾科学化、业务办理协同化与场景应用智能化六大建设目标初步建成“监视全面化、决策智能化、应用移动化”的梁溪区闸泵站联调体系。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1、监测感知数字化。结合工程特性和运行管理需求，将梁溪区闸泵站管理过程中</w:t>
      </w:r>
      <w:r>
        <w:rPr>
          <w:rFonts w:hint="eastAsia" w:ascii="宋体" w:hAnsi="宋体" w:cs="宋体"/>
          <w:color w:val="auto"/>
          <w:szCs w:val="21"/>
          <w:highlight w:val="none"/>
          <w:lang w:eastAsia="zh-CN"/>
        </w:rPr>
        <w:t xml:space="preserve">涉及的</w:t>
      </w:r>
      <w:r>
        <w:rPr>
          <w:rFonts w:hint="eastAsia" w:ascii="宋体" w:hAnsi="宋体" w:cs="宋体"/>
          <w:color w:val="auto"/>
          <w:szCs w:val="21"/>
          <w:highlight w:val="none"/>
        </w:rPr>
        <w:t xml:space="preserve">管理决策基础设施数字化，建立辖区的水情、水量、水利工程安全图像监控、自动化控制等感知监测体系，监测体系覆盖率达到100%，为管理决策提供覆盖辖区所有与运行管理相关的关键节点的感知监测信息。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2、日常管理标准化。按照闸泵站管理的实际需要，结合</w:t>
      </w:r>
      <w:r>
        <w:rPr>
          <w:rFonts w:hint="eastAsia" w:ascii="宋体" w:hAnsi="宋体" w:cs="宋体"/>
          <w:color w:val="auto"/>
          <w:szCs w:val="21"/>
          <w:highlight w:val="none"/>
          <w:lang w:eastAsia="zh-CN"/>
        </w:rPr>
        <w:t xml:space="preserve">“十四五”规划</w:t>
      </w:r>
      <w:r>
        <w:rPr>
          <w:rFonts w:hint="eastAsia" w:ascii="宋体" w:hAnsi="宋体" w:cs="宋体"/>
          <w:color w:val="auto"/>
          <w:szCs w:val="21"/>
          <w:highlight w:val="none"/>
        </w:rPr>
        <w:t xml:space="preserve">要求，将标准化管理中的取、供、用水、防洪、抗旱、应急、事故调度，安全管理、调度运行、维修养护、智能自动控制等工作流程进一步科学化，工程运行管理效率提高10%，提高工程标准化管理水平。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3、调度决策科学化。通过全面感知，大数据分析，人工智能应用，圩区预报调度模型等，实现水量调配的科学决策，提升智慧化管理水平。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4、防灾减灾科学化。通过梁溪区管理范围内的重要闸泵站实现自动化和集约化一体控制、渠道水位预警、重要工程水位预警等手段，基本实现辖区内的</w:t>
      </w:r>
      <w:r>
        <w:rPr>
          <w:rFonts w:hint="eastAsia" w:ascii="宋体" w:hAnsi="宋体" w:cs="宋体"/>
          <w:color w:val="auto"/>
          <w:szCs w:val="21"/>
          <w:highlight w:val="none"/>
          <w:lang w:eastAsia="zh-CN"/>
        </w:rPr>
        <w:t xml:space="preserve">闸</w:t>
      </w:r>
      <w:r>
        <w:rPr>
          <w:rFonts w:hint="eastAsia" w:ascii="宋体" w:hAnsi="宋体" w:cs="宋体"/>
          <w:color w:val="auto"/>
          <w:szCs w:val="21"/>
          <w:highlight w:val="none"/>
        </w:rPr>
        <w:t xml:space="preserve">站调度“无人值班、少人值守”。通过综合监测地图的形式展示预警信息，实现预警推送一核实一反馈一处理的一系列信息化闭环手段，实现对主要工程水位、流量、工情提前进行预警， 达到防汛抗旱、防灾减灾科学化的目标。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业务办理协同化。实现业务的在线协同办理，提高工作效率，加强移动应用系统的建设，可以通过手机查询信息，处理事务。业务协同不仅包含人与人业务协同，还包括设备设施与人的协同，一旦设备设施出现问题时能够及时地与管理人员进行联系，通过信息化手段如检修单等下发工作任务，对设备设施的故障隐患进行排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场景应用智能化。结合水利“数字化”改革、水利部“智慧水利”建设、水利工程“三化”改革等工作要求，在信息监测、监视、监控站点及物联网构建立体感知体系并实现信息管理的基础上，做好信息收集、预测、决策、实施、统计分析、后评估等工作，实现辅助决策、自动控制，通过更透彻的感知、更广泛的互联互通及智能控制， 更广泛的数据仓互联互通，更智能的决策分析依据，达到更科学和先进的管理。</w:t>
      </w:r>
      <w:r/>
    </w:p>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建设内容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本项目建设内容主要包括以下</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个部分：视频监控系统建设、</w:t>
      </w:r>
      <w:bookmarkStart w:id="193" w:name="_Toc103810420"/>
      <w:r/>
      <w:bookmarkStart w:id="194" w:name="_Toc1085735710"/>
      <w:r>
        <w:rPr>
          <w:rFonts w:ascii="宋体" w:hAnsi="宋体" w:cs="宋体"/>
          <w:color w:val="auto"/>
          <w:szCs w:val="21"/>
          <w:highlight w:val="none"/>
        </w:rPr>
        <w:t xml:space="preserve">闸泵</w:t>
      </w:r>
      <w:bookmarkEnd w:id="193"/>
      <w:r/>
      <w:bookmarkEnd w:id="194"/>
      <w:r>
        <w:rPr>
          <w:rFonts w:hint="eastAsia" w:ascii="宋体" w:hAnsi="宋体" w:cs="宋体"/>
          <w:color w:val="auto"/>
          <w:szCs w:val="21"/>
          <w:highlight w:val="none"/>
        </w:rPr>
        <w:t xml:space="preserve">站远程控制与监测系统建设、应用支撑平台和应用系统建设、视频会议系统建设、网络安全</w:t>
      </w:r>
      <w:r>
        <w:rPr>
          <w:rFonts w:hint="eastAsia" w:ascii="宋体" w:hAnsi="宋体" w:cs="宋体"/>
          <w:color w:val="auto"/>
          <w:szCs w:val="21"/>
          <w:highlight w:val="none"/>
          <w:lang w:val="en-US" w:eastAsia="zh-CN"/>
        </w:rPr>
        <w:t xml:space="preserve">设备及软件产品采购、云资源及专线租赁</w:t>
      </w:r>
      <w:r>
        <w:rPr>
          <w:rFonts w:hint="eastAsia" w:ascii="宋体" w:hAnsi="宋体" w:cs="宋体"/>
          <w:color w:val="auto"/>
          <w:szCs w:val="21"/>
          <w:highlight w:val="none"/>
        </w:rPr>
        <w:t xml:space="preserve">服务。</w:t>
      </w:r>
      <w:r/>
    </w:p>
    <w:p>
      <w:pPr>
        <w:ind w:firstLine="422"/>
        <w:spacing w:line="360" w:lineRule="auto"/>
        <w:rPr>
          <w:rFonts w:hint="eastAsia" w:ascii="宋体" w:hAnsi="宋体" w:eastAsia="宋体" w:cs="宋体"/>
          <w:b/>
          <w:color w:val="auto"/>
          <w:szCs w:val="21"/>
          <w:highlight w:val="none"/>
          <w:lang w:val="en-US" w:eastAsia="zh-CN"/>
        </w:rPr>
        <w:outlineLvl w:val="1"/>
      </w:pPr>
      <w:r>
        <w:rPr>
          <w:rFonts w:ascii="宋体" w:hAnsi="宋体" w:cs="宋体"/>
          <w:b/>
          <w:color w:val="auto"/>
          <w:szCs w:val="21"/>
          <w:highlight w:val="none"/>
        </w:rPr>
        <w:t xml:space="preserve">3.1</w:t>
      </w:r>
      <w:r>
        <w:rPr>
          <w:rFonts w:hint="eastAsia" w:ascii="宋体" w:hAnsi="宋体" w:cs="宋体"/>
          <w:b/>
          <w:color w:val="auto"/>
          <w:szCs w:val="21"/>
          <w:highlight w:val="none"/>
        </w:rPr>
        <w:t xml:space="preserve">视频监控系统</w:t>
      </w:r>
      <w:r>
        <w:rPr>
          <w:rFonts w:hint="eastAsia" w:ascii="宋体" w:hAnsi="宋体" w:cs="宋体"/>
          <w:b/>
          <w:color w:val="auto"/>
          <w:szCs w:val="21"/>
          <w:highlight w:val="none"/>
          <w:lang w:val="en-US" w:eastAsia="zh-CN"/>
        </w:rPr>
        <w:t xml:space="preserve">建设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在水闸和泵站管理范围内的重要位置部署视频监控点，实</w:t>
      </w:r>
      <w:r>
        <w:rPr>
          <w:rFonts w:hint="eastAsia" w:ascii="宋体" w:hAnsi="宋体" w:cs="宋体"/>
          <w:color w:val="auto"/>
          <w:szCs w:val="21"/>
          <w:highlight w:val="none"/>
          <w:lang w:eastAsia="zh-CN"/>
        </w:rPr>
        <w:t xml:space="preserve">时</w:t>
      </w:r>
      <w:r>
        <w:rPr>
          <w:rFonts w:hint="eastAsia" w:ascii="宋体" w:hAnsi="宋体" w:cs="宋体"/>
          <w:color w:val="auto"/>
          <w:szCs w:val="21"/>
          <w:highlight w:val="none"/>
        </w:rPr>
        <w:t xml:space="preserve">监控设备运行情况和周围环境。现场的视频图像通过网络传输到水利局管理房内，供工作人员实时查看及回看录像，为闸泵站的无人运行、异地控制，提供安全保障。</w:t>
      </w:r>
      <w:r/>
    </w:p>
    <w:p>
      <w:pPr>
        <w:ind w:firstLine="422"/>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.1.1</w:t>
      </w:r>
      <w:r>
        <w:rPr>
          <w:rFonts w:hint="eastAsia" w:ascii="宋体" w:hAnsi="宋体" w:cs="宋体"/>
          <w:b/>
          <w:color w:val="auto"/>
          <w:szCs w:val="21"/>
          <w:highlight w:val="none"/>
        </w:rPr>
        <w:t xml:space="preserve">站点布设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针对5</w:t>
      </w:r>
      <w:r>
        <w:rPr>
          <w:rFonts w:ascii="宋体" w:hAnsi="宋体" w:cs="宋体"/>
          <w:color w:val="auto"/>
          <w:szCs w:val="21"/>
          <w:highlight w:val="none"/>
        </w:rPr>
        <w:t xml:space="preserve">6</w:t>
      </w:r>
      <w:r>
        <w:rPr>
          <w:rFonts w:hint="eastAsia" w:ascii="宋体" w:hAnsi="宋体" w:cs="宋体"/>
          <w:color w:val="auto"/>
          <w:szCs w:val="21"/>
          <w:highlight w:val="none"/>
        </w:rPr>
        <w:t xml:space="preserve">座闸泵站补充建设1</w:t>
      </w:r>
      <w:r>
        <w:rPr>
          <w:rFonts w:ascii="宋体" w:hAnsi="宋体" w:cs="宋体"/>
          <w:color w:val="auto"/>
          <w:szCs w:val="21"/>
          <w:highlight w:val="none"/>
        </w:rPr>
        <w:t xml:space="preserve">12</w:t>
      </w:r>
      <w:r>
        <w:rPr>
          <w:rFonts w:hint="eastAsia" w:ascii="宋体" w:hAnsi="宋体" w:cs="宋体"/>
          <w:color w:val="auto"/>
          <w:szCs w:val="21"/>
          <w:highlight w:val="none"/>
        </w:rPr>
        <w:t xml:space="preserve">个智能网络球机</w:t>
      </w:r>
      <w:r>
        <w:rPr>
          <w:rFonts w:hint="eastAsia" w:ascii="宋体" w:hAnsi="宋体" w:cs="宋体"/>
          <w:color w:val="auto"/>
          <w:szCs w:val="21"/>
          <w:highlight w:val="none"/>
          <w:lang w:eastAsia="zh-CN"/>
        </w:rPr>
        <w:t xml:space="preserve">及</w:t>
      </w:r>
      <w:r>
        <w:rPr>
          <w:rFonts w:hint="eastAsia" w:ascii="宋体" w:hAnsi="宋体" w:cs="宋体"/>
          <w:color w:val="auto"/>
          <w:szCs w:val="21"/>
          <w:highlight w:val="none"/>
        </w:rPr>
        <w:t xml:space="preserve">5</w:t>
      </w:r>
      <w:r>
        <w:rPr>
          <w:rFonts w:ascii="宋体" w:hAnsi="宋体" w:cs="宋体"/>
          <w:color w:val="auto"/>
          <w:szCs w:val="21"/>
          <w:highlight w:val="none"/>
        </w:rPr>
        <w:t xml:space="preserve">6</w:t>
      </w:r>
      <w:r>
        <w:rPr>
          <w:rFonts w:hint="eastAsia" w:ascii="宋体" w:hAnsi="宋体" w:cs="宋体"/>
          <w:color w:val="auto"/>
          <w:szCs w:val="21"/>
          <w:highlight w:val="none"/>
        </w:rPr>
        <w:t xml:space="preserve">个智能网络筒机和相应N</w:t>
      </w:r>
      <w:r>
        <w:rPr>
          <w:rFonts w:ascii="宋体" w:hAnsi="宋体" w:cs="宋体"/>
          <w:color w:val="auto"/>
          <w:szCs w:val="21"/>
          <w:highlight w:val="none"/>
        </w:rPr>
        <w:t xml:space="preserve">VR</w:t>
      </w:r>
      <w:r>
        <w:rPr>
          <w:rFonts w:hint="eastAsia" w:ascii="宋体" w:hAnsi="宋体" w:cs="宋体"/>
          <w:color w:val="auto"/>
          <w:szCs w:val="21"/>
          <w:highlight w:val="none"/>
        </w:rPr>
        <w:t xml:space="preserve">存储设备，站点监控位置包括闸室、闸门、泵房、上下游河道等。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站点布设位置如下，具体布设位置经现场踏勘后，由项目采购单位指定。</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882"/>
        <w:gridCol w:w="2021"/>
        <w:gridCol w:w="2199"/>
        <w:gridCol w:w="1537"/>
      </w:tblGrid>
      <w:tr>
        <w:trPr>
          <w:trHeight w:val="272"/>
        </w:trPr>
        <w:tc>
          <w:tcPr>
            <w:shd w:val="clear" w:color="auto" w:fill="d8d8d8"/>
            <w:tcW w:w="518" w:type="pct"/>
            <w:vAlign w:val="center"/>
            <w:textDirection w:val="lrTb"/>
            <w:noWrap w:val="false"/>
          </w:tcPr>
          <w:p>
            <w:pPr>
              <w:jc w:val="left"/>
              <w:spacing w:after="0" w:line="240" w:lineRule="auto"/>
              <w:rPr>
                <w:rFonts w:ascii="宋体" w:hAnsi="宋体" w:cs="宋体"/>
                <w:b/>
                <w:color w:val="auto"/>
                <w:sz w:val="21"/>
                <w:szCs w:val="21"/>
                <w:highlight w:val="none"/>
              </w:rPr>
            </w:pPr>
            <w:r/>
            <w:bookmarkStart w:id="195" w:name="_Hlk176269447"/>
            <w:r>
              <w:rPr>
                <w:rFonts w:hint="eastAsia" w:ascii="宋体" w:hAnsi="宋体" w:cs="宋体"/>
                <w:b/>
                <w:color w:val="auto"/>
                <w:sz w:val="21"/>
                <w:szCs w:val="21"/>
                <w:highlight w:val="none"/>
              </w:rPr>
              <w:t xml:space="preserve">序号</w:t>
            </w:r>
            <w:r/>
          </w:p>
        </w:tc>
        <w:tc>
          <w:tcPr>
            <w:shd w:val="clear" w:color="auto" w:fill="d8d8d8"/>
            <w:tcW w:w="1104" w:type="pct"/>
            <w:vAlign w:val="center"/>
            <w:textDirection w:val="lrTb"/>
            <w:noWrap w:val="false"/>
          </w:tcPr>
          <w:p>
            <w:pPr>
              <w:jc w:val="left"/>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站点名称</w:t>
            </w:r>
            <w:r/>
          </w:p>
        </w:tc>
        <w:tc>
          <w:tcPr>
            <w:shd w:val="clear" w:color="auto" w:fill="d8d8d8"/>
            <w:tcW w:w="1186" w:type="pct"/>
            <w:vAlign w:val="center"/>
            <w:textDirection w:val="lrTb"/>
            <w:noWrap w:val="false"/>
          </w:tcPr>
          <w:p>
            <w:pPr>
              <w:jc w:val="left"/>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网络智能球机数量</w:t>
            </w:r>
            <w:r/>
          </w:p>
        </w:tc>
        <w:tc>
          <w:tcPr>
            <w:shd w:val="clear" w:color="auto" w:fill="d8d8d8"/>
            <w:tcW w:w="1290" w:type="pct"/>
            <w:vAlign w:val="center"/>
            <w:textDirection w:val="lrTb"/>
            <w:noWrap w:val="false"/>
          </w:tcPr>
          <w:p>
            <w:pPr>
              <w:jc w:val="left"/>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网络智能筒机数量</w:t>
            </w:r>
            <w:r/>
          </w:p>
        </w:tc>
        <w:tc>
          <w:tcPr>
            <w:shd w:val="clear" w:color="auto" w:fill="d8d8d8"/>
            <w:tcW w:w="902" w:type="pct"/>
            <w:vAlign w:val="center"/>
            <w:textDirection w:val="lrTb"/>
            <w:noWrap w:val="false"/>
          </w:tcPr>
          <w:p>
            <w:pPr>
              <w:jc w:val="left"/>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N</w:t>
            </w:r>
            <w:r>
              <w:rPr>
                <w:rFonts w:ascii="宋体" w:hAnsi="宋体" w:cs="宋体"/>
                <w:b/>
                <w:color w:val="auto"/>
                <w:sz w:val="21"/>
                <w:szCs w:val="21"/>
                <w:highlight w:val="none"/>
              </w:rPr>
              <w:t xml:space="preserve">VR</w:t>
            </w:r>
            <w:r>
              <w:rPr>
                <w:rFonts w:hint="eastAsia" w:ascii="宋体" w:hAnsi="宋体" w:cs="宋体"/>
                <w:b/>
                <w:color w:val="auto"/>
                <w:sz w:val="21"/>
                <w:szCs w:val="21"/>
                <w:highlight w:val="none"/>
              </w:rPr>
              <w:t xml:space="preserve">数量</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石化总厂</w:t>
            </w:r>
            <w:r/>
          </w:p>
        </w:tc>
        <w:tc>
          <w:tcPr>
            <w:tcW w:w="1186" w:type="pct"/>
            <w:vAlign w:val="center"/>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vAlign w:val="center"/>
            <w:textDirection w:val="lrTb"/>
            <w:noWrap w:val="false"/>
          </w:tcPr>
          <w:p>
            <w:pPr>
              <w:jc w:val="center"/>
              <w:spacing w:after="0" w:line="240" w:lineRule="auto"/>
              <w:rPr>
                <w:rFonts w:ascii="宋体" w:hAnsi="宋体" w:cs="宋体"/>
                <w:color w:val="auto"/>
                <w:sz w:val="21"/>
                <w:szCs w:val="21"/>
                <w:highlight w:val="none"/>
              </w:rPr>
            </w:pPr>
            <w:r/>
            <w:bookmarkStart w:id="196" w:name="OLE_LINK11"/>
            <w:r>
              <w:rPr>
                <w:rFonts w:hint="eastAsia" w:ascii="宋体" w:hAnsi="宋体" w:cs="宋体"/>
                <w:color w:val="auto"/>
                <w:sz w:val="21"/>
                <w:szCs w:val="21"/>
                <w:highlight w:val="none"/>
              </w:rPr>
              <w:t xml:space="preserve">1</w:t>
            </w:r>
            <w:bookmarkEnd w:id="196"/>
            <w:r/>
            <w:r/>
          </w:p>
        </w:tc>
        <w:tc>
          <w:tcPr>
            <w:tcW w:w="902" w:type="pct"/>
            <w:vAlign w:val="center"/>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广丰浜</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毛岸河泵站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04"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1602库站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施巷站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s="仿宋"/>
                <w:color w:val="auto"/>
                <w:sz w:val="21"/>
                <w:szCs w:val="21"/>
                <w:highlight w:val="none"/>
                <w:lang w:bidi="ar"/>
              </w:rPr>
              <w:t xml:space="preserve">范家桥站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塔影站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梨庄家园</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End w:id="195"/>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接管亭</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0</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吴桥西路</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汤家桥站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庙降桥站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菩提浜站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4</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黄泥桥站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长安桥站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江尖北闸站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7</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小尖桥站</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龙船浜</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和新里</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0</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李家浜</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山东浜</w:t>
            </w:r>
            <w:r/>
          </w:p>
        </w:tc>
        <w:tc>
          <w:tcPr>
            <w:tcW w:w="1186"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盛岸二村</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热电厂</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新民村</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惠山浜</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惠华</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惠龙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三家村</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护渎河</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0</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五爱家园泵站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后坭泵站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纳新桥闸站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五爱北路泵站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九里基闸站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马夹浜节制闸</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50"/>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徐来河泵站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7</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庙湾浜泵站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8</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芦新桥闸站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9</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新槐古桥</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0</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575泵站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槐古桥站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羊皮巷泵站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染坊弄泵站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4</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嘉泰泵站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新桥闸站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冷渎港闸</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7</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高山巷泵站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8</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前塘浜泵站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9</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大窑路泵站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0</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锡钢泵站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兴隆闸站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2</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庙桥闸站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3</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西水关站</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机电节制闸</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5</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许溪河节制闸</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2"/>
        </w:trPr>
        <w:tc>
          <w:tcPr>
            <w:tcW w:w="518"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6</w:t>
            </w:r>
            <w:r/>
          </w:p>
        </w:tc>
        <w:tc>
          <w:tcPr>
            <w:tcW w:w="1104"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日辉桥浜节制闸</w:t>
            </w:r>
            <w:r/>
          </w:p>
        </w:tc>
        <w:tc>
          <w:tcPr>
            <w:tcW w:w="1186" w:type="pct"/>
            <w:textDirection w:val="lrTb"/>
            <w:noWrap w:val="false"/>
          </w:tcPr>
          <w:p>
            <w:pPr>
              <w:jc w:val="center"/>
              <w:spacing w:after="0" w:line="240" w:lineRule="auto"/>
              <w:rPr>
                <w:rFonts w:ascii="宋体" w:hAnsi="宋体" w:cs="仿宋"/>
                <w:color w:val="auto"/>
                <w:sz w:val="21"/>
                <w:szCs w:val="21"/>
                <w:highlight w:val="none"/>
                <w:lang w:bidi="ar"/>
              </w:rPr>
            </w:pPr>
            <w:r>
              <w:rPr>
                <w:rFonts w:hint="eastAsia" w:ascii="宋体" w:hAnsi="宋体" w:cs="宋体"/>
                <w:color w:val="auto"/>
                <w:sz w:val="21"/>
                <w:szCs w:val="21"/>
                <w:highlight w:val="none"/>
              </w:rPr>
              <w:t xml:space="preserve">2</w:t>
            </w:r>
            <w:r/>
          </w:p>
        </w:tc>
        <w:tc>
          <w:tcPr>
            <w:tcW w:w="1290"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902" w:type="pct"/>
            <w:textDirection w:val="lrTb"/>
            <w:noWrap w:val="false"/>
          </w:tcPr>
          <w:p>
            <w:pPr>
              <w:jc w:val="cente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273"/>
        </w:trPr>
        <w:tc>
          <w:tcPr>
            <w:gridSpan w:val="2"/>
            <w:tcW w:w="1622" w:type="pct"/>
            <w:vAlign w:val="center"/>
            <w:textDirection w:val="lrTb"/>
            <w:noWrap w:val="false"/>
          </w:tcPr>
          <w:p>
            <w:pPr>
              <w:jc w:val="center"/>
              <w:spacing w:after="0" w:line="240" w:lineRule="auto"/>
              <w:rPr>
                <w:rFonts w:ascii="宋体" w:hAnsi="宋体" w:cs="仿宋"/>
                <w:b/>
                <w:color w:val="auto"/>
                <w:sz w:val="21"/>
                <w:szCs w:val="21"/>
                <w:highlight w:val="none"/>
                <w:lang w:bidi="ar"/>
              </w:rPr>
            </w:pPr>
            <w:r/>
            <w:bookmarkStart w:id="197" w:name="_Hlk176254651"/>
            <w:r/>
            <w:bookmarkStart w:id="198" w:name="_Hlk176254845"/>
            <w:r>
              <w:rPr>
                <w:rFonts w:hint="eastAsia" w:ascii="宋体" w:hAnsi="宋体" w:cs="仿宋"/>
                <w:b/>
                <w:color w:val="auto"/>
                <w:sz w:val="21"/>
                <w:szCs w:val="21"/>
                <w:highlight w:val="none"/>
                <w:lang w:bidi="ar"/>
              </w:rPr>
              <w:t xml:space="preserve">合计数量</w:t>
            </w:r>
            <w:r/>
          </w:p>
        </w:tc>
        <w:tc>
          <w:tcPr>
            <w:tcW w:w="1186" w:type="pct"/>
            <w:vAlign w:val="center"/>
            <w:textDirection w:val="lrTb"/>
            <w:noWrap w:val="false"/>
          </w:tcPr>
          <w:p>
            <w:pPr>
              <w:jc w:val="center"/>
              <w:spacing w:after="0" w:line="240" w:lineRule="auto"/>
              <w:rPr>
                <w:rFonts w:ascii="宋体" w:hAnsi="宋体" w:cs="仿宋"/>
                <w:b/>
                <w:color w:val="auto"/>
                <w:sz w:val="21"/>
                <w:szCs w:val="21"/>
                <w:highlight w:val="none"/>
                <w:lang w:bidi="ar"/>
              </w:rPr>
            </w:pPr>
            <w:r>
              <w:rPr>
                <w:rFonts w:hint="eastAsia" w:ascii="宋体" w:hAnsi="宋体" w:cs="仿宋"/>
                <w:b/>
                <w:color w:val="auto"/>
                <w:sz w:val="21"/>
                <w:szCs w:val="21"/>
                <w:highlight w:val="none"/>
                <w:lang w:bidi="ar"/>
              </w:rPr>
              <w:t xml:space="preserve">1</w:t>
            </w:r>
            <w:r>
              <w:rPr>
                <w:rFonts w:ascii="宋体" w:hAnsi="宋体" w:cs="仿宋"/>
                <w:b/>
                <w:color w:val="auto"/>
                <w:sz w:val="21"/>
                <w:szCs w:val="21"/>
                <w:highlight w:val="none"/>
                <w:lang w:bidi="ar"/>
              </w:rPr>
              <w:t xml:space="preserve">12</w:t>
            </w:r>
            <w:r/>
          </w:p>
        </w:tc>
        <w:tc>
          <w:tcPr>
            <w:tcW w:w="1290" w:type="pct"/>
            <w:vAlign w:val="center"/>
            <w:textDirection w:val="lrTb"/>
            <w:noWrap w:val="false"/>
          </w:tcPr>
          <w:p>
            <w:pPr>
              <w:jc w:val="center"/>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w:t>
            </w:r>
            <w:r>
              <w:rPr>
                <w:rFonts w:ascii="宋体" w:hAnsi="宋体" w:cs="宋体"/>
                <w:b/>
                <w:color w:val="auto"/>
                <w:sz w:val="21"/>
                <w:szCs w:val="21"/>
                <w:highlight w:val="none"/>
              </w:rPr>
              <w:t xml:space="preserve">6</w:t>
            </w:r>
            <w:r/>
          </w:p>
        </w:tc>
        <w:tc>
          <w:tcPr>
            <w:tcW w:w="902" w:type="pct"/>
            <w:vAlign w:val="center"/>
            <w:textDirection w:val="lrTb"/>
            <w:noWrap w:val="false"/>
          </w:tcPr>
          <w:p>
            <w:pPr>
              <w:jc w:val="center"/>
              <w:spacing w:after="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w:t>
            </w:r>
            <w:r>
              <w:rPr>
                <w:rFonts w:ascii="宋体" w:hAnsi="宋体" w:cs="宋体"/>
                <w:b/>
                <w:color w:val="auto"/>
                <w:sz w:val="21"/>
                <w:szCs w:val="21"/>
                <w:highlight w:val="none"/>
              </w:rPr>
              <w:t xml:space="preserve">6</w:t>
            </w:r>
            <w:bookmarkEnd w:id="197"/>
            <w:r/>
            <w:bookmarkEnd w:id="198"/>
            <w:r/>
            <w:r/>
          </w:p>
        </w:tc>
      </w:tr>
    </w:tbl>
    <w:p>
      <w:pPr>
        <w:ind w:firstLine="422"/>
        <w:spacing w:line="360" w:lineRule="auto"/>
        <w:rPr>
          <w:rFonts w:hint="eastAsia" w:ascii="宋体" w:hAnsi="宋体" w:cs="宋体"/>
          <w:b/>
          <w:color w:val="auto"/>
          <w:szCs w:val="21"/>
          <w:highlight w:val="none"/>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.1.2</w:t>
      </w:r>
      <w:r>
        <w:rPr>
          <w:rFonts w:hint="eastAsia" w:ascii="宋体" w:hAnsi="宋体" w:cs="宋体"/>
          <w:b/>
          <w:color w:val="auto"/>
          <w:szCs w:val="21"/>
          <w:highlight w:val="none"/>
        </w:rPr>
        <w:t xml:space="preserve">技术要求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本项目视频监控网络在现有基础上进行扩充，要求与梁溪区工控网络进行物理隔离。能够接入已有和本项目新建视频监控设备，</w:t>
      </w:r>
      <w:r>
        <w:rPr>
          <w:rFonts w:hint="eastAsia" w:ascii="宋体" w:hAnsi="宋体" w:cs="宋体"/>
          <w:color w:val="auto"/>
          <w:szCs w:val="21"/>
          <w:highlight w:val="none"/>
          <w:lang w:val="en-US" w:eastAsia="zh-CN"/>
        </w:rPr>
        <w:t xml:space="preserve">支持</w:t>
      </w:r>
      <w:r>
        <w:rPr>
          <w:rFonts w:hint="eastAsia" w:ascii="宋体" w:hAnsi="宋体" w:eastAsia="宋体" w:cs="宋体"/>
          <w:color w:val="auto"/>
          <w:szCs w:val="21"/>
          <w:highlight w:val="none"/>
          <w:lang w:val="en-US" w:eastAsia="zh-CN"/>
        </w:rPr>
        <w:t xml:space="preserve">工作人员在水利局管理房内，远程实时查看及回看录像，对管理范围内情况进行动态监视，保障工程安全。技术要求如下：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1、监控前端：系统监控前端支持多种类型的摄像机接入，系统配置高清网络球机、筒机等网络设备，按照标准的音视频编码格式及标准的通信协议，可直接接入网络并进行音视频数据的传输。</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2、传输系统：传输网络负责将前端的视频数据传输到后端系统。本项目将视频通过视频VPN专线传输到梁溪区水利局机房管理服务器，并通过视频管理平台进行视频管理配置。</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3、存储系统：视频NVR负责对视频数据进行存储，本项目在每个闸泵站视频系统机柜内配置后端存储NVR进行视频存储。存储NVR设置在泵闸站弱电机柜。</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安装调试：本项目包含设备安装调试和施工工作。视频监控系统应采用六类网线传输，频道具有足够的带宽传输视频图像，可以保证所得到的图像为实时图像，视频系统采用嵌入式硬盘录像机方式，对视频的采集和控制应具有实时处理效果。</w:t>
      </w:r>
      <w:r/>
    </w:p>
    <w:p>
      <w:pPr>
        <w:ind w:firstLine="422"/>
        <w:spacing w:line="360" w:lineRule="auto"/>
        <w:rPr>
          <w:rFonts w:hint="default"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3.1.3系统功能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本项目中采购视频监控系统要求具有以下功能：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1、夜视功能：摄像机具有红外功能，保证在夜间时也能监视到重要区域的状况。</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自动扫描功能：摄像机能够根据预设的方向和位置自动扫描，保证全方位查看整个需要监控的区域状况。同时安装有喇叭的站点可对进入特定区域的人员进行声光报警和语音提示，语音提示内容可自定义配置，以提示群众勿进入。</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3、网络化监控功能</w:t>
      </w:r>
      <w:r>
        <w:rPr>
          <w:rFonts w:hint="eastAsia" w:ascii="宋体" w:hAnsi="宋体" w:cs="宋体"/>
          <w:color w:val="auto"/>
          <w:szCs w:val="21"/>
          <w:highlight w:val="none"/>
        </w:rPr>
        <w:t xml:space="preserve">：</w:t>
      </w:r>
      <w:r>
        <w:rPr>
          <w:rFonts w:ascii="宋体" w:hAnsi="宋体" w:cs="宋体"/>
          <w:color w:val="auto"/>
          <w:szCs w:val="21"/>
          <w:highlight w:val="none"/>
        </w:rPr>
        <w:t xml:space="preserve">监控采集点和监控平台通过专用</w:t>
      </w:r>
      <w:r>
        <w:rPr>
          <w:rFonts w:hint="eastAsia" w:ascii="宋体" w:hAnsi="宋体" w:cs="宋体"/>
          <w:color w:val="auto"/>
          <w:szCs w:val="21"/>
          <w:highlight w:val="none"/>
        </w:rPr>
        <w:t xml:space="preserve">V</w:t>
      </w:r>
      <w:r>
        <w:rPr>
          <w:rFonts w:ascii="宋体" w:hAnsi="宋体" w:cs="宋体"/>
          <w:color w:val="auto"/>
          <w:szCs w:val="21"/>
          <w:highlight w:val="none"/>
        </w:rPr>
        <w:t xml:space="preserve">PN网络连接，满足任何时间、任何地点的远程监控需求。</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4、数字化存贮功能：根据预先设定的存贮时间，不间断地存储图像和相关数据，方便进行历史信息查询，为突发事件提供确切证据。</w:t>
      </w:r>
      <w:r/>
    </w:p>
    <w:p>
      <w:pPr>
        <w:ind w:firstLine="422"/>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采购清单</w:t>
      </w:r>
      <w:r/>
    </w:p>
    <w:p>
      <w:pPr>
        <w:ind w:firstLine="420"/>
        <w:spacing w:line="360" w:lineRule="auto"/>
        <w:rPr>
          <w:color w:val="auto"/>
          <w:highlight w:val="none"/>
        </w:rPr>
      </w:pPr>
      <w:r>
        <w:rPr>
          <w:rFonts w:hint="eastAsia"/>
          <w:color w:val="auto"/>
          <w:highlight w:val="none"/>
        </w:rPr>
        <w:t xml:space="preserve">视频监控系统采购设备清单如下。</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
        <w:gridCol w:w="1304"/>
        <w:gridCol w:w="5244"/>
        <w:gridCol w:w="731"/>
        <w:gridCol w:w="805"/>
      </w:tblGrid>
      <w:tr>
        <w:trPr/>
        <w:tc>
          <w:tcPr>
            <w:shd w:val="clear" w:color="auto" w:fill="d8d8d8"/>
            <w:tcW w:w="257" w:type="pct"/>
            <w:vAlign w:val="center"/>
            <w:textDirection w:val="lrTb"/>
            <w:noWrap w:val="false"/>
          </w:tcPr>
          <w:p>
            <w:pPr>
              <w:jc w:val="left"/>
              <w:spacing w:after="0" w:line="240" w:lineRule="auto"/>
              <w:rPr>
                <w:rFonts w:ascii="宋体" w:hAnsi="宋体" w:cs="宋体"/>
                <w:b/>
                <w:color w:val="auto"/>
                <w:sz w:val="20"/>
                <w:szCs w:val="21"/>
                <w:highlight w:val="none"/>
              </w:rPr>
            </w:pPr>
            <w:r>
              <w:rPr>
                <w:rFonts w:hint="eastAsia" w:ascii="宋体" w:hAnsi="宋体" w:cs="宋体"/>
                <w:b/>
                <w:color w:val="auto"/>
                <w:sz w:val="20"/>
                <w:szCs w:val="21"/>
                <w:highlight w:val="none"/>
              </w:rPr>
              <w:t xml:space="preserve">序号</w:t>
            </w:r>
            <w:r/>
          </w:p>
        </w:tc>
        <w:tc>
          <w:tcPr>
            <w:shd w:val="clear" w:color="auto" w:fill="d8d8d8"/>
            <w:tcW w:w="765" w:type="pct"/>
            <w:vAlign w:val="center"/>
            <w:textDirection w:val="lrTb"/>
            <w:noWrap w:val="false"/>
          </w:tcPr>
          <w:p>
            <w:pPr>
              <w:jc w:val="left"/>
              <w:spacing w:after="0" w:line="240" w:lineRule="auto"/>
              <w:rPr>
                <w:rFonts w:ascii="宋体" w:hAnsi="宋体" w:cs="宋体"/>
                <w:b/>
                <w:color w:val="auto"/>
                <w:sz w:val="20"/>
                <w:szCs w:val="21"/>
                <w:highlight w:val="none"/>
              </w:rPr>
            </w:pPr>
            <w:r>
              <w:rPr>
                <w:rFonts w:hint="eastAsia" w:ascii="宋体" w:hAnsi="宋体" w:cs="宋体"/>
                <w:b/>
                <w:color w:val="auto"/>
                <w:sz w:val="20"/>
                <w:szCs w:val="21"/>
                <w:highlight w:val="none"/>
              </w:rPr>
              <w:t xml:space="preserve">设备（软件）名称</w:t>
            </w:r>
            <w:r/>
          </w:p>
        </w:tc>
        <w:tc>
          <w:tcPr>
            <w:shd w:val="clear" w:color="auto" w:fill="d8d8d8"/>
            <w:tcW w:w="3077" w:type="pct"/>
            <w:vAlign w:val="center"/>
            <w:textDirection w:val="lrTb"/>
            <w:noWrap w:val="false"/>
          </w:tcPr>
          <w:p>
            <w:pPr>
              <w:jc w:val="left"/>
              <w:spacing w:after="0" w:line="240" w:lineRule="auto"/>
              <w:rPr>
                <w:rFonts w:ascii="宋体" w:hAnsi="宋体" w:cs="宋体"/>
                <w:b/>
                <w:color w:val="auto"/>
                <w:sz w:val="20"/>
                <w:szCs w:val="21"/>
                <w:highlight w:val="none"/>
              </w:rPr>
            </w:pPr>
            <w:r>
              <w:rPr>
                <w:rFonts w:hint="eastAsia" w:ascii="宋体" w:hAnsi="宋体" w:cs="宋体"/>
                <w:b/>
                <w:color w:val="auto"/>
                <w:sz w:val="20"/>
                <w:szCs w:val="21"/>
                <w:highlight w:val="none"/>
              </w:rPr>
              <w:t xml:space="preserve">参数要求</w:t>
            </w:r>
            <w:r/>
          </w:p>
        </w:tc>
        <w:tc>
          <w:tcPr>
            <w:shd w:val="clear" w:color="auto" w:fill="d8d8d8"/>
            <w:tcW w:w="429" w:type="pct"/>
            <w:textDirection w:val="lrTb"/>
            <w:noWrap w:val="false"/>
          </w:tcPr>
          <w:p>
            <w:pPr>
              <w:jc w:val="left"/>
              <w:spacing w:after="0" w:line="240" w:lineRule="auto"/>
              <w:rPr>
                <w:rFonts w:ascii="宋体" w:hAnsi="宋体" w:cs="宋体"/>
                <w:b/>
                <w:color w:val="auto"/>
                <w:sz w:val="20"/>
                <w:szCs w:val="21"/>
                <w:highlight w:val="none"/>
              </w:rPr>
            </w:pPr>
            <w:r>
              <w:rPr>
                <w:rFonts w:hint="eastAsia" w:ascii="宋体" w:hAnsi="宋体" w:cs="宋体"/>
                <w:b/>
                <w:color w:val="auto"/>
                <w:sz w:val="20"/>
                <w:szCs w:val="21"/>
                <w:highlight w:val="none"/>
              </w:rPr>
              <w:t xml:space="preserve">数量</w:t>
            </w:r>
            <w:r/>
          </w:p>
        </w:tc>
        <w:tc>
          <w:tcPr>
            <w:shd w:val="clear" w:color="auto" w:fill="d8d8d8"/>
            <w:tcW w:w="473" w:type="pct"/>
            <w:textDirection w:val="lrTb"/>
            <w:noWrap w:val="false"/>
          </w:tcPr>
          <w:p>
            <w:pPr>
              <w:jc w:val="left"/>
              <w:spacing w:after="0" w:line="240" w:lineRule="auto"/>
              <w:rPr>
                <w:rFonts w:ascii="宋体" w:hAnsi="宋体" w:cs="宋体"/>
                <w:b/>
                <w:color w:val="auto"/>
                <w:sz w:val="20"/>
                <w:szCs w:val="21"/>
                <w:highlight w:val="none"/>
              </w:rPr>
            </w:pPr>
            <w:r>
              <w:rPr>
                <w:rFonts w:hint="eastAsia" w:ascii="宋体" w:hAnsi="宋体" w:cs="宋体"/>
                <w:b/>
                <w:color w:val="auto"/>
                <w:sz w:val="20"/>
                <w:szCs w:val="21"/>
                <w:highlight w:val="none"/>
              </w:rPr>
              <w:t xml:space="preserve">单位</w:t>
            </w:r>
            <w:r/>
          </w:p>
        </w:tc>
      </w:tr>
      <w:tr>
        <w:trPr>
          <w:trHeight w:val="3414"/>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765"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olor w:val="auto"/>
                <w:sz w:val="21"/>
                <w:szCs w:val="21"/>
                <w:highlight w:val="none"/>
              </w:rPr>
              <w:t xml:space="preserve">网络智能球机</w:t>
            </w:r>
            <w:r/>
          </w:p>
        </w:tc>
        <w:tc>
          <w:tcPr>
            <w:tcW w:w="3077" w:type="pct"/>
            <w:vAlign w:val="center"/>
            <w:textDirection w:val="lrTb"/>
            <w:noWrap w:val="false"/>
          </w:tcPr>
          <w:p>
            <w:pPr>
              <w:pStyle w:val="720"/>
              <w:ind w:left="0" w:firstLine="0"/>
              <w:jc w:val="left"/>
              <w:spacing w:after="0" w:line="240" w:lineRule="auto"/>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1.</w:t>
            </w:r>
            <w:r>
              <w:rPr>
                <w:rFonts w:hint="eastAsia" w:ascii="宋体" w:hAnsi="宋体" w:cs="仿宋"/>
                <w:color w:val="auto"/>
                <w:sz w:val="21"/>
                <w:szCs w:val="21"/>
                <w:highlight w:val="none"/>
                <w:lang w:bidi="ar"/>
              </w:rPr>
              <w:t xml:space="preserve">距离≥150米；</w:t>
            </w:r>
            <w:r/>
          </w:p>
          <w:p>
            <w:pPr>
              <w:pStyle w:val="720"/>
              <w:ind w:left="0" w:firstLine="0"/>
              <w:jc w:val="left"/>
              <w:spacing w:after="0" w:line="240" w:lineRule="auto"/>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2.</w:t>
            </w:r>
            <w:r>
              <w:rPr>
                <w:rFonts w:hint="eastAsia" w:ascii="宋体" w:hAnsi="宋体" w:cs="仿宋"/>
                <w:color w:val="auto"/>
                <w:sz w:val="21"/>
                <w:szCs w:val="21"/>
                <w:highlight w:val="none"/>
                <w:lang w:bidi="ar"/>
              </w:rPr>
              <w:t xml:space="preserve">球机支持≥23倍光学变倍，最大焦距不低于110mm；</w:t>
            </w:r>
            <w:r/>
          </w:p>
          <w:p>
            <w:pPr>
              <w:pStyle w:val="720"/>
              <w:ind w:left="0" w:firstLine="0"/>
              <w:jc w:val="left"/>
              <w:spacing w:after="0" w:line="240" w:lineRule="auto"/>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3.</w:t>
            </w:r>
            <w:r>
              <w:rPr>
                <w:rFonts w:hint="eastAsia" w:ascii="宋体" w:hAnsi="宋体" w:cs="仿宋"/>
                <w:color w:val="auto"/>
                <w:sz w:val="21"/>
                <w:szCs w:val="21"/>
                <w:highlight w:val="none"/>
                <w:lang w:bidi="ar"/>
              </w:rPr>
              <w:t xml:space="preserve">最低照度满足彩色0.0005Lux，黑白0.0001Lux；</w:t>
            </w:r>
            <w:r/>
          </w:p>
          <w:p>
            <w:pPr>
              <w:pStyle w:val="720"/>
              <w:ind w:left="0" w:firstLine="0"/>
              <w:jc w:val="left"/>
              <w:spacing w:after="0" w:line="240" w:lineRule="auto"/>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4.</w:t>
            </w:r>
            <w:r>
              <w:rPr>
                <w:rFonts w:hint="eastAsia" w:ascii="宋体" w:hAnsi="宋体" w:cs="仿宋"/>
                <w:color w:val="auto"/>
                <w:sz w:val="21"/>
                <w:szCs w:val="21"/>
                <w:highlight w:val="none"/>
                <w:lang w:bidi="ar"/>
              </w:rPr>
              <w:t xml:space="preserve">内置扬声器，功率≥5W，30m距离满足60dB；</w:t>
            </w:r>
            <w:r/>
          </w:p>
          <w:p>
            <w:pPr>
              <w:pStyle w:val="720"/>
              <w:ind w:left="0" w:firstLine="0"/>
              <w:jc w:val="left"/>
              <w:spacing w:after="0" w:line="240" w:lineRule="auto"/>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5.</w:t>
            </w:r>
            <w:r>
              <w:rPr>
                <w:rFonts w:hint="eastAsia" w:ascii="宋体" w:hAnsi="宋体" w:cs="仿宋"/>
                <w:color w:val="auto"/>
                <w:sz w:val="21"/>
                <w:szCs w:val="21"/>
                <w:highlight w:val="none"/>
                <w:lang w:bidi="ar"/>
              </w:rPr>
              <w:t xml:space="preserve">水平旋转范围为360°连续旋转，垂直旋转范围为-20°～90°；</w:t>
            </w:r>
            <w:r/>
          </w:p>
          <w:p>
            <w:pPr>
              <w:pStyle w:val="720"/>
              <w:ind w:left="0" w:firstLine="0"/>
              <w:jc w:val="left"/>
              <w:spacing w:after="0" w:line="240" w:lineRule="auto"/>
              <w:rPr>
                <w:color w:val="auto"/>
                <w:highlight w:val="none"/>
              </w:rPr>
            </w:pPr>
            <w:r>
              <w:rPr>
                <w:rFonts w:hint="eastAsia" w:ascii="宋体" w:hAnsi="宋体" w:cs="仿宋"/>
                <w:color w:val="auto"/>
                <w:sz w:val="21"/>
                <w:szCs w:val="21"/>
                <w:highlight w:val="none"/>
                <w:lang w:val="en-US" w:eastAsia="zh-CN" w:bidi="ar"/>
              </w:rPr>
              <w:t xml:space="preserve">6.</w:t>
            </w:r>
            <w:r>
              <w:rPr>
                <w:rFonts w:hint="eastAsia" w:ascii="宋体" w:hAnsi="宋体" w:cs="仿宋"/>
                <w:color w:val="auto"/>
                <w:sz w:val="21"/>
                <w:szCs w:val="21"/>
                <w:highlight w:val="none"/>
                <w:lang w:bidi="ar"/>
              </w:rPr>
              <w:t xml:space="preserve">支持SmartH.265格式；支持智能红外、透雾、强光抑制、电子防抖、数字降噪、防红外过曝功能</w:t>
            </w:r>
            <w:r>
              <w:rPr>
                <w:rFonts w:hint="eastAsia" w:ascii="宋体" w:hAnsi="宋体" w:cs="仿宋"/>
                <w:color w:val="auto"/>
                <w:sz w:val="21"/>
                <w:szCs w:val="21"/>
                <w:highlight w:val="none"/>
                <w:lang w:eastAsia="zh-CN" w:bidi="ar"/>
              </w:rPr>
              <w:t xml:space="preserve">；</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12</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s="宋体"/>
                <w:color w:val="auto"/>
                <w:sz w:val="21"/>
                <w:szCs w:val="21"/>
                <w:highlight w:val="none"/>
              </w:rPr>
              <w:t xml:space="preserve">台</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765"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网络智能筒机</w:t>
            </w:r>
            <w:r/>
          </w:p>
        </w:tc>
        <w:tc>
          <w:tcPr>
            <w:tcW w:w="3077"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1</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具有400万像素 CMOS传感器；</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2</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内置≥2</w:t>
            </w:r>
            <w:r>
              <w:rPr>
                <w:rFonts w:hint="eastAsia" w:ascii="宋体" w:hAnsi="宋体" w:cs="仿宋"/>
                <w:color w:val="auto"/>
                <w:sz w:val="21"/>
                <w:szCs w:val="21"/>
                <w:highlight w:val="none"/>
                <w:lang w:eastAsia="zh-CN" w:bidi="ar"/>
              </w:rPr>
              <w:t xml:space="preserve">盏</w:t>
            </w:r>
            <w:r>
              <w:rPr>
                <w:rFonts w:hint="eastAsia" w:ascii="宋体" w:hAnsi="宋体" w:cs="仿宋"/>
                <w:color w:val="auto"/>
                <w:sz w:val="21"/>
                <w:szCs w:val="21"/>
                <w:highlight w:val="none"/>
                <w:lang w:bidi="ar"/>
              </w:rPr>
              <w:t xml:space="preserve">白光补光灯；</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3</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白天或夜晚均可输出彩色视频图像；</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4</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最低照度彩色：0.0004 lx，黑白</w:t>
            </w:r>
            <w:r>
              <w:rPr>
                <w:rFonts w:hint="eastAsia" w:ascii="宋体" w:hAnsi="宋体" w:cs="仿宋"/>
                <w:color w:val="auto"/>
                <w:sz w:val="21"/>
                <w:szCs w:val="21"/>
                <w:highlight w:val="none"/>
                <w:lang w:eastAsia="zh-CN" w:bidi="ar"/>
              </w:rPr>
              <w:t xml:space="preserve">：</w:t>
            </w:r>
            <w:r>
              <w:rPr>
                <w:rFonts w:hint="eastAsia" w:ascii="宋体" w:hAnsi="宋体" w:cs="仿宋"/>
                <w:color w:val="auto"/>
                <w:sz w:val="21"/>
                <w:szCs w:val="21"/>
                <w:highlight w:val="none"/>
                <w:lang w:bidi="ar"/>
              </w:rPr>
              <w:t xml:space="preserve">0.0001 lx；</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5</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补光距离≥50米；</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6</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全彩级高灵敏度感器，F1.0超大光圈镜头，为智能应用提供更清晰的视频流输入，全面提升智能业务处理的准确度；</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7</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支持SmartH.265格式，智能</w:t>
            </w:r>
            <w:r>
              <w:rPr>
                <w:rFonts w:hint="eastAsia" w:ascii="宋体" w:hAnsi="宋体" w:cs="仿宋"/>
                <w:color w:val="auto"/>
                <w:sz w:val="21"/>
                <w:szCs w:val="21"/>
                <w:highlight w:val="none"/>
                <w:lang w:eastAsia="zh-CN" w:bidi="ar"/>
              </w:rPr>
              <w:t xml:space="preserve">检测</w:t>
            </w:r>
            <w:r>
              <w:rPr>
                <w:rFonts w:hint="eastAsia" w:ascii="宋体" w:hAnsi="宋体" w:cs="仿宋"/>
                <w:color w:val="auto"/>
                <w:sz w:val="21"/>
                <w:szCs w:val="21"/>
                <w:highlight w:val="none"/>
                <w:lang w:bidi="ar"/>
              </w:rPr>
              <w:t xml:space="preserve">：10项事件检测，3项异常检测；</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8</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具有不小于105dB宽动态；</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9</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具有电子防抖、ROI感兴趣区域、SVC可伸缩编码、自动增益、背光补偿、数字降噪、强光抑制等功能；</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1</w:t>
            </w:r>
            <w:r>
              <w:rPr>
                <w:rFonts w:ascii="宋体" w:hAnsi="宋体" w:cs="仿宋"/>
                <w:color w:val="auto"/>
                <w:sz w:val="21"/>
                <w:szCs w:val="21"/>
                <w:highlight w:val="none"/>
                <w:lang w:bidi="ar"/>
              </w:rPr>
              <w:t xml:space="preserve">0.</w:t>
            </w:r>
            <w:r>
              <w:rPr>
                <w:rFonts w:hint="eastAsia" w:ascii="宋体" w:hAnsi="宋体" w:cs="仿宋"/>
                <w:color w:val="auto"/>
                <w:sz w:val="21"/>
                <w:szCs w:val="21"/>
                <w:highlight w:val="none"/>
                <w:lang w:bidi="ar"/>
              </w:rPr>
              <w:t xml:space="preserve">摄像机能够在-45～70摄氏度，湿度小于93%环境下稳定工作；</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1</w:t>
            </w:r>
            <w:r>
              <w:rPr>
                <w:rFonts w:ascii="宋体" w:hAnsi="宋体" w:cs="仿宋"/>
                <w:color w:val="auto"/>
                <w:sz w:val="21"/>
                <w:szCs w:val="21"/>
                <w:highlight w:val="none"/>
                <w:lang w:bidi="ar"/>
              </w:rPr>
              <w:t xml:space="preserve">1.</w:t>
            </w:r>
            <w:r>
              <w:rPr>
                <w:rFonts w:hint="eastAsia" w:ascii="宋体" w:hAnsi="宋体" w:cs="仿宋"/>
                <w:color w:val="auto"/>
                <w:sz w:val="21"/>
                <w:szCs w:val="21"/>
                <w:highlight w:val="none"/>
                <w:lang w:bidi="ar"/>
              </w:rPr>
              <w:t xml:space="preserve">满足IP67防尘防水等级。</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6</w:t>
            </w:r>
            <w:r/>
          </w:p>
        </w:tc>
        <w:tc>
          <w:tcPr>
            <w:tcW w:w="473" w:type="pct"/>
            <w:vAlign w:val="center"/>
            <w:textDirection w:val="lrTb"/>
            <w:noWrap w:val="false"/>
          </w:tcPr>
          <w:p>
            <w:pPr>
              <w:spacing w:after="0" w:line="240" w:lineRule="auto"/>
              <w:rPr>
                <w:rFonts w:ascii="宋体" w:hAnsi="宋体"/>
                <w:color w:val="auto"/>
                <w:sz w:val="21"/>
                <w:szCs w:val="21"/>
                <w:highlight w:val="none"/>
              </w:rPr>
            </w:pPr>
            <w:r/>
            <w:bookmarkStart w:id="199" w:name="OLE_LINK26"/>
            <w:r/>
            <w:bookmarkStart w:id="200" w:name="OLE_LINK25"/>
            <w:r>
              <w:rPr>
                <w:rFonts w:hint="eastAsia" w:ascii="宋体" w:hAnsi="宋体"/>
                <w:color w:val="auto"/>
                <w:sz w:val="21"/>
                <w:szCs w:val="21"/>
                <w:highlight w:val="none"/>
              </w:rPr>
              <w:t xml:space="preserve">台</w:t>
            </w:r>
            <w:bookmarkEnd w:id="199"/>
            <w:r/>
            <w:bookmarkEnd w:id="200"/>
            <w:r/>
            <w:r/>
          </w:p>
        </w:tc>
      </w:tr>
      <w:tr>
        <w:trPr/>
        <w:tc>
          <w:tcPr>
            <w:tcW w:w="257" w:type="pct"/>
            <w:vAlign w:val="center"/>
            <w:textDirection w:val="lrTb"/>
            <w:noWrap w:val="false"/>
          </w:tcPr>
          <w:p>
            <w:pPr>
              <w:spacing w:after="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765"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摄像机支架</w:t>
            </w:r>
            <w:r/>
          </w:p>
        </w:tc>
        <w:tc>
          <w:tcPr>
            <w:tcW w:w="3077"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铝合金材质，多维度调节。</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68</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r>
      <w:tr>
        <w:trPr/>
        <w:tc>
          <w:tcPr>
            <w:tcW w:w="257" w:type="pct"/>
            <w:vAlign w:val="center"/>
            <w:textDirection w:val="lrTb"/>
            <w:noWrap w:val="false"/>
          </w:tcPr>
          <w:p>
            <w:pPr>
              <w:spacing w:after="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765"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二合一防雷器</w:t>
            </w:r>
            <w:r/>
          </w:p>
        </w:tc>
        <w:tc>
          <w:tcPr>
            <w:tcW w:w="3077" w:type="pct"/>
            <w:vAlign w:val="center"/>
            <w:textDirection w:val="lrTb"/>
            <w:noWrap w:val="false"/>
          </w:tcPr>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电源线防护规格：</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1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①</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接口类型：接线端子；</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2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②</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标称放电电流In(kA,8/20μs)：5；</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3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③</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最大放电电流Imax(kA,8/20μs)：10；</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4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④</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响应时间</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ns</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：≤25。</w:t>
            </w:r>
            <w:r/>
          </w:p>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网络防护规格：</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1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①</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接口类型：RJ45；</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2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②</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传输速率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Mbps</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3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③</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标称放电电流In(kA,8/20μs)：2.5；</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4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④</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最大放电电流Imax(kA,8/20μs)：5；</w:t>
            </w:r>
            <w:r/>
          </w:p>
          <w:p>
            <w:pPr>
              <w:spacing w:after="0" w:line="240" w:lineRule="auto"/>
              <w:rPr>
                <w:rFonts w:ascii="宋体" w:hAnsi="宋体"/>
                <w:color w:val="auto"/>
                <w:sz w:val="21"/>
                <w:szCs w:val="21"/>
                <w:highlight w:val="none"/>
              </w:rPr>
            </w:pPr>
            <w:r>
              <w:rPr>
                <w:rFonts w:ascii="宋体" w:hAnsi="宋体"/>
                <w:color w:val="auto"/>
                <w:sz w:val="21"/>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5 \* GB3</w:instrText>
            </w:r>
            <w:r>
              <w:rPr>
                <w:rFonts w:ascii="宋体" w:hAnsi="宋体"/>
                <w:color w:val="auto"/>
                <w:sz w:val="21"/>
                <w:szCs w:val="21"/>
                <w:highlight w:val="none"/>
              </w:rPr>
              <w:instrText xml:space="preserve"> </w:instrText>
            </w:r>
            <w:r>
              <w:rPr>
                <w:rFonts w:ascii="宋体" w:hAnsi="宋体"/>
                <w:color w:val="auto"/>
                <w:sz w:val="21"/>
                <w:szCs w:val="21"/>
                <w:highlight w:val="none"/>
              </w:rPr>
              <w:fldChar w:fldCharType="separate"/>
            </w:r>
            <w:r>
              <w:rPr>
                <w:rFonts w:hint="eastAsia" w:ascii="宋体" w:hAnsi="宋体"/>
                <w:color w:val="auto"/>
                <w:sz w:val="21"/>
                <w:szCs w:val="21"/>
                <w:highlight w:val="none"/>
              </w:rPr>
              <w:t xml:space="preserve">⑤</w:t>
            </w:r>
            <w:r>
              <w:rPr>
                <w:rFonts w:ascii="宋体" w:hAnsi="宋体"/>
                <w:color w:val="auto"/>
                <w:sz w:val="21"/>
                <w:szCs w:val="21"/>
                <w:highlight w:val="none"/>
              </w:rPr>
              <w:fldChar w:fldCharType="end"/>
            </w:r>
            <w:r>
              <w:rPr>
                <w:rFonts w:hint="eastAsia" w:ascii="宋体" w:hAnsi="宋体"/>
                <w:color w:val="auto"/>
                <w:sz w:val="21"/>
                <w:szCs w:val="21"/>
                <w:highlight w:val="none"/>
              </w:rPr>
              <w:t xml:space="preserve">响应时间</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ns</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w:t>
            </w:r>
            <w:r/>
          </w:p>
          <w:p>
            <w:pPr>
              <w:pStyle w:val="1073"/>
              <w:jc w:val="both"/>
              <w:spacing w:after="0" w:line="240" w:lineRule="auto"/>
              <w:rPr>
                <w:rFonts w:hint="eastAsia" w:ascii="宋体" w:hAnsi="宋体" w:eastAsia="宋体"/>
                <w:color w:val="auto"/>
                <w:sz w:val="21"/>
                <w:szCs w:val="21"/>
                <w:highlight w:val="none"/>
              </w:rPr>
            </w:pPr>
            <w:r>
              <w:rPr>
                <w:rFonts w:ascii="宋体" w:hAnsi="宋体" w:eastAsia="宋体"/>
                <w:color w:val="auto"/>
                <w:sz w:val="21"/>
                <w:szCs w:val="21"/>
                <w:highlight w:val="none"/>
              </w:rPr>
              <w:fldChar w:fldCharType="begin"/>
            </w:r>
            <w:r>
              <w:rPr>
                <w:rFonts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instrText xml:space="preserve">= 6 \* GB3</w:instrText>
            </w:r>
            <w:r>
              <w:rPr>
                <w:rFonts w:ascii="宋体" w:hAnsi="宋体" w:eastAsia="宋体"/>
                <w:color w:val="auto"/>
                <w:sz w:val="21"/>
                <w:szCs w:val="21"/>
                <w:highlight w:val="none"/>
              </w:rPr>
              <w:instrText xml:space="preserve"> </w:instrText>
            </w:r>
            <w:r>
              <w:rPr>
                <w:rFonts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⑥</w:t>
            </w:r>
            <w:r>
              <w:rPr>
                <w:rFonts w:ascii="宋体" w:hAnsi="宋体" w:eastAsia="宋体"/>
                <w:color w:val="auto"/>
                <w:sz w:val="21"/>
                <w:szCs w:val="21"/>
                <w:highlight w:val="none"/>
              </w:rPr>
              <w:fldChar w:fldCharType="end"/>
            </w:r>
            <w:r>
              <w:rPr>
                <w:rFonts w:hint="eastAsia" w:ascii="宋体" w:hAnsi="宋体" w:eastAsia="宋体"/>
                <w:color w:val="auto"/>
                <w:sz w:val="21"/>
                <w:szCs w:val="21"/>
                <w:highlight w:val="none"/>
              </w:rPr>
              <w:t xml:space="preserve">插入损耗</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dB</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：0.2。</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12</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r>
      <w:tr>
        <w:trPr/>
        <w:tc>
          <w:tcPr>
            <w:tcW w:w="257" w:type="pct"/>
            <w:vAlign w:val="center"/>
            <w:textDirection w:val="lrTb"/>
            <w:noWrap w:val="false"/>
          </w:tcPr>
          <w:p>
            <w:pPr>
              <w:spacing w:after="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765"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立杆</w:t>
            </w:r>
            <w:r/>
          </w:p>
        </w:tc>
        <w:tc>
          <w:tcPr>
            <w:tcW w:w="3077" w:type="pct"/>
            <w:vAlign w:val="center"/>
            <w:textDirection w:val="lrTb"/>
            <w:noWrap w:val="false"/>
          </w:tcPr>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米立杆</w:t>
            </w:r>
            <w:r>
              <w:rPr>
                <w:rFonts w:ascii="宋体" w:hAnsi="宋体" w:eastAsia="宋体"/>
                <w:color w:val="auto"/>
                <w:sz w:val="21"/>
                <w:szCs w:val="21"/>
                <w:highlight w:val="none"/>
              </w:rPr>
              <w:t xml:space="preserve">/0.5</w:t>
            </w:r>
            <w:r>
              <w:rPr>
                <w:rFonts w:hint="eastAsia" w:ascii="宋体" w:hAnsi="宋体" w:eastAsia="宋体"/>
                <w:color w:val="auto"/>
                <w:sz w:val="21"/>
                <w:szCs w:val="21"/>
                <w:highlight w:val="none"/>
              </w:rPr>
              <w:t xml:space="preserve">米横臂，杆件采用</w:t>
            </w:r>
            <w:r>
              <w:rPr>
                <w:rFonts w:ascii="宋体" w:hAnsi="宋体" w:eastAsia="宋体"/>
                <w:color w:val="auto"/>
                <w:sz w:val="21"/>
                <w:szCs w:val="21"/>
                <w:highlight w:val="none"/>
              </w:rPr>
              <w:t xml:space="preserve">3mm</w:t>
            </w:r>
            <w:r>
              <w:rPr>
                <w:rFonts w:hint="eastAsia" w:ascii="宋体" w:hAnsi="宋体" w:eastAsia="宋体"/>
                <w:color w:val="auto"/>
                <w:sz w:val="21"/>
                <w:szCs w:val="21"/>
                <w:highlight w:val="none"/>
              </w:rPr>
              <w:t xml:space="preserve">镀锌烤漆钢管</w:t>
            </w:r>
            <w:r>
              <w:rPr>
                <w:rFonts w:ascii="宋体" w:hAnsi="宋体" w:eastAsia="宋体"/>
                <w:color w:val="auto"/>
                <w:sz w:val="21"/>
                <w:szCs w:val="21"/>
                <w:highlight w:val="none"/>
              </w:rPr>
              <w:t xml:space="preserve"> </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12</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w:t>
            </w:r>
            <w:r/>
          </w:p>
        </w:tc>
      </w:tr>
      <w:tr>
        <w:trPr/>
        <w:tc>
          <w:tcPr>
            <w:tcW w:w="257" w:type="pct"/>
            <w:vAlign w:val="center"/>
            <w:textDirection w:val="lrTb"/>
            <w:noWrap w:val="false"/>
          </w:tcPr>
          <w:p>
            <w:pPr>
              <w:spacing w:after="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765"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混凝土基础</w:t>
            </w:r>
            <w:r>
              <w:rPr>
                <w:rFonts w:ascii="宋体" w:hAnsi="宋体" w:eastAsia="宋体"/>
                <w:color w:val="auto"/>
                <w:sz w:val="21"/>
                <w:szCs w:val="21"/>
                <w:highlight w:val="none"/>
              </w:rPr>
              <w:t xml:space="preserve"> </w:t>
            </w:r>
            <w:r/>
          </w:p>
        </w:tc>
        <w:tc>
          <w:tcPr>
            <w:tcW w:w="3077"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钢筋地笼混凝土基础，水泥黄沙砂子等，</w:t>
            </w:r>
            <w:r>
              <w:rPr>
                <w:rFonts w:ascii="宋体" w:hAnsi="宋体" w:eastAsia="宋体"/>
                <w:color w:val="auto"/>
                <w:sz w:val="21"/>
                <w:szCs w:val="21"/>
                <w:highlight w:val="none"/>
              </w:rPr>
              <w:t xml:space="preserve">800*800*1500 </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12</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项</w:t>
            </w:r>
            <w:r/>
          </w:p>
        </w:tc>
      </w:tr>
      <w:tr>
        <w:trPr/>
        <w:tc>
          <w:tcPr>
            <w:tcW w:w="257" w:type="pct"/>
            <w:vAlign w:val="center"/>
            <w:textDirection w:val="lrTb"/>
            <w:noWrap w:val="false"/>
          </w:tcPr>
          <w:p>
            <w:pPr>
              <w:spacing w:after="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765"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防雷接入</w:t>
            </w:r>
            <w:r/>
          </w:p>
        </w:tc>
        <w:tc>
          <w:tcPr>
            <w:tcW w:w="3077"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接入闸泵站建筑物防雷系统。</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6</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项</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s="宋体"/>
                <w:color w:val="auto"/>
                <w:sz w:val="21"/>
                <w:szCs w:val="21"/>
                <w:highlight w:val="none"/>
              </w:rPr>
              <w:t xml:space="preserve">8</w:t>
            </w:r>
            <w:r/>
          </w:p>
        </w:tc>
        <w:tc>
          <w:tcPr>
            <w:tcW w:w="765"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存储N</w:t>
            </w:r>
            <w:r>
              <w:rPr>
                <w:rFonts w:ascii="宋体" w:hAnsi="宋体" w:cs="宋体"/>
                <w:color w:val="auto"/>
                <w:sz w:val="21"/>
                <w:szCs w:val="21"/>
                <w:highlight w:val="none"/>
              </w:rPr>
              <w:t xml:space="preserve">VR</w:t>
            </w:r>
            <w:r/>
          </w:p>
        </w:tc>
        <w:tc>
          <w:tcPr>
            <w:tcW w:w="3077" w:type="pct"/>
            <w:vAlign w:val="center"/>
            <w:textDirection w:val="lrTb"/>
            <w:noWrap w:val="false"/>
          </w:tcPr>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1</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标准机架式嵌入式网络硬盘录像机，ATX电源</w:t>
            </w:r>
            <w:r>
              <w:rPr>
                <w:rFonts w:hint="eastAsia" w:ascii="宋体" w:hAnsi="宋体" w:cs="仿宋"/>
                <w:color w:val="auto"/>
                <w:sz w:val="21"/>
                <w:szCs w:val="21"/>
                <w:highlight w:val="none"/>
                <w:lang w:eastAsia="zh-CN" w:bidi="ar"/>
              </w:rPr>
              <w:t xml:space="preserve">；</w:t>
            </w:r>
            <w:r/>
          </w:p>
          <w:p>
            <w:pPr>
              <w:spacing w:after="0" w:line="240" w:lineRule="auto"/>
              <w:rPr>
                <w:rFonts w:ascii="宋体" w:hAnsi="宋体" w:cs="仿宋"/>
                <w:color w:val="auto"/>
                <w:sz w:val="21"/>
                <w:szCs w:val="21"/>
                <w:highlight w:val="none"/>
                <w:lang w:bidi="ar"/>
              </w:rPr>
            </w:pPr>
            <w:r>
              <w:rPr>
                <w:rFonts w:ascii="宋体" w:hAnsi="宋体" w:cs="仿宋"/>
                <w:color w:val="auto"/>
                <w:sz w:val="21"/>
                <w:szCs w:val="21"/>
                <w:highlight w:val="none"/>
                <w:lang w:bidi="ar"/>
              </w:rPr>
              <w:t xml:space="preserve">2.</w:t>
            </w:r>
            <w:r>
              <w:rPr>
                <w:rFonts w:hint="eastAsia" w:ascii="宋体" w:hAnsi="宋体" w:cs="仿宋"/>
                <w:color w:val="auto"/>
                <w:sz w:val="21"/>
                <w:szCs w:val="21"/>
                <w:highlight w:val="none"/>
                <w:lang w:bidi="ar"/>
              </w:rPr>
              <w:t xml:space="preserve">支持smartH.265格式录像存储，满配6TB硬盘（总容量可达16TB</w:t>
            </w:r>
            <w:r>
              <w:rPr>
                <w:rFonts w:hint="eastAsia" w:ascii="宋体" w:hAnsi="宋体" w:cs="仿宋"/>
                <w:color w:val="auto"/>
                <w:sz w:val="21"/>
                <w:szCs w:val="21"/>
                <w:highlight w:val="none"/>
                <w:lang w:eastAsia="zh-CN" w:bidi="ar"/>
              </w:rPr>
              <w:t xml:space="preserve">）</w:t>
            </w:r>
            <w:r>
              <w:rPr>
                <w:rFonts w:hint="eastAsia" w:ascii="宋体" w:hAnsi="宋体" w:cs="仿宋"/>
                <w:color w:val="auto"/>
                <w:sz w:val="21"/>
                <w:szCs w:val="21"/>
                <w:highlight w:val="none"/>
                <w:lang w:bidi="ar"/>
              </w:rPr>
              <w:t xml:space="preserve">；</w:t>
            </w:r>
            <w:r/>
          </w:p>
          <w:p>
            <w:pPr>
              <w:spacing w:after="0" w:line="240" w:lineRule="auto"/>
              <w:rPr>
                <w:rFonts w:ascii="宋体" w:hAnsi="宋体" w:cs="仿宋"/>
                <w:color w:val="auto"/>
                <w:sz w:val="21"/>
                <w:szCs w:val="21"/>
                <w:highlight w:val="none"/>
                <w:lang w:bidi="ar"/>
              </w:rPr>
            </w:pPr>
            <w:r>
              <w:rPr>
                <w:rFonts w:hint="eastAsia" w:ascii="宋体" w:hAnsi="宋体" w:cs="仿宋"/>
                <w:color w:val="auto"/>
                <w:sz w:val="21"/>
                <w:szCs w:val="21"/>
                <w:highlight w:val="none"/>
                <w:lang w:bidi="ar"/>
              </w:rPr>
              <w:t xml:space="preserve">3</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1个HDMI接口、1个VGA接口</w:t>
            </w:r>
            <w:r>
              <w:rPr>
                <w:rFonts w:hint="eastAsia" w:ascii="宋体" w:hAnsi="宋体" w:cs="仿宋"/>
                <w:color w:val="auto"/>
                <w:sz w:val="21"/>
                <w:szCs w:val="21"/>
                <w:highlight w:val="none"/>
                <w:lang w:eastAsia="zh-CN" w:bidi="ar"/>
              </w:rPr>
              <w:t xml:space="preserve">；</w:t>
            </w:r>
            <w:r/>
          </w:p>
          <w:p>
            <w:pPr>
              <w:spacing w:after="0" w:line="240" w:lineRule="auto"/>
              <w:rPr>
                <w:rFonts w:ascii="宋体" w:hAnsi="宋体" w:cs="仿宋"/>
                <w:color w:val="auto"/>
                <w:sz w:val="21"/>
                <w:szCs w:val="21"/>
                <w:highlight w:val="none"/>
                <w:lang w:bidi="ar"/>
              </w:rPr>
            </w:pPr>
            <w:r>
              <w:rPr>
                <w:rFonts w:ascii="宋体" w:hAnsi="宋体" w:cs="仿宋"/>
                <w:color w:val="auto"/>
                <w:sz w:val="21"/>
                <w:szCs w:val="21"/>
                <w:highlight w:val="none"/>
                <w:lang w:bidi="ar"/>
              </w:rPr>
              <w:t xml:space="preserve">4.</w:t>
            </w:r>
            <w:r>
              <w:rPr>
                <w:rFonts w:hint="eastAsia" w:ascii="宋体" w:hAnsi="宋体" w:cs="仿宋"/>
                <w:color w:val="auto"/>
                <w:sz w:val="21"/>
                <w:szCs w:val="21"/>
                <w:highlight w:val="none"/>
                <w:lang w:bidi="ar"/>
              </w:rPr>
              <w:t xml:space="preserve">2个10M/100M/1000Mbps网口；</w:t>
            </w:r>
            <w:r/>
          </w:p>
          <w:p>
            <w:pPr>
              <w:spacing w:after="0" w:line="240" w:lineRule="auto"/>
              <w:rPr>
                <w:rFonts w:ascii="宋体" w:hAnsi="宋体"/>
                <w:color w:val="auto"/>
                <w:sz w:val="21"/>
                <w:szCs w:val="21"/>
                <w:highlight w:val="none"/>
              </w:rPr>
            </w:pPr>
            <w:r>
              <w:rPr>
                <w:rFonts w:hint="eastAsia" w:ascii="宋体" w:hAnsi="宋体" w:cs="仿宋"/>
                <w:color w:val="auto"/>
                <w:sz w:val="21"/>
                <w:szCs w:val="21"/>
                <w:highlight w:val="none"/>
                <w:lang w:bidi="ar"/>
              </w:rPr>
              <w:t xml:space="preserve">5</w:t>
            </w:r>
            <w:r>
              <w:rPr>
                <w:rFonts w:ascii="宋体" w:hAnsi="宋体" w:cs="仿宋"/>
                <w:color w:val="auto"/>
                <w:sz w:val="21"/>
                <w:szCs w:val="21"/>
                <w:highlight w:val="none"/>
                <w:lang w:bidi="ar"/>
              </w:rPr>
              <w:t xml:space="preserve">.</w:t>
            </w:r>
            <w:r>
              <w:rPr>
                <w:rFonts w:hint="eastAsia" w:ascii="宋体" w:hAnsi="宋体" w:cs="仿宋"/>
                <w:color w:val="auto"/>
                <w:sz w:val="21"/>
                <w:szCs w:val="21"/>
                <w:highlight w:val="none"/>
                <w:lang w:bidi="ar"/>
              </w:rPr>
              <w:t xml:space="preserve">2个USB2.0接口。</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6</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台</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s="宋体"/>
                <w:color w:val="auto"/>
                <w:sz w:val="21"/>
                <w:szCs w:val="21"/>
                <w:highlight w:val="none"/>
              </w:rPr>
              <w:t xml:space="preserve">9</w:t>
            </w:r>
            <w:r/>
          </w:p>
        </w:tc>
        <w:tc>
          <w:tcPr>
            <w:tcW w:w="765"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olor w:val="auto"/>
                <w:sz w:val="21"/>
                <w:szCs w:val="21"/>
                <w:highlight w:val="none"/>
              </w:rPr>
              <w:t xml:space="preserve">硬盘</w:t>
            </w:r>
            <w:r/>
          </w:p>
        </w:tc>
        <w:tc>
          <w:tcPr>
            <w:tcW w:w="3077" w:type="pct"/>
            <w:vAlign w:val="center"/>
            <w:textDirection w:val="lrTb"/>
            <w:noWrap w:val="false"/>
          </w:tcPr>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1.3.5 HDD,6TB,5400RPM,64MB, SATA 6Gb/s</w:t>
            </w:r>
            <w:r>
              <w:rPr>
                <w:rFonts w:hint="eastAsia" w:ascii="宋体" w:hAnsi="宋体" w:eastAsia="宋体"/>
                <w:color w:val="auto"/>
                <w:sz w:val="21"/>
                <w:szCs w:val="21"/>
                <w:highlight w:val="none"/>
                <w:lang w:eastAsia="zh-CN"/>
              </w:rPr>
              <w:t xml:space="preserve">;</w:t>
            </w:r>
            <w:r/>
          </w:p>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2.7*24</w:t>
            </w:r>
            <w:r>
              <w:rPr>
                <w:rFonts w:hint="eastAsia" w:ascii="宋体" w:hAnsi="宋体" w:eastAsia="宋体"/>
                <w:color w:val="auto"/>
                <w:sz w:val="21"/>
                <w:szCs w:val="21"/>
                <w:highlight w:val="none"/>
              </w:rPr>
              <w:t xml:space="preserve">小时流媒体录制，支持</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年硬件质保。</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6</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块</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s="宋体"/>
                <w:color w:val="auto"/>
                <w:sz w:val="21"/>
                <w:szCs w:val="21"/>
                <w:highlight w:val="none"/>
              </w:rPr>
              <w:t xml:space="preserve">10</w:t>
            </w:r>
            <w:r/>
          </w:p>
        </w:tc>
        <w:tc>
          <w:tcPr>
            <w:tcW w:w="765"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布线与调试</w:t>
            </w:r>
            <w:r/>
          </w:p>
        </w:tc>
        <w:tc>
          <w:tcPr>
            <w:tcW w:w="3077" w:type="pct"/>
            <w:vAlign w:val="center"/>
            <w:textDirection w:val="lrTb"/>
            <w:noWrap w:val="false"/>
          </w:tcPr>
          <w:p>
            <w:pPr>
              <w:pStyle w:val="1073"/>
              <w:jc w:val="both"/>
              <w:spacing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非屏蔽六类双绞线</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PVC</w:t>
            </w:r>
            <w:r>
              <w:rPr>
                <w:rFonts w:hint="eastAsia" w:ascii="宋体" w:hAnsi="宋体" w:eastAsia="宋体"/>
                <w:color w:val="auto"/>
                <w:sz w:val="21"/>
                <w:szCs w:val="21"/>
                <w:highlight w:val="none"/>
              </w:rPr>
              <w:t xml:space="preserve">管敷设</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管扣、电工胶</w:t>
            </w:r>
            <w:r>
              <w:rPr>
                <w:rFonts w:hint="eastAsia" w:ascii="宋体" w:hAnsi="宋体" w:eastAsia="宋体"/>
                <w:color w:val="auto"/>
                <w:sz w:val="21"/>
                <w:szCs w:val="21"/>
                <w:highlight w:val="none"/>
                <w:lang w:eastAsia="zh-CN"/>
              </w:rPr>
              <w:t xml:space="preserve">及其他</w:t>
            </w:r>
            <w:r>
              <w:rPr>
                <w:rFonts w:hint="eastAsia" w:ascii="宋体" w:hAnsi="宋体" w:eastAsia="宋体"/>
                <w:color w:val="auto"/>
                <w:sz w:val="21"/>
                <w:szCs w:val="21"/>
                <w:highlight w:val="none"/>
              </w:rPr>
              <w:t xml:space="preserve">相应辅材；</w:t>
            </w:r>
            <w:r/>
          </w:p>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现场布线、地面或绿化</w:t>
            </w:r>
            <w:r>
              <w:rPr>
                <w:rFonts w:hint="eastAsia" w:ascii="宋体" w:hAnsi="宋体" w:eastAsia="宋体"/>
                <w:color w:val="auto"/>
                <w:sz w:val="21"/>
                <w:szCs w:val="21"/>
                <w:highlight w:val="none"/>
                <w:lang w:eastAsia="zh-CN"/>
              </w:rPr>
              <w:t xml:space="preserve">开挖</w:t>
            </w:r>
            <w:r>
              <w:rPr>
                <w:rFonts w:hint="eastAsia" w:ascii="宋体" w:hAnsi="宋体" w:eastAsia="宋体"/>
                <w:color w:val="auto"/>
                <w:sz w:val="21"/>
                <w:szCs w:val="21"/>
                <w:highlight w:val="none"/>
              </w:rPr>
              <w:t xml:space="preserve">回填。</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6</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项</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s="宋体"/>
                <w:color w:val="auto"/>
                <w:sz w:val="21"/>
                <w:szCs w:val="21"/>
                <w:highlight w:val="none"/>
              </w:rPr>
              <w:t xml:space="preserve">11</w:t>
            </w:r>
            <w:r/>
          </w:p>
        </w:tc>
        <w:tc>
          <w:tcPr>
            <w:tcW w:w="765"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视频管理平台</w:t>
            </w:r>
            <w:r/>
          </w:p>
        </w:tc>
        <w:tc>
          <w:tcPr>
            <w:tcW w:w="3077" w:type="pct"/>
            <w:vAlign w:val="center"/>
            <w:textDirection w:val="lrTb"/>
            <w:noWrap w:val="false"/>
          </w:tcPr>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CPU：配置≥1颗</w:t>
            </w:r>
            <w:r>
              <w:rPr>
                <w:rFonts w:ascii="宋体" w:hAnsi="宋体"/>
                <w:color w:val="auto"/>
                <w:sz w:val="21"/>
                <w:szCs w:val="21"/>
                <w:highlight w:val="none"/>
              </w:rPr>
              <w:t xml:space="preserve">C86</w:t>
            </w:r>
            <w:r>
              <w:rPr>
                <w:rFonts w:hint="eastAsia" w:ascii="宋体" w:hAnsi="宋体"/>
                <w:color w:val="auto"/>
                <w:sz w:val="21"/>
                <w:szCs w:val="21"/>
                <w:highlight w:val="none"/>
              </w:rPr>
              <w:t xml:space="preserve">架构处理器，核数≥</w:t>
            </w:r>
            <w:r>
              <w:rPr>
                <w:rFonts w:ascii="宋体" w:hAnsi="宋体"/>
                <w:color w:val="auto"/>
                <w:sz w:val="21"/>
                <w:szCs w:val="21"/>
                <w:highlight w:val="none"/>
              </w:rPr>
              <w:t xml:space="preserve">16</w:t>
            </w:r>
            <w:r>
              <w:rPr>
                <w:rFonts w:hint="eastAsia" w:ascii="宋体" w:hAnsi="宋体"/>
                <w:color w:val="auto"/>
                <w:sz w:val="21"/>
                <w:szCs w:val="21"/>
                <w:highlight w:val="none"/>
              </w:rPr>
              <w:t xml:space="preserve">核，主频</w:t>
            </w:r>
            <w:bookmarkStart w:id="201" w:name="OLE_LINK3"/>
            <w:r/>
            <w:bookmarkStart w:id="202" w:name="OLE_LINK4"/>
            <w:r>
              <w:rPr>
                <w:rFonts w:hint="eastAsia" w:ascii="宋体" w:hAnsi="宋体"/>
                <w:color w:val="auto"/>
                <w:sz w:val="21"/>
                <w:szCs w:val="21"/>
                <w:highlight w:val="none"/>
              </w:rPr>
              <w:t xml:space="preserve">≥</w:t>
            </w:r>
            <w:bookmarkEnd w:id="201"/>
            <w:r/>
            <w:bookmarkEnd w:id="202"/>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GHz；</w:t>
            </w:r>
            <w:r/>
          </w:p>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内存：配置</w:t>
            </w:r>
            <w:bookmarkStart w:id="203" w:name="OLE_LINK5"/>
            <w:r>
              <w:rPr>
                <w:rFonts w:hint="eastAsia" w:ascii="宋体" w:hAnsi="宋体"/>
                <w:color w:val="auto"/>
                <w:sz w:val="21"/>
                <w:szCs w:val="21"/>
                <w:highlight w:val="none"/>
              </w:rPr>
              <w:t xml:space="preserve">≥</w:t>
            </w:r>
            <w:bookmarkEnd w:id="203"/>
            <w:r>
              <w:rPr>
                <w:rFonts w:hint="eastAsia" w:ascii="宋体" w:hAnsi="宋体"/>
                <w:color w:val="auto"/>
                <w:sz w:val="21"/>
                <w:szCs w:val="21"/>
                <w:highlight w:val="none"/>
              </w:rPr>
              <w:t xml:space="preserve">6</w:t>
            </w:r>
            <w:r>
              <w:rPr>
                <w:rFonts w:ascii="宋体" w:hAnsi="宋体"/>
                <w:color w:val="auto"/>
                <w:sz w:val="21"/>
                <w:szCs w:val="21"/>
                <w:highlight w:val="none"/>
              </w:rPr>
              <w:t xml:space="preserve">4</w:t>
            </w:r>
            <w:r>
              <w:rPr>
                <w:rFonts w:hint="eastAsia" w:ascii="宋体" w:hAnsi="宋体"/>
                <w:color w:val="auto"/>
                <w:sz w:val="21"/>
                <w:szCs w:val="21"/>
                <w:highlight w:val="none"/>
              </w:rPr>
              <w:t xml:space="preserve">G DDR4，≥16根内存插槽，最大支持扩展至</w:t>
            </w:r>
            <w:r>
              <w:rPr>
                <w:rFonts w:ascii="宋体" w:hAnsi="宋体"/>
                <w:color w:val="auto"/>
                <w:sz w:val="21"/>
                <w:szCs w:val="21"/>
                <w:highlight w:val="none"/>
              </w:rPr>
              <w:t xml:space="preserve">1</w:t>
            </w:r>
            <w:r>
              <w:rPr>
                <w:rFonts w:hint="eastAsia" w:ascii="宋体" w:hAnsi="宋体"/>
                <w:color w:val="auto"/>
                <w:sz w:val="21"/>
                <w:szCs w:val="21"/>
                <w:highlight w:val="none"/>
              </w:rPr>
              <w:t xml:space="preserve">TB内存；</w:t>
            </w:r>
            <w:r/>
          </w:p>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硬盘：配置</w:t>
            </w:r>
            <w:bookmarkStart w:id="204" w:name="OLE_LINK8"/>
            <w:r/>
            <w:bookmarkStart w:id="205" w:name="OLE_LINK7"/>
            <w:r/>
            <w:bookmarkStart w:id="206" w:name="OLE_LINK6"/>
            <w:r>
              <w:rPr>
                <w:rFonts w:hint="eastAsia" w:ascii="宋体" w:hAnsi="宋体"/>
                <w:color w:val="auto"/>
                <w:sz w:val="21"/>
                <w:szCs w:val="21"/>
                <w:highlight w:val="none"/>
              </w:rPr>
              <w:t xml:space="preserve">≥</w:t>
            </w:r>
            <w:bookmarkEnd w:id="204"/>
            <w:r/>
            <w:bookmarkEnd w:id="205"/>
            <w:r/>
            <w:bookmarkEnd w:id="206"/>
            <w:r>
              <w:rPr>
                <w:rFonts w:hint="eastAsia" w:ascii="宋体" w:hAnsi="宋体"/>
                <w:color w:val="auto"/>
                <w:sz w:val="21"/>
                <w:szCs w:val="21"/>
                <w:highlight w:val="none"/>
              </w:rPr>
              <w:t xml:space="preserve">2块</w:t>
            </w:r>
            <w:r>
              <w:rPr>
                <w:rFonts w:ascii="宋体" w:hAnsi="宋体"/>
                <w:color w:val="auto"/>
                <w:sz w:val="21"/>
                <w:szCs w:val="21"/>
                <w:highlight w:val="none"/>
              </w:rPr>
              <w:t xml:space="preserve">600G</w:t>
            </w:r>
            <w:r>
              <w:rPr>
                <w:rFonts w:hint="eastAsia" w:ascii="宋体" w:hAnsi="宋体"/>
                <w:color w:val="auto"/>
                <w:sz w:val="21"/>
                <w:szCs w:val="21"/>
                <w:highlight w:val="none"/>
              </w:rPr>
              <w:t xml:space="preserve"> 10K SAS硬盘；</w:t>
            </w:r>
            <w:r/>
          </w:p>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阵列卡：配置≥1张SAS</w:t>
            </w:r>
            <w:r>
              <w:rPr>
                <w:rFonts w:ascii="宋体" w:hAnsi="宋体"/>
                <w:color w:val="auto"/>
                <w:sz w:val="21"/>
                <w:szCs w:val="21"/>
                <w:highlight w:val="none"/>
              </w:rPr>
              <w:t xml:space="preserve">+</w:t>
            </w:r>
            <w:r>
              <w:rPr>
                <w:rFonts w:hint="eastAsia" w:ascii="宋体" w:hAnsi="宋体"/>
                <w:color w:val="auto"/>
                <w:sz w:val="21"/>
                <w:szCs w:val="21"/>
                <w:highlight w:val="none"/>
              </w:rPr>
              <w:t xml:space="preserve">HBA卡（支持RAID 0/1/10）；</w:t>
            </w:r>
            <w:r/>
          </w:p>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w:t>
            </w:r>
            <w:r>
              <w:rPr>
                <w:rFonts w:hint="eastAsia" w:ascii="宋体" w:hAnsi="宋体"/>
                <w:color w:val="auto"/>
                <w:sz w:val="21"/>
                <w:szCs w:val="21"/>
                <w:highlight w:val="none"/>
              </w:rPr>
              <w:t xml:space="preserve">PCIE扩展：最大</w:t>
            </w:r>
            <w:r>
              <w:rPr>
                <w:rFonts w:hint="eastAsia" w:ascii="宋体" w:hAnsi="宋体"/>
                <w:color w:val="auto"/>
                <w:sz w:val="21"/>
                <w:szCs w:val="21"/>
                <w:highlight w:val="none"/>
                <w:lang w:eastAsia="zh-CN"/>
              </w:rPr>
              <w:t xml:space="preserve">可</w:t>
            </w:r>
            <w:r>
              <w:rPr>
                <w:rFonts w:hint="eastAsia" w:ascii="宋体" w:hAnsi="宋体"/>
                <w:color w:val="auto"/>
                <w:sz w:val="21"/>
                <w:szCs w:val="21"/>
                <w:highlight w:val="none"/>
              </w:rPr>
              <w:t xml:space="preserve">支持6个PCIE扩展插槽；</w:t>
            </w:r>
            <w:r/>
          </w:p>
          <w:p>
            <w:pPr>
              <w:spacing w:after="0" w:line="240"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网口：≥</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个千兆电口；</w:t>
            </w:r>
            <w:r/>
          </w:p>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8</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其他接口：1个RJ45管理接口，后置2个USB 3.0接口，前置2个USB2.0接口，1个VGA接口；</w:t>
            </w:r>
            <w:r/>
          </w:p>
          <w:p>
            <w:pPr>
              <w:spacing w:after="0" w:line="240" w:lineRule="auto"/>
              <w:rPr>
                <w:rFonts w:ascii="宋体" w:hAnsi="宋体" w:cs="宋体"/>
                <w:color w:val="auto"/>
                <w:sz w:val="21"/>
                <w:szCs w:val="21"/>
                <w:highlight w:val="none"/>
              </w:rPr>
            </w:pPr>
            <w:r>
              <w:rPr>
                <w:rFonts w:ascii="宋体" w:hAnsi="宋体"/>
                <w:color w:val="auto"/>
                <w:sz w:val="21"/>
                <w:szCs w:val="21"/>
                <w:highlight w:val="none"/>
              </w:rPr>
              <w:t xml:space="preserve">9.</w:t>
            </w:r>
            <w:r>
              <w:rPr>
                <w:rFonts w:hint="eastAsia" w:ascii="宋体" w:hAnsi="宋体"/>
                <w:color w:val="auto"/>
                <w:sz w:val="21"/>
                <w:szCs w:val="21"/>
                <w:highlight w:val="none"/>
              </w:rPr>
              <w:t xml:space="preserve">电源：配置550W（1+1）高效铂金CRPS冗余电源。</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项</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2</w:t>
            </w:r>
            <w:r/>
          </w:p>
        </w:tc>
        <w:tc>
          <w:tcPr>
            <w:tcW w:w="765"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视频管理软件</w:t>
            </w:r>
            <w:r/>
          </w:p>
        </w:tc>
        <w:tc>
          <w:tcPr>
            <w:tcW w:w="3077" w:type="pct"/>
            <w:vAlign w:val="center"/>
            <w:textDirection w:val="lrTb"/>
            <w:noWrap w:val="false"/>
          </w:tcPr>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支持视频实时预览能力，实现预览窗口布局切换、预览画面自适应及全屏切换；</w:t>
            </w:r>
            <w:r/>
          </w:p>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支持云台控制、实时抓图、紧急录像、即时回放、</w:t>
            </w:r>
            <w:r>
              <w:rPr>
                <w:rFonts w:hint="eastAsia" w:ascii="宋体" w:hAnsi="宋体" w:eastAsia="宋体"/>
                <w:color w:val="auto"/>
                <w:sz w:val="21"/>
                <w:szCs w:val="21"/>
                <w:highlight w:val="none"/>
                <w:lang w:eastAsia="zh-CN"/>
              </w:rPr>
              <w:t xml:space="preserve">数字</w:t>
            </w:r>
            <w:r>
              <w:rPr>
                <w:rFonts w:hint="eastAsia" w:ascii="宋体" w:hAnsi="宋体" w:eastAsia="宋体"/>
                <w:color w:val="auto"/>
                <w:sz w:val="21"/>
                <w:szCs w:val="21"/>
                <w:highlight w:val="none"/>
              </w:rPr>
              <w:t xml:space="preserve">码流切换、声音开启</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关闭、辅屏预览（</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个辅屏）、对讲、广播、报警输出控制的能力；</w:t>
            </w:r>
            <w:r/>
          </w:p>
          <w:p>
            <w:pPr>
              <w:pStyle w:val="1073"/>
              <w:jc w:val="both"/>
              <w:spacing w:after="0" w:line="24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支持录像计划管理能力，支持实时录像计划、录像回传计划；</w:t>
            </w:r>
            <w:r/>
          </w:p>
          <w:p>
            <w:pPr>
              <w:pStyle w:val="1073"/>
              <w:jc w:val="both"/>
              <w:spacing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支持录像回放能力，支持多画面同步回放和异步回放切换、超高倍速回放、分段回放、录像下载、录像剪辑、录像标签、录像锁定、录像抓图；</w:t>
            </w:r>
            <w:r/>
          </w:p>
          <w:p>
            <w:pPr>
              <w:pStyle w:val="1073"/>
              <w:jc w:val="both"/>
              <w:spacing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支持视频预览与图片实时监控模式切换能力，实现图片监控模式；</w:t>
            </w:r>
            <w:r/>
          </w:p>
          <w:p>
            <w:pPr>
              <w:pStyle w:val="1073"/>
              <w:jc w:val="both"/>
              <w:spacing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支持图片查询回放能力，实现按监控点、时间段展示抓拍图片；</w:t>
            </w:r>
            <w:r/>
          </w:p>
          <w:p>
            <w:pPr>
              <w:pStyle w:val="1073"/>
              <w:jc w:val="both"/>
              <w:spacing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支持电视墙场景管理能力，实现场景窗口配置、场景切换计划配置以及轮巡计划的管理；</w:t>
            </w:r>
            <w:r/>
          </w:p>
          <w:p>
            <w:pPr>
              <w:pStyle w:val="1073"/>
              <w:jc w:val="both"/>
              <w:spacing w:after="0" w:line="24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支持上墙控制能力，实现场景一键上墙、场景切换、电视墙切换、监控点上下墙、轮巡</w:t>
            </w:r>
            <w:r>
              <w:rPr>
                <w:rFonts w:hint="eastAsia" w:ascii="宋体" w:hAnsi="宋体" w:eastAsia="宋体"/>
                <w:color w:val="auto"/>
                <w:sz w:val="21"/>
                <w:szCs w:val="21"/>
                <w:highlight w:val="none"/>
                <w:lang w:eastAsia="zh-CN"/>
              </w:rPr>
              <w:t xml:space="preserve">。</w:t>
            </w:r>
            <w:r/>
          </w:p>
        </w:tc>
        <w:tc>
          <w:tcPr>
            <w:tcW w:w="429"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73" w:type="pct"/>
            <w:vAlign w:val="center"/>
            <w:textDirection w:val="lrTb"/>
            <w:noWrap w:val="false"/>
          </w:tcPr>
          <w:p>
            <w:pPr>
              <w:spacing w:after="0" w:line="24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w:t>
            </w:r>
            <w:r/>
          </w:p>
        </w:tc>
      </w:tr>
      <w:tr>
        <w:trPr/>
        <w:tc>
          <w:tcPr>
            <w:tcW w:w="257" w:type="pct"/>
            <w:vAlign w:val="center"/>
            <w:textDirection w:val="lrTb"/>
            <w:noWrap w:val="false"/>
          </w:tcPr>
          <w:p>
            <w:pPr>
              <w:spacing w:after="0" w:line="240" w:lineRule="auto"/>
              <w:rPr>
                <w:rFonts w:ascii="宋体" w:hAnsi="宋体" w:cs="宋体"/>
                <w:color w:val="auto"/>
                <w:sz w:val="21"/>
                <w:szCs w:val="21"/>
                <w:highlight w:val="none"/>
              </w:rPr>
            </w:pPr>
            <w:r>
              <w:rPr>
                <w:rFonts w:ascii="宋体" w:hAnsi="宋体" w:cs="宋体"/>
                <w:color w:val="auto"/>
                <w:sz w:val="21"/>
                <w:szCs w:val="21"/>
                <w:highlight w:val="none"/>
              </w:rPr>
              <w:t xml:space="preserve">13</w:t>
            </w:r>
            <w:r/>
          </w:p>
        </w:tc>
        <w:tc>
          <w:tcPr>
            <w:tcW w:w="765" w:type="pct"/>
            <w:vAlign w:val="center"/>
            <w:textDirection w:val="lrTb"/>
            <w:noWrap w:val="false"/>
          </w:tcPr>
          <w:p>
            <w:pPr>
              <w:pStyle w:val="1073"/>
              <w:jc w:val="both"/>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视频通道授权</w:t>
            </w:r>
            <w:r>
              <w:rPr>
                <w:rFonts w:ascii="宋体" w:hAnsi="宋体" w:eastAsia="宋体"/>
                <w:color w:val="auto"/>
                <w:sz w:val="21"/>
                <w:szCs w:val="21"/>
                <w:highlight w:val="none"/>
              </w:rPr>
              <w:t xml:space="preserve"> </w:t>
            </w:r>
            <w:r/>
          </w:p>
        </w:tc>
        <w:tc>
          <w:tcPr>
            <w:tcW w:w="3077" w:type="pct"/>
            <w:vAlign w:val="center"/>
            <w:textDirection w:val="lrTb"/>
            <w:noWrap w:val="false"/>
          </w:tcPr>
          <w:p>
            <w:pPr>
              <w:spacing w:after="0" w:line="240" w:lineRule="auto"/>
              <w:rPr>
                <w:rFonts w:ascii="宋体" w:hAnsi="宋体" w:cs="宋体"/>
                <w:color w:val="auto"/>
                <w:sz w:val="21"/>
                <w:szCs w:val="21"/>
                <w:highlight w:val="none"/>
              </w:rPr>
            </w:pPr>
            <w:r>
              <w:rPr>
                <w:rFonts w:hint="eastAsia" w:ascii="宋体" w:hAnsi="宋体"/>
                <w:color w:val="auto"/>
                <w:sz w:val="21"/>
                <w:szCs w:val="21"/>
                <w:highlight w:val="none"/>
              </w:rPr>
              <w:t xml:space="preserve">终端设备通道授权。</w:t>
            </w:r>
            <w:r/>
          </w:p>
        </w:tc>
        <w:tc>
          <w:tcPr>
            <w:tcW w:w="429"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00</w:t>
            </w:r>
            <w:r/>
          </w:p>
        </w:tc>
        <w:tc>
          <w:tcPr>
            <w:tcW w:w="473" w:type="pct"/>
            <w:vAlign w:val="center"/>
            <w:textDirection w:val="lrTb"/>
            <w:noWrap w:val="false"/>
          </w:tcPr>
          <w:p>
            <w:pPr>
              <w:spacing w:after="0" w:line="240" w:lineRule="auto"/>
              <w:rPr>
                <w:rFonts w:ascii="宋体" w:hAnsi="宋体"/>
                <w:color w:val="auto"/>
                <w:sz w:val="21"/>
                <w:szCs w:val="21"/>
                <w:highlight w:val="none"/>
              </w:rPr>
            </w:pPr>
            <w:r>
              <w:rPr>
                <w:rFonts w:hint="eastAsia" w:ascii="宋体" w:hAnsi="宋体" w:cs="宋体"/>
                <w:color w:val="auto"/>
                <w:sz w:val="21"/>
                <w:szCs w:val="21"/>
                <w:highlight w:val="none"/>
              </w:rPr>
              <w:t xml:space="preserve">项</w:t>
            </w:r>
            <w:r/>
          </w:p>
        </w:tc>
      </w:tr>
    </w:tbl>
    <w:p>
      <w:pPr>
        <w:ind w:firstLine="422"/>
        <w:spacing w:line="360" w:lineRule="auto"/>
        <w:rPr>
          <w:rFonts w:ascii="宋体" w:hAnsi="宋体" w:cs="宋体"/>
          <w:b/>
          <w:color w:val="auto"/>
          <w:szCs w:val="21"/>
          <w:highlight w:val="none"/>
        </w:rPr>
        <w:outlineLvl w:val="1"/>
      </w:pPr>
      <w:r>
        <w:rPr>
          <w:rFonts w:ascii="宋体" w:hAnsi="宋体" w:cs="宋体"/>
          <w:b/>
          <w:color w:val="auto"/>
          <w:szCs w:val="21"/>
          <w:highlight w:val="none"/>
        </w:rPr>
        <w:t xml:space="preserve">3.2闸泵</w:t>
      </w:r>
      <w:r>
        <w:rPr>
          <w:rFonts w:hint="eastAsia" w:ascii="宋体" w:hAnsi="宋体" w:cs="宋体"/>
          <w:b/>
          <w:color w:val="auto"/>
          <w:szCs w:val="21"/>
          <w:highlight w:val="none"/>
        </w:rPr>
        <w:t xml:space="preserve">站远程控制与监测系统建设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闸泵</w:t>
      </w:r>
      <w:r>
        <w:rPr>
          <w:rFonts w:hint="eastAsia" w:ascii="宋体" w:hAnsi="宋体" w:eastAsia="宋体" w:cs="宋体"/>
          <w:color w:val="auto"/>
          <w:szCs w:val="21"/>
          <w:highlight w:val="none"/>
          <w:lang w:val="en-US" w:eastAsia="zh-CN"/>
        </w:rPr>
        <w:t xml:space="preserve">站远程控制与监测系统建设</w:t>
      </w:r>
      <w:r>
        <w:rPr>
          <w:rFonts w:hint="eastAsia" w:ascii="宋体" w:hAnsi="宋体" w:eastAsia="宋体" w:cs="宋体"/>
          <w:color w:val="auto"/>
          <w:szCs w:val="21"/>
          <w:highlight w:val="none"/>
        </w:rPr>
        <w:t xml:space="preserve">主要是通过各闸泵站工程的现地自动化控制系统建设或升级改造，将各闸泵站工程的现地自动化控制系统与远程控制系统平台进行对接，建立集控中心、枢纽站和现地三级管理，现场触摸屏级、枢纽站级和管理处集控中心级三级控制模式，进行系统扩展和集成整合，建设统一的远程控制系统，对工程进行实时远程监测和控制，实现 “无人值班、少人值守”，安全稳定，经济调度的目标。</w:t>
      </w:r>
      <w:r/>
    </w:p>
    <w:p>
      <w:pPr>
        <w:ind w:firstLine="422"/>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.2.1</w:t>
      </w:r>
      <w:r>
        <w:rPr>
          <w:rFonts w:hint="eastAsia" w:ascii="宋体" w:hAnsi="宋体" w:cs="宋体"/>
          <w:b/>
          <w:color w:val="auto"/>
          <w:szCs w:val="21"/>
          <w:highlight w:val="none"/>
        </w:rPr>
        <w:t xml:space="preserve">站点布设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根据闸泵站远程自动控制功能需求及系统安全稳定运行要求，针对广丰浜、毛岸河泵站、施巷站、范家桥站、塔影站等工程共计</w:t>
      </w:r>
      <w:r>
        <w:rPr>
          <w:rFonts w:ascii="宋体" w:hAnsi="宋体" w:cs="宋体"/>
          <w:color w:val="auto"/>
          <w:szCs w:val="21"/>
          <w:highlight w:val="none"/>
        </w:rPr>
        <w:t xml:space="preserve">55</w:t>
      </w:r>
      <w:r>
        <w:rPr>
          <w:rFonts w:hint="eastAsia" w:ascii="宋体" w:hAnsi="宋体" w:cs="宋体"/>
          <w:color w:val="auto"/>
          <w:szCs w:val="21"/>
          <w:highlight w:val="none"/>
        </w:rPr>
        <w:t xml:space="preserve">套现地</w:t>
      </w:r>
      <w:r>
        <w:rPr>
          <w:rFonts w:ascii="宋体" w:hAnsi="宋体" w:cs="宋体"/>
          <w:color w:val="auto"/>
          <w:szCs w:val="21"/>
          <w:highlight w:val="none"/>
        </w:rPr>
        <w:t xml:space="preserve">PLC</w:t>
      </w:r>
      <w:r>
        <w:rPr>
          <w:rFonts w:hint="eastAsia" w:ascii="宋体" w:hAnsi="宋体" w:cs="宋体"/>
          <w:color w:val="auto"/>
          <w:szCs w:val="21"/>
          <w:highlight w:val="none"/>
        </w:rPr>
        <w:t xml:space="preserve">控制柜（其中新民村站作为</w:t>
      </w:r>
      <w:r>
        <w:rPr>
          <w:rFonts w:ascii="宋体" w:hAnsi="宋体" w:cs="宋体"/>
          <w:color w:val="auto"/>
          <w:szCs w:val="21"/>
          <w:highlight w:val="none"/>
        </w:rPr>
        <w:t xml:space="preserve">2021</w:t>
      </w:r>
      <w:r>
        <w:rPr>
          <w:rFonts w:hint="eastAsia" w:ascii="宋体" w:hAnsi="宋体" w:cs="宋体"/>
          <w:color w:val="auto"/>
          <w:szCs w:val="21"/>
          <w:highlight w:val="none"/>
        </w:rPr>
        <w:t xml:space="preserve">年试点已配置远程控制），部署现地控制系统，并在无锡市梁溪区防汛设施管理站部署远程控制系统平台，通过租用运营商</w:t>
      </w:r>
      <w:r>
        <w:rPr>
          <w:rFonts w:ascii="宋体" w:hAnsi="宋体" w:cs="宋体"/>
          <w:color w:val="auto"/>
          <w:szCs w:val="21"/>
          <w:highlight w:val="none"/>
        </w:rPr>
        <w:t xml:space="preserve">VPN</w:t>
      </w:r>
      <w:r>
        <w:rPr>
          <w:rFonts w:hint="eastAsia" w:ascii="宋体" w:hAnsi="宋体" w:cs="宋体"/>
          <w:color w:val="auto"/>
          <w:szCs w:val="21"/>
          <w:highlight w:val="none"/>
        </w:rPr>
        <w:t xml:space="preserve">专线，将各现地控制系统与调度中心的远程控制系统平台相连接，实现闸泵站工程相关设备的远程监视和控制。</w:t>
      </w:r>
      <w:r/>
    </w:p>
    <w:p>
      <w:pPr>
        <w:pStyle w:val="721"/>
        <w:rPr>
          <w:rFonts w:hint="eastAsia"/>
          <w:color w:val="auto"/>
          <w:highlight w:val="none"/>
        </w:rPr>
      </w:pPr>
      <w:r>
        <w:rPr>
          <w:rFonts w:hint="eastAsia"/>
          <w:color w:val="auto"/>
          <w:highlight w:val="none"/>
        </w:rPr>
        <w:t xml:space="preserve">本项目实施自动化管理及监控管理的闸泵站清单如下。</w:t>
      </w:r>
      <w:r/>
    </w:p>
    <w:tbl>
      <w:tblPr>
        <w:tblStyle w:val="7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9"/>
        <w:gridCol w:w="732"/>
        <w:gridCol w:w="610"/>
        <w:gridCol w:w="612"/>
        <w:gridCol w:w="612"/>
        <w:gridCol w:w="614"/>
        <w:gridCol w:w="614"/>
        <w:gridCol w:w="614"/>
        <w:gridCol w:w="614"/>
        <w:gridCol w:w="614"/>
        <w:gridCol w:w="614"/>
        <w:gridCol w:w="614"/>
        <w:gridCol w:w="614"/>
        <w:gridCol w:w="605"/>
      </w:tblGrid>
      <w:tr>
        <w:trPr>
          <w:jc w:val="center"/>
          <w:trHeight w:val="272"/>
        </w:trPr>
        <w:tc>
          <w:tcPr>
            <w:shd w:val="clear" w:color="auto" w:fill="d8d8d8"/>
            <w:tcW w:w="258" w:type="pct"/>
            <w:vAlign w:val="center"/>
            <w:vMerge w:val="restart"/>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8d8d8"/>
            <w:tcW w:w="429" w:type="pct"/>
            <w:vAlign w:val="center"/>
            <w:vMerge w:val="restart"/>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站点名称</w:t>
            </w:r>
            <w:r/>
          </w:p>
        </w:tc>
        <w:tc>
          <w:tcPr>
            <w:gridSpan w:val="12"/>
            <w:shd w:val="clear" w:color="auto" w:fill="d8d8d8"/>
            <w:tcW w:w="4311"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建设内容数量</w:t>
            </w:r>
            <w:r/>
          </w:p>
        </w:tc>
      </w:tr>
      <w:tr>
        <w:trPr>
          <w:jc w:val="center"/>
          <w:trHeight w:val="272"/>
        </w:trPr>
        <w:tc>
          <w:tcPr>
            <w:shd w:val="clear" w:color="auto" w:fill="d8d8d8"/>
            <w:tcW w:w="258" w:type="pct"/>
            <w:vAlign w:val="center"/>
            <w:vMerge w:val="continue"/>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shd w:val="clear" w:color="auto" w:fill="d8d8d8"/>
            <w:tcW w:w="429" w:type="pct"/>
            <w:vAlign w:val="center"/>
            <w:vMerge w:val="continue"/>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shd w:val="clear" w:color="auto" w:fill="d8d8d8"/>
            <w:tcW w:w="358"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bookmarkStart w:id="207" w:name="OLE_LINK12"/>
            <w:r/>
            <w:bookmarkStart w:id="208" w:name="OLE_LINK13"/>
            <w:r>
              <w:rPr>
                <w:rFonts w:hint="eastAsia" w:ascii="宋体" w:hAnsi="宋体" w:eastAsia="宋体" w:cs="宋体"/>
                <w:b/>
                <w:color w:val="auto"/>
                <w:sz w:val="21"/>
                <w:szCs w:val="21"/>
                <w:highlight w:val="none"/>
              </w:rPr>
              <w:t xml:space="preserve">LCU泵站控制柜</w:t>
            </w:r>
            <w:bookmarkEnd w:id="207"/>
            <w:r/>
            <w:bookmarkEnd w:id="208"/>
            <w:r/>
            <w:r/>
          </w:p>
        </w:tc>
        <w:tc>
          <w:tcPr>
            <w:shd w:val="clear" w:color="auto" w:fill="d8d8d8"/>
            <w:tcW w:w="359"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LCU闸泵站控制柜</w:t>
            </w:r>
            <w:r/>
          </w:p>
        </w:tc>
        <w:tc>
          <w:tcPr>
            <w:shd w:val="clear" w:color="auto" w:fill="d8d8d8"/>
            <w:tcW w:w="359"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新建-闸位计</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利旧-闸位计</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新建-雷达水位计</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利旧-雷达水位计</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展示终端</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利旧</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展示终端</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新建-智能电表</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利旧-智能电表</w:t>
            </w:r>
            <w:r/>
          </w:p>
        </w:tc>
        <w:tc>
          <w:tcPr>
            <w:shd w:val="clear" w:color="auto" w:fill="d8d8d8"/>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压力传感器</w:t>
            </w:r>
            <w:r/>
          </w:p>
        </w:tc>
        <w:tc>
          <w:tcPr>
            <w:shd w:val="clear" w:color="auto" w:fill="d8d8d8"/>
            <w:tcW w:w="353"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新建荷载传感器</w:t>
            </w:r>
            <w:r/>
          </w:p>
        </w:tc>
      </w:tr>
      <w:tr>
        <w:trPr>
          <w:jc w:val="center"/>
          <w:trHeight w:val="272"/>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石化总厂</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广丰浜</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2"/>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毛岸河泵站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2"/>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1602库站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施巷站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2"/>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范家桥站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2"/>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塔影站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梨庄家园</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接管亭</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吴桥西路</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汤家桥站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庙降桥站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菩提浜站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黄泥桥站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长安桥站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江尖北闸站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小尖桥站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龙船浜</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和新里</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李家浜</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山东浜</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盛岸二村</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热电厂</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新民村</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惠山浜</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惠华</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惠龙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三家村</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护渎河</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五爱家园泵站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后坭泵站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纳新桥闸站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五爱北路泵站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九里基闸站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马夹浜节制闸</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徐来河泵站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庙湾浜泵站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芦新桥闸站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新槐古桥</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575泵站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槐古桥站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羊皮巷泵站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染坊弄泵站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嘉泰泵站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新桥闸站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冷渎港闸</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高山巷泵站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前塘浜泵站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大窑路泵站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锡钢泵站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兴隆闸站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庙桥闸站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西水关站</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5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机电节制闸</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许溪河节制闸</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tcW w:w="2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42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日辉桥浜节制闸</w:t>
            </w:r>
            <w:r/>
          </w:p>
        </w:tc>
        <w:tc>
          <w:tcPr>
            <w:tcW w:w="3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9"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d7d7d7" w:themeFill="background1" w:themeFillShade="D8"/>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d7d7d7" w:themeFill="background1" w:themeFillShade="D8"/>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60"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53" w:type="pct"/>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73"/>
        </w:trPr>
        <w:tc>
          <w:tcPr>
            <w:gridSpan w:val="2"/>
            <w:tcW w:w="688"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合计数量</w:t>
            </w:r>
            <w:r/>
          </w:p>
        </w:tc>
        <w:tc>
          <w:tcPr>
            <w:tcW w:w="358"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w:t>
            </w:r>
            <w:r/>
          </w:p>
        </w:tc>
        <w:tc>
          <w:tcPr>
            <w:tcW w:w="359"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w:t>
            </w:r>
            <w:r/>
          </w:p>
        </w:tc>
        <w:tc>
          <w:tcPr>
            <w:tcW w:w="359"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shd w:val="clear" w:color="auto" w:fill="d8d8d8" w:themeFill="background1" w:themeFillShade="D9"/>
            <w:tcW w:w="360" w:type="pct"/>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w:t>
            </w:r>
            <w:r/>
          </w:p>
        </w:tc>
        <w:tc>
          <w:tcPr>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88</w:t>
            </w:r>
            <w:r/>
          </w:p>
        </w:tc>
        <w:tc>
          <w:tcPr>
            <w:shd w:val="clear" w:color="auto" w:fill="d7d7d7" w:themeFill="background1" w:themeFillShade="D8"/>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19</w:t>
            </w:r>
            <w:r/>
          </w:p>
        </w:tc>
        <w:tc>
          <w:tcPr>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23</w:t>
            </w:r>
            <w:r/>
          </w:p>
        </w:tc>
        <w:tc>
          <w:tcPr>
            <w:shd w:val="clear" w:color="auto" w:fill="d7d7d7" w:themeFill="background1" w:themeFillShade="D8"/>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33</w:t>
            </w:r>
            <w:r/>
          </w:p>
        </w:tc>
        <w:tc>
          <w:tcPr>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44</w:t>
            </w:r>
            <w:r/>
          </w:p>
        </w:tc>
        <w:tc>
          <w:tcPr>
            <w:shd w:val="clear" w:color="auto" w:fill="d7d7d7" w:themeFill="background1" w:themeFillShade="D8"/>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114</w:t>
            </w:r>
            <w:r/>
          </w:p>
        </w:tc>
        <w:tc>
          <w:tcPr>
            <w:tcW w:w="360"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129</w:t>
            </w:r>
            <w:r/>
          </w:p>
        </w:tc>
        <w:tc>
          <w:tcPr>
            <w:tcW w:w="353" w:type="pct"/>
            <w:vAlign w:val="center"/>
            <w:textDirection w:val="lrTb"/>
            <w:noWrap w:val="false"/>
          </w:tcPr>
          <w:p>
            <w:pPr>
              <w:jc w:val="center"/>
              <w:spacing w:after="0" w:line="24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29</w:t>
            </w:r>
            <w:r/>
          </w:p>
        </w:tc>
      </w:tr>
    </w:tbl>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2技术要求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闸泵远程控制与监测系统包括远程自动化改造和仪器仪表监测系统建设。技术要求如下。</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2.1闸泵站远程控制系统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闸泵远程控制系统单独组网，与互联网及其他网络完全隔离，保障工程远程控制安全。控制系统物理结构采用控制层和设备层两层结构。</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1、控制层LCU柜采用一台PLC为主控制器，操作界面采用触摸式显示屏，能显示泵站自动化运行设备的状态、设定自动化运行的控制参数、显示当前正在报警的设备和报警内容。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（1）控制层LCU柜：由PLC设备、传感器等构成。由PLC进行信号采集，采集信号分别为闸位、荷载、限位、水位、流量、压力、二次仪表等；并负责采集、传输系统的各种参量，并对机电设备进行控制。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（2）控制层LCU柜可通过以太网</w:t>
      </w:r>
      <w:r>
        <w:rPr>
          <w:rFonts w:hint="eastAsia" w:ascii="宋体" w:hAnsi="宋体" w:cs="宋体"/>
          <w:color w:val="auto"/>
          <w:szCs w:val="21"/>
          <w:highlight w:val="none"/>
          <w:lang w:val="en-US" w:eastAsia="zh-CN"/>
        </w:rPr>
        <w:t xml:space="preserve">通信模块</w:t>
      </w:r>
      <w:r>
        <w:rPr>
          <w:rFonts w:hint="eastAsia" w:ascii="宋体" w:hAnsi="宋体" w:eastAsia="宋体" w:cs="宋体"/>
          <w:color w:val="auto"/>
          <w:szCs w:val="21"/>
          <w:highlight w:val="none"/>
          <w:lang w:val="en-US" w:eastAsia="zh-CN"/>
        </w:rPr>
        <w:t xml:space="preserve">端口将泵站自动化运行设备的状态、当前正在报警的设备和报警内容上传城域宽带，</w:t>
      </w:r>
      <w:r>
        <w:rPr>
          <w:rFonts w:hint="eastAsia" w:ascii="宋体" w:hAnsi="宋体" w:cs="宋体"/>
          <w:color w:val="auto"/>
          <w:szCs w:val="21"/>
          <w:highlight w:val="none"/>
          <w:lang w:val="en-US" w:eastAsia="zh-CN"/>
        </w:rPr>
        <w:t xml:space="preserve">并提</w:t>
      </w:r>
      <w:r>
        <w:rPr>
          <w:rFonts w:hint="eastAsia" w:ascii="宋体" w:hAnsi="宋体" w:eastAsia="宋体" w:cs="宋体"/>
          <w:color w:val="auto"/>
          <w:szCs w:val="21"/>
          <w:highlight w:val="none"/>
          <w:lang w:val="en-US" w:eastAsia="zh-CN"/>
        </w:rPr>
        <w:t xml:space="preserve">供有权限的用户监控及操作。泵站自动化控制系统设置就地控制操作界面，具有手动和自动两种控制方式，方式转换在控制系统的操作界面上进行。通过以太网</w:t>
      </w:r>
      <w:r>
        <w:rPr>
          <w:rFonts w:hint="eastAsia" w:ascii="宋体" w:hAnsi="宋体" w:cs="宋体"/>
          <w:color w:val="auto"/>
          <w:szCs w:val="21"/>
          <w:highlight w:val="none"/>
          <w:lang w:val="en-US" w:eastAsia="zh-CN"/>
        </w:rPr>
        <w:t xml:space="preserve">通信实现</w:t>
      </w:r>
      <w:r>
        <w:rPr>
          <w:rFonts w:hint="eastAsia" w:ascii="宋体" w:hAnsi="宋体" w:eastAsia="宋体" w:cs="宋体"/>
          <w:color w:val="auto"/>
          <w:szCs w:val="21"/>
          <w:highlight w:val="none"/>
          <w:lang w:val="en-US" w:eastAsia="zh-CN"/>
        </w:rPr>
        <w:t xml:space="preserve">泵站的自动报警及远程控制功能，业主及技术人员可随时随地登录网站进行泵站运行的监控。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2、设备层采用电缆连接仪表和设备控制箱。</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3、设备的控制方式分为：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（1）手动控制方式：通过控制箱上的按钮实现对设备的启停操作。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（2）自动控制方式：设备的运行完全由PLC根据预先编制的程序和现场的工况及工艺参数来完成对设备的启停控制而不需人工干预。</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（3）远程控制方式：操作人员通过操作站的监控画面用鼠标或键盘来控制现场设备。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控制的优先级由高到低为：手动控制、远程控制、自动控制。</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Cs w:val="21"/>
          <w:highlight w:val="none"/>
          <w:lang w:val="en-US" w:eastAsia="zh-CN"/>
        </w:rPr>
        <w:t xml:space="preserve">运行控制范围</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本工程工控系统运行控制的范围包括：水泵、闸门以及其他与工艺设计运行有关设备。</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水泵根据雷达水位计检测的泵站液位逐级启动/停止。水位低于设定液位时停泵；水位高于</w:t>
      </w:r>
      <w:r>
        <w:rPr>
          <w:rFonts w:hint="eastAsia" w:ascii="宋体" w:hAnsi="宋体" w:cs="宋体"/>
          <w:color w:val="auto"/>
          <w:szCs w:val="21"/>
          <w:highlight w:val="none"/>
          <w:lang w:val="en-US" w:eastAsia="zh-CN"/>
        </w:rPr>
        <w:t xml:space="preserve">设定液量</w:t>
      </w:r>
      <w:r>
        <w:rPr>
          <w:rFonts w:hint="eastAsia" w:ascii="宋体" w:hAnsi="宋体" w:eastAsia="宋体" w:cs="宋体"/>
          <w:color w:val="auto"/>
          <w:szCs w:val="21"/>
          <w:highlight w:val="none"/>
          <w:lang w:val="en-US" w:eastAsia="zh-CN"/>
        </w:rPr>
        <w:t xml:space="preserve">时，启动水泵中运行时间较短的一台；水位高于一定液位时，启动第2水泵；根据泵的数量以此类推，系统报警，同时池内设置浮球液位开关1套，测量集水池超高、超低液位，其中超低液位直接接入水泵控制回路。具体联动控制液位根据实际运行工况调整设定。</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Cs w:val="21"/>
          <w:highlight w:val="none"/>
          <w:lang w:val="en-US" w:eastAsia="zh-CN"/>
        </w:rPr>
        <w:t xml:space="preserve">运行监视范围及报警</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（1）泵站液位，超高、超低液位报警。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（2）水泵以及其他与工艺设计运行有关设备的运行状态和故障报警。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（3）电力监测及报警，包括进线处的电压、电流、电量参数，以数据通信方式连接进线柜内的多功能电表。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运行监视的内容及范围根据项目采购单位需求和实际情况进行适当的删减。</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当泵站监视内容出现报警信号时，自动控制系统应立即发出声光报警提示信号。声报警器由蜂鸣器发声，可在人工确认后消除。光报警由安装在控制机柜面板上的光字牌闪光显示或在操作界面上以醒目的文字、色块显示，在泵站或设备运行恢复正常时自动消除。</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2.2仪器仪表监测系统</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 xml:space="preserve">各类监测传感设备采用PLC采集监测数据，通过485信号传输给RTU终端远程上报水工</w:t>
      </w:r>
      <w:r>
        <w:rPr>
          <w:rFonts w:hint="eastAsia" w:ascii="宋体" w:hAnsi="宋体" w:eastAsia="宋体" w:cs="宋体"/>
          <w:color w:val="auto"/>
          <w:highlight w:val="none"/>
          <w:lang w:val="en-US" w:eastAsia="zh-CN"/>
        </w:rPr>
        <w:t xml:space="preserve">情数据传输至政务云平台，与控制网完全隔离，保障工控系统安全。</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1、配电系统电量监测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配电系统主要采集三相电压、电流、电量、功率因数，增加一个智能电表，配合电流互感器实现数据采集。智能电表支持RS485数据，PLC定时采集数据并完成显示，通过485信号传输给RTU终端远程上报。</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2、水泵机组状态监测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水泵机组状态采集采用温度及振动传感器实现，传感器输出4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20mA模拟量数据，经防雷器后与PLC模拟量输入接口连接，PLC定时采集数据并通过485信号传输给RTU终端远程上报。</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3、管道压力监测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管道压力采集包含水泵出口压力和出水汇总管压力，可根据现场情况，更换现有机械压力表为带数显的变送压力表，或直接并联压力传感器，输出信号为4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20mA模拟量数据，经防雷器后与PLC模拟量输入接口连接，PLC定时采集数据并通过485信号传输给RTU终端远程上报。</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4、闸位监测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闸门开度检测元件将卷扬机转动的角度（包括圈数）转换成4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20mA模拟量输入现地PLC，由PLC进行相关处理，变换为闸门实际开度，完成闸门开度的闭环控制、现地显示，通过485信号传输给RTU终端远程上报。</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5、荷重监测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荷重传感器及相关装置，可以接收启闭机实际荷重（4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20mA模拟量）自动判断是否机械过负荷，并送出机械过负荷报警信号。在闸门出现异常时可由PLC采取紧急制动措施，防止损失扩大。</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6、上下游水位监测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在水闸和泵站上下游各设置一个水位计，采用广泛应用于水电行业的雷达式水位计，输出标准4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20mA电流信号接入现地集控单元PLC中，再通过485信号传输给RTU终端远程上报。</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3系统功能</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闸泵自动化控制系统采用主从结构、分布式实时监控方式。本项目系统功能包括现地控制单元和集控层单元两个部分，控制优先级为现地操作优于远程操作，系统要求具有以下功能。</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3.1现地控制单元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现地控制单元包括手动控制和自动控制两部分。手动控制主要由控制开关、信号灯及传感器等组成，自动控制由PLC、触摸屏及传感器等组成，通过以太网方式与集控层计算机网络连接。闸门现地控制单元应能有效地监测、控制机电设备。</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1、数据采集和处理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数据量（模拟量）采集：闸门开度、水位、管道压力、流量、设备电流、电压等。</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状态量（开关量）采集：闸门、阀门和水泵启停接触器状态、闸门行程开关状态、动力电源、控制电源状态等。</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0"/>
          <w:highlight w:val="none"/>
          <w:lang w:val="en-US" w:eastAsia="zh-CN" w:bidi="ar-SA"/>
        </w:rPr>
        <w:t xml:space="preserve">2、</w:t>
      </w:r>
      <w:r>
        <w:rPr>
          <w:rFonts w:hint="eastAsia" w:ascii="宋体" w:hAnsi="宋体" w:eastAsia="宋体" w:cs="宋体"/>
          <w:color w:val="auto"/>
          <w:highlight w:val="none"/>
          <w:lang w:val="en-US" w:eastAsia="zh-CN"/>
        </w:rPr>
        <w:t xml:space="preserve">实时控制现地操作：现地管理人员能根据LCU的数据显示，用触摸屏或按键人工控制闸门启闭、水泵启停、电动阀启闭，也可在触摸屏上设定数值，使其自动运行到相应位置。</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0"/>
          <w:highlight w:val="none"/>
          <w:lang w:val="en-US" w:eastAsia="zh-CN" w:bidi="ar-SA"/>
        </w:rPr>
        <w:t xml:space="preserve">3、</w:t>
      </w:r>
      <w:r>
        <w:rPr>
          <w:rFonts w:hint="eastAsia" w:ascii="宋体" w:hAnsi="宋体" w:eastAsia="宋体" w:cs="宋体"/>
          <w:color w:val="auto"/>
          <w:highlight w:val="none"/>
          <w:lang w:val="en-US" w:eastAsia="zh-CN"/>
        </w:rPr>
        <w:t xml:space="preserve">远程操作：LCU通过网络接收集控层的指令，自动运行到相应位置。</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3.2集控层单元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集控层单元除能迅速可靠、准确有效地完成对各工程设备的安全监视和控制外，还要完成对整个自动控制系统的运行管理，包括历史数据存档、检索、运行报表生成与打印、对外通信管理等。</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1、数据采集和处理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采集接收LCU上传的各类数据。</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2、实时控制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（1）运行人员通过水位、泄流量的计算，确定闸门开度和泵站运行方案，通过控制台上的标准键盘和鼠标，远程控制设备启停；</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（2）所有接入自动化控制系统的设备，采用现地操作与远程操作两种控制方式，互为闭锁，在现地切换。</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3、安全运行监视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（1）状态</w:t>
      </w:r>
      <w:r>
        <w:rPr>
          <w:rFonts w:hint="eastAsia" w:ascii="宋体" w:hAnsi="宋体" w:cs="宋体"/>
          <w:color w:val="auto"/>
          <w:highlight w:val="none"/>
          <w:lang w:val="en-US" w:eastAsia="zh-CN"/>
        </w:rPr>
        <w:t xml:space="preserve">检视</w:t>
      </w:r>
      <w:r>
        <w:rPr>
          <w:rFonts w:hint="eastAsia" w:ascii="宋体" w:hAnsi="宋体" w:eastAsia="宋体" w:cs="宋体"/>
          <w:color w:val="auto"/>
          <w:highlight w:val="none"/>
          <w:lang w:val="en-US" w:eastAsia="zh-CN"/>
        </w:rPr>
        <w:t xml:space="preserve">：监控对象的电源断路器事故跳闸，运行接触器失电，保护动作等状态变化的显示与打印；</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（2）过程</w:t>
      </w:r>
      <w:r>
        <w:rPr>
          <w:rFonts w:hint="eastAsia" w:ascii="宋体" w:hAnsi="宋体" w:cs="宋体"/>
          <w:color w:val="auto"/>
          <w:highlight w:val="none"/>
          <w:lang w:val="en-US" w:eastAsia="zh-CN"/>
        </w:rPr>
        <w:t xml:space="preserve">检视</w:t>
      </w:r>
      <w:r>
        <w:rPr>
          <w:rFonts w:hint="eastAsia" w:ascii="宋体" w:hAnsi="宋体" w:eastAsia="宋体" w:cs="宋体"/>
          <w:color w:val="auto"/>
          <w:highlight w:val="none"/>
          <w:lang w:val="en-US" w:eastAsia="zh-CN"/>
        </w:rPr>
        <w:t xml:space="preserve">：在系统上，模拟显示设备运行过程，并标定关键运行参数；</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（3）异常监视：监控系统中硬件和软件发生故障、错误时，立即发出警报信号及声音，并在系统上显示记录，指示报警部位。</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4、调度管理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（1）具备闸门启闭、水泵启停及相关数据情况表，事故记录表的统计打印；</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（2）以数字、文字、图形、表格的形式组织画面进行动态显示：</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（3）水位显示；设备模拟显示；控制系统框图；设备操作流程图；各种事故、故障统计表；设备操作次数统计表；各种</w:t>
      </w:r>
      <w:r>
        <w:rPr>
          <w:rFonts w:hint="eastAsia" w:ascii="宋体" w:hAnsi="宋体" w:cs="宋体"/>
          <w:color w:val="auto"/>
          <w:highlight w:val="none"/>
          <w:lang w:val="en-US" w:eastAsia="zh-CN"/>
        </w:rPr>
        <w:t xml:space="preserve">检测</w:t>
      </w:r>
      <w:r>
        <w:rPr>
          <w:rFonts w:hint="eastAsia" w:ascii="宋体" w:hAnsi="宋体" w:eastAsia="宋体" w:cs="宋体"/>
          <w:color w:val="auto"/>
          <w:highlight w:val="none"/>
          <w:lang w:val="en-US" w:eastAsia="zh-CN"/>
        </w:rPr>
        <w:t xml:space="preserve">量上、下限值整定表。</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（4）发生设备电气过载、电源失电，应发出事故声光报警；</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（5）人机对话，监控系统的主机或操作员工作站，可人工输入各种数据，以更新修改各种文件，置入各种缺漏的数据，输入各种控制命令等，以监视和控制各闸门的运行。</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3.2.</w:t>
      </w:r>
      <w:r>
        <w:rPr>
          <w:rFonts w:hint="eastAsia" w:ascii="宋体" w:hAnsi="宋体" w:eastAsia="宋体" w:cs="宋体"/>
          <w:b/>
          <w:color w:val="auto"/>
          <w:szCs w:val="21"/>
          <w:highlight w:val="none"/>
          <w:lang w:val="en-US" w:eastAsia="zh-CN"/>
        </w:rPr>
        <w:t xml:space="preserve">4采购清单</w:t>
      </w:r>
      <w:r/>
    </w:p>
    <w:p>
      <w:pPr>
        <w:ind w:firstLine="420"/>
        <w:spacing w:line="360" w:lineRule="auto"/>
        <w:rPr>
          <w:rFonts w:hint="eastAsia" w:eastAsia="宋体" w:cs="Times New Roman"/>
          <w:color w:val="auto"/>
          <w:highlight w:val="none"/>
        </w:rPr>
      </w:pPr>
      <w:r>
        <w:rPr>
          <w:rFonts w:hint="eastAsia" w:eastAsia="宋体" w:cs="Times New Roman"/>
          <w:color w:val="auto"/>
          <w:highlight w:val="none"/>
          <w:lang w:val="en-US" w:eastAsia="zh-CN"/>
        </w:rPr>
        <w:t xml:space="preserve">闸泵站远程控制与监测系统</w:t>
      </w:r>
      <w:r>
        <w:rPr>
          <w:rFonts w:hint="eastAsia" w:eastAsia="宋体" w:cs="Times New Roman"/>
          <w:color w:val="auto"/>
          <w:highlight w:val="none"/>
        </w:rPr>
        <w:t xml:space="preserve">采购设备清单如下。</w:t>
      </w:r>
      <w:r/>
    </w:p>
    <w:tbl>
      <w:tblPr>
        <w:tblStyle w:val="7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304"/>
        <w:gridCol w:w="5378"/>
        <w:gridCol w:w="669"/>
        <w:gridCol w:w="670"/>
      </w:tblGrid>
      <w:tr>
        <w:trPr/>
        <w:tc>
          <w:tcPr>
            <w:shd w:val="clear" w:color="auto" w:fill="d8d8d8"/>
            <w:tcW w:w="292"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8d8d8"/>
            <w:tcW w:w="765"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设备（软件）名称</w:t>
            </w:r>
            <w:r/>
          </w:p>
        </w:tc>
        <w:tc>
          <w:tcPr>
            <w:shd w:val="clear" w:color="auto" w:fill="d8d8d8"/>
            <w:tcW w:w="3156"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参数要求</w:t>
            </w:r>
            <w:r/>
          </w:p>
        </w:tc>
        <w:tc>
          <w:tcPr>
            <w:shd w:val="clear" w:color="auto" w:fill="d8d8d8"/>
            <w:tcW w:w="392"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shd w:val="clear" w:color="auto" w:fill="d8d8d8"/>
            <w:tcW w:w="393"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LCU</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rPr>
              <w:t xml:space="preserve">控制柜</w:t>
            </w:r>
            <w:r/>
          </w:p>
        </w:tc>
        <w:tc>
          <w:tcPr>
            <w:tcW w:w="3156" w:type="pct"/>
            <w:vAlign w:val="center"/>
            <w:textDirection w:val="lrTb"/>
            <w:noWrap w:val="false"/>
          </w:tcPr>
          <w:p>
            <w:p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PLC控制系统，通过以太网</w:t>
            </w:r>
            <w:r>
              <w:rPr>
                <w:rFonts w:hint="eastAsia" w:ascii="宋体" w:hAnsi="宋体" w:cs="宋体"/>
                <w:i w:val="0"/>
                <w:iCs w:val="0"/>
                <w:color w:val="auto"/>
                <w:sz w:val="21"/>
                <w:szCs w:val="21"/>
                <w:highlight w:val="none"/>
                <w:u w:val="none"/>
                <w:lang w:val="en-US" w:eastAsia="zh-CN" w:bidi="ar"/>
              </w:rPr>
              <w:t xml:space="preserve">进行通信</w:t>
            </w:r>
            <w:r>
              <w:rPr>
                <w:rFonts w:hint="eastAsia" w:ascii="宋体" w:hAnsi="宋体" w:eastAsia="宋体" w:cs="宋体"/>
                <w:i w:val="0"/>
                <w:iCs w:val="0"/>
                <w:color w:val="auto"/>
                <w:sz w:val="21"/>
                <w:szCs w:val="21"/>
                <w:highlight w:val="none"/>
                <w:u w:val="none"/>
                <w:lang w:val="en-US" w:eastAsia="zh-CN" w:bidi="ar"/>
              </w:rPr>
              <w:t xml:space="preserve">。CPU采用高性能工业级别微处理器，负责</w:t>
            </w:r>
            <w:r>
              <w:rPr>
                <w:rFonts w:hint="eastAsia" w:ascii="宋体" w:hAnsi="宋体" w:cs="宋体"/>
                <w:i w:val="0"/>
                <w:iCs w:val="0"/>
                <w:color w:val="auto"/>
                <w:sz w:val="21"/>
                <w:szCs w:val="21"/>
                <w:highlight w:val="none"/>
                <w:u w:val="none"/>
                <w:lang w:val="en-US" w:eastAsia="zh-CN" w:bidi="ar"/>
              </w:rPr>
              <w:t xml:space="preserve">通信任务</w:t>
            </w:r>
            <w:r>
              <w:rPr>
                <w:rFonts w:hint="eastAsia" w:ascii="宋体" w:hAnsi="宋体" w:eastAsia="宋体" w:cs="宋体"/>
                <w:i w:val="0"/>
                <w:iCs w:val="0"/>
                <w:color w:val="auto"/>
                <w:sz w:val="21"/>
                <w:szCs w:val="21"/>
                <w:highlight w:val="none"/>
                <w:u w:val="none"/>
                <w:lang w:val="en-US" w:eastAsia="zh-CN" w:bidi="ar"/>
              </w:rPr>
              <w:t xml:space="preserve">和程序运行及逻辑运行。串口通讯：提供RS232和RS485至少各一个。</w:t>
            </w:r>
            <w:r/>
          </w:p>
          <w:p>
            <w:p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主要部件的性能参数要</w:t>
            </w:r>
            <w:r>
              <w:rPr>
                <w:rFonts w:hint="eastAsia" w:ascii="宋体" w:hAnsi="宋体" w:cs="宋体"/>
                <w:i w:val="0"/>
                <w:iCs w:val="0"/>
                <w:color w:val="auto"/>
                <w:sz w:val="21"/>
                <w:szCs w:val="21"/>
                <w:highlight w:val="none"/>
                <w:u w:val="none"/>
                <w:lang w:val="en-US" w:eastAsia="zh-CN" w:bidi="ar"/>
              </w:rPr>
              <w:t xml:space="preserve">求以</w:t>
            </w:r>
            <w:r>
              <w:rPr>
                <w:rFonts w:hint="eastAsia" w:ascii="宋体" w:hAnsi="宋体" w:eastAsia="宋体" w:cs="宋体"/>
                <w:i w:val="0"/>
                <w:iCs w:val="0"/>
                <w:color w:val="auto"/>
                <w:sz w:val="21"/>
                <w:szCs w:val="21"/>
                <w:highlight w:val="none"/>
                <w:u w:val="none"/>
                <w:lang w:val="en-US" w:eastAsia="zh-CN" w:bidi="ar"/>
              </w:rPr>
              <w:t xml:space="preserve">下：</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数字量输入模块DI，输入点数：不少于32点；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数字量输出模块DO，输出点数：不少于16点；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模拟输入模块AI，输入点数：8点；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触摸屏</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①液晶屏：10"液晶显示，真彩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LED背光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1024×600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ascii="宋体" w:hAnsi="宋体"/>
                <w:color w:val="auto"/>
                <w:sz w:val="20"/>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2 \* GB3</w:instrText>
            </w:r>
            <w:r>
              <w:rPr>
                <w:rFonts w:ascii="宋体" w:hAnsi="宋体"/>
                <w:color w:val="auto"/>
                <w:sz w:val="21"/>
                <w:szCs w:val="21"/>
                <w:highlight w:val="none"/>
              </w:rPr>
              <w:instrText xml:space="preserve"> </w:instrText>
            </w:r>
            <w:r>
              <w:rPr>
                <w:rFonts w:ascii="宋体" w:hAnsi="宋体"/>
                <w:color w:val="auto"/>
                <w:sz w:val="20"/>
                <w:szCs w:val="21"/>
                <w:highlight w:val="none"/>
              </w:rPr>
              <w:fldChar w:fldCharType="separate"/>
            </w:r>
            <w:r>
              <w:rPr>
                <w:rFonts w:hint="eastAsia" w:ascii="宋体" w:hAnsi="宋体"/>
                <w:color w:val="auto"/>
                <w:sz w:val="21"/>
                <w:szCs w:val="21"/>
                <w:highlight w:val="none"/>
              </w:rPr>
              <w:t xml:space="preserve">②</w:t>
            </w:r>
            <w:r>
              <w:rPr>
                <w:rFonts w:ascii="宋体" w:hAnsi="宋体"/>
                <w:color w:val="auto"/>
                <w:sz w:val="20"/>
                <w:szCs w:val="21"/>
                <w:highlight w:val="none"/>
              </w:rPr>
              <w:fldChar w:fldCharType="end"/>
            </w:r>
            <w:r>
              <w:rPr>
                <w:rFonts w:hint="eastAsia" w:ascii="宋体" w:hAnsi="宋体" w:eastAsia="宋体" w:cs="宋体"/>
                <w:i w:val="0"/>
                <w:iCs w:val="0"/>
                <w:color w:val="auto"/>
                <w:sz w:val="21"/>
                <w:szCs w:val="21"/>
                <w:highlight w:val="none"/>
                <w:u w:val="none"/>
                <w:lang w:val="en-US" w:eastAsia="zh-CN" w:bidi="ar"/>
              </w:rPr>
              <w:t xml:space="preserve">LCU柜体尺寸为1800*600*400，含开关、继电器、防雷器，隔离模块，开关电源、熔断器、端子、温度控制器及</w:t>
            </w:r>
            <w:r>
              <w:rPr>
                <w:rFonts w:hint="eastAsia" w:ascii="宋体" w:hAnsi="宋体" w:cs="宋体"/>
                <w:i w:val="0"/>
                <w:iCs w:val="0"/>
                <w:color w:val="auto"/>
                <w:sz w:val="21"/>
                <w:szCs w:val="21"/>
                <w:highlight w:val="none"/>
                <w:u w:val="none"/>
                <w:lang w:val="en-US" w:eastAsia="zh-CN" w:bidi="ar"/>
              </w:rPr>
              <w:t xml:space="preserve">屏蔽</w:t>
            </w:r>
            <w:r>
              <w:rPr>
                <w:rFonts w:hint="eastAsia" w:ascii="宋体" w:hAnsi="宋体" w:eastAsia="宋体" w:cs="宋体"/>
                <w:i w:val="0"/>
                <w:iCs w:val="0"/>
                <w:color w:val="auto"/>
                <w:sz w:val="21"/>
                <w:szCs w:val="21"/>
                <w:highlight w:val="none"/>
                <w:u w:val="none"/>
                <w:lang w:val="en-US" w:eastAsia="zh-CN" w:bidi="ar"/>
              </w:rPr>
              <w:t xml:space="preserve">配线等。</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LCU</w:t>
            </w:r>
            <w:r>
              <w:rPr>
                <w:rFonts w:hint="eastAsia" w:ascii="宋体" w:hAnsi="宋体" w:eastAsia="宋体" w:cs="宋体"/>
                <w:color w:val="auto"/>
                <w:sz w:val="21"/>
                <w:szCs w:val="21"/>
                <w:highlight w:val="none"/>
                <w:lang w:val="en-US" w:eastAsia="zh-CN"/>
              </w:rPr>
              <w:t xml:space="preserve">闸泵站</w:t>
            </w:r>
            <w:r>
              <w:rPr>
                <w:rFonts w:hint="eastAsia" w:ascii="宋体" w:hAnsi="宋体" w:eastAsia="宋体" w:cs="宋体"/>
                <w:color w:val="auto"/>
                <w:sz w:val="21"/>
                <w:szCs w:val="21"/>
                <w:highlight w:val="none"/>
              </w:rPr>
              <w:t xml:space="preserve">控制柜</w:t>
            </w:r>
            <w:r/>
          </w:p>
        </w:tc>
        <w:tc>
          <w:tcPr>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集成闸门智能控制器，以太网通讯口，MODBUS通讯接口，232串行通讯接口，闸门数据I/O接口，闸位计接口，水位计接口，闸位计格雷码智能换算功能模块，主要部件的性能参数要</w:t>
            </w:r>
            <w:r>
              <w:rPr>
                <w:rFonts w:hint="eastAsia" w:ascii="宋体" w:hAnsi="宋体" w:cs="宋体"/>
                <w:i w:val="0"/>
                <w:iCs w:val="0"/>
                <w:color w:val="auto"/>
                <w:sz w:val="21"/>
                <w:szCs w:val="21"/>
                <w:highlight w:val="none"/>
                <w:u w:val="none"/>
                <w:lang w:val="en-US" w:eastAsia="zh-CN" w:bidi="ar"/>
              </w:rPr>
              <w:t xml:space="preserve">求如下</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①数字量输入模块DI，输入点数：不少于48点；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ascii="宋体" w:hAnsi="宋体"/>
                <w:color w:val="auto"/>
                <w:sz w:val="20"/>
                <w:szCs w:val="21"/>
                <w:highlight w:val="none"/>
              </w:rPr>
              <w:fldChar w:fldCharType="begin"/>
            </w:r>
            <w:r>
              <w:rPr>
                <w:rFonts w:ascii="宋体" w:hAnsi="宋体"/>
                <w:color w:val="auto"/>
                <w:sz w:val="21"/>
                <w:szCs w:val="21"/>
                <w:highlight w:val="none"/>
              </w:rPr>
              <w:instrText xml:space="preserve"> </w:instrText>
            </w:r>
            <w:r>
              <w:rPr>
                <w:rFonts w:hint="eastAsia" w:ascii="宋体" w:hAnsi="宋体"/>
                <w:color w:val="auto"/>
                <w:sz w:val="21"/>
                <w:szCs w:val="21"/>
                <w:highlight w:val="none"/>
              </w:rPr>
              <w:instrText xml:space="preserve">= 2 \* GB3</w:instrText>
            </w:r>
            <w:r>
              <w:rPr>
                <w:rFonts w:ascii="宋体" w:hAnsi="宋体"/>
                <w:color w:val="auto"/>
                <w:sz w:val="21"/>
                <w:szCs w:val="21"/>
                <w:highlight w:val="none"/>
              </w:rPr>
              <w:instrText xml:space="preserve"> </w:instrText>
            </w:r>
            <w:r>
              <w:rPr>
                <w:rFonts w:ascii="宋体" w:hAnsi="宋体"/>
                <w:color w:val="auto"/>
                <w:sz w:val="20"/>
                <w:szCs w:val="21"/>
                <w:highlight w:val="none"/>
              </w:rPr>
              <w:fldChar w:fldCharType="separate"/>
            </w:r>
            <w:r>
              <w:rPr>
                <w:rFonts w:hint="eastAsia" w:ascii="宋体" w:hAnsi="宋体"/>
                <w:color w:val="auto"/>
                <w:sz w:val="21"/>
                <w:szCs w:val="21"/>
                <w:highlight w:val="none"/>
              </w:rPr>
              <w:t xml:space="preserve">②</w:t>
            </w:r>
            <w:r>
              <w:rPr>
                <w:rFonts w:ascii="宋体" w:hAnsi="宋体"/>
                <w:color w:val="auto"/>
                <w:sz w:val="20"/>
                <w:szCs w:val="21"/>
                <w:highlight w:val="none"/>
              </w:rPr>
              <w:fldChar w:fldCharType="end"/>
            </w:r>
            <w:r>
              <w:rPr>
                <w:rFonts w:hint="eastAsia" w:ascii="宋体" w:hAnsi="宋体" w:eastAsia="宋体" w:cs="宋体"/>
                <w:i w:val="0"/>
                <w:iCs w:val="0"/>
                <w:color w:val="auto"/>
                <w:sz w:val="21"/>
                <w:szCs w:val="21"/>
                <w:highlight w:val="none"/>
                <w:u w:val="none"/>
                <w:lang w:val="en-US" w:eastAsia="zh-CN" w:bidi="ar"/>
              </w:rPr>
              <w:t xml:space="preserve">数字量输出模块DO，输出点数：不少于16点；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ascii="宋体" w:hAnsi="宋体"/>
                <w:color w:val="auto"/>
                <w:sz w:val="20"/>
                <w:highlight w:val="none"/>
              </w:rPr>
              <w:fldChar w:fldCharType="begin"/>
            </w:r>
            <w:r>
              <w:rPr>
                <w:rFonts w:ascii="宋体" w:hAnsi="宋体"/>
                <w:color w:val="auto"/>
                <w:sz w:val="20"/>
                <w:highlight w:val="none"/>
              </w:rPr>
              <w:instrText xml:space="preserve"> </w:instrText>
            </w:r>
            <w:r>
              <w:rPr>
                <w:rFonts w:hint="eastAsia" w:ascii="宋体" w:hAnsi="宋体"/>
                <w:color w:val="auto"/>
                <w:sz w:val="20"/>
                <w:highlight w:val="none"/>
              </w:rPr>
              <w:instrText xml:space="preserve">= 3 \* GB3</w:instrText>
            </w:r>
            <w:r>
              <w:rPr>
                <w:rFonts w:ascii="宋体" w:hAnsi="宋体"/>
                <w:color w:val="auto"/>
                <w:sz w:val="20"/>
                <w:highlight w:val="none"/>
              </w:rPr>
              <w:instrText xml:space="preserve"> </w:instrText>
            </w:r>
            <w:r>
              <w:rPr>
                <w:rFonts w:ascii="宋体" w:hAnsi="宋体"/>
                <w:color w:val="auto"/>
                <w:sz w:val="20"/>
                <w:highlight w:val="none"/>
              </w:rPr>
              <w:fldChar w:fldCharType="separate"/>
            </w:r>
            <w:r>
              <w:rPr>
                <w:rFonts w:hint="eastAsia" w:ascii="宋体" w:hAnsi="宋体"/>
                <w:color w:val="auto"/>
                <w:sz w:val="20"/>
                <w:highlight w:val="none"/>
              </w:rPr>
              <w:t xml:space="preserve">③</w:t>
            </w:r>
            <w:r>
              <w:rPr>
                <w:rFonts w:ascii="宋体" w:hAnsi="宋体"/>
                <w:color w:val="auto"/>
                <w:sz w:val="20"/>
                <w:highlight w:val="none"/>
              </w:rPr>
              <w:fldChar w:fldCharType="end"/>
            </w:r>
            <w:r>
              <w:rPr>
                <w:rFonts w:hint="eastAsia" w:ascii="宋体" w:hAnsi="宋体" w:eastAsia="宋体" w:cs="宋体"/>
                <w:i w:val="0"/>
                <w:iCs w:val="0"/>
                <w:color w:val="auto"/>
                <w:sz w:val="21"/>
                <w:szCs w:val="21"/>
                <w:highlight w:val="none"/>
                <w:u w:val="none"/>
                <w:lang w:val="en-US" w:eastAsia="zh-CN" w:bidi="ar"/>
              </w:rPr>
              <w:t xml:space="preserve">模拟输入模块AI，输入点数：12点；</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ascii="宋体" w:hAnsi="宋体"/>
                <w:color w:val="auto"/>
                <w:sz w:val="20"/>
                <w:highlight w:val="none"/>
              </w:rPr>
              <w:fldChar w:fldCharType="begin"/>
            </w:r>
            <w:r>
              <w:rPr>
                <w:rFonts w:ascii="宋体" w:hAnsi="宋体"/>
                <w:color w:val="auto"/>
                <w:sz w:val="20"/>
                <w:highlight w:val="none"/>
              </w:rPr>
              <w:instrText xml:space="preserve"> </w:instrText>
            </w:r>
            <w:r>
              <w:rPr>
                <w:rFonts w:hint="eastAsia" w:ascii="宋体" w:hAnsi="宋体"/>
                <w:color w:val="auto"/>
                <w:sz w:val="20"/>
                <w:highlight w:val="none"/>
              </w:rPr>
              <w:instrText xml:space="preserve">= 4 \* GB3</w:instrText>
            </w:r>
            <w:r>
              <w:rPr>
                <w:rFonts w:ascii="宋体" w:hAnsi="宋体"/>
                <w:color w:val="auto"/>
                <w:sz w:val="20"/>
                <w:highlight w:val="none"/>
              </w:rPr>
              <w:instrText xml:space="preserve"> </w:instrText>
            </w:r>
            <w:r>
              <w:rPr>
                <w:rFonts w:ascii="宋体" w:hAnsi="宋体"/>
                <w:color w:val="auto"/>
                <w:sz w:val="20"/>
                <w:highlight w:val="none"/>
              </w:rPr>
              <w:fldChar w:fldCharType="separate"/>
            </w:r>
            <w:r>
              <w:rPr>
                <w:rFonts w:hint="eastAsia" w:ascii="宋体" w:hAnsi="宋体"/>
                <w:color w:val="auto"/>
                <w:sz w:val="20"/>
                <w:highlight w:val="none"/>
              </w:rPr>
              <w:t xml:space="preserve">④</w:t>
            </w:r>
            <w:r>
              <w:rPr>
                <w:rFonts w:ascii="宋体" w:hAnsi="宋体"/>
                <w:color w:val="auto"/>
                <w:sz w:val="20"/>
                <w:highlight w:val="none"/>
              </w:rPr>
              <w:fldChar w:fldCharType="end"/>
            </w:r>
            <w:r>
              <w:rPr>
                <w:rFonts w:hint="eastAsia" w:ascii="宋体" w:hAnsi="宋体" w:eastAsia="宋体" w:cs="宋体"/>
                <w:i w:val="0"/>
                <w:iCs w:val="0"/>
                <w:color w:val="auto"/>
                <w:sz w:val="21"/>
                <w:szCs w:val="21"/>
                <w:highlight w:val="none"/>
                <w:u w:val="none"/>
                <w:lang w:val="en-US" w:eastAsia="zh-CN" w:bidi="ar"/>
              </w:rPr>
              <w:t xml:space="preserve">10寸显示屏，防雷器等；</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具备手动/自动启闭闸门的功能；提供远程控制接口；</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自动判断启闭机是否被卡住，并及时停机，发出报警信号；</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自动记录启闭机的使用情况，并自动诊断启闭机是否该保养或者更换电机；</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可接入多功能检测仪表，实现启闭机的能耗管理；</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可选集成闸门本地控制的电气回路。</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雷达水位计</w:t>
            </w:r>
            <w:r/>
          </w:p>
        </w:tc>
        <w:tc>
          <w:tcPr>
            <w:tcW w:w="3156"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测距范围 0.1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65m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测距精度±1mm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测距分辨率1mm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测水位频率76GHz~81GHz</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测水位波束角 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水位计天线 喇叭透镜天线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测水位工作原理 调频连续波FMCW；</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工作温度-30℃~+75℃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防护等级 IP67</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88</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闸位计</w:t>
            </w:r>
            <w:r/>
          </w:p>
        </w:tc>
        <w:tc>
          <w:tcPr>
            <w:tcW w:w="3156"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检测量程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常规0~80m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可更大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分辨力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1cm或1mm</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工作电压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DC12-24V</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连接方式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偏心轴连接、弹性连接、齿轮连接等</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通信接口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选装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:RS485；</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20mA</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并行格雷码；</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i w:val="0"/>
                <w:iCs w:val="0"/>
                <w:color w:val="auto"/>
                <w:sz w:val="21"/>
                <w:szCs w:val="21"/>
                <w:highlight w:val="none"/>
                <w:u w:val="none"/>
                <w:lang w:val="en-US" w:eastAsia="zh-CN" w:bidi="ar"/>
              </w:rPr>
              <w:t xml:space="preserve">串行SSI信号</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定制支架</w:t>
            </w:r>
            <w:r/>
          </w:p>
        </w:tc>
        <w:tc>
          <w:tcPr>
            <w:tcW w:w="3156"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闸位计安装焊接支架定制</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压力传感器</w:t>
            </w:r>
            <w:r/>
          </w:p>
        </w:tc>
        <w:tc>
          <w:tcPr>
            <w:shd w:val="clear" w:color="auto" w:fill="auto"/>
            <w:tcW w:w="3156" w:type="pct"/>
            <w:vAlign w:val="center"/>
            <w:textDirection w:val="lrTb"/>
            <w:noWrap w:val="false"/>
          </w:tcPr>
          <w:p>
            <w:p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采集水泵出水压力。</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精度：0.5%</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24V 供电，4～20mA 输出</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连接螺纹：M20*1.5</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9</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智能电表</w:t>
            </w:r>
            <w:r/>
          </w:p>
        </w:tc>
        <w:tc>
          <w:tcPr>
            <w:shd w:val="clear" w:color="auto" w:fill="auto"/>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电流互感器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测量显示电压、电流、功率、电能；</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支持RS232/422/485；</w:t>
            </w:r>
            <w:r/>
          </w:p>
          <w:p>
            <w:pPr>
              <w:numPr>
                <w:ilvl w:val="0"/>
                <w:numId w:val="0"/>
              </w:num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提供完整的以太网和TCP/IP协议</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电流互感器</w:t>
            </w:r>
            <w:r/>
          </w:p>
        </w:tc>
        <w:tc>
          <w:tcPr>
            <w:shd w:val="clear" w:color="auto" w:fill="auto"/>
            <w:tcW w:w="3156"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400A电流互感器</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荷载传感器</w:t>
            </w:r>
            <w:r/>
          </w:p>
        </w:tc>
        <w:tc>
          <w:tcPr>
            <w:shd w:val="clear" w:color="auto" w:fill="auto"/>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工作电压：12V；</w:t>
            </w:r>
            <w:r/>
          </w:p>
          <w:p>
            <w:pPr>
              <w:numPr>
                <w:ilvl w:val="0"/>
                <w:numId w:val="0"/>
              </w:num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输出信号：4-20ma</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shd w:val="clear" w:color="auto" w:fill="auto"/>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高音号角喇叭</w:t>
            </w:r>
            <w:r/>
          </w:p>
        </w:tc>
        <w:tc>
          <w:tcPr>
            <w:tcW w:w="3156"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额定功率：80W</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灵敏度：120dB；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内置喇叭单元：高保真喇叭。</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RTU终端设备</w:t>
            </w:r>
            <w:r/>
          </w:p>
        </w:tc>
        <w:tc>
          <w:tcPr>
            <w:tcW w:w="3156"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支持电信联通移动4G联网</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处理器：采用32位ARM处理器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主频72MHz</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3.开关量接口：3组，可连接雨量计、门磁、风速、流量等；</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4.并行数据接口：1组SDI-12，支持格雷码、二进制、BCD码等；</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模拟量采集：6组12位精度，可接入4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20mA/0-20mA/0-5V多种信号；</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6.串行接口：具有4组RS232口，2组RS485口；</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7.开关量接口：具有1组继电器输出，支持常开/常闭；8.交互接口：具有操控按键6个，192*64点阵液晶显示；9.含物联网卡，用于传输上下游水位、闸门开度、泵站开机状态等数据</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闸泵站信息展示终端</w:t>
            </w:r>
            <w:r/>
          </w:p>
        </w:tc>
        <w:tc>
          <w:tcPr>
            <w:tcW w:w="3156" w:type="pct"/>
            <w:vAlign w:val="center"/>
            <w:textDirection w:val="lrTb"/>
            <w:noWrap w:val="false"/>
          </w:tcPr>
          <w:p>
            <w:p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泵闸一体化显示屏</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硬件参数要求：屏幕不小于32寸，屏幕比例16:9，系统安卓，内存8G，cpu:4核</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软件参数要求：实时显示工程的相关闸泵的运行情况、水位、降雨等信息。</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弱电机柜</w:t>
            </w:r>
            <w:r/>
          </w:p>
        </w:tc>
        <w:tc>
          <w:tcPr>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型号：机柜采用全密封设计，并设置防潮措施，保证设备元器件运行环境的干燥度；</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机柜板材为镀锌钢板，尺寸：400×600×1100，壁厚≥1.2mm</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基础形式、材质、规格：落地安装，内部带有插座、风扇、灯等</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工控管理终端</w:t>
            </w:r>
            <w:r/>
          </w:p>
        </w:tc>
        <w:tc>
          <w:tcPr>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不低于2*2.1GHz/16-Core处理器；</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2*16GB 内存DDR4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配置2块2.4T 6Gb/s SATA HDD 3.5最大支持4块硬盘，支持RAID 0.1.5等RAID级别，2口千兆以太网卡，配置2个550W冗余热插拔交流电源</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布线与调试</w:t>
            </w:r>
            <w:r/>
          </w:p>
        </w:tc>
        <w:tc>
          <w:tcPr>
            <w:tcW w:w="3156"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PLC编程及调试费，电源线RVV2*1.5，信号线RVVP4*0.5，KBG25保护管及敷设；线槽100*50*1.0等辅材等费用</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组态软件</w:t>
            </w:r>
            <w:r/>
          </w:p>
        </w:tc>
        <w:tc>
          <w:tcPr>
            <w:tcW w:w="3156"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总控室使用上位机软件（scada），通过以太网对泵站泵、阀门进行远程控制；</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实时显示各闸门、泵、河道液位当前的状态；</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查询当前和历史各闸门、泵、河道液位数据；</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查询各个泵站的报警信息以及历史报警信息；</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设置和查询各个泵站的自动控制数据，查询实时历史数据库任意标签点的任意一天的历史数据不超过50毫秒，其中设定为高速查询的标签点可以达到20毫秒</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tc>
          <w:tcPr>
            <w:tcW w:w="2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p>
        </w:tc>
        <w:tc>
          <w:tcPr>
            <w:tcW w:w="76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组态软件程序配置</w:t>
            </w:r>
            <w:r/>
          </w:p>
        </w:tc>
        <w:tc>
          <w:tcPr>
            <w:tcW w:w="3156"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针对56个站点程序进行配置</w:t>
            </w:r>
            <w:r>
              <w:rPr>
                <w:rFonts w:hint="eastAsia" w:ascii="宋体" w:hAnsi="宋体" w:cs="宋体"/>
                <w:i w:val="0"/>
                <w:iCs w:val="0"/>
                <w:color w:val="auto"/>
                <w:sz w:val="21"/>
                <w:szCs w:val="21"/>
                <w:highlight w:val="none"/>
                <w:u w:val="none"/>
                <w:lang w:val="en-US" w:eastAsia="zh-CN" w:bidi="ar"/>
              </w:rPr>
              <w:t xml:space="preserve">。</w:t>
            </w:r>
            <w:r/>
          </w:p>
        </w:tc>
        <w:tc>
          <w:tcPr>
            <w:tcW w:w="39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39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r>
    </w:tbl>
    <w:p>
      <w:pPr>
        <w:ind w:firstLine="422"/>
        <w:spacing w:line="360" w:lineRule="auto"/>
        <w:rPr>
          <w:rFonts w:hint="eastAsia" w:ascii="宋体" w:hAnsi="宋体" w:eastAsia="宋体" w:cs="宋体"/>
          <w:b/>
          <w:color w:val="auto"/>
          <w:szCs w:val="21"/>
          <w:highlight w:val="none"/>
          <w:lang w:val="en-US" w:eastAsia="zh-CN"/>
        </w:rPr>
        <w:outlineLvl w:val="1"/>
      </w:pPr>
      <w:r>
        <w:rPr>
          <w:rFonts w:ascii="宋体" w:hAnsi="宋体" w:eastAsia="宋体" w:cs="宋体"/>
          <w:b/>
          <w:color w:val="auto"/>
          <w:szCs w:val="21"/>
          <w:highlight w:val="none"/>
        </w:rPr>
        <w:t xml:space="preserve">3.3</w:t>
      </w:r>
      <w:r>
        <w:rPr>
          <w:rFonts w:hint="eastAsia" w:ascii="宋体" w:hAnsi="宋体" w:eastAsia="宋体" w:cs="宋体"/>
          <w:b/>
          <w:color w:val="auto"/>
          <w:szCs w:val="21"/>
          <w:highlight w:val="none"/>
        </w:rPr>
        <w:t xml:space="preserve">视频会议系统</w:t>
      </w:r>
      <w:r>
        <w:rPr>
          <w:rFonts w:hint="eastAsia" w:ascii="宋体" w:hAnsi="宋体" w:eastAsia="宋体" w:cs="宋体"/>
          <w:b/>
          <w:color w:val="auto"/>
          <w:szCs w:val="21"/>
          <w:highlight w:val="none"/>
          <w:lang w:val="en-US" w:eastAsia="zh-CN"/>
        </w:rPr>
        <w:t xml:space="preserve">建设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视频会议系统包括1个中心点和9个远端点，以区水利局为控制中心和主会场所在地，下辖9个乡镇水利管理单位为分会场。</w:t>
      </w:r>
      <w:r>
        <w:rPr>
          <w:rFonts w:hint="eastAsia" w:ascii="宋体" w:hAnsi="宋体" w:eastAsia="宋体" w:cs="宋体"/>
          <w:color w:val="auto"/>
          <w:szCs w:val="21"/>
          <w:highlight w:val="none"/>
          <w:lang w:eastAsia="zh-CN"/>
        </w:rPr>
        <w:t xml:space="preserve">通过</w:t>
      </w:r>
      <w:r>
        <w:rPr>
          <w:rFonts w:hint="eastAsia" w:ascii="宋体" w:hAnsi="宋体" w:eastAsia="宋体" w:cs="宋体"/>
          <w:color w:val="auto"/>
          <w:szCs w:val="21"/>
          <w:highlight w:val="none"/>
        </w:rPr>
        <w:t xml:space="preserve">视频会议，可以缩小各级机构间的区域间隔，减少差旅会务成本，大大提高时间效率，构造出一个跨区域多人共享的工作空间。</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1技术要求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视频会议系统技术要求如下：</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0"/>
          <w:highlight w:val="none"/>
          <w:lang w:val="en-US" w:eastAsia="zh-CN" w:bidi="ar-SA"/>
        </w:rPr>
        <w:t xml:space="preserve">1、</w:t>
      </w:r>
      <w:r>
        <w:rPr>
          <w:rFonts w:hint="default" w:ascii="宋体" w:hAnsi="宋体" w:eastAsia="宋体" w:cs="宋体"/>
          <w:color w:val="auto"/>
          <w:highlight w:val="none"/>
          <w:lang w:val="en-US" w:eastAsia="zh-CN"/>
        </w:rPr>
        <w:t xml:space="preserve">部署在</w:t>
      </w:r>
      <w:r>
        <w:rPr>
          <w:rFonts w:hint="eastAsia" w:ascii="宋体" w:hAnsi="宋体" w:eastAsia="宋体" w:cs="宋体"/>
          <w:color w:val="auto"/>
          <w:highlight w:val="none"/>
          <w:lang w:val="en-US" w:eastAsia="zh-CN"/>
        </w:rPr>
        <w:t xml:space="preserve">已建设的政务部门政务网内</w:t>
      </w:r>
      <w:r>
        <w:rPr>
          <w:rFonts w:hint="default" w:ascii="宋体" w:hAnsi="宋体" w:eastAsia="宋体" w:cs="宋体"/>
          <w:color w:val="auto"/>
          <w:highlight w:val="none"/>
          <w:lang w:val="en-US" w:eastAsia="zh-CN"/>
        </w:rPr>
        <w:t xml:space="preserve">，便于各个设备网络的互联互通</w:t>
      </w:r>
      <w:r>
        <w:rPr>
          <w:rFonts w:hint="eastAsia" w:ascii="宋体" w:hAnsi="宋体" w:eastAsia="宋体" w:cs="宋体"/>
          <w:color w:val="auto"/>
          <w:highlight w:val="none"/>
          <w:lang w:val="en-US" w:eastAsia="zh-CN"/>
        </w:rPr>
        <w:t xml:space="preserve">；</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sz w:val="21"/>
          <w:szCs w:val="20"/>
          <w:highlight w:val="none"/>
          <w:lang w:val="en-US" w:eastAsia="zh-CN" w:bidi="ar-SA"/>
        </w:rPr>
        <w:t xml:space="preserve">2、</w:t>
      </w:r>
      <w:r>
        <w:rPr>
          <w:rFonts w:hint="eastAsia" w:ascii="宋体" w:hAnsi="宋体" w:eastAsia="宋体" w:cs="宋体"/>
          <w:color w:val="auto"/>
          <w:highlight w:val="none"/>
          <w:lang w:val="en-US" w:eastAsia="zh-CN"/>
        </w:rPr>
        <w:t xml:space="preserve">采用基于IP网络的视频会议系统，在网络设备层面，保证视频会议的有足够固定的带宽；</w:t>
      </w:r>
      <w:r/>
    </w:p>
    <w:p>
      <w:pPr>
        <w:numPr>
          <w:ilvl w:val="0"/>
          <w:numId w:val="0"/>
        </w:numPr>
        <w:ind w:left="0"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0"/>
          <w:highlight w:val="none"/>
          <w:lang w:val="en-US" w:eastAsia="zh-CN" w:bidi="ar-SA"/>
        </w:rPr>
        <w:t xml:space="preserve">3、</w:t>
      </w:r>
      <w:r>
        <w:rPr>
          <w:rFonts w:hint="eastAsia" w:ascii="宋体" w:hAnsi="宋体" w:eastAsia="宋体" w:cs="宋体"/>
          <w:color w:val="auto"/>
          <w:highlight w:val="none"/>
          <w:lang w:val="en-US" w:eastAsia="zh-CN"/>
        </w:rPr>
        <w:t xml:space="preserve">采用专网专线进行传输，采用专网专线传输效果更佳，保证良好的网络质量，丢包率要求不超过8%；</w:t>
      </w:r>
      <w:r/>
    </w:p>
    <w:p>
      <w:pPr>
        <w:numPr>
          <w:ilvl w:val="0"/>
          <w:numId w:val="0"/>
        </w:numPr>
        <w:ind w:left="0" w:firstLine="420"/>
        <w:spacing w:line="360" w:lineRule="auto"/>
        <w:rPr>
          <w:rFonts w:hint="eastAsia" w:ascii="宋体" w:hAnsi="宋体" w:eastAsia="宋体" w:cs="宋体"/>
          <w:color w:val="auto"/>
          <w:highlight w:val="none"/>
          <w:lang w:val="en-US" w:eastAsia="zh-CN"/>
        </w:rPr>
      </w:pPr>
      <w:r>
        <w:rPr>
          <w:rFonts w:hint="default" w:ascii="宋体" w:hAnsi="宋体" w:eastAsia="宋体" w:cs="宋体"/>
          <w:color w:val="auto"/>
          <w:sz w:val="21"/>
          <w:szCs w:val="20"/>
          <w:highlight w:val="none"/>
          <w:lang w:val="en-US" w:eastAsia="zh-CN" w:bidi="ar-SA"/>
        </w:rPr>
        <w:t xml:space="preserve">4、</w:t>
      </w:r>
      <w:r>
        <w:rPr>
          <w:rFonts w:hint="eastAsia" w:ascii="宋体" w:hAnsi="宋体" w:eastAsia="宋体" w:cs="宋体"/>
          <w:color w:val="auto"/>
          <w:highlight w:val="none"/>
          <w:lang w:val="en-US" w:eastAsia="zh-CN"/>
        </w:rPr>
        <w:t xml:space="preserve">视频会议采用H.323体系标准。全网可实现1080P以上的会议，视频会议系统支持High Profile技术，会议带宽可控制在2Mbps之内，现有带宽资源满足要求；</w:t>
      </w:r>
      <w:r/>
    </w:p>
    <w:p>
      <w:pPr>
        <w:numPr>
          <w:ilvl w:val="0"/>
          <w:numId w:val="0"/>
        </w:numPr>
        <w:ind w:left="0"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default" w:ascii="宋体" w:hAnsi="宋体" w:eastAsia="宋体" w:cs="宋体"/>
          <w:color w:val="auto"/>
          <w:highlight w:val="none"/>
          <w:lang w:val="en-US" w:eastAsia="zh-CN"/>
        </w:rPr>
        <w:t xml:space="preserve">主会场的视频会议终端通过交换机与本地的MCU连接，在上传信号时，将话筒和会议球机采集的音、视频等数据经过视频会议终端进行编码后，通过网络传送到本地MCU进行转发、控制等处理</w:t>
      </w:r>
      <w:r>
        <w:rPr>
          <w:rFonts w:hint="eastAsia" w:ascii="宋体" w:hAnsi="宋体" w:eastAsia="宋体" w:cs="宋体"/>
          <w:color w:val="auto"/>
          <w:highlight w:val="none"/>
          <w:lang w:val="en-US" w:eastAsia="zh-CN"/>
        </w:rPr>
        <w:t xml:space="preserve">；</w:t>
      </w:r>
      <w:r/>
    </w:p>
    <w:p>
      <w:pPr>
        <w:numPr>
          <w:ilvl w:val="0"/>
          <w:numId w:val="0"/>
        </w:numPr>
        <w:ind w:left="0"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default" w:ascii="宋体" w:hAnsi="宋体" w:eastAsia="宋体" w:cs="宋体"/>
          <w:color w:val="auto"/>
          <w:highlight w:val="none"/>
          <w:lang w:val="en-US" w:eastAsia="zh-CN"/>
        </w:rPr>
        <w:t xml:space="preserve">视频会议终端通过交换机网络接</w:t>
      </w:r>
      <w:r>
        <w:rPr>
          <w:rFonts w:hint="eastAsia" w:ascii="宋体" w:hAnsi="宋体" w:cs="宋体"/>
          <w:color w:val="auto"/>
          <w:highlight w:val="none"/>
          <w:lang w:val="en-US" w:eastAsia="zh-CN"/>
        </w:rPr>
        <w:t xml:space="preserve">收</w:t>
      </w:r>
      <w:r>
        <w:rPr>
          <w:rFonts w:hint="default" w:ascii="宋体" w:hAnsi="宋体" w:eastAsia="宋体" w:cs="宋体"/>
          <w:color w:val="auto"/>
          <w:highlight w:val="none"/>
          <w:lang w:val="en-US" w:eastAsia="zh-CN"/>
        </w:rPr>
        <w:t xml:space="preserve">到MCU发来的数据，对音、视频等数据进行解码，从而实现主会场既能下发本地的画面/声音，又能看到各个分会场的画面/声音</w:t>
      </w:r>
      <w:r>
        <w:rPr>
          <w:rFonts w:hint="eastAsia" w:ascii="宋体" w:hAnsi="宋体" w:eastAsia="宋体" w:cs="宋体"/>
          <w:color w:val="auto"/>
          <w:highlight w:val="none"/>
          <w:lang w:val="en-US" w:eastAsia="zh-CN"/>
        </w:rPr>
        <w:t xml:space="preserve">；</w:t>
      </w:r>
      <w:r/>
    </w:p>
    <w:p>
      <w:pPr>
        <w:numPr>
          <w:ilvl w:val="0"/>
          <w:numId w:val="0"/>
        </w:numPr>
        <w:ind w:left="0"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7、采用的设备具有全面的网络安全机制，从网络层面、设备层面到应用层面都有相应的安全机制，确保系统从运行到应用是一个安全的系统。</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2系统功能</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视频会议系统具有双视频流功能，除用于召开视频会议外，还具有召开应急指挥、多点研讨、技术培训、远程教育等功能。系统要求具有以下功能：</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实现1080P的高清图像传送；</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实现主会场和各分会场的视频会议；</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能同时召开多个多点会议；</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召开由任意一个会场发起的点对点或多点会议；</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传送全运动的图像和高保真的声音效果；</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会议录像以及流媒体功能，会议实况或录像的网上点播、直播；</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MCU和终端支持H323协议体系标准； </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具有丰富、完善的网管功能。</w:t>
      </w:r>
      <w:r/>
    </w:p>
    <w:p>
      <w:pPr>
        <w:ind w:firstLine="422"/>
        <w:spacing w:line="360" w:lineRule="auto"/>
        <w:rPr>
          <w:rFonts w:hint="default"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3采购清单</w:t>
      </w:r>
      <w:r/>
    </w:p>
    <w:p>
      <w:pPr>
        <w:ind w:firstLine="420"/>
        <w:spacing w:line="360" w:lineRule="auto"/>
        <w:rPr>
          <w:rFonts w:hint="eastAsia" w:eastAsia="宋体" w:cs="Times New Roman"/>
          <w:color w:val="auto"/>
          <w:highlight w:val="none"/>
        </w:rPr>
      </w:pPr>
      <w:r>
        <w:rPr>
          <w:rFonts w:hint="eastAsia" w:eastAsia="宋体" w:cs="Times New Roman"/>
          <w:color w:val="auto"/>
          <w:highlight w:val="none"/>
          <w:lang w:val="en-US" w:eastAsia="zh-CN"/>
        </w:rPr>
        <w:t xml:space="preserve">视频会议系统</w:t>
      </w:r>
      <w:r>
        <w:rPr>
          <w:rFonts w:hint="eastAsia" w:eastAsia="宋体" w:cs="Times New Roman"/>
          <w:color w:val="auto"/>
          <w:highlight w:val="none"/>
        </w:rPr>
        <w:t xml:space="preserve">采购设备清单如下。</w:t>
      </w:r>
      <w:r/>
    </w:p>
    <w:tbl>
      <w:tblPr>
        <w:tblStyle w:val="7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640"/>
        <w:gridCol w:w="4789"/>
        <w:gridCol w:w="733"/>
        <w:gridCol w:w="733"/>
      </w:tblGrid>
      <w:tr>
        <w:trPr/>
        <w:tc>
          <w:tcPr>
            <w:shd w:val="clear" w:color="auto" w:fill="d8d8d8"/>
            <w:tcW w:w="366"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8d8d8"/>
            <w:tcW w:w="962"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设备（软件）名称</w:t>
            </w:r>
            <w:r/>
          </w:p>
        </w:tc>
        <w:tc>
          <w:tcPr>
            <w:shd w:val="clear" w:color="auto" w:fill="d8d8d8"/>
            <w:tcW w:w="2810"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参数要求</w:t>
            </w:r>
            <w:r/>
          </w:p>
        </w:tc>
        <w:tc>
          <w:tcPr>
            <w:shd w:val="clear" w:color="auto" w:fill="d8d8d8"/>
            <w:tcW w:w="430"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shd w:val="clear" w:color="auto" w:fill="d8d8d8"/>
            <w:tcW w:w="430"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视频会议MCU</w:t>
            </w:r>
            <w:r/>
          </w:p>
        </w:tc>
        <w:tc>
          <w:tcPr>
            <w:tcW w:w="2810"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会议容量：最大4组物理会议，20组虚拟会议，16路1080P用户并发</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机箱结构采用电信级架构设计，内部模块化插槽设计，可灵活扩展系统容量，满足在线7*24小时不间断运行</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MCU采用嵌入式操作系统，分布式部署可实现资源的统一管理、动态分配、相互备份，形成资源库</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多网络支持 IP（IPV4和IPV6），支持跨越防火墙及路由器能力，支持QOS策略模式，支持语音优先功能，支持NAT、H.245隧道等参数的设置。</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一体式终端</w:t>
            </w:r>
            <w:r/>
          </w:p>
        </w:tc>
        <w:tc>
          <w:tcPr>
            <w:tcW w:w="2810" w:type="pct"/>
            <w:vAlign w:val="center"/>
            <w:textDirection w:val="lrTb"/>
            <w:noWrap w:val="false"/>
          </w:tcPr>
          <w:p>
            <w:p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4K超高清视频通话；</w:t>
            </w:r>
            <w:r/>
          </w:p>
          <w:p>
            <w:pPr>
              <w:numPr>
                <w:ilvl w:val="0"/>
                <w:numId w:val="0"/>
              </w:numPr>
              <w:ind w:left="0" w:firstLine="0"/>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设备支持H.323、SIP标准协议，具有良好的兼容性；支持H.239、BFCP双流协议，主流最高可支持4K，辅流支持1080P</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设备支持通过2.4G遥控器、web、触控、鼠标键盘等方式来操控终端</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设备支持任意打开、关闭远端视频，支持飞鼠方式拖拽变更视频在画面布局中的窗口位置。</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全向麦克风</w:t>
            </w:r>
            <w:r/>
          </w:p>
        </w:tc>
        <w:tc>
          <w:tcPr>
            <w:tcW w:w="2810"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语音技术：深度消回音、动态噪声抑制、自动增益控制技术</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麦克风频响：100Hz~22kHz</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3.喇叭频响：170Hz~22kHz</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4.拾音范围：直径6米</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5.喇叭音量：85dB;6.接口：USB接口*1、LINE IN/OUT接口*1、耳机3.5mm接口*1</w:t>
            </w:r>
            <w:r>
              <w:rPr>
                <w:rFonts w:hint="eastAsia" w:ascii="宋体" w:hAnsi="宋体" w:cs="宋体"/>
                <w:i w:val="0"/>
                <w:iCs w:val="0"/>
                <w:color w:val="auto"/>
                <w:sz w:val="21"/>
                <w:szCs w:val="21"/>
                <w:highlight w:val="none"/>
                <w:u w:val="none"/>
                <w:lang w:val="en-US" w:eastAsia="zh-CN" w:bidi="ar"/>
              </w:rPr>
              <w:t xml:space="preserve">。</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会议显示屏</w:t>
            </w:r>
            <w:r/>
          </w:p>
        </w:tc>
        <w:tc>
          <w:tcPr>
            <w:tcW w:w="2810"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采用LED液晶显示屏，显示尺寸≥65英寸（16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9），刷新率≥60Hz，亮度≥350cd/m2，视角（度）≥178°；</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HDMI口≥1个；USB3.0≥2个；HDMI2 IN≥1个</w:t>
            </w:r>
            <w:r>
              <w:rPr>
                <w:rFonts w:hint="eastAsia" w:ascii="宋体" w:hAnsi="宋体" w:cs="宋体"/>
                <w:i w:val="0"/>
                <w:iCs w:val="0"/>
                <w:color w:val="auto"/>
                <w:sz w:val="21"/>
                <w:szCs w:val="21"/>
                <w:highlight w:val="none"/>
                <w:u w:val="none"/>
                <w:lang w:val="en-US" w:eastAsia="zh-CN" w:bidi="ar"/>
              </w:rPr>
              <w:t xml:space="preserve">。</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终端接入许可</w:t>
            </w:r>
            <w:r/>
          </w:p>
        </w:tc>
        <w:tc>
          <w:tcPr>
            <w:tcW w:w="281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终端接入许可；每个终端进行SIP注册</w:t>
            </w:r>
            <w:r>
              <w:rPr>
                <w:rFonts w:hint="eastAsia" w:ascii="宋体" w:hAnsi="宋体" w:cs="宋体"/>
                <w:i w:val="0"/>
                <w:iCs w:val="0"/>
                <w:color w:val="auto"/>
                <w:sz w:val="21"/>
                <w:szCs w:val="21"/>
                <w:highlight w:val="none"/>
                <w:u w:val="none"/>
                <w:lang w:val="en-US" w:eastAsia="zh-CN" w:bidi="ar"/>
              </w:rPr>
              <w:t xml:space="preserve">。</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r>
      <w:tr>
        <w:trPr/>
        <w:tc>
          <w:tcPr>
            <w:tcW w:w="366"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962"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布线与调试</w:t>
            </w:r>
            <w:r/>
          </w:p>
        </w:tc>
        <w:tc>
          <w:tcPr>
            <w:tcW w:w="281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会议平板落地移动支架，视频接插高清HDMI线缆，音频接插线材</w:t>
            </w:r>
            <w:r>
              <w:rPr>
                <w:rFonts w:hint="eastAsia" w:ascii="宋体" w:hAnsi="宋体" w:cs="宋体"/>
                <w:i w:val="0"/>
                <w:iCs w:val="0"/>
                <w:color w:val="auto"/>
                <w:sz w:val="21"/>
                <w:szCs w:val="21"/>
                <w:highlight w:val="none"/>
                <w:u w:val="none"/>
                <w:lang w:val="en-US" w:eastAsia="zh-CN" w:bidi="ar"/>
              </w:rPr>
              <w:t xml:space="preserve">。</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430"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r>
    </w:tbl>
    <w:p>
      <w:pPr>
        <w:ind w:firstLine="422"/>
        <w:spacing w:line="360" w:lineRule="auto"/>
        <w:rPr>
          <w:rFonts w:ascii="宋体" w:hAnsi="宋体" w:eastAsia="宋体" w:cs="宋体"/>
          <w:b/>
          <w:color w:val="auto"/>
          <w:szCs w:val="21"/>
          <w:highlight w:val="none"/>
        </w:rPr>
        <w:outlineLvl w:val="1"/>
      </w:pPr>
      <w:r>
        <w:rPr>
          <w:rFonts w:ascii="宋体" w:hAnsi="宋体" w:eastAsia="宋体" w:cs="宋体"/>
          <w:b/>
          <w:color w:val="auto"/>
          <w:szCs w:val="21"/>
          <w:highlight w:val="none"/>
        </w:rPr>
        <w:t xml:space="preserve">3.4</w:t>
      </w:r>
      <w:r>
        <w:rPr>
          <w:rFonts w:hint="eastAsia" w:ascii="宋体" w:hAnsi="宋体" w:eastAsia="宋体" w:cs="宋体"/>
          <w:b/>
          <w:color w:val="auto"/>
          <w:szCs w:val="21"/>
          <w:highlight w:val="none"/>
        </w:rPr>
        <w:t xml:space="preserve">网络安全</w:t>
      </w:r>
      <w:r>
        <w:rPr>
          <w:rFonts w:hint="eastAsia" w:ascii="宋体" w:hAnsi="宋体" w:eastAsia="宋体" w:cs="宋体"/>
          <w:b/>
          <w:color w:val="auto"/>
          <w:szCs w:val="21"/>
          <w:highlight w:val="none"/>
          <w:lang w:val="en-US" w:eastAsia="zh-CN"/>
        </w:rPr>
        <w:t xml:space="preserve">设备及软件产品采购</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保障视频监控系统、闸泵站</w:t>
      </w:r>
      <w:r>
        <w:rPr>
          <w:rFonts w:hint="eastAsia" w:ascii="宋体" w:hAnsi="宋体" w:eastAsia="宋体" w:cs="宋体"/>
          <w:color w:val="auto"/>
          <w:szCs w:val="21"/>
          <w:highlight w:val="none"/>
          <w:lang w:val="en-US" w:eastAsia="zh-CN"/>
        </w:rPr>
        <w:t xml:space="preserve">远程</w:t>
      </w:r>
      <w:r>
        <w:rPr>
          <w:rFonts w:hint="eastAsia" w:ascii="宋体" w:hAnsi="宋体" w:eastAsia="宋体" w:cs="宋体"/>
          <w:color w:val="auto"/>
          <w:szCs w:val="21"/>
          <w:highlight w:val="none"/>
        </w:rPr>
        <w:t xml:space="preserve">控制</w:t>
      </w:r>
      <w:r>
        <w:rPr>
          <w:rFonts w:hint="eastAsia" w:ascii="宋体" w:hAnsi="宋体" w:eastAsia="宋体" w:cs="宋体"/>
          <w:color w:val="auto"/>
          <w:szCs w:val="21"/>
          <w:highlight w:val="none"/>
          <w:lang w:val="en-US" w:eastAsia="zh-CN"/>
        </w:rPr>
        <w:t xml:space="preserve">与监测系统</w:t>
      </w:r>
      <w:r>
        <w:rPr>
          <w:rFonts w:hint="eastAsia" w:ascii="宋体" w:hAnsi="宋体" w:eastAsia="宋体" w:cs="宋体"/>
          <w:color w:val="auto"/>
          <w:szCs w:val="21"/>
          <w:highlight w:val="none"/>
        </w:rPr>
        <w:t xml:space="preserve">、视频会议系统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应用支撑平台及应用系统的</w:t>
      </w:r>
      <w:r>
        <w:rPr>
          <w:rFonts w:hint="eastAsia" w:ascii="宋体" w:hAnsi="宋体" w:eastAsia="宋体" w:cs="宋体"/>
          <w:color w:val="auto"/>
          <w:szCs w:val="21"/>
          <w:highlight w:val="none"/>
        </w:rPr>
        <w:t xml:space="preserve">安全、稳定运行，本</w:t>
      </w:r>
      <w:r>
        <w:rPr>
          <w:rFonts w:hint="eastAsia" w:ascii="宋体" w:hAnsi="宋体" w:cs="宋体"/>
          <w:color w:val="auto"/>
          <w:szCs w:val="21"/>
          <w:highlight w:val="none"/>
          <w:lang w:eastAsia="zh-CN"/>
        </w:rPr>
        <w:t xml:space="preserve">项目</w:t>
      </w:r>
      <w:r>
        <w:rPr>
          <w:rFonts w:hint="eastAsia" w:ascii="宋体" w:hAnsi="宋体" w:eastAsia="宋体" w:cs="宋体"/>
          <w:color w:val="auto"/>
          <w:szCs w:val="21"/>
          <w:highlight w:val="none"/>
        </w:rPr>
        <w:t xml:space="preserve">需采购</w:t>
      </w:r>
      <w:r>
        <w:rPr>
          <w:rFonts w:hint="eastAsia" w:ascii="宋体" w:hAnsi="宋体" w:eastAsia="宋体" w:cs="宋体"/>
          <w:color w:val="auto"/>
          <w:szCs w:val="21"/>
          <w:highlight w:val="none"/>
          <w:lang w:val="en-US" w:eastAsia="zh-CN"/>
        </w:rPr>
        <w:t xml:space="preserve">网络设备、安全设备、数据库软件</w:t>
      </w:r>
      <w:r>
        <w:rPr>
          <w:rFonts w:hint="eastAsia" w:ascii="宋体" w:hAnsi="宋体" w:eastAsia="宋体" w:cs="宋体"/>
          <w:color w:val="auto"/>
          <w:szCs w:val="21"/>
          <w:highlight w:val="none"/>
        </w:rPr>
        <w:t xml:space="preserve">等机房软硬件设备，</w:t>
      </w:r>
      <w:r>
        <w:rPr>
          <w:rFonts w:hint="eastAsia" w:ascii="宋体" w:hAnsi="宋体" w:eastAsia="宋体" w:cs="宋体"/>
          <w:color w:val="auto"/>
          <w:szCs w:val="21"/>
          <w:highlight w:val="none"/>
          <w:lang w:val="en-US" w:eastAsia="zh-CN"/>
        </w:rPr>
        <w:t xml:space="preserve">采购清单如下。</w:t>
      </w:r>
      <w:r/>
    </w:p>
    <w:tbl>
      <w:tblPr>
        <w:tblStyle w:val="7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224"/>
        <w:gridCol w:w="5138"/>
        <w:gridCol w:w="738"/>
        <w:gridCol w:w="738"/>
      </w:tblGrid>
      <w:tr>
        <w:trPr/>
        <w:tc>
          <w:tcPr>
            <w:shd w:val="clear" w:color="auto" w:fill="d8d8d8"/>
            <w:tcW w:w="400"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8d8d8"/>
            <w:tcW w:w="718"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设备（软件）名称</w:t>
            </w:r>
            <w:r/>
          </w:p>
        </w:tc>
        <w:tc>
          <w:tcPr>
            <w:shd w:val="clear" w:color="auto" w:fill="d8d8d8"/>
            <w:tcW w:w="3015"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参数要求</w:t>
            </w:r>
            <w:r/>
          </w:p>
        </w:tc>
        <w:tc>
          <w:tcPr>
            <w:shd w:val="clear" w:color="auto" w:fill="d8d8d8"/>
            <w:tcW w:w="433"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shd w:val="clear" w:color="auto" w:fill="d8d8d8"/>
            <w:tcW w:w="433" w:type="pct"/>
            <w:vAlign w:val="center"/>
            <w:textDirection w:val="lrTb"/>
            <w:noWrap w:val="false"/>
          </w:tcPr>
          <w:p>
            <w:pPr>
              <w:jc w:val="both"/>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核心交换机</w:t>
            </w:r>
            <w:r/>
          </w:p>
        </w:tc>
        <w:tc>
          <w:tcPr>
            <w:tcW w:w="3015"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交换容量≥670Gbps，包转发率≥144Mpps；</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支持千兆电口≥24，万兆光端口≥4；支持2个专用堆叠口</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p>
            <w:pPr>
              <w:numPr>
                <w:ilvl w:val="0"/>
                <w:numId w:val="0"/>
              </w:numPr>
              <w:jc w:val="both"/>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.支持STP、RSTP和MSTP，支持BPDU保护、根保护、环路保护。</w:t>
            </w:r>
            <w:r/>
          </w:p>
          <w:p>
            <w:pPr>
              <w:numPr>
                <w:ilvl w:val="0"/>
                <w:numId w:val="0"/>
              </w:numPr>
              <w:jc w:val="both"/>
              <w:spacing w:after="0" w:line="240" w:lineRule="auto"/>
              <w:rPr>
                <w:rFonts w:hint="eastAsia"/>
                <w:color w:val="auto"/>
                <w:highlight w:val="none"/>
              </w:rPr>
            </w:pPr>
            <w:r>
              <w:rPr>
                <w:rFonts w:hint="eastAsia"/>
                <w:color w:val="auto"/>
                <w:highlight w:val="none"/>
              </w:rPr>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交换机</w:t>
            </w:r>
            <w:r/>
          </w:p>
        </w:tc>
        <w:tc>
          <w:tcPr>
            <w:tcW w:w="3015"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二层网管交换机，交换容量336Gbps，包转发率42Mpps</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24口10/100/1000Mbps自适应电口交换机（支持PoE/PoE+，PoE功率370W），固化4个SFP千兆光口</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支持VLAN、ACL、端口镜像、端口聚合等功能</w:t>
            </w:r>
            <w:r>
              <w:rPr>
                <w:rFonts w:hint="eastAsia" w:ascii="宋体" w:hAnsi="宋体" w:cs="宋体"/>
                <w:i w:val="0"/>
                <w:iCs w:val="0"/>
                <w:color w:val="auto"/>
                <w:sz w:val="21"/>
                <w:szCs w:val="21"/>
                <w:highlight w:val="none"/>
                <w:u w:val="none"/>
                <w:lang w:val="en-US" w:eastAsia="zh-CN" w:bidi="ar"/>
              </w:rPr>
              <w:t xml:space="preserve">。</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接入路由器</w:t>
            </w:r>
            <w:r/>
          </w:p>
        </w:tc>
        <w:tc>
          <w:tcPr>
            <w:tcW w:w="3015"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传输速率10/100/1000Mbps；</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处理器单核≥775MHz；</w:t>
            </w:r>
            <w:r/>
          </w:p>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网络协议PPP，CHAP，PAP，MS-CHAP，PPPoE，DHCP客户端，DHCP服务器，NAPT，NTP，DDNS；</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基于Web的用户管理接口（远程管理/本地管理）</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HTTPS远程管理； 命令行CLI</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通过HTTP 升级系统软件</w:t>
            </w:r>
            <w:r>
              <w:rPr>
                <w:rFonts w:hint="eastAsia" w:ascii="宋体" w:hAnsi="宋体" w:cs="宋体"/>
                <w:i w:val="0"/>
                <w:iCs w:val="0"/>
                <w:color w:val="auto"/>
                <w:sz w:val="21"/>
                <w:szCs w:val="21"/>
                <w:highlight w:val="none"/>
                <w:u w:val="none"/>
                <w:lang w:val="en-US" w:eastAsia="zh-CN" w:bidi="ar"/>
              </w:rPr>
              <w:t xml:space="preserve">。</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终端安全管理系统</w:t>
            </w:r>
            <w:r/>
          </w:p>
        </w:tc>
        <w:tc>
          <w:tcPr>
            <w:tcW w:w="3015" w:type="pct"/>
            <w:vAlign w:val="center"/>
            <w:textDirection w:val="lrTb"/>
            <w:noWrap w:val="false"/>
          </w:tcPr>
          <w:p>
            <w:pPr>
              <w:numPr>
                <w:ilvl w:val="0"/>
                <w:numId w:val="0"/>
              </w:numPr>
              <w:jc w:val="both"/>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提供终端病毒查杀能力，病毒查杀引擎包括云查杀引擎、鲲鹏（含AVE引擎）、Behavioral脚本引擎（QEX）、QVM等引擎，支持多引擎的协同工作对病毒、木马</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进行查杀，提供主动防御系统防护、勒索防护、威胁详情、文档卫士等功能</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含10个服务器或者电脑系统杀毒三年授权。</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服务器操作系统</w:t>
            </w:r>
            <w:r/>
          </w:p>
        </w:tc>
        <w:tc>
          <w:tcPr>
            <w:tcW w:w="3015"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国产服务器操作系统</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c>
          <w:tcPr>
            <w:tcW w:w="400"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18" w:type="pct"/>
            <w:vAlign w:val="center"/>
            <w:textDirection w:val="lrTb"/>
            <w:noWrap w:val="false"/>
          </w:tcPr>
          <w:p>
            <w:p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国产数据库</w:t>
            </w:r>
            <w:r/>
          </w:p>
        </w:tc>
        <w:tc>
          <w:tcPr>
            <w:tcW w:w="3015" w:type="pct"/>
            <w:vAlign w:val="center"/>
            <w:textDirection w:val="lrTb"/>
            <w:noWrap w:val="false"/>
          </w:tcPr>
          <w:p>
            <w:pPr>
              <w:numPr>
                <w:ilvl w:val="0"/>
                <w:numId w:val="0"/>
              </w:numPr>
              <w:jc w:val="both"/>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大型国产关系型数据库，满足GB/T 20273及GB/T18336两大信息安全标准；</w:t>
            </w:r>
            <w:r/>
          </w:p>
          <w:p>
            <w:pPr>
              <w:numPr>
                <w:ilvl w:val="0"/>
                <w:numId w:val="0"/>
              </w:numPr>
              <w:jc w:val="both"/>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高可用性，支持8节点共享存储集群，支持集群2节点到8节点的扩展。</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33" w:type="pct"/>
            <w:vAlign w:val="center"/>
            <w:textDirection w:val="lrTb"/>
            <w:noWrap w:val="false"/>
          </w:tcPr>
          <w:p>
            <w:pPr>
              <w:jc w:val="both"/>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bl>
    <w:p>
      <w:pPr>
        <w:ind w:firstLine="422"/>
        <w:spacing w:line="360" w:lineRule="auto"/>
        <w:rPr>
          <w:rFonts w:hint="default" w:ascii="宋体" w:hAnsi="宋体" w:eastAsia="宋体" w:cs="宋体"/>
          <w:b/>
          <w:color w:val="auto"/>
          <w:szCs w:val="21"/>
          <w:highlight w:val="none"/>
          <w:lang w:val="en-US" w:eastAsia="zh-CN"/>
        </w:rPr>
        <w:outlineLvl w:val="1"/>
      </w:pPr>
      <w:r>
        <w:rPr>
          <w:rFonts w:ascii="宋体" w:hAnsi="宋体" w:eastAsia="宋体" w:cs="宋体"/>
          <w:b/>
          <w:color w:val="auto"/>
          <w:szCs w:val="21"/>
          <w:highlight w:val="none"/>
        </w:rPr>
        <w:t xml:space="preserve">3.5</w:t>
      </w:r>
      <w:r>
        <w:rPr>
          <w:rFonts w:hint="eastAsia" w:ascii="宋体" w:hAnsi="宋体" w:eastAsia="宋体" w:cs="宋体"/>
          <w:b/>
          <w:color w:val="auto"/>
          <w:szCs w:val="21"/>
          <w:highlight w:val="none"/>
          <w:lang w:val="en-US" w:eastAsia="zh-CN"/>
        </w:rPr>
        <w:t xml:space="preserve">应用支撑平台及应用系统建设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充分利用梁溪区防汛决策支撑系统建设成果，根据闸泵站联调联控平台应用场景，补充建设应用支撑平台和水工程联合调度系统，为泵站联调联控提供日常运行管理和智能调度支撑。</w:t>
      </w:r>
      <w:r/>
    </w:p>
    <w:p>
      <w:pPr>
        <w:ind w:firstLine="422"/>
        <w:spacing w:line="360" w:lineRule="auto"/>
        <w:rPr>
          <w:rFonts w:hint="default" w:ascii="宋体" w:hAnsi="宋体" w:eastAsia="宋体" w:cs="宋体"/>
          <w:b/>
          <w:color w:val="auto"/>
          <w:szCs w:val="21"/>
          <w:highlight w:val="none"/>
          <w:lang w:val="en-US" w:eastAsia="zh-CN"/>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.5.1</w:t>
      </w:r>
      <w:r>
        <w:rPr>
          <w:rFonts w:hint="eastAsia" w:ascii="宋体" w:hAnsi="宋体" w:cs="宋体"/>
          <w:b/>
          <w:color w:val="auto"/>
          <w:szCs w:val="21"/>
          <w:highlight w:val="none"/>
          <w:lang w:val="en-US" w:eastAsia="zh-CN"/>
        </w:rPr>
        <w:t xml:space="preserve">数据交换共享平台</w:t>
      </w:r>
      <w:r/>
    </w:p>
    <w:p>
      <w:pPr>
        <w:ind w:firstLine="420"/>
        <w:spacing w:line="360" w:lineRule="auto"/>
        <w:rPr>
          <w:rFonts w:hint="eastAsia" w:ascii="宋体" w:hAnsi="宋体" w:eastAsia="宋体" w:cs="宋体"/>
          <w:color w:val="auto"/>
          <w:szCs w:val="21"/>
          <w:highlight w:val="none"/>
          <w:lang w:val="en-US" w:eastAsia="zh-Hans"/>
        </w:rPr>
      </w:pPr>
      <w:r>
        <w:rPr>
          <w:rFonts w:hint="eastAsia" w:ascii="宋体" w:hAnsi="宋体" w:eastAsia="宋体" w:cs="宋体"/>
          <w:color w:val="auto"/>
          <w:szCs w:val="21"/>
          <w:highlight w:val="none"/>
          <w:lang w:val="en-US" w:eastAsia="zh-Hans"/>
        </w:rPr>
        <w:t xml:space="preserve">数据交换共享平台实现管理</w:t>
      </w:r>
      <w:r>
        <w:rPr>
          <w:rFonts w:hint="eastAsia" w:ascii="宋体" w:hAnsi="宋体" w:eastAsia="宋体" w:cs="宋体"/>
          <w:color w:val="auto"/>
          <w:szCs w:val="21"/>
          <w:highlight w:val="none"/>
          <w:lang w:val="en-US" w:eastAsia="zh-CN"/>
        </w:rPr>
        <w:t xml:space="preserve">站</w:t>
      </w:r>
      <w:r>
        <w:rPr>
          <w:rFonts w:hint="eastAsia" w:ascii="宋体" w:hAnsi="宋体" w:eastAsia="宋体" w:cs="宋体"/>
          <w:color w:val="auto"/>
          <w:szCs w:val="21"/>
          <w:highlight w:val="none"/>
          <w:lang w:val="en-US" w:eastAsia="zh-Hans"/>
        </w:rPr>
        <w:t xml:space="preserve">到区政务信息资源目录的数据交换，保证数据在各部门、机构之间的</w:t>
      </w:r>
      <w:r>
        <w:rPr>
          <w:rFonts w:hint="eastAsia" w:ascii="宋体" w:hAnsi="宋体" w:cs="宋体"/>
          <w:color w:val="auto"/>
          <w:szCs w:val="21"/>
          <w:highlight w:val="none"/>
          <w:lang w:val="en-US" w:eastAsia="zh-CN"/>
        </w:rPr>
        <w:t xml:space="preserve">正确</w:t>
      </w:r>
      <w:r>
        <w:rPr>
          <w:rFonts w:hint="eastAsia" w:ascii="宋体" w:hAnsi="宋体" w:eastAsia="宋体" w:cs="宋体"/>
          <w:color w:val="auto"/>
          <w:szCs w:val="21"/>
          <w:highlight w:val="none"/>
          <w:lang w:val="en-US" w:eastAsia="zh-Hans"/>
        </w:rPr>
        <w:t xml:space="preserve">传递。数据交换共享平台通过统一的规范和标准，消除由于应用范围、构建方式、系统结构、数据资源等方面所产生的各机关系统间的差异，实现信息的高度共享，保证数据交换的透明、简便、可靠、安全。</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3.5.1.1数据交换共享</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1、数据接收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Hans"/>
        </w:rPr>
        <w:t xml:space="preserve">接收来自各监测、监控站点采集数据。根据数据接收策略实现不同数据源的实时和定时接收。</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lang w:val="en-US" w:eastAsia="zh-CN"/>
        </w:rPr>
        <w:t xml:space="preserve">数据处理</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Hans"/>
        </w:rPr>
        <w:t xml:space="preserve">按照各类数据相应的检查标准，对接收的数据进行检查，对异常数据，调用相应异常处理程序进行处理。对符合标准的数据，按照分类标准进行分类、存储。对不符合标准的数据，按照统一存储的格式进行转换，再按照分类标准进行分类、存储。</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lang w:val="en-US" w:eastAsia="zh-CN"/>
        </w:rPr>
        <w:t xml:space="preserve">共享交换</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Hans"/>
        </w:rPr>
        <w:t xml:space="preserve">实现对无锡水文、环保、气象、水利等防汛、水环境数据整合和梁溪区已有、各乡镇农村工作办公室等</w:t>
      </w:r>
      <w:r>
        <w:rPr>
          <w:rFonts w:hint="eastAsia" w:ascii="宋体" w:hAnsi="宋体" w:eastAsia="宋体" w:cs="宋体"/>
          <w:color w:val="auto"/>
          <w:szCs w:val="21"/>
          <w:highlight w:val="none"/>
          <w:lang w:val="en-US" w:eastAsia="zh-CN"/>
        </w:rPr>
        <w:t xml:space="preserve">不同部门</w:t>
      </w:r>
      <w:r>
        <w:rPr>
          <w:rFonts w:hint="eastAsia" w:ascii="宋体" w:hAnsi="宋体" w:eastAsia="宋体" w:cs="宋体"/>
          <w:color w:val="auto"/>
          <w:szCs w:val="21"/>
          <w:highlight w:val="none"/>
          <w:lang w:val="en-US" w:eastAsia="zh-Hans"/>
        </w:rPr>
        <w:t xml:space="preserve">的共享交换数据的接收、存储及处理。</w:t>
      </w:r>
      <w:r/>
    </w:p>
    <w:p>
      <w:pPr>
        <w:numPr>
          <w:ilvl w:val="0"/>
          <w:numId w:val="0"/>
        </w:num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4、交换监视</w:t>
      </w:r>
      <w:r/>
    </w:p>
    <w:p>
      <w:pPr>
        <w:numPr>
          <w:ilvl w:val="0"/>
          <w:numId w:val="0"/>
        </w:num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Hans" w:bidi="ar-SA"/>
        </w:rPr>
        <w:t xml:space="preserve">为了保证信息传输安全，对信息传输的不同阶段进行实时监控，监视功能在独立的图形界面上显示平台上接收、发送任务的实时执行情况及统计结果。</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3.5.1.2感知数据采集存储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1、感知数据接收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实现对移动终端、各监测、监控站点等监测数据的接收和缓存，数据的接收方式分数据库接入、数据文件导入、在线填报等。数据的接收方式通过系统配置文件进行定义。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2、感知数据检查</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现地采集数据通过系统接收后，按照相关的数据检查标准进行检查和数据预处理。常规监测数据主要检查数据完整性；数据预处理主要包括数据清洗、填补缺失值、去除异常值等，以保证数据的准确性和完整性；对于自动监测数据则主要进行异常数据的数据剔除、重新</w:t>
      </w:r>
      <w:r>
        <w:rPr>
          <w:rFonts w:hint="eastAsia" w:ascii="宋体" w:hAnsi="宋体" w:cs="宋体"/>
          <w:color w:val="auto"/>
          <w:szCs w:val="21"/>
          <w:highlight w:val="none"/>
          <w:lang w:val="en-US" w:eastAsia="zh-CN"/>
        </w:rPr>
        <w:t xml:space="preserve">监测</w:t>
      </w:r>
      <w:r>
        <w:rPr>
          <w:rFonts w:hint="eastAsia" w:ascii="宋体" w:hAnsi="宋体" w:eastAsia="宋体" w:cs="宋体"/>
          <w:color w:val="auto"/>
          <w:szCs w:val="21"/>
          <w:highlight w:val="none"/>
          <w:lang w:val="en-US" w:eastAsia="zh-CN"/>
        </w:rPr>
        <w:t xml:space="preserve">等异常处理。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3、感知数据转换</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对不符合存储要求的数据进行数据转换。当接收的数据发出数据转换请求时，系统调用预定义的转换方法，对数据进行转换，并将转换结果写入日志库。当转换异常时，将调用异常处理程序进行处理。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3.5.1.3数据分析管理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1、数据挖掘分析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于本次项目中采集的感知水、雨、工情等数据，进行前期的数据预处理、数据转换和数据挖掘等操作。数据转换包括数据格式转换、数据类型转换等，以满足数据处理和应用的需求。数据挖掘包括数据分类、聚类、关联规则挖掘等，以发现数据中隐藏的信息和规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2、数据备份和恢复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为了保障梁溪水利感知数据的安全性和可靠性，建立数据备份和恢复机制。可以采用定期备份、远程备份等方式进行备份，同时采用快照技术、复制技术等手段进行恢复。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3、数据访问控制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为了保障梁溪水利感知数据的安全性，需要对数据进行访问控制。可以设置不同的权限和角色，对数据进行分级管理。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4、数据生命周期管理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为了保障梁溪水利感知数据的及时性和有效性，需要对数据进行生命周期管理。可以建立数据的生成、存储、访问、归档和销毁等流程，对数据进行有效管理。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5、数据资源管理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在建立梁溪水利数据备份机制的同时，通过元数据管理、数据资源目录管理、异常数据管理等方式来加强数据资源管理。</w:t>
      </w:r>
      <w:r/>
    </w:p>
    <w:p>
      <w:pPr>
        <w:ind w:firstLine="422"/>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.5.2</w:t>
      </w:r>
      <w:r>
        <w:rPr>
          <w:rFonts w:hint="eastAsia" w:ascii="宋体" w:hAnsi="宋体" w:cs="宋体"/>
          <w:b/>
          <w:color w:val="auto"/>
          <w:szCs w:val="21"/>
          <w:highlight w:val="none"/>
        </w:rPr>
        <w:t xml:space="preserve">应用支撑平台</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针对各业务应用系统共用的功能进行统一建设，搭建应用支撑平台，提供统一支撑服务、数据访问接口、安全管理策略等。</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3.5.2.1模型组件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圩区预报调度模型基于水量平衡，为圩区提供水位预报和调度方案支撑服务，模型运算需收集包括</w:t>
      </w:r>
      <w:r>
        <w:rPr>
          <w:rFonts w:hint="eastAsia" w:ascii="宋体" w:hAnsi="宋体" w:cs="宋体"/>
          <w:color w:val="auto"/>
          <w:szCs w:val="21"/>
          <w:highlight w:val="none"/>
          <w:lang w:val="en-US" w:eastAsia="zh-CN"/>
        </w:rPr>
        <w:t xml:space="preserve">基底面积</w:t>
      </w:r>
      <w:r>
        <w:rPr>
          <w:rFonts w:hint="eastAsia" w:ascii="宋体" w:hAnsi="宋体" w:eastAsia="宋体" w:cs="宋体"/>
          <w:color w:val="auto"/>
          <w:szCs w:val="21"/>
          <w:highlight w:val="none"/>
          <w:lang w:val="en-US" w:eastAsia="zh-CN"/>
        </w:rPr>
        <w:t xml:space="preserve">、历史降雨、工程调度过程、降雨量、最低水位、安全水位、受淹水位、排涝能力（水位流量关系曲线）、DEM等参数的组成，可以动态计算当前对象的纳雨能力、最高水位、最优调度方案、外排水量、受淹区域、受淹时长等信息，能为区域圩区风险预判提供精准服务，同时还可以设定目标水位，推荐工程调度方案</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调度流量、调度时长</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，能为区域风险预判，工程调度方案选择提供计算服务。</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3.5.2.2报表组件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基于服务器后台的组件，可以建立、管理、发布传统的基于纸张的报表或者交互的、基于Web的报表，实现日常业务报表服务以及决策分析报表的生成。</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3.5.2.3报图组件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基于服务器后台的组件，基于相关数据生成例如折线图、饼状图、柱状图等多种报图样式展示数据信息内容，实现对数据的可视化分析展现。</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3.5.2.4流程引擎</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流程引擎是项目涉及流转部分的核心，引擎是驱动流程流动的主要部件，它负责解释工作流流程定义，创建并初始化流程实例，控制流程流动的路径，记录流程运行状态，挂起或唤醒流程，终止正在运行的流程，与其他引擎</w:t>
      </w:r>
      <w:r>
        <w:rPr>
          <w:rFonts w:hint="eastAsia" w:ascii="宋体" w:hAnsi="宋体" w:cs="宋体"/>
          <w:color w:val="auto"/>
          <w:szCs w:val="21"/>
          <w:highlight w:val="none"/>
          <w:lang w:val="en-US" w:eastAsia="zh-CN"/>
        </w:rPr>
        <w:t xml:space="preserve">之间通信</w:t>
      </w:r>
      <w:r>
        <w:rPr>
          <w:rFonts w:hint="eastAsia" w:ascii="宋体" w:hAnsi="宋体" w:eastAsia="宋体" w:cs="宋体"/>
          <w:color w:val="auto"/>
          <w:szCs w:val="21"/>
          <w:highlight w:val="none"/>
          <w:lang w:val="en-US" w:eastAsia="zh-CN"/>
        </w:rPr>
        <w:t xml:space="preserve">等工作。</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3.5.2.5统一身份认证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统一身份认证为平台提供统一的框架和基础组件服务。</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3.5.2.6统一用户管理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通过统一用户管理，实现一次登录、各处通行的用户管理机制，对所有应用系统进行统一的访问控制管理提供基础。系统支持对单位内部人员，完成包含用户授权和角色授权两方面的统一授权管理规划；针对外部用户，支持调用短信验证等形式，实现用户的统一身份认证。</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3.5.2.7统一授权管理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统一授权管理通过角色权限控制设置权限、角色以及进行权限验证。</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3.5.2.8统一接入管理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统一接入管理采用微服务的技术框架，实现对访问系统的请求管理。外部应用在调用应用系统时，提供动态路由、接口限流、服务编发数限流等服务，实现对相关接入的有效管理。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3.5.2.9统一地图服务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保持与现有决策系统一致，利用江苏省水利“一张图”作为基础地图，可以叠加决策系统已建立的河网、行政边界、圩区、水利工程图</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，为本次项目建设提供基础地图服务，形成梁溪水利统一的GIS平台，该平台支持天地图，支持显示高分辨率的数字地图，并提供灵活的业务应用配置功能。</w:t>
      </w:r>
      <w:r/>
    </w:p>
    <w:p>
      <w:pPr>
        <w:ind w:firstLine="422"/>
        <w:spacing w:line="360" w:lineRule="auto"/>
        <w:rPr>
          <w:rFonts w:hint="default" w:ascii="宋体" w:hAnsi="宋体" w:eastAsia="宋体" w:cs="宋体"/>
          <w:b/>
          <w:color w:val="auto"/>
          <w:szCs w:val="21"/>
          <w:highlight w:val="none"/>
          <w:lang w:val="en-US" w:eastAsia="zh-CN"/>
        </w:rPr>
        <w:outlineLvl w:val="2"/>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.5.3</w:t>
      </w:r>
      <w:r>
        <w:rPr>
          <w:rFonts w:hint="eastAsia" w:ascii="宋体" w:hAnsi="宋体" w:cs="宋体"/>
          <w:b/>
          <w:color w:val="auto"/>
          <w:szCs w:val="21"/>
          <w:highlight w:val="none"/>
          <w:lang w:val="en-US" w:eastAsia="zh-CN"/>
        </w:rPr>
        <w:t xml:space="preserve">闸泵站联调联控平台</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合梁溪区防汛设施管理站的业务职能，以需求为导向，以业务为核心，搭建业务应用系统，包括水安全形势研判系统、水工程调度决策系统、闸泵站运行管理系统、工程安全管理系统、后台管理系统及移动应用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3.5.3.1水安全形势研判系统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1、总览专题服务</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基于梁溪区水利一张图，展示雨情、水情、工情、水量汇总信息，全面反映梁溪区河网水位超警超保情况，降雨的分布情况，工程的运行情况，边界水量的交换情况以及圩区、河道堤防水安全状态。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2、水情专题服务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提供基于水利一张图的水情专题服务模块，主要包括：水情GIS监测预警、水位过程分析、水位特征分析、河道水位过程线、水位超警戒预警等功能。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3、雨情专题服务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提供基于一张图的雨情站点降雨数据查询分析等专题服务模块，主要包括：</w:t>
      </w:r>
      <w:r>
        <w:rPr>
          <w:rFonts w:hint="eastAsia" w:ascii="宋体" w:hAnsi="宋体" w:eastAsia="宋体" w:cs="宋体"/>
          <w:color w:val="auto"/>
          <w:szCs w:val="21"/>
          <w:highlight w:val="none"/>
          <w:lang w:val="zh-CN" w:eastAsia="zh-CN"/>
        </w:rPr>
        <w:t xml:space="preserve">雨量GIS监测查询、雨量等值面、降雨分布图、雨量柱状图查询、雨量数据报表、雨量预警、历史年中同期雨量对比分析</w:t>
      </w:r>
      <w:r>
        <w:rPr>
          <w:rFonts w:hint="eastAsia" w:ascii="宋体" w:hAnsi="宋体" w:eastAsia="宋体" w:cs="宋体"/>
          <w:color w:val="auto"/>
          <w:szCs w:val="21"/>
          <w:highlight w:val="none"/>
          <w:lang w:val="en-US" w:eastAsia="zh-CN"/>
        </w:rPr>
        <w:t xml:space="preserve">等功能。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4、工情专题服务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提供基于一张图的泵闸站工程监视、引排水量分析、区域进出水量分析等专题服务功能，主要包括：泵闸站查询定位、工程实时运行状况、水量统计、工情数据统计分析等。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5、圩区专题服务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水利一张图，根据圩内水位、排涝流量、控制水位、受淹水位、堤顶高程、调度方案等资料，利用水文学模型，构建圩区总体形势分析、纳雨能力分析、圩区水位预测分析、圩区智能调度、圩区排涝能力等功能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6、内涝专题服务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基于</w:t>
      </w:r>
      <w:r>
        <w:rPr>
          <w:rFonts w:hint="eastAsia" w:ascii="宋体" w:hAnsi="宋体" w:eastAsia="宋体" w:cs="宋体"/>
          <w:color w:val="auto"/>
          <w:szCs w:val="21"/>
          <w:highlight w:val="none"/>
          <w:lang w:val="en-US" w:eastAsia="zh-CN"/>
        </w:rPr>
        <w:t xml:space="preserve">水利一张图，提供内涝积水点实时监测信息展示、内涝统计分析和风险预警，主要功能包括：内涝监视、内涝统计、内涝预警、积水点视频监控、预报降雨，内涝处置。</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7、气象专题服务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集成分区降雨预报、华东雷达图、中央气象台预报降雨成果等多种气象预报产品，对各类气象数据，分别建立图片预览、动画播放等功能；降雨预报数据根据行政分区和水利片进行空间分析，动画展示降雨的分布和变化过程。</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3.5.3.2水工程调度决策系统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1、调度方案数字化</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通过对水利工程防洪调度方案、圩区控运方案等资料进行数字化处理，形成水利工程调度决策树，提高水利工程调度的效率和准确性；同时建立水利工程调度知识平台，可以为工程调度的智能识别和调度规范化提供技术支持和保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2、圩区预报调度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基于水利一张图，根据圩内水位、排涝流量、控制水位、受淹水位、堤顶高程、调度方案等资料，利用水文学模型，开展圩区纳雨能力、未来24小时最高水位、推荐调度等信息预测。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3、调度执行监视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水利工程调度场景，设定活水调度、防洪调度两种调度模式，根据两种模式，制定调水方案，系统自动设定的调度模式及调度方案，开展调度专题监视，实时监控工程运行是否符合调度规则，通过统一平台实现梁溪区河湖圩工程联合执行调度方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4、汛期智能预警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利用梁溪区水利局现有的软硬件环境基础，构建监测信息预警提醒和洪涝灾害防御宣传信息发布功能。</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3.5.3.3闸泵站运行管理系统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1、工程总览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工程总览主要展示内容包括：展示调令信息、工程运行信息、实测水位与预报、今日值班、各类检查统计信息等信息，实现闸泵站运行管理信息汇总。</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2、监测信息</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利用现有梁溪区防汛决策指挥支持系统已建成果，集成新建水位、雨量、视频、闸门、泵站的监测信息一张图展示功能，实现工程情况的实时监视和历史数据查询等服务。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3、调度管理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根据接收到的工程运行调度指令，按照相关规定自动提供可供选择的调度方案，并能够记录、跟踪调度指令的流转和执行过程。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4、基础信息</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实现基于电子地图，展示和查询基础信息，主要包括：工程信息、行政区划信息、泵站信息、闸门信息等。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5、运行管理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对工程运行和调度情况进行管理，通过对设备运行信息及相关台账记录进行统一收集管理，自动生成图表。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6、安全管理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结合移动巡查系统，实现巡查检查表的自动填写、在线审核及生成检查报告，并结合隐患异常处理，对巡查检查时发现的隐患问题进行管理，实现闭环。</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7、维修养护</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以预算管理为控制手段，全过程管控设备日常维护和检修工作，提高设备检修资金利用率；对每年的所有工程的维修、养护项目进行管理，方便进行查询统计，主要包括：年度维修养护计划、维修养护资金、维养项目、设备</w:t>
      </w:r>
      <w:r>
        <w:rPr>
          <w:rFonts w:hint="eastAsia" w:ascii="宋体" w:hAnsi="宋体" w:cs="宋体"/>
          <w:color w:val="auto"/>
          <w:szCs w:val="21"/>
          <w:highlight w:val="none"/>
          <w:lang w:val="en-US" w:eastAsia="zh-CN"/>
        </w:rPr>
        <w:t xml:space="preserve">管理</w:t>
      </w:r>
      <w:r>
        <w:rPr>
          <w:rFonts w:hint="eastAsia" w:ascii="宋体" w:hAnsi="宋体" w:eastAsia="宋体" w:cs="宋体"/>
          <w:color w:val="auto"/>
          <w:szCs w:val="21"/>
          <w:highlight w:val="none"/>
          <w:lang w:val="en-US" w:eastAsia="zh-CN"/>
        </w:rPr>
        <w:t xml:space="preserve">等模块。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8、档案管理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档案管理包含水利工程技术档案管理和年度数据整编文档管理。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9、统计分析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基于现有梁溪区防汛决策指挥支持系统已建成果，开展雨情报表、水情报表、工情报表、内参简报功能补充完善。</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10、大数据分析应用</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利用大数据分析技术，提供闸泵站</w:t>
      </w:r>
      <w:r>
        <w:rPr>
          <w:rFonts w:hint="eastAsia" w:ascii="宋体" w:hAnsi="宋体" w:eastAsia="宋体" w:cs="宋体"/>
          <w:color w:val="auto"/>
          <w:szCs w:val="21"/>
          <w:highlight w:val="none"/>
          <w:lang w:val="en-US" w:eastAsia="zh-Hans"/>
        </w:rPr>
        <w:t xml:space="preserve">运行状态波动</w:t>
      </w:r>
      <w:r>
        <w:rPr>
          <w:rFonts w:hint="eastAsia" w:ascii="宋体" w:hAnsi="宋体" w:eastAsia="宋体" w:cs="宋体"/>
          <w:color w:val="auto"/>
          <w:szCs w:val="21"/>
          <w:highlight w:val="none"/>
          <w:lang w:val="en-US" w:eastAsia="zh-CN"/>
        </w:rPr>
        <w:t xml:space="preserve">、闸泵站</w:t>
      </w:r>
      <w:r>
        <w:rPr>
          <w:rFonts w:hint="eastAsia" w:ascii="宋体" w:hAnsi="宋体" w:eastAsia="宋体" w:cs="宋体"/>
          <w:color w:val="auto"/>
          <w:szCs w:val="21"/>
          <w:highlight w:val="none"/>
          <w:lang w:val="en-US" w:eastAsia="zh-Hans"/>
        </w:rPr>
        <w:t xml:space="preserve">异常模糊诊断</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Hans"/>
        </w:rPr>
        <w:t xml:space="preserve">运行状况数据简报</w:t>
      </w:r>
      <w:r>
        <w:rPr>
          <w:rFonts w:hint="eastAsia" w:ascii="宋体" w:hAnsi="宋体" w:eastAsia="宋体" w:cs="宋体"/>
          <w:color w:val="auto"/>
          <w:szCs w:val="21"/>
          <w:highlight w:val="none"/>
          <w:lang w:val="en-US" w:eastAsia="zh-CN"/>
        </w:rPr>
        <w:t xml:space="preserve">功能服务。</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3.5.3.4工程安全管理系统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1、注册登记</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实现水利工程注册登记资料的管理，包括注册登记（备案）材料、注册登记时间等。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2、安全鉴定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实现水利工程安全鉴定材料的管理，包括安全鉴定次数、最近一次安全鉴定时间、审定单位、最近一次安全鉴定结论、安全评价报告、安全鉴定报告书等。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3、应急管理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应急管理主要包括：应急预案、防汛物资、险情管理、备用电源、消防器材、应急演练等模块。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4、除险加固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实现水利工程除险加固（整治计划）信息的管理，包括对水利工程除险加固（整治计划）信息的增加、删除、修改、导入、导出、查询功能。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5、制度规程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提供各种制度、规程、办法的管理，方便办公人员随时查看、了解相关的制度。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6、隐患治理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提供隐患治理管理平台，可以进行隐患登记上报、提出隐患消除方案、记录隐患整改结果等。根据整改结果进行统计，形成月统计表和年统计表。</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3.5.3.5后台管理系统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基于梁溪区防汛决策支撑系统，开展本次项目后台模块补充建设，实现系统用户统一管理、防汛基础数据统一维护、系统日志统一存储分析。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1、用户权限管理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利用现有的用户权限管理模块，根据本次项目需要补充</w:t>
      </w:r>
      <w:r>
        <w:rPr>
          <w:rFonts w:hint="eastAsia" w:ascii="宋体" w:hAnsi="宋体" w:cs="宋体"/>
          <w:color w:val="auto"/>
          <w:szCs w:val="21"/>
          <w:highlight w:val="none"/>
          <w:lang w:val="en-US" w:eastAsia="zh-CN"/>
        </w:rPr>
        <w:t xml:space="preserve">个人信息保护</w:t>
      </w:r>
      <w:r>
        <w:rPr>
          <w:rFonts w:hint="eastAsia" w:ascii="宋体" w:hAnsi="宋体" w:eastAsia="宋体" w:cs="宋体"/>
          <w:color w:val="auto"/>
          <w:szCs w:val="21"/>
          <w:highlight w:val="none"/>
          <w:lang w:val="en-US" w:eastAsia="zh-CN"/>
        </w:rPr>
        <w:t xml:space="preserve">、组织机构管理、用户管理、角色管理等信息，开展系统权限管理。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2、基础数据维护</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根据权限开放，维护水利工程的基本信息情况。</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3、操作日志管理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集中规范管理各个运行岗位的值班记录，实现各岗位运行交接班管理及相关日志（班长日志等）记录、统计、分析、查询等功能。</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3.5.3.6移动应用系统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基于现有梁溪区防汛决策支撑系统，根据需求开展功能补充完善。</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1、视频监控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对视频现有系统进行全面更新，根据项目实际需求，对已有的视频模块进行重建开发建设。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2、数据集成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接入本项目新建数据资源，通过移动</w:t>
      </w:r>
      <w:r>
        <w:rPr>
          <w:rFonts w:hint="eastAsia" w:ascii="宋体" w:hAnsi="宋体" w:cs="宋体"/>
          <w:color w:val="auto"/>
          <w:szCs w:val="21"/>
          <w:highlight w:val="none"/>
          <w:lang w:val="en-US" w:eastAsia="zh-CN"/>
        </w:rPr>
        <w:t xml:space="preserve">竣工情况</w:t>
      </w:r>
      <w:r>
        <w:rPr>
          <w:rFonts w:hint="eastAsia" w:ascii="宋体" w:hAnsi="宋体" w:eastAsia="宋体" w:cs="宋体"/>
          <w:color w:val="auto"/>
          <w:szCs w:val="21"/>
          <w:highlight w:val="none"/>
          <w:lang w:val="en-US" w:eastAsia="zh-CN"/>
        </w:rPr>
        <w:t xml:space="preserve">、水情、工情调整报告等模块，进行数据集成展示。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3、移动巡查</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提供移动端巡查位置信息上报、巡查信息上报、隐患处置上报等功能。</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3.5.4</w:t>
      </w:r>
      <w:r>
        <w:rPr>
          <w:rFonts w:hint="eastAsia" w:ascii="宋体" w:hAnsi="宋体" w:eastAsia="宋体" w:cs="宋体"/>
          <w:b/>
          <w:color w:val="auto"/>
          <w:szCs w:val="21"/>
          <w:highlight w:val="none"/>
        </w:rPr>
        <w:t xml:space="preserve">防汛决策指挥支持系统</w:t>
      </w:r>
      <w:r>
        <w:rPr>
          <w:rFonts w:hint="eastAsia" w:ascii="宋体" w:hAnsi="宋体" w:eastAsia="宋体" w:cs="宋体"/>
          <w:b/>
          <w:color w:val="auto"/>
          <w:szCs w:val="21"/>
          <w:highlight w:val="none"/>
          <w:lang w:val="en-US" w:eastAsia="zh-CN"/>
        </w:rPr>
        <w:t xml:space="preserve">国产化改造迁移</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根据信息系统统一运维管理和网络安全需求，将现有防汛决策指挥支持系统相关软件迁移至政务云环境；对现有系统进行迁移和国产化适配改造。</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3.5.4.1国产化适配改造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对现有数据库、数据采集、数据交换、防汛决策指挥支持系统及移动app后台服务进行国产适配改造，主要包括：现有数据中心、水利综合业务应用平台、移动信息服务平台</w:t>
      </w:r>
      <w:r>
        <w:rPr>
          <w:rFonts w:hint="eastAsia" w:ascii="宋体" w:hAnsi="宋体" w:cs="宋体"/>
          <w:color w:val="auto"/>
          <w:szCs w:val="21"/>
          <w:highlight w:val="none"/>
          <w:lang w:val="en-US" w:eastAsia="zh-CN"/>
        </w:rPr>
        <w:t xml:space="preserve">、城</w:t>
      </w:r>
      <w:r>
        <w:rPr>
          <w:rFonts w:hint="eastAsia" w:ascii="宋体" w:hAnsi="宋体" w:eastAsia="宋体" w:cs="宋体"/>
          <w:color w:val="auto"/>
          <w:szCs w:val="21"/>
          <w:highlight w:val="none"/>
          <w:lang w:val="en-US" w:eastAsia="zh-CN"/>
        </w:rPr>
        <w:t xml:space="preserve">市防汛专题模块、软硬件改造以及系统集成。</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outlineLvl w:val="3"/>
      </w:pPr>
      <w:r>
        <w:rPr>
          <w:rFonts w:hint="eastAsia" w:ascii="宋体" w:hAnsi="宋体" w:eastAsia="宋体" w:cs="宋体"/>
          <w:b/>
          <w:color w:val="auto"/>
          <w:szCs w:val="21"/>
          <w:highlight w:val="none"/>
          <w:lang w:val="en-US" w:eastAsia="zh-CN"/>
        </w:rPr>
        <w:t xml:space="preserve">3.5.4.2系统迁移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将防汛决策指挥系统进行迁移，融合至国产化适配改造中，主要包括：数据库迁移、迁移部署地图服务、中间件迁移、平台部署、移动应用部署、软件迁移修改完善。</w:t>
      </w:r>
      <w:r/>
    </w:p>
    <w:p>
      <w:pPr>
        <w:ind w:firstLine="422"/>
        <w:spacing w:line="360" w:lineRule="auto"/>
        <w:rPr>
          <w:rFonts w:hint="default" w:ascii="宋体" w:hAnsi="宋体" w:eastAsia="宋体" w:cs="宋体"/>
          <w:b/>
          <w:color w:val="auto"/>
          <w:szCs w:val="21"/>
          <w:highlight w:val="none"/>
          <w:lang w:val="en-US" w:eastAsia="zh-CN"/>
        </w:rPr>
        <w:outlineLvl w:val="1"/>
      </w:pPr>
      <w:r>
        <w:rPr>
          <w:rFonts w:hint="eastAsia" w:ascii="宋体" w:hAnsi="宋体" w:eastAsia="宋体" w:cs="宋体"/>
          <w:b/>
          <w:color w:val="auto"/>
          <w:szCs w:val="21"/>
          <w:highlight w:val="none"/>
          <w:lang w:val="en-US" w:eastAsia="zh-CN"/>
        </w:rPr>
        <w:t xml:space="preserve">3.6云资源及专线租赁</w:t>
      </w:r>
      <w:r>
        <w:rPr>
          <w:rFonts w:hint="eastAsia" w:ascii="宋体" w:hAnsi="宋体" w:eastAsia="宋体" w:cs="宋体"/>
          <w:b/>
          <w:color w:val="auto"/>
          <w:szCs w:val="21"/>
          <w:highlight w:val="none"/>
        </w:rPr>
        <w:t xml:space="preserve">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本项目需构建3套网络，分别为视频监控网、4</w:t>
      </w:r>
      <w:r>
        <w:rPr>
          <w:rFonts w:ascii="宋体" w:hAnsi="宋体" w:cs="宋体"/>
          <w:color w:val="auto"/>
          <w:szCs w:val="21"/>
          <w:highlight w:val="none"/>
        </w:rPr>
        <w:t xml:space="preserve">G</w:t>
      </w:r>
      <w:r>
        <w:rPr>
          <w:rFonts w:hint="eastAsia" w:ascii="宋体" w:hAnsi="宋体" w:cs="宋体"/>
          <w:color w:val="auto"/>
          <w:szCs w:val="21"/>
          <w:highlight w:val="none"/>
        </w:rPr>
        <w:t xml:space="preserve">物联水工情采集网、工程远程控制网。其中，工程远程控制网为本项目新建，视频监控网、4</w:t>
      </w:r>
      <w:r>
        <w:rPr>
          <w:rFonts w:ascii="宋体" w:hAnsi="宋体" w:cs="宋体"/>
          <w:color w:val="auto"/>
          <w:szCs w:val="21"/>
          <w:highlight w:val="none"/>
        </w:rPr>
        <w:t xml:space="preserve">G</w:t>
      </w:r>
      <w:r>
        <w:rPr>
          <w:rFonts w:hint="eastAsia" w:ascii="宋体" w:hAnsi="宋体" w:cs="宋体"/>
          <w:color w:val="auto"/>
          <w:szCs w:val="21"/>
          <w:highlight w:val="none"/>
        </w:rPr>
        <w:t xml:space="preserve">物联水工情采集网在现有基础上进行升级改造。</w:t>
      </w:r>
      <w:r>
        <w:rPr>
          <w:rFonts w:hint="eastAsia" w:ascii="宋体" w:hAnsi="宋体" w:cs="宋体"/>
          <w:color w:val="auto"/>
          <w:szCs w:val="21"/>
          <w:highlight w:val="none"/>
          <w:lang w:val="en-US" w:eastAsia="zh-CN"/>
        </w:rPr>
        <w:t xml:space="preserve">同时，应用支撑平台及应用系统部署在政务云上。</w:t>
      </w:r>
      <w:r>
        <w:rPr>
          <w:rFonts w:hint="eastAsia" w:ascii="宋体" w:hAnsi="宋体" w:cs="宋体"/>
          <w:color w:val="auto"/>
          <w:szCs w:val="21"/>
          <w:highlight w:val="none"/>
        </w:rPr>
        <w:t xml:space="preserve">为建设以上网络体系</w:t>
      </w:r>
      <w:r>
        <w:rPr>
          <w:rFonts w:hint="eastAsia" w:ascii="宋体" w:hAnsi="宋体" w:cs="宋体"/>
          <w:color w:val="auto"/>
          <w:szCs w:val="21"/>
          <w:highlight w:val="none"/>
          <w:lang w:val="en-US" w:eastAsia="zh-CN"/>
        </w:rPr>
        <w:t xml:space="preserve">并保证系统安全运行</w:t>
      </w:r>
      <w:r>
        <w:rPr>
          <w:rFonts w:hint="eastAsia" w:ascii="宋体" w:hAnsi="宋体" w:cs="宋体"/>
          <w:color w:val="auto"/>
          <w:szCs w:val="21"/>
          <w:highlight w:val="none"/>
        </w:rPr>
        <w:t xml:space="preserve">，以租赁方式采购服务器云资源、通信网络资源、</w:t>
      </w:r>
      <w:r>
        <w:rPr>
          <w:rFonts w:hint="eastAsia" w:ascii="宋体" w:hAnsi="宋体" w:cs="宋体"/>
          <w:color w:val="auto"/>
          <w:szCs w:val="21"/>
          <w:highlight w:val="none"/>
          <w:lang w:val="en-US" w:eastAsia="zh-CN"/>
        </w:rPr>
        <w:t xml:space="preserve">物联网卡</w:t>
      </w:r>
      <w:r>
        <w:rPr>
          <w:rFonts w:hint="eastAsia" w:ascii="宋体" w:hAnsi="宋体" w:cs="宋体"/>
          <w:color w:val="auto"/>
          <w:szCs w:val="21"/>
          <w:highlight w:val="none"/>
        </w:rPr>
        <w:t xml:space="preserve">等服务，在保障信息数据安全的同时，降低后期维护成本，避免重复建设，实现集约化管理。</w:t>
      </w:r>
      <w:r>
        <w:rPr>
          <w:rFonts w:hint="eastAsia" w:ascii="宋体" w:hAnsi="宋体" w:eastAsia="宋体" w:cs="宋体"/>
          <w:color w:val="auto"/>
          <w:szCs w:val="21"/>
          <w:highlight w:val="none"/>
          <w:lang w:val="en-US" w:eastAsia="zh-CN"/>
        </w:rPr>
        <w:t xml:space="preserve">采购清单如下。</w:t>
      </w:r>
      <w:r/>
    </w:p>
    <w:tbl>
      <w:tblPr>
        <w:tblStyle w:val="7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832"/>
        <w:gridCol w:w="3399"/>
        <w:gridCol w:w="699"/>
        <w:gridCol w:w="970"/>
        <w:gridCol w:w="978"/>
      </w:tblGrid>
      <w:tr>
        <w:trPr/>
        <w:tc>
          <w:tcPr>
            <w:shd w:val="clear" w:color="auto" w:fill="d8d8d8"/>
            <w:tcW w:w="376"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8d8d8"/>
            <w:tcW w:w="1075"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设备（软件）名称</w:t>
            </w:r>
            <w:r/>
          </w:p>
        </w:tc>
        <w:tc>
          <w:tcPr>
            <w:shd w:val="clear" w:color="auto" w:fill="d8d8d8"/>
            <w:tcW w:w="1994"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参数要求</w:t>
            </w:r>
            <w:r/>
          </w:p>
        </w:tc>
        <w:tc>
          <w:tcPr>
            <w:shd w:val="clear" w:color="auto" w:fill="d8d8d8"/>
            <w:tcW w:w="410"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shd w:val="clear" w:color="auto" w:fill="d8d8d8"/>
            <w:tcW w:w="569"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租期/年</w:t>
            </w:r>
            <w:r/>
          </w:p>
        </w:tc>
        <w:tc>
          <w:tcPr>
            <w:shd w:val="clear" w:color="auto" w:fill="d8d8d8"/>
            <w:tcW w:w="574" w:type="pct"/>
            <w:vAlign w:val="center"/>
            <w:textDirection w:val="lrTb"/>
            <w:noWrap w:val="false"/>
          </w:tcPr>
          <w:p>
            <w:pPr>
              <w:jc w:val="left"/>
              <w:spacing w:after="0"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单位</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应用服务器</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部署政务云主机参数：16vCPU，32G内存：系统盘 100G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高IO</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，硬盘 500G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高IO</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年/台</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数据服务器</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部署政务云主机参数：16vCPU，32G内存：系统盘 100G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高IO</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，硬盘1TB</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高IO</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年/台</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云备份容灾服务</w:t>
            </w:r>
            <w:r/>
          </w:p>
        </w:tc>
        <w:tc>
          <w:tcPr>
            <w:tcW w:w="1994" w:type="pct"/>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2TB云存储，为防止数据库误操作、关键文件误删除等操作导致业务系统崩溃，需提供业务数据备份服务</w:t>
            </w:r>
            <w:r>
              <w:rPr>
                <w:rFonts w:hint="eastAsia" w:ascii="宋体" w:hAnsi="宋体" w:cs="宋体"/>
                <w:color w:val="auto"/>
                <w:sz w:val="21"/>
                <w:szCs w:val="21"/>
                <w:highlight w:val="none"/>
                <w:lang w:val="en-US"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支持Oracle、SQL Server、MySQL等常见数据库，虚拟机镜像，操作系统等对象的定时备份，支持用户自定义备份频率及副本数。</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云防火墙</w:t>
            </w:r>
            <w:r/>
          </w:p>
        </w:tc>
        <w:tc>
          <w:tcPr>
            <w:tcW w:w="1994" w:type="pct"/>
            <w:vAlign w:val="center"/>
            <w:textDirection w:val="lrTb"/>
            <w:noWrap w:val="false"/>
          </w:tcPr>
          <w:p>
            <w:pPr>
              <w:numPr>
                <w:ilvl w:val="0"/>
                <w:numId w:val="0"/>
              </w:num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可有效满足虚拟化云环境在云边界的安全域隔离、访问控制、威胁防护、失陷检测、IPS功能和安全管理等需求，同时通过可视化风险报表和自助化安全运维服务，帮助用户有效缓解安全风险</w:t>
            </w:r>
            <w:r>
              <w:rPr>
                <w:rFonts w:hint="eastAsia" w:ascii="宋体" w:hAnsi="宋体" w:cs="宋体"/>
                <w:color w:val="auto"/>
                <w:sz w:val="21"/>
                <w:szCs w:val="21"/>
                <w:highlight w:val="none"/>
                <w:lang w:val="en-US" w:eastAsia="zh-CN"/>
              </w:rPr>
              <w:t xml:space="preserve">；</w:t>
            </w:r>
            <w:r/>
          </w:p>
          <w:p>
            <w:pPr>
              <w:numPr>
                <w:ilvl w:val="0"/>
                <w:numId w:val="0"/>
              </w:num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网络吞吐：1000Mbps，最大并发连接数：50000，最大新建连接数：1000</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云日志审计</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日志审计服务</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云主机安全</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3台政务云主机安全旗舰版防护</w:t>
            </w:r>
            <w:r>
              <w:rPr>
                <w:rFonts w:hint="eastAsia" w:ascii="宋体" w:hAnsi="宋体" w:cs="宋体"/>
                <w:color w:val="auto"/>
                <w:sz w:val="21"/>
                <w:szCs w:val="21"/>
                <w:highlight w:val="none"/>
                <w:lang w:val="en-US" w:eastAsia="zh-CN"/>
              </w:rPr>
              <w:t xml:space="preserve">。</w:t>
            </w:r>
            <w:r/>
          </w:p>
        </w:tc>
        <w:tc>
          <w:tcPr>
            <w:shd w:val="clear" w:color="auto" w:fill="auto"/>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p>
        </w:tc>
        <w:tc>
          <w:tcPr>
            <w:shd w:val="clear" w:color="auto" w:fill="auto"/>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云防护</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WAF</w:t>
            </w:r>
            <w:r>
              <w:rPr>
                <w:rFonts w:hint="eastAsia" w:ascii="宋体" w:hAnsi="宋体" w:cs="宋体"/>
                <w:color w:val="auto"/>
                <w:sz w:val="21"/>
                <w:szCs w:val="21"/>
                <w:highlight w:val="none"/>
                <w:lang w:val="en-US" w:eastAsia="zh-CN"/>
              </w:rPr>
              <w:t xml:space="preserve">）</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Web应用防火墙</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WAF</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是新一代专业的Web应用安全防护产品，在Web资产自发现、漏洞评估、流量学习、威胁定位等方面全面应用智能分析和机器学习技术，帮助用户轻松应对应用层风险，确保网站全天候的安全运营</w:t>
            </w:r>
            <w:r>
              <w:rPr>
                <w:rFonts w:hint="eastAsia" w:ascii="宋体" w:hAnsi="宋体" w:cs="宋体"/>
                <w:color w:val="auto"/>
                <w:sz w:val="21"/>
                <w:szCs w:val="21"/>
                <w:highlight w:val="none"/>
                <w:lang w:val="en-US" w:eastAsia="zh-CN"/>
              </w:rPr>
              <w:t xml:space="preserve">。</w:t>
            </w:r>
            <w:r/>
          </w:p>
        </w:tc>
        <w:tc>
          <w:tcPr>
            <w:shd w:val="clear" w:color="auto" w:fill="auto"/>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云堡垒机</w:t>
            </w:r>
            <w:r/>
          </w:p>
        </w:tc>
        <w:tc>
          <w:tcPr>
            <w:tcW w:w="1994" w:type="pct"/>
            <w:vAlign w:val="center"/>
            <w:textDirection w:val="lrTb"/>
            <w:noWrap w:val="false"/>
          </w:tcPr>
          <w:p>
            <w:pPr>
              <w:numPr>
                <w:ilvl w:val="0"/>
                <w:numId w:val="0"/>
              </w:num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对访问账号集中管理；</w:t>
            </w:r>
            <w:r/>
          </w:p>
          <w:p>
            <w:pPr>
              <w:numPr>
                <w:ilvl w:val="0"/>
                <w:numId w:val="0"/>
              </w:num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精细的权限规划和运维审计；</w:t>
            </w:r>
            <w:r/>
          </w:p>
          <w:p>
            <w:pPr>
              <w:numPr>
                <w:ilvl w:val="0"/>
                <w:numId w:val="0"/>
              </w:num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3.提升企业的内部运维风险控制水平。</w:t>
            </w:r>
            <w:r/>
          </w:p>
        </w:tc>
        <w:tc>
          <w:tcPr>
            <w:shd w:val="clear" w:color="auto" w:fill="auto"/>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控制专线</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10M专线（VPN）</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视频传输专线</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20M专线</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项/年</w:t>
            </w:r>
            <w:r/>
          </w:p>
        </w:tc>
      </w:tr>
      <w:tr>
        <w:trPr/>
        <w:tc>
          <w:tcPr>
            <w:tcW w:w="376"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075"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物联网卡</w:t>
            </w:r>
            <w:r/>
          </w:p>
        </w:tc>
        <w:tc>
          <w:tcPr>
            <w:tcW w:w="199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30G/年</w:t>
            </w:r>
            <w:r>
              <w:rPr>
                <w:rFonts w:hint="eastAsia" w:ascii="宋体" w:hAnsi="宋体" w:cs="宋体"/>
                <w:color w:val="auto"/>
                <w:sz w:val="21"/>
                <w:szCs w:val="21"/>
                <w:highlight w:val="none"/>
                <w:lang w:val="en-US" w:eastAsia="zh-CN"/>
              </w:rPr>
              <w:t xml:space="preserve">。</w:t>
            </w:r>
            <w:r/>
          </w:p>
        </w:tc>
        <w:tc>
          <w:tcPr>
            <w:tcW w:w="410"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569" w:type="pct"/>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74" w:type="pct"/>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项/年</w:t>
            </w:r>
            <w:r/>
          </w:p>
        </w:tc>
      </w:tr>
    </w:tbl>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lang w:val="en-US" w:eastAsia="zh-CN"/>
        </w:rPr>
        <w:t xml:space="preserve">项目实施</w:t>
      </w:r>
      <w:r>
        <w:rPr>
          <w:rFonts w:hint="eastAsia" w:ascii="宋体" w:hAnsi="宋体" w:eastAsia="宋体" w:cs="宋体"/>
          <w:b/>
          <w:bCs/>
          <w:color w:val="auto"/>
          <w:szCs w:val="21"/>
          <w:highlight w:val="none"/>
        </w:rPr>
        <w:t xml:space="preserve">要求</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w:t>
      </w:r>
      <w:r>
        <w:rPr>
          <w:rFonts w:hint="eastAsia" w:ascii="宋体" w:hAnsi="宋体" w:eastAsia="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组织管理要求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中标供应商应根据要求在本项目建设周期内提供一支由项目经理带领的经验丰富、开发和实施能力强的项目团队，并确保项目建设周期内项目团队的稳定性</w:t>
      </w:r>
      <w:r>
        <w:rPr>
          <w:rFonts w:hint="eastAsia" w:ascii="宋体" w:hAnsi="宋体" w:cs="宋体"/>
          <w:color w:val="auto"/>
          <w:szCs w:val="21"/>
          <w:highlight w:val="none"/>
          <w:lang w:val="en-US" w:eastAsia="zh-CN"/>
        </w:rPr>
        <w:t xml:space="preserve">，在</w:t>
      </w:r>
      <w:r>
        <w:rPr>
          <w:rFonts w:hint="eastAsia" w:ascii="宋体" w:hAnsi="宋体" w:eastAsia="宋体" w:cs="宋体"/>
          <w:color w:val="auto"/>
          <w:szCs w:val="21"/>
          <w:highlight w:val="none"/>
          <w:lang w:val="en-US" w:eastAsia="zh-CN"/>
        </w:rPr>
        <w:t xml:space="preserve">项目团队成员变更时，须事先征得项目采购单位的同意后，方可进行变更。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须严格按照项目采购单位需求</w:t>
      </w:r>
      <w:r>
        <w:rPr>
          <w:rFonts w:hint="eastAsia" w:ascii="宋体" w:hAnsi="宋体" w:eastAsia="宋体" w:cs="宋体"/>
          <w:color w:val="auto"/>
          <w:szCs w:val="21"/>
          <w:highlight w:val="none"/>
          <w:lang w:val="en-US" w:eastAsia="zh-CN"/>
        </w:rPr>
        <w:t xml:space="preserve">组织项目实施</w:t>
      </w:r>
      <w:r>
        <w:rPr>
          <w:rFonts w:hint="eastAsia" w:ascii="宋体" w:hAnsi="宋体" w:eastAsia="宋体" w:cs="宋体"/>
          <w:color w:val="auto"/>
          <w:szCs w:val="21"/>
          <w:highlight w:val="none"/>
        </w:rPr>
        <w:t xml:space="preserve">，项目采购单位有关技术人员、最终用户全程参与项目实施过程，配合项目具体实施工作。项目建设过程中，中标单位根据项目进展情况与项目采购单位定期举行项目阶段会议，分析项目进度完成情况、遇到的问题以及需要协调解决的相关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中标供应商须配置相应的</w:t>
      </w:r>
      <w:r>
        <w:rPr>
          <w:rFonts w:hint="eastAsia" w:ascii="宋体" w:hAnsi="宋体" w:eastAsia="宋体" w:cs="宋体"/>
          <w:color w:val="auto"/>
          <w:szCs w:val="21"/>
          <w:highlight w:val="none"/>
        </w:rPr>
        <w:t xml:space="preserve">项目管理、系统分析、设计、开发、测试、集成、培训、质量保证等人员，在项目组织中应明确各岗位的职责，确保项目顺利实施。</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中标供应商应在合同签署后，应根据</w:t>
      </w:r>
      <w:r>
        <w:rPr>
          <w:rFonts w:hint="eastAsia" w:ascii="宋体" w:hAnsi="宋体" w:eastAsia="宋体" w:cs="宋体"/>
          <w:color w:val="auto"/>
          <w:szCs w:val="21"/>
          <w:highlight w:val="none"/>
        </w:rPr>
        <w:t xml:space="preserve">项目建设的具体内容和整体工期要求，向</w:t>
      </w:r>
      <w:r>
        <w:rPr>
          <w:rFonts w:hint="eastAsia" w:ascii="宋体" w:hAnsi="宋体" w:eastAsia="宋体" w:cs="宋体"/>
          <w:color w:val="auto"/>
          <w:szCs w:val="21"/>
          <w:highlight w:val="none"/>
          <w:lang w:val="en-US" w:eastAsia="zh-CN"/>
        </w:rPr>
        <w:t xml:space="preserve">项目采购单位</w:t>
      </w:r>
      <w:r>
        <w:rPr>
          <w:rFonts w:hint="eastAsia" w:ascii="宋体" w:hAnsi="宋体" w:eastAsia="宋体" w:cs="宋体"/>
          <w:color w:val="auto"/>
          <w:szCs w:val="21"/>
          <w:highlight w:val="none"/>
        </w:rPr>
        <w:t xml:space="preserve">提交切实可行的项目工作计划。</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项目采购单位可以针对中标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在项目实施过程中的失误发出项目整改通知单，中标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应在收到整改通知单2个工作日内向项目采购单位以书面方式提交整改计划，并在项目采购单位规定的期限内整改完毕，否则，项目采购单位可根据合同相关条款进行处罚。</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4.2质量保证要求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在项目实施期间需按照项目实施方案提供的整体设计规范报告进行项目实施开发管理，在实施期间如有需求或计划变更，应事先征得项目采购单位同意，方可实施变更。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在项目实施期间需按质量管理体系，对工程建设各阶段进行严格的质量监督与控制。在项目实施过程中要引入质量管理、文档管理等管理办法，加强问题跟踪管理，严格按照双方确定的计划进度保质保量完成工作。</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本项目所涉及产品必须是符合国家技术规范和质量标准的合格产品，</w:t>
      </w:r>
      <w:r>
        <w:rPr>
          <w:rFonts w:hint="eastAsia" w:ascii="宋体" w:hAnsi="宋体" w:cs="宋体"/>
          <w:color w:val="auto"/>
          <w:szCs w:val="21"/>
          <w:highlight w:val="none"/>
        </w:rPr>
        <w:t xml:space="preserve">所有设备、附（配）件应具备该类产品的功能要求，无瑕疵和缺陷，质量为全新合格产品，同时有明确的生产厂商或制造厂商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本项目所涉及产品能够</w:t>
      </w:r>
      <w:r>
        <w:rPr>
          <w:rFonts w:hint="eastAsia" w:ascii="宋体" w:hAnsi="宋体" w:eastAsia="宋体" w:cs="宋体"/>
          <w:color w:val="auto"/>
          <w:szCs w:val="21"/>
          <w:highlight w:val="none"/>
        </w:rPr>
        <w:t xml:space="preserve">满足</w:t>
      </w:r>
      <w:r>
        <w:rPr>
          <w:rFonts w:hint="eastAsia" w:ascii="宋体" w:hAnsi="宋体" w:eastAsia="宋体" w:cs="宋体"/>
          <w:color w:val="auto"/>
          <w:szCs w:val="21"/>
          <w:highlight w:val="none"/>
          <w:lang w:val="en-US" w:eastAsia="zh-CN"/>
        </w:rPr>
        <w:t xml:space="preserve">项目采购单位</w:t>
      </w:r>
      <w:r>
        <w:rPr>
          <w:rFonts w:hint="eastAsia" w:ascii="宋体" w:hAnsi="宋体" w:eastAsia="宋体" w:cs="宋体"/>
          <w:color w:val="auto"/>
          <w:szCs w:val="21"/>
          <w:highlight w:val="none"/>
        </w:rPr>
        <w:t xml:space="preserve">的使用需求，并具有可靠的售后服务体系，质量可靠、使用安全。</w:t>
      </w:r>
      <w:r>
        <w:rPr>
          <w:rFonts w:hint="eastAsia" w:ascii="宋体" w:hAnsi="宋体" w:eastAsia="宋体" w:cs="宋体"/>
          <w:color w:val="auto"/>
          <w:szCs w:val="21"/>
          <w:highlight w:val="none"/>
          <w:lang w:val="en-US" w:eastAsia="zh-CN"/>
        </w:rPr>
        <w:t xml:space="preserve">项目</w:t>
      </w:r>
      <w:r>
        <w:rPr>
          <w:rFonts w:hint="eastAsia" w:ascii="宋体" w:hAnsi="宋体" w:cs="宋体"/>
          <w:color w:val="auto"/>
          <w:szCs w:val="21"/>
          <w:highlight w:val="none"/>
        </w:rPr>
        <w:t xml:space="preserve">采购单位有权委托第三方对中标设备进行测试、检验</w:t>
      </w:r>
      <w:r>
        <w:rPr>
          <w:rFonts w:hint="eastAsia" w:ascii="宋体" w:hAnsi="宋体" w:cs="宋体"/>
          <w:color w:val="auto"/>
          <w:szCs w:val="21"/>
          <w:highlight w:val="none"/>
          <w:lang w:eastAsia="zh-CN"/>
        </w:rPr>
        <w:t xml:space="preserve">，以及</w:t>
      </w:r>
      <w:r>
        <w:rPr>
          <w:rFonts w:hint="eastAsia" w:ascii="宋体" w:hAnsi="宋体" w:cs="宋体"/>
          <w:color w:val="auto"/>
          <w:szCs w:val="21"/>
          <w:highlight w:val="none"/>
        </w:rPr>
        <w:t xml:space="preserve">对项目实施后验收的权利，在验收或使用过程中如发现不能满足招标文件中要求的性能指标或投标文件中</w:t>
      </w:r>
      <w:r>
        <w:rPr>
          <w:rFonts w:hint="eastAsia" w:ascii="宋体" w:hAnsi="宋体" w:cs="宋体"/>
          <w:color w:val="auto"/>
          <w:szCs w:val="21"/>
          <w:highlight w:val="none"/>
          <w:lang w:eastAsia="zh-CN"/>
        </w:rPr>
        <w:t xml:space="preserve">相应</w:t>
      </w:r>
      <w:r>
        <w:rPr>
          <w:rFonts w:hint="eastAsia" w:ascii="宋体" w:hAnsi="宋体" w:cs="宋体"/>
          <w:color w:val="auto"/>
          <w:szCs w:val="21"/>
          <w:highlight w:val="none"/>
        </w:rPr>
        <w:t xml:space="preserve">的性能指标，经第三方验证确实，采购单位有权要求中标单位无条件退货或更换，并依据合同进行相关处罚。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必须明确提供设备的品牌、型号、规格和外形、尺寸、安装、重量及一些必须说明的技术参数，以及使用的材料的清单，同时明确生产厂家、型号规格等，并提供详细的技术参数及性能说明书。</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在安装和系统</w:t>
      </w:r>
      <w:r>
        <w:rPr>
          <w:rFonts w:hint="eastAsia" w:ascii="宋体" w:hAnsi="宋体" w:cs="宋体"/>
          <w:color w:val="auto"/>
          <w:szCs w:val="21"/>
          <w:highlight w:val="none"/>
          <w:lang w:eastAsia="zh-CN"/>
        </w:rPr>
        <w:t xml:space="preserve">调试</w:t>
      </w:r>
      <w:r>
        <w:rPr>
          <w:rFonts w:hint="eastAsia" w:ascii="宋体" w:hAnsi="宋体" w:cs="宋体"/>
          <w:color w:val="auto"/>
          <w:szCs w:val="21"/>
          <w:highlight w:val="none"/>
        </w:rPr>
        <w:t xml:space="preserve">期间，</w:t>
      </w:r>
      <w:r>
        <w:rPr>
          <w:rFonts w:hint="eastAsia" w:ascii="宋体" w:hAnsi="宋体" w:cs="宋体"/>
          <w:color w:val="auto"/>
          <w:szCs w:val="21"/>
          <w:highlight w:val="none"/>
          <w:lang w:val="en-US" w:eastAsia="zh-CN"/>
        </w:rPr>
        <w:t xml:space="preserve">项目采购单位</w:t>
      </w:r>
      <w:r>
        <w:rPr>
          <w:rFonts w:hint="eastAsia" w:ascii="宋体" w:hAnsi="宋体" w:cs="宋体"/>
          <w:color w:val="auto"/>
          <w:szCs w:val="21"/>
          <w:highlight w:val="none"/>
        </w:rPr>
        <w:t xml:space="preserve">和监理单位有权派出技术人员参加，中标</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有义务提供技术咨询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并协助项目采购单位解决</w:t>
      </w:r>
      <w:r>
        <w:rPr>
          <w:rFonts w:hint="eastAsia" w:ascii="宋体" w:hAnsi="宋体" w:eastAsia="宋体" w:cs="宋体"/>
          <w:color w:val="auto"/>
          <w:szCs w:val="21"/>
          <w:highlight w:val="none"/>
        </w:rPr>
        <w:t xml:space="preserve">硬件设备和软件系统在使用过程中碰到的问题</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安全及保密要求</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系统建设必须遵循有关国家电子政务信息安全保障体系要求，按照国家法规实施安全等级保护，加强系统信息安全管理。</w:t>
      </w:r>
      <w:r>
        <w:rPr>
          <w:rFonts w:hint="eastAsia" w:ascii="宋体" w:hAnsi="宋体" w:eastAsia="宋体" w:cs="宋体"/>
          <w:b/>
          <w:bCs/>
          <w:color w:val="auto"/>
          <w:szCs w:val="21"/>
          <w:highlight w:val="none"/>
          <w:lang w:val="en-US" w:eastAsia="zh-CN"/>
        </w:rPr>
        <w:t xml:space="preserve">本项目中泵闸站联调联控平台须通过二级等保测评。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须有完善的、可行的系统安全方案，应包括</w:t>
      </w:r>
      <w:r>
        <w:rPr>
          <w:rFonts w:hint="eastAsia" w:ascii="宋体" w:hAnsi="宋体" w:eastAsia="宋体" w:cs="宋体"/>
          <w:color w:val="auto"/>
          <w:szCs w:val="21"/>
          <w:highlight w:val="none"/>
          <w:lang w:val="en-US" w:eastAsia="zh-CN"/>
        </w:rPr>
        <w:t xml:space="preserve">统一</w:t>
      </w:r>
      <w:r>
        <w:rPr>
          <w:rFonts w:hint="eastAsia" w:ascii="宋体" w:hAnsi="宋体" w:eastAsia="宋体" w:cs="宋体"/>
          <w:color w:val="auto"/>
          <w:szCs w:val="21"/>
          <w:highlight w:val="none"/>
        </w:rPr>
        <w:t xml:space="preserve">身份认证、文件加密、数据备份与恢复、防病毒、防入侵等功能。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视频会议系统</w:t>
      </w:r>
      <w:r>
        <w:rPr>
          <w:rFonts w:hint="eastAsia" w:ascii="宋体" w:hAnsi="宋体" w:eastAsia="宋体" w:cs="宋体"/>
          <w:color w:val="auto"/>
          <w:szCs w:val="21"/>
          <w:highlight w:val="none"/>
        </w:rPr>
        <w:t xml:space="preserve">必须按照《公共安全视频监控联网信息安全技术要求》，加强视频监控安全访问控制，防止恶意扩散和违规盗用等。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中标供应商在项目实施中须加强安全管理，所有因施工、租赁设备等导致的安全责任事故由中标供应商承担，且</w:t>
      </w:r>
      <w:r>
        <w:rPr>
          <w:rFonts w:hint="eastAsia" w:ascii="宋体" w:hAnsi="宋体" w:eastAsia="宋体" w:cs="宋体"/>
          <w:color w:val="auto"/>
          <w:szCs w:val="21"/>
          <w:highlight w:val="none"/>
          <w:lang w:val="en-US" w:eastAsia="zh-CN"/>
        </w:rPr>
        <w:t xml:space="preserve">项目采购单位</w:t>
      </w:r>
      <w:r>
        <w:rPr>
          <w:rFonts w:hint="eastAsia" w:ascii="宋体" w:hAnsi="宋体" w:eastAsia="宋体" w:cs="宋体"/>
          <w:color w:val="auto"/>
          <w:szCs w:val="21"/>
          <w:highlight w:val="none"/>
        </w:rPr>
        <w:t xml:space="preserve">有权对此追责。</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项目验收要求</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4.4.1到货查验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交货地点：无锡市梁溪区</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根据采购单位要求送达指定地点。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设备到货后，项目采购单位与中标供应商共同配合有关</w:t>
      </w:r>
      <w:r>
        <w:rPr>
          <w:rFonts w:hint="eastAsia" w:ascii="宋体" w:hAnsi="宋体" w:cs="宋体"/>
          <w:color w:val="auto"/>
          <w:szCs w:val="21"/>
          <w:highlight w:val="none"/>
          <w:lang w:val="en-US" w:eastAsia="zh-CN"/>
        </w:rPr>
        <w:t xml:space="preserve">部门</w:t>
      </w:r>
      <w:r>
        <w:rPr>
          <w:rFonts w:hint="eastAsia" w:ascii="宋体" w:hAnsi="宋体" w:eastAsia="宋体" w:cs="宋体"/>
          <w:color w:val="auto"/>
          <w:szCs w:val="21"/>
          <w:highlight w:val="none"/>
          <w:lang w:val="en-US" w:eastAsia="zh-CN"/>
        </w:rPr>
        <w:t xml:space="preserve">（如有）对所有设备进行开箱检查，出现损坏、数量不全或产品不符合采购技术要求等问题时，由中标供应商负责无条件更换。到货查验主要对到货货物的数量、外观、包装质量、技术资料等进行检查，不视为货物验收合格，最终验收合格以采购单位约定的合同完工验收合格为准。</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4.4.2项目验收组织机构</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项目采购单位负责组织验收小组，负责整体项目验收工作。中标供应商应组建由有关专业技术人员构成的测试小组，并在验收小组指导监督下开展工作。</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4.4.3验收相关标准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本项目中采购的硬件设备验收依次序对照适用标准为： </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符合中华人民共和国国家相关行业标准《GB/T20204水利水文自动化系统设备检验测试通用技术规范》。 </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lang w:val="en-US" w:eastAsia="zh-CN"/>
        </w:rPr>
        <w:t xml:space="preserve">符合采购文件和投标承诺中采购人认可的合理最佳配置、参数及各项要求。</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3、交付文档包括：到货设备的产品合格证书、技术资料等文档。</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上述标准必须是有关官方机构发布的最新版本的标准。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本项目中采购的定制化软件开发服务，项目整体验收标准及要求如下：</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项目最终验收：本项目所有软硬件设备安</w:t>
      </w:r>
      <w:r>
        <w:rPr>
          <w:rFonts w:hint="eastAsia" w:ascii="宋体" w:hAnsi="宋体" w:cs="宋体"/>
          <w:color w:val="auto"/>
          <w:szCs w:val="21"/>
          <w:highlight w:val="none"/>
          <w:lang w:val="en-US" w:eastAsia="zh-CN"/>
        </w:rPr>
        <w:t xml:space="preserve">装</w:t>
      </w:r>
      <w:r>
        <w:rPr>
          <w:rFonts w:hint="eastAsia" w:ascii="宋体" w:hAnsi="宋体" w:eastAsia="宋体" w:cs="宋体"/>
          <w:color w:val="auto"/>
          <w:szCs w:val="21"/>
          <w:highlight w:val="none"/>
          <w:lang w:val="en-US" w:eastAsia="zh-CN"/>
        </w:rPr>
        <w:t xml:space="preserve">调试完成，所有系统平台功能开发完成并上线试运行后，组织项目最终验收。</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lang w:val="en-US" w:eastAsia="zh-CN"/>
        </w:rPr>
        <w:t xml:space="preserve">交付文档包括：本项目产生的需求分析文档、设计文档、测试报告、用户手册等文档。</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3、如软件平台内容涉及与外部系统的接口开发，需要提供相关的接口定义与规范。</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4、如项目内容涉及采购第三方独立软件产品，需要提供有关产品说明书、安装手册、维护手册等技术资料。</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5、交付文档应以中文书写，在项目最终验收时装订成册交付采购单位。</w:t>
      </w:r>
      <w:r/>
    </w:p>
    <w:p>
      <w:pPr>
        <w:ind w:firstLine="422"/>
        <w:spacing w:line="360" w:lineRule="auto"/>
        <w:rPr>
          <w:rFonts w:hint="eastAsia" w:ascii="宋体" w:hAnsi="宋体" w:eastAsia="宋体" w:cs="宋体"/>
          <w:b/>
          <w:color w:val="auto"/>
          <w:szCs w:val="21"/>
          <w:highlight w:val="none"/>
          <w:lang w:val="en-US" w:eastAsia="zh-CN"/>
        </w:rPr>
        <w:outlineLvl w:val="2"/>
      </w:pPr>
      <w:r>
        <w:rPr>
          <w:rFonts w:hint="eastAsia" w:ascii="宋体" w:hAnsi="宋体" w:eastAsia="宋体" w:cs="宋体"/>
          <w:b/>
          <w:color w:val="auto"/>
          <w:szCs w:val="21"/>
          <w:highlight w:val="none"/>
          <w:lang w:val="en-US" w:eastAsia="zh-CN"/>
        </w:rPr>
        <w:t xml:space="preserve">4.4.4验收相关说明</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中标供应商须为验收提供必需的设备、工具及其他便利条件。 </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lang w:val="en-US" w:eastAsia="zh-CN"/>
        </w:rPr>
        <w:t xml:space="preserve">在</w:t>
      </w:r>
      <w:r>
        <w:rPr>
          <w:rFonts w:hint="eastAsia" w:ascii="宋体" w:hAnsi="宋体" w:cs="宋体"/>
          <w:color w:val="auto"/>
          <w:szCs w:val="21"/>
          <w:highlight w:val="none"/>
          <w:lang w:val="en-US" w:eastAsia="zh-CN"/>
        </w:rPr>
        <w:t xml:space="preserve">现场</w:t>
      </w:r>
      <w:r>
        <w:rPr>
          <w:rFonts w:hint="eastAsia" w:ascii="宋体" w:hAnsi="宋体" w:eastAsia="宋体" w:cs="宋体"/>
          <w:color w:val="auto"/>
          <w:szCs w:val="21"/>
          <w:highlight w:val="none"/>
          <w:lang w:val="en-US" w:eastAsia="zh-CN"/>
        </w:rPr>
        <w:t xml:space="preserve">查验过程中发现数量不足或有质量、技术等问题，中标供应商应负责按照项目采购单位的要求采取补足、更换或退货等措施妥善处理，并承担由此发生的一切费用和损失。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对于不合格的货物，中标供应商必须在项目采购单位规定时间内及时完成更换并重新对更换货物进行安装调试和试运行，在试运行期间，如果系统某些功能、性能、指标等达不到要求，中标供应商必须在项目采购单位规定时间内修改完善好，否则项目采购单位均有权拒收或终验不予通过。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4、中标供应商完成本项目所有货物及服务工作方可视为项目全部合格。</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知识产权要求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中标供应商保证其提供的产品中所有预装和为本项目安装的软件均为具有合法版权或使用权的正版软件且无质量瑕疵。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中标供应商保证</w:t>
      </w:r>
      <w:r>
        <w:rPr>
          <w:rFonts w:hint="eastAsia" w:ascii="宋体" w:hAnsi="宋体" w:eastAsia="宋体" w:cs="宋体"/>
          <w:color w:val="auto"/>
          <w:szCs w:val="21"/>
          <w:highlight w:val="none"/>
          <w:lang w:val="en-US" w:eastAsia="zh-CN"/>
        </w:rPr>
        <w:t xml:space="preserve">项目采购单位</w:t>
      </w:r>
      <w:r>
        <w:rPr>
          <w:rFonts w:hint="eastAsia" w:ascii="宋体" w:hAnsi="宋体" w:eastAsia="宋体" w:cs="宋体"/>
          <w:color w:val="auto"/>
          <w:szCs w:val="21"/>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中标供应商为本项目定制开发的软件</w:t>
      </w:r>
      <w:r>
        <w:rPr>
          <w:rFonts w:hint="eastAsia" w:ascii="宋体" w:hAnsi="宋体" w:eastAsia="宋体" w:cs="宋体"/>
          <w:color w:val="auto"/>
          <w:szCs w:val="21"/>
          <w:highlight w:val="none"/>
          <w:lang w:val="en-US" w:eastAsia="zh-CN"/>
        </w:rPr>
        <w:t xml:space="preserve">平台</w:t>
      </w:r>
      <w:r>
        <w:rPr>
          <w:rFonts w:hint="eastAsia" w:ascii="宋体" w:hAnsi="宋体" w:eastAsia="宋体" w:cs="宋体"/>
          <w:color w:val="auto"/>
          <w:szCs w:val="21"/>
          <w:highlight w:val="none"/>
        </w:rPr>
        <w:t xml:space="preserve">，与</w:t>
      </w:r>
      <w:r>
        <w:rPr>
          <w:rFonts w:hint="eastAsia" w:ascii="宋体" w:hAnsi="宋体" w:eastAsia="宋体" w:cs="宋体"/>
          <w:color w:val="auto"/>
          <w:szCs w:val="21"/>
          <w:highlight w:val="none"/>
          <w:lang w:val="en-US" w:eastAsia="zh-CN"/>
        </w:rPr>
        <w:t xml:space="preserve">项目采购单位</w:t>
      </w:r>
      <w:r>
        <w:rPr>
          <w:rFonts w:hint="eastAsia" w:ascii="宋体" w:hAnsi="宋体" w:eastAsia="宋体" w:cs="宋体"/>
          <w:color w:val="auto"/>
          <w:szCs w:val="21"/>
          <w:highlight w:val="none"/>
        </w:rPr>
        <w:t xml:space="preserve">共享知识产权。</w:t>
      </w:r>
      <w:r/>
    </w:p>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lang w:val="en-US" w:eastAsia="zh-CN"/>
        </w:rPr>
        <w:outlineLvl w:val="0"/>
      </w:pPr>
      <w:r>
        <w:rPr>
          <w:rFonts w:hint="eastAsia" w:ascii="宋体" w:hAnsi="宋体" w:eastAsia="宋体" w:cs="宋体"/>
          <w:b/>
          <w:bCs/>
          <w:color w:val="auto"/>
          <w:szCs w:val="21"/>
          <w:highlight w:val="none"/>
          <w:lang w:val="en-US" w:eastAsia="zh-CN"/>
        </w:rPr>
        <w:t xml:space="preserve">合同履行期限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本项目自合同签订之日起4个月内完成软硬件设备安装调试，完成应用支撑平台和应用系统开发、试运行，项目交付使用。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项目地点：无锡市梁溪区，所有软硬件设备交货地点和设备安装地点均为项目现场招标单位指定位置。</w:t>
      </w:r>
      <w:r/>
    </w:p>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lang w:val="en-US" w:eastAsia="zh-CN"/>
        </w:rPr>
        <w:outlineLvl w:val="0"/>
      </w:pPr>
      <w:r>
        <w:rPr>
          <w:rFonts w:hint="eastAsia" w:ascii="宋体" w:hAnsi="宋体" w:eastAsia="宋体" w:cs="宋体"/>
          <w:b/>
          <w:bCs/>
          <w:color w:val="auto"/>
          <w:szCs w:val="21"/>
          <w:highlight w:val="none"/>
          <w:lang w:val="en-US" w:eastAsia="zh-CN"/>
        </w:rPr>
        <w:t xml:space="preserve">项目培训要求</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须向项目采购单位提供免费培训，培训方式应包括理论培训和操作培训。中标供应商须在投标文件中提出全面、详细的培训计划，包括培训内容、培训时间、地点、培训方式等。如培训聘请第三方讲师，培训讲师费用由中标供应商负责。培训时间不少于5天。由于运维期内可能存在操作人员变更，中标供应商须在质保期内提供免费培训两次，每次不少于2天。</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设备培训应在设备安装前开始；控制操作培训和维修培训应在系统调试前开始，以便培训工作能够与安装、调试</w:t>
      </w:r>
      <w:r>
        <w:rPr>
          <w:rFonts w:hint="eastAsia" w:ascii="宋体" w:hAnsi="宋体" w:cs="宋体"/>
          <w:color w:val="auto"/>
          <w:szCs w:val="21"/>
          <w:highlight w:val="none"/>
          <w:lang w:val="en-US" w:eastAsia="zh-CN"/>
        </w:rPr>
        <w:t xml:space="preserve">，以及</w:t>
      </w:r>
      <w:r>
        <w:rPr>
          <w:rFonts w:hint="eastAsia" w:ascii="宋体" w:hAnsi="宋体" w:eastAsia="宋体" w:cs="宋体"/>
          <w:color w:val="auto"/>
          <w:szCs w:val="21"/>
          <w:highlight w:val="none"/>
          <w:lang w:val="en-US" w:eastAsia="zh-CN"/>
        </w:rPr>
        <w:t xml:space="preserve">验收等工作密切结合。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中标供应商派出的培训教员应具备技术教育专业背景且丰富的相同课程教学经验，所有的培训教员必须中文授课，中标供应商必须为所有被培训人员提供培训用文字资料和讲义等相关用品。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中标供应商应按采购方约定合理地安排培训时间。</w:t>
      </w:r>
      <w:r/>
    </w:p>
    <w:p>
      <w:pPr>
        <w:pStyle w:val="741"/>
        <w:numPr>
          <w:ilvl w:val="0"/>
          <w:numId w:val="1"/>
        </w:numPr>
        <w:keepLines/>
        <w:keepNext/>
        <w:pageBreakBefore w:val="0"/>
        <w:spacing w:before="157" w:line="360" w:lineRule="auto"/>
        <w:widowControl w:val="off"/>
        <w:rPr>
          <w:rFonts w:hint="eastAsia" w:ascii="宋体" w:hAnsi="宋体" w:eastAsia="宋体" w:cs="宋体"/>
          <w:b/>
          <w:bCs/>
          <w:color w:val="auto"/>
          <w:szCs w:val="21"/>
          <w:highlight w:val="none"/>
          <w:lang w:val="en-US" w:eastAsia="zh-CN"/>
        </w:rPr>
        <w:outlineLvl w:val="0"/>
      </w:pPr>
      <w:r>
        <w:rPr>
          <w:rFonts w:hint="eastAsia" w:ascii="宋体" w:hAnsi="宋体" w:eastAsia="宋体" w:cs="宋体"/>
          <w:b/>
          <w:bCs/>
          <w:color w:val="auto"/>
          <w:szCs w:val="21"/>
          <w:highlight w:val="none"/>
          <w:lang w:val="en-US" w:eastAsia="zh-CN"/>
        </w:rPr>
        <w:t xml:space="preserve">售后服务要求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次项目采购的主要硬件设备包括：网络智能球机、网络智能筒机、LCU泵站控制柜、LCU闸泵控制柜、视频会议MCU、一体式终端、会议显示屏，须提供自完工验收合格之日起不低于5年的免费质保和维护期。本项目采购的主要软件产品包括：国产数据库、组态软件，须提供自完工验收合格之日起不低于3年的免费质保和维护期。本项目采购的定制化软件开发服务，包括数据交换共享平台、应用支撑平台、闸泵站联调联控平台，须提供自完工验收合格之日起不低于3年的免费质保和维护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质保期内，如果设备发生故障（平台错误应无偿修正），中标供应商要调查故障原因并免费修复直至满足设备性能的要求，或者免费更换整机或部分有缺陷的组件和材料。如设备经过维修更换部件，则该部件质量保证期自维修后正常工作之日起开始。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在质保期内，应组建本地售后服务团队，协助项目采购单位解决硬件设备和软件系统在使用过程中碰到的问题，负责软件系</w:t>
      </w:r>
      <w:r>
        <w:rPr>
          <w:rFonts w:hint="eastAsia" w:ascii="宋体" w:hAnsi="宋体" w:cs="宋体"/>
          <w:color w:val="auto"/>
          <w:szCs w:val="21"/>
          <w:highlight w:val="none"/>
          <w:lang w:val="en-US" w:eastAsia="zh-CN"/>
        </w:rPr>
        <w:t xml:space="preserve">统的</w:t>
      </w:r>
      <w:r>
        <w:rPr>
          <w:rFonts w:hint="eastAsia" w:ascii="宋体" w:hAnsi="宋体" w:eastAsia="宋体" w:cs="宋体"/>
          <w:color w:val="auto"/>
          <w:szCs w:val="21"/>
          <w:highlight w:val="none"/>
          <w:lang w:val="en-US" w:eastAsia="zh-CN"/>
        </w:rPr>
        <w:t xml:space="preserve">安装、调试及维护服务，服务内容包括：使用指导，对系统进行</w:t>
      </w:r>
      <w:r>
        <w:rPr>
          <w:rFonts w:hint="eastAsia" w:ascii="宋体" w:hAnsi="宋体" w:cs="宋体"/>
          <w:color w:val="auto"/>
          <w:szCs w:val="21"/>
          <w:highlight w:val="none"/>
          <w:lang w:val="en-US" w:eastAsia="zh-CN"/>
        </w:rPr>
        <w:t xml:space="preserve">必需的</w:t>
      </w:r>
      <w:r>
        <w:rPr>
          <w:rFonts w:hint="eastAsia" w:ascii="宋体" w:hAnsi="宋体" w:eastAsia="宋体" w:cs="宋体"/>
          <w:color w:val="auto"/>
          <w:szCs w:val="21"/>
          <w:highlight w:val="none"/>
          <w:lang w:val="en-US" w:eastAsia="zh-CN"/>
        </w:rPr>
        <w:t xml:space="preserve">修订和微调，对隐含的错误进行纠正，新版本的升级；维护方式包括：电话解答，远程维护，技术人员现场解决问题。</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在质保期内，中标供应商提供软硬件设备的更换或维护服务，由此发生的费用由中标供应商承担。中标供应商在接到电话后，30分钟内响应，紧急问题6小时内解决，一般问题24</w:t>
      </w:r>
      <w:r>
        <w:rPr>
          <w:rFonts w:hint="eastAsia" w:ascii="宋体" w:hAnsi="宋体" w:eastAsia="宋体" w:cs="宋体"/>
          <w:color w:val="auto"/>
          <w:sz w:val="21"/>
          <w:szCs w:val="21"/>
          <w:highlight w:val="none"/>
        </w:rPr>
        <w:t xml:space="preserve">小时内解决，复杂问题 24小时内给出解决方案，原则上72小时内解决问题。</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遇有重大活动需要确保系统平台正常运行的，中标</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在接到通知后，应当在活动期间提供人员现场保障。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质保期满后，中标</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应继续为</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rPr>
        <w:t xml:space="preserve">采购单位提供保证质量的售后服务，以维持硬件设备和系统平台的正常运作，由此发生的费用由</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rPr>
        <w:t xml:space="preserve">采购单位承担。中标</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应承诺服务、备品备件价格不偏离市场价格规律。</w:t>
      </w:r>
      <w:r>
        <w:rPr>
          <w:rFonts w:hint="eastAsia" w:ascii="宋体" w:hAnsi="宋体" w:eastAsia="宋体" w:cs="宋体"/>
          <w:color w:val="auto"/>
          <w:szCs w:val="21"/>
          <w:highlight w:val="none"/>
          <w:lang w:val="en-US" w:eastAsia="zh-CN"/>
        </w:rPr>
        <w:t xml:space="preserve">在质保期满后，中标供应商仍须对所提供产品本身的固有缺陷和瑕疵承担相应责任，并按照项目采购单位要求与其他信息化系统有偿开展设备、应用、数据等对接工作。</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w:t>
      </w:r>
      <w:r>
        <w:rPr>
          <w:rFonts w:hint="eastAsia" w:ascii="宋体" w:hAnsi="宋体"/>
          <w:bCs/>
          <w:color w:val="auto"/>
          <w:sz w:val="24"/>
          <w:szCs w:val="24"/>
          <w:highlight w:val="none"/>
          <w:lang w:eastAsia="zh-CN"/>
        </w:rPr>
        <w:t xml:space="preserve">要求从</w:t>
      </w:r>
      <w:r>
        <w:rPr>
          <w:rFonts w:hint="eastAsia" w:ascii="宋体" w:hAnsi="宋体"/>
          <w:bCs/>
          <w:color w:val="auto"/>
          <w:sz w:val="24"/>
          <w:szCs w:val="24"/>
          <w:highlight w:val="none"/>
        </w:rPr>
        <w:t xml:space="preserve">项目中标起到项目正式交付以及服务期内所发生的一切费用。</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cs="Times New Roman"/>
          <w:bCs/>
          <w:color w:val="auto"/>
          <w:sz w:val="24"/>
          <w:szCs w:val="24"/>
          <w:highlight w:val="none"/>
          <w:lang w:val="en-US" w:eastAsia="zh-CN"/>
        </w:rPr>
      </w:pPr>
      <w:r>
        <w:rPr>
          <w:rFonts w:hint="eastAsia" w:ascii="宋体" w:hAnsi="Times New Roman" w:cs="Times New Roman"/>
          <w:bCs/>
          <w:color w:val="auto"/>
          <w:sz w:val="24"/>
          <w:szCs w:val="24"/>
          <w:highlight w:val="none"/>
        </w:rPr>
        <w:t xml:space="preserve">完工期：</w:t>
      </w:r>
      <w:r>
        <w:rPr>
          <w:rFonts w:hint="eastAsia" w:ascii="宋体" w:hAnsi="Times New Roman" w:cs="Times New Roman"/>
          <w:bCs/>
          <w:color w:val="auto"/>
          <w:sz w:val="24"/>
          <w:szCs w:val="24"/>
          <w:highlight w:val="none"/>
          <w:lang w:val="en-US" w:eastAsia="zh-CN"/>
        </w:rPr>
        <w:t xml:space="preserve">本项目自合同签订之日起4个月内完成软硬件设备安装调试，完成应用支撑平台和应用系统开发、试运行，项目交付使用。</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项目整体质保期：</w:t>
      </w:r>
      <w:r>
        <w:rPr>
          <w:rFonts w:hint="eastAsia" w:ascii="宋体" w:hAnsi="Times New Roman" w:cs="Times New Roman"/>
          <w:bCs/>
          <w:color w:val="auto"/>
          <w:sz w:val="24"/>
          <w:szCs w:val="24"/>
          <w:highlight w:val="none"/>
          <w:lang w:val="en-US" w:eastAsia="zh-CN"/>
        </w:rPr>
        <w:t xml:space="preserve">详见售后服务要求。</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付款方式：</w:t>
      </w:r>
      <w:r>
        <w:rPr>
          <w:rFonts w:hint="eastAsia" w:ascii="宋体" w:cs="Times New Roman"/>
          <w:bCs/>
          <w:color w:val="auto"/>
          <w:sz w:val="24"/>
          <w:szCs w:val="24"/>
          <w:highlight w:val="none"/>
          <w:lang w:val="en-US" w:eastAsia="zh-CN"/>
        </w:rPr>
        <w:t xml:space="preserve">预付款为合同价10%，完工验收后最高支付至合同价的60%，审计结束后支付至审计价的100%。</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w:t>
      </w:r>
      <w:r>
        <w:rPr>
          <w:rFonts w:hint="eastAsia"/>
          <w:color w:val="auto"/>
          <w:sz w:val="24"/>
          <w:szCs w:val="24"/>
          <w:highlight w:val="none"/>
        </w:rPr>
        <w:t xml:space="preserve">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w:t>
      </w:r>
      <w:r>
        <w:rPr>
          <w:rFonts w:hint="eastAsia" w:ascii="宋体"/>
          <w:bCs/>
          <w:color w:val="auto"/>
          <w:sz w:val="24"/>
          <w:szCs w:val="24"/>
          <w:highlight w:val="none"/>
          <w:lang w:eastAsia="zh-CN"/>
        </w:rPr>
        <w:t xml:space="preserve">市市场监管局</w:t>
      </w:r>
      <w:r>
        <w:rPr>
          <w:rFonts w:hint="eastAsia" w:ascii="宋体"/>
          <w:bCs/>
          <w:color w:val="auto"/>
          <w:sz w:val="24"/>
          <w:szCs w:val="24"/>
          <w:highlight w:val="none"/>
        </w:rPr>
        <w:t xml:space="preserve">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w:t>
      </w:r>
      <w:r>
        <w:rPr>
          <w:rFonts w:hint="eastAsia"/>
          <w:color w:val="auto"/>
          <w:sz w:val="24"/>
          <w:szCs w:val="24"/>
          <w:highlight w:val="none"/>
          <w:lang w:eastAsia="zh-CN"/>
        </w:rPr>
        <w:t xml:space="preserve">按照</w:t>
      </w:r>
      <w:r>
        <w:rPr>
          <w:rFonts w:hint="eastAsia"/>
          <w:color w:val="auto"/>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209"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83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831"/>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831"/>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831"/>
        <w:spacing w:before="0" w:after="0" w:line="500" w:lineRule="exact"/>
        <w:rPr>
          <w:rStyle w:val="82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83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31"/>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83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831"/>
        <w:ind w:firstLine="360"/>
        <w:spacing w:before="0" w:after="0" w:line="500" w:lineRule="exact"/>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pStyle w:val="831"/>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31"/>
        <w:ind w:firstLine="42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（一）商务部分（</w:t>
      </w:r>
      <w:r>
        <w:rPr>
          <w:rFonts w:hint="eastAsia" w:ascii="宋体" w:hAnsi="宋体"/>
          <w:b/>
          <w:color w:val="auto"/>
          <w:sz w:val="28"/>
          <w:szCs w:val="28"/>
          <w:highlight w:val="none"/>
          <w:lang w:val="en-US" w:eastAsia="zh-CN"/>
        </w:rPr>
        <w:t xml:space="preserve">52</w:t>
      </w:r>
      <w:r>
        <w:rPr>
          <w:rFonts w:hint="eastAsia" w:ascii="宋体" w:hAnsi="宋体"/>
          <w:b/>
          <w:color w:val="auto"/>
          <w:sz w:val="28"/>
          <w:szCs w:val="28"/>
          <w:highlight w:val="none"/>
        </w:rPr>
        <w:t xml:space="preserve">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价格（2</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w:t>
      </w:r>
      <w:r>
        <w:rPr>
          <w:rFonts w:hint="eastAsia" w:ascii="宋体" w:hAnsi="宋体"/>
          <w:bCs/>
          <w:color w:val="auto"/>
          <w:sz w:val="24"/>
          <w:szCs w:val="24"/>
          <w:highlight w:val="none"/>
          <w:lang w:eastAsia="zh-CN"/>
        </w:rPr>
        <w:t xml:space="preserve">分别</w:t>
      </w:r>
      <w:r>
        <w:rPr>
          <w:rFonts w:hint="eastAsia" w:ascii="宋体" w:hAnsi="宋体"/>
          <w:bCs/>
          <w:color w:val="auto"/>
          <w:sz w:val="24"/>
          <w:szCs w:val="24"/>
          <w:highlight w:val="none"/>
        </w:rPr>
        <w:t xml:space="preserve">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评标基准价／投标报价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投标单位</w:t>
      </w:r>
      <w:r>
        <w:rPr>
          <w:rFonts w:hint="eastAsia" w:ascii="宋体" w:hAnsi="宋体" w:eastAsia="宋体" w:cs="Times New Roman"/>
          <w:b/>
          <w:bCs/>
          <w:color w:val="auto"/>
          <w:sz w:val="24"/>
          <w:szCs w:val="24"/>
          <w:highlight w:val="none"/>
        </w:rPr>
        <w:t xml:space="preserve">综合情况（</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分）</w:t>
      </w:r>
      <w:r/>
    </w:p>
    <w:p>
      <w:pPr>
        <w:ind w:firstLine="480"/>
        <w:spacing w:line="5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eastAsia="zh-CN"/>
        </w:rPr>
        <w:t xml:space="preserve">企业资质</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w:t>
      </w:r>
      <w:r/>
    </w:p>
    <w:p>
      <w:pPr>
        <w:ind w:firstLine="480"/>
        <w:spacing w:line="5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a.投标单位</w:t>
      </w:r>
      <w:r>
        <w:rPr>
          <w:rFonts w:hint="eastAsia" w:ascii="宋体" w:hAnsi="宋体" w:eastAsia="宋体" w:cs="Times New Roman"/>
          <w:color w:val="auto"/>
          <w:sz w:val="24"/>
          <w:highlight w:val="none"/>
        </w:rPr>
        <w:t xml:space="preserve">具有有效期内ISO38505 数据治理安全管理体系认证证书</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ISO37301合规管理认</w:t>
      </w:r>
      <w:r>
        <w:rPr>
          <w:rFonts w:hint="eastAsia" w:ascii="宋体" w:hAnsi="宋体" w:eastAsia="宋体" w:cs="Times New Roman"/>
          <w:color w:val="auto"/>
          <w:sz w:val="24"/>
          <w:highlight w:val="none"/>
        </w:rPr>
        <w:t xml:space="preserve">证证书每提供一个得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分，最高得</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分。须提供证书复印件，并加盖投标单位公章。</w:t>
      </w:r>
      <w:r/>
    </w:p>
    <w:p>
      <w:pPr>
        <w:ind w:firstLine="480"/>
        <w:spacing w:line="5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b.投标单位</w:t>
      </w:r>
      <w:r>
        <w:rPr>
          <w:rFonts w:hint="eastAsia" w:ascii="宋体" w:hAnsi="宋体" w:eastAsia="宋体" w:cs="Times New Roman"/>
          <w:color w:val="auto"/>
          <w:sz w:val="24"/>
          <w:highlight w:val="none"/>
        </w:rPr>
        <w:t xml:space="preserve">具有国产化信息系统集成和服务能力等级证书</w:t>
      </w:r>
      <w:r>
        <w:rPr>
          <w:rFonts w:hint="eastAsia" w:ascii="宋体" w:hAnsi="宋体" w:eastAsia="宋体" w:cs="Times New Roman"/>
          <w:color w:val="auto"/>
          <w:sz w:val="24"/>
          <w:highlight w:val="none"/>
          <w:lang w:eastAsia="zh-CN"/>
        </w:rPr>
        <w:t xml:space="preserve">得</w:t>
      </w:r>
      <w:r>
        <w:rPr>
          <w:rFonts w:hint="eastAsia" w:ascii="宋体" w:hAnsi="宋体" w:eastAsia="宋体" w:cs="Times New Roman"/>
          <w:color w:val="auto"/>
          <w:sz w:val="24"/>
          <w:highlight w:val="none"/>
          <w:lang w:val="en-US" w:eastAsia="zh-CN"/>
        </w:rPr>
        <w:t xml:space="preserve">1分，最高得1分。</w:t>
      </w:r>
      <w:r>
        <w:rPr>
          <w:rFonts w:hint="eastAsia" w:ascii="宋体" w:hAnsi="宋体" w:eastAsia="宋体" w:cs="Times New Roman"/>
          <w:color w:val="auto"/>
          <w:sz w:val="24"/>
          <w:highlight w:val="none"/>
        </w:rPr>
        <w:t xml:space="preserve">须提供证书复印件，并加盖投标单位公章。</w:t>
      </w:r>
      <w:r/>
    </w:p>
    <w:p>
      <w:pPr>
        <w:ind w:firstLine="480"/>
        <w:spacing w:line="50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2.2业绩</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2分</w:t>
      </w:r>
      <w:r>
        <w:rPr>
          <w:rFonts w:hint="eastAsia" w:ascii="宋体" w:hAnsi="宋体" w:eastAsia="宋体" w:cs="Times New Roman"/>
          <w:color w:val="auto"/>
          <w:sz w:val="24"/>
          <w:highlight w:val="none"/>
          <w:lang w:eastAsia="zh-CN"/>
        </w:rPr>
        <w:t xml:space="preserve">）</w:t>
      </w:r>
      <w:r/>
    </w:p>
    <w:p>
      <w:pPr>
        <w:ind w:firstLine="480"/>
        <w:spacing w:line="500" w:lineRule="exact"/>
        <w:rPr>
          <w:rFonts w:hint="eastAsia" w:ascii="宋体" w:hAnsi="宋体"/>
          <w:bCs/>
          <w:color w:val="auto"/>
          <w:sz w:val="24"/>
          <w:szCs w:val="24"/>
          <w:highlight w:val="none"/>
        </w:rPr>
      </w:pPr>
      <w:r>
        <w:rPr>
          <w:rFonts w:hint="eastAsia" w:ascii="宋体" w:hAnsi="宋体" w:eastAsia="宋体" w:cs="Times New Roman"/>
          <w:color w:val="auto"/>
          <w:sz w:val="24"/>
          <w:highlight w:val="none"/>
          <w:lang w:eastAsia="zh-CN"/>
        </w:rPr>
        <w:t xml:space="preserve">投标单位提供自2020年1月1日起</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以合同签订日期为准</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至今签订的水利信息化类似项目业绩</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不可限定规模</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。每提供一份得1分，最高2分。须提供合同复印件及完工验收证书并加盖投标单位公章。</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技术指标（17分）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下列参数均需按要求提供相关证明材料如未提供或者提供材料不全，则相应项不得分。投标单位需提供相关产品性能参数证明文件上传至投标系统中。</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3.1视频管理软件（3分）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a支持对视频通道进行视频冻结、视频丢失、视频抖动、视频遮挡、条纹干扰、画面模糊、对比度异常、画面过暗、画面过亮、画面偏色、噪声干扰、场景变化、黑白图像、视频剧变、雪花屏、视频卡顿、视频丢帧、视频频闪、树叶遮挡共十九种图像质量异常情况进行巡检。提供公安部有效检测报告复印件加盖原厂公章或投标专用章得1分，最高得1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b支持外置安全数据库，可切换至不同安全等级的数据库，提供不同等级的数据存储、传输和计算加密。提供公安部有效检测报告复印件加盖原厂公章或投标专用章得2分，最高得2分。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3.2核心交换机（5分）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a.支持基于IP、MAC地址进行访问控制。提供公安部有效检测报告复印件加盖原厂公章或投标专用章得1分，最高得1分。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b.支持二层、三层、四层ACL，支持IPv4、IPv6 ACL，支持VLAN ACL支持标准和扩展ACL，支持IP ACL、支持基于源/目的IP、三层IP协议号、TCP/UDP四层端口号、IP优先级、ToS、时间范围对数据进行过滤。提供公安部有效检测报告复印件加盖原厂公章或投标专用章得2分，最高得2分。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c.支持EAPS以太网链路自动保护协议，环网切换＜50ms。提供公安部有效检测报告复印件加盖原厂公章或投标专用章得2分，最高得2分。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3.3视频会议MCU（6分）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a.</w:t>
      </w:r>
      <w:r>
        <w:rPr>
          <w:rFonts w:hint="default" w:ascii="宋体" w:hAnsi="宋体" w:eastAsia="宋体" w:cs="Times New Roman"/>
          <w:color w:val="auto"/>
          <w:sz w:val="24"/>
          <w:highlight w:val="none"/>
          <w:lang w:val="en-US" w:eastAsia="zh-CN"/>
        </w:rPr>
        <w:t xml:space="preserve">所投MCU支持多台MCU组成资源池，实现MCU资源统一管理，根据MCU资源使用情况</w:t>
      </w:r>
      <w:r>
        <w:rPr>
          <w:rFonts w:hint="eastAsia" w:ascii="宋体" w:hAnsi="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动态分配MCU资源，以实现MCU资源负载均衡，组成资源池的MCU可以为不同型号的设备。提供国家权威检测机构认证的检测报告复印件并加盖公章进行证明</w:t>
      </w:r>
      <w:r>
        <w:rPr>
          <w:rFonts w:hint="eastAsia" w:ascii="宋体" w:hAnsi="宋体" w:eastAsia="宋体" w:cs="Times New Roman"/>
          <w:color w:val="auto"/>
          <w:sz w:val="24"/>
          <w:highlight w:val="none"/>
          <w:lang w:val="en-US" w:eastAsia="zh-CN"/>
        </w:rPr>
        <w:t xml:space="preserve">得1分，最高得1分。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b.</w:t>
      </w:r>
      <w:r>
        <w:rPr>
          <w:rFonts w:hint="default" w:ascii="宋体" w:hAnsi="宋体" w:eastAsia="宋体" w:cs="Times New Roman"/>
          <w:color w:val="auto"/>
          <w:sz w:val="24"/>
          <w:highlight w:val="none"/>
          <w:lang w:val="en-US" w:eastAsia="zh-CN"/>
        </w:rPr>
        <w:t xml:space="preserve">具备强大的低带宽处理能力，支持在768Kbps带宽下实现1080P60fps的活动视频，在384Kbps带宽下实现1080P30fps的活动视频，在192Kbps带宽下实现720P30fps的活动视频</w:t>
      </w:r>
      <w:r>
        <w:rPr>
          <w:rFonts w:hint="eastAsia" w:ascii="宋体" w:hAnsi="宋体" w:eastAsia="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提供</w:t>
      </w:r>
      <w:r>
        <w:rPr>
          <w:rFonts w:hint="eastAsia" w:ascii="宋体" w:hAnsi="宋体" w:cs="Times New Roman"/>
          <w:color w:val="auto"/>
          <w:sz w:val="24"/>
          <w:highlight w:val="none"/>
          <w:lang w:val="en-US" w:eastAsia="zh-CN"/>
        </w:rPr>
        <w:t xml:space="preserve">工信部</w:t>
      </w:r>
      <w:r>
        <w:rPr>
          <w:rFonts w:hint="default" w:ascii="宋体" w:hAnsi="宋体" w:eastAsia="宋体" w:cs="Times New Roman"/>
          <w:color w:val="auto"/>
          <w:sz w:val="24"/>
          <w:highlight w:val="none"/>
          <w:lang w:val="en-US" w:eastAsia="zh-CN"/>
        </w:rPr>
        <w:t xml:space="preserve">认可的国家级权威机构检测报告证明</w:t>
      </w:r>
      <w:r>
        <w:rPr>
          <w:rFonts w:hint="eastAsia" w:ascii="宋体" w:hAnsi="宋体" w:eastAsia="宋体" w:cs="Times New Roman"/>
          <w:color w:val="auto"/>
          <w:sz w:val="24"/>
          <w:highlight w:val="none"/>
          <w:lang w:val="en-US" w:eastAsia="zh-CN"/>
        </w:rPr>
        <w:t xml:space="preserve">得2分，最高得2分。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c.</w:t>
      </w:r>
      <w:r>
        <w:rPr>
          <w:rFonts w:hint="default" w:ascii="宋体" w:hAnsi="宋体" w:eastAsia="宋体" w:cs="Times New Roman"/>
          <w:color w:val="auto"/>
          <w:sz w:val="24"/>
          <w:highlight w:val="none"/>
          <w:lang w:val="en-US" w:eastAsia="zh-CN"/>
        </w:rPr>
        <w:t xml:space="preserve">具备超强抗丢包能力，IP网络丢包达到30%时，会议音视频不受影响，会议仍可进行</w:t>
      </w:r>
      <w:r>
        <w:rPr>
          <w:rFonts w:hint="eastAsia" w:ascii="宋体" w:hAnsi="宋体" w:eastAsia="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提供</w:t>
      </w:r>
      <w:r>
        <w:rPr>
          <w:rFonts w:hint="eastAsia" w:ascii="宋体" w:hAnsi="宋体" w:cs="Times New Roman"/>
          <w:color w:val="auto"/>
          <w:sz w:val="24"/>
          <w:highlight w:val="none"/>
          <w:lang w:val="en-US" w:eastAsia="zh-CN"/>
        </w:rPr>
        <w:t xml:space="preserve">工信部</w:t>
      </w:r>
      <w:r>
        <w:rPr>
          <w:rFonts w:hint="default" w:ascii="宋体" w:hAnsi="宋体" w:eastAsia="宋体" w:cs="Times New Roman"/>
          <w:color w:val="auto"/>
          <w:sz w:val="24"/>
          <w:highlight w:val="none"/>
          <w:lang w:val="en-US" w:eastAsia="zh-CN"/>
        </w:rPr>
        <w:t xml:space="preserve">认可的国家级权威机构检测报告证明</w:t>
      </w:r>
      <w:r>
        <w:rPr>
          <w:rFonts w:hint="eastAsia" w:ascii="宋体" w:hAnsi="宋体" w:eastAsia="宋体" w:cs="Times New Roman"/>
          <w:color w:val="auto"/>
          <w:sz w:val="24"/>
          <w:highlight w:val="none"/>
          <w:lang w:val="en-US" w:eastAsia="zh-CN"/>
        </w:rPr>
        <w:t xml:space="preserve">得1分，最高得1分。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d.</w:t>
      </w:r>
      <w:r>
        <w:rPr>
          <w:rFonts w:hint="default" w:ascii="宋体" w:hAnsi="宋体" w:eastAsia="宋体" w:cs="Times New Roman"/>
          <w:color w:val="auto"/>
          <w:sz w:val="24"/>
          <w:highlight w:val="none"/>
          <w:lang w:val="en-US" w:eastAsia="zh-CN"/>
        </w:rPr>
        <w:t xml:space="preserve">在不增加额外设备或第三方网关情况下，支持高清视频监控摄像头的直接接入，支持在会议过程中调看实时监控画面</w:t>
      </w:r>
      <w:r>
        <w:rPr>
          <w:rFonts w:hint="eastAsia" w:ascii="宋体" w:hAnsi="宋体" w:eastAsia="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提供</w:t>
      </w:r>
      <w:r>
        <w:rPr>
          <w:rFonts w:hint="eastAsia" w:ascii="宋体" w:hAnsi="宋体" w:cs="Times New Roman"/>
          <w:color w:val="auto"/>
          <w:sz w:val="24"/>
          <w:highlight w:val="none"/>
          <w:lang w:val="en-US" w:eastAsia="zh-CN"/>
        </w:rPr>
        <w:t xml:space="preserve">工信部</w:t>
      </w:r>
      <w:r>
        <w:rPr>
          <w:rFonts w:hint="default" w:ascii="宋体" w:hAnsi="宋体" w:eastAsia="宋体" w:cs="Times New Roman"/>
          <w:color w:val="auto"/>
          <w:sz w:val="24"/>
          <w:highlight w:val="none"/>
          <w:lang w:val="en-US" w:eastAsia="zh-CN"/>
        </w:rPr>
        <w:t xml:space="preserve">认可的国家级权威机构检测报告证明</w:t>
      </w:r>
      <w:r>
        <w:rPr>
          <w:rFonts w:hint="eastAsia" w:ascii="宋体" w:hAnsi="宋体" w:eastAsia="宋体" w:cs="Times New Roman"/>
          <w:color w:val="auto"/>
          <w:sz w:val="24"/>
          <w:highlight w:val="none"/>
          <w:lang w:val="en-US" w:eastAsia="zh-CN"/>
        </w:rPr>
        <w:t xml:space="preserve">得2分，最高得2分。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3.4云资源及云安全服务（3分）</w:t>
      </w:r>
      <w:r/>
    </w:p>
    <w:p>
      <w:pPr>
        <w:numPr>
          <w:ilvl w:val="0"/>
          <w:numId w:val="8"/>
        </w:num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投标单位提供的云平台为国产自研产品，不基于 OpenStack、CloudStack 等开源项目进行商业化二次开发；所有代码自主可控率大于 80%，核心代码开源，并提供源码在线下载地址。支持对接现有市场上主流的安全，与 3 家及以上安全厂家有产品兼容互认证明。产品需通过可信云先进级认证。提供相关证明材料并加盖厂商公章及投标单位公章得3分，最高得3分。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节能、环保产品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auto"/>
          <w:sz w:val="24"/>
          <w:highlight w:val="none"/>
        </w:rPr>
        <w:t xml:space="preserve">）</w:t>
      </w:r>
      <w:r>
        <w:rPr>
          <w:rFonts w:hint="eastAsia" w:ascii="宋体" w:hAnsi="宋体"/>
          <w:color w:val="auto"/>
          <w:sz w:val="24"/>
          <w:highlight w:val="none"/>
        </w:rPr>
        <w:t xml:space="preserve">。</w:t>
      </w:r>
      <w:r/>
    </w:p>
    <w:p>
      <w:pPr>
        <w:numPr>
          <w:ilvl w:val="0"/>
          <w:numId w:val="0"/>
        </w:numPr>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pStyle w:val="831"/>
        <w:ind w:firstLine="360"/>
        <w:spacing w:before="0" w:after="0" w:line="500" w:lineRule="exact"/>
        <w:rPr>
          <w:rFonts w:hint="eastAsia" w:ascii="宋体" w:hAnsi="宋体"/>
          <w:b/>
          <w:color w:val="auto"/>
          <w:sz w:val="28"/>
          <w:szCs w:val="28"/>
          <w:highlight w:val="none"/>
        </w:rPr>
      </w:pPr>
      <w:r>
        <w:rPr>
          <w:rFonts w:ascii="宋体" w:hAnsi="宋体"/>
          <w:color w:val="auto"/>
          <w:highlight w:val="none"/>
        </w:rPr>
        <w:br w:type="page" w:clear="all"/>
      </w:r>
      <w:r>
        <w:rPr>
          <w:rFonts w:hint="eastAsia" w:ascii="宋体" w:hAnsi="宋体"/>
          <w:b/>
          <w:color w:val="auto"/>
          <w:sz w:val="28"/>
          <w:szCs w:val="28"/>
          <w:highlight w:val="none"/>
        </w:rPr>
        <w:t xml:space="preserve">（二）技术部分（</w:t>
      </w:r>
      <w:r>
        <w:rPr>
          <w:rFonts w:hint="eastAsia" w:ascii="宋体" w:hAnsi="宋体"/>
          <w:b/>
          <w:color w:val="auto"/>
          <w:sz w:val="28"/>
          <w:szCs w:val="28"/>
          <w:highlight w:val="none"/>
          <w:lang w:val="en-US" w:eastAsia="zh-CN"/>
        </w:rPr>
        <w:t xml:space="preserve">48</w:t>
      </w:r>
      <w:r>
        <w:rPr>
          <w:rFonts w:hint="eastAsia" w:ascii="宋体" w:hAnsi="宋体"/>
          <w:b/>
          <w:color w:val="auto"/>
          <w:sz w:val="28"/>
          <w:szCs w:val="28"/>
          <w:highlight w:val="none"/>
        </w:rPr>
        <w:t xml:space="preserve">分）</w:t>
      </w:r>
      <w:r/>
    </w:p>
    <w:p>
      <w:pPr>
        <w:pStyle w:val="831"/>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注：技术部分属于暗标，投标人在制作技术部分相关内容时不得有体现投标人身份的内容，否则投标无效。</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lang w:val="en-US" w:eastAsia="zh-CN"/>
        </w:rPr>
        <w:t xml:space="preserve">48</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5.1现状及需求分析情况（6分）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投标单位能够提供基于业务管理现状、数据资源现状、信息化应用现状提供本项目的需求理解。上述方案的完整性、科学合理性、可实施性高的为6分，上述方案的完整性、科学合理性、可实施性较好的为3</w:t>
      </w:r>
      <w:r>
        <w:rPr>
          <w:rFonts w:hint="default" w:ascii="宋体" w:hAnsi="宋体" w:eastAsia="宋体" w:cs="Times New Roman"/>
          <w:color w:val="auto"/>
          <w:sz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上述方案的完整性、科学合理性、可实施性一般的1</w:t>
      </w:r>
      <w:r>
        <w:rPr>
          <w:rFonts w:hint="default" w:ascii="宋体" w:hAnsi="宋体" w:eastAsia="宋体" w:cs="Times New Roman"/>
          <w:color w:val="auto"/>
          <w:sz w:val="24"/>
          <w:highlight w:val="none"/>
          <w:lang w:val="en-US" w:eastAsia="zh-CN"/>
        </w:rPr>
        <w:t xml:space="preserve">分，未提供相关说明的不得分。</w:t>
      </w:r>
      <w:r>
        <w:rPr>
          <w:rFonts w:hint="eastAsia" w:ascii="宋体" w:hAnsi="宋体" w:eastAsia="宋体" w:cs="Times New Roman"/>
          <w:color w:val="auto"/>
          <w:sz w:val="24"/>
          <w:highlight w:val="none"/>
          <w:lang w:val="en-US" w:eastAsia="zh-CN"/>
        </w:rPr>
        <w:t xml:space="preserve">最高分6分。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5.2数据交换共享平台和应用支撑平台建设方案（15分）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投标单位能够基于已有建设成果提供数据交换共享平台和应用支撑平台的详细设计方案。上述方案的完整性、科学合理性、可实施性高的为15分，</w:t>
      </w:r>
      <w:bookmarkStart w:id="210" w:name="OLE_LINK1"/>
      <w:r>
        <w:rPr>
          <w:rFonts w:hint="eastAsia" w:ascii="宋体" w:hAnsi="宋体" w:eastAsia="宋体" w:cs="Times New Roman"/>
          <w:color w:val="auto"/>
          <w:sz w:val="24"/>
          <w:highlight w:val="none"/>
          <w:lang w:val="en-US" w:eastAsia="zh-CN"/>
        </w:rPr>
        <w:t xml:space="preserve">上述方案的完整性、科学合理性、可实施性较好的为9</w:t>
      </w:r>
      <w:r>
        <w:rPr>
          <w:rFonts w:hint="default" w:ascii="宋体" w:hAnsi="宋体" w:eastAsia="宋体" w:cs="Times New Roman"/>
          <w:color w:val="auto"/>
          <w:sz w:val="24"/>
          <w:highlight w:val="none"/>
          <w:lang w:val="en-US" w:eastAsia="zh-CN"/>
        </w:rPr>
        <w:t xml:space="preserve">分，</w:t>
      </w:r>
      <w:bookmarkEnd w:id="210"/>
      <w:r>
        <w:rPr>
          <w:rFonts w:hint="eastAsia" w:ascii="宋体" w:hAnsi="宋体" w:eastAsia="宋体" w:cs="Times New Roman"/>
          <w:color w:val="auto"/>
          <w:sz w:val="24"/>
          <w:highlight w:val="none"/>
          <w:lang w:val="en-US" w:eastAsia="zh-CN"/>
        </w:rPr>
        <w:t xml:space="preserve">上述方案的完整性、科学合理性、可实施性一般的为3</w:t>
      </w:r>
      <w:r>
        <w:rPr>
          <w:rFonts w:hint="default" w:ascii="宋体" w:hAnsi="宋体" w:eastAsia="宋体" w:cs="Times New Roman"/>
          <w:color w:val="auto"/>
          <w:sz w:val="24"/>
          <w:highlight w:val="none"/>
          <w:lang w:val="en-US" w:eastAsia="zh-CN"/>
        </w:rPr>
        <w:t xml:space="preserve">分，未提供相关说明的不得分。</w:t>
      </w:r>
      <w:r>
        <w:rPr>
          <w:rFonts w:hint="eastAsia" w:ascii="宋体" w:hAnsi="宋体" w:eastAsia="宋体" w:cs="Times New Roman"/>
          <w:color w:val="auto"/>
          <w:sz w:val="24"/>
          <w:highlight w:val="none"/>
          <w:lang w:val="en-US" w:eastAsia="zh-CN"/>
        </w:rPr>
        <w:t xml:space="preserve">最高分15分。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5.3水利工程调度管理平台建设方案（15分）</w:t>
      </w:r>
      <w:r/>
    </w:p>
    <w:p>
      <w:pPr>
        <w:ind w:firstLine="480"/>
        <w:spacing w:line="5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能够基于已有建设成果提供水利工程调度管理平台的详细设计方案，包括水安全形势研判系统、水工程调度决策系统、泵闸站运行管理系统、工程安全管理系统、后台管理系统、移动应用系统。上述方案的完整性、科学合理性、可实施性高的为15分，上述方案的完整性、科学合理性、可实施性较好的为9</w:t>
      </w:r>
      <w:r>
        <w:rPr>
          <w:rFonts w:hint="default" w:ascii="宋体" w:hAnsi="宋体" w:eastAsia="宋体" w:cs="Times New Roman"/>
          <w:color w:val="auto"/>
          <w:sz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上述方案的完整性、科学合理性、可实施性一般的为3</w:t>
      </w:r>
      <w:r>
        <w:rPr>
          <w:rFonts w:hint="default" w:ascii="宋体" w:hAnsi="宋体" w:eastAsia="宋体" w:cs="Times New Roman"/>
          <w:color w:val="auto"/>
          <w:sz w:val="24"/>
          <w:highlight w:val="none"/>
          <w:lang w:val="en-US" w:eastAsia="zh-CN"/>
        </w:rPr>
        <w:t xml:space="preserve">分，未提供相关说明的不得分。</w:t>
      </w:r>
      <w:r>
        <w:rPr>
          <w:rFonts w:hint="eastAsia" w:ascii="宋体" w:hAnsi="宋体" w:eastAsia="宋体" w:cs="Times New Roman"/>
          <w:color w:val="auto"/>
          <w:sz w:val="24"/>
          <w:highlight w:val="none"/>
          <w:lang w:val="en-US" w:eastAsia="zh-CN"/>
        </w:rPr>
        <w:t xml:space="preserve">最高分15分。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5.4项目实施方案（6分）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投标单位能够提供项目实施方案，包括实施计划、项目培训方案、</w:t>
      </w:r>
      <w:r>
        <w:rPr>
          <w:rFonts w:hint="default" w:ascii="宋体" w:hAnsi="宋体" w:eastAsia="宋体" w:cs="Times New Roman"/>
          <w:color w:val="auto"/>
          <w:sz w:val="24"/>
          <w:highlight w:val="none"/>
          <w:lang w:val="en-US" w:eastAsia="zh-CN"/>
        </w:rPr>
        <w:t xml:space="preserve">项目质量控制</w:t>
      </w:r>
      <w:r>
        <w:rPr>
          <w:rFonts w:hint="eastAsia" w:ascii="宋体" w:hAnsi="宋体" w:eastAsia="宋体" w:cs="Times New Roman"/>
          <w:color w:val="auto"/>
          <w:sz w:val="24"/>
          <w:highlight w:val="none"/>
          <w:lang w:val="en-US" w:eastAsia="zh-CN"/>
        </w:rPr>
        <w:t xml:space="preserve">方案。上述方案的完整性、科学合理性、可实施性高的为6分，上述方案的完整性、科学合理性、可实施性较好的为3</w:t>
      </w:r>
      <w:r>
        <w:rPr>
          <w:rFonts w:hint="default" w:ascii="宋体" w:hAnsi="宋体" w:eastAsia="宋体" w:cs="Times New Roman"/>
          <w:color w:val="auto"/>
          <w:sz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上述方案的完整性、科学合理性、可实施性一般的为</w:t>
      </w:r>
      <w:r>
        <w:rPr>
          <w:rFonts w:hint="default" w:ascii="宋体" w:hAnsi="宋体" w:eastAsia="宋体" w:cs="Times New Roman"/>
          <w:color w:val="auto"/>
          <w:sz w:val="24"/>
          <w:highlight w:val="none"/>
          <w:lang w:val="en-US" w:eastAsia="zh-CN"/>
        </w:rPr>
        <w:t xml:space="preserve">1分，未提供相关说明的不得分。</w:t>
      </w:r>
      <w:r>
        <w:rPr>
          <w:rFonts w:hint="eastAsia" w:ascii="宋体" w:hAnsi="宋体" w:eastAsia="宋体" w:cs="Times New Roman"/>
          <w:color w:val="auto"/>
          <w:sz w:val="24"/>
          <w:highlight w:val="none"/>
          <w:lang w:val="en-US" w:eastAsia="zh-CN"/>
        </w:rPr>
        <w:t xml:space="preserve">最高得6分。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5.5售后服务方案（6分）</w:t>
      </w:r>
      <w:r/>
    </w:p>
    <w:p>
      <w:pPr>
        <w:ind w:firstLine="480"/>
        <w:spacing w:line="5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投标单位能够提供售后服务方案，包括：</w:t>
      </w:r>
      <w:r>
        <w:rPr>
          <w:rFonts w:hint="default" w:ascii="宋体" w:hAnsi="宋体" w:eastAsia="宋体" w:cs="Times New Roman"/>
          <w:color w:val="auto"/>
          <w:sz w:val="24"/>
          <w:highlight w:val="none"/>
          <w:lang w:val="en-US" w:eastAsia="zh-CN"/>
        </w:rPr>
        <w:t xml:space="preserve">响应时间和处置故障时间</w:t>
      </w:r>
      <w:r>
        <w:rPr>
          <w:rFonts w:hint="eastAsia" w:ascii="宋体" w:hAnsi="宋体" w:eastAsia="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巡检服务</w:t>
      </w:r>
      <w:r>
        <w:rPr>
          <w:rFonts w:hint="eastAsia" w:ascii="宋体" w:hAnsi="宋体" w:eastAsia="宋体" w:cs="Times New Roman"/>
          <w:color w:val="auto"/>
          <w:sz w:val="24"/>
          <w:highlight w:val="none"/>
          <w:lang w:val="en-US" w:eastAsia="zh-CN"/>
        </w:rPr>
        <w:t xml:space="preserve">、</w:t>
      </w:r>
      <w:r>
        <w:rPr>
          <w:rFonts w:hint="default" w:ascii="宋体" w:hAnsi="宋体" w:eastAsia="宋体" w:cs="Times New Roman"/>
          <w:color w:val="auto"/>
          <w:sz w:val="24"/>
          <w:highlight w:val="none"/>
          <w:lang w:val="en-US" w:eastAsia="zh-CN"/>
        </w:rPr>
        <w:t xml:space="preserve">突发故障应急处理方案。</w:t>
      </w:r>
      <w:r>
        <w:rPr>
          <w:rFonts w:hint="eastAsia" w:ascii="宋体" w:hAnsi="宋体" w:eastAsia="宋体" w:cs="Times New Roman"/>
          <w:color w:val="auto"/>
          <w:sz w:val="24"/>
          <w:highlight w:val="none"/>
          <w:lang w:val="en-US" w:eastAsia="zh-CN"/>
        </w:rPr>
        <w:t xml:space="preserve">上述方案的完整性、科学合理性、可实施性高的为6分，上述方案的完整性、科学合理性、可实施性较好的为3</w:t>
      </w:r>
      <w:r>
        <w:rPr>
          <w:rFonts w:hint="default" w:ascii="宋体" w:hAnsi="宋体" w:eastAsia="宋体" w:cs="Times New Roman"/>
          <w:color w:val="auto"/>
          <w:sz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上述方案的完整性、科学合理性、可实施性一般的为</w:t>
      </w:r>
      <w:r>
        <w:rPr>
          <w:rFonts w:hint="default" w:ascii="宋体" w:hAnsi="宋体" w:eastAsia="宋体" w:cs="Times New Roman"/>
          <w:color w:val="auto"/>
          <w:sz w:val="24"/>
          <w:highlight w:val="none"/>
          <w:lang w:val="en-US" w:eastAsia="zh-CN"/>
        </w:rPr>
        <w:t xml:space="preserve">1分，未提供相关说明的不得分。</w:t>
      </w:r>
      <w:r>
        <w:rPr>
          <w:rFonts w:hint="eastAsia" w:ascii="宋体" w:hAnsi="宋体" w:eastAsia="宋体" w:cs="Times New Roman"/>
          <w:color w:val="auto"/>
          <w:sz w:val="24"/>
          <w:highlight w:val="none"/>
          <w:lang w:val="en-US" w:eastAsia="zh-CN"/>
        </w:rPr>
        <w:t xml:space="preserve">最高得6分。</w:t>
      </w:r>
      <w:r/>
    </w:p>
    <w:p>
      <w:pPr>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31"/>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bookmarkEnd w:id="192"/>
      <w:r/>
      <w:bookmarkEnd w:id="209"/>
      <w:r>
        <w:rPr>
          <w:rFonts w:hint="eastAsia" w:ascii="黑体" w:eastAsia="黑体"/>
          <w:bCs/>
          <w:color w:val="auto"/>
          <w:sz w:val="36"/>
          <w:szCs w:val="36"/>
          <w:highlight w:val="none"/>
        </w:rPr>
        <w:t xml:space="preserve">投标文件内容与格式</w:t>
      </w:r>
      <w:r/>
    </w:p>
    <w:p>
      <w:pPr>
        <w:pStyle w:val="831"/>
        <w:ind w:firstLine="602"/>
        <w:spacing w:before="0" w:after="0" w:line="500" w:lineRule="exact"/>
        <w:rPr>
          <w:rFonts w:hint="eastAsia" w:cs="Arial"/>
          <w:b/>
          <w:color w:val="auto"/>
          <w:sz w:val="30"/>
          <w:szCs w:val="30"/>
          <w:highlight w:val="none"/>
        </w:rPr>
      </w:pPr>
      <w:r/>
      <w:bookmarkStart w:id="211" w:name="_Hlt26671244"/>
      <w:r/>
      <w:bookmarkEnd w:id="211"/>
      <w:r/>
      <w:bookmarkStart w:id="212" w:name="_Hlt26955039"/>
      <w:r/>
      <w:bookmarkEnd w:id="212"/>
      <w:r/>
      <w:bookmarkStart w:id="213" w:name="_Toc49090576"/>
      <w:r/>
      <w:bookmarkStart w:id="214" w:name="_Toc26554094"/>
      <w:r/>
      <w:bookmarkStart w:id="215" w:name="_Toc120614282"/>
      <w:r>
        <w:rPr>
          <w:rFonts w:hint="eastAsia" w:cs="Arial"/>
          <w:b/>
          <w:color w:val="auto"/>
          <w:sz w:val="30"/>
          <w:szCs w:val="30"/>
          <w:highlight w:val="none"/>
        </w:rPr>
        <w:t xml:space="preserve">第一部分  投标文件内容</w:t>
      </w:r>
      <w:r/>
    </w:p>
    <w:p>
      <w:pPr>
        <w:pStyle w:val="83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1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83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8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w:t>
            </w:r>
            <w:r>
              <w:rPr>
                <w:rFonts w:hint="eastAsia" w:ascii="宋体" w:hAnsi="宋体" w:cs="宋体"/>
                <w:color w:val="auto"/>
                <w:highlight w:val="none"/>
                <w:lang w:eastAsia="zh-CN"/>
              </w:rPr>
              <w:t xml:space="preserve">如</w:t>
            </w:r>
            <w:r>
              <w:rPr>
                <w:rFonts w:hint="eastAsia" w:ascii="宋体" w:hAnsi="宋体" w:cs="宋体"/>
                <w:color w:val="auto"/>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31"/>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20"/>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831"/>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31"/>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31"/>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8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8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83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8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831"/>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83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83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83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8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83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3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83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83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8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83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8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831"/>
              <w:ind w:firstLine="0"/>
              <w:jc w:val="both"/>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8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83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8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831"/>
              <w:ind w:firstLine="0"/>
              <w:jc w:val="both"/>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83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83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8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83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831"/>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83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JSZC-320213-JZCG-G2024-0069</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无锡市梁溪区水利闸泵站联调联控信息化项目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829"/>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JSZC-320213-JZCG-G2024-0069</w:t>
      </w:r>
      <w:r>
        <w:rPr>
          <w:rFonts w:hint="eastAsia" w:ascii="宋体" w:hAnsi="宋体"/>
          <w:bCs/>
          <w:color w:val="auto"/>
          <w:sz w:val="24"/>
          <w:szCs w:val="24"/>
          <w:highlight w:val="none"/>
        </w:rPr>
        <w:t xml:space="preserve">项目，兹授权：</w:t>
      </w:r>
      <w:r/>
    </w:p>
    <w:p>
      <w:pPr>
        <w:pStyle w:val="829"/>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29"/>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29"/>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829"/>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829"/>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829"/>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829"/>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829"/>
        <w:ind w:firstLine="0"/>
        <w:rPr>
          <w:rFonts w:hint="eastAsia"/>
          <w:color w:val="auto"/>
          <w:sz w:val="24"/>
          <w:szCs w:val="24"/>
          <w:highlight w:val="none"/>
        </w:rPr>
      </w:pP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rPr>
        <w:t xml:space="preserve">被授权人身份证原件扫描件附后</w:t>
      </w:r>
      <w:r>
        <w:rPr>
          <w:rFonts w:hint="eastAsia" w:ascii="宋体" w:hAnsi="宋体" w:cs="宋体"/>
          <w:b/>
          <w:color w:val="auto"/>
          <w:sz w:val="30"/>
          <w:highlight w:val="none"/>
          <w:lang w:eastAsia="zh-CN"/>
        </w:rPr>
        <w:t xml:space="preserve">）</w:t>
      </w:r>
      <w:r/>
    </w:p>
    <w:p>
      <w:pPr>
        <w:pStyle w:val="829"/>
        <w:ind w:firstLine="0"/>
        <w:rPr>
          <w:rFonts w:hint="eastAsia"/>
          <w:color w:val="auto"/>
          <w:sz w:val="24"/>
          <w:szCs w:val="24"/>
          <w:highlight w:val="none"/>
        </w:rPr>
      </w:pPr>
      <w:r>
        <w:rPr>
          <w:rFonts w:hint="eastAsia"/>
          <w:color w:val="auto"/>
          <w:sz w:val="24"/>
          <w:szCs w:val="24"/>
          <w:highlight w:val="none"/>
        </w:rPr>
        <w:t xml:space="preserve">说明：</w:t>
      </w:r>
      <w:r/>
    </w:p>
    <w:p>
      <w:pPr>
        <w:pStyle w:val="829"/>
        <w:numPr>
          <w:ilvl w:val="0"/>
          <w:numId w:val="11"/>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829"/>
        <w:numPr>
          <w:ilvl w:val="0"/>
          <w:numId w:val="11"/>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829"/>
        <w:numPr>
          <w:ilvl w:val="0"/>
          <w:numId w:val="11"/>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829"/>
        <w:numPr>
          <w:ilvl w:val="0"/>
          <w:numId w:val="11"/>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pStyle w:val="829"/>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6" w:name="报价方关于资格的声明函（格式）"/>
      <w:r/>
      <w:bookmarkEnd w:id="21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JSZC-320213-JZCG-G2024-0069</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人数</w:t>
      </w:r>
      <w:r>
        <w:rPr>
          <w:rFonts w:ascii="宋体" w:hAnsi="宋体"/>
          <w:bCs/>
          <w:color w:val="auto"/>
          <w:sz w:val="24"/>
          <w:szCs w:val="24"/>
          <w:highlight w:val="none"/>
        </w:rPr>
        <w:t xml:space="preserve">，营业收入为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人数</w:t>
      </w:r>
      <w:r>
        <w:rPr>
          <w:rFonts w:ascii="宋体" w:hAnsi="宋体"/>
          <w:bCs/>
          <w:color w:val="auto"/>
          <w:sz w:val="24"/>
          <w:szCs w:val="24"/>
          <w:highlight w:val="none"/>
        </w:rPr>
        <w:t xml:space="preserve">，营业收入为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w:t>
      </w:r>
      <w:r>
        <w:rPr>
          <w:rFonts w:hint="eastAsia"/>
          <w:b/>
          <w:color w:val="auto"/>
          <w:highlight w:val="none"/>
        </w:rPr>
        <w:t xml:space="preserve">项目属性为服务类的，</w:t>
      </w:r>
      <w:r>
        <w:rPr>
          <w:rFonts w:hint="eastAsia"/>
          <w:b/>
          <w:color w:val="auto"/>
          <w:highlight w:val="none"/>
          <w:lang w:eastAsia="zh-CN"/>
        </w:rPr>
        <w:t xml:space="preserve">只需</w:t>
      </w:r>
      <w:r>
        <w:rPr>
          <w:rFonts w:hint="eastAsia"/>
          <w:b/>
          <w:color w:val="auto"/>
          <w:highlight w:val="none"/>
        </w:rPr>
        <w:t xml:space="preserve">按项目技术要求中的服务部分标的及其所属行业逐一进行填报，“企业名称”应填报为提供该项服务的承建（承接）商。</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w:t>
      </w:r>
      <w:r>
        <w:rPr>
          <w:rFonts w:hint="eastAsia"/>
          <w:color w:val="auto"/>
          <w:highlight w:val="none"/>
          <w:lang w:eastAsia="zh-CN"/>
        </w:rPr>
        <w:t xml:space="preserve">不能</w:t>
      </w:r>
      <w:r>
        <w:rPr>
          <w:rFonts w:hint="eastAsia"/>
          <w:color w:val="auto"/>
          <w:highlight w:val="none"/>
        </w:rPr>
        <w:t xml:space="preserve">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JSZC-320213-JZCG-G2024-0069</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18"/>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JSZC-320213-JZCG-G2024-0069</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JSZC-320213-JZCG-G2024-0069</w:t>
      </w:r>
      <w:r/>
    </w:p>
    <w:tbl>
      <w:tblPr>
        <w:tblStyle w:val="71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小写</w:t>
            </w:r>
            <w:r>
              <w:rPr>
                <w:rFonts w:hint="eastAsia" w:ascii="宋体" w:hAnsi="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857"/>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无锡市梁溪区水利闸泵站联调联控信息化项目</w:t>
            </w:r>
            <w:r/>
          </w:p>
        </w:tc>
        <w:tc>
          <w:tcPr>
            <w:tcW w:w="3188" w:type="dxa"/>
            <w:vAlign w:val="center"/>
            <w:textDirection w:val="lrTb"/>
            <w:noWrap w:val="false"/>
          </w:tcPr>
          <w:p>
            <w:pPr>
              <w:pStyle w:val="857"/>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213"/>
      <w:r/>
      <w:bookmarkEnd w:id="214"/>
      <w:r/>
      <w:bookmarkEnd w:id="215"/>
      <w:r/>
      <w:r/>
    </w:p>
    <w:p>
      <w:pPr>
        <w:jc w:val="center"/>
        <w:spacing w:line="400" w:lineRule="exact"/>
        <w:rPr>
          <w:rFonts w:ascii="黑体" w:eastAsia="黑体"/>
          <w:bCs/>
          <w:color w:val="auto"/>
          <w:sz w:val="28"/>
          <w:szCs w:val="28"/>
          <w:highlight w:val="none"/>
        </w:rPr>
        <w:outlineLvl w:val="0"/>
      </w:pPr>
      <w:r/>
      <w:bookmarkStart w:id="217"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JSZC-320213-JZCG-G2024-0069</w:t>
      </w:r>
      <w:r/>
    </w:p>
    <w:tbl>
      <w:tblPr>
        <w:tblStyle w:val="71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auto"/>
                <w:sz w:val="18"/>
                <w:highlight w:val="none"/>
              </w:rPr>
            </w:pPr>
            <w:r>
              <w:rPr>
                <w:rFonts w:hint="eastAsia"/>
                <w:b/>
                <w:bCs/>
                <w:color w:val="auto"/>
                <w:sz w:val="24"/>
                <w:szCs w:val="24"/>
                <w:highlight w:val="none"/>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9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7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7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7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auto"/>
                <w:sz w:val="18"/>
                <w:highlight w:val="none"/>
              </w:rPr>
            </w:pPr>
            <w:r>
              <w:rPr>
                <w:rFonts w:hint="eastAsia"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lang w:eastAsia="zh-CN"/>
              </w:rPr>
              <w:t xml:space="preserve">……</w:t>
            </w:r>
            <w:r/>
          </w:p>
        </w:tc>
        <w:tc>
          <w:tcPr>
            <w:tcMar>
              <w:left w:w="15" w:type="dxa"/>
              <w:top w:w="15" w:type="dxa"/>
              <w:right w:w="15" w:type="dxa"/>
              <w:bottom w:w="0" w:type="dxa"/>
            </w:tcMar>
            <w:tcW w:w="945" w:type="dxa"/>
            <w:vAlign w:val="center"/>
            <w:textDirection w:val="lrTb"/>
            <w:noWrap w:val="false"/>
          </w:tcPr>
          <w:p>
            <w:pPr>
              <w:pStyle w:val="7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200"/>
        </w:trPr>
        <w:tc>
          <w:tcPr>
            <w:gridSpan w:val="9"/>
            <w:shd w:val="clear" w:color="auto" w:fill="bebebe"/>
            <w:tcMar>
              <w:left w:w="15" w:type="dxa"/>
              <w:top w:w="15" w:type="dxa"/>
              <w:right w:w="15" w:type="dxa"/>
              <w:bottom w:w="0" w:type="dxa"/>
            </w:tcMar>
            <w:tcW w:w="9975" w:type="dxa"/>
            <w:vAlign w:val="center"/>
            <w:textDirection w:val="lrTb"/>
            <w:noWrap/>
          </w:tcPr>
          <w:p>
            <w:pPr>
              <w:spacing w:before="5"/>
              <w:rPr>
                <w:rFonts w:hint="eastAsia"/>
                <w:b/>
                <w:bCs/>
                <w:color w:val="auto"/>
                <w:sz w:val="24"/>
                <w:szCs w:val="24"/>
                <w:highlight w:val="none"/>
              </w:rPr>
            </w:pPr>
            <w:r>
              <w:rPr>
                <w:rFonts w:hint="eastAsia"/>
                <w:b/>
                <w:bCs/>
                <w:color w:val="auto"/>
                <w:sz w:val="24"/>
                <w:szCs w:val="24"/>
                <w:highlight w:val="none"/>
              </w:rPr>
            </w:r>
            <w:r/>
          </w:p>
        </w:tc>
      </w:tr>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color w:val="auto"/>
                <w:sz w:val="18"/>
                <w:highlight w:val="none"/>
              </w:rPr>
            </w:pPr>
            <w:r>
              <w:rPr>
                <w:rFonts w:hint="eastAsia"/>
                <w:b/>
                <w:bCs/>
                <w:color w:val="auto"/>
                <w:sz w:val="24"/>
                <w:szCs w:val="24"/>
                <w:highlight w:val="none"/>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服务内容</w:t>
            </w:r>
            <w:r/>
          </w:p>
        </w:tc>
        <w:tc>
          <w:tcPr>
            <w:tcW w:w="1276"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单位</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9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auto"/>
                <w:highlight w:val="none"/>
              </w:rPr>
            </w:pPr>
            <w:r>
              <w:rPr>
                <w:rFonts w:ascii="宋体"/>
                <w:color w:val="auto"/>
                <w:highlight w:val="none"/>
              </w:rPr>
              <w:t xml:space="preserve">……</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w:t>
      </w:r>
      <w:r>
        <w:rPr>
          <w:rFonts w:hint="eastAsia" w:ascii="宋体"/>
          <w:bCs/>
          <w:color w:val="auto"/>
          <w:highlight w:val="none"/>
          <w:lang w:eastAsia="zh-CN"/>
        </w:rPr>
        <w:t xml:space="preserve">人为</w:t>
      </w:r>
      <w:r>
        <w:rPr>
          <w:rFonts w:hint="eastAsia" w:ascii="宋体"/>
          <w:bCs/>
          <w:color w:val="auto"/>
          <w:highlight w:val="none"/>
        </w:rPr>
        <w:t xml:space="preserve">本项目提供的服务全部由符合政策要求的中小企业承接的，须提供按格式填写的《中小企业声明函》（服务）；或提供由省级以上监狱管理局、戒毒管理局</w:t>
      </w:r>
      <w:r>
        <w:rPr>
          <w:rFonts w:hint="eastAsia" w:ascii="宋体"/>
          <w:bCs/>
          <w:color w:val="auto"/>
          <w:highlight w:val="none"/>
          <w:lang w:eastAsia="zh-CN"/>
        </w:rPr>
        <w:t xml:space="preserve">（</w:t>
      </w:r>
      <w:r>
        <w:rPr>
          <w:rFonts w:hint="eastAsia" w:ascii="宋体"/>
          <w:bCs/>
          <w:color w:val="auto"/>
          <w:highlight w:val="none"/>
        </w:rPr>
        <w:t xml:space="preserve">含新疆生产建设兵团</w:t>
      </w:r>
      <w:r>
        <w:rPr>
          <w:rFonts w:hint="eastAsia" w:ascii="宋体"/>
          <w:bCs/>
          <w:color w:val="auto"/>
          <w:highlight w:val="none"/>
          <w:lang w:eastAsia="zh-CN"/>
        </w:rPr>
        <w:t xml:space="preserve">）</w:t>
      </w:r>
      <w:r>
        <w:rPr>
          <w:rFonts w:hint="eastAsia" w:ascii="宋体"/>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无锡市公共资源交易中心梁溪分中心</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spacing w:line="400" w:lineRule="exact"/>
        <w:rPr>
          <w:rFonts w:hint="eastAsia"/>
          <w:b/>
          <w:color w:val="auto"/>
          <w:sz w:val="28"/>
          <w:szCs w:val="28"/>
          <w:highlight w:val="none"/>
        </w:rPr>
        <w:outlineLvl w:val="0"/>
      </w:pPr>
      <w:r>
        <w:rPr>
          <w:rFonts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JSZC-320213-JZCG-G2024-0069</w:t>
      </w:r>
      <w:r/>
    </w:p>
    <w:tbl>
      <w:tblPr>
        <w:tblStyle w:val="71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bookmarkEnd w:id="190"/>
      <w:r/>
      <w:bookmarkEnd w:id="217"/>
      <w:r/>
      <w:bookmarkStart w:id="218" w:name="_Hlt26671374"/>
      <w:r/>
      <w:bookmarkEnd w:id="218"/>
      <w:r/>
      <w:bookmarkStart w:id="219" w:name="_Hlt26609389"/>
      <w:r/>
      <w:bookmarkEnd w:id="219"/>
      <w:r/>
      <w:bookmarkStart w:id="220" w:name="_Hlt26955066"/>
      <w:r/>
      <w:bookmarkEnd w:id="220"/>
      <w:r/>
      <w:bookmarkStart w:id="221" w:name="_格式2__法定代表人授权书"/>
      <w:r/>
      <w:bookmarkEnd w:id="221"/>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十一、项目人员配置清单（格式）</w:t>
      </w:r>
      <w:r/>
    </w:p>
    <w:p>
      <w:pP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JSZC-320213-JZCG-G2024-0069</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w:t>
      </w:r>
      <w:r>
        <w:rPr>
          <w:rFonts w:hint="eastAsia" w:ascii="宋体" w:hAnsi="宋体"/>
          <w:bCs/>
          <w:color w:val="auto"/>
          <w:highlight w:val="none"/>
          <w:lang w:eastAsia="zh-CN"/>
        </w:rPr>
        <w:t xml:space="preserve">（</w:t>
      </w:r>
      <w:r>
        <w:rPr>
          <w:rFonts w:hint="eastAsia" w:ascii="宋体" w:hAnsi="宋体"/>
          <w:bCs/>
          <w:color w:val="auto"/>
          <w:highlight w:val="none"/>
        </w:rPr>
        <w:t xml:space="preserve">不含投标当月</w:t>
      </w:r>
      <w:r>
        <w:rPr>
          <w:rFonts w:hint="eastAsia" w:ascii="宋体" w:hAnsi="宋体"/>
          <w:bCs/>
          <w:color w:val="auto"/>
          <w:highlight w:val="none"/>
          <w:lang w:eastAsia="zh-CN"/>
        </w:rPr>
        <w:t xml:space="preserve">）</w:t>
      </w:r>
      <w:r>
        <w:rPr>
          <w:rFonts w:hint="eastAsia" w:ascii="宋体" w:hAnsi="宋体"/>
          <w:bCs/>
          <w:color w:val="auto"/>
          <w:highlight w:val="none"/>
        </w:rPr>
        <w:t xml:space="preserve">经社保部门确认的社保缴纳名单复印件（标注各人员所处位置）和相关证书证明作为填列证明材料，证明材料请附在本表之后。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仿宋">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6"/>
        <w:rFonts w:ascii="宋体" w:hAnsi="宋体"/>
      </w:rPr>
      <w:framePr w:wrap="around" w:vAnchor="text" w:hAnchor="margin" w:xAlign="center" w:y="1"/>
    </w:pPr>
    <w:r>
      <w:rPr>
        <w:rFonts w:ascii="宋体" w:hAnsi="宋体"/>
      </w:rPr>
      <w:fldChar w:fldCharType="begin"/>
    </w:r>
    <w:r>
      <w:rPr>
        <w:rStyle w:val="816"/>
        <w:rFonts w:ascii="宋体" w:hAnsi="宋体"/>
      </w:rPr>
      <w:instrText xml:space="preserve">PAGE  </w:instrText>
    </w:r>
    <w:r>
      <w:rPr>
        <w:rFonts w:ascii="宋体" w:hAnsi="宋体"/>
      </w:rPr>
      <w:fldChar w:fldCharType="separate"/>
    </w:r>
    <w:r>
      <w:rPr>
        <w:rStyle w:val="816"/>
        <w:rFonts w:ascii="宋体" w:hAnsi="宋体"/>
      </w:rPr>
      <w:t xml:space="preserve">１４５</w:t>
    </w:r>
    <w:r>
      <w:rPr>
        <w:rFonts w:ascii="宋体" w:hAnsi="宋体"/>
      </w:rPr>
      <w:fldChar w:fldCharType="end"/>
    </w:r>
    <w:r/>
  </w:p>
  <w:p>
    <w:pPr>
      <w:pStyle w:val="79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6"/>
      </w:rPr>
      <w:framePr w:wrap="around" w:vAnchor="text" w:hAnchor="margin" w:xAlign="center" w:y="1"/>
    </w:pPr>
    <w:r>
      <w:fldChar w:fldCharType="begin"/>
    </w:r>
    <w:r>
      <w:rPr>
        <w:rStyle w:val="816"/>
      </w:rPr>
      <w:instrText xml:space="preserve">PAGE  </w:instrText>
    </w:r>
    <w:r>
      <w:fldChar w:fldCharType="separate"/>
    </w:r>
    <w:r>
      <w:rPr>
        <w:rStyle w:val="816"/>
      </w:rPr>
      <w:t xml:space="preserve">1</w: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upperLetter"/>
      <w:pStyle w:val="8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2"/>
      <w:isLgl w:val="false"/>
      <w:suff w:val="nothing"/>
      <w:lvlText w:val=""/>
      <w:lvlJc w:val="left"/>
      <w:pPr>
        <w:ind w:left="0" w:firstLine="0"/>
      </w:pPr>
      <w:rPr>
        <w:rFonts w:hint="eastAsia"/>
      </w:rPr>
    </w:lvl>
    <w:lvl w:ilvl="6">
      <w:start w:val="1"/>
      <w:numFmt w:val="decimal"/>
      <w:pStyle w:val="753"/>
      <w:isLgl w:val="false"/>
      <w:suff w:val="nothing"/>
      <w:lvlText w:val=""/>
      <w:lvlJc w:val="left"/>
      <w:pPr>
        <w:ind w:left="0" w:firstLine="0"/>
      </w:pPr>
      <w:rPr>
        <w:rFonts w:hint="eastAsia"/>
      </w:rPr>
    </w:lvl>
    <w:lvl w:ilvl="7">
      <w:start w:val="1"/>
      <w:numFmt w:val="decimal"/>
      <w:pStyle w:val="754"/>
      <w:isLgl w:val="false"/>
      <w:suff w:val="nothing"/>
      <w:lvlText w:val=""/>
      <w:lvlJc w:val="left"/>
      <w:pPr>
        <w:ind w:left="0" w:firstLine="0"/>
      </w:pPr>
      <w:rPr>
        <w:rFonts w:hint="eastAsia"/>
      </w:rPr>
    </w:lvl>
    <w:lvl w:ilvl="8">
      <w:start w:val="1"/>
      <w:numFmt w:val="decimal"/>
      <w:pStyle w:val="755"/>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0"/>
  </w:num>
  <w:num w:numId="5">
    <w:abstractNumId w:val="1"/>
  </w:num>
  <w:num w:numId="6">
    <w:abstractNumId w:val="2"/>
  </w:num>
  <w:num w:numId="7">
    <w:abstractNumId w:val="5"/>
  </w:num>
  <w:num w:numId="8">
    <w:abstractNumId w:val="8"/>
  </w:num>
  <w:num w:numId="9">
    <w:abstractNumId w:val="11"/>
  </w:num>
  <w:num w:numId="10">
    <w:abstractNumId w:val="4"/>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2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link w:val="888"/>
    <w:uiPriority w:val="1"/>
    <w:qFormat/>
    <w:pPr>
      <w:ind w:left="120"/>
      <w:jc w:val="left"/>
      <w:outlineLvl w:val="0"/>
    </w:pPr>
    <w:rPr>
      <w:rFonts w:ascii="仿宋" w:hAnsi="仿宋" w:eastAsia="仿宋"/>
      <w:b/>
      <w:bCs/>
      <w:sz w:val="28"/>
      <w:szCs w:val="28"/>
      <w:lang w:eastAsia="en-US"/>
    </w:rPr>
  </w:style>
  <w:style w:type="paragraph" w:styleId="706">
    <w:name w:val="Heading 2"/>
    <w:basedOn w:val="704"/>
    <w:next w:val="704"/>
    <w:link w:val="879"/>
    <w:uiPriority w:val="9"/>
    <w:unhideWhenUsed/>
    <w:qFormat/>
    <w:pPr>
      <w:keepLines/>
      <w:keepNext/>
      <w:spacing w:before="360" w:after="200"/>
      <w:outlineLvl w:val="1"/>
    </w:pPr>
    <w:rPr>
      <w:rFonts w:ascii="Arial" w:hAnsi="Arial" w:eastAsia="Arial" w:cs="Arial"/>
      <w:sz w:val="34"/>
      <w:szCs w:val="24"/>
    </w:rPr>
  </w:style>
  <w:style w:type="paragraph" w:styleId="707">
    <w:name w:val="Heading 3"/>
    <w:basedOn w:val="704"/>
    <w:next w:val="704"/>
    <w:link w:val="88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881"/>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82"/>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83"/>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85"/>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86"/>
    <w:uiPriority w:val="9"/>
    <w:unhideWhenUsed/>
    <w:qFormat/>
    <w:pPr>
      <w:keepLines/>
      <w:keepNext/>
      <w:spacing w:before="320" w:after="200"/>
      <w:outlineLvl w:val="8"/>
    </w:pPr>
    <w:rPr>
      <w:rFonts w:ascii="Arial" w:hAnsi="Arial" w:eastAsia="Arial" w:cs="Arial"/>
      <w:i/>
      <w:iC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文本1"/>
    <w:basedOn w:val="704"/>
    <w:next w:val="704"/>
    <w:link w:val="776"/>
    <w:uiPriority w:val="1"/>
    <w:qFormat/>
    <w:rPr>
      <w:rFonts w:ascii="楷体_GB2312" w:hAnsi="Arial" w:eastAsia="楷体_GB2312"/>
      <w:sz w:val="28"/>
      <w:szCs w:val="28"/>
      <w:lang w:val="en-US" w:eastAsia="en-US"/>
    </w:rPr>
  </w:style>
  <w:style w:type="paragraph" w:styleId="717">
    <w:name w:val="toc 7"/>
    <w:basedOn w:val="704"/>
    <w:next w:val="704"/>
    <w:uiPriority w:val="39"/>
    <w:unhideWhenUsed/>
    <w:qFormat/>
    <w:pPr>
      <w:ind w:left="1701" w:right="0" w:firstLine="0"/>
      <w:spacing w:after="57"/>
    </w:pPr>
  </w:style>
  <w:style w:type="paragraph" w:styleId="718">
    <w:name w:val="Normal Indent"/>
    <w:basedOn w:val="704"/>
    <w:next w:val="704"/>
    <w:uiPriority w:val="0"/>
    <w:qFormat/>
    <w:pPr>
      <w:ind w:left="420" w:firstLine="4772"/>
    </w:pPr>
  </w:style>
  <w:style w:type="paragraph" w:styleId="719">
    <w:name w:val="Caption"/>
    <w:basedOn w:val="704"/>
    <w:next w:val="704"/>
    <w:uiPriority w:val="35"/>
    <w:semiHidden/>
    <w:unhideWhenUsed/>
    <w:qFormat/>
    <w:pPr>
      <w:spacing w:line="276" w:lineRule="auto"/>
    </w:pPr>
    <w:rPr>
      <w:b/>
      <w:bCs/>
      <w:color w:val="4f81bd" w:themeColor="accent1"/>
      <w:sz w:val="18"/>
      <w:szCs w:val="18"/>
    </w:rPr>
  </w:style>
  <w:style w:type="paragraph" w:styleId="720">
    <w:name w:val="Body Text"/>
    <w:basedOn w:val="704"/>
    <w:next w:val="718"/>
    <w:uiPriority w:val="0"/>
    <w:qFormat/>
    <w:pPr>
      <w:ind w:left="0" w:firstLine="2560"/>
    </w:pPr>
    <w:rPr>
      <w:rFonts w:ascii="Times New Roman" w:hAnsi="Times New Roman" w:eastAsia="宋体" w:cs="Times New Roman"/>
    </w:rPr>
  </w:style>
  <w:style w:type="paragraph" w:styleId="721">
    <w:name w:val="Body Text Indent"/>
    <w:basedOn w:val="704"/>
    <w:uiPriority w:val="99"/>
    <w:unhideWhenUsed/>
    <w:qFormat/>
    <w:pPr>
      <w:ind w:left="420"/>
      <w:spacing w:after="120"/>
    </w:pPr>
  </w:style>
  <w:style w:type="paragraph" w:styleId="722">
    <w:name w:val="toc 5"/>
    <w:basedOn w:val="704"/>
    <w:next w:val="704"/>
    <w:uiPriority w:val="39"/>
    <w:unhideWhenUsed/>
    <w:qFormat/>
    <w:pPr>
      <w:ind w:left="1134" w:right="0" w:firstLine="0"/>
      <w:spacing w:after="57"/>
    </w:pPr>
  </w:style>
  <w:style w:type="paragraph" w:styleId="723">
    <w:name w:val="toc 3"/>
    <w:basedOn w:val="704"/>
    <w:next w:val="704"/>
    <w:uiPriority w:val="39"/>
    <w:unhideWhenUsed/>
    <w:qFormat/>
    <w:pPr>
      <w:ind w:left="567" w:right="0" w:firstLine="0"/>
      <w:spacing w:after="57"/>
    </w:p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uiPriority w:val="99"/>
    <w:semiHidden/>
    <w:unhideWhenUsed/>
    <w:qFormat/>
    <w:pPr>
      <w:spacing w:after="0" w:line="240" w:lineRule="auto"/>
    </w:pPr>
    <w:rPr>
      <w:sz w:val="20"/>
    </w:rPr>
  </w:style>
  <w:style w:type="paragraph" w:styleId="726">
    <w:name w:val="Footer"/>
    <w:basedOn w:val="704"/>
    <w:uiPriority w:val="99"/>
    <w:unhideWhenUsed/>
    <w:qFormat/>
    <w:pPr>
      <w:spacing w:after="0" w:line="240" w:lineRule="auto"/>
      <w:tabs>
        <w:tab w:val="center" w:pos="7143" w:leader="none"/>
        <w:tab w:val="right" w:pos="14287" w:leader="none"/>
      </w:tabs>
    </w:pPr>
  </w:style>
  <w:style w:type="paragraph" w:styleId="727">
    <w:name w:val="Header"/>
    <w:basedOn w:val="704"/>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uiPriority w:val="11"/>
    <w:qFormat/>
    <w:pPr>
      <w:spacing w:before="200" w:after="200"/>
    </w:pPr>
    <w:rPr>
      <w:sz w:val="24"/>
      <w:szCs w:val="24"/>
    </w:rPr>
  </w:style>
  <w:style w:type="paragraph" w:styleId="731">
    <w:name w:val="footnote text"/>
    <w:basedOn w:val="704"/>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Title"/>
    <w:basedOn w:val="704"/>
    <w:next w:val="704"/>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rPr>
  </w:style>
  <w:style w:type="character" w:styleId="740">
    <w:name w:val="footnote reference"/>
    <w:uiPriority w:val="99"/>
    <w:unhideWhenUsed/>
    <w:qFormat/>
    <w:rPr>
      <w:vertAlign w:val="superscript"/>
    </w:rPr>
  </w:style>
  <w:style w:type="paragraph" w:styleId="741">
    <w:name w:val="List Paragraph"/>
    <w:basedOn w:val="704"/>
    <w:uiPriority w:val="34"/>
    <w:qFormat/>
    <w:pPr>
      <w:contextualSpacing/>
      <w:ind w:left="720"/>
    </w:pPr>
  </w:style>
  <w:style w:type="paragraph" w:styleId="742">
    <w:name w:val="No Spacing"/>
    <w:uiPriority w:val="1"/>
    <w:qFormat/>
    <w:pPr>
      <w:spacing w:before="0" w:after="0" w:line="240" w:lineRule="auto"/>
    </w:pPr>
    <w:rPr>
      <w:rFonts w:hint="default" w:ascii="Calibri" w:hAnsi="Calibri" w:eastAsia="宋体" w:cs="Times New Roman"/>
    </w:rPr>
  </w:style>
  <w:style w:type="paragraph" w:styleId="743">
    <w:name w:val="Quote"/>
    <w:basedOn w:val="704"/>
    <w:next w:val="704"/>
    <w:uiPriority w:val="29"/>
    <w:qFormat/>
    <w:pPr>
      <w:ind w:left="720" w:right="720"/>
    </w:pPr>
    <w:rPr>
      <w:i/>
    </w:rPr>
  </w:style>
  <w:style w:type="paragraph" w:styleId="744">
    <w:name w:val="Intense Quote"/>
    <w:basedOn w:val="704"/>
    <w:next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5" w:customStyle="1">
    <w:name w:val="TOC Heading"/>
    <w:uiPriority w:val="39"/>
    <w:unhideWhenUsed/>
    <w:qFormat/>
    <w:rPr>
      <w:rFonts w:hint="default" w:ascii="Calibri" w:hAnsi="Calibri" w:eastAsia="宋体" w:cs="Times New Roman"/>
    </w:rPr>
  </w:style>
  <w:style w:type="paragraph" w:styleId="746" w:customStyle="1">
    <w:name w:val="标题 111"/>
    <w:basedOn w:val="704"/>
    <w:next w:val="704"/>
    <w:link w:val="758"/>
    <w:uiPriority w:val="0"/>
    <w:qFormat/>
    <w:pPr>
      <w:jc w:val="center"/>
      <w:keepNext/>
      <w:outlineLvl w:val="0"/>
    </w:pPr>
    <w:rPr>
      <w:rFonts w:ascii="楷体_GB2312" w:eastAsia="楷体_GB2312"/>
      <w:sz w:val="28"/>
      <w:szCs w:val="28"/>
      <w:lang w:val="en-US" w:eastAsia="en-US"/>
    </w:rPr>
  </w:style>
  <w:style w:type="paragraph" w:styleId="747" w:customStyle="1">
    <w:name w:val="标题 211"/>
    <w:basedOn w:val="704"/>
    <w:next w:val="748"/>
    <w:link w:val="75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48" w:customStyle="1">
    <w:name w:val="正文缩进1"/>
    <w:basedOn w:val="704"/>
    <w:link w:val="760"/>
    <w:uiPriority w:val="0"/>
    <w:qFormat/>
    <w:pPr>
      <w:ind w:firstLine="420"/>
    </w:pPr>
    <w:rPr>
      <w:sz w:val="20"/>
      <w:lang w:val="en-US" w:eastAsia="en-US"/>
    </w:rPr>
  </w:style>
  <w:style w:type="paragraph" w:styleId="749" w:customStyle="1">
    <w:name w:val="标题 311"/>
    <w:basedOn w:val="704"/>
    <w:next w:val="748"/>
    <w:link w:val="761"/>
    <w:uiPriority w:val="0"/>
    <w:qFormat/>
    <w:pPr>
      <w:keepLines/>
      <w:keepNext/>
      <w:spacing w:before="260" w:after="260" w:line="416" w:lineRule="auto"/>
      <w:outlineLvl w:val="2"/>
    </w:pPr>
    <w:rPr>
      <w:b/>
      <w:bCs/>
      <w:sz w:val="32"/>
      <w:szCs w:val="32"/>
      <w:lang w:val="en-US" w:eastAsia="en-US"/>
    </w:rPr>
  </w:style>
  <w:style w:type="paragraph" w:styleId="750" w:customStyle="1">
    <w:name w:val="标题 411"/>
    <w:basedOn w:val="704"/>
    <w:next w:val="748"/>
    <w:link w:val="762"/>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751" w:customStyle="1">
    <w:name w:val="标题 511"/>
    <w:basedOn w:val="704"/>
    <w:next w:val="748"/>
    <w:link w:val="763"/>
    <w:uiPriority w:val="0"/>
    <w:qFormat/>
    <w:pPr>
      <w:keepNext/>
      <w:outlineLvl w:val="4"/>
    </w:pPr>
    <w:rPr>
      <w:rFonts w:ascii="宋体"/>
      <w:color w:val="000000"/>
      <w:sz w:val="28"/>
      <w:szCs w:val="28"/>
      <w:lang w:val="en-US" w:eastAsia="en-US"/>
    </w:rPr>
  </w:style>
  <w:style w:type="paragraph" w:styleId="752" w:customStyle="1">
    <w:name w:val="标题 611"/>
    <w:basedOn w:val="704"/>
    <w:next w:val="704"/>
    <w:link w:val="764"/>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53" w:customStyle="1">
    <w:name w:val="标题 711"/>
    <w:basedOn w:val="704"/>
    <w:next w:val="704"/>
    <w:link w:val="765"/>
    <w:uiPriority w:val="0"/>
    <w:qFormat/>
    <w:pPr>
      <w:numPr>
        <w:ilvl w:val="6"/>
        <w:numId w:val="1"/>
      </w:numPr>
      <w:keepLines/>
      <w:keepNext/>
      <w:spacing w:before="240" w:after="64" w:line="320" w:lineRule="auto"/>
      <w:outlineLvl w:val="6"/>
    </w:pPr>
    <w:rPr>
      <w:b/>
      <w:bCs/>
      <w:sz w:val="24"/>
      <w:szCs w:val="24"/>
      <w:lang w:val="en-US" w:eastAsia="en-US"/>
    </w:rPr>
  </w:style>
  <w:style w:type="paragraph" w:styleId="754" w:customStyle="1">
    <w:name w:val="标题 811"/>
    <w:basedOn w:val="704"/>
    <w:next w:val="704"/>
    <w:link w:val="766"/>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55" w:customStyle="1">
    <w:name w:val="标题 911"/>
    <w:basedOn w:val="704"/>
    <w:next w:val="704"/>
    <w:link w:val="767"/>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56" w:customStyle="1">
    <w:name w:val="默认段落字体1"/>
    <w:link w:val="704"/>
    <w:uiPriority w:val="1"/>
    <w:unhideWhenUsed/>
    <w:qFormat/>
  </w:style>
  <w:style w:type="table" w:styleId="757" w:customStyle="1">
    <w:name w:val="普通表格1"/>
    <w:uiPriority w:val="99"/>
    <w:unhideWhenUsed/>
    <w:qFormat/>
    <w:tblPr/>
  </w:style>
  <w:style w:type="character" w:styleId="758" w:customStyle="1">
    <w:name w:val="标题 1 Char"/>
    <w:link w:val="746"/>
    <w:uiPriority w:val="0"/>
    <w:qFormat/>
    <w:rPr>
      <w:rFonts w:ascii="楷体_GB2312" w:hAnsi="Times New Roman" w:eastAsia="楷体_GB2312" w:cs="Times New Roman"/>
      <w:sz w:val="28"/>
      <w:szCs w:val="28"/>
    </w:rPr>
  </w:style>
  <w:style w:type="character" w:styleId="759" w:customStyle="1">
    <w:name w:val="标题 2 Char"/>
    <w:link w:val="747"/>
    <w:uiPriority w:val="0"/>
    <w:qFormat/>
    <w:rPr>
      <w:rFonts w:ascii="Arial" w:hAnsi="Arial" w:eastAsia="幼圆" w:cs="Arial"/>
      <w:b/>
      <w:bCs/>
      <w:sz w:val="44"/>
      <w:szCs w:val="44"/>
    </w:rPr>
  </w:style>
  <w:style w:type="character" w:styleId="760" w:customStyle="1">
    <w:name w:val="正文缩进 Char"/>
    <w:link w:val="748"/>
    <w:uiPriority w:val="0"/>
    <w:qFormat/>
    <w:rPr>
      <w:rFonts w:ascii="Times New Roman" w:hAnsi="Times New Roman" w:eastAsia="宋体" w:cs="Times New Roman"/>
      <w:szCs w:val="21"/>
    </w:rPr>
  </w:style>
  <w:style w:type="character" w:styleId="761" w:customStyle="1">
    <w:name w:val="标题 3 Char"/>
    <w:link w:val="749"/>
    <w:uiPriority w:val="0"/>
    <w:qFormat/>
    <w:rPr>
      <w:rFonts w:ascii="Times New Roman" w:hAnsi="Times New Roman" w:eastAsia="宋体" w:cs="Times New Roman"/>
      <w:b/>
      <w:bCs/>
      <w:sz w:val="32"/>
      <w:szCs w:val="32"/>
    </w:rPr>
  </w:style>
  <w:style w:type="character" w:styleId="762" w:customStyle="1">
    <w:name w:val="标题 4 Char"/>
    <w:link w:val="750"/>
    <w:uiPriority w:val="0"/>
    <w:qFormat/>
    <w:rPr>
      <w:rFonts w:ascii="Arial" w:hAnsi="Arial" w:eastAsia="黑体" w:cs="Arial"/>
      <w:b/>
      <w:bCs/>
      <w:sz w:val="28"/>
      <w:szCs w:val="28"/>
    </w:rPr>
  </w:style>
  <w:style w:type="character" w:styleId="763" w:customStyle="1">
    <w:name w:val="标题 5 Char"/>
    <w:link w:val="751"/>
    <w:uiPriority w:val="0"/>
    <w:qFormat/>
    <w:rPr>
      <w:rFonts w:ascii="宋体" w:hAnsi="Times New Roman" w:eastAsia="宋体" w:cs="Times New Roman"/>
      <w:color w:val="000000"/>
      <w:sz w:val="28"/>
      <w:szCs w:val="28"/>
    </w:rPr>
  </w:style>
  <w:style w:type="character" w:styleId="764" w:customStyle="1">
    <w:name w:val="标题 6 Char"/>
    <w:link w:val="752"/>
    <w:uiPriority w:val="0"/>
    <w:qFormat/>
    <w:rPr>
      <w:rFonts w:ascii="Arial" w:hAnsi="Arial" w:eastAsia="黑体"/>
      <w:b/>
      <w:bCs/>
      <w:sz w:val="24"/>
      <w:szCs w:val="24"/>
      <w:lang w:val="en-US" w:eastAsia="en-US"/>
    </w:rPr>
  </w:style>
  <w:style w:type="character" w:styleId="765" w:customStyle="1">
    <w:name w:val="标题 7 Char"/>
    <w:link w:val="753"/>
    <w:uiPriority w:val="0"/>
    <w:qFormat/>
    <w:rPr>
      <w:rFonts w:ascii="Times New Roman" w:hAnsi="Times New Roman"/>
      <w:b/>
      <w:bCs/>
      <w:sz w:val="24"/>
      <w:szCs w:val="24"/>
      <w:lang w:val="en-US" w:eastAsia="en-US"/>
    </w:rPr>
  </w:style>
  <w:style w:type="character" w:styleId="766" w:customStyle="1">
    <w:name w:val="标题 8 Char"/>
    <w:link w:val="754"/>
    <w:uiPriority w:val="0"/>
    <w:qFormat/>
    <w:rPr>
      <w:rFonts w:ascii="Arial" w:hAnsi="Arial" w:eastAsia="黑体"/>
      <w:sz w:val="24"/>
      <w:szCs w:val="24"/>
      <w:lang w:val="en-US" w:eastAsia="en-US"/>
    </w:rPr>
  </w:style>
  <w:style w:type="character" w:styleId="767" w:customStyle="1">
    <w:name w:val="标题 9 Char"/>
    <w:link w:val="755"/>
    <w:uiPriority w:val="0"/>
    <w:qFormat/>
    <w:rPr>
      <w:rFonts w:ascii="Arial" w:hAnsi="Arial" w:eastAsia="黑体"/>
      <w:szCs w:val="21"/>
      <w:lang w:val="en-US" w:eastAsia="en-US"/>
    </w:rPr>
  </w:style>
  <w:style w:type="paragraph" w:styleId="768" w:customStyle="1">
    <w:name w:val="列表 31"/>
    <w:basedOn w:val="704"/>
    <w:uiPriority w:val="0"/>
    <w:qFormat/>
    <w:pPr>
      <w:ind w:left="100" w:hanging="200"/>
    </w:pPr>
  </w:style>
  <w:style w:type="paragraph" w:styleId="769" w:customStyle="1">
    <w:name w:val="目录 71"/>
    <w:basedOn w:val="704"/>
    <w:next w:val="704"/>
    <w:uiPriority w:val="39"/>
    <w:qFormat/>
    <w:pPr>
      <w:ind w:left="1260"/>
      <w:jc w:val="left"/>
    </w:pPr>
  </w:style>
  <w:style w:type="paragraph" w:styleId="770" w:customStyle="1">
    <w:name w:val="文档结构图1"/>
    <w:basedOn w:val="704"/>
    <w:link w:val="771"/>
    <w:uiPriority w:val="0"/>
    <w:semiHidden/>
    <w:qFormat/>
    <w:pPr>
      <w:shd w:val="clear" w:color="auto" w:fill="000080"/>
    </w:pPr>
    <w:rPr>
      <w:sz w:val="20"/>
      <w:lang w:val="en-US" w:eastAsia="en-US"/>
    </w:rPr>
  </w:style>
  <w:style w:type="character" w:styleId="771" w:customStyle="1">
    <w:name w:val="文档结构图 Char"/>
    <w:link w:val="770"/>
    <w:uiPriority w:val="0"/>
    <w:semiHidden/>
    <w:qFormat/>
    <w:rPr>
      <w:rFonts w:ascii="Times New Roman" w:hAnsi="Times New Roman" w:eastAsia="宋体" w:cs="Times New Roman"/>
      <w:szCs w:val="21"/>
      <w:shd w:val="clear" w:color="auto" w:fill="000080"/>
    </w:rPr>
  </w:style>
  <w:style w:type="paragraph" w:styleId="772" w:customStyle="1">
    <w:name w:val="批注文字1"/>
    <w:basedOn w:val="704"/>
    <w:link w:val="773"/>
    <w:uiPriority w:val="99"/>
    <w:semiHidden/>
    <w:qFormat/>
    <w:pPr>
      <w:jc w:val="left"/>
    </w:pPr>
    <w:rPr>
      <w:sz w:val="20"/>
      <w:lang w:val="en-US" w:eastAsia="en-US"/>
    </w:rPr>
  </w:style>
  <w:style w:type="character" w:styleId="773" w:customStyle="1">
    <w:name w:val="批注文字 Char"/>
    <w:link w:val="772"/>
    <w:uiPriority w:val="99"/>
    <w:semiHidden/>
    <w:qFormat/>
    <w:rPr>
      <w:rFonts w:ascii="Times New Roman" w:hAnsi="Times New Roman" w:eastAsia="宋体" w:cs="Times New Roman"/>
      <w:szCs w:val="21"/>
    </w:rPr>
  </w:style>
  <w:style w:type="paragraph" w:styleId="774" w:customStyle="1">
    <w:name w:val="正文文本 31"/>
    <w:basedOn w:val="704"/>
    <w:link w:val="775"/>
    <w:uiPriority w:val="0"/>
    <w:qFormat/>
    <w:rPr>
      <w:rFonts w:ascii="仿宋_GB2312" w:hAnsi="Arial" w:eastAsia="仿宋_GB2312"/>
      <w:sz w:val="32"/>
      <w:szCs w:val="32"/>
      <w:lang w:val="en-US" w:eastAsia="en-US"/>
    </w:rPr>
  </w:style>
  <w:style w:type="character" w:styleId="775" w:customStyle="1">
    <w:name w:val="正文文本 3 Char"/>
    <w:link w:val="774"/>
    <w:uiPriority w:val="0"/>
    <w:qFormat/>
    <w:rPr>
      <w:rFonts w:ascii="仿宋_GB2312" w:hAnsi="Arial" w:eastAsia="仿宋_GB2312" w:cs="Times New Roman"/>
      <w:sz w:val="32"/>
      <w:szCs w:val="32"/>
    </w:rPr>
  </w:style>
  <w:style w:type="character" w:styleId="776" w:customStyle="1">
    <w:name w:val="正文文本 Char"/>
    <w:link w:val="716"/>
    <w:uiPriority w:val="1"/>
    <w:qFormat/>
    <w:rPr>
      <w:rFonts w:ascii="楷体_GB2312" w:hAnsi="Arial" w:eastAsia="楷体_GB2312" w:cs="Times New Roman"/>
      <w:sz w:val="28"/>
      <w:szCs w:val="28"/>
    </w:rPr>
  </w:style>
  <w:style w:type="paragraph" w:styleId="777" w:customStyle="1">
    <w:name w:val="正文文本缩进1"/>
    <w:basedOn w:val="704"/>
    <w:link w:val="778"/>
    <w:uiPriority w:val="0"/>
    <w:qFormat/>
    <w:pPr>
      <w:ind w:firstLine="645"/>
    </w:pPr>
    <w:rPr>
      <w:rFonts w:ascii="楷体_GB2312" w:eastAsia="楷体_GB2312"/>
      <w:sz w:val="32"/>
      <w:szCs w:val="32"/>
      <w:lang w:val="en-US" w:eastAsia="en-US"/>
    </w:rPr>
  </w:style>
  <w:style w:type="character" w:styleId="778" w:customStyle="1">
    <w:name w:val="正文文本缩进 Char"/>
    <w:link w:val="777"/>
    <w:uiPriority w:val="0"/>
    <w:qFormat/>
    <w:rPr>
      <w:rFonts w:ascii="楷体_GB2312" w:hAnsi="Times New Roman" w:eastAsia="楷体_GB2312" w:cs="Times New Roman"/>
      <w:sz w:val="32"/>
      <w:szCs w:val="32"/>
    </w:rPr>
  </w:style>
  <w:style w:type="paragraph" w:styleId="779" w:customStyle="1">
    <w:name w:val="列表 21"/>
    <w:basedOn w:val="704"/>
    <w:uiPriority w:val="0"/>
    <w:qFormat/>
    <w:pPr>
      <w:ind w:left="100" w:hanging="200"/>
    </w:pPr>
  </w:style>
  <w:style w:type="paragraph" w:styleId="780" w:customStyle="1">
    <w:name w:val="目录 51"/>
    <w:basedOn w:val="704"/>
    <w:next w:val="704"/>
    <w:uiPriority w:val="39"/>
    <w:qFormat/>
    <w:pPr>
      <w:ind w:left="840"/>
      <w:jc w:val="left"/>
    </w:pPr>
  </w:style>
  <w:style w:type="paragraph" w:styleId="781" w:customStyle="1">
    <w:name w:val="目录 31"/>
    <w:basedOn w:val="704"/>
    <w:next w:val="704"/>
    <w:uiPriority w:val="39"/>
    <w:qFormat/>
    <w:pPr>
      <w:ind w:left="420"/>
      <w:jc w:val="left"/>
    </w:pPr>
    <w:rPr>
      <w:i/>
      <w:iCs/>
      <w:szCs w:val="24"/>
    </w:rPr>
  </w:style>
  <w:style w:type="paragraph" w:styleId="782" w:customStyle="1">
    <w:name w:val="纯文本1"/>
    <w:basedOn w:val="704"/>
    <w:link w:val="783"/>
    <w:uiPriority w:val="0"/>
    <w:qFormat/>
    <w:rPr>
      <w:rFonts w:ascii="宋体" w:hAnsi="Courier New"/>
      <w:sz w:val="20"/>
      <w:lang w:val="en-US" w:eastAsia="en-US"/>
    </w:rPr>
  </w:style>
  <w:style w:type="character" w:styleId="783" w:customStyle="1">
    <w:name w:val="纯文本 Char"/>
    <w:link w:val="782"/>
    <w:uiPriority w:val="0"/>
    <w:qFormat/>
    <w:rPr>
      <w:rFonts w:ascii="宋体" w:hAnsi="Courier New" w:eastAsia="宋体" w:cs="Courier New"/>
      <w:szCs w:val="21"/>
    </w:rPr>
  </w:style>
  <w:style w:type="paragraph" w:styleId="784" w:customStyle="1">
    <w:name w:val="目录 81"/>
    <w:basedOn w:val="704"/>
    <w:next w:val="704"/>
    <w:uiPriority w:val="39"/>
    <w:qFormat/>
    <w:pPr>
      <w:ind w:left="1470"/>
      <w:jc w:val="left"/>
    </w:pPr>
  </w:style>
  <w:style w:type="paragraph" w:styleId="785" w:customStyle="1">
    <w:name w:val="日期1"/>
    <w:basedOn w:val="704"/>
    <w:next w:val="704"/>
    <w:link w:val="786"/>
    <w:uiPriority w:val="0"/>
    <w:qFormat/>
    <w:rPr>
      <w:sz w:val="24"/>
      <w:szCs w:val="24"/>
      <w:lang w:val="en-US" w:eastAsia="en-US"/>
    </w:rPr>
  </w:style>
  <w:style w:type="character" w:styleId="786" w:customStyle="1">
    <w:name w:val="日期 Char"/>
    <w:link w:val="785"/>
    <w:uiPriority w:val="0"/>
    <w:qFormat/>
    <w:rPr>
      <w:rFonts w:ascii="Times New Roman" w:hAnsi="Times New Roman" w:eastAsia="宋体" w:cs="Times New Roman"/>
      <w:sz w:val="24"/>
      <w:szCs w:val="24"/>
    </w:rPr>
  </w:style>
  <w:style w:type="paragraph" w:styleId="787" w:customStyle="1">
    <w:name w:val="正文文本缩进 21"/>
    <w:basedOn w:val="704"/>
    <w:link w:val="788"/>
    <w:uiPriority w:val="0"/>
    <w:qFormat/>
    <w:pPr>
      <w:ind w:left="630" w:firstLine="645"/>
    </w:pPr>
    <w:rPr>
      <w:rFonts w:ascii="Arial" w:hAnsi="Arial" w:eastAsia="仿宋_GB2312"/>
      <w:sz w:val="32"/>
      <w:szCs w:val="32"/>
      <w:lang w:val="en-US" w:eastAsia="en-US"/>
    </w:rPr>
  </w:style>
  <w:style w:type="character" w:styleId="788" w:customStyle="1">
    <w:name w:val="正文文本缩进 2 Char"/>
    <w:link w:val="787"/>
    <w:uiPriority w:val="0"/>
    <w:qFormat/>
    <w:rPr>
      <w:rFonts w:ascii="Arial" w:hAnsi="Arial" w:eastAsia="仿宋_GB2312" w:cs="Arial"/>
      <w:sz w:val="32"/>
      <w:szCs w:val="32"/>
    </w:rPr>
  </w:style>
  <w:style w:type="paragraph" w:styleId="789" w:customStyle="1">
    <w:name w:val="批注框文本1"/>
    <w:basedOn w:val="704"/>
    <w:link w:val="790"/>
    <w:uiPriority w:val="99"/>
    <w:semiHidden/>
    <w:qFormat/>
    <w:rPr>
      <w:sz w:val="18"/>
      <w:szCs w:val="18"/>
      <w:lang w:val="en-US" w:eastAsia="en-US"/>
    </w:rPr>
  </w:style>
  <w:style w:type="character" w:styleId="790" w:customStyle="1">
    <w:name w:val="批注框文本 Char"/>
    <w:link w:val="789"/>
    <w:uiPriority w:val="99"/>
    <w:semiHidden/>
    <w:qFormat/>
    <w:rPr>
      <w:rFonts w:ascii="Times New Roman" w:hAnsi="Times New Roman" w:eastAsia="宋体" w:cs="Times New Roman"/>
      <w:sz w:val="18"/>
      <w:szCs w:val="18"/>
    </w:rPr>
  </w:style>
  <w:style w:type="paragraph" w:styleId="791" w:customStyle="1">
    <w:name w:val="页脚11"/>
    <w:basedOn w:val="704"/>
    <w:link w:val="792"/>
    <w:uiPriority w:val="99"/>
    <w:qFormat/>
    <w:pPr>
      <w:jc w:val="left"/>
      <w:tabs>
        <w:tab w:val="center" w:pos="4153" w:leader="none"/>
        <w:tab w:val="right" w:pos="8306" w:leader="none"/>
      </w:tabs>
    </w:pPr>
    <w:rPr>
      <w:sz w:val="18"/>
      <w:szCs w:val="18"/>
      <w:lang w:val="en-US" w:eastAsia="en-US"/>
    </w:rPr>
  </w:style>
  <w:style w:type="character" w:styleId="792" w:customStyle="1">
    <w:name w:val="页脚 Char"/>
    <w:link w:val="791"/>
    <w:uiPriority w:val="99"/>
    <w:qFormat/>
    <w:rPr>
      <w:rFonts w:ascii="Times New Roman" w:hAnsi="Times New Roman" w:eastAsia="宋体" w:cs="Times New Roman"/>
      <w:sz w:val="18"/>
      <w:szCs w:val="18"/>
    </w:rPr>
  </w:style>
  <w:style w:type="paragraph" w:styleId="793" w:customStyle="1">
    <w:name w:val="页眉11"/>
    <w:basedOn w:val="704"/>
    <w:link w:val="79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94" w:customStyle="1">
    <w:name w:val="页眉 Char"/>
    <w:link w:val="793"/>
    <w:uiPriority w:val="99"/>
    <w:qFormat/>
    <w:rPr>
      <w:rFonts w:ascii="Times New Roman" w:hAnsi="Times New Roman" w:eastAsia="宋体" w:cs="Times New Roman"/>
      <w:sz w:val="18"/>
      <w:szCs w:val="18"/>
    </w:rPr>
  </w:style>
  <w:style w:type="paragraph" w:styleId="795" w:customStyle="1">
    <w:name w:val="目录 1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96" w:customStyle="1">
    <w:name w:val="目录 41"/>
    <w:basedOn w:val="704"/>
    <w:next w:val="704"/>
    <w:uiPriority w:val="39"/>
    <w:qFormat/>
    <w:pPr>
      <w:ind w:left="630"/>
      <w:jc w:val="left"/>
    </w:pPr>
  </w:style>
  <w:style w:type="paragraph" w:styleId="797" w:customStyle="1">
    <w:name w:val="列表1"/>
    <w:basedOn w:val="704"/>
    <w:uiPriority w:val="0"/>
    <w:pPr>
      <w:ind w:left="200" w:hanging="200"/>
    </w:pPr>
  </w:style>
  <w:style w:type="paragraph" w:styleId="798" w:customStyle="1">
    <w:name w:val="目录 61"/>
    <w:basedOn w:val="704"/>
    <w:next w:val="704"/>
    <w:uiPriority w:val="39"/>
    <w:qFormat/>
    <w:pPr>
      <w:ind w:left="1050"/>
      <w:jc w:val="left"/>
    </w:pPr>
  </w:style>
  <w:style w:type="paragraph" w:styleId="799" w:customStyle="1">
    <w:name w:val="正文文本缩进 31"/>
    <w:basedOn w:val="704"/>
    <w:link w:val="800"/>
    <w:uiPriority w:val="0"/>
    <w:qFormat/>
    <w:pPr>
      <w:ind w:left="645" w:firstLine="645"/>
    </w:pPr>
    <w:rPr>
      <w:rFonts w:ascii="Arial" w:hAnsi="Arial" w:eastAsia="仿宋_GB2312"/>
      <w:color w:val="ffff00"/>
      <w:sz w:val="32"/>
      <w:szCs w:val="32"/>
      <w:lang w:val="en-US" w:eastAsia="en-US"/>
    </w:rPr>
  </w:style>
  <w:style w:type="character" w:styleId="800" w:customStyle="1">
    <w:name w:val="正文文本缩进 3 Char"/>
    <w:link w:val="799"/>
    <w:uiPriority w:val="0"/>
    <w:qFormat/>
    <w:rPr>
      <w:rFonts w:ascii="Arial" w:hAnsi="Arial" w:eastAsia="仿宋_GB2312" w:cs="Arial"/>
      <w:color w:val="ffff00"/>
      <w:sz w:val="32"/>
      <w:szCs w:val="32"/>
    </w:rPr>
  </w:style>
  <w:style w:type="paragraph" w:styleId="801" w:customStyle="1">
    <w:name w:val="图表目录1"/>
    <w:basedOn w:val="704"/>
    <w:next w:val="704"/>
    <w:uiPriority w:val="99"/>
    <w:qFormat/>
    <w:pPr>
      <w:ind w:left="840" w:hanging="420"/>
    </w:pPr>
  </w:style>
  <w:style w:type="paragraph" w:styleId="802" w:customStyle="1">
    <w:name w:val="目录 21"/>
    <w:basedOn w:val="704"/>
    <w:next w:val="704"/>
    <w:uiPriority w:val="39"/>
    <w:qFormat/>
    <w:pPr>
      <w:ind w:left="210"/>
      <w:jc w:val="left"/>
    </w:pPr>
    <w:rPr>
      <w:smallCaps/>
      <w:szCs w:val="24"/>
    </w:rPr>
  </w:style>
  <w:style w:type="paragraph" w:styleId="803" w:customStyle="1">
    <w:name w:val="目录 91"/>
    <w:basedOn w:val="704"/>
    <w:next w:val="704"/>
    <w:uiPriority w:val="39"/>
    <w:qFormat/>
    <w:pPr>
      <w:ind w:left="1680"/>
      <w:jc w:val="left"/>
    </w:pPr>
  </w:style>
  <w:style w:type="paragraph" w:styleId="804" w:customStyle="1">
    <w:name w:val="正文文本 21"/>
    <w:basedOn w:val="704"/>
    <w:link w:val="805"/>
    <w:uiPriority w:val="0"/>
    <w:qFormat/>
    <w:pPr>
      <w:jc w:val="center"/>
      <w:widowControl/>
    </w:pPr>
    <w:rPr>
      <w:rFonts w:ascii="楷体_GB2312" w:eastAsia="楷体_GB2312"/>
      <w:sz w:val="28"/>
      <w:szCs w:val="28"/>
      <w:lang w:val="en-US" w:eastAsia="en-US"/>
    </w:rPr>
  </w:style>
  <w:style w:type="character" w:styleId="805" w:customStyle="1">
    <w:name w:val="正文文本 2 Char"/>
    <w:link w:val="804"/>
    <w:uiPriority w:val="0"/>
    <w:qFormat/>
    <w:rPr>
      <w:rFonts w:ascii="楷体_GB2312" w:hAnsi="Times New Roman" w:eastAsia="楷体_GB2312" w:cs="Times New Roman"/>
      <w:sz w:val="28"/>
      <w:szCs w:val="28"/>
    </w:rPr>
  </w:style>
  <w:style w:type="paragraph" w:styleId="806"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807" w:customStyle="1">
    <w:name w:val="索引 11"/>
    <w:basedOn w:val="704"/>
    <w:next w:val="704"/>
    <w:uiPriority w:val="0"/>
    <w:semiHidden/>
    <w:qFormat/>
    <w:pPr>
      <w:spacing w:line="240" w:lineRule="atLeast"/>
    </w:pPr>
    <w:rPr>
      <w:b/>
      <w:bCs/>
    </w:rPr>
  </w:style>
  <w:style w:type="paragraph" w:styleId="808" w:customStyle="1">
    <w:name w:val="批注主题1"/>
    <w:basedOn w:val="772"/>
    <w:next w:val="772"/>
    <w:link w:val="809"/>
    <w:uiPriority w:val="99"/>
    <w:semiHidden/>
    <w:qFormat/>
    <w:rPr>
      <w:b/>
      <w:bCs/>
    </w:rPr>
  </w:style>
  <w:style w:type="character" w:styleId="809" w:customStyle="1">
    <w:name w:val="批注主题 Char"/>
    <w:link w:val="808"/>
    <w:uiPriority w:val="99"/>
    <w:semiHidden/>
    <w:qFormat/>
    <w:rPr>
      <w:rFonts w:ascii="Times New Roman" w:hAnsi="Times New Roman" w:eastAsia="宋体" w:cs="Times New Roman"/>
      <w:b/>
      <w:bCs/>
      <w:szCs w:val="21"/>
    </w:rPr>
  </w:style>
  <w:style w:type="paragraph" w:styleId="810" w:customStyle="1">
    <w:name w:val="正文首行缩进1"/>
    <w:basedOn w:val="704"/>
    <w:link w:val="811"/>
    <w:uiPriority w:val="0"/>
    <w:qFormat/>
    <w:pPr>
      <w:ind w:firstLine="200"/>
      <w:spacing w:line="360" w:lineRule="auto"/>
    </w:pPr>
    <w:rPr>
      <w:rFonts w:ascii="仿宋_GB2312" w:eastAsia="仿宋_GB2312"/>
      <w:sz w:val="30"/>
      <w:szCs w:val="30"/>
      <w:lang w:val="en-US" w:eastAsia="en-US"/>
    </w:rPr>
  </w:style>
  <w:style w:type="character" w:styleId="811" w:customStyle="1">
    <w:name w:val="正文首行缩进 Char"/>
    <w:link w:val="810"/>
    <w:uiPriority w:val="0"/>
    <w:qFormat/>
    <w:rPr>
      <w:rFonts w:ascii="仿宋_GB2312" w:hAnsi="Times New Roman" w:eastAsia="仿宋_GB2312" w:cs="Times New Roman"/>
      <w:sz w:val="30"/>
      <w:szCs w:val="30"/>
    </w:rPr>
  </w:style>
  <w:style w:type="paragraph" w:styleId="812" w:customStyle="1">
    <w:name w:val="正文首行缩进 21"/>
    <w:basedOn w:val="777"/>
    <w:link w:val="813"/>
    <w:uiPriority w:val="0"/>
    <w:qFormat/>
    <w:pPr>
      <w:ind w:firstLine="420"/>
      <w:spacing w:line="360" w:lineRule="auto"/>
    </w:pPr>
    <w:rPr>
      <w:rFonts w:ascii="宋体" w:hAnsi="宋体" w:eastAsia="宋体"/>
      <w:szCs w:val="20"/>
    </w:rPr>
  </w:style>
  <w:style w:type="character" w:styleId="813" w:customStyle="1">
    <w:name w:val="正文首行缩进 2 Char"/>
    <w:link w:val="812"/>
    <w:uiPriority w:val="0"/>
    <w:qFormat/>
    <w:rPr>
      <w:rFonts w:ascii="宋体" w:hAnsi="宋体" w:eastAsia="宋体" w:cs="Times New Roman"/>
      <w:sz w:val="32"/>
      <w:szCs w:val="20"/>
    </w:rPr>
  </w:style>
  <w:style w:type="table" w:styleId="814" w:customStyle="1">
    <w:name w:val="网格型1"/>
    <w:basedOn w:val="757"/>
    <w:uiPriority w:val="59"/>
    <w:qFormat/>
    <w:pPr>
      <w:jc w:val="both"/>
      <w:widowControl w:val="off"/>
    </w:pPr>
    <w:rPr>
      <w:rFonts w:ascii="Times New Roman" w:hAnsi="Times New Roman" w:eastAsia="宋体" w:cs="Times New Roman"/>
      <w:sz w:val="20"/>
      <w:szCs w:val="20"/>
    </w:rPr>
    <w:tblPr/>
  </w:style>
  <w:style w:type="character" w:styleId="815" w:customStyle="1">
    <w:name w:val="要点1"/>
    <w:link w:val="704"/>
    <w:uiPriority w:val="0"/>
    <w:qFormat/>
    <w:rPr>
      <w:b/>
      <w:bCs/>
    </w:rPr>
  </w:style>
  <w:style w:type="character" w:styleId="816" w:customStyle="1">
    <w:name w:val="页码1"/>
    <w:link w:val="704"/>
    <w:uiPriority w:val="0"/>
    <w:qFormat/>
  </w:style>
  <w:style w:type="character" w:styleId="817" w:customStyle="1">
    <w:name w:val="已访问的超链接1"/>
    <w:link w:val="704"/>
    <w:uiPriority w:val="0"/>
    <w:qFormat/>
    <w:rPr>
      <w:color w:val="800080"/>
      <w:u w:val="single"/>
    </w:rPr>
  </w:style>
  <w:style w:type="character" w:styleId="818" w:customStyle="1">
    <w:name w:val="HTML 打字机1"/>
    <w:link w:val="704"/>
    <w:uiPriority w:val="99"/>
    <w:qFormat/>
    <w:rPr>
      <w:rFonts w:ascii="宋体" w:hAnsi="宋体" w:eastAsia="宋体" w:cs="宋体"/>
      <w:sz w:val="24"/>
      <w:szCs w:val="24"/>
    </w:rPr>
  </w:style>
  <w:style w:type="character" w:styleId="819" w:customStyle="1">
    <w:name w:val="超链接1"/>
    <w:link w:val="704"/>
    <w:uiPriority w:val="99"/>
    <w:qFormat/>
    <w:rPr>
      <w:color w:val="0000ff"/>
      <w:u w:val="single"/>
    </w:rPr>
  </w:style>
  <w:style w:type="character" w:styleId="820" w:customStyle="1">
    <w:name w:val="批注引用1"/>
    <w:link w:val="704"/>
    <w:uiPriority w:val="99"/>
    <w:semiHidden/>
    <w:qFormat/>
    <w:rPr>
      <w:sz w:val="21"/>
      <w:szCs w:val="21"/>
    </w:rPr>
  </w:style>
  <w:style w:type="character" w:styleId="821" w:customStyle="1">
    <w:name w:val="font5 Char"/>
    <w:link w:val="704"/>
    <w:uiPriority w:val="0"/>
    <w:qFormat/>
    <w:rPr>
      <w:rFonts w:ascii="宋体" w:hAnsi="宋体" w:eastAsia="宋体"/>
      <w:sz w:val="28"/>
      <w:szCs w:val="28"/>
      <w:lang w:val="en-US" w:eastAsia="zh-CN" w:bidi="ar-SA"/>
    </w:rPr>
  </w:style>
  <w:style w:type="character" w:styleId="822" w:customStyle="1">
    <w:name w:val="二级目录 Char"/>
    <w:link w:val="823"/>
    <w:uiPriority w:val="0"/>
    <w:qFormat/>
    <w:rPr>
      <w:b/>
      <w:sz w:val="30"/>
      <w:szCs w:val="28"/>
      <w:lang w:val="en-US" w:eastAsia="zh-CN" w:bidi="ar-SA"/>
    </w:rPr>
  </w:style>
  <w:style w:type="paragraph" w:styleId="823" w:customStyle="1">
    <w:name w:val="二级目录"/>
    <w:next w:val="704"/>
    <w:link w:val="82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824" w:customStyle="1">
    <w:name w:val="列出段落 Char"/>
    <w:link w:val="825"/>
    <w:uiPriority w:val="0"/>
    <w:qFormat/>
    <w:rPr>
      <w:rFonts w:ascii="Calibri" w:hAnsi="Calibri"/>
      <w:sz w:val="24"/>
      <w:szCs w:val="24"/>
      <w:lang w:eastAsia="en-US" w:bidi="en-US"/>
    </w:rPr>
  </w:style>
  <w:style w:type="paragraph" w:styleId="825" w:customStyle="1">
    <w:name w:val="列出段落1"/>
    <w:basedOn w:val="704"/>
    <w:link w:val="824"/>
    <w:uiPriority w:val="0"/>
    <w:qFormat/>
    <w:pPr>
      <w:contextualSpacing/>
      <w:ind w:left="720"/>
      <w:jc w:val="left"/>
      <w:widowControl/>
    </w:pPr>
    <w:rPr>
      <w:rFonts w:ascii="Calibri" w:hAnsi="Calibri"/>
      <w:sz w:val="24"/>
      <w:szCs w:val="24"/>
      <w:lang w:val="en-US" w:eastAsia="en-US" w:bidi="en-US"/>
    </w:rPr>
  </w:style>
  <w:style w:type="paragraph" w:styleId="826" w:customStyle="1">
    <w:name w:val="Body Text(ch)"/>
    <w:basedOn w:val="704"/>
    <w:next w:val="716"/>
    <w:uiPriority w:val="0"/>
    <w:qFormat/>
    <w:pPr>
      <w:spacing w:after="120"/>
    </w:pPr>
    <w:rPr>
      <w:rFonts w:ascii="宋体" w:hAnsi="Arial"/>
      <w:bCs/>
      <w:iCs/>
      <w:szCs w:val="24"/>
    </w:rPr>
  </w:style>
  <w:style w:type="paragraph" w:styleId="827"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8"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customStyle="1">
    <w:name w:val="Char"/>
    <w:basedOn w:val="704"/>
    <w:uiPriority w:val="0"/>
    <w:qFormat/>
    <w:pPr>
      <w:ind w:firstLine="200"/>
      <w:tabs>
        <w:tab w:val="left" w:pos="360" w:leader="none"/>
      </w:tabs>
    </w:pPr>
    <w:rPr>
      <w:sz w:val="28"/>
      <w:szCs w:val="30"/>
    </w:rPr>
  </w:style>
  <w:style w:type="paragraph" w:styleId="830" w:customStyle="1">
    <w:name w:val=" Char"/>
    <w:basedOn w:val="770"/>
    <w:uiPriority w:val="0"/>
    <w:qFormat/>
    <w:rPr>
      <w:rFonts w:ascii="Tahoma" w:hAnsi="Tahoma"/>
      <w:sz w:val="24"/>
      <w:szCs w:val="24"/>
    </w:rPr>
  </w:style>
  <w:style w:type="paragraph" w:styleId="831"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832" w:customStyle="1">
    <w:name w:val="table_lines"/>
    <w:basedOn w:val="704"/>
    <w:uiPriority w:val="0"/>
    <w:qFormat/>
    <w:pPr>
      <w:jc w:val="left"/>
      <w:widowControl/>
    </w:pPr>
    <w:rPr>
      <w:sz w:val="20"/>
      <w:szCs w:val="20"/>
      <w:lang w:val="de-DE" w:eastAsia="de-DE"/>
    </w:rPr>
  </w:style>
  <w:style w:type="paragraph" w:styleId="8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834"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835" w:customStyle="1">
    <w:name w:val=" Char Char Char Char"/>
    <w:basedOn w:val="770"/>
    <w:uiPriority w:val="0"/>
    <w:qFormat/>
    <w:pPr>
      <w:spacing w:line="360" w:lineRule="auto"/>
    </w:pPr>
    <w:rPr>
      <w:rFonts w:ascii="Tahoma" w:hAnsi="Tahoma"/>
      <w:sz w:val="24"/>
      <w:szCs w:val="24"/>
    </w:rPr>
  </w:style>
  <w:style w:type="paragraph" w:styleId="836" w:customStyle="1">
    <w:name w:val="列出段落"/>
    <w:basedOn w:val="704"/>
    <w:uiPriority w:val="34"/>
    <w:qFormat/>
    <w:pPr>
      <w:contextualSpacing/>
      <w:ind w:left="720"/>
      <w:jc w:val="left"/>
      <w:widowControl/>
    </w:pPr>
    <w:rPr>
      <w:rFonts w:ascii="Calibri" w:hAnsi="Calibri"/>
      <w:sz w:val="24"/>
      <w:szCs w:val="24"/>
      <w:lang w:eastAsia="en-US" w:bidi="en-US"/>
    </w:rPr>
  </w:style>
  <w:style w:type="paragraph" w:styleId="837" w:customStyle="1">
    <w:name w:val="4"/>
    <w:basedOn w:val="704"/>
    <w:next w:val="799"/>
    <w:uiPriority w:val="0"/>
    <w:qFormat/>
    <w:pPr>
      <w:ind w:firstLine="420"/>
      <w:spacing w:line="360" w:lineRule="auto"/>
    </w:pPr>
    <w:rPr>
      <w:color w:val="ff0000"/>
      <w:sz w:val="24"/>
      <w:szCs w:val="24"/>
    </w:rPr>
  </w:style>
  <w:style w:type="paragraph" w:styleId="838"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839" w:customStyle="1">
    <w:name w:val=" Char Char Char Char Char Char Char Char Char Char"/>
    <w:basedOn w:val="704"/>
    <w:uiPriority w:val="0"/>
    <w:qFormat/>
    <w:pPr>
      <w:spacing w:line="360" w:lineRule="auto"/>
    </w:pPr>
    <w:rPr>
      <w:sz w:val="24"/>
      <w:szCs w:val="20"/>
    </w:rPr>
  </w:style>
  <w:style w:type="paragraph" w:styleId="840" w:customStyle="1">
    <w:name w:val="样式1"/>
    <w:basedOn w:val="704"/>
    <w:uiPriority w:val="0"/>
    <w:qFormat/>
    <w:pPr>
      <w:numPr>
        <w:ilvl w:val="0"/>
        <w:numId w:val="3"/>
      </w:numPr>
    </w:pPr>
    <w:rPr>
      <w:rFonts w:ascii="宋体" w:hAnsi="宋体"/>
    </w:rPr>
  </w:style>
  <w:style w:type="paragraph" w:styleId="841"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842"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3"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4"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845"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6"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7"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848"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9" w:customStyle="1">
    <w:name w:val="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850"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851" w:customStyle="1">
    <w:name w:val="Char Char Char Char"/>
    <w:basedOn w:val="770"/>
    <w:uiPriority w:val="0"/>
    <w:qFormat/>
    <w:pPr>
      <w:spacing w:line="360" w:lineRule="auto"/>
    </w:pPr>
    <w:rPr>
      <w:rFonts w:ascii="Tahoma" w:hAnsi="Tahoma"/>
      <w:sz w:val="24"/>
      <w:szCs w:val="24"/>
    </w:rPr>
  </w:style>
  <w:style w:type="paragraph" w:styleId="852" w:customStyle="1">
    <w:name w:val="table_1stline"/>
    <w:basedOn w:val="704"/>
    <w:uiPriority w:val="0"/>
    <w:qFormat/>
    <w:pPr>
      <w:jc w:val="left"/>
      <w:spacing w:before="120"/>
      <w:widowControl/>
    </w:pPr>
    <w:rPr>
      <w:bCs/>
      <w:sz w:val="20"/>
      <w:szCs w:val="20"/>
      <w:lang w:val="de-DE" w:eastAsia="de-DE"/>
    </w:rPr>
  </w:style>
  <w:style w:type="paragraph" w:styleId="853"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854"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856"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857" w:customStyle="1">
    <w:name w:val="普通文字"/>
    <w:basedOn w:val="704"/>
    <w:next w:val="704"/>
    <w:uiPriority w:val="99"/>
    <w:qFormat/>
    <w:rPr>
      <w:rFonts w:ascii="宋体" w:hAnsi="Times New Roman" w:eastAsia="宋体" w:cs="Times New Roman"/>
      <w:sz w:val="24"/>
      <w:szCs w:val="20"/>
      <w:u w:val="none"/>
    </w:rPr>
  </w:style>
  <w:style w:type="paragraph" w:styleId="858" w:customStyle="1">
    <w:name w:val="目录 111"/>
    <w:basedOn w:val="704"/>
    <w:next w:val="704"/>
    <w:uiPriority w:val="39"/>
    <w:unhideWhenUsed/>
    <w:qFormat/>
    <w:pPr>
      <w:jc w:val="left"/>
      <w:spacing w:after="100" w:line="259" w:lineRule="auto"/>
      <w:widowControl/>
    </w:pPr>
    <w:rPr>
      <w:rFonts w:ascii="Calibri" w:hAnsi="Calibri" w:eastAsia="宋体"/>
      <w:sz w:val="22"/>
      <w:szCs w:val="22"/>
    </w:rPr>
  </w:style>
  <w:style w:type="character" w:styleId="859" w:customStyle="1">
    <w:name w:val="font01"/>
    <w:basedOn w:val="756"/>
    <w:link w:val="704"/>
    <w:uiPriority w:val="0"/>
    <w:qFormat/>
    <w:rPr>
      <w:rFonts w:hint="eastAsia" w:ascii="宋体" w:hAnsi="宋体" w:eastAsia="宋体" w:cs="宋体"/>
      <w:color w:val="000000"/>
      <w:sz w:val="22"/>
      <w:szCs w:val="22"/>
      <w:u w:val="none"/>
    </w:rPr>
  </w:style>
  <w:style w:type="character" w:styleId="860" w:customStyle="1">
    <w:name w:val="font31"/>
    <w:basedOn w:val="756"/>
    <w:link w:val="704"/>
    <w:uiPriority w:val="0"/>
    <w:qFormat/>
    <w:rPr>
      <w:rFonts w:hint="eastAsia" w:ascii="宋体" w:hAnsi="宋体" w:eastAsia="宋体" w:cs="宋体"/>
      <w:color w:val="000000"/>
      <w:sz w:val="21"/>
      <w:szCs w:val="21"/>
      <w:u w:val="none"/>
    </w:rPr>
  </w:style>
  <w:style w:type="paragraph" w:styleId="861" w:customStyle="1">
    <w:name w:val="尾注文本1"/>
    <w:basedOn w:val="704"/>
    <w:link w:val="862"/>
    <w:uiPriority w:val="99"/>
    <w:unhideWhenUsed/>
    <w:qFormat/>
    <w:rPr>
      <w:rFonts w:ascii="Calibri" w:hAnsi="Calibri"/>
      <w:sz w:val="20"/>
      <w:szCs w:val="24"/>
    </w:rPr>
  </w:style>
  <w:style w:type="character" w:styleId="862" w:customStyle="1">
    <w:name w:val="尾注文本 Char"/>
    <w:basedOn w:val="756"/>
    <w:link w:val="861"/>
    <w:uiPriority w:val="99"/>
    <w:qFormat/>
    <w:rPr>
      <w:szCs w:val="24"/>
    </w:rPr>
  </w:style>
  <w:style w:type="paragraph" w:styleId="863" w:customStyle="1">
    <w:name w:val="副标题1"/>
    <w:basedOn w:val="704"/>
    <w:next w:val="704"/>
    <w:link w:val="864"/>
    <w:uiPriority w:val="11"/>
    <w:qFormat/>
    <w:pPr>
      <w:spacing w:before="200" w:after="200"/>
    </w:pPr>
    <w:rPr>
      <w:rFonts w:ascii="Calibri" w:hAnsi="Calibri"/>
      <w:sz w:val="24"/>
      <w:szCs w:val="24"/>
    </w:rPr>
  </w:style>
  <w:style w:type="character" w:styleId="864" w:customStyle="1">
    <w:name w:val="副标题 Char"/>
    <w:basedOn w:val="756"/>
    <w:link w:val="863"/>
    <w:uiPriority w:val="11"/>
    <w:qFormat/>
    <w:rPr>
      <w:sz w:val="24"/>
      <w:szCs w:val="24"/>
    </w:rPr>
  </w:style>
  <w:style w:type="paragraph" w:styleId="865" w:customStyle="1">
    <w:name w:val="脚注文本1"/>
    <w:basedOn w:val="704"/>
    <w:link w:val="866"/>
    <w:uiPriority w:val="99"/>
    <w:unhideWhenUsed/>
    <w:qFormat/>
    <w:pPr>
      <w:spacing w:after="40"/>
    </w:pPr>
    <w:rPr>
      <w:rFonts w:ascii="Calibri" w:hAnsi="Calibri"/>
      <w:sz w:val="18"/>
      <w:szCs w:val="24"/>
    </w:rPr>
  </w:style>
  <w:style w:type="character" w:styleId="866" w:customStyle="1">
    <w:name w:val="脚注文本 Char"/>
    <w:basedOn w:val="756"/>
    <w:link w:val="865"/>
    <w:uiPriority w:val="99"/>
    <w:qFormat/>
    <w:rPr>
      <w:sz w:val="18"/>
      <w:szCs w:val="24"/>
    </w:rPr>
  </w:style>
  <w:style w:type="paragraph" w:styleId="867" w:customStyle="1">
    <w:name w:val="标题2"/>
    <w:basedOn w:val="704"/>
    <w:next w:val="704"/>
    <w:link w:val="868"/>
    <w:uiPriority w:val="10"/>
    <w:qFormat/>
    <w:pPr>
      <w:contextualSpacing/>
      <w:spacing w:before="300" w:after="200"/>
    </w:pPr>
    <w:rPr>
      <w:rFonts w:ascii="Calibri" w:hAnsi="Calibri"/>
      <w:sz w:val="48"/>
      <w:szCs w:val="48"/>
    </w:rPr>
  </w:style>
  <w:style w:type="character" w:styleId="868" w:customStyle="1">
    <w:name w:val="标题 Char"/>
    <w:basedOn w:val="756"/>
    <w:link w:val="867"/>
    <w:uiPriority w:val="10"/>
    <w:qFormat/>
    <w:rPr>
      <w:sz w:val="48"/>
      <w:szCs w:val="48"/>
    </w:rPr>
  </w:style>
  <w:style w:type="character" w:styleId="869" w:customStyle="1">
    <w:name w:val="尾注引用1"/>
    <w:link w:val="704"/>
    <w:uiPriority w:val="99"/>
    <w:unhideWhenUsed/>
    <w:qFormat/>
    <w:rPr>
      <w:vertAlign w:val="superscript"/>
    </w:rPr>
  </w:style>
  <w:style w:type="character" w:styleId="870" w:customStyle="1">
    <w:name w:val="脚注引用1"/>
    <w:link w:val="704"/>
    <w:uiPriority w:val="99"/>
    <w:unhideWhenUsed/>
    <w:qFormat/>
    <w:rPr>
      <w:vertAlign w:val="superscript"/>
    </w:rPr>
  </w:style>
  <w:style w:type="character" w:styleId="871" w:customStyle="1">
    <w:name w:val="标题 1 字符"/>
    <w:link w:val="872"/>
    <w:uiPriority w:val="9"/>
    <w:qFormat/>
    <w:rPr>
      <w:b/>
      <w:sz w:val="44"/>
      <w:szCs w:val="24"/>
    </w:rPr>
  </w:style>
  <w:style w:type="paragraph" w:styleId="872" w:customStyle="1">
    <w:name w:val="标题 11"/>
    <w:basedOn w:val="704"/>
    <w:next w:val="704"/>
    <w:link w:val="871"/>
    <w:uiPriority w:val="9"/>
    <w:qFormat/>
    <w:pPr>
      <w:keepLines/>
      <w:keepNext/>
      <w:spacing w:before="340" w:after="330" w:line="576" w:lineRule="auto"/>
      <w:outlineLvl w:val="0"/>
    </w:pPr>
    <w:rPr>
      <w:rFonts w:ascii="Calibri" w:hAnsi="Calibri"/>
      <w:b/>
      <w:sz w:val="44"/>
      <w:szCs w:val="24"/>
      <w:lang w:val="en-US" w:eastAsia="en-US"/>
    </w:rPr>
  </w:style>
  <w:style w:type="character" w:styleId="873" w:customStyle="1">
    <w:name w:val="标题 3 字符"/>
    <w:link w:val="874"/>
    <w:uiPriority w:val="9"/>
    <w:qFormat/>
    <w:rPr>
      <w:b/>
      <w:sz w:val="32"/>
      <w:szCs w:val="24"/>
    </w:rPr>
  </w:style>
  <w:style w:type="paragraph" w:styleId="874" w:customStyle="1">
    <w:name w:val="标题 31"/>
    <w:basedOn w:val="704"/>
    <w:next w:val="704"/>
    <w:link w:val="873"/>
    <w:uiPriority w:val="9"/>
    <w:qFormat/>
    <w:pPr>
      <w:keepLines/>
      <w:keepNext/>
      <w:spacing w:before="260" w:after="260" w:line="413" w:lineRule="auto"/>
      <w:outlineLvl w:val="2"/>
    </w:pPr>
    <w:rPr>
      <w:rFonts w:ascii="Calibri" w:hAnsi="Calibri"/>
      <w:b/>
      <w:sz w:val="32"/>
      <w:szCs w:val="24"/>
      <w:lang w:val="en-US" w:eastAsia="en-US"/>
    </w:rPr>
  </w:style>
  <w:style w:type="character" w:styleId="875" w:customStyle="1">
    <w:name w:val="标题 4 字符"/>
    <w:link w:val="876"/>
    <w:uiPriority w:val="9"/>
    <w:qFormat/>
    <w:rPr>
      <w:rFonts w:ascii="Arial" w:hAnsi="Arial" w:eastAsia="黑体"/>
      <w:b/>
      <w:sz w:val="28"/>
      <w:szCs w:val="24"/>
    </w:rPr>
  </w:style>
  <w:style w:type="paragraph" w:styleId="876" w:customStyle="1">
    <w:name w:val="标题 41"/>
    <w:basedOn w:val="704"/>
    <w:next w:val="704"/>
    <w:link w:val="875"/>
    <w:uiPriority w:val="9"/>
    <w:qFormat/>
    <w:pPr>
      <w:keepLines/>
      <w:keepNext/>
      <w:spacing w:before="280" w:after="290" w:line="372" w:lineRule="auto"/>
      <w:outlineLvl w:val="3"/>
    </w:pPr>
    <w:rPr>
      <w:rFonts w:ascii="Arial" w:hAnsi="Arial" w:eastAsia="黑体"/>
      <w:b/>
      <w:sz w:val="28"/>
      <w:szCs w:val="24"/>
      <w:lang w:val="en-US" w:eastAsia="en-US"/>
    </w:rPr>
  </w:style>
  <w:style w:type="character" w:styleId="877" w:customStyle="1">
    <w:name w:val="标题 5 字符"/>
    <w:link w:val="878"/>
    <w:uiPriority w:val="9"/>
    <w:qFormat/>
    <w:rPr>
      <w:rFonts w:ascii="Arial" w:hAnsi="Arial" w:eastAsia="Arial" w:cs="Arial"/>
      <w:b/>
      <w:bCs/>
      <w:sz w:val="24"/>
      <w:szCs w:val="24"/>
    </w:rPr>
  </w:style>
  <w:style w:type="paragraph" w:styleId="878" w:customStyle="1">
    <w:name w:val="标题 51"/>
    <w:basedOn w:val="704"/>
    <w:next w:val="704"/>
    <w:link w:val="877"/>
    <w:uiPriority w:val="9"/>
    <w:unhideWhenUsed/>
    <w:qFormat/>
    <w:pPr>
      <w:keepLines/>
      <w:keepNext/>
      <w:spacing w:before="320" w:after="200"/>
      <w:outlineLvl w:val="4"/>
    </w:pPr>
    <w:rPr>
      <w:rFonts w:ascii="Arial" w:hAnsi="Arial" w:eastAsia="Arial"/>
      <w:b/>
      <w:bCs/>
      <w:sz w:val="24"/>
      <w:szCs w:val="24"/>
      <w:lang w:val="en-US" w:eastAsia="en-US"/>
    </w:rPr>
  </w:style>
  <w:style w:type="character" w:styleId="879" w:customStyle="1">
    <w:name w:val="Heading 2 Char"/>
    <w:basedOn w:val="756"/>
    <w:link w:val="706"/>
    <w:uiPriority w:val="9"/>
    <w:qFormat/>
    <w:rPr>
      <w:rFonts w:ascii="Arial" w:hAnsi="Arial" w:eastAsia="Arial" w:cs="Arial"/>
      <w:sz w:val="34"/>
      <w:szCs w:val="24"/>
    </w:rPr>
  </w:style>
  <w:style w:type="character" w:styleId="880" w:customStyle="1">
    <w:name w:val="Heading 3 Char"/>
    <w:basedOn w:val="756"/>
    <w:link w:val="707"/>
    <w:uiPriority w:val="9"/>
    <w:qFormat/>
    <w:rPr>
      <w:rFonts w:ascii="Arial" w:hAnsi="Arial" w:eastAsia="Arial" w:cs="Arial"/>
      <w:sz w:val="30"/>
      <w:szCs w:val="30"/>
    </w:rPr>
  </w:style>
  <w:style w:type="character" w:styleId="881" w:customStyle="1">
    <w:name w:val="Heading 4 Char"/>
    <w:basedOn w:val="756"/>
    <w:link w:val="708"/>
    <w:uiPriority w:val="9"/>
    <w:qFormat/>
    <w:rPr>
      <w:rFonts w:ascii="Arial" w:hAnsi="Arial" w:eastAsia="Arial" w:cs="Arial"/>
      <w:b/>
      <w:bCs/>
      <w:sz w:val="26"/>
      <w:szCs w:val="26"/>
    </w:rPr>
  </w:style>
  <w:style w:type="character" w:styleId="882" w:customStyle="1">
    <w:name w:val="Heading 5 Char"/>
    <w:basedOn w:val="756"/>
    <w:link w:val="709"/>
    <w:uiPriority w:val="9"/>
    <w:qFormat/>
    <w:rPr>
      <w:rFonts w:ascii="Arial" w:hAnsi="Arial" w:eastAsia="Arial" w:cs="Arial"/>
      <w:b/>
      <w:bCs/>
      <w:sz w:val="24"/>
      <w:szCs w:val="24"/>
    </w:rPr>
  </w:style>
  <w:style w:type="character" w:styleId="883" w:customStyle="1">
    <w:name w:val="Heading 6 Char"/>
    <w:basedOn w:val="756"/>
    <w:link w:val="710"/>
    <w:uiPriority w:val="9"/>
    <w:qFormat/>
    <w:rPr>
      <w:rFonts w:ascii="Arial" w:hAnsi="Arial" w:eastAsia="Arial" w:cs="Arial"/>
      <w:b/>
      <w:bCs/>
      <w:sz w:val="22"/>
      <w:szCs w:val="22"/>
    </w:rPr>
  </w:style>
  <w:style w:type="character" w:styleId="884" w:customStyle="1">
    <w:name w:val="Heading 7 Char"/>
    <w:basedOn w:val="756"/>
    <w:link w:val="711"/>
    <w:uiPriority w:val="9"/>
    <w:qFormat/>
    <w:rPr>
      <w:rFonts w:ascii="Arial" w:hAnsi="Arial" w:eastAsia="Arial" w:cs="Arial"/>
      <w:b/>
      <w:bCs/>
      <w:i/>
      <w:iCs/>
      <w:sz w:val="22"/>
      <w:szCs w:val="22"/>
    </w:rPr>
  </w:style>
  <w:style w:type="character" w:styleId="885" w:customStyle="1">
    <w:name w:val="Heading 8 Char"/>
    <w:basedOn w:val="756"/>
    <w:link w:val="712"/>
    <w:uiPriority w:val="9"/>
    <w:qFormat/>
    <w:rPr>
      <w:rFonts w:ascii="Arial" w:hAnsi="Arial" w:eastAsia="Arial" w:cs="Arial"/>
      <w:i/>
      <w:iCs/>
      <w:sz w:val="22"/>
      <w:szCs w:val="22"/>
    </w:rPr>
  </w:style>
  <w:style w:type="character" w:styleId="886" w:customStyle="1">
    <w:name w:val="Heading 9 Char"/>
    <w:basedOn w:val="756"/>
    <w:link w:val="713"/>
    <w:uiPriority w:val="9"/>
    <w:qFormat/>
    <w:rPr>
      <w:rFonts w:ascii="Arial" w:hAnsi="Arial" w:eastAsia="Arial" w:cs="Arial"/>
      <w:i/>
      <w:iCs/>
      <w:sz w:val="21"/>
      <w:szCs w:val="21"/>
    </w:rPr>
  </w:style>
  <w:style w:type="paragraph" w:styleId="887" w:customStyle="1">
    <w:name w:val="TOC 标题"/>
    <w:uiPriority w:val="39"/>
    <w:qFormat/>
    <w:rPr>
      <w:rFonts w:hint="default" w:ascii="Times New Roman" w:hAnsi="Times New Roman" w:eastAsia="宋体" w:cs="Times New Roman"/>
      <w:lang w:val="en-US" w:eastAsia="zh-CN" w:bidi="ar-SA"/>
    </w:rPr>
  </w:style>
  <w:style w:type="character" w:styleId="888" w:customStyle="1">
    <w:name w:val="标题 1 字符1"/>
    <w:basedOn w:val="756"/>
    <w:link w:val="705"/>
    <w:uiPriority w:val="1"/>
    <w:qFormat/>
    <w:rPr>
      <w:rFonts w:ascii="仿宋" w:hAnsi="仿宋" w:eastAsia="仿宋"/>
      <w:b/>
      <w:bCs/>
      <w:sz w:val="28"/>
      <w:szCs w:val="28"/>
      <w:lang w:eastAsia="en-US"/>
    </w:rPr>
  </w:style>
  <w:style w:type="paragraph" w:styleId="889" w:customStyle="1">
    <w:name w:val="Footer1"/>
    <w:basedOn w:val="704"/>
    <w:link w:val="890"/>
    <w:uiPriority w:val="99"/>
    <w:unhideWhenUsed/>
    <w:qFormat/>
    <w:pPr>
      <w:jc w:val="left"/>
      <w:tabs>
        <w:tab w:val="center" w:pos="4153" w:leader="none"/>
        <w:tab w:val="right" w:pos="8306" w:leader="none"/>
      </w:tabs>
    </w:pPr>
    <w:rPr>
      <w:rFonts w:ascii="Calibri" w:hAnsi="Calibri"/>
      <w:sz w:val="18"/>
      <w:szCs w:val="18"/>
    </w:rPr>
  </w:style>
  <w:style w:type="character" w:styleId="890" w:customStyle="1">
    <w:name w:val="页脚 字符1"/>
    <w:basedOn w:val="756"/>
    <w:link w:val="889"/>
    <w:uiPriority w:val="99"/>
    <w:qFormat/>
    <w:rPr>
      <w:sz w:val="18"/>
      <w:szCs w:val="18"/>
    </w:rPr>
  </w:style>
  <w:style w:type="paragraph" w:styleId="891" w:customStyle="1">
    <w:name w:val="Header1"/>
    <w:basedOn w:val="704"/>
    <w:link w:val="892"/>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892" w:customStyle="1">
    <w:name w:val="页眉 字符1"/>
    <w:basedOn w:val="756"/>
    <w:link w:val="891"/>
    <w:uiPriority w:val="99"/>
    <w:qFormat/>
    <w:rPr>
      <w:sz w:val="18"/>
      <w:szCs w:val="18"/>
    </w:rPr>
  </w:style>
  <w:style w:type="character" w:styleId="893" w:customStyle="1">
    <w:name w:val="Heading 1 Char"/>
    <w:basedOn w:val="756"/>
    <w:link w:val="704"/>
    <w:uiPriority w:val="9"/>
    <w:qFormat/>
    <w:rPr>
      <w:rFonts w:ascii="Arial" w:hAnsi="Arial" w:eastAsia="Arial" w:cs="Arial"/>
      <w:sz w:val="40"/>
      <w:szCs w:val="40"/>
    </w:rPr>
  </w:style>
  <w:style w:type="character" w:styleId="894" w:customStyle="1">
    <w:name w:val="Title Char"/>
    <w:basedOn w:val="756"/>
    <w:link w:val="704"/>
    <w:uiPriority w:val="10"/>
    <w:qFormat/>
    <w:rPr>
      <w:sz w:val="48"/>
      <w:szCs w:val="48"/>
    </w:rPr>
  </w:style>
  <w:style w:type="character" w:styleId="895" w:customStyle="1">
    <w:name w:val="Subtitle Char"/>
    <w:basedOn w:val="756"/>
    <w:link w:val="704"/>
    <w:uiPriority w:val="11"/>
    <w:qFormat/>
    <w:rPr>
      <w:sz w:val="24"/>
      <w:szCs w:val="24"/>
    </w:rPr>
  </w:style>
  <w:style w:type="character" w:styleId="896" w:customStyle="1">
    <w:name w:val="Quote Char"/>
    <w:link w:val="704"/>
    <w:uiPriority w:val="29"/>
    <w:qFormat/>
    <w:rPr>
      <w:i/>
    </w:rPr>
  </w:style>
  <w:style w:type="character" w:styleId="897" w:customStyle="1">
    <w:name w:val="Intense Quote Char"/>
    <w:link w:val="704"/>
    <w:uiPriority w:val="30"/>
    <w:qFormat/>
    <w:rPr>
      <w:i/>
    </w:rPr>
  </w:style>
  <w:style w:type="character" w:styleId="898" w:customStyle="1">
    <w:name w:val="Footnote Text Char"/>
    <w:link w:val="704"/>
    <w:uiPriority w:val="99"/>
    <w:qFormat/>
    <w:rPr>
      <w:sz w:val="18"/>
    </w:rPr>
  </w:style>
  <w:style w:type="character" w:styleId="899" w:customStyle="1">
    <w:name w:val="Endnote Text Char"/>
    <w:link w:val="704"/>
    <w:uiPriority w:val="99"/>
    <w:qFormat/>
    <w:rPr>
      <w:sz w:val="20"/>
    </w:rPr>
  </w:style>
  <w:style w:type="paragraph" w:styleId="900" w:customStyle="1">
    <w:name w:val="标题 21"/>
    <w:basedOn w:val="704"/>
    <w:next w:val="704"/>
    <w:link w:val="901"/>
    <w:uiPriority w:val="9"/>
    <w:qFormat/>
    <w:pPr>
      <w:keepLines/>
      <w:keepNext/>
      <w:spacing w:before="260" w:after="260" w:line="413" w:lineRule="auto"/>
      <w:outlineLvl w:val="1"/>
    </w:pPr>
    <w:rPr>
      <w:rFonts w:ascii="Arial" w:hAnsi="Arial" w:eastAsia="黑体"/>
      <w:b/>
      <w:sz w:val="32"/>
      <w:szCs w:val="24"/>
      <w:lang w:val="en-US" w:eastAsia="en-US"/>
    </w:rPr>
  </w:style>
  <w:style w:type="character" w:styleId="901" w:customStyle="1">
    <w:name w:val="标题 2 字符"/>
    <w:link w:val="900"/>
    <w:uiPriority w:val="9"/>
    <w:qFormat/>
    <w:rPr>
      <w:rFonts w:ascii="Arial" w:hAnsi="Arial" w:eastAsia="黑体"/>
      <w:b/>
      <w:sz w:val="32"/>
      <w:szCs w:val="24"/>
    </w:rPr>
  </w:style>
  <w:style w:type="paragraph" w:styleId="902" w:customStyle="1">
    <w:name w:val="标题 61"/>
    <w:basedOn w:val="704"/>
    <w:next w:val="704"/>
    <w:link w:val="903"/>
    <w:uiPriority w:val="9"/>
    <w:unhideWhenUsed/>
    <w:qFormat/>
    <w:pPr>
      <w:keepLines/>
      <w:keepNext/>
      <w:spacing w:before="320" w:after="200"/>
      <w:outlineLvl w:val="5"/>
    </w:pPr>
    <w:rPr>
      <w:rFonts w:ascii="Arial" w:hAnsi="Arial" w:eastAsia="Arial"/>
      <w:b/>
      <w:bCs/>
      <w:sz w:val="22"/>
      <w:szCs w:val="22"/>
      <w:lang w:val="en-US" w:eastAsia="en-US"/>
    </w:rPr>
  </w:style>
  <w:style w:type="character" w:styleId="903" w:customStyle="1">
    <w:name w:val="标题 6 字符"/>
    <w:link w:val="902"/>
    <w:uiPriority w:val="9"/>
    <w:qFormat/>
    <w:rPr>
      <w:rFonts w:ascii="Arial" w:hAnsi="Arial" w:eastAsia="Arial"/>
      <w:b/>
      <w:bCs/>
      <w:sz w:val="22"/>
      <w:szCs w:val="22"/>
    </w:rPr>
  </w:style>
  <w:style w:type="paragraph" w:styleId="904" w:customStyle="1">
    <w:name w:val="标题 71"/>
    <w:basedOn w:val="704"/>
    <w:next w:val="704"/>
    <w:link w:val="905"/>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905" w:customStyle="1">
    <w:name w:val="标题 7 字符"/>
    <w:link w:val="904"/>
    <w:uiPriority w:val="9"/>
    <w:qFormat/>
    <w:rPr>
      <w:rFonts w:ascii="Arial" w:hAnsi="Arial" w:eastAsia="Arial"/>
      <w:b/>
      <w:bCs/>
      <w:i/>
      <w:iCs/>
      <w:sz w:val="22"/>
      <w:szCs w:val="22"/>
    </w:rPr>
  </w:style>
  <w:style w:type="paragraph" w:styleId="906" w:customStyle="1">
    <w:name w:val="标题 81"/>
    <w:basedOn w:val="704"/>
    <w:next w:val="704"/>
    <w:link w:val="907"/>
    <w:uiPriority w:val="9"/>
    <w:unhideWhenUsed/>
    <w:qFormat/>
    <w:pPr>
      <w:keepLines/>
      <w:keepNext/>
      <w:spacing w:before="320" w:after="200"/>
      <w:outlineLvl w:val="7"/>
    </w:pPr>
    <w:rPr>
      <w:rFonts w:ascii="Arial" w:hAnsi="Arial" w:eastAsia="Arial"/>
      <w:i/>
      <w:iCs/>
      <w:sz w:val="22"/>
      <w:szCs w:val="22"/>
      <w:lang w:val="en-US" w:eastAsia="en-US"/>
    </w:rPr>
  </w:style>
  <w:style w:type="character" w:styleId="907" w:customStyle="1">
    <w:name w:val="标题 8 字符"/>
    <w:link w:val="906"/>
    <w:uiPriority w:val="9"/>
    <w:qFormat/>
    <w:rPr>
      <w:rFonts w:ascii="Arial" w:hAnsi="Arial" w:eastAsia="Arial"/>
      <w:i/>
      <w:iCs/>
      <w:sz w:val="22"/>
      <w:szCs w:val="22"/>
    </w:rPr>
  </w:style>
  <w:style w:type="paragraph" w:styleId="908" w:customStyle="1">
    <w:name w:val="标题 91"/>
    <w:basedOn w:val="704"/>
    <w:next w:val="704"/>
    <w:link w:val="909"/>
    <w:uiPriority w:val="9"/>
    <w:unhideWhenUsed/>
    <w:qFormat/>
    <w:pPr>
      <w:keepLines/>
      <w:keepNext/>
      <w:spacing w:before="320" w:after="200"/>
      <w:outlineLvl w:val="8"/>
    </w:pPr>
    <w:rPr>
      <w:rFonts w:ascii="Arial" w:hAnsi="Arial" w:eastAsia="Arial"/>
      <w:i/>
      <w:iCs/>
      <w:lang w:val="en-US" w:eastAsia="en-US"/>
    </w:rPr>
  </w:style>
  <w:style w:type="character" w:styleId="909" w:customStyle="1">
    <w:name w:val="标题 9 字符"/>
    <w:link w:val="908"/>
    <w:uiPriority w:val="9"/>
    <w:qFormat/>
    <w:rPr>
      <w:rFonts w:ascii="Arial" w:hAnsi="Arial" w:eastAsia="Arial"/>
      <w:i/>
      <w:iCs/>
      <w:sz w:val="21"/>
      <w:szCs w:val="21"/>
    </w:rPr>
  </w:style>
  <w:style w:type="paragraph" w:styleId="910" w:customStyle="1">
    <w:name w:val="页脚1"/>
    <w:basedOn w:val="704"/>
    <w:link w:val="911"/>
    <w:uiPriority w:val="0"/>
    <w:qFormat/>
    <w:pPr>
      <w:jc w:val="left"/>
      <w:tabs>
        <w:tab w:val="center" w:pos="4153" w:leader="none"/>
        <w:tab w:val="right" w:pos="8306" w:leader="none"/>
      </w:tabs>
    </w:pPr>
    <w:rPr>
      <w:rFonts w:ascii="Calibri" w:hAnsi="Calibri"/>
      <w:sz w:val="18"/>
      <w:szCs w:val="18"/>
      <w:lang w:val="en-US" w:eastAsia="en-US"/>
    </w:rPr>
  </w:style>
  <w:style w:type="character" w:styleId="911" w:customStyle="1">
    <w:name w:val="页脚 字符"/>
    <w:link w:val="910"/>
    <w:uiPriority w:val="0"/>
    <w:qFormat/>
    <w:rPr>
      <w:sz w:val="18"/>
      <w:szCs w:val="18"/>
    </w:rPr>
  </w:style>
  <w:style w:type="paragraph" w:styleId="912" w:customStyle="1">
    <w:name w:val="页眉1"/>
    <w:basedOn w:val="704"/>
    <w:link w:val="913"/>
    <w:uiPriority w:val="0"/>
    <w:qFormat/>
    <w:pPr>
      <w:jc w:val="center"/>
      <w:tabs>
        <w:tab w:val="center" w:pos="4153" w:leader="none"/>
        <w:tab w:val="right" w:pos="8306" w:leader="none"/>
      </w:tabs>
      <w:pBdr>
        <w:bottom w:val="single" w:color="000000" w:sz="6" w:space="1"/>
      </w:pBdr>
    </w:pPr>
    <w:rPr>
      <w:rFonts w:ascii="Calibri" w:hAnsi="Calibri"/>
      <w:sz w:val="18"/>
      <w:szCs w:val="18"/>
      <w:lang w:val="en-US" w:eastAsia="en-US"/>
    </w:rPr>
  </w:style>
  <w:style w:type="character" w:styleId="913" w:customStyle="1">
    <w:name w:val="页眉 字符"/>
    <w:link w:val="912"/>
    <w:uiPriority w:val="0"/>
    <w:qFormat/>
    <w:rPr>
      <w:sz w:val="18"/>
      <w:szCs w:val="18"/>
    </w:rPr>
  </w:style>
  <w:style w:type="paragraph" w:styleId="914" w:customStyle="1">
    <w:name w:val="引用"/>
    <w:basedOn w:val="704"/>
    <w:next w:val="704"/>
    <w:link w:val="915"/>
    <w:uiPriority w:val="29"/>
    <w:qFormat/>
    <w:pPr>
      <w:ind w:left="720" w:right="720"/>
    </w:pPr>
    <w:rPr>
      <w:rFonts w:ascii="Calibri" w:hAnsi="Calibri"/>
      <w:i/>
      <w:szCs w:val="24"/>
    </w:rPr>
  </w:style>
  <w:style w:type="character" w:styleId="915" w:customStyle="1">
    <w:name w:val="引用 Char"/>
    <w:basedOn w:val="756"/>
    <w:link w:val="914"/>
    <w:uiPriority w:val="29"/>
    <w:qFormat/>
    <w:rPr>
      <w:i/>
      <w:sz w:val="21"/>
      <w:szCs w:val="24"/>
    </w:rPr>
  </w:style>
  <w:style w:type="paragraph" w:styleId="916" w:customStyle="1">
    <w:name w:val="明显引用"/>
    <w:basedOn w:val="704"/>
    <w:next w:val="704"/>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917" w:customStyle="1">
    <w:name w:val="明显引用 Char"/>
    <w:basedOn w:val="756"/>
    <w:link w:val="916"/>
    <w:uiPriority w:val="30"/>
    <w:qFormat/>
    <w:rPr>
      <w:i/>
      <w:sz w:val="21"/>
      <w:szCs w:val="24"/>
      <w:shd w:val="clear" w:color="auto" w:fill="f2f2f2"/>
    </w:rPr>
  </w:style>
  <w:style w:type="character" w:styleId="918" w:customStyle="1">
    <w:name w:val="Header Char"/>
    <w:link w:val="704"/>
    <w:uiPriority w:val="99"/>
    <w:qFormat/>
  </w:style>
  <w:style w:type="character" w:styleId="919" w:customStyle="1">
    <w:name w:val="Footer Char"/>
    <w:link w:val="704"/>
    <w:uiPriority w:val="99"/>
    <w:qFormat/>
  </w:style>
  <w:style w:type="character" w:styleId="920" w:customStyle="1">
    <w:name w:val="Caption Char"/>
    <w:link w:val="704"/>
    <w:uiPriority w:val="99"/>
    <w:qFormat/>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character" w:styleId="922" w:customStyle="1">
    <w:name w:val="*正文 Char Char"/>
    <w:link w:val="923"/>
    <w:uiPriority w:val="0"/>
    <w:qFormat/>
    <w:rPr>
      <w:rFonts w:ascii="宋体" w:hAnsi="宋体" w:cs="宋体"/>
      <w:sz w:val="18"/>
      <w:szCs w:val="18"/>
    </w:rPr>
  </w:style>
  <w:style w:type="paragraph" w:styleId="923" w:customStyle="1">
    <w:name w:val="*正文"/>
    <w:basedOn w:val="704"/>
    <w:link w:val="922"/>
    <w:uiPriority w:val="0"/>
    <w:qFormat/>
    <w:pPr>
      <w:spacing w:line="360" w:lineRule="auto"/>
    </w:pPr>
    <w:rPr>
      <w:rFonts w:ascii="宋体" w:hAnsi="宋体"/>
      <w:sz w:val="18"/>
      <w:szCs w:val="18"/>
      <w:lang w:val="en-US" w:eastAsia="en-US"/>
    </w:rPr>
  </w:style>
  <w:style w:type="paragraph" w:styleId="924" w:customStyle="1">
    <w:name w:val="Table Paragraph"/>
    <w:basedOn w:val="704"/>
    <w:uiPriority w:val="1"/>
    <w:qFormat/>
    <w:pPr>
      <w:jc w:val="left"/>
    </w:pPr>
    <w:rPr>
      <w:rFonts w:ascii="Calibri" w:hAnsi="Calibri"/>
      <w:sz w:val="22"/>
      <w:szCs w:val="22"/>
      <w:lang w:eastAsia="en-US"/>
    </w:rPr>
  </w:style>
  <w:style w:type="paragraph" w:styleId="925" w:customStyle="1">
    <w:name w:val="Table Text"/>
    <w:basedOn w:val="704"/>
    <w:uiPriority w:val="0"/>
    <w:semiHidden/>
    <w:qFormat/>
    <w:rPr>
      <w:rFonts w:ascii="黑体" w:hAnsi="黑体" w:eastAsia="黑体" w:cs="黑体"/>
      <w:sz w:val="18"/>
      <w:szCs w:val="18"/>
      <w:lang w:eastAsia="en-US"/>
    </w:rPr>
  </w:style>
  <w:style w:type="paragraph" w:styleId="926" w:customStyle="1">
    <w:name w:val="Caption1"/>
    <w:basedOn w:val="704"/>
    <w:next w:val="704"/>
    <w:uiPriority w:val="35"/>
    <w:unhideWhenUsed/>
    <w:qFormat/>
    <w:pPr>
      <w:spacing w:line="276" w:lineRule="auto"/>
    </w:pPr>
    <w:rPr>
      <w:rFonts w:ascii="Calibri" w:hAnsi="Calibri"/>
      <w:b/>
      <w:bCs/>
      <w:color w:val="4f81bd"/>
      <w:sz w:val="18"/>
      <w:szCs w:val="18"/>
    </w:rPr>
  </w:style>
  <w:style w:type="table" w:styleId="927" w:customStyle="1">
    <w:name w:val="Plain Table 1"/>
    <w:basedOn w:val="757"/>
    <w:uiPriority w:val="59"/>
    <w:qFormat/>
    <w:rPr>
      <w:rFonts w:ascii="Times New Roman" w:hAnsi="Times New Roman"/>
    </w:rPr>
    <w:tblPr/>
  </w:style>
  <w:style w:type="table" w:styleId="928" w:customStyle="1">
    <w:name w:val="Plain Table 2"/>
    <w:basedOn w:val="757"/>
    <w:uiPriority w:val="59"/>
    <w:qFormat/>
    <w:rPr>
      <w:rFonts w:ascii="Times New Roman" w:hAnsi="Times New Roman"/>
    </w:rPr>
    <w:tblPr/>
  </w:style>
  <w:style w:type="table" w:styleId="929" w:customStyle="1">
    <w:name w:val="Plain Table 3"/>
    <w:basedOn w:val="757"/>
    <w:uiPriority w:val="99"/>
    <w:qFormat/>
    <w:rPr>
      <w:rFonts w:ascii="Times New Roman" w:hAnsi="Times New Roman"/>
    </w:rPr>
    <w:tblPr/>
  </w:style>
  <w:style w:type="table" w:styleId="930" w:customStyle="1">
    <w:name w:val="Plain Table 4"/>
    <w:basedOn w:val="757"/>
    <w:uiPriority w:val="99"/>
    <w:qFormat/>
    <w:rPr>
      <w:rFonts w:ascii="Times New Roman" w:hAnsi="Times New Roman"/>
    </w:rPr>
    <w:tblPr/>
  </w:style>
  <w:style w:type="table" w:styleId="931" w:customStyle="1">
    <w:name w:val="Plain Table 5"/>
    <w:basedOn w:val="757"/>
    <w:uiPriority w:val="99"/>
    <w:qFormat/>
    <w:rPr>
      <w:rFonts w:ascii="Times New Roman" w:hAnsi="Times New Roman"/>
    </w:rPr>
    <w:tblPr/>
  </w:style>
  <w:style w:type="table" w:styleId="932" w:customStyle="1">
    <w:name w:val="Grid Table 1 Light"/>
    <w:basedOn w:val="757"/>
    <w:uiPriority w:val="99"/>
    <w:qFormat/>
    <w:rPr>
      <w:rFonts w:ascii="Times New Roman" w:hAnsi="Times New Roman"/>
    </w:rPr>
    <w:tblPr/>
  </w:style>
  <w:style w:type="table" w:styleId="933" w:customStyle="1">
    <w:name w:val="Grid Table 2"/>
    <w:basedOn w:val="757"/>
    <w:uiPriority w:val="99"/>
    <w:qFormat/>
    <w:rPr>
      <w:rFonts w:ascii="Times New Roman" w:hAnsi="Times New Roman"/>
    </w:rPr>
    <w:tblPr/>
  </w:style>
  <w:style w:type="table" w:styleId="934" w:customStyle="1">
    <w:name w:val="Grid Table 3"/>
    <w:basedOn w:val="757"/>
    <w:uiPriority w:val="99"/>
    <w:qFormat/>
    <w:rPr>
      <w:rFonts w:ascii="Times New Roman" w:hAnsi="Times New Roman"/>
    </w:rPr>
    <w:tblPr/>
  </w:style>
  <w:style w:type="table" w:styleId="935" w:customStyle="1">
    <w:name w:val="Grid Table 4"/>
    <w:basedOn w:val="757"/>
    <w:uiPriority w:val="59"/>
    <w:qFormat/>
    <w:rPr>
      <w:rFonts w:ascii="Times New Roman" w:hAnsi="Times New Roman"/>
    </w:rPr>
    <w:tblPr/>
  </w:style>
  <w:style w:type="table" w:styleId="936" w:customStyle="1">
    <w:name w:val="Grid Table 5 Dark"/>
    <w:basedOn w:val="757"/>
    <w:uiPriority w:val="99"/>
    <w:qFormat/>
    <w:rPr>
      <w:rFonts w:ascii="Times New Roman" w:hAnsi="Times New Roman"/>
    </w:rPr>
    <w:tblPr/>
  </w:style>
  <w:style w:type="table" w:styleId="937" w:customStyle="1">
    <w:name w:val="Grid Table 6 Colorful"/>
    <w:basedOn w:val="757"/>
    <w:uiPriority w:val="99"/>
    <w:qFormat/>
    <w:rPr>
      <w:rFonts w:ascii="Times New Roman" w:hAnsi="Times New Roman"/>
    </w:rPr>
    <w:tblPr/>
  </w:style>
  <w:style w:type="table" w:styleId="938" w:customStyle="1">
    <w:name w:val="Grid Table 7 Colorful"/>
    <w:basedOn w:val="757"/>
    <w:uiPriority w:val="99"/>
    <w:qFormat/>
    <w:rPr>
      <w:rFonts w:ascii="Times New Roman" w:hAnsi="Times New Roman"/>
    </w:rPr>
    <w:tblPr/>
  </w:style>
  <w:style w:type="table" w:styleId="939" w:customStyle="1">
    <w:name w:val="List Table 1 Light"/>
    <w:basedOn w:val="757"/>
    <w:uiPriority w:val="99"/>
    <w:qFormat/>
    <w:rPr>
      <w:rFonts w:ascii="Times New Roman" w:hAnsi="Times New Roman"/>
    </w:rPr>
    <w:tblPr/>
  </w:style>
  <w:style w:type="table" w:styleId="940" w:customStyle="1">
    <w:name w:val="List Table 2"/>
    <w:basedOn w:val="757"/>
    <w:uiPriority w:val="99"/>
    <w:qFormat/>
    <w:rPr>
      <w:rFonts w:ascii="Times New Roman" w:hAnsi="Times New Roman"/>
    </w:rPr>
    <w:tblPr/>
  </w:style>
  <w:style w:type="table" w:styleId="941" w:customStyle="1">
    <w:name w:val="List Table 3"/>
    <w:basedOn w:val="757"/>
    <w:uiPriority w:val="99"/>
    <w:qFormat/>
    <w:rPr>
      <w:rFonts w:ascii="Times New Roman" w:hAnsi="Times New Roman"/>
    </w:rPr>
    <w:tblPr/>
  </w:style>
  <w:style w:type="table" w:styleId="942" w:customStyle="1">
    <w:name w:val="List Table 4"/>
    <w:basedOn w:val="757"/>
    <w:uiPriority w:val="99"/>
    <w:qFormat/>
    <w:rPr>
      <w:rFonts w:ascii="Times New Roman" w:hAnsi="Times New Roman"/>
    </w:rPr>
    <w:tblPr/>
  </w:style>
  <w:style w:type="table" w:styleId="943" w:customStyle="1">
    <w:name w:val="List Table 5 Dark"/>
    <w:basedOn w:val="757"/>
    <w:uiPriority w:val="99"/>
    <w:qFormat/>
    <w:rPr>
      <w:rFonts w:ascii="Times New Roman" w:hAnsi="Times New Roman"/>
    </w:rPr>
    <w:tblPr/>
  </w:style>
  <w:style w:type="table" w:styleId="944" w:customStyle="1">
    <w:name w:val="List Table 6 Colorful"/>
    <w:basedOn w:val="757"/>
    <w:uiPriority w:val="99"/>
    <w:qFormat/>
    <w:rPr>
      <w:rFonts w:ascii="Times New Roman" w:hAnsi="Times New Roman"/>
    </w:rPr>
    <w:tblPr/>
  </w:style>
  <w:style w:type="table" w:styleId="945" w:customStyle="1">
    <w:name w:val="List Table 7 Colorful"/>
    <w:basedOn w:val="757"/>
    <w:uiPriority w:val="99"/>
    <w:qFormat/>
    <w:rPr>
      <w:rFonts w:ascii="Times New Roman" w:hAnsi="Times New Roman"/>
    </w:rPr>
    <w:tblPr/>
  </w:style>
  <w:style w:type="paragraph" w:styleId="946" w:customStyle="1">
    <w:name w:val="题注1"/>
    <w:basedOn w:val="704"/>
    <w:next w:val="704"/>
    <w:uiPriority w:val="35"/>
    <w:unhideWhenUsed/>
    <w:qFormat/>
    <w:pPr>
      <w:spacing w:line="276" w:lineRule="auto"/>
    </w:pPr>
    <w:rPr>
      <w:rFonts w:ascii="Calibri" w:hAnsi="Calibri"/>
      <w:b/>
      <w:bCs/>
      <w:color w:val="4f81bd"/>
      <w:sz w:val="18"/>
      <w:szCs w:val="18"/>
    </w:rPr>
  </w:style>
  <w:style w:type="table" w:styleId="947" w:customStyle="1">
    <w:name w:val="Table Grid Light"/>
    <w:uiPriority w:val="59"/>
    <w:qFormat/>
    <w:rPr>
      <w:rFonts w:ascii="Times New Roman" w:hAnsi="Times New Roman"/>
      <w:lang w:val="en-US" w:eastAsia="zh-CN" w:bidi="ar-SA"/>
    </w:rPr>
    <w:tblPr/>
  </w:style>
  <w:style w:type="table" w:styleId="948" w:customStyle="1">
    <w:name w:val="无格式表格 11"/>
    <w:uiPriority w:val="59"/>
    <w:qFormat/>
    <w:rPr>
      <w:rFonts w:ascii="Times New Roman" w:hAnsi="Times New Roman"/>
      <w:lang w:val="en-US" w:eastAsia="zh-CN" w:bidi="ar-SA"/>
    </w:rPr>
    <w:tblPr/>
  </w:style>
  <w:style w:type="table" w:styleId="949" w:customStyle="1">
    <w:name w:val="无格式表格 21"/>
    <w:uiPriority w:val="59"/>
    <w:qFormat/>
    <w:rPr>
      <w:rFonts w:ascii="Times New Roman" w:hAnsi="Times New Roman"/>
      <w:lang w:val="en-US" w:eastAsia="zh-CN" w:bidi="ar-SA"/>
    </w:rPr>
    <w:tblPr/>
  </w:style>
  <w:style w:type="table" w:styleId="950" w:customStyle="1">
    <w:name w:val="无格式表格 31"/>
    <w:uiPriority w:val="99"/>
    <w:qFormat/>
    <w:rPr>
      <w:rFonts w:ascii="Times New Roman" w:hAnsi="Times New Roman"/>
      <w:lang w:val="en-US" w:eastAsia="zh-CN" w:bidi="ar-SA"/>
    </w:rPr>
    <w:tblPr/>
  </w:style>
  <w:style w:type="table" w:styleId="951" w:customStyle="1">
    <w:name w:val="无格式表格 41"/>
    <w:uiPriority w:val="99"/>
    <w:qFormat/>
    <w:rPr>
      <w:rFonts w:ascii="Times New Roman" w:hAnsi="Times New Roman"/>
      <w:lang w:val="en-US" w:eastAsia="zh-CN" w:bidi="ar-SA"/>
    </w:rPr>
    <w:tblPr/>
  </w:style>
  <w:style w:type="table" w:styleId="952" w:customStyle="1">
    <w:name w:val="无格式表格 51"/>
    <w:uiPriority w:val="99"/>
    <w:qFormat/>
    <w:rPr>
      <w:rFonts w:ascii="Times New Roman" w:hAnsi="Times New Roman"/>
      <w:lang w:val="en-US" w:eastAsia="zh-CN" w:bidi="ar-SA"/>
    </w:rPr>
    <w:tblPr/>
  </w:style>
  <w:style w:type="table" w:styleId="953" w:customStyle="1">
    <w:name w:val="网格表 1 浅色1"/>
    <w:uiPriority w:val="99"/>
    <w:qFormat/>
    <w:rPr>
      <w:rFonts w:ascii="Times New Roman" w:hAnsi="Times New Roman"/>
      <w:lang w:val="en-US" w:eastAsia="zh-CN" w:bidi="ar-SA"/>
    </w:rPr>
    <w:tblPr/>
  </w:style>
  <w:style w:type="table" w:styleId="954" w:customStyle="1">
    <w:name w:val="Grid Table 1 Light - Accent 1"/>
    <w:uiPriority w:val="99"/>
    <w:qFormat/>
    <w:rPr>
      <w:rFonts w:ascii="Times New Roman" w:hAnsi="Times New Roman"/>
      <w:lang w:val="en-US" w:eastAsia="zh-CN" w:bidi="ar-SA"/>
    </w:rPr>
    <w:tblPr/>
  </w:style>
  <w:style w:type="table" w:styleId="955" w:customStyle="1">
    <w:name w:val="Grid Table 1 Light - Accent 2"/>
    <w:uiPriority w:val="99"/>
    <w:qFormat/>
    <w:rPr>
      <w:rFonts w:ascii="Times New Roman" w:hAnsi="Times New Roman"/>
      <w:lang w:val="en-US" w:eastAsia="zh-CN" w:bidi="ar-SA"/>
    </w:rPr>
    <w:tblPr/>
  </w:style>
  <w:style w:type="table" w:styleId="956" w:customStyle="1">
    <w:name w:val="Grid Table 1 Light - Accent 3"/>
    <w:uiPriority w:val="99"/>
    <w:qFormat/>
    <w:rPr>
      <w:rFonts w:ascii="Times New Roman" w:hAnsi="Times New Roman"/>
      <w:lang w:val="en-US" w:eastAsia="zh-CN" w:bidi="ar-SA"/>
    </w:rPr>
    <w:tblPr/>
  </w:style>
  <w:style w:type="table" w:styleId="957" w:customStyle="1">
    <w:name w:val="Grid Table 1 Light - Accent 4"/>
    <w:uiPriority w:val="99"/>
    <w:qFormat/>
    <w:rPr>
      <w:rFonts w:ascii="Times New Roman" w:hAnsi="Times New Roman"/>
      <w:lang w:val="en-US" w:eastAsia="zh-CN" w:bidi="ar-SA"/>
    </w:rPr>
    <w:tblPr/>
  </w:style>
  <w:style w:type="table" w:styleId="958" w:customStyle="1">
    <w:name w:val="Grid Table 1 Light - Accent 5"/>
    <w:uiPriority w:val="99"/>
    <w:qFormat/>
    <w:rPr>
      <w:rFonts w:ascii="Times New Roman" w:hAnsi="Times New Roman"/>
      <w:lang w:val="en-US" w:eastAsia="zh-CN" w:bidi="ar-SA"/>
    </w:rPr>
    <w:tblPr/>
  </w:style>
  <w:style w:type="table" w:styleId="959" w:customStyle="1">
    <w:name w:val="Grid Table 1 Light - Accent 6"/>
    <w:uiPriority w:val="99"/>
    <w:qFormat/>
    <w:rPr>
      <w:rFonts w:ascii="Times New Roman" w:hAnsi="Times New Roman"/>
      <w:lang w:val="en-US" w:eastAsia="zh-CN" w:bidi="ar-SA"/>
    </w:rPr>
    <w:tblPr/>
  </w:style>
  <w:style w:type="table" w:styleId="960" w:customStyle="1">
    <w:name w:val="网格表 21"/>
    <w:uiPriority w:val="99"/>
    <w:qFormat/>
    <w:rPr>
      <w:rFonts w:ascii="Times New Roman" w:hAnsi="Times New Roman"/>
      <w:lang w:val="en-US" w:eastAsia="zh-CN" w:bidi="ar-SA"/>
    </w:rPr>
    <w:tblPr/>
  </w:style>
  <w:style w:type="table" w:styleId="961" w:customStyle="1">
    <w:name w:val="Grid Table 2 - Accent 1"/>
    <w:uiPriority w:val="99"/>
    <w:qFormat/>
    <w:rPr>
      <w:rFonts w:ascii="Times New Roman" w:hAnsi="Times New Roman"/>
      <w:lang w:val="en-US" w:eastAsia="zh-CN" w:bidi="ar-SA"/>
    </w:rPr>
    <w:tblPr/>
  </w:style>
  <w:style w:type="table" w:styleId="962" w:customStyle="1">
    <w:name w:val="Grid Table 2 - Accent 2"/>
    <w:uiPriority w:val="99"/>
    <w:qFormat/>
    <w:rPr>
      <w:rFonts w:ascii="Times New Roman" w:hAnsi="Times New Roman"/>
      <w:lang w:val="en-US" w:eastAsia="zh-CN" w:bidi="ar-SA"/>
    </w:rPr>
    <w:tblPr/>
  </w:style>
  <w:style w:type="table" w:styleId="963" w:customStyle="1">
    <w:name w:val="Grid Table 2 - Accent 3"/>
    <w:uiPriority w:val="99"/>
    <w:qFormat/>
    <w:rPr>
      <w:rFonts w:ascii="Times New Roman" w:hAnsi="Times New Roman"/>
      <w:lang w:val="en-US" w:eastAsia="zh-CN" w:bidi="ar-SA"/>
    </w:rPr>
    <w:tblPr/>
  </w:style>
  <w:style w:type="table" w:styleId="964" w:customStyle="1">
    <w:name w:val="Grid Table 2 - Accent 4"/>
    <w:uiPriority w:val="99"/>
    <w:qFormat/>
    <w:rPr>
      <w:rFonts w:ascii="Times New Roman" w:hAnsi="Times New Roman"/>
      <w:lang w:val="en-US" w:eastAsia="zh-CN" w:bidi="ar-SA"/>
    </w:rPr>
    <w:tblPr/>
  </w:style>
  <w:style w:type="table" w:styleId="965" w:customStyle="1">
    <w:name w:val="Grid Table 2 - Accent 5"/>
    <w:uiPriority w:val="99"/>
    <w:qFormat/>
    <w:rPr>
      <w:rFonts w:ascii="Times New Roman" w:hAnsi="Times New Roman"/>
      <w:lang w:val="en-US" w:eastAsia="zh-CN" w:bidi="ar-SA"/>
    </w:rPr>
    <w:tblPr/>
  </w:style>
  <w:style w:type="table" w:styleId="966" w:customStyle="1">
    <w:name w:val="Grid Table 2 - Accent 6"/>
    <w:uiPriority w:val="99"/>
    <w:qFormat/>
    <w:rPr>
      <w:rFonts w:ascii="Times New Roman" w:hAnsi="Times New Roman"/>
      <w:lang w:val="en-US" w:eastAsia="zh-CN" w:bidi="ar-SA"/>
    </w:rPr>
    <w:tblPr/>
  </w:style>
  <w:style w:type="table" w:styleId="967" w:customStyle="1">
    <w:name w:val="网格表 31"/>
    <w:uiPriority w:val="99"/>
    <w:qFormat/>
    <w:rPr>
      <w:rFonts w:ascii="Times New Roman" w:hAnsi="Times New Roman"/>
      <w:lang w:val="en-US" w:eastAsia="zh-CN" w:bidi="ar-SA"/>
    </w:rPr>
    <w:tblPr/>
  </w:style>
  <w:style w:type="table" w:styleId="968" w:customStyle="1">
    <w:name w:val="Grid Table 3 - Accent 1"/>
    <w:uiPriority w:val="99"/>
    <w:qFormat/>
    <w:rPr>
      <w:rFonts w:ascii="Times New Roman" w:hAnsi="Times New Roman"/>
      <w:lang w:val="en-US" w:eastAsia="zh-CN" w:bidi="ar-SA"/>
    </w:rPr>
    <w:tblPr/>
  </w:style>
  <w:style w:type="table" w:styleId="969" w:customStyle="1">
    <w:name w:val="Grid Table 3 - Accent 2"/>
    <w:uiPriority w:val="99"/>
    <w:qFormat/>
    <w:rPr>
      <w:rFonts w:ascii="Times New Roman" w:hAnsi="Times New Roman"/>
      <w:lang w:val="en-US" w:eastAsia="zh-CN" w:bidi="ar-SA"/>
    </w:rPr>
    <w:tblPr/>
  </w:style>
  <w:style w:type="table" w:styleId="970" w:customStyle="1">
    <w:name w:val="Grid Table 3 - Accent 3"/>
    <w:uiPriority w:val="99"/>
    <w:qFormat/>
    <w:rPr>
      <w:rFonts w:ascii="Times New Roman" w:hAnsi="Times New Roman"/>
      <w:lang w:val="en-US" w:eastAsia="zh-CN" w:bidi="ar-SA"/>
    </w:rPr>
    <w:tblPr/>
  </w:style>
  <w:style w:type="table" w:styleId="971" w:customStyle="1">
    <w:name w:val="Grid Table 3 - Accent 4"/>
    <w:uiPriority w:val="99"/>
    <w:qFormat/>
    <w:rPr>
      <w:rFonts w:ascii="Times New Roman" w:hAnsi="Times New Roman"/>
      <w:lang w:val="en-US" w:eastAsia="zh-CN" w:bidi="ar-SA"/>
    </w:rPr>
    <w:tblPr/>
  </w:style>
  <w:style w:type="table" w:styleId="972" w:customStyle="1">
    <w:name w:val="Grid Table 3 - Accent 5"/>
    <w:uiPriority w:val="99"/>
    <w:qFormat/>
    <w:rPr>
      <w:rFonts w:ascii="Times New Roman" w:hAnsi="Times New Roman"/>
      <w:lang w:val="en-US" w:eastAsia="zh-CN" w:bidi="ar-SA"/>
    </w:rPr>
    <w:tblPr/>
  </w:style>
  <w:style w:type="table" w:styleId="973" w:customStyle="1">
    <w:name w:val="Grid Table 3 - Accent 6"/>
    <w:uiPriority w:val="99"/>
    <w:qFormat/>
    <w:rPr>
      <w:rFonts w:ascii="Times New Roman" w:hAnsi="Times New Roman"/>
      <w:lang w:val="en-US" w:eastAsia="zh-CN" w:bidi="ar-SA"/>
    </w:rPr>
    <w:tblPr/>
  </w:style>
  <w:style w:type="table" w:styleId="974" w:customStyle="1">
    <w:name w:val="网格表 41"/>
    <w:uiPriority w:val="59"/>
    <w:qFormat/>
    <w:rPr>
      <w:rFonts w:ascii="Times New Roman" w:hAnsi="Times New Roman"/>
      <w:lang w:val="en-US" w:eastAsia="zh-CN" w:bidi="ar-SA"/>
    </w:rPr>
    <w:tblPr/>
  </w:style>
  <w:style w:type="table" w:styleId="975" w:customStyle="1">
    <w:name w:val="Grid Table 4 - Accent 1"/>
    <w:uiPriority w:val="59"/>
    <w:qFormat/>
    <w:rPr>
      <w:rFonts w:ascii="Times New Roman" w:hAnsi="Times New Roman"/>
      <w:lang w:val="en-US" w:eastAsia="zh-CN" w:bidi="ar-SA"/>
    </w:rPr>
    <w:tblPr/>
  </w:style>
  <w:style w:type="table" w:styleId="976" w:customStyle="1">
    <w:name w:val="Grid Table 4 - Accent 2"/>
    <w:uiPriority w:val="59"/>
    <w:qFormat/>
    <w:rPr>
      <w:rFonts w:ascii="Times New Roman" w:hAnsi="Times New Roman"/>
      <w:lang w:val="en-US" w:eastAsia="zh-CN" w:bidi="ar-SA"/>
    </w:rPr>
    <w:tblPr/>
  </w:style>
  <w:style w:type="table" w:styleId="977" w:customStyle="1">
    <w:name w:val="Grid Table 4 - Accent 3"/>
    <w:uiPriority w:val="59"/>
    <w:qFormat/>
    <w:rPr>
      <w:rFonts w:ascii="Times New Roman" w:hAnsi="Times New Roman"/>
      <w:lang w:val="en-US" w:eastAsia="zh-CN" w:bidi="ar-SA"/>
    </w:rPr>
    <w:tblPr/>
  </w:style>
  <w:style w:type="table" w:styleId="978" w:customStyle="1">
    <w:name w:val="Grid Table 4 - Accent 4"/>
    <w:uiPriority w:val="59"/>
    <w:qFormat/>
    <w:rPr>
      <w:rFonts w:ascii="Times New Roman" w:hAnsi="Times New Roman"/>
      <w:lang w:val="en-US" w:eastAsia="zh-CN" w:bidi="ar-SA"/>
    </w:rPr>
    <w:tblPr/>
  </w:style>
  <w:style w:type="table" w:styleId="979" w:customStyle="1">
    <w:name w:val="Grid Table 4 - Accent 5"/>
    <w:uiPriority w:val="59"/>
    <w:qFormat/>
    <w:rPr>
      <w:rFonts w:ascii="Times New Roman" w:hAnsi="Times New Roman"/>
      <w:lang w:val="en-US" w:eastAsia="zh-CN" w:bidi="ar-SA"/>
    </w:rPr>
    <w:tblPr/>
  </w:style>
  <w:style w:type="table" w:styleId="980" w:customStyle="1">
    <w:name w:val="Grid Table 4 - Accent 6"/>
    <w:uiPriority w:val="59"/>
    <w:qFormat/>
    <w:rPr>
      <w:rFonts w:ascii="Times New Roman" w:hAnsi="Times New Roman"/>
      <w:lang w:val="en-US" w:eastAsia="zh-CN" w:bidi="ar-SA"/>
    </w:rPr>
    <w:tblPr/>
  </w:style>
  <w:style w:type="table" w:styleId="981" w:customStyle="1">
    <w:name w:val="网格表 5 深色1"/>
    <w:uiPriority w:val="99"/>
    <w:qFormat/>
    <w:rPr>
      <w:rFonts w:ascii="Times New Roman" w:hAnsi="Times New Roman"/>
      <w:lang w:val="en-US" w:eastAsia="zh-CN" w:bidi="ar-SA"/>
    </w:rPr>
    <w:tblPr/>
  </w:style>
  <w:style w:type="table" w:styleId="982" w:customStyle="1">
    <w:name w:val="Grid Table 5 Dark- Accent 1"/>
    <w:uiPriority w:val="99"/>
    <w:qFormat/>
    <w:rPr>
      <w:rFonts w:ascii="Times New Roman" w:hAnsi="Times New Roman"/>
      <w:lang w:val="en-US" w:eastAsia="zh-CN" w:bidi="ar-SA"/>
    </w:rPr>
    <w:tblPr/>
  </w:style>
  <w:style w:type="table" w:styleId="983" w:customStyle="1">
    <w:name w:val="Grid Table 5 Dark - Accent 2"/>
    <w:uiPriority w:val="99"/>
    <w:qFormat/>
    <w:rPr>
      <w:rFonts w:ascii="Times New Roman" w:hAnsi="Times New Roman"/>
      <w:lang w:val="en-US" w:eastAsia="zh-CN" w:bidi="ar-SA"/>
    </w:rPr>
    <w:tblPr/>
  </w:style>
  <w:style w:type="table" w:styleId="984" w:customStyle="1">
    <w:name w:val="Grid Table 5 Dark - Accent 3"/>
    <w:uiPriority w:val="99"/>
    <w:qFormat/>
    <w:rPr>
      <w:rFonts w:ascii="Times New Roman" w:hAnsi="Times New Roman"/>
      <w:lang w:val="en-US" w:eastAsia="zh-CN" w:bidi="ar-SA"/>
    </w:rPr>
    <w:tblPr/>
  </w:style>
  <w:style w:type="table" w:styleId="985" w:customStyle="1">
    <w:name w:val="Grid Table 5 Dark- Accent 4"/>
    <w:uiPriority w:val="99"/>
    <w:qFormat/>
    <w:rPr>
      <w:rFonts w:ascii="Times New Roman" w:hAnsi="Times New Roman"/>
      <w:lang w:val="en-US" w:eastAsia="zh-CN" w:bidi="ar-SA"/>
    </w:rPr>
    <w:tblPr/>
  </w:style>
  <w:style w:type="table" w:styleId="986" w:customStyle="1">
    <w:name w:val="Grid Table 5 Dark - Accent 5"/>
    <w:uiPriority w:val="99"/>
    <w:qFormat/>
    <w:rPr>
      <w:rFonts w:ascii="Times New Roman" w:hAnsi="Times New Roman"/>
      <w:lang w:val="en-US" w:eastAsia="zh-CN" w:bidi="ar-SA"/>
    </w:rPr>
    <w:tblPr/>
  </w:style>
  <w:style w:type="table" w:styleId="987" w:customStyle="1">
    <w:name w:val="Grid Table 5 Dark - Accent 6"/>
    <w:uiPriority w:val="99"/>
    <w:qFormat/>
    <w:rPr>
      <w:rFonts w:ascii="Times New Roman" w:hAnsi="Times New Roman"/>
      <w:lang w:val="en-US" w:eastAsia="zh-CN" w:bidi="ar-SA"/>
    </w:rPr>
    <w:tblPr/>
  </w:style>
  <w:style w:type="table" w:styleId="988" w:customStyle="1">
    <w:name w:val="网格表 6 彩色1"/>
    <w:uiPriority w:val="99"/>
    <w:qFormat/>
    <w:rPr>
      <w:rFonts w:ascii="Times New Roman" w:hAnsi="Times New Roman"/>
      <w:lang w:val="en-US" w:eastAsia="zh-CN" w:bidi="ar-SA"/>
    </w:rPr>
    <w:tblPr/>
  </w:style>
  <w:style w:type="table" w:styleId="989" w:customStyle="1">
    <w:name w:val="Grid Table 6 Colorful - Accent 1"/>
    <w:uiPriority w:val="99"/>
    <w:qFormat/>
    <w:rPr>
      <w:rFonts w:ascii="Times New Roman" w:hAnsi="Times New Roman"/>
      <w:lang w:val="en-US" w:eastAsia="zh-CN" w:bidi="ar-SA"/>
    </w:rPr>
    <w:tblPr/>
  </w:style>
  <w:style w:type="table" w:styleId="990" w:customStyle="1">
    <w:name w:val="Grid Table 6 Colorful - Accent 2"/>
    <w:uiPriority w:val="99"/>
    <w:qFormat/>
    <w:rPr>
      <w:rFonts w:ascii="Times New Roman" w:hAnsi="Times New Roman"/>
      <w:lang w:val="en-US" w:eastAsia="zh-CN" w:bidi="ar-SA"/>
    </w:rPr>
    <w:tblPr/>
  </w:style>
  <w:style w:type="table" w:styleId="991" w:customStyle="1">
    <w:name w:val="Grid Table 6 Colorful - Accent 3"/>
    <w:uiPriority w:val="99"/>
    <w:qFormat/>
    <w:rPr>
      <w:rFonts w:ascii="Times New Roman" w:hAnsi="Times New Roman"/>
      <w:lang w:val="en-US" w:eastAsia="zh-CN" w:bidi="ar-SA"/>
    </w:rPr>
    <w:tblPr/>
  </w:style>
  <w:style w:type="table" w:styleId="992" w:customStyle="1">
    <w:name w:val="Grid Table 6 Colorful - Accent 4"/>
    <w:uiPriority w:val="99"/>
    <w:qFormat/>
    <w:rPr>
      <w:rFonts w:ascii="Times New Roman" w:hAnsi="Times New Roman"/>
      <w:lang w:val="en-US" w:eastAsia="zh-CN" w:bidi="ar-SA"/>
    </w:rPr>
    <w:tblPr/>
  </w:style>
  <w:style w:type="table" w:styleId="993" w:customStyle="1">
    <w:name w:val="Grid Table 6 Colorful - Accent 5"/>
    <w:uiPriority w:val="99"/>
    <w:qFormat/>
    <w:rPr>
      <w:rFonts w:ascii="Times New Roman" w:hAnsi="Times New Roman"/>
      <w:lang w:val="en-US" w:eastAsia="zh-CN" w:bidi="ar-SA"/>
    </w:rPr>
    <w:tblPr/>
  </w:style>
  <w:style w:type="table" w:styleId="994" w:customStyle="1">
    <w:name w:val="Grid Table 6 Colorful - Accent 6"/>
    <w:uiPriority w:val="99"/>
    <w:qFormat/>
    <w:rPr>
      <w:rFonts w:ascii="Times New Roman" w:hAnsi="Times New Roman"/>
      <w:lang w:val="en-US" w:eastAsia="zh-CN" w:bidi="ar-SA"/>
    </w:rPr>
    <w:tblPr/>
  </w:style>
  <w:style w:type="table" w:styleId="995" w:customStyle="1">
    <w:name w:val="网格表 7 彩色1"/>
    <w:uiPriority w:val="99"/>
    <w:qFormat/>
    <w:rPr>
      <w:rFonts w:ascii="Times New Roman" w:hAnsi="Times New Roman"/>
      <w:lang w:val="en-US" w:eastAsia="zh-CN" w:bidi="ar-SA"/>
    </w:rPr>
    <w:tblPr/>
  </w:style>
  <w:style w:type="table" w:styleId="996" w:customStyle="1">
    <w:name w:val="Grid Table 7 Colorful - Accent 1"/>
    <w:uiPriority w:val="99"/>
    <w:qFormat/>
    <w:rPr>
      <w:rFonts w:ascii="Times New Roman" w:hAnsi="Times New Roman"/>
      <w:lang w:val="en-US" w:eastAsia="zh-CN" w:bidi="ar-SA"/>
    </w:rPr>
    <w:tblPr/>
  </w:style>
  <w:style w:type="table" w:styleId="997" w:customStyle="1">
    <w:name w:val="Grid Table 7 Colorful - Accent 2"/>
    <w:uiPriority w:val="99"/>
    <w:qFormat/>
    <w:rPr>
      <w:rFonts w:ascii="Times New Roman" w:hAnsi="Times New Roman"/>
      <w:lang w:val="en-US" w:eastAsia="zh-CN" w:bidi="ar-SA"/>
    </w:rPr>
    <w:tblPr/>
  </w:style>
  <w:style w:type="table" w:styleId="998" w:customStyle="1">
    <w:name w:val="Grid Table 7 Colorful - Accent 3"/>
    <w:uiPriority w:val="99"/>
    <w:qFormat/>
    <w:rPr>
      <w:rFonts w:ascii="Times New Roman" w:hAnsi="Times New Roman"/>
      <w:lang w:val="en-US" w:eastAsia="zh-CN" w:bidi="ar-SA"/>
    </w:rPr>
    <w:tblPr/>
  </w:style>
  <w:style w:type="table" w:styleId="999" w:customStyle="1">
    <w:name w:val="Grid Table 7 Colorful - Accent 4"/>
    <w:uiPriority w:val="99"/>
    <w:qFormat/>
    <w:rPr>
      <w:rFonts w:ascii="Times New Roman" w:hAnsi="Times New Roman"/>
      <w:lang w:val="en-US" w:eastAsia="zh-CN" w:bidi="ar-SA"/>
    </w:rPr>
    <w:tblPr/>
  </w:style>
  <w:style w:type="table" w:styleId="1000" w:customStyle="1">
    <w:name w:val="Grid Table 7 Colorful - Accent 5"/>
    <w:uiPriority w:val="99"/>
    <w:qFormat/>
    <w:rPr>
      <w:rFonts w:ascii="Times New Roman" w:hAnsi="Times New Roman"/>
      <w:lang w:val="en-US" w:eastAsia="zh-CN" w:bidi="ar-SA"/>
    </w:rPr>
    <w:tblPr/>
  </w:style>
  <w:style w:type="table" w:styleId="1001" w:customStyle="1">
    <w:name w:val="Grid Table 7 Colorful - Accent 6"/>
    <w:uiPriority w:val="99"/>
    <w:qFormat/>
    <w:rPr>
      <w:rFonts w:ascii="Times New Roman" w:hAnsi="Times New Roman"/>
      <w:lang w:val="en-US" w:eastAsia="zh-CN" w:bidi="ar-SA"/>
    </w:rPr>
    <w:tblPr/>
  </w:style>
  <w:style w:type="table" w:styleId="1002" w:customStyle="1">
    <w:name w:val="清单表 1 浅色1"/>
    <w:uiPriority w:val="99"/>
    <w:qFormat/>
    <w:rPr>
      <w:rFonts w:ascii="Times New Roman" w:hAnsi="Times New Roman"/>
      <w:lang w:val="en-US" w:eastAsia="zh-CN" w:bidi="ar-SA"/>
    </w:rPr>
    <w:tblPr/>
  </w:style>
  <w:style w:type="table" w:styleId="1003" w:customStyle="1">
    <w:name w:val="List Table 1 Light - Accent 1"/>
    <w:uiPriority w:val="99"/>
    <w:qFormat/>
    <w:rPr>
      <w:rFonts w:ascii="Times New Roman" w:hAnsi="Times New Roman"/>
      <w:lang w:val="en-US" w:eastAsia="zh-CN" w:bidi="ar-SA"/>
    </w:rPr>
    <w:tblPr/>
  </w:style>
  <w:style w:type="table" w:styleId="1004" w:customStyle="1">
    <w:name w:val="List Table 1 Light - Accent 2"/>
    <w:uiPriority w:val="99"/>
    <w:qFormat/>
    <w:rPr>
      <w:rFonts w:ascii="Times New Roman" w:hAnsi="Times New Roman"/>
      <w:lang w:val="en-US" w:eastAsia="zh-CN" w:bidi="ar-SA"/>
    </w:rPr>
    <w:tblPr/>
  </w:style>
  <w:style w:type="table" w:styleId="1005" w:customStyle="1">
    <w:name w:val="List Table 1 Light - Accent 3"/>
    <w:uiPriority w:val="99"/>
    <w:qFormat/>
    <w:rPr>
      <w:rFonts w:ascii="Times New Roman" w:hAnsi="Times New Roman"/>
      <w:lang w:val="en-US" w:eastAsia="zh-CN" w:bidi="ar-SA"/>
    </w:rPr>
    <w:tblPr/>
  </w:style>
  <w:style w:type="table" w:styleId="1006" w:customStyle="1">
    <w:name w:val="List Table 1 Light - Accent 4"/>
    <w:uiPriority w:val="99"/>
    <w:qFormat/>
    <w:rPr>
      <w:rFonts w:ascii="Times New Roman" w:hAnsi="Times New Roman"/>
      <w:lang w:val="en-US" w:eastAsia="zh-CN" w:bidi="ar-SA"/>
    </w:rPr>
    <w:tblPr/>
  </w:style>
  <w:style w:type="table" w:styleId="1007" w:customStyle="1">
    <w:name w:val="List Table 1 Light - Accent 5"/>
    <w:uiPriority w:val="99"/>
    <w:qFormat/>
    <w:rPr>
      <w:rFonts w:ascii="Times New Roman" w:hAnsi="Times New Roman"/>
      <w:lang w:val="en-US" w:eastAsia="zh-CN" w:bidi="ar-SA"/>
    </w:rPr>
    <w:tblPr/>
  </w:style>
  <w:style w:type="table" w:styleId="1008" w:customStyle="1">
    <w:name w:val="List Table 1 Light - Accent 6"/>
    <w:uiPriority w:val="99"/>
    <w:qFormat/>
    <w:rPr>
      <w:rFonts w:ascii="Times New Roman" w:hAnsi="Times New Roman"/>
      <w:lang w:val="en-US" w:eastAsia="zh-CN" w:bidi="ar-SA"/>
    </w:rPr>
    <w:tblPr/>
  </w:style>
  <w:style w:type="table" w:styleId="1009" w:customStyle="1">
    <w:name w:val="清单表 21"/>
    <w:uiPriority w:val="99"/>
    <w:qFormat/>
    <w:rPr>
      <w:rFonts w:ascii="Times New Roman" w:hAnsi="Times New Roman"/>
      <w:lang w:val="en-US" w:eastAsia="zh-CN" w:bidi="ar-SA"/>
    </w:rPr>
    <w:tblPr/>
  </w:style>
  <w:style w:type="table" w:styleId="1010" w:customStyle="1">
    <w:name w:val="List Table 2 - Accent 1"/>
    <w:uiPriority w:val="99"/>
    <w:qFormat/>
    <w:rPr>
      <w:rFonts w:ascii="Times New Roman" w:hAnsi="Times New Roman"/>
      <w:lang w:val="en-US" w:eastAsia="zh-CN" w:bidi="ar-SA"/>
    </w:rPr>
    <w:tblPr/>
  </w:style>
  <w:style w:type="table" w:styleId="1011" w:customStyle="1">
    <w:name w:val="List Table 2 - Accent 2"/>
    <w:uiPriority w:val="99"/>
    <w:qFormat/>
    <w:rPr>
      <w:rFonts w:ascii="Times New Roman" w:hAnsi="Times New Roman"/>
      <w:lang w:val="en-US" w:eastAsia="zh-CN" w:bidi="ar-SA"/>
    </w:rPr>
    <w:tblPr/>
  </w:style>
  <w:style w:type="table" w:styleId="1012" w:customStyle="1">
    <w:name w:val="List Table 2 - Accent 3"/>
    <w:uiPriority w:val="99"/>
    <w:qFormat/>
    <w:rPr>
      <w:rFonts w:ascii="Times New Roman" w:hAnsi="Times New Roman"/>
      <w:lang w:val="en-US" w:eastAsia="zh-CN" w:bidi="ar-SA"/>
    </w:rPr>
    <w:tblPr/>
  </w:style>
  <w:style w:type="table" w:styleId="1013" w:customStyle="1">
    <w:name w:val="List Table 2 - Accent 4"/>
    <w:uiPriority w:val="99"/>
    <w:qFormat/>
    <w:rPr>
      <w:rFonts w:ascii="Times New Roman" w:hAnsi="Times New Roman"/>
      <w:lang w:val="en-US" w:eastAsia="zh-CN" w:bidi="ar-SA"/>
    </w:rPr>
    <w:tblPr/>
  </w:style>
  <w:style w:type="table" w:styleId="1014" w:customStyle="1">
    <w:name w:val="List Table 2 - Accent 5"/>
    <w:uiPriority w:val="99"/>
    <w:qFormat/>
    <w:rPr>
      <w:rFonts w:ascii="Times New Roman" w:hAnsi="Times New Roman"/>
      <w:lang w:val="en-US" w:eastAsia="zh-CN" w:bidi="ar-SA"/>
    </w:rPr>
    <w:tblPr/>
  </w:style>
  <w:style w:type="table" w:styleId="1015" w:customStyle="1">
    <w:name w:val="List Table 2 - Accent 6"/>
    <w:uiPriority w:val="99"/>
    <w:qFormat/>
    <w:rPr>
      <w:rFonts w:ascii="Times New Roman" w:hAnsi="Times New Roman"/>
      <w:lang w:val="en-US" w:eastAsia="zh-CN" w:bidi="ar-SA"/>
    </w:rPr>
    <w:tblPr/>
  </w:style>
  <w:style w:type="table" w:styleId="1016" w:customStyle="1">
    <w:name w:val="清单表 31"/>
    <w:uiPriority w:val="99"/>
    <w:qFormat/>
    <w:rPr>
      <w:rFonts w:ascii="Times New Roman" w:hAnsi="Times New Roman"/>
      <w:lang w:val="en-US" w:eastAsia="zh-CN" w:bidi="ar-SA"/>
    </w:rPr>
    <w:tblPr/>
  </w:style>
  <w:style w:type="table" w:styleId="1017" w:customStyle="1">
    <w:name w:val="List Table 3 - Accent 1"/>
    <w:uiPriority w:val="99"/>
    <w:qFormat/>
    <w:rPr>
      <w:rFonts w:ascii="Times New Roman" w:hAnsi="Times New Roman"/>
      <w:lang w:val="en-US" w:eastAsia="zh-CN" w:bidi="ar-SA"/>
    </w:rPr>
    <w:tblPr/>
  </w:style>
  <w:style w:type="table" w:styleId="1018" w:customStyle="1">
    <w:name w:val="List Table 3 - Accent 2"/>
    <w:uiPriority w:val="99"/>
    <w:qFormat/>
    <w:rPr>
      <w:rFonts w:ascii="Times New Roman" w:hAnsi="Times New Roman"/>
      <w:lang w:val="en-US" w:eastAsia="zh-CN" w:bidi="ar-SA"/>
    </w:rPr>
    <w:tblPr/>
  </w:style>
  <w:style w:type="table" w:styleId="1019" w:customStyle="1">
    <w:name w:val="List Table 3 - Accent 3"/>
    <w:uiPriority w:val="99"/>
    <w:qFormat/>
    <w:rPr>
      <w:rFonts w:ascii="Times New Roman" w:hAnsi="Times New Roman"/>
      <w:lang w:val="en-US" w:eastAsia="zh-CN" w:bidi="ar-SA"/>
    </w:rPr>
    <w:tblPr/>
  </w:style>
  <w:style w:type="table" w:styleId="1020" w:customStyle="1">
    <w:name w:val="List Table 3 - Accent 4"/>
    <w:uiPriority w:val="99"/>
    <w:qFormat/>
    <w:rPr>
      <w:rFonts w:ascii="Times New Roman" w:hAnsi="Times New Roman"/>
      <w:lang w:val="en-US" w:eastAsia="zh-CN" w:bidi="ar-SA"/>
    </w:rPr>
    <w:tblPr/>
  </w:style>
  <w:style w:type="table" w:styleId="1021" w:customStyle="1">
    <w:name w:val="List Table 3 - Accent 5"/>
    <w:uiPriority w:val="99"/>
    <w:qFormat/>
    <w:rPr>
      <w:rFonts w:ascii="Times New Roman" w:hAnsi="Times New Roman"/>
      <w:lang w:val="en-US" w:eastAsia="zh-CN" w:bidi="ar-SA"/>
    </w:rPr>
    <w:tblPr/>
  </w:style>
  <w:style w:type="table" w:styleId="1022" w:customStyle="1">
    <w:name w:val="List Table 3 - Accent 6"/>
    <w:uiPriority w:val="99"/>
    <w:qFormat/>
    <w:rPr>
      <w:rFonts w:ascii="Times New Roman" w:hAnsi="Times New Roman"/>
      <w:lang w:val="en-US" w:eastAsia="zh-CN" w:bidi="ar-SA"/>
    </w:rPr>
    <w:tblPr/>
  </w:style>
  <w:style w:type="table" w:styleId="1023" w:customStyle="1">
    <w:name w:val="清单表 41"/>
    <w:uiPriority w:val="99"/>
    <w:qFormat/>
    <w:rPr>
      <w:rFonts w:ascii="Times New Roman" w:hAnsi="Times New Roman"/>
      <w:lang w:val="en-US" w:eastAsia="zh-CN" w:bidi="ar-SA"/>
    </w:rPr>
    <w:tblPr/>
  </w:style>
  <w:style w:type="table" w:styleId="1024" w:customStyle="1">
    <w:name w:val="List Table 4 - Accent 1"/>
    <w:uiPriority w:val="99"/>
    <w:qFormat/>
    <w:rPr>
      <w:rFonts w:ascii="Times New Roman" w:hAnsi="Times New Roman"/>
      <w:lang w:val="en-US" w:eastAsia="zh-CN" w:bidi="ar-SA"/>
    </w:rPr>
    <w:tblPr/>
  </w:style>
  <w:style w:type="table" w:styleId="1025" w:customStyle="1">
    <w:name w:val="List Table 4 - Accent 2"/>
    <w:uiPriority w:val="99"/>
    <w:qFormat/>
    <w:rPr>
      <w:rFonts w:ascii="Times New Roman" w:hAnsi="Times New Roman"/>
      <w:lang w:val="en-US" w:eastAsia="zh-CN" w:bidi="ar-SA"/>
    </w:rPr>
    <w:tblPr/>
  </w:style>
  <w:style w:type="table" w:styleId="1026" w:customStyle="1">
    <w:name w:val="List Table 4 - Accent 3"/>
    <w:uiPriority w:val="99"/>
    <w:qFormat/>
    <w:rPr>
      <w:rFonts w:ascii="Times New Roman" w:hAnsi="Times New Roman"/>
      <w:lang w:val="en-US" w:eastAsia="zh-CN" w:bidi="ar-SA"/>
    </w:rPr>
    <w:tblPr/>
  </w:style>
  <w:style w:type="table" w:styleId="1027" w:customStyle="1">
    <w:name w:val="List Table 4 - Accent 4"/>
    <w:uiPriority w:val="99"/>
    <w:qFormat/>
    <w:rPr>
      <w:rFonts w:ascii="Times New Roman" w:hAnsi="Times New Roman"/>
      <w:lang w:val="en-US" w:eastAsia="zh-CN" w:bidi="ar-SA"/>
    </w:rPr>
    <w:tblPr/>
  </w:style>
  <w:style w:type="table" w:styleId="1028" w:customStyle="1">
    <w:name w:val="List Table 4 - Accent 5"/>
    <w:uiPriority w:val="99"/>
    <w:qFormat/>
    <w:rPr>
      <w:rFonts w:ascii="Times New Roman" w:hAnsi="Times New Roman"/>
      <w:lang w:val="en-US" w:eastAsia="zh-CN" w:bidi="ar-SA"/>
    </w:rPr>
    <w:tblPr/>
  </w:style>
  <w:style w:type="table" w:styleId="1029" w:customStyle="1">
    <w:name w:val="List Table 4 - Accent 6"/>
    <w:uiPriority w:val="99"/>
    <w:qFormat/>
    <w:rPr>
      <w:rFonts w:ascii="Times New Roman" w:hAnsi="Times New Roman"/>
      <w:lang w:val="en-US" w:eastAsia="zh-CN" w:bidi="ar-SA"/>
    </w:rPr>
    <w:tblPr/>
  </w:style>
  <w:style w:type="table" w:styleId="1030" w:customStyle="1">
    <w:name w:val="清单表 5 深色1"/>
    <w:uiPriority w:val="99"/>
    <w:qFormat/>
    <w:rPr>
      <w:rFonts w:ascii="Times New Roman" w:hAnsi="Times New Roman"/>
      <w:lang w:val="en-US" w:eastAsia="zh-CN" w:bidi="ar-SA"/>
    </w:rPr>
    <w:tblPr/>
  </w:style>
  <w:style w:type="table" w:styleId="1031" w:customStyle="1">
    <w:name w:val="List Table 5 Dark - Accent 1"/>
    <w:uiPriority w:val="99"/>
    <w:qFormat/>
    <w:rPr>
      <w:rFonts w:ascii="Times New Roman" w:hAnsi="Times New Roman"/>
      <w:lang w:val="en-US" w:eastAsia="zh-CN" w:bidi="ar-SA"/>
    </w:rPr>
    <w:tblPr/>
  </w:style>
  <w:style w:type="table" w:styleId="1032" w:customStyle="1">
    <w:name w:val="List Table 5 Dark - Accent 2"/>
    <w:uiPriority w:val="99"/>
    <w:qFormat/>
    <w:rPr>
      <w:rFonts w:ascii="Times New Roman" w:hAnsi="Times New Roman"/>
      <w:lang w:val="en-US" w:eastAsia="zh-CN" w:bidi="ar-SA"/>
    </w:rPr>
    <w:tblPr/>
  </w:style>
  <w:style w:type="table" w:styleId="1033" w:customStyle="1">
    <w:name w:val="List Table 5 Dark - Accent 3"/>
    <w:uiPriority w:val="99"/>
    <w:qFormat/>
    <w:rPr>
      <w:rFonts w:ascii="Times New Roman" w:hAnsi="Times New Roman"/>
      <w:lang w:val="en-US" w:eastAsia="zh-CN" w:bidi="ar-SA"/>
    </w:rPr>
    <w:tblPr/>
  </w:style>
  <w:style w:type="table" w:styleId="1034" w:customStyle="1">
    <w:name w:val="List Table 5 Dark - Accent 4"/>
    <w:uiPriority w:val="99"/>
    <w:qFormat/>
    <w:rPr>
      <w:rFonts w:ascii="Times New Roman" w:hAnsi="Times New Roman"/>
      <w:lang w:val="en-US" w:eastAsia="zh-CN" w:bidi="ar-SA"/>
    </w:rPr>
    <w:tblPr/>
  </w:style>
  <w:style w:type="table" w:styleId="1035" w:customStyle="1">
    <w:name w:val="List Table 5 Dark - Accent 5"/>
    <w:uiPriority w:val="99"/>
    <w:qFormat/>
    <w:rPr>
      <w:rFonts w:ascii="Times New Roman" w:hAnsi="Times New Roman"/>
      <w:lang w:val="en-US" w:eastAsia="zh-CN" w:bidi="ar-SA"/>
    </w:rPr>
    <w:tblPr/>
  </w:style>
  <w:style w:type="table" w:styleId="1036" w:customStyle="1">
    <w:name w:val="List Table 5 Dark - Accent 6"/>
    <w:uiPriority w:val="99"/>
    <w:qFormat/>
    <w:rPr>
      <w:rFonts w:ascii="Times New Roman" w:hAnsi="Times New Roman"/>
      <w:lang w:val="en-US" w:eastAsia="zh-CN" w:bidi="ar-SA"/>
    </w:rPr>
    <w:tblPr/>
  </w:style>
  <w:style w:type="table" w:styleId="1037" w:customStyle="1">
    <w:name w:val="清单表 6 彩色1"/>
    <w:uiPriority w:val="99"/>
    <w:qFormat/>
    <w:rPr>
      <w:rFonts w:ascii="Times New Roman" w:hAnsi="Times New Roman"/>
      <w:lang w:val="en-US" w:eastAsia="zh-CN" w:bidi="ar-SA"/>
    </w:rPr>
    <w:tblPr/>
  </w:style>
  <w:style w:type="table" w:styleId="1038" w:customStyle="1">
    <w:name w:val="List Table 6 Colorful - Accent 1"/>
    <w:uiPriority w:val="99"/>
    <w:qFormat/>
    <w:rPr>
      <w:rFonts w:ascii="Times New Roman" w:hAnsi="Times New Roman"/>
      <w:lang w:val="en-US" w:eastAsia="zh-CN" w:bidi="ar-SA"/>
    </w:rPr>
    <w:tblPr/>
  </w:style>
  <w:style w:type="table" w:styleId="1039" w:customStyle="1">
    <w:name w:val="List Table 6 Colorful - Accent 2"/>
    <w:uiPriority w:val="99"/>
    <w:qFormat/>
    <w:rPr>
      <w:rFonts w:ascii="Times New Roman" w:hAnsi="Times New Roman"/>
      <w:lang w:val="en-US" w:eastAsia="zh-CN" w:bidi="ar-SA"/>
    </w:rPr>
    <w:tblPr/>
  </w:style>
  <w:style w:type="table" w:styleId="1040" w:customStyle="1">
    <w:name w:val="List Table 6 Colorful - Accent 3"/>
    <w:uiPriority w:val="99"/>
    <w:qFormat/>
    <w:rPr>
      <w:rFonts w:ascii="Times New Roman" w:hAnsi="Times New Roman"/>
      <w:lang w:val="en-US" w:eastAsia="zh-CN" w:bidi="ar-SA"/>
    </w:rPr>
    <w:tblPr/>
  </w:style>
  <w:style w:type="table" w:styleId="1041" w:customStyle="1">
    <w:name w:val="List Table 6 Colorful - Accent 4"/>
    <w:uiPriority w:val="99"/>
    <w:qFormat/>
    <w:rPr>
      <w:rFonts w:ascii="Times New Roman" w:hAnsi="Times New Roman"/>
      <w:lang w:val="en-US" w:eastAsia="zh-CN" w:bidi="ar-SA"/>
    </w:rPr>
    <w:tblPr/>
  </w:style>
  <w:style w:type="table" w:styleId="1042" w:customStyle="1">
    <w:name w:val="List Table 6 Colorful - Accent 5"/>
    <w:uiPriority w:val="99"/>
    <w:qFormat/>
    <w:rPr>
      <w:rFonts w:ascii="Times New Roman" w:hAnsi="Times New Roman"/>
      <w:lang w:val="en-US" w:eastAsia="zh-CN" w:bidi="ar-SA"/>
    </w:rPr>
    <w:tblPr/>
  </w:style>
  <w:style w:type="table" w:styleId="1043" w:customStyle="1">
    <w:name w:val="List Table 6 Colorful - Accent 6"/>
    <w:uiPriority w:val="99"/>
    <w:qFormat/>
    <w:rPr>
      <w:rFonts w:ascii="Times New Roman" w:hAnsi="Times New Roman"/>
      <w:lang w:val="en-US" w:eastAsia="zh-CN" w:bidi="ar-SA"/>
    </w:rPr>
    <w:tblPr/>
  </w:style>
  <w:style w:type="table" w:styleId="1044" w:customStyle="1">
    <w:name w:val="清单表 7 彩色1"/>
    <w:uiPriority w:val="99"/>
    <w:qFormat/>
    <w:rPr>
      <w:rFonts w:ascii="Times New Roman" w:hAnsi="Times New Roman"/>
      <w:lang w:val="en-US" w:eastAsia="zh-CN" w:bidi="ar-SA"/>
    </w:rPr>
    <w:tblPr/>
  </w:style>
  <w:style w:type="table" w:styleId="1045" w:customStyle="1">
    <w:name w:val="List Table 7 Colorful - Accent 1"/>
    <w:uiPriority w:val="99"/>
    <w:qFormat/>
    <w:rPr>
      <w:rFonts w:ascii="Times New Roman" w:hAnsi="Times New Roman"/>
      <w:lang w:val="en-US" w:eastAsia="zh-CN" w:bidi="ar-SA"/>
    </w:rPr>
    <w:tblPr/>
  </w:style>
  <w:style w:type="table" w:styleId="1046" w:customStyle="1">
    <w:name w:val="List Table 7 Colorful - Accent 2"/>
    <w:uiPriority w:val="99"/>
    <w:qFormat/>
    <w:rPr>
      <w:rFonts w:ascii="Times New Roman" w:hAnsi="Times New Roman"/>
      <w:lang w:val="en-US" w:eastAsia="zh-CN" w:bidi="ar-SA"/>
    </w:rPr>
    <w:tblPr/>
  </w:style>
  <w:style w:type="table" w:styleId="1047" w:customStyle="1">
    <w:name w:val="List Table 7 Colorful - Accent 3"/>
    <w:uiPriority w:val="99"/>
    <w:qFormat/>
    <w:rPr>
      <w:rFonts w:ascii="Times New Roman" w:hAnsi="Times New Roman"/>
      <w:lang w:val="en-US" w:eastAsia="zh-CN" w:bidi="ar-SA"/>
    </w:rPr>
    <w:tblPr/>
  </w:style>
  <w:style w:type="table" w:styleId="1048" w:customStyle="1">
    <w:name w:val="List Table 7 Colorful - Accent 4"/>
    <w:uiPriority w:val="99"/>
    <w:qFormat/>
    <w:rPr>
      <w:rFonts w:ascii="Times New Roman" w:hAnsi="Times New Roman"/>
      <w:lang w:val="en-US" w:eastAsia="zh-CN" w:bidi="ar-SA"/>
    </w:rPr>
    <w:tblPr/>
  </w:style>
  <w:style w:type="table" w:styleId="1049" w:customStyle="1">
    <w:name w:val="List Table 7 Colorful - Accent 5"/>
    <w:uiPriority w:val="99"/>
    <w:qFormat/>
    <w:rPr>
      <w:rFonts w:ascii="Times New Roman" w:hAnsi="Times New Roman"/>
      <w:lang w:val="en-US" w:eastAsia="zh-CN" w:bidi="ar-SA"/>
    </w:rPr>
    <w:tblPr/>
  </w:style>
  <w:style w:type="table" w:styleId="1050" w:customStyle="1">
    <w:name w:val="List Table 7 Colorful - Accent 6"/>
    <w:uiPriority w:val="99"/>
    <w:qFormat/>
    <w:rPr>
      <w:rFonts w:ascii="Times New Roman" w:hAnsi="Times New Roman"/>
      <w:lang w:val="en-US" w:eastAsia="zh-CN" w:bidi="ar-SA"/>
    </w:rPr>
    <w:tblPr/>
  </w:style>
  <w:style w:type="table" w:styleId="1051" w:customStyle="1">
    <w:name w:val="Lined - Accent"/>
    <w:uiPriority w:val="99"/>
    <w:qFormat/>
    <w:rPr>
      <w:rFonts w:ascii="Times New Roman" w:hAnsi="Times New Roman"/>
      <w:color w:val="404040"/>
      <w:lang w:val="en-US" w:eastAsia="zh-CN" w:bidi="ar-SA"/>
    </w:rPr>
    <w:tblPr/>
  </w:style>
  <w:style w:type="table" w:styleId="1052" w:customStyle="1">
    <w:name w:val="Lined - Accent 1"/>
    <w:uiPriority w:val="99"/>
    <w:qFormat/>
    <w:rPr>
      <w:rFonts w:ascii="Times New Roman" w:hAnsi="Times New Roman"/>
      <w:color w:val="404040"/>
      <w:lang w:val="en-US" w:eastAsia="zh-CN" w:bidi="ar-SA"/>
    </w:rPr>
    <w:tblPr/>
  </w:style>
  <w:style w:type="table" w:styleId="1053" w:customStyle="1">
    <w:name w:val="Lined - Accent 2"/>
    <w:uiPriority w:val="99"/>
    <w:qFormat/>
    <w:rPr>
      <w:rFonts w:ascii="Times New Roman" w:hAnsi="Times New Roman"/>
      <w:color w:val="404040"/>
      <w:lang w:val="en-US" w:eastAsia="zh-CN" w:bidi="ar-SA"/>
    </w:rPr>
    <w:tblPr/>
  </w:style>
  <w:style w:type="table" w:styleId="1054" w:customStyle="1">
    <w:name w:val="Lined - Accent 3"/>
    <w:uiPriority w:val="99"/>
    <w:qFormat/>
    <w:rPr>
      <w:rFonts w:ascii="Times New Roman" w:hAnsi="Times New Roman"/>
      <w:color w:val="404040"/>
      <w:lang w:val="en-US" w:eastAsia="zh-CN" w:bidi="ar-SA"/>
    </w:rPr>
    <w:tblPr/>
  </w:style>
  <w:style w:type="table" w:styleId="1055" w:customStyle="1">
    <w:name w:val="Lined - Accent 4"/>
    <w:uiPriority w:val="99"/>
    <w:qFormat/>
    <w:rPr>
      <w:rFonts w:ascii="Times New Roman" w:hAnsi="Times New Roman"/>
      <w:color w:val="404040"/>
      <w:lang w:val="en-US" w:eastAsia="zh-CN" w:bidi="ar-SA"/>
    </w:rPr>
    <w:tblPr/>
  </w:style>
  <w:style w:type="table" w:styleId="1056" w:customStyle="1">
    <w:name w:val="Lined - Accent 5"/>
    <w:uiPriority w:val="99"/>
    <w:qFormat/>
    <w:rPr>
      <w:rFonts w:ascii="Times New Roman" w:hAnsi="Times New Roman"/>
      <w:color w:val="404040"/>
      <w:lang w:val="en-US" w:eastAsia="zh-CN" w:bidi="ar-SA"/>
    </w:rPr>
    <w:tblPr/>
  </w:style>
  <w:style w:type="table" w:styleId="1057" w:customStyle="1">
    <w:name w:val="Lined - Accent 6"/>
    <w:uiPriority w:val="99"/>
    <w:qFormat/>
    <w:rPr>
      <w:rFonts w:ascii="Times New Roman" w:hAnsi="Times New Roman"/>
      <w:color w:val="404040"/>
      <w:lang w:val="en-US" w:eastAsia="zh-CN" w:bidi="ar-SA"/>
    </w:rPr>
    <w:tblPr/>
  </w:style>
  <w:style w:type="table" w:styleId="1058" w:customStyle="1">
    <w:name w:val="Bordered &amp; Lined - Accent"/>
    <w:uiPriority w:val="99"/>
    <w:qFormat/>
    <w:rPr>
      <w:rFonts w:ascii="Times New Roman" w:hAnsi="Times New Roman"/>
      <w:color w:val="404040"/>
      <w:lang w:val="en-US" w:eastAsia="zh-CN" w:bidi="ar-SA"/>
    </w:rPr>
    <w:tblPr/>
  </w:style>
  <w:style w:type="table" w:styleId="1059" w:customStyle="1">
    <w:name w:val="Bordered &amp; Lined - Accent 1"/>
    <w:uiPriority w:val="99"/>
    <w:qFormat/>
    <w:rPr>
      <w:rFonts w:ascii="Times New Roman" w:hAnsi="Times New Roman"/>
      <w:color w:val="404040"/>
      <w:lang w:val="en-US" w:eastAsia="zh-CN" w:bidi="ar-SA"/>
    </w:rPr>
    <w:tblPr/>
  </w:style>
  <w:style w:type="table" w:styleId="1060" w:customStyle="1">
    <w:name w:val="Bordered &amp; Lined - Accent 2"/>
    <w:uiPriority w:val="99"/>
    <w:qFormat/>
    <w:rPr>
      <w:rFonts w:ascii="Times New Roman" w:hAnsi="Times New Roman"/>
      <w:color w:val="404040"/>
      <w:lang w:val="en-US" w:eastAsia="zh-CN" w:bidi="ar-SA"/>
    </w:rPr>
    <w:tblPr/>
  </w:style>
  <w:style w:type="table" w:styleId="1061" w:customStyle="1">
    <w:name w:val="Bordered &amp; Lined - Accent 3"/>
    <w:uiPriority w:val="99"/>
    <w:qFormat/>
    <w:rPr>
      <w:rFonts w:ascii="Times New Roman" w:hAnsi="Times New Roman"/>
      <w:color w:val="404040"/>
      <w:lang w:val="en-US" w:eastAsia="zh-CN" w:bidi="ar-SA"/>
    </w:rPr>
    <w:tblPr/>
  </w:style>
  <w:style w:type="table" w:styleId="1062" w:customStyle="1">
    <w:name w:val="Bordered &amp; Lined - Accent 4"/>
    <w:uiPriority w:val="99"/>
    <w:qFormat/>
    <w:rPr>
      <w:rFonts w:ascii="Times New Roman" w:hAnsi="Times New Roman"/>
      <w:color w:val="404040"/>
      <w:lang w:val="en-US" w:eastAsia="zh-CN" w:bidi="ar-SA"/>
    </w:rPr>
    <w:tblPr/>
  </w:style>
  <w:style w:type="table" w:styleId="1063" w:customStyle="1">
    <w:name w:val="Bordered &amp; Lined - Accent 5"/>
    <w:uiPriority w:val="99"/>
    <w:qFormat/>
    <w:rPr>
      <w:rFonts w:ascii="Times New Roman" w:hAnsi="Times New Roman"/>
      <w:color w:val="404040"/>
      <w:lang w:val="en-US" w:eastAsia="zh-CN" w:bidi="ar-SA"/>
    </w:rPr>
    <w:tblPr/>
  </w:style>
  <w:style w:type="table" w:styleId="1064" w:customStyle="1">
    <w:name w:val="Bordered &amp; Lined - Accent 6"/>
    <w:uiPriority w:val="99"/>
    <w:qFormat/>
    <w:rPr>
      <w:rFonts w:ascii="Times New Roman" w:hAnsi="Times New Roman"/>
      <w:color w:val="404040"/>
      <w:lang w:val="en-US" w:eastAsia="zh-CN" w:bidi="ar-SA"/>
    </w:rPr>
    <w:tblPr/>
  </w:style>
  <w:style w:type="table" w:styleId="1065" w:customStyle="1">
    <w:name w:val="Bordered"/>
    <w:uiPriority w:val="99"/>
    <w:qFormat/>
    <w:rPr>
      <w:rFonts w:ascii="Times New Roman" w:hAnsi="Times New Roman"/>
      <w:lang w:val="en-US" w:eastAsia="zh-CN" w:bidi="ar-SA"/>
    </w:rPr>
    <w:tblPr/>
  </w:style>
  <w:style w:type="table" w:styleId="1066" w:customStyle="1">
    <w:name w:val="Bordered - Accent 1"/>
    <w:uiPriority w:val="99"/>
    <w:qFormat/>
    <w:rPr>
      <w:rFonts w:ascii="Times New Roman" w:hAnsi="Times New Roman"/>
      <w:lang w:val="en-US" w:eastAsia="zh-CN" w:bidi="ar-SA"/>
    </w:rPr>
    <w:tblPr/>
  </w:style>
  <w:style w:type="table" w:styleId="1067" w:customStyle="1">
    <w:name w:val="Bordered - Accent 2"/>
    <w:uiPriority w:val="99"/>
    <w:qFormat/>
    <w:rPr>
      <w:rFonts w:ascii="Times New Roman" w:hAnsi="Times New Roman"/>
      <w:lang w:val="en-US" w:eastAsia="zh-CN" w:bidi="ar-SA"/>
    </w:rPr>
    <w:tblPr/>
  </w:style>
  <w:style w:type="table" w:styleId="1068" w:customStyle="1">
    <w:name w:val="Bordered - Accent 3"/>
    <w:uiPriority w:val="99"/>
    <w:qFormat/>
    <w:rPr>
      <w:rFonts w:ascii="Times New Roman" w:hAnsi="Times New Roman"/>
      <w:lang w:val="en-US" w:eastAsia="zh-CN" w:bidi="ar-SA"/>
    </w:rPr>
    <w:tblPr/>
  </w:style>
  <w:style w:type="table" w:styleId="1069" w:customStyle="1">
    <w:name w:val="Bordered - Accent 4"/>
    <w:uiPriority w:val="99"/>
    <w:qFormat/>
    <w:rPr>
      <w:rFonts w:ascii="Times New Roman" w:hAnsi="Times New Roman"/>
      <w:lang w:val="en-US" w:eastAsia="zh-CN" w:bidi="ar-SA"/>
    </w:rPr>
    <w:tblPr/>
  </w:style>
  <w:style w:type="table" w:styleId="1070" w:customStyle="1">
    <w:name w:val="Bordered - Accent 5"/>
    <w:uiPriority w:val="99"/>
    <w:qFormat/>
    <w:rPr>
      <w:rFonts w:ascii="Times New Roman" w:hAnsi="Times New Roman"/>
      <w:lang w:val="en-US" w:eastAsia="zh-CN" w:bidi="ar-SA"/>
    </w:rPr>
    <w:tblPr/>
  </w:style>
  <w:style w:type="table" w:styleId="1071" w:customStyle="1">
    <w:name w:val="Bordered - Accent 6"/>
    <w:uiPriority w:val="99"/>
    <w:qFormat/>
    <w:rPr>
      <w:rFonts w:ascii="Times New Roman" w:hAnsi="Times New Roman"/>
      <w:lang w:val="en-US" w:eastAsia="zh-CN" w:bidi="ar-SA"/>
    </w:rPr>
    <w:tblPr/>
  </w:style>
  <w:style w:type="table" w:styleId="1072" w:customStyle="1">
    <w:name w:val="Table Normal"/>
    <w:uiPriority w:val="2"/>
    <w:unhideWhenUsed/>
    <w:qFormat/>
    <w:pPr>
      <w:widowControl w:val="off"/>
    </w:pPr>
    <w:rPr>
      <w:sz w:val="22"/>
      <w:szCs w:val="22"/>
      <w:lang w:val="en-US" w:eastAsia="en-US" w:bidi="ar-SA"/>
    </w:rPr>
    <w:tblPr/>
  </w:style>
  <w:style w:type="paragraph" w:styleId="1073" w:customStyle="1">
    <w:name w:val="Default"/>
    <w:uiPriority w:val="0"/>
    <w:qFormat/>
    <w:pPr>
      <w:widowControl w:val="off"/>
    </w:pPr>
    <w:rPr>
      <w:rFonts w:hint="default" w:ascii="仿宋" w:eastAsia="仿宋" w:cs="仿宋" w:hAnsiTheme="minorHAnsi"/>
      <w:color w:val="000000"/>
      <w:sz w:val="24"/>
      <w:szCs w:val="24"/>
      <w:lang w:val="en-US" w:eastAsia="zh-CN" w:bidi="ar-SA"/>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王湉湉</cp:lastModifiedBy>
  <cp:revision>606</cp:revision>
  <dcterms:created xsi:type="dcterms:W3CDTF">2023-03-16T02:16:00Z</dcterms:created>
  <dcterms:modified xsi:type="dcterms:W3CDTF">2025-01-02T05:00:24Z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E419A2AEF0D64F49ADD58CA2102EF5C2_12</vt:lpwstr>
  </property>
</Properties>
</file>