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B3D98">
      <w:pPr>
        <w:pStyle w:val="5"/>
        <w:keepNext w:val="0"/>
        <w:keepLines w:val="0"/>
        <w:pageBreakBefore/>
        <w:widowControl/>
        <w:kinsoku/>
        <w:wordWrap/>
        <w:overflowPunct/>
        <w:topLinePunct w:val="0"/>
        <w:autoSpaceDE/>
        <w:autoSpaceDN/>
        <w:bidi w:val="0"/>
        <w:adjustRightInd/>
        <w:snapToGrid/>
        <w:ind w:left="425" w:hanging="425"/>
        <w:jc w:val="center"/>
        <w:textAlignment w:val="auto"/>
        <w:rPr>
          <w:rFonts w:hint="eastAsia" w:ascii="楷体" w:hAnsi="楷体" w:eastAsia="楷体"/>
          <w:highlight w:val="none"/>
        </w:rPr>
      </w:pPr>
      <w:r>
        <w:rPr>
          <w:rFonts w:hint="eastAsia" w:ascii="楷体" w:hAnsi="楷体" w:eastAsia="楷体"/>
          <w:highlight w:val="none"/>
        </w:rPr>
        <w:t>采购需求</w:t>
      </w:r>
    </w:p>
    <w:p w14:paraId="7863BFA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一、项目概况</w:t>
      </w:r>
    </w:p>
    <w:p w14:paraId="592D233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为了加快镇江高新区科技型企业培育进程，加速科技成果转化，促进高新技术产业发展，更好的发挥国家级载体优势，本着“诚实守信、平等互利”的原则，需委托高层次、专业化孵化器运营管理机构运营管理“镇江高新区高新技术创业服务中心”。</w:t>
      </w:r>
    </w:p>
    <w:p w14:paraId="3905EBC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楷体" w:hAnsi="楷体" w:eastAsia="楷体" w:cs="楷体"/>
          <w:color w:val="auto"/>
          <w:sz w:val="24"/>
          <w:szCs w:val="24"/>
          <w:highlight w:val="none"/>
          <w:lang w:val="en-US" w:eastAsia="zh-CN"/>
        </w:rPr>
      </w:pPr>
      <w:r>
        <w:rPr>
          <w:rFonts w:hint="eastAsia" w:ascii="楷体" w:hAnsi="楷体" w:eastAsia="楷体" w:cs="楷体"/>
          <w:sz w:val="24"/>
          <w:szCs w:val="24"/>
          <w:highlight w:val="none"/>
        </w:rPr>
        <w:t>“镇江高新区高新技术创业服务中心”位于镇江市润州区润兴路20号，建筑面积</w:t>
      </w:r>
      <w:r>
        <w:rPr>
          <w:rFonts w:hint="eastAsia" w:ascii="楷体" w:hAnsi="楷体" w:eastAsia="楷体" w:cs="楷体"/>
          <w:color w:val="000000"/>
          <w:sz w:val="24"/>
          <w:szCs w:val="24"/>
          <w:highlight w:val="none"/>
        </w:rPr>
        <w:t>15700</w:t>
      </w:r>
      <w:r>
        <w:rPr>
          <w:rFonts w:hint="eastAsia" w:ascii="楷体" w:hAnsi="楷体" w:eastAsia="楷体" w:cs="楷体"/>
          <w:sz w:val="24"/>
          <w:szCs w:val="24"/>
          <w:highlight w:val="none"/>
        </w:rPr>
        <w:t>m²，</w:t>
      </w:r>
      <w:r>
        <w:rPr>
          <w:rFonts w:hint="eastAsia" w:ascii="楷体" w:hAnsi="楷体" w:eastAsia="楷体" w:cs="楷体"/>
          <w:sz w:val="24"/>
          <w:szCs w:val="24"/>
          <w:highlight w:val="none"/>
          <w:lang w:val="en-US" w:eastAsia="zh-CN"/>
        </w:rPr>
        <w:t>实际运营面积为11500</w:t>
      </w:r>
      <w:r>
        <w:rPr>
          <w:rFonts w:hint="eastAsia" w:ascii="楷体" w:hAnsi="楷体" w:eastAsia="楷体" w:cs="楷体"/>
          <w:sz w:val="24"/>
          <w:szCs w:val="24"/>
          <w:highlight w:val="none"/>
        </w:rPr>
        <w:t>m²，包含办公场地、多功能会议室、接待室、活动室等。</w:t>
      </w:r>
      <w:r>
        <w:rPr>
          <w:rFonts w:hint="eastAsia" w:ascii="楷体" w:hAnsi="楷体" w:eastAsia="楷体" w:cs="楷体"/>
          <w:color w:val="auto"/>
          <w:sz w:val="24"/>
          <w:szCs w:val="24"/>
          <w:highlight w:val="none"/>
          <w:lang w:val="en-US" w:eastAsia="zh-CN"/>
        </w:rPr>
        <w:t>本项目预算金额300万元/年，基本运营费和绩效奖励各占项目资金的50%。</w:t>
      </w:r>
    </w:p>
    <w:p w14:paraId="347EF79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二、总体目标</w:t>
      </w:r>
    </w:p>
    <w:p w14:paraId="6B3D941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围绕镇江高新区重点产业链，着力打造具有竞争力的科技企业孵化器，为高新区高质量发展。委托运营管理的内容主要有：载体招商、企业引进培育</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经济活动建设</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人才项目招引</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运营质效、</w:t>
      </w:r>
      <w:r>
        <w:rPr>
          <w:rFonts w:hint="eastAsia" w:ascii="楷体" w:hAnsi="楷体" w:eastAsia="楷体" w:cs="楷体"/>
          <w:sz w:val="24"/>
          <w:szCs w:val="24"/>
          <w:highlight w:val="none"/>
        </w:rPr>
        <w:t>载体资质升级</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市场推广及产业导入、</w:t>
      </w:r>
      <w:r>
        <w:rPr>
          <w:rFonts w:hint="eastAsia" w:ascii="楷体" w:hAnsi="楷体" w:eastAsia="楷体" w:cs="楷体"/>
          <w:sz w:val="24"/>
          <w:szCs w:val="24"/>
          <w:highlight w:val="none"/>
        </w:rPr>
        <w:t>政务接待、会务场地、活动策划、科技成果转化、项目申报等与科技服务相关的配套服务</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物业对接</w:t>
      </w:r>
      <w:r>
        <w:rPr>
          <w:rFonts w:hint="eastAsia" w:ascii="楷体" w:hAnsi="楷体" w:eastAsia="楷体" w:cs="楷体"/>
          <w:sz w:val="24"/>
          <w:szCs w:val="24"/>
          <w:highlight w:val="none"/>
        </w:rPr>
        <w:t>等内容。</w:t>
      </w:r>
    </w:p>
    <w:p w14:paraId="3EA1D3B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三、采购内容</w:t>
      </w:r>
    </w:p>
    <w:p w14:paraId="6B0E6EAC">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1、运营团队</w:t>
      </w:r>
      <w:r>
        <w:rPr>
          <w:rFonts w:hint="eastAsia" w:ascii="楷体" w:hAnsi="楷体" w:eastAsia="楷体" w:cs="楷体"/>
          <w:b/>
          <w:bCs/>
          <w:sz w:val="24"/>
          <w:szCs w:val="24"/>
          <w:highlight w:val="none"/>
          <w:lang w:val="en-US" w:eastAsia="zh-CN"/>
        </w:rPr>
        <w:t>要求</w:t>
      </w:r>
      <w:r>
        <w:rPr>
          <w:rFonts w:hint="eastAsia" w:ascii="楷体" w:hAnsi="楷体" w:eastAsia="楷体" w:cs="楷体"/>
          <w:b/>
          <w:bCs/>
          <w:sz w:val="24"/>
          <w:szCs w:val="24"/>
          <w:highlight w:val="none"/>
        </w:rPr>
        <w:t>：</w:t>
      </w:r>
    </w:p>
    <w:p w14:paraId="45FFE41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sz w:val="24"/>
          <w:szCs w:val="24"/>
          <w:highlight w:val="none"/>
          <w:lang w:val="en-US" w:eastAsia="zh-CN"/>
        </w:rPr>
        <w:t>投标供应商</w:t>
      </w:r>
      <w:r>
        <w:rPr>
          <w:rFonts w:hint="eastAsia" w:ascii="楷体" w:hAnsi="楷体" w:eastAsia="楷体" w:cs="楷体"/>
          <w:sz w:val="24"/>
          <w:szCs w:val="24"/>
          <w:highlight w:val="none"/>
        </w:rPr>
        <w:t>组建不少于5人的专业运营团队对项目进行运营管理，项目负责人具有</w:t>
      </w:r>
      <w:r>
        <w:rPr>
          <w:rFonts w:hint="eastAsia" w:ascii="楷体" w:hAnsi="楷体" w:eastAsia="楷体" w:cs="楷体"/>
          <w:sz w:val="24"/>
          <w:szCs w:val="24"/>
          <w:highlight w:val="none"/>
          <w:lang w:val="en-US" w:eastAsia="zh-CN"/>
        </w:rPr>
        <w:t>硕士</w:t>
      </w:r>
      <w:r>
        <w:rPr>
          <w:rFonts w:hint="eastAsia" w:ascii="楷体" w:hAnsi="楷体" w:eastAsia="楷体" w:cs="楷体"/>
          <w:sz w:val="24"/>
          <w:szCs w:val="24"/>
          <w:highlight w:val="none"/>
        </w:rPr>
        <w:t>及以上学历，同时具有十年及以上的管理经验和孵化器运营经验；本项目除项目负责人拟派人员不少于4人团队服务本项目，具有本科及以上学历，同时具有五年及以上的孵化器运</w:t>
      </w:r>
      <w:r>
        <w:rPr>
          <w:rFonts w:hint="eastAsia" w:ascii="楷体" w:hAnsi="楷体" w:eastAsia="楷体" w:cs="楷体"/>
          <w:color w:val="auto"/>
          <w:sz w:val="24"/>
          <w:szCs w:val="24"/>
          <w:highlight w:val="none"/>
        </w:rPr>
        <w:t>营经验</w:t>
      </w:r>
      <w:r>
        <w:rPr>
          <w:rFonts w:hint="eastAsia" w:ascii="楷体" w:hAnsi="楷体" w:eastAsia="楷体" w:cs="楷体"/>
          <w:b/>
          <w:bCs/>
          <w:color w:val="auto"/>
          <w:sz w:val="24"/>
          <w:szCs w:val="24"/>
          <w:highlight w:val="none"/>
          <w:lang w:val="en-US" w:eastAsia="zh-CN"/>
        </w:rPr>
        <w:t>（在响应文件中提供人员名单、学历证书及相关工作经验证明，未提供视或提供的资料不全视为未响应招标文件，作无效标处理）</w:t>
      </w:r>
      <w:r>
        <w:rPr>
          <w:rFonts w:hint="eastAsia" w:ascii="楷体" w:hAnsi="楷体" w:eastAsia="楷体" w:cs="楷体"/>
          <w:color w:val="auto"/>
          <w:sz w:val="24"/>
          <w:szCs w:val="24"/>
          <w:highlight w:val="none"/>
        </w:rPr>
        <w:t>。</w:t>
      </w:r>
    </w:p>
    <w:p w14:paraId="59EF9925">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2、服务内容及绩效考核：</w:t>
      </w:r>
    </w:p>
    <w:p w14:paraId="1B76C6F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default" w:ascii="Times New Roman" w:hAnsi="Times New Roman" w:eastAsia="方正小标宋_GBK" w:cs="Times New Roman"/>
          <w:color w:val="auto"/>
          <w:sz w:val="44"/>
          <w:szCs w:val="44"/>
          <w:highlight w:val="none"/>
          <w:lang w:val="en-US" w:eastAsia="zh-CN"/>
        </w:rPr>
      </w:pPr>
      <w:r>
        <w:rPr>
          <w:rFonts w:hint="eastAsia" w:ascii="楷体" w:hAnsi="楷体" w:eastAsia="楷体" w:cs="楷体"/>
          <w:sz w:val="24"/>
          <w:szCs w:val="24"/>
          <w:highlight w:val="none"/>
          <w:lang w:val="en-US" w:eastAsia="zh-CN"/>
        </w:rPr>
        <w:t>投标供应商</w:t>
      </w:r>
      <w:r>
        <w:rPr>
          <w:rFonts w:hint="eastAsia" w:ascii="楷体" w:hAnsi="楷体" w:eastAsia="楷体" w:cs="楷体"/>
          <w:sz w:val="24"/>
          <w:szCs w:val="24"/>
          <w:highlight w:val="none"/>
        </w:rPr>
        <w:t>应结合自身优势及外部资源对项目进行运营服务，采购方在年初制定运营服务目标值，运营服务项如下：</w:t>
      </w:r>
    </w:p>
    <w:p w14:paraId="0B8476D3">
      <w:pPr>
        <w:keepNext w:val="0"/>
        <w:keepLines w:val="0"/>
        <w:pageBreakBefore w:val="0"/>
        <w:widowControl w:val="0"/>
        <w:tabs>
          <w:tab w:val="left" w:pos="720"/>
        </w:tabs>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_GBK" w:cs="Times New Roman"/>
          <w:color w:val="auto"/>
          <w:sz w:val="44"/>
          <w:szCs w:val="44"/>
          <w:highlight w:val="none"/>
          <w:lang w:val="en-US" w:eastAsia="zh-CN"/>
        </w:rPr>
        <w:sectPr>
          <w:footerReference r:id="rId3" w:type="default"/>
          <w:pgSz w:w="11905" w:h="16838"/>
          <w:pgMar w:top="1440" w:right="1689" w:bottom="1440" w:left="1689" w:header="850" w:footer="992" w:gutter="0"/>
          <w:pgNumType w:fmt="decimal"/>
          <w:cols w:space="0" w:num="1"/>
          <w:rtlGutter w:val="0"/>
          <w:docGrid w:type="lines" w:linePitch="317" w:charSpace="0"/>
        </w:sectPr>
      </w:pPr>
    </w:p>
    <w:p w14:paraId="7B0BF670">
      <w:pPr>
        <w:spacing w:after="63" w:afterLines="20" w:line="560" w:lineRule="exact"/>
        <w:jc w:val="center"/>
        <w:rPr>
          <w:rFonts w:ascii="楷体" w:hAnsi="楷体" w:eastAsia="楷体" w:cs="楷体"/>
          <w:b/>
          <w:bCs/>
          <w:sz w:val="32"/>
          <w:szCs w:val="32"/>
        </w:rPr>
      </w:pPr>
      <w:r>
        <w:rPr>
          <w:rFonts w:hint="eastAsia" w:ascii="楷体" w:hAnsi="楷体" w:eastAsia="楷体" w:cs="楷体"/>
          <w:b/>
          <w:bCs/>
          <w:sz w:val="32"/>
          <w:szCs w:val="32"/>
        </w:rPr>
        <w:t>表1 年度基本运营考核表</w:t>
      </w:r>
    </w:p>
    <w:p w14:paraId="2857147D">
      <w:pPr>
        <w:spacing w:after="63" w:afterLines="20" w:line="560" w:lineRule="exact"/>
        <w:jc w:val="center"/>
        <w:rPr>
          <w:rFonts w:ascii="楷体" w:hAnsi="楷体" w:eastAsia="楷体" w:cs="楷体"/>
          <w:b/>
          <w:bCs/>
          <w:sz w:val="32"/>
          <w:szCs w:val="32"/>
        </w:rPr>
      </w:pPr>
    </w:p>
    <w:tbl>
      <w:tblPr>
        <w:tblStyle w:val="3"/>
        <w:tblW w:w="13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3949"/>
        <w:gridCol w:w="2482"/>
        <w:gridCol w:w="1983"/>
        <w:gridCol w:w="1811"/>
        <w:gridCol w:w="1978"/>
      </w:tblGrid>
      <w:tr w14:paraId="2057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094" w:type="dxa"/>
            <w:shd w:val="clear" w:color="auto" w:fill="auto"/>
            <w:vAlign w:val="center"/>
          </w:tcPr>
          <w:p w14:paraId="58ABFB1B">
            <w:pPr>
              <w:spacing w:line="300" w:lineRule="exact"/>
              <w:jc w:val="center"/>
              <w:rPr>
                <w:rFonts w:ascii="楷体" w:hAnsi="楷体" w:eastAsia="楷体" w:cs="楷体"/>
                <w:sz w:val="24"/>
              </w:rPr>
            </w:pPr>
            <w:r>
              <w:rPr>
                <w:rFonts w:hint="eastAsia" w:ascii="楷体" w:hAnsi="楷体" w:eastAsia="楷体" w:cs="楷体"/>
                <w:sz w:val="24"/>
              </w:rPr>
              <w:t>序号</w:t>
            </w:r>
          </w:p>
        </w:tc>
        <w:tc>
          <w:tcPr>
            <w:tcW w:w="3949" w:type="dxa"/>
            <w:shd w:val="clear" w:color="auto" w:fill="auto"/>
            <w:vAlign w:val="center"/>
          </w:tcPr>
          <w:p w14:paraId="094C2A70">
            <w:pPr>
              <w:spacing w:line="300" w:lineRule="exact"/>
              <w:jc w:val="center"/>
              <w:rPr>
                <w:rFonts w:ascii="楷体" w:hAnsi="楷体" w:eastAsia="楷体" w:cs="楷体"/>
                <w:sz w:val="24"/>
              </w:rPr>
            </w:pPr>
            <w:r>
              <w:rPr>
                <w:rFonts w:hint="eastAsia" w:ascii="楷体" w:hAnsi="楷体" w:eastAsia="楷体" w:cs="楷体"/>
                <w:sz w:val="24"/>
              </w:rPr>
              <w:t>指标内容</w:t>
            </w:r>
          </w:p>
        </w:tc>
        <w:tc>
          <w:tcPr>
            <w:tcW w:w="2482" w:type="dxa"/>
            <w:shd w:val="clear" w:color="auto" w:fill="auto"/>
            <w:vAlign w:val="center"/>
          </w:tcPr>
          <w:p w14:paraId="4EA2A0C8">
            <w:pPr>
              <w:spacing w:line="300" w:lineRule="exact"/>
              <w:jc w:val="center"/>
              <w:rPr>
                <w:rFonts w:ascii="楷体" w:hAnsi="楷体" w:eastAsia="楷体" w:cs="楷体"/>
                <w:sz w:val="24"/>
              </w:rPr>
            </w:pPr>
            <w:r>
              <w:rPr>
                <w:rFonts w:hint="eastAsia" w:ascii="楷体" w:hAnsi="楷体" w:eastAsia="楷体" w:cs="楷体"/>
                <w:sz w:val="24"/>
              </w:rPr>
              <w:t>第一年</w:t>
            </w:r>
          </w:p>
        </w:tc>
        <w:tc>
          <w:tcPr>
            <w:tcW w:w="1983" w:type="dxa"/>
            <w:shd w:val="clear" w:color="auto" w:fill="auto"/>
            <w:vAlign w:val="center"/>
          </w:tcPr>
          <w:p w14:paraId="41D785E1">
            <w:pPr>
              <w:spacing w:line="300" w:lineRule="exact"/>
              <w:jc w:val="center"/>
              <w:rPr>
                <w:rFonts w:ascii="楷体" w:hAnsi="楷体" w:eastAsia="楷体" w:cs="楷体"/>
                <w:sz w:val="24"/>
              </w:rPr>
            </w:pPr>
            <w:r>
              <w:rPr>
                <w:rFonts w:hint="eastAsia" w:ascii="楷体" w:hAnsi="楷体" w:eastAsia="楷体" w:cs="楷体"/>
                <w:sz w:val="24"/>
              </w:rPr>
              <w:t>第二年</w:t>
            </w:r>
          </w:p>
        </w:tc>
        <w:tc>
          <w:tcPr>
            <w:tcW w:w="1811" w:type="dxa"/>
            <w:shd w:val="clear" w:color="auto" w:fill="auto"/>
            <w:vAlign w:val="center"/>
          </w:tcPr>
          <w:p w14:paraId="0F465A62">
            <w:pPr>
              <w:spacing w:line="300" w:lineRule="exact"/>
              <w:jc w:val="center"/>
              <w:rPr>
                <w:rFonts w:ascii="楷体" w:hAnsi="楷体" w:eastAsia="楷体" w:cs="楷体"/>
                <w:sz w:val="24"/>
              </w:rPr>
            </w:pPr>
            <w:r>
              <w:rPr>
                <w:rFonts w:hint="eastAsia" w:ascii="楷体" w:hAnsi="楷体" w:eastAsia="楷体" w:cs="楷体"/>
                <w:sz w:val="24"/>
              </w:rPr>
              <w:t>第三年</w:t>
            </w:r>
          </w:p>
        </w:tc>
        <w:tc>
          <w:tcPr>
            <w:tcW w:w="1978" w:type="dxa"/>
            <w:shd w:val="clear" w:color="auto" w:fill="auto"/>
            <w:vAlign w:val="center"/>
          </w:tcPr>
          <w:p w14:paraId="35D1A7A9">
            <w:pPr>
              <w:spacing w:line="300" w:lineRule="exact"/>
              <w:jc w:val="center"/>
              <w:rPr>
                <w:rFonts w:ascii="楷体" w:hAnsi="楷体" w:eastAsia="楷体" w:cs="楷体"/>
                <w:sz w:val="24"/>
              </w:rPr>
            </w:pPr>
            <w:r>
              <w:rPr>
                <w:rFonts w:hint="eastAsia" w:ascii="楷体" w:hAnsi="楷体" w:eastAsia="楷体" w:cs="楷体"/>
                <w:sz w:val="24"/>
              </w:rPr>
              <w:t>分值</w:t>
            </w:r>
          </w:p>
        </w:tc>
      </w:tr>
      <w:tr w14:paraId="3E05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shd w:val="clear" w:color="auto" w:fill="auto"/>
            <w:vAlign w:val="center"/>
          </w:tcPr>
          <w:p w14:paraId="42AB4067">
            <w:pPr>
              <w:spacing w:line="300" w:lineRule="exact"/>
              <w:jc w:val="center"/>
              <w:rPr>
                <w:rFonts w:ascii="楷体" w:hAnsi="楷体" w:eastAsia="楷体" w:cs="楷体"/>
                <w:color w:val="auto"/>
                <w:sz w:val="24"/>
              </w:rPr>
            </w:pPr>
            <w:r>
              <w:rPr>
                <w:rFonts w:hint="eastAsia" w:ascii="楷体" w:hAnsi="楷体" w:eastAsia="楷体" w:cs="楷体"/>
                <w:color w:val="auto"/>
                <w:sz w:val="24"/>
              </w:rPr>
              <w:t>1</w:t>
            </w:r>
          </w:p>
        </w:tc>
        <w:tc>
          <w:tcPr>
            <w:tcW w:w="3949" w:type="dxa"/>
            <w:shd w:val="clear" w:color="auto" w:fill="auto"/>
            <w:vAlign w:val="center"/>
          </w:tcPr>
          <w:p w14:paraId="63A61F3F">
            <w:pPr>
              <w:spacing w:line="300" w:lineRule="exact"/>
              <w:jc w:val="center"/>
              <w:rPr>
                <w:rFonts w:ascii="楷体" w:hAnsi="楷体" w:eastAsia="楷体" w:cs="楷体"/>
                <w:color w:val="auto"/>
                <w:sz w:val="24"/>
              </w:rPr>
            </w:pPr>
            <w:r>
              <w:rPr>
                <w:rFonts w:hint="eastAsia" w:ascii="楷体" w:hAnsi="楷体" w:eastAsia="楷体" w:cs="楷体"/>
                <w:color w:val="auto"/>
                <w:sz w:val="24"/>
              </w:rPr>
              <w:t>出租率</w:t>
            </w:r>
          </w:p>
        </w:tc>
        <w:tc>
          <w:tcPr>
            <w:tcW w:w="2482" w:type="dxa"/>
            <w:shd w:val="clear" w:color="auto" w:fill="auto"/>
            <w:vAlign w:val="center"/>
          </w:tcPr>
          <w:p w14:paraId="35994279">
            <w:pPr>
              <w:spacing w:line="300" w:lineRule="exact"/>
              <w:jc w:val="center"/>
              <w:rPr>
                <w:rFonts w:ascii="楷体" w:hAnsi="楷体" w:eastAsia="楷体" w:cs="楷体"/>
                <w:color w:val="auto"/>
                <w:sz w:val="24"/>
              </w:rPr>
            </w:pPr>
            <w:r>
              <w:rPr>
                <w:rFonts w:hint="eastAsia" w:ascii="楷体" w:hAnsi="楷体" w:eastAsia="楷体" w:cs="楷体"/>
                <w:color w:val="auto"/>
                <w:sz w:val="24"/>
              </w:rPr>
              <w:t>88%</w:t>
            </w:r>
          </w:p>
        </w:tc>
        <w:tc>
          <w:tcPr>
            <w:tcW w:w="1983" w:type="dxa"/>
            <w:shd w:val="clear" w:color="auto" w:fill="auto"/>
            <w:vAlign w:val="center"/>
          </w:tcPr>
          <w:p w14:paraId="5BD7B93D">
            <w:pPr>
              <w:spacing w:line="300" w:lineRule="exact"/>
              <w:jc w:val="center"/>
              <w:rPr>
                <w:rFonts w:ascii="楷体" w:hAnsi="楷体" w:eastAsia="楷体" w:cs="楷体"/>
                <w:color w:val="auto"/>
                <w:sz w:val="24"/>
              </w:rPr>
            </w:pPr>
            <w:r>
              <w:rPr>
                <w:rFonts w:hint="eastAsia" w:ascii="楷体" w:hAnsi="楷体" w:eastAsia="楷体" w:cs="楷体"/>
                <w:color w:val="auto"/>
                <w:sz w:val="24"/>
              </w:rPr>
              <w:t>90%</w:t>
            </w:r>
          </w:p>
        </w:tc>
        <w:tc>
          <w:tcPr>
            <w:tcW w:w="1811" w:type="dxa"/>
            <w:shd w:val="clear" w:color="auto" w:fill="auto"/>
            <w:vAlign w:val="center"/>
          </w:tcPr>
          <w:p w14:paraId="187F49E2">
            <w:pPr>
              <w:spacing w:line="300" w:lineRule="exact"/>
              <w:jc w:val="center"/>
              <w:rPr>
                <w:rFonts w:ascii="楷体" w:hAnsi="楷体" w:eastAsia="楷体" w:cs="楷体"/>
                <w:color w:val="auto"/>
                <w:sz w:val="24"/>
              </w:rPr>
            </w:pPr>
            <w:r>
              <w:rPr>
                <w:rFonts w:hint="eastAsia" w:ascii="楷体" w:hAnsi="楷体" w:eastAsia="楷体" w:cs="楷体"/>
                <w:color w:val="auto"/>
                <w:sz w:val="24"/>
              </w:rPr>
              <w:t>92%</w:t>
            </w:r>
          </w:p>
        </w:tc>
        <w:tc>
          <w:tcPr>
            <w:tcW w:w="1978" w:type="dxa"/>
            <w:shd w:val="clear" w:color="auto" w:fill="auto"/>
            <w:vAlign w:val="center"/>
          </w:tcPr>
          <w:p w14:paraId="7BCC005D">
            <w:pPr>
              <w:spacing w:line="300" w:lineRule="exact"/>
              <w:jc w:val="center"/>
              <w:rPr>
                <w:rFonts w:ascii="楷体" w:hAnsi="楷体" w:eastAsia="楷体" w:cs="楷体"/>
                <w:color w:val="auto"/>
                <w:sz w:val="24"/>
              </w:rPr>
            </w:pPr>
            <w:r>
              <w:rPr>
                <w:rFonts w:hint="eastAsia" w:ascii="楷体" w:hAnsi="楷体" w:eastAsia="楷体" w:cs="楷体"/>
                <w:color w:val="auto"/>
                <w:sz w:val="24"/>
              </w:rPr>
              <w:t>15</w:t>
            </w:r>
          </w:p>
        </w:tc>
      </w:tr>
      <w:tr w14:paraId="5EC9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shd w:val="clear" w:color="auto" w:fill="auto"/>
            <w:vAlign w:val="center"/>
          </w:tcPr>
          <w:p w14:paraId="3639D09F">
            <w:pPr>
              <w:spacing w:line="300" w:lineRule="exact"/>
              <w:jc w:val="center"/>
              <w:rPr>
                <w:rFonts w:ascii="楷体" w:hAnsi="楷体" w:eastAsia="楷体" w:cs="楷体"/>
                <w:color w:val="auto"/>
                <w:sz w:val="24"/>
              </w:rPr>
            </w:pPr>
            <w:r>
              <w:rPr>
                <w:rFonts w:hint="eastAsia" w:ascii="楷体" w:hAnsi="楷体" w:eastAsia="楷体" w:cs="楷体"/>
                <w:color w:val="auto"/>
                <w:sz w:val="24"/>
              </w:rPr>
              <w:t>2</w:t>
            </w:r>
          </w:p>
        </w:tc>
        <w:tc>
          <w:tcPr>
            <w:tcW w:w="3949" w:type="dxa"/>
            <w:shd w:val="clear" w:color="auto" w:fill="auto"/>
            <w:vAlign w:val="center"/>
          </w:tcPr>
          <w:p w14:paraId="47759E7C">
            <w:pPr>
              <w:spacing w:line="300" w:lineRule="exact"/>
              <w:jc w:val="center"/>
              <w:rPr>
                <w:rFonts w:ascii="楷体" w:hAnsi="楷体" w:eastAsia="楷体" w:cs="楷体"/>
                <w:color w:val="auto"/>
                <w:sz w:val="24"/>
              </w:rPr>
            </w:pPr>
            <w:r>
              <w:rPr>
                <w:rFonts w:hint="eastAsia" w:ascii="楷体" w:hAnsi="楷体" w:eastAsia="楷体" w:cs="楷体"/>
                <w:color w:val="auto"/>
                <w:sz w:val="24"/>
              </w:rPr>
              <w:t>在孵企业年平均应税销售额</w:t>
            </w:r>
          </w:p>
        </w:tc>
        <w:tc>
          <w:tcPr>
            <w:tcW w:w="2482" w:type="dxa"/>
            <w:shd w:val="clear" w:color="auto" w:fill="auto"/>
            <w:vAlign w:val="center"/>
          </w:tcPr>
          <w:p w14:paraId="4F58CADC">
            <w:pPr>
              <w:spacing w:line="300" w:lineRule="exact"/>
              <w:jc w:val="center"/>
              <w:rPr>
                <w:rFonts w:ascii="楷体" w:hAnsi="楷体" w:eastAsia="楷体" w:cs="楷体"/>
                <w:color w:val="auto"/>
                <w:sz w:val="24"/>
              </w:rPr>
            </w:pPr>
            <w:r>
              <w:rPr>
                <w:rFonts w:hint="eastAsia" w:ascii="楷体" w:hAnsi="楷体" w:eastAsia="楷体" w:cs="楷体"/>
                <w:color w:val="auto"/>
                <w:sz w:val="24"/>
              </w:rPr>
              <w:t>5500元/㎡</w:t>
            </w:r>
          </w:p>
        </w:tc>
        <w:tc>
          <w:tcPr>
            <w:tcW w:w="1983" w:type="dxa"/>
            <w:shd w:val="clear" w:color="auto" w:fill="auto"/>
            <w:vAlign w:val="center"/>
          </w:tcPr>
          <w:p w14:paraId="0B4477B9">
            <w:pPr>
              <w:spacing w:line="300" w:lineRule="exact"/>
              <w:jc w:val="center"/>
              <w:rPr>
                <w:rFonts w:ascii="楷体" w:hAnsi="楷体" w:eastAsia="楷体" w:cs="楷体"/>
                <w:color w:val="auto"/>
                <w:sz w:val="24"/>
              </w:rPr>
            </w:pPr>
            <w:r>
              <w:rPr>
                <w:rFonts w:hint="eastAsia" w:ascii="楷体" w:hAnsi="楷体" w:eastAsia="楷体" w:cs="楷体"/>
                <w:color w:val="auto"/>
                <w:sz w:val="24"/>
              </w:rPr>
              <w:t>6000元/㎡</w:t>
            </w:r>
          </w:p>
        </w:tc>
        <w:tc>
          <w:tcPr>
            <w:tcW w:w="1811" w:type="dxa"/>
            <w:shd w:val="clear" w:color="auto" w:fill="auto"/>
            <w:vAlign w:val="center"/>
          </w:tcPr>
          <w:p w14:paraId="7710FEB9">
            <w:pPr>
              <w:spacing w:line="300" w:lineRule="exact"/>
              <w:jc w:val="center"/>
              <w:rPr>
                <w:rFonts w:ascii="楷体" w:hAnsi="楷体" w:eastAsia="楷体" w:cs="楷体"/>
                <w:color w:val="auto"/>
                <w:sz w:val="24"/>
              </w:rPr>
            </w:pPr>
            <w:r>
              <w:rPr>
                <w:rFonts w:hint="eastAsia" w:ascii="楷体" w:hAnsi="楷体" w:eastAsia="楷体" w:cs="楷体"/>
                <w:color w:val="auto"/>
                <w:sz w:val="24"/>
              </w:rPr>
              <w:t>6500元/㎡</w:t>
            </w:r>
          </w:p>
        </w:tc>
        <w:tc>
          <w:tcPr>
            <w:tcW w:w="1978" w:type="dxa"/>
            <w:shd w:val="clear" w:color="auto" w:fill="auto"/>
            <w:vAlign w:val="center"/>
          </w:tcPr>
          <w:p w14:paraId="54BFD7DB">
            <w:pPr>
              <w:spacing w:line="300" w:lineRule="exact"/>
              <w:jc w:val="center"/>
              <w:rPr>
                <w:rFonts w:ascii="楷体" w:hAnsi="楷体" w:eastAsia="楷体" w:cs="楷体"/>
                <w:color w:val="auto"/>
                <w:sz w:val="24"/>
              </w:rPr>
            </w:pPr>
            <w:r>
              <w:rPr>
                <w:rFonts w:hint="eastAsia" w:ascii="楷体" w:hAnsi="楷体" w:eastAsia="楷体" w:cs="楷体"/>
                <w:color w:val="auto"/>
                <w:sz w:val="24"/>
              </w:rPr>
              <w:t>20</w:t>
            </w:r>
          </w:p>
        </w:tc>
      </w:tr>
      <w:tr w14:paraId="6B2C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shd w:val="clear" w:color="auto" w:fill="auto"/>
            <w:vAlign w:val="center"/>
          </w:tcPr>
          <w:p w14:paraId="2BB4EDE5">
            <w:pPr>
              <w:spacing w:line="300" w:lineRule="exact"/>
              <w:jc w:val="center"/>
              <w:rPr>
                <w:rFonts w:ascii="楷体" w:hAnsi="楷体" w:eastAsia="楷体" w:cs="楷体"/>
                <w:color w:val="auto"/>
                <w:sz w:val="24"/>
              </w:rPr>
            </w:pPr>
            <w:r>
              <w:rPr>
                <w:rFonts w:hint="eastAsia" w:ascii="楷体" w:hAnsi="楷体" w:eastAsia="楷体" w:cs="楷体"/>
                <w:color w:val="auto"/>
                <w:sz w:val="24"/>
              </w:rPr>
              <w:t>3</w:t>
            </w:r>
          </w:p>
        </w:tc>
        <w:tc>
          <w:tcPr>
            <w:tcW w:w="3949" w:type="dxa"/>
            <w:shd w:val="clear" w:color="auto" w:fill="auto"/>
            <w:vAlign w:val="center"/>
          </w:tcPr>
          <w:p w14:paraId="2A38F251">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开展双创活动（场）</w:t>
            </w:r>
          </w:p>
        </w:tc>
        <w:tc>
          <w:tcPr>
            <w:tcW w:w="2482" w:type="dxa"/>
            <w:shd w:val="clear" w:color="auto" w:fill="auto"/>
            <w:vAlign w:val="center"/>
          </w:tcPr>
          <w:p w14:paraId="3FF2D00A">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8</w:t>
            </w:r>
          </w:p>
        </w:tc>
        <w:tc>
          <w:tcPr>
            <w:tcW w:w="1983" w:type="dxa"/>
            <w:shd w:val="clear" w:color="auto" w:fill="auto"/>
            <w:vAlign w:val="center"/>
          </w:tcPr>
          <w:p w14:paraId="11F7C21B">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10</w:t>
            </w:r>
          </w:p>
        </w:tc>
        <w:tc>
          <w:tcPr>
            <w:tcW w:w="1811" w:type="dxa"/>
            <w:shd w:val="clear" w:color="auto" w:fill="auto"/>
            <w:vAlign w:val="center"/>
          </w:tcPr>
          <w:p w14:paraId="435ACC34">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12</w:t>
            </w:r>
          </w:p>
        </w:tc>
        <w:tc>
          <w:tcPr>
            <w:tcW w:w="1978" w:type="dxa"/>
            <w:shd w:val="clear" w:color="auto" w:fill="auto"/>
            <w:vAlign w:val="center"/>
          </w:tcPr>
          <w:p w14:paraId="1D4F8E9B">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10</w:t>
            </w:r>
          </w:p>
        </w:tc>
      </w:tr>
      <w:tr w14:paraId="0399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shd w:val="clear" w:color="auto" w:fill="auto"/>
            <w:vAlign w:val="center"/>
          </w:tcPr>
          <w:p w14:paraId="64F70DE0">
            <w:pPr>
              <w:spacing w:line="300" w:lineRule="exact"/>
              <w:jc w:val="center"/>
              <w:rPr>
                <w:rFonts w:ascii="楷体" w:hAnsi="楷体" w:eastAsia="楷体" w:cs="楷体"/>
                <w:color w:val="auto"/>
                <w:sz w:val="24"/>
              </w:rPr>
            </w:pPr>
            <w:r>
              <w:rPr>
                <w:rFonts w:hint="eastAsia" w:ascii="楷体" w:hAnsi="楷体" w:eastAsia="楷体" w:cs="楷体"/>
                <w:color w:val="auto"/>
                <w:sz w:val="24"/>
              </w:rPr>
              <w:t>4</w:t>
            </w:r>
          </w:p>
        </w:tc>
        <w:tc>
          <w:tcPr>
            <w:tcW w:w="3949" w:type="dxa"/>
            <w:shd w:val="clear" w:color="auto" w:fill="auto"/>
            <w:vAlign w:val="center"/>
          </w:tcPr>
          <w:p w14:paraId="121EA80F">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在孵企业知识产权申请量（件）</w:t>
            </w:r>
          </w:p>
        </w:tc>
        <w:tc>
          <w:tcPr>
            <w:tcW w:w="2482" w:type="dxa"/>
            <w:shd w:val="clear" w:color="auto" w:fill="auto"/>
            <w:vAlign w:val="center"/>
          </w:tcPr>
          <w:p w14:paraId="4299C643">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75</w:t>
            </w:r>
          </w:p>
        </w:tc>
        <w:tc>
          <w:tcPr>
            <w:tcW w:w="1983" w:type="dxa"/>
            <w:shd w:val="clear" w:color="auto" w:fill="auto"/>
            <w:vAlign w:val="center"/>
          </w:tcPr>
          <w:p w14:paraId="1A7EC8CE">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90</w:t>
            </w:r>
          </w:p>
        </w:tc>
        <w:tc>
          <w:tcPr>
            <w:tcW w:w="1811" w:type="dxa"/>
            <w:shd w:val="clear" w:color="auto" w:fill="auto"/>
            <w:vAlign w:val="center"/>
          </w:tcPr>
          <w:p w14:paraId="2FDC9A2B">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120</w:t>
            </w:r>
          </w:p>
        </w:tc>
        <w:tc>
          <w:tcPr>
            <w:tcW w:w="1978" w:type="dxa"/>
            <w:shd w:val="clear" w:color="auto" w:fill="auto"/>
            <w:vAlign w:val="center"/>
          </w:tcPr>
          <w:p w14:paraId="03D1C462">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10</w:t>
            </w:r>
          </w:p>
        </w:tc>
      </w:tr>
      <w:tr w14:paraId="2476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shd w:val="clear" w:color="auto" w:fill="auto"/>
            <w:vAlign w:val="center"/>
          </w:tcPr>
          <w:p w14:paraId="0485BB18">
            <w:pPr>
              <w:spacing w:line="300" w:lineRule="exact"/>
              <w:jc w:val="center"/>
              <w:rPr>
                <w:rFonts w:ascii="楷体" w:hAnsi="楷体" w:eastAsia="楷体" w:cs="楷体"/>
                <w:color w:val="auto"/>
                <w:sz w:val="24"/>
              </w:rPr>
            </w:pPr>
            <w:r>
              <w:rPr>
                <w:rFonts w:hint="eastAsia" w:ascii="楷体" w:hAnsi="楷体" w:eastAsia="楷体" w:cs="楷体"/>
                <w:color w:val="auto"/>
                <w:sz w:val="24"/>
              </w:rPr>
              <w:t>5</w:t>
            </w:r>
          </w:p>
        </w:tc>
        <w:tc>
          <w:tcPr>
            <w:tcW w:w="3949" w:type="dxa"/>
            <w:shd w:val="clear" w:color="auto" w:fill="auto"/>
            <w:vAlign w:val="center"/>
          </w:tcPr>
          <w:p w14:paraId="6A66E02C">
            <w:pPr>
              <w:widowControl/>
              <w:overflowPunct w:val="0"/>
              <w:adjustRightInd w:val="0"/>
              <w:snapToGrid w:val="0"/>
              <w:spacing w:line="240" w:lineRule="atLeast"/>
              <w:jc w:val="center"/>
              <w:textAlignment w:val="top"/>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创业导师数量（个）</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保有量</w:t>
            </w:r>
            <w:r>
              <w:rPr>
                <w:rFonts w:hint="eastAsia" w:ascii="楷体" w:hAnsi="楷体" w:eastAsia="楷体" w:cs="楷体"/>
                <w:color w:val="auto"/>
                <w:sz w:val="24"/>
                <w:highlight w:val="none"/>
                <w:lang w:eastAsia="zh-CN"/>
              </w:rPr>
              <w:t>）</w:t>
            </w:r>
          </w:p>
        </w:tc>
        <w:tc>
          <w:tcPr>
            <w:tcW w:w="2482" w:type="dxa"/>
            <w:shd w:val="clear" w:color="auto" w:fill="auto"/>
            <w:vAlign w:val="center"/>
          </w:tcPr>
          <w:p w14:paraId="51902B3C">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8</w:t>
            </w:r>
          </w:p>
        </w:tc>
        <w:tc>
          <w:tcPr>
            <w:tcW w:w="1983" w:type="dxa"/>
            <w:shd w:val="clear" w:color="auto" w:fill="auto"/>
            <w:vAlign w:val="center"/>
          </w:tcPr>
          <w:p w14:paraId="6FDE77FE">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12</w:t>
            </w:r>
          </w:p>
        </w:tc>
        <w:tc>
          <w:tcPr>
            <w:tcW w:w="1811" w:type="dxa"/>
            <w:shd w:val="clear" w:color="auto" w:fill="auto"/>
            <w:vAlign w:val="center"/>
          </w:tcPr>
          <w:p w14:paraId="6338CE89">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15</w:t>
            </w:r>
          </w:p>
        </w:tc>
        <w:tc>
          <w:tcPr>
            <w:tcW w:w="1978" w:type="dxa"/>
            <w:shd w:val="clear" w:color="auto" w:fill="auto"/>
            <w:vAlign w:val="center"/>
          </w:tcPr>
          <w:p w14:paraId="0C6C110D">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10</w:t>
            </w:r>
          </w:p>
        </w:tc>
      </w:tr>
      <w:tr w14:paraId="67D0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shd w:val="clear" w:color="auto" w:fill="auto"/>
            <w:vAlign w:val="center"/>
          </w:tcPr>
          <w:p w14:paraId="139F07BC">
            <w:pPr>
              <w:spacing w:line="300" w:lineRule="exact"/>
              <w:jc w:val="center"/>
              <w:rPr>
                <w:rFonts w:ascii="楷体" w:hAnsi="楷体" w:eastAsia="楷体" w:cs="楷体"/>
                <w:color w:val="auto"/>
                <w:sz w:val="24"/>
              </w:rPr>
            </w:pPr>
            <w:r>
              <w:rPr>
                <w:rFonts w:hint="eastAsia" w:ascii="楷体" w:hAnsi="楷体" w:eastAsia="楷体" w:cs="楷体"/>
                <w:color w:val="auto"/>
                <w:sz w:val="24"/>
              </w:rPr>
              <w:t>6</w:t>
            </w:r>
          </w:p>
        </w:tc>
        <w:tc>
          <w:tcPr>
            <w:tcW w:w="3949" w:type="dxa"/>
            <w:shd w:val="clear" w:color="auto" w:fill="auto"/>
            <w:vAlign w:val="center"/>
          </w:tcPr>
          <w:p w14:paraId="6717D9F0">
            <w:pPr>
              <w:widowControl/>
              <w:overflowPunct w:val="0"/>
              <w:adjustRightInd w:val="0"/>
              <w:snapToGrid w:val="0"/>
              <w:spacing w:line="240" w:lineRule="atLeast"/>
              <w:jc w:val="center"/>
              <w:textAlignment w:val="top"/>
              <w:rPr>
                <w:rFonts w:ascii="楷体" w:hAnsi="楷体" w:eastAsia="楷体" w:cs="楷体"/>
                <w:color w:val="auto"/>
                <w:sz w:val="24"/>
                <w:highlight w:val="none"/>
              </w:rPr>
            </w:pPr>
            <w:r>
              <w:rPr>
                <w:rFonts w:hint="eastAsia" w:ascii="楷体" w:hAnsi="楷体" w:eastAsia="楷体" w:cs="楷体"/>
                <w:color w:val="auto"/>
                <w:sz w:val="24"/>
                <w:highlight w:val="none"/>
              </w:rPr>
              <w:t>合作签约投融资机构数量（个）</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保有量</w:t>
            </w:r>
            <w:r>
              <w:rPr>
                <w:rFonts w:hint="eastAsia" w:ascii="楷体" w:hAnsi="楷体" w:eastAsia="楷体" w:cs="楷体"/>
                <w:color w:val="auto"/>
                <w:sz w:val="24"/>
                <w:highlight w:val="none"/>
                <w:lang w:eastAsia="zh-CN"/>
              </w:rPr>
              <w:t>）</w:t>
            </w:r>
          </w:p>
        </w:tc>
        <w:tc>
          <w:tcPr>
            <w:tcW w:w="2482" w:type="dxa"/>
            <w:shd w:val="clear" w:color="auto" w:fill="auto"/>
            <w:vAlign w:val="center"/>
          </w:tcPr>
          <w:p w14:paraId="4EECB943">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3</w:t>
            </w:r>
          </w:p>
        </w:tc>
        <w:tc>
          <w:tcPr>
            <w:tcW w:w="1983" w:type="dxa"/>
            <w:shd w:val="clear" w:color="auto" w:fill="auto"/>
            <w:vAlign w:val="center"/>
          </w:tcPr>
          <w:p w14:paraId="4CED6B2D">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4</w:t>
            </w:r>
          </w:p>
        </w:tc>
        <w:tc>
          <w:tcPr>
            <w:tcW w:w="1811" w:type="dxa"/>
            <w:shd w:val="clear" w:color="auto" w:fill="auto"/>
            <w:vAlign w:val="center"/>
          </w:tcPr>
          <w:p w14:paraId="41C7E083">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5</w:t>
            </w:r>
          </w:p>
        </w:tc>
        <w:tc>
          <w:tcPr>
            <w:tcW w:w="1978" w:type="dxa"/>
            <w:shd w:val="clear" w:color="auto" w:fill="auto"/>
            <w:vAlign w:val="center"/>
          </w:tcPr>
          <w:p w14:paraId="045FE456">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10</w:t>
            </w:r>
          </w:p>
        </w:tc>
      </w:tr>
      <w:tr w14:paraId="041F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shd w:val="clear" w:color="auto" w:fill="auto"/>
            <w:vAlign w:val="center"/>
          </w:tcPr>
          <w:p w14:paraId="55FB4513">
            <w:pPr>
              <w:spacing w:line="300" w:lineRule="exact"/>
              <w:jc w:val="center"/>
              <w:rPr>
                <w:rFonts w:ascii="楷体" w:hAnsi="楷体" w:eastAsia="楷体" w:cs="楷体"/>
                <w:color w:val="auto"/>
                <w:sz w:val="24"/>
              </w:rPr>
            </w:pPr>
            <w:r>
              <w:rPr>
                <w:rFonts w:hint="eastAsia" w:ascii="楷体" w:hAnsi="楷体" w:eastAsia="楷体" w:cs="楷体"/>
                <w:color w:val="auto"/>
                <w:sz w:val="24"/>
              </w:rPr>
              <w:t>7</w:t>
            </w:r>
          </w:p>
        </w:tc>
        <w:tc>
          <w:tcPr>
            <w:tcW w:w="3949" w:type="dxa"/>
            <w:shd w:val="clear" w:color="auto" w:fill="auto"/>
            <w:vAlign w:val="center"/>
          </w:tcPr>
          <w:p w14:paraId="7818471F">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服务企业数量（个）</w:t>
            </w:r>
          </w:p>
        </w:tc>
        <w:tc>
          <w:tcPr>
            <w:tcW w:w="2482" w:type="dxa"/>
            <w:shd w:val="clear" w:color="auto" w:fill="auto"/>
            <w:vAlign w:val="center"/>
          </w:tcPr>
          <w:p w14:paraId="11E2201D">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25</w:t>
            </w:r>
          </w:p>
        </w:tc>
        <w:tc>
          <w:tcPr>
            <w:tcW w:w="1983" w:type="dxa"/>
            <w:shd w:val="clear" w:color="auto" w:fill="auto"/>
            <w:vAlign w:val="center"/>
          </w:tcPr>
          <w:p w14:paraId="5F3CBF7F">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30</w:t>
            </w:r>
          </w:p>
        </w:tc>
        <w:tc>
          <w:tcPr>
            <w:tcW w:w="1811" w:type="dxa"/>
            <w:shd w:val="clear" w:color="auto" w:fill="auto"/>
            <w:vAlign w:val="center"/>
          </w:tcPr>
          <w:p w14:paraId="20DA5C25">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35</w:t>
            </w:r>
          </w:p>
        </w:tc>
        <w:tc>
          <w:tcPr>
            <w:tcW w:w="1978" w:type="dxa"/>
            <w:shd w:val="clear" w:color="auto" w:fill="auto"/>
            <w:vAlign w:val="center"/>
          </w:tcPr>
          <w:p w14:paraId="7DB178A3">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10</w:t>
            </w:r>
          </w:p>
        </w:tc>
      </w:tr>
      <w:tr w14:paraId="053E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shd w:val="clear" w:color="auto" w:fill="auto"/>
            <w:vAlign w:val="center"/>
          </w:tcPr>
          <w:p w14:paraId="1027403E">
            <w:pPr>
              <w:spacing w:line="300" w:lineRule="exact"/>
              <w:jc w:val="center"/>
              <w:rPr>
                <w:rFonts w:ascii="楷体" w:hAnsi="楷体" w:eastAsia="楷体" w:cs="楷体"/>
                <w:color w:val="auto"/>
                <w:sz w:val="24"/>
              </w:rPr>
            </w:pPr>
            <w:r>
              <w:rPr>
                <w:rFonts w:hint="eastAsia" w:ascii="楷体" w:hAnsi="楷体" w:eastAsia="楷体" w:cs="楷体"/>
                <w:color w:val="auto"/>
                <w:sz w:val="24"/>
              </w:rPr>
              <w:t>8</w:t>
            </w:r>
          </w:p>
        </w:tc>
        <w:tc>
          <w:tcPr>
            <w:tcW w:w="3949" w:type="dxa"/>
            <w:shd w:val="clear" w:color="auto" w:fill="auto"/>
            <w:vAlign w:val="center"/>
          </w:tcPr>
          <w:p w14:paraId="4C4847BD">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新增“四上”企业</w:t>
            </w:r>
          </w:p>
        </w:tc>
        <w:tc>
          <w:tcPr>
            <w:tcW w:w="2482" w:type="dxa"/>
            <w:shd w:val="clear" w:color="auto" w:fill="auto"/>
            <w:vAlign w:val="center"/>
          </w:tcPr>
          <w:p w14:paraId="1C7F2710">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2</w:t>
            </w:r>
          </w:p>
        </w:tc>
        <w:tc>
          <w:tcPr>
            <w:tcW w:w="1983" w:type="dxa"/>
            <w:shd w:val="clear" w:color="auto" w:fill="auto"/>
            <w:vAlign w:val="center"/>
          </w:tcPr>
          <w:p w14:paraId="79E9CFD4">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3</w:t>
            </w:r>
          </w:p>
        </w:tc>
        <w:tc>
          <w:tcPr>
            <w:tcW w:w="1811" w:type="dxa"/>
            <w:shd w:val="clear" w:color="auto" w:fill="auto"/>
            <w:vAlign w:val="center"/>
          </w:tcPr>
          <w:p w14:paraId="1D95B95B">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4</w:t>
            </w:r>
          </w:p>
        </w:tc>
        <w:tc>
          <w:tcPr>
            <w:tcW w:w="1978" w:type="dxa"/>
            <w:shd w:val="clear" w:color="auto" w:fill="auto"/>
            <w:vAlign w:val="center"/>
          </w:tcPr>
          <w:p w14:paraId="4B28ED50">
            <w:pPr>
              <w:widowControl/>
              <w:overflowPunct w:val="0"/>
              <w:adjustRightInd w:val="0"/>
              <w:snapToGrid w:val="0"/>
              <w:spacing w:line="240" w:lineRule="atLeast"/>
              <w:jc w:val="center"/>
              <w:textAlignment w:val="top"/>
              <w:rPr>
                <w:rFonts w:ascii="楷体" w:hAnsi="楷体" w:eastAsia="楷体" w:cs="楷体"/>
                <w:color w:val="auto"/>
                <w:sz w:val="24"/>
              </w:rPr>
            </w:pPr>
            <w:r>
              <w:rPr>
                <w:rFonts w:hint="eastAsia" w:ascii="楷体" w:hAnsi="楷体" w:eastAsia="楷体" w:cs="楷体"/>
                <w:color w:val="auto"/>
                <w:sz w:val="24"/>
              </w:rPr>
              <w:t>15</w:t>
            </w:r>
          </w:p>
        </w:tc>
      </w:tr>
    </w:tbl>
    <w:p w14:paraId="3A0574C2">
      <w:pPr>
        <w:spacing w:before="312" w:beforeLines="100" w:after="312" w:afterLines="100" w:line="500" w:lineRule="exact"/>
        <w:rPr>
          <w:rFonts w:ascii="楷体" w:hAnsi="楷体" w:eastAsia="楷体" w:cs="楷体"/>
          <w:sz w:val="28"/>
          <w:szCs w:val="44"/>
        </w:rPr>
        <w:sectPr>
          <w:pgSz w:w="16838" w:h="11905" w:orient="landscape"/>
          <w:pgMar w:top="1803" w:right="1440" w:bottom="1803" w:left="1440" w:header="850" w:footer="992" w:gutter="0"/>
          <w:pgNumType w:fmt="decimal"/>
          <w:cols w:space="0" w:num="1"/>
          <w:rtlGutter w:val="0"/>
          <w:docGrid w:type="lines" w:linePitch="319" w:charSpace="0"/>
        </w:sectPr>
      </w:pPr>
    </w:p>
    <w:p w14:paraId="2D5AE58C">
      <w:pPr>
        <w:tabs>
          <w:tab w:val="left" w:pos="720"/>
        </w:tabs>
        <w:spacing w:line="500" w:lineRule="exact"/>
        <w:jc w:val="center"/>
        <w:rPr>
          <w:rFonts w:hint="eastAsia" w:ascii="楷体" w:hAnsi="楷体" w:eastAsia="楷体" w:cs="楷体"/>
          <w:b/>
          <w:bCs/>
          <w:sz w:val="32"/>
          <w:szCs w:val="32"/>
        </w:rPr>
      </w:pPr>
      <w:r>
        <w:rPr>
          <w:rFonts w:hint="eastAsia" w:ascii="楷体" w:hAnsi="楷体" w:eastAsia="楷体" w:cs="楷体"/>
          <w:b/>
          <w:bCs/>
          <w:sz w:val="32"/>
          <w:szCs w:val="48"/>
        </w:rPr>
        <w:t>表2</w:t>
      </w:r>
      <w:r>
        <w:rPr>
          <w:rFonts w:hint="eastAsia" w:ascii="楷体" w:hAnsi="楷体" w:eastAsia="楷体" w:cs="楷体"/>
          <w:sz w:val="32"/>
          <w:szCs w:val="48"/>
        </w:rPr>
        <w:t xml:space="preserve"> </w:t>
      </w:r>
      <w:r>
        <w:rPr>
          <w:rFonts w:hint="eastAsia" w:ascii="楷体" w:hAnsi="楷体" w:eastAsia="楷体" w:cs="楷体"/>
          <w:b/>
          <w:bCs/>
          <w:sz w:val="32"/>
          <w:szCs w:val="32"/>
        </w:rPr>
        <w:t>年度绩效考核表</w:t>
      </w:r>
    </w:p>
    <w:p w14:paraId="47148E35">
      <w:pPr>
        <w:tabs>
          <w:tab w:val="left" w:pos="720"/>
        </w:tabs>
        <w:spacing w:line="500" w:lineRule="exact"/>
        <w:jc w:val="center"/>
        <w:rPr>
          <w:rFonts w:hint="eastAsia" w:ascii="楷体" w:hAnsi="楷体" w:eastAsia="楷体" w:cs="楷体"/>
          <w:b/>
          <w:bCs/>
          <w:sz w:val="32"/>
          <w:szCs w:val="32"/>
        </w:rPr>
      </w:pPr>
    </w:p>
    <w:tbl>
      <w:tblPr>
        <w:tblStyle w:val="3"/>
        <w:tblW w:w="13605" w:type="dxa"/>
        <w:jc w:val="center"/>
        <w:tblLayout w:type="fixed"/>
        <w:tblCellMar>
          <w:top w:w="0" w:type="dxa"/>
          <w:left w:w="108" w:type="dxa"/>
          <w:bottom w:w="0" w:type="dxa"/>
          <w:right w:w="108" w:type="dxa"/>
        </w:tblCellMar>
      </w:tblPr>
      <w:tblGrid>
        <w:gridCol w:w="856"/>
        <w:gridCol w:w="1411"/>
        <w:gridCol w:w="5346"/>
        <w:gridCol w:w="1364"/>
        <w:gridCol w:w="1553"/>
        <w:gridCol w:w="1650"/>
        <w:gridCol w:w="1425"/>
      </w:tblGrid>
      <w:tr w14:paraId="446DB0D6">
        <w:tblPrEx>
          <w:tblCellMar>
            <w:top w:w="0" w:type="dxa"/>
            <w:left w:w="108" w:type="dxa"/>
            <w:bottom w:w="0" w:type="dxa"/>
            <w:right w:w="108" w:type="dxa"/>
          </w:tblCellMar>
        </w:tblPrEx>
        <w:trPr>
          <w:trHeight w:val="567"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193F26A2">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序号</w:t>
            </w:r>
          </w:p>
        </w:tc>
        <w:tc>
          <w:tcPr>
            <w:tcW w:w="1411" w:type="dxa"/>
            <w:tcBorders>
              <w:top w:val="single" w:color="000000" w:sz="4" w:space="0"/>
              <w:left w:val="single" w:color="000000" w:sz="4" w:space="0"/>
              <w:bottom w:val="single" w:color="000000" w:sz="4" w:space="0"/>
              <w:right w:val="single" w:color="000000" w:sz="4" w:space="0"/>
            </w:tcBorders>
            <w:vAlign w:val="center"/>
          </w:tcPr>
          <w:p w14:paraId="464838B8">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指标类别</w:t>
            </w:r>
          </w:p>
        </w:tc>
        <w:tc>
          <w:tcPr>
            <w:tcW w:w="5346" w:type="dxa"/>
            <w:tcBorders>
              <w:top w:val="single" w:color="000000" w:sz="4" w:space="0"/>
              <w:left w:val="single" w:color="000000" w:sz="4" w:space="0"/>
              <w:bottom w:val="single" w:color="000000" w:sz="4" w:space="0"/>
              <w:right w:val="single" w:color="000000" w:sz="4" w:space="0"/>
            </w:tcBorders>
            <w:vAlign w:val="center"/>
          </w:tcPr>
          <w:p w14:paraId="7C004DE6">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指标内容</w:t>
            </w:r>
          </w:p>
        </w:tc>
        <w:tc>
          <w:tcPr>
            <w:tcW w:w="1364" w:type="dxa"/>
            <w:tcBorders>
              <w:top w:val="single" w:color="000000" w:sz="4" w:space="0"/>
              <w:left w:val="single" w:color="000000" w:sz="4" w:space="0"/>
              <w:bottom w:val="single" w:color="000000" w:sz="4" w:space="0"/>
              <w:right w:val="single" w:color="auto" w:sz="4" w:space="0"/>
            </w:tcBorders>
            <w:vAlign w:val="center"/>
          </w:tcPr>
          <w:p w14:paraId="64F0BDC1">
            <w:pPr>
              <w:widowControl/>
              <w:overflowPunct w:val="0"/>
              <w:adjustRightInd w:val="0"/>
              <w:snapToGrid w:val="0"/>
              <w:spacing w:line="240" w:lineRule="atLeast"/>
              <w:jc w:val="center"/>
              <w:textAlignment w:val="top"/>
              <w:rPr>
                <w:rFonts w:hint="default" w:ascii="楷体" w:hAnsi="楷体" w:eastAsia="楷体" w:cs="楷体"/>
                <w:sz w:val="24"/>
                <w:lang w:val="en-US"/>
              </w:rPr>
            </w:pPr>
            <w:r>
              <w:rPr>
                <w:rFonts w:hint="eastAsia" w:ascii="楷体" w:hAnsi="楷体" w:eastAsia="楷体" w:cs="楷体"/>
                <w:sz w:val="24"/>
                <w:lang w:val="en-US" w:eastAsia="zh-CN"/>
              </w:rPr>
              <w:t>第一年</w:t>
            </w:r>
          </w:p>
        </w:tc>
        <w:tc>
          <w:tcPr>
            <w:tcW w:w="1553" w:type="dxa"/>
            <w:tcBorders>
              <w:top w:val="single" w:color="000000" w:sz="4" w:space="0"/>
              <w:left w:val="single" w:color="auto" w:sz="4" w:space="0"/>
              <w:bottom w:val="single" w:color="000000" w:sz="4" w:space="0"/>
              <w:right w:val="single" w:color="000000" w:sz="4" w:space="0"/>
            </w:tcBorders>
            <w:vAlign w:val="center"/>
          </w:tcPr>
          <w:p w14:paraId="607A424E">
            <w:pPr>
              <w:widowControl/>
              <w:overflowPunct w:val="0"/>
              <w:adjustRightInd w:val="0"/>
              <w:snapToGrid w:val="0"/>
              <w:spacing w:line="240" w:lineRule="atLeast"/>
              <w:jc w:val="center"/>
              <w:textAlignment w:val="top"/>
              <w:rPr>
                <w:rFonts w:hint="default" w:ascii="楷体" w:hAnsi="楷体" w:eastAsia="楷体" w:cs="楷体"/>
                <w:sz w:val="24"/>
                <w:lang w:val="en-US"/>
              </w:rPr>
            </w:pPr>
            <w:r>
              <w:rPr>
                <w:rFonts w:hint="eastAsia" w:ascii="楷体" w:hAnsi="楷体" w:eastAsia="楷体" w:cs="楷体"/>
                <w:sz w:val="24"/>
                <w:lang w:val="en-US" w:eastAsia="zh-CN"/>
              </w:rPr>
              <w:t>第二年</w:t>
            </w:r>
          </w:p>
        </w:tc>
        <w:tc>
          <w:tcPr>
            <w:tcW w:w="1650" w:type="dxa"/>
            <w:tcBorders>
              <w:top w:val="single" w:color="000000" w:sz="4" w:space="0"/>
              <w:left w:val="single" w:color="000000" w:sz="4" w:space="0"/>
              <w:bottom w:val="single" w:color="000000" w:sz="4" w:space="0"/>
              <w:right w:val="single" w:color="000000" w:sz="4" w:space="0"/>
            </w:tcBorders>
            <w:vAlign w:val="center"/>
          </w:tcPr>
          <w:p w14:paraId="0A2F8781">
            <w:pPr>
              <w:widowControl/>
              <w:overflowPunct w:val="0"/>
              <w:adjustRightInd w:val="0"/>
              <w:snapToGrid w:val="0"/>
              <w:spacing w:line="240" w:lineRule="atLeast"/>
              <w:jc w:val="center"/>
              <w:textAlignment w:val="top"/>
              <w:rPr>
                <w:rFonts w:hint="default" w:ascii="楷体" w:hAnsi="楷体" w:eastAsia="楷体" w:cs="楷体"/>
                <w:sz w:val="24"/>
                <w:lang w:val="en-US"/>
              </w:rPr>
            </w:pPr>
            <w:r>
              <w:rPr>
                <w:rFonts w:hint="eastAsia" w:ascii="楷体" w:hAnsi="楷体" w:eastAsia="楷体" w:cs="楷体"/>
                <w:sz w:val="24"/>
                <w:lang w:val="en-US" w:eastAsia="zh-CN"/>
              </w:rPr>
              <w:t>第三年</w:t>
            </w:r>
          </w:p>
        </w:tc>
        <w:tc>
          <w:tcPr>
            <w:tcW w:w="1425" w:type="dxa"/>
            <w:tcBorders>
              <w:top w:val="single" w:color="000000" w:sz="4" w:space="0"/>
              <w:left w:val="single" w:color="auto" w:sz="4" w:space="0"/>
              <w:bottom w:val="single" w:color="000000" w:sz="4" w:space="0"/>
              <w:right w:val="single" w:color="000000" w:sz="4" w:space="0"/>
            </w:tcBorders>
            <w:vAlign w:val="center"/>
          </w:tcPr>
          <w:p w14:paraId="34ADBF99">
            <w:pPr>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分值</w:t>
            </w:r>
          </w:p>
        </w:tc>
      </w:tr>
      <w:tr w14:paraId="44390604">
        <w:tblPrEx>
          <w:tblCellMar>
            <w:top w:w="0" w:type="dxa"/>
            <w:left w:w="108" w:type="dxa"/>
            <w:bottom w:w="0" w:type="dxa"/>
            <w:right w:w="108" w:type="dxa"/>
          </w:tblCellMar>
        </w:tblPrEx>
        <w:trPr>
          <w:trHeight w:val="567" w:hRule="atLeast"/>
          <w:jc w:val="center"/>
        </w:trPr>
        <w:tc>
          <w:tcPr>
            <w:tcW w:w="856" w:type="dxa"/>
            <w:vMerge w:val="restart"/>
            <w:tcBorders>
              <w:top w:val="single" w:color="000000" w:sz="4" w:space="0"/>
              <w:left w:val="single" w:color="000000" w:sz="4" w:space="0"/>
              <w:right w:val="single" w:color="000000" w:sz="4" w:space="0"/>
            </w:tcBorders>
            <w:vAlign w:val="center"/>
          </w:tcPr>
          <w:p w14:paraId="26DEF90B">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w:t>
            </w:r>
          </w:p>
        </w:tc>
        <w:tc>
          <w:tcPr>
            <w:tcW w:w="1411" w:type="dxa"/>
            <w:vMerge w:val="restart"/>
            <w:tcBorders>
              <w:top w:val="single" w:color="000000" w:sz="4" w:space="0"/>
              <w:left w:val="single" w:color="000000" w:sz="4" w:space="0"/>
              <w:bottom w:val="single" w:color="000000" w:sz="4" w:space="0"/>
              <w:right w:val="single" w:color="000000" w:sz="4" w:space="0"/>
            </w:tcBorders>
            <w:vAlign w:val="center"/>
          </w:tcPr>
          <w:p w14:paraId="5D7B24C0">
            <w:pPr>
              <w:widowControl/>
              <w:overflowPunct w:val="0"/>
              <w:adjustRightInd w:val="0"/>
              <w:snapToGrid w:val="0"/>
              <w:spacing w:line="240" w:lineRule="atLeast"/>
              <w:jc w:val="center"/>
              <w:textAlignment w:val="top"/>
              <w:rPr>
                <w:rFonts w:hint="default" w:ascii="楷体" w:hAnsi="楷体" w:eastAsia="楷体" w:cs="楷体"/>
                <w:sz w:val="24"/>
                <w:lang w:val="en-US" w:eastAsia="zh-CN"/>
              </w:rPr>
            </w:pPr>
            <w:r>
              <w:rPr>
                <w:rFonts w:hint="eastAsia" w:ascii="楷体" w:hAnsi="楷体" w:eastAsia="楷体" w:cs="楷体"/>
                <w:sz w:val="24"/>
              </w:rPr>
              <w:t>企业</w:t>
            </w:r>
            <w:r>
              <w:rPr>
                <w:rFonts w:hint="eastAsia" w:ascii="楷体" w:hAnsi="楷体" w:eastAsia="楷体" w:cs="楷体"/>
                <w:sz w:val="24"/>
                <w:lang w:val="en-US" w:eastAsia="zh-CN"/>
              </w:rPr>
              <w:t>引进培育</w:t>
            </w:r>
          </w:p>
          <w:p w14:paraId="79914D8F">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w:t>
            </w:r>
            <w:r>
              <w:rPr>
                <w:rFonts w:hint="eastAsia" w:ascii="楷体" w:hAnsi="楷体" w:eastAsia="楷体" w:cs="楷体"/>
                <w:sz w:val="24"/>
                <w:lang w:val="en-US" w:eastAsia="zh-CN"/>
              </w:rPr>
              <w:t>40</w:t>
            </w:r>
            <w:r>
              <w:rPr>
                <w:rFonts w:hint="eastAsia" w:ascii="楷体" w:hAnsi="楷体" w:eastAsia="楷体" w:cs="楷体"/>
                <w:sz w:val="24"/>
              </w:rPr>
              <w:t>分)</w:t>
            </w:r>
          </w:p>
        </w:tc>
        <w:tc>
          <w:tcPr>
            <w:tcW w:w="5346" w:type="dxa"/>
            <w:tcBorders>
              <w:top w:val="single" w:color="000000" w:sz="4" w:space="0"/>
              <w:left w:val="single" w:color="000000" w:sz="4" w:space="0"/>
              <w:bottom w:val="single" w:color="000000" w:sz="4" w:space="0"/>
              <w:right w:val="single" w:color="000000" w:sz="4" w:space="0"/>
            </w:tcBorders>
            <w:vAlign w:val="center"/>
          </w:tcPr>
          <w:p w14:paraId="2C153542">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年度招引经上级认定的科技型企业数</w:t>
            </w:r>
            <w:r>
              <w:rPr>
                <w:rStyle w:val="6"/>
                <w:rFonts w:ascii="楷体" w:hAnsi="楷体" w:eastAsia="楷体" w:cs="楷体"/>
                <w:color w:val="auto"/>
                <w:sz w:val="24"/>
                <w:szCs w:val="24"/>
                <w:lang w:bidi="ar"/>
              </w:rPr>
              <w:t>（家）</w:t>
            </w:r>
          </w:p>
        </w:tc>
        <w:tc>
          <w:tcPr>
            <w:tcW w:w="1364" w:type="dxa"/>
            <w:tcBorders>
              <w:top w:val="single" w:color="000000" w:sz="4" w:space="0"/>
              <w:left w:val="single" w:color="000000" w:sz="4" w:space="0"/>
              <w:bottom w:val="single" w:color="000000" w:sz="4" w:space="0"/>
              <w:right w:val="single" w:color="auto" w:sz="4" w:space="0"/>
            </w:tcBorders>
            <w:vAlign w:val="center"/>
          </w:tcPr>
          <w:p w14:paraId="2084AF8D">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18</w:t>
            </w:r>
          </w:p>
        </w:tc>
        <w:tc>
          <w:tcPr>
            <w:tcW w:w="1553" w:type="dxa"/>
            <w:tcBorders>
              <w:top w:val="single" w:color="000000" w:sz="4" w:space="0"/>
              <w:left w:val="single" w:color="auto" w:sz="4" w:space="0"/>
              <w:bottom w:val="single" w:color="000000" w:sz="4" w:space="0"/>
              <w:right w:val="single" w:color="000000" w:sz="4" w:space="0"/>
            </w:tcBorders>
            <w:vAlign w:val="center"/>
          </w:tcPr>
          <w:p w14:paraId="0DA5F3A3">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20</w:t>
            </w:r>
          </w:p>
        </w:tc>
        <w:tc>
          <w:tcPr>
            <w:tcW w:w="1650" w:type="dxa"/>
            <w:tcBorders>
              <w:top w:val="single" w:color="000000" w:sz="4" w:space="0"/>
              <w:left w:val="single" w:color="000000" w:sz="4" w:space="0"/>
              <w:bottom w:val="single" w:color="000000" w:sz="4" w:space="0"/>
              <w:right w:val="single" w:color="000000" w:sz="4" w:space="0"/>
            </w:tcBorders>
            <w:vAlign w:val="center"/>
          </w:tcPr>
          <w:p w14:paraId="1090BD4C">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30</w:t>
            </w:r>
          </w:p>
        </w:tc>
        <w:tc>
          <w:tcPr>
            <w:tcW w:w="1425" w:type="dxa"/>
            <w:tcBorders>
              <w:top w:val="single" w:color="000000" w:sz="4" w:space="0"/>
              <w:left w:val="single" w:color="auto" w:sz="4" w:space="0"/>
              <w:bottom w:val="single" w:color="000000" w:sz="4" w:space="0"/>
              <w:right w:val="single" w:color="000000" w:sz="4" w:space="0"/>
            </w:tcBorders>
            <w:vAlign w:val="center"/>
          </w:tcPr>
          <w:p w14:paraId="016A4393">
            <w:pPr>
              <w:widowControl/>
              <w:overflowPunct w:val="0"/>
              <w:adjustRightInd w:val="0"/>
              <w:snapToGrid w:val="0"/>
              <w:spacing w:line="240" w:lineRule="atLeast"/>
              <w:jc w:val="center"/>
              <w:textAlignment w:val="top"/>
              <w:rPr>
                <w:rFonts w:hint="default" w:ascii="楷体" w:hAnsi="楷体" w:eastAsia="楷体" w:cs="楷体"/>
                <w:sz w:val="24"/>
                <w:lang w:val="en-US" w:eastAsia="zh-CN"/>
              </w:rPr>
            </w:pPr>
            <w:r>
              <w:rPr>
                <w:rFonts w:hint="eastAsia" w:ascii="楷体" w:hAnsi="楷体" w:eastAsia="楷体" w:cs="楷体"/>
                <w:sz w:val="24"/>
                <w:lang w:val="en-US" w:eastAsia="zh-CN"/>
              </w:rPr>
              <w:t>10</w:t>
            </w:r>
          </w:p>
        </w:tc>
      </w:tr>
      <w:tr w14:paraId="3C81262D">
        <w:tblPrEx>
          <w:tblCellMar>
            <w:top w:w="0" w:type="dxa"/>
            <w:left w:w="108" w:type="dxa"/>
            <w:bottom w:w="0" w:type="dxa"/>
            <w:right w:w="108" w:type="dxa"/>
          </w:tblCellMar>
        </w:tblPrEx>
        <w:trPr>
          <w:trHeight w:val="567" w:hRule="atLeast"/>
          <w:jc w:val="center"/>
        </w:trPr>
        <w:tc>
          <w:tcPr>
            <w:tcW w:w="856" w:type="dxa"/>
            <w:vMerge w:val="continue"/>
            <w:tcBorders>
              <w:left w:val="single" w:color="000000" w:sz="4" w:space="0"/>
              <w:right w:val="single" w:color="000000" w:sz="4" w:space="0"/>
            </w:tcBorders>
            <w:vAlign w:val="center"/>
          </w:tcPr>
          <w:p w14:paraId="67030E42">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w:t>
            </w:r>
          </w:p>
        </w:tc>
        <w:tc>
          <w:tcPr>
            <w:tcW w:w="1411" w:type="dxa"/>
            <w:vMerge w:val="continue"/>
            <w:tcBorders>
              <w:left w:val="single" w:color="000000" w:sz="4" w:space="0"/>
              <w:right w:val="single" w:color="000000" w:sz="4" w:space="0"/>
            </w:tcBorders>
            <w:vAlign w:val="center"/>
          </w:tcPr>
          <w:p w14:paraId="6CD3D42D">
            <w:pPr>
              <w:widowControl/>
              <w:overflowPunct w:val="0"/>
              <w:adjustRightInd w:val="0"/>
              <w:snapToGrid w:val="0"/>
              <w:spacing w:line="240" w:lineRule="atLeast"/>
              <w:jc w:val="center"/>
              <w:textAlignment w:val="top"/>
              <w:rPr>
                <w:rFonts w:ascii="楷体" w:hAnsi="楷体" w:eastAsia="楷体" w:cs="楷体"/>
                <w:sz w:val="24"/>
              </w:rPr>
            </w:pPr>
          </w:p>
        </w:tc>
        <w:tc>
          <w:tcPr>
            <w:tcW w:w="5346" w:type="dxa"/>
            <w:tcBorders>
              <w:top w:val="single" w:color="000000" w:sz="4" w:space="0"/>
              <w:left w:val="single" w:color="000000" w:sz="4" w:space="0"/>
              <w:bottom w:val="single" w:color="000000" w:sz="4" w:space="0"/>
              <w:right w:val="single" w:color="000000" w:sz="4" w:space="0"/>
            </w:tcBorders>
            <w:vAlign w:val="center"/>
          </w:tcPr>
          <w:p w14:paraId="2128D171">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年度获批科技型中小企业数</w:t>
            </w:r>
            <w:r>
              <w:rPr>
                <w:rStyle w:val="6"/>
                <w:rFonts w:ascii="楷体" w:hAnsi="楷体" w:eastAsia="楷体" w:cs="楷体"/>
                <w:color w:val="auto"/>
                <w:sz w:val="24"/>
                <w:szCs w:val="24"/>
                <w:lang w:bidi="ar"/>
              </w:rPr>
              <w:t>（家）</w:t>
            </w:r>
          </w:p>
        </w:tc>
        <w:tc>
          <w:tcPr>
            <w:tcW w:w="1364" w:type="dxa"/>
            <w:tcBorders>
              <w:top w:val="single" w:color="000000" w:sz="4" w:space="0"/>
              <w:left w:val="single" w:color="000000" w:sz="4" w:space="0"/>
              <w:bottom w:val="single" w:color="000000" w:sz="4" w:space="0"/>
              <w:right w:val="single" w:color="000000" w:sz="4" w:space="0"/>
            </w:tcBorders>
            <w:vAlign w:val="center"/>
          </w:tcPr>
          <w:p w14:paraId="473CCB8B">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20</w:t>
            </w:r>
          </w:p>
        </w:tc>
        <w:tc>
          <w:tcPr>
            <w:tcW w:w="1553" w:type="dxa"/>
            <w:tcBorders>
              <w:top w:val="single" w:color="000000" w:sz="4" w:space="0"/>
              <w:left w:val="single" w:color="000000" w:sz="4" w:space="0"/>
              <w:bottom w:val="single" w:color="000000" w:sz="4" w:space="0"/>
              <w:right w:val="single" w:color="000000" w:sz="4" w:space="0"/>
            </w:tcBorders>
            <w:vAlign w:val="center"/>
          </w:tcPr>
          <w:p w14:paraId="22EA56F5">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25</w:t>
            </w:r>
          </w:p>
        </w:tc>
        <w:tc>
          <w:tcPr>
            <w:tcW w:w="1650" w:type="dxa"/>
            <w:tcBorders>
              <w:top w:val="single" w:color="000000" w:sz="4" w:space="0"/>
              <w:left w:val="single" w:color="000000" w:sz="4" w:space="0"/>
              <w:bottom w:val="single" w:color="000000" w:sz="4" w:space="0"/>
              <w:right w:val="single" w:color="000000" w:sz="4" w:space="0"/>
            </w:tcBorders>
            <w:vAlign w:val="center"/>
          </w:tcPr>
          <w:p w14:paraId="52408CE8">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35</w:t>
            </w:r>
          </w:p>
        </w:tc>
        <w:tc>
          <w:tcPr>
            <w:tcW w:w="1425" w:type="dxa"/>
            <w:tcBorders>
              <w:top w:val="single" w:color="000000" w:sz="4" w:space="0"/>
              <w:left w:val="single" w:color="auto" w:sz="4" w:space="0"/>
              <w:bottom w:val="single" w:color="000000" w:sz="4" w:space="0"/>
              <w:right w:val="single" w:color="000000" w:sz="4" w:space="0"/>
            </w:tcBorders>
            <w:vAlign w:val="center"/>
          </w:tcPr>
          <w:p w14:paraId="50731D31">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10</w:t>
            </w:r>
          </w:p>
        </w:tc>
      </w:tr>
      <w:tr w14:paraId="7732C532">
        <w:tblPrEx>
          <w:tblCellMar>
            <w:top w:w="0" w:type="dxa"/>
            <w:left w:w="108" w:type="dxa"/>
            <w:bottom w:w="0" w:type="dxa"/>
            <w:right w:w="108" w:type="dxa"/>
          </w:tblCellMar>
        </w:tblPrEx>
        <w:trPr>
          <w:trHeight w:val="567" w:hRule="atLeast"/>
          <w:jc w:val="center"/>
        </w:trPr>
        <w:tc>
          <w:tcPr>
            <w:tcW w:w="856" w:type="dxa"/>
            <w:vMerge w:val="continue"/>
            <w:tcBorders>
              <w:left w:val="single" w:color="000000" w:sz="4" w:space="0"/>
              <w:right w:val="single" w:color="000000" w:sz="4" w:space="0"/>
            </w:tcBorders>
            <w:vAlign w:val="center"/>
          </w:tcPr>
          <w:p w14:paraId="167C5ED6">
            <w:pPr>
              <w:widowControl/>
              <w:overflowPunct w:val="0"/>
              <w:adjustRightInd w:val="0"/>
              <w:snapToGrid w:val="0"/>
              <w:spacing w:line="240" w:lineRule="atLeast"/>
              <w:jc w:val="center"/>
              <w:textAlignment w:val="top"/>
              <w:rPr>
                <w:rFonts w:ascii="楷体" w:hAnsi="楷体" w:eastAsia="楷体" w:cs="楷体"/>
                <w:sz w:val="24"/>
              </w:rPr>
            </w:pP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1FD678D2">
            <w:pPr>
              <w:widowControl/>
              <w:overflowPunct w:val="0"/>
              <w:adjustRightInd w:val="0"/>
              <w:snapToGrid w:val="0"/>
              <w:spacing w:line="240" w:lineRule="atLeast"/>
              <w:jc w:val="center"/>
              <w:rPr>
                <w:rFonts w:ascii="楷体" w:hAnsi="楷体" w:eastAsia="楷体" w:cs="楷体"/>
                <w:sz w:val="24"/>
              </w:rPr>
            </w:pPr>
          </w:p>
        </w:tc>
        <w:tc>
          <w:tcPr>
            <w:tcW w:w="5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73E4">
            <w:pPr>
              <w:widowControl/>
              <w:overflowPunct w:val="0"/>
              <w:adjustRightInd w:val="0"/>
              <w:snapToGrid w:val="0"/>
              <w:spacing w:line="240" w:lineRule="atLeast"/>
              <w:jc w:val="center"/>
              <w:textAlignment w:val="top"/>
              <w:rPr>
                <w:rFonts w:ascii="楷体" w:hAnsi="楷体" w:eastAsia="楷体" w:cs="楷体"/>
                <w:sz w:val="24"/>
              </w:rPr>
            </w:pPr>
            <w:r>
              <w:rPr>
                <w:rStyle w:val="6"/>
                <w:rFonts w:ascii="楷体" w:hAnsi="楷体" w:eastAsia="楷体" w:cs="楷体"/>
                <w:color w:val="auto"/>
                <w:sz w:val="24"/>
                <w:szCs w:val="24"/>
                <w:lang w:bidi="ar"/>
              </w:rPr>
              <w:t>有效申报</w:t>
            </w:r>
            <w:r>
              <w:rPr>
                <w:rStyle w:val="6"/>
                <w:rFonts w:hint="eastAsia" w:ascii="楷体" w:hAnsi="楷体" w:eastAsia="楷体" w:cs="楷体"/>
                <w:color w:val="auto"/>
                <w:sz w:val="24"/>
                <w:szCs w:val="24"/>
                <w:lang w:val="en-US" w:eastAsia="zh-CN" w:bidi="ar"/>
              </w:rPr>
              <w:t>国家高新技术企业</w:t>
            </w:r>
            <w:r>
              <w:rPr>
                <w:rStyle w:val="6"/>
                <w:rFonts w:ascii="楷体" w:hAnsi="楷体" w:eastAsia="楷体" w:cs="楷体"/>
                <w:color w:val="auto"/>
                <w:sz w:val="24"/>
                <w:szCs w:val="24"/>
                <w:lang w:bidi="ar"/>
              </w:rPr>
              <w:t>（家）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8AD8">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5B6E">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4B9F">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8</w:t>
            </w:r>
          </w:p>
        </w:tc>
        <w:tc>
          <w:tcPr>
            <w:tcW w:w="1425" w:type="dxa"/>
            <w:tcBorders>
              <w:top w:val="single" w:color="000000" w:sz="4" w:space="0"/>
              <w:left w:val="single" w:color="auto" w:sz="4" w:space="0"/>
              <w:bottom w:val="single" w:color="000000" w:sz="4" w:space="0"/>
              <w:right w:val="single" w:color="000000" w:sz="4" w:space="0"/>
            </w:tcBorders>
            <w:shd w:val="clear" w:color="auto" w:fill="auto"/>
            <w:vAlign w:val="center"/>
          </w:tcPr>
          <w:p w14:paraId="7752FA15">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10</w:t>
            </w:r>
          </w:p>
        </w:tc>
      </w:tr>
      <w:tr w14:paraId="0F8ED0EE">
        <w:tblPrEx>
          <w:tblCellMar>
            <w:top w:w="0" w:type="dxa"/>
            <w:left w:w="108" w:type="dxa"/>
            <w:bottom w:w="0" w:type="dxa"/>
            <w:right w:w="108" w:type="dxa"/>
          </w:tblCellMar>
        </w:tblPrEx>
        <w:trPr>
          <w:trHeight w:val="567" w:hRule="atLeast"/>
          <w:jc w:val="center"/>
        </w:trPr>
        <w:tc>
          <w:tcPr>
            <w:tcW w:w="856" w:type="dxa"/>
            <w:vMerge w:val="continue"/>
            <w:tcBorders>
              <w:left w:val="single" w:color="000000" w:sz="4" w:space="0"/>
              <w:right w:val="single" w:color="000000" w:sz="4" w:space="0"/>
            </w:tcBorders>
            <w:vAlign w:val="center"/>
          </w:tcPr>
          <w:p w14:paraId="5FA642E0">
            <w:pPr>
              <w:widowControl/>
              <w:overflowPunct w:val="0"/>
              <w:adjustRightInd w:val="0"/>
              <w:snapToGrid w:val="0"/>
              <w:spacing w:line="240" w:lineRule="atLeast"/>
              <w:jc w:val="center"/>
              <w:textAlignment w:val="top"/>
              <w:rPr>
                <w:rFonts w:ascii="楷体" w:hAnsi="楷体" w:eastAsia="楷体" w:cs="楷体"/>
                <w:sz w:val="24"/>
              </w:rPr>
            </w:pP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0DD2130B">
            <w:pPr>
              <w:widowControl/>
              <w:overflowPunct w:val="0"/>
              <w:adjustRightInd w:val="0"/>
              <w:snapToGrid w:val="0"/>
              <w:spacing w:line="240" w:lineRule="atLeast"/>
              <w:jc w:val="center"/>
              <w:rPr>
                <w:rFonts w:ascii="楷体" w:hAnsi="楷体" w:eastAsia="楷体" w:cs="楷体"/>
                <w:sz w:val="24"/>
              </w:rPr>
            </w:pPr>
          </w:p>
        </w:tc>
        <w:tc>
          <w:tcPr>
            <w:tcW w:w="5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BF19">
            <w:pPr>
              <w:widowControl/>
              <w:overflowPunct w:val="0"/>
              <w:adjustRightInd w:val="0"/>
              <w:snapToGrid w:val="0"/>
              <w:spacing w:line="240" w:lineRule="atLeast"/>
              <w:jc w:val="center"/>
              <w:textAlignment w:val="top"/>
              <w:rPr>
                <w:rStyle w:val="6"/>
                <w:rFonts w:hint="default" w:ascii="楷体" w:hAnsi="楷体" w:eastAsia="楷体" w:cs="楷体"/>
                <w:color w:val="auto"/>
                <w:sz w:val="24"/>
                <w:szCs w:val="24"/>
                <w:lang w:bidi="ar"/>
              </w:rPr>
            </w:pPr>
            <w:r>
              <w:rPr>
                <w:rFonts w:hint="eastAsia" w:ascii="楷体" w:hAnsi="楷体" w:eastAsia="楷体" w:cs="楷体"/>
                <w:kern w:val="2"/>
                <w:sz w:val="24"/>
                <w:lang w:bidi="ar"/>
              </w:rPr>
              <w:t>净增高企数（家）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AB3F">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3485">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F026">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5</w:t>
            </w:r>
          </w:p>
        </w:tc>
        <w:tc>
          <w:tcPr>
            <w:tcW w:w="1425" w:type="dxa"/>
            <w:tcBorders>
              <w:top w:val="single" w:color="000000" w:sz="4" w:space="0"/>
              <w:left w:val="single" w:color="auto" w:sz="4" w:space="0"/>
              <w:bottom w:val="single" w:color="000000" w:sz="4" w:space="0"/>
              <w:right w:val="single" w:color="000000" w:sz="4" w:space="0"/>
            </w:tcBorders>
            <w:shd w:val="clear" w:color="auto" w:fill="auto"/>
            <w:vAlign w:val="center"/>
          </w:tcPr>
          <w:p w14:paraId="41E2ACE6">
            <w:pPr>
              <w:widowControl/>
              <w:overflowPunct w:val="0"/>
              <w:adjustRightInd w:val="0"/>
              <w:snapToGrid w:val="0"/>
              <w:spacing w:line="240" w:lineRule="atLeast"/>
              <w:jc w:val="center"/>
              <w:textAlignment w:val="top"/>
              <w:rPr>
                <w:rFonts w:hint="default" w:ascii="楷体" w:hAnsi="楷体" w:eastAsia="楷体" w:cs="楷体"/>
                <w:sz w:val="24"/>
                <w:lang w:val="en-US" w:eastAsia="zh-CN"/>
              </w:rPr>
            </w:pPr>
            <w:r>
              <w:rPr>
                <w:rFonts w:hint="eastAsia" w:ascii="楷体" w:hAnsi="楷体" w:eastAsia="楷体" w:cs="楷体"/>
                <w:sz w:val="24"/>
                <w:lang w:val="en-US" w:eastAsia="zh-CN"/>
              </w:rPr>
              <w:t>10</w:t>
            </w:r>
          </w:p>
        </w:tc>
      </w:tr>
      <w:tr w14:paraId="1764B8ED">
        <w:tblPrEx>
          <w:tblCellMar>
            <w:top w:w="0" w:type="dxa"/>
            <w:left w:w="108" w:type="dxa"/>
            <w:bottom w:w="0" w:type="dxa"/>
            <w:right w:w="108" w:type="dxa"/>
          </w:tblCellMar>
        </w:tblPrEx>
        <w:trPr>
          <w:trHeight w:val="567" w:hRule="atLeast"/>
          <w:jc w:val="center"/>
        </w:trPr>
        <w:tc>
          <w:tcPr>
            <w:tcW w:w="856" w:type="dxa"/>
            <w:vMerge w:val="restart"/>
            <w:tcBorders>
              <w:top w:val="single" w:color="000000" w:sz="4" w:space="0"/>
              <w:left w:val="single" w:color="000000" w:sz="4" w:space="0"/>
              <w:right w:val="single" w:color="000000" w:sz="4" w:space="0"/>
            </w:tcBorders>
            <w:vAlign w:val="center"/>
          </w:tcPr>
          <w:p w14:paraId="73F8F83F">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2</w:t>
            </w:r>
          </w:p>
        </w:tc>
        <w:tc>
          <w:tcPr>
            <w:tcW w:w="1411" w:type="dxa"/>
            <w:vMerge w:val="restart"/>
            <w:tcBorders>
              <w:top w:val="single" w:color="000000" w:sz="4" w:space="0"/>
              <w:left w:val="single" w:color="000000" w:sz="4" w:space="0"/>
              <w:right w:val="single" w:color="000000" w:sz="4" w:space="0"/>
            </w:tcBorders>
            <w:vAlign w:val="center"/>
          </w:tcPr>
          <w:p w14:paraId="1793547B">
            <w:pPr>
              <w:widowControl/>
              <w:overflowPunct w:val="0"/>
              <w:adjustRightInd w:val="0"/>
              <w:snapToGrid w:val="0"/>
              <w:spacing w:line="240" w:lineRule="atLeast"/>
              <w:jc w:val="center"/>
              <w:textAlignment w:val="top"/>
              <w:rPr>
                <w:rFonts w:hint="default" w:ascii="楷体" w:hAnsi="楷体" w:eastAsia="楷体" w:cs="楷体"/>
                <w:sz w:val="24"/>
                <w:lang w:val="en-US" w:eastAsia="zh-CN"/>
              </w:rPr>
            </w:pPr>
            <w:r>
              <w:rPr>
                <w:rFonts w:hint="eastAsia" w:ascii="楷体" w:hAnsi="楷体" w:eastAsia="楷体" w:cs="楷体"/>
                <w:sz w:val="24"/>
              </w:rPr>
              <w:t>人才</w:t>
            </w:r>
            <w:r>
              <w:rPr>
                <w:rFonts w:hint="eastAsia" w:ascii="楷体" w:hAnsi="楷体" w:eastAsia="楷体" w:cs="楷体"/>
                <w:sz w:val="24"/>
                <w:lang w:val="en-US" w:eastAsia="zh-CN"/>
              </w:rPr>
              <w:t>项目招引</w:t>
            </w:r>
          </w:p>
          <w:p w14:paraId="717CA576">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w:t>
            </w:r>
            <w:r>
              <w:rPr>
                <w:rFonts w:hint="eastAsia" w:ascii="楷体" w:hAnsi="楷体" w:eastAsia="楷体" w:cs="楷体"/>
                <w:sz w:val="24"/>
                <w:lang w:val="en-US" w:eastAsia="zh-CN"/>
              </w:rPr>
              <w:t>40</w:t>
            </w:r>
            <w:r>
              <w:rPr>
                <w:rFonts w:hint="eastAsia" w:ascii="楷体" w:hAnsi="楷体" w:eastAsia="楷体" w:cs="楷体"/>
                <w:sz w:val="24"/>
              </w:rPr>
              <w:t>分）</w:t>
            </w:r>
          </w:p>
        </w:tc>
        <w:tc>
          <w:tcPr>
            <w:tcW w:w="5346" w:type="dxa"/>
            <w:tcBorders>
              <w:top w:val="single" w:color="000000" w:sz="4" w:space="0"/>
              <w:left w:val="single" w:color="000000" w:sz="4" w:space="0"/>
              <w:bottom w:val="single" w:color="000000" w:sz="4" w:space="0"/>
              <w:right w:val="single" w:color="000000" w:sz="4" w:space="0"/>
            </w:tcBorders>
            <w:vAlign w:val="center"/>
          </w:tcPr>
          <w:p w14:paraId="0116A2A7">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有效申报</w:t>
            </w:r>
            <w:r>
              <w:rPr>
                <w:rFonts w:hint="eastAsia" w:ascii="楷体" w:hAnsi="楷体" w:eastAsia="楷体" w:cs="楷体"/>
                <w:sz w:val="24"/>
                <w:lang w:val="en-US" w:eastAsia="zh-CN"/>
              </w:rPr>
              <w:t>区级人才项目数</w:t>
            </w:r>
            <w:r>
              <w:rPr>
                <w:rFonts w:hint="eastAsia" w:ascii="楷体" w:hAnsi="楷体" w:eastAsia="楷体" w:cs="楷体"/>
                <w:sz w:val="24"/>
              </w:rPr>
              <w:t>（个）</w:t>
            </w:r>
          </w:p>
        </w:tc>
        <w:tc>
          <w:tcPr>
            <w:tcW w:w="1364" w:type="dxa"/>
            <w:tcBorders>
              <w:top w:val="single" w:color="000000" w:sz="4" w:space="0"/>
              <w:left w:val="single" w:color="000000" w:sz="4" w:space="0"/>
              <w:bottom w:val="single" w:color="000000" w:sz="4" w:space="0"/>
              <w:right w:val="single" w:color="000000" w:sz="4" w:space="0"/>
            </w:tcBorders>
            <w:vAlign w:val="center"/>
          </w:tcPr>
          <w:p w14:paraId="356BA32F">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7</w:t>
            </w:r>
          </w:p>
        </w:tc>
        <w:tc>
          <w:tcPr>
            <w:tcW w:w="1553" w:type="dxa"/>
            <w:tcBorders>
              <w:top w:val="single" w:color="000000" w:sz="4" w:space="0"/>
              <w:left w:val="single" w:color="000000" w:sz="4" w:space="0"/>
              <w:bottom w:val="single" w:color="000000" w:sz="4" w:space="0"/>
              <w:right w:val="single" w:color="000000" w:sz="4" w:space="0"/>
            </w:tcBorders>
            <w:vAlign w:val="center"/>
          </w:tcPr>
          <w:p w14:paraId="4FA11E32">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8</w:t>
            </w:r>
          </w:p>
        </w:tc>
        <w:tc>
          <w:tcPr>
            <w:tcW w:w="1650" w:type="dxa"/>
            <w:tcBorders>
              <w:top w:val="single" w:color="000000" w:sz="4" w:space="0"/>
              <w:left w:val="single" w:color="000000" w:sz="4" w:space="0"/>
              <w:bottom w:val="single" w:color="000000" w:sz="4" w:space="0"/>
              <w:right w:val="single" w:color="000000" w:sz="4" w:space="0"/>
            </w:tcBorders>
            <w:vAlign w:val="center"/>
          </w:tcPr>
          <w:p w14:paraId="7469018A">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9</w:t>
            </w:r>
          </w:p>
        </w:tc>
        <w:tc>
          <w:tcPr>
            <w:tcW w:w="1425" w:type="dxa"/>
            <w:tcBorders>
              <w:top w:val="single" w:color="000000" w:sz="4" w:space="0"/>
              <w:left w:val="single" w:color="auto" w:sz="4" w:space="0"/>
              <w:bottom w:val="single" w:color="000000" w:sz="4" w:space="0"/>
              <w:right w:val="single" w:color="000000" w:sz="4" w:space="0"/>
            </w:tcBorders>
            <w:vAlign w:val="center"/>
          </w:tcPr>
          <w:p w14:paraId="6B8E7562">
            <w:pPr>
              <w:widowControl/>
              <w:overflowPunct w:val="0"/>
              <w:adjustRightInd w:val="0"/>
              <w:snapToGrid w:val="0"/>
              <w:spacing w:line="240" w:lineRule="atLeast"/>
              <w:jc w:val="center"/>
              <w:textAlignment w:val="top"/>
              <w:rPr>
                <w:rFonts w:hint="default" w:ascii="楷体" w:hAnsi="楷体" w:eastAsia="楷体" w:cs="楷体"/>
                <w:sz w:val="24"/>
                <w:lang w:val="en-US" w:eastAsia="zh-CN"/>
              </w:rPr>
            </w:pPr>
            <w:r>
              <w:rPr>
                <w:rFonts w:hint="eastAsia" w:ascii="楷体" w:hAnsi="楷体" w:eastAsia="楷体" w:cs="楷体"/>
                <w:sz w:val="24"/>
                <w:lang w:val="en-US" w:eastAsia="zh-CN"/>
              </w:rPr>
              <w:t>10</w:t>
            </w:r>
          </w:p>
        </w:tc>
      </w:tr>
      <w:tr w14:paraId="49293C28">
        <w:tblPrEx>
          <w:tblCellMar>
            <w:top w:w="0" w:type="dxa"/>
            <w:left w:w="108" w:type="dxa"/>
            <w:bottom w:w="0" w:type="dxa"/>
            <w:right w:w="108" w:type="dxa"/>
          </w:tblCellMar>
        </w:tblPrEx>
        <w:trPr>
          <w:trHeight w:val="567" w:hRule="atLeast"/>
          <w:jc w:val="center"/>
        </w:trPr>
        <w:tc>
          <w:tcPr>
            <w:tcW w:w="856" w:type="dxa"/>
            <w:vMerge w:val="continue"/>
            <w:tcBorders>
              <w:left w:val="single" w:color="000000" w:sz="4" w:space="0"/>
              <w:right w:val="single" w:color="000000" w:sz="4" w:space="0"/>
            </w:tcBorders>
            <w:vAlign w:val="center"/>
          </w:tcPr>
          <w:p w14:paraId="56241D5E">
            <w:pPr>
              <w:widowControl/>
              <w:overflowPunct w:val="0"/>
              <w:adjustRightInd w:val="0"/>
              <w:snapToGrid w:val="0"/>
              <w:spacing w:line="240" w:lineRule="atLeast"/>
              <w:jc w:val="center"/>
              <w:textAlignment w:val="top"/>
              <w:rPr>
                <w:rFonts w:ascii="楷体" w:hAnsi="楷体" w:eastAsia="楷体" w:cs="楷体"/>
                <w:sz w:val="24"/>
              </w:rPr>
            </w:pPr>
          </w:p>
        </w:tc>
        <w:tc>
          <w:tcPr>
            <w:tcW w:w="1411" w:type="dxa"/>
            <w:vMerge w:val="continue"/>
            <w:tcBorders>
              <w:left w:val="single" w:color="000000" w:sz="4" w:space="0"/>
              <w:right w:val="single" w:color="000000" w:sz="4" w:space="0"/>
            </w:tcBorders>
            <w:vAlign w:val="center"/>
          </w:tcPr>
          <w:p w14:paraId="07FB2ABD">
            <w:pPr>
              <w:widowControl/>
              <w:overflowPunct w:val="0"/>
              <w:adjustRightInd w:val="0"/>
              <w:snapToGrid w:val="0"/>
              <w:spacing w:line="240" w:lineRule="atLeast"/>
              <w:jc w:val="center"/>
              <w:rPr>
                <w:rFonts w:ascii="楷体" w:hAnsi="楷体" w:eastAsia="楷体" w:cs="楷体"/>
                <w:sz w:val="24"/>
              </w:rPr>
            </w:pPr>
          </w:p>
        </w:tc>
        <w:tc>
          <w:tcPr>
            <w:tcW w:w="5346" w:type="dxa"/>
            <w:tcBorders>
              <w:top w:val="single" w:color="000000" w:sz="4" w:space="0"/>
              <w:left w:val="single" w:color="000000" w:sz="4" w:space="0"/>
              <w:bottom w:val="single" w:color="000000" w:sz="4" w:space="0"/>
              <w:right w:val="single" w:color="000000" w:sz="4" w:space="0"/>
            </w:tcBorders>
            <w:vAlign w:val="center"/>
          </w:tcPr>
          <w:p w14:paraId="3C63D647">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有效申报</w:t>
            </w:r>
            <w:r>
              <w:rPr>
                <w:rFonts w:hint="eastAsia" w:ascii="楷体" w:hAnsi="楷体" w:eastAsia="楷体" w:cs="楷体"/>
                <w:sz w:val="24"/>
                <w:lang w:val="en-US" w:eastAsia="zh-CN"/>
              </w:rPr>
              <w:t>市级人才项目数</w:t>
            </w:r>
            <w:r>
              <w:rPr>
                <w:rFonts w:hint="eastAsia" w:ascii="楷体" w:hAnsi="楷体" w:eastAsia="楷体" w:cs="楷体"/>
                <w:sz w:val="24"/>
              </w:rPr>
              <w:t>（个）</w:t>
            </w:r>
          </w:p>
        </w:tc>
        <w:tc>
          <w:tcPr>
            <w:tcW w:w="1364" w:type="dxa"/>
            <w:tcBorders>
              <w:top w:val="single" w:color="000000" w:sz="4" w:space="0"/>
              <w:left w:val="single" w:color="000000" w:sz="4" w:space="0"/>
              <w:bottom w:val="single" w:color="000000" w:sz="4" w:space="0"/>
              <w:right w:val="single" w:color="000000" w:sz="4" w:space="0"/>
            </w:tcBorders>
            <w:vAlign w:val="center"/>
          </w:tcPr>
          <w:p w14:paraId="704441EB">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4</w:t>
            </w:r>
          </w:p>
        </w:tc>
        <w:tc>
          <w:tcPr>
            <w:tcW w:w="1553" w:type="dxa"/>
            <w:tcBorders>
              <w:top w:val="single" w:color="000000" w:sz="4" w:space="0"/>
              <w:left w:val="single" w:color="000000" w:sz="4" w:space="0"/>
              <w:bottom w:val="single" w:color="000000" w:sz="4" w:space="0"/>
              <w:right w:val="single" w:color="000000" w:sz="4" w:space="0"/>
            </w:tcBorders>
            <w:vAlign w:val="center"/>
          </w:tcPr>
          <w:p w14:paraId="63270C9E">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6</w:t>
            </w:r>
          </w:p>
        </w:tc>
        <w:tc>
          <w:tcPr>
            <w:tcW w:w="1650" w:type="dxa"/>
            <w:tcBorders>
              <w:top w:val="single" w:color="000000" w:sz="4" w:space="0"/>
              <w:left w:val="single" w:color="000000" w:sz="4" w:space="0"/>
              <w:bottom w:val="single" w:color="000000" w:sz="4" w:space="0"/>
              <w:right w:val="single" w:color="000000" w:sz="4" w:space="0"/>
            </w:tcBorders>
            <w:vAlign w:val="center"/>
          </w:tcPr>
          <w:p w14:paraId="1556DEAC">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7</w:t>
            </w:r>
          </w:p>
        </w:tc>
        <w:tc>
          <w:tcPr>
            <w:tcW w:w="1425" w:type="dxa"/>
            <w:tcBorders>
              <w:top w:val="single" w:color="000000" w:sz="4" w:space="0"/>
              <w:left w:val="single" w:color="auto" w:sz="4" w:space="0"/>
              <w:bottom w:val="single" w:color="000000" w:sz="4" w:space="0"/>
              <w:right w:val="single" w:color="000000" w:sz="4" w:space="0"/>
            </w:tcBorders>
            <w:vAlign w:val="center"/>
          </w:tcPr>
          <w:p w14:paraId="2B1C17DF">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10</w:t>
            </w:r>
          </w:p>
        </w:tc>
      </w:tr>
      <w:tr w14:paraId="0F507CE1">
        <w:tblPrEx>
          <w:tblCellMar>
            <w:top w:w="0" w:type="dxa"/>
            <w:left w:w="108" w:type="dxa"/>
            <w:bottom w:w="0" w:type="dxa"/>
            <w:right w:w="108" w:type="dxa"/>
          </w:tblCellMar>
        </w:tblPrEx>
        <w:trPr>
          <w:trHeight w:val="567" w:hRule="atLeast"/>
          <w:jc w:val="center"/>
        </w:trPr>
        <w:tc>
          <w:tcPr>
            <w:tcW w:w="856" w:type="dxa"/>
            <w:vMerge w:val="continue"/>
            <w:tcBorders>
              <w:left w:val="single" w:color="000000" w:sz="4" w:space="0"/>
              <w:right w:val="single" w:color="000000" w:sz="4" w:space="0"/>
            </w:tcBorders>
            <w:vAlign w:val="center"/>
          </w:tcPr>
          <w:p w14:paraId="2F8A7E4F">
            <w:pPr>
              <w:widowControl/>
              <w:overflowPunct w:val="0"/>
              <w:adjustRightInd w:val="0"/>
              <w:snapToGrid w:val="0"/>
              <w:spacing w:line="240" w:lineRule="atLeast"/>
              <w:jc w:val="center"/>
              <w:textAlignment w:val="top"/>
              <w:rPr>
                <w:rFonts w:ascii="楷体" w:hAnsi="楷体" w:eastAsia="楷体" w:cs="楷体"/>
                <w:sz w:val="24"/>
              </w:rPr>
            </w:pPr>
          </w:p>
        </w:tc>
        <w:tc>
          <w:tcPr>
            <w:tcW w:w="1411" w:type="dxa"/>
            <w:vMerge w:val="continue"/>
            <w:tcBorders>
              <w:left w:val="single" w:color="000000" w:sz="4" w:space="0"/>
              <w:right w:val="single" w:color="000000" w:sz="4" w:space="0"/>
            </w:tcBorders>
            <w:vAlign w:val="center"/>
          </w:tcPr>
          <w:p w14:paraId="045E2534">
            <w:pPr>
              <w:widowControl/>
              <w:overflowPunct w:val="0"/>
              <w:adjustRightInd w:val="0"/>
              <w:snapToGrid w:val="0"/>
              <w:spacing w:line="240" w:lineRule="atLeast"/>
              <w:jc w:val="center"/>
              <w:rPr>
                <w:rFonts w:ascii="楷体" w:hAnsi="楷体" w:eastAsia="楷体" w:cs="楷体"/>
                <w:sz w:val="24"/>
              </w:rPr>
            </w:pPr>
          </w:p>
        </w:tc>
        <w:tc>
          <w:tcPr>
            <w:tcW w:w="5346" w:type="dxa"/>
            <w:tcBorders>
              <w:top w:val="single" w:color="000000" w:sz="4" w:space="0"/>
              <w:left w:val="single" w:color="000000" w:sz="4" w:space="0"/>
              <w:bottom w:val="single" w:color="auto" w:sz="4" w:space="0"/>
              <w:right w:val="single" w:color="000000" w:sz="4" w:space="0"/>
            </w:tcBorders>
            <w:vAlign w:val="center"/>
          </w:tcPr>
          <w:p w14:paraId="7E2291D8">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有效申报</w:t>
            </w:r>
            <w:r>
              <w:rPr>
                <w:rFonts w:hint="eastAsia" w:ascii="楷体" w:hAnsi="楷体" w:eastAsia="楷体" w:cs="楷体"/>
                <w:sz w:val="24"/>
                <w:lang w:val="en-US" w:eastAsia="zh-CN"/>
              </w:rPr>
              <w:t>省级人才项目数</w:t>
            </w:r>
            <w:r>
              <w:rPr>
                <w:rFonts w:hint="eastAsia" w:ascii="楷体" w:hAnsi="楷体" w:eastAsia="楷体" w:cs="楷体"/>
                <w:sz w:val="24"/>
              </w:rPr>
              <w:t>（个）</w:t>
            </w:r>
          </w:p>
        </w:tc>
        <w:tc>
          <w:tcPr>
            <w:tcW w:w="1364" w:type="dxa"/>
            <w:tcBorders>
              <w:top w:val="single" w:color="000000" w:sz="4" w:space="0"/>
              <w:left w:val="single" w:color="000000" w:sz="4" w:space="0"/>
              <w:bottom w:val="single" w:color="auto" w:sz="4" w:space="0"/>
              <w:right w:val="single" w:color="auto" w:sz="4" w:space="0"/>
            </w:tcBorders>
            <w:vAlign w:val="center"/>
          </w:tcPr>
          <w:p w14:paraId="013FDE32">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w:t>
            </w:r>
          </w:p>
        </w:tc>
        <w:tc>
          <w:tcPr>
            <w:tcW w:w="1553" w:type="dxa"/>
            <w:tcBorders>
              <w:top w:val="single" w:color="000000" w:sz="4" w:space="0"/>
              <w:left w:val="single" w:color="auto" w:sz="4" w:space="0"/>
              <w:bottom w:val="single" w:color="auto" w:sz="4" w:space="0"/>
              <w:right w:val="single" w:color="000000" w:sz="4" w:space="0"/>
            </w:tcBorders>
            <w:vAlign w:val="center"/>
          </w:tcPr>
          <w:p w14:paraId="4E227E6E">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2</w:t>
            </w:r>
          </w:p>
        </w:tc>
        <w:tc>
          <w:tcPr>
            <w:tcW w:w="1650" w:type="dxa"/>
            <w:tcBorders>
              <w:top w:val="single" w:color="000000" w:sz="4" w:space="0"/>
              <w:left w:val="single" w:color="000000" w:sz="4" w:space="0"/>
              <w:bottom w:val="single" w:color="auto" w:sz="4" w:space="0"/>
              <w:right w:val="single" w:color="000000" w:sz="4" w:space="0"/>
            </w:tcBorders>
            <w:vAlign w:val="center"/>
          </w:tcPr>
          <w:p w14:paraId="3D22274D">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3</w:t>
            </w:r>
          </w:p>
        </w:tc>
        <w:tc>
          <w:tcPr>
            <w:tcW w:w="1425" w:type="dxa"/>
            <w:tcBorders>
              <w:top w:val="single" w:color="000000" w:sz="4" w:space="0"/>
              <w:left w:val="single" w:color="auto" w:sz="4" w:space="0"/>
              <w:bottom w:val="single" w:color="auto" w:sz="4" w:space="0"/>
              <w:right w:val="single" w:color="000000" w:sz="4" w:space="0"/>
            </w:tcBorders>
            <w:vAlign w:val="center"/>
          </w:tcPr>
          <w:p w14:paraId="05473F42">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10</w:t>
            </w:r>
          </w:p>
        </w:tc>
      </w:tr>
      <w:tr w14:paraId="4FF8573A">
        <w:tblPrEx>
          <w:tblCellMar>
            <w:top w:w="0" w:type="dxa"/>
            <w:left w:w="108" w:type="dxa"/>
            <w:bottom w:w="0" w:type="dxa"/>
            <w:right w:w="108" w:type="dxa"/>
          </w:tblCellMar>
        </w:tblPrEx>
        <w:trPr>
          <w:trHeight w:val="567" w:hRule="atLeast"/>
          <w:jc w:val="center"/>
        </w:trPr>
        <w:tc>
          <w:tcPr>
            <w:tcW w:w="856" w:type="dxa"/>
            <w:vMerge w:val="continue"/>
            <w:tcBorders>
              <w:left w:val="single" w:color="000000" w:sz="4" w:space="0"/>
              <w:bottom w:val="single" w:color="000000" w:sz="4" w:space="0"/>
              <w:right w:val="single" w:color="000000" w:sz="4" w:space="0"/>
            </w:tcBorders>
            <w:vAlign w:val="center"/>
          </w:tcPr>
          <w:p w14:paraId="61BFF20A">
            <w:pPr>
              <w:widowControl/>
              <w:overflowPunct w:val="0"/>
              <w:adjustRightInd w:val="0"/>
              <w:snapToGrid w:val="0"/>
              <w:spacing w:line="240" w:lineRule="atLeast"/>
              <w:jc w:val="center"/>
              <w:textAlignment w:val="top"/>
              <w:rPr>
                <w:rFonts w:ascii="楷体" w:hAnsi="楷体" w:eastAsia="楷体" w:cs="楷体"/>
                <w:sz w:val="24"/>
              </w:rPr>
            </w:pPr>
          </w:p>
        </w:tc>
        <w:tc>
          <w:tcPr>
            <w:tcW w:w="1411" w:type="dxa"/>
            <w:vMerge w:val="continue"/>
            <w:tcBorders>
              <w:left w:val="single" w:color="000000" w:sz="4" w:space="0"/>
              <w:bottom w:val="single" w:color="000000" w:sz="4" w:space="0"/>
              <w:right w:val="single" w:color="000000" w:sz="4" w:space="0"/>
            </w:tcBorders>
            <w:vAlign w:val="center"/>
          </w:tcPr>
          <w:p w14:paraId="4B7D4ACB">
            <w:pPr>
              <w:widowControl/>
              <w:overflowPunct w:val="0"/>
              <w:adjustRightInd w:val="0"/>
              <w:snapToGrid w:val="0"/>
              <w:spacing w:line="240" w:lineRule="atLeast"/>
              <w:jc w:val="center"/>
              <w:rPr>
                <w:rFonts w:ascii="楷体" w:hAnsi="楷体" w:eastAsia="楷体" w:cs="楷体"/>
                <w:sz w:val="24"/>
              </w:rPr>
            </w:pPr>
          </w:p>
        </w:tc>
        <w:tc>
          <w:tcPr>
            <w:tcW w:w="5346" w:type="dxa"/>
            <w:tcBorders>
              <w:top w:val="single" w:color="000000" w:sz="4" w:space="0"/>
              <w:left w:val="single" w:color="000000" w:sz="4" w:space="0"/>
              <w:bottom w:val="single" w:color="000000" w:sz="4" w:space="0"/>
              <w:right w:val="single" w:color="000000" w:sz="4" w:space="0"/>
            </w:tcBorders>
            <w:vAlign w:val="center"/>
          </w:tcPr>
          <w:p w14:paraId="5974D9FC">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有效申报国家级人才</w:t>
            </w:r>
            <w:r>
              <w:rPr>
                <w:rFonts w:hint="eastAsia" w:ascii="楷体" w:hAnsi="楷体" w:eastAsia="楷体" w:cs="楷体"/>
                <w:sz w:val="24"/>
                <w:lang w:val="en-US" w:eastAsia="zh-CN"/>
              </w:rPr>
              <w:t>项目数</w:t>
            </w:r>
            <w:r>
              <w:rPr>
                <w:rFonts w:hint="eastAsia" w:ascii="楷体" w:hAnsi="楷体" w:eastAsia="楷体" w:cs="楷体"/>
                <w:sz w:val="24"/>
              </w:rPr>
              <w:t>（个）</w:t>
            </w:r>
          </w:p>
        </w:tc>
        <w:tc>
          <w:tcPr>
            <w:tcW w:w="1364" w:type="dxa"/>
            <w:tcBorders>
              <w:top w:val="single" w:color="000000" w:sz="4" w:space="0"/>
              <w:left w:val="single" w:color="000000" w:sz="4" w:space="0"/>
              <w:bottom w:val="single" w:color="000000" w:sz="4" w:space="0"/>
              <w:right w:val="single" w:color="auto" w:sz="4" w:space="0"/>
            </w:tcBorders>
            <w:vAlign w:val="center"/>
          </w:tcPr>
          <w:p w14:paraId="3DCE161A">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1</w:t>
            </w:r>
          </w:p>
        </w:tc>
        <w:tc>
          <w:tcPr>
            <w:tcW w:w="1553" w:type="dxa"/>
            <w:tcBorders>
              <w:top w:val="single" w:color="000000" w:sz="4" w:space="0"/>
              <w:left w:val="single" w:color="auto" w:sz="4" w:space="0"/>
              <w:bottom w:val="single" w:color="000000" w:sz="4" w:space="0"/>
              <w:right w:val="single" w:color="000000" w:sz="4" w:space="0"/>
            </w:tcBorders>
            <w:vAlign w:val="center"/>
          </w:tcPr>
          <w:p w14:paraId="6C7161BF">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2</w:t>
            </w:r>
          </w:p>
        </w:tc>
        <w:tc>
          <w:tcPr>
            <w:tcW w:w="1650" w:type="dxa"/>
            <w:tcBorders>
              <w:top w:val="single" w:color="000000" w:sz="4" w:space="0"/>
              <w:left w:val="single" w:color="000000" w:sz="4" w:space="0"/>
              <w:bottom w:val="single" w:color="000000" w:sz="4" w:space="0"/>
              <w:right w:val="single" w:color="000000" w:sz="4" w:space="0"/>
            </w:tcBorders>
            <w:vAlign w:val="center"/>
          </w:tcPr>
          <w:p w14:paraId="0D4DDA05">
            <w:pPr>
              <w:widowControl/>
              <w:overflowPunct w:val="0"/>
              <w:adjustRightInd w:val="0"/>
              <w:snapToGrid w:val="0"/>
              <w:spacing w:line="240" w:lineRule="atLeast"/>
              <w:jc w:val="center"/>
              <w:textAlignment w:val="top"/>
              <w:rPr>
                <w:rFonts w:ascii="楷体" w:hAnsi="楷体" w:eastAsia="楷体" w:cs="楷体"/>
                <w:sz w:val="24"/>
              </w:rPr>
            </w:pPr>
            <w:r>
              <w:rPr>
                <w:rFonts w:hint="eastAsia" w:ascii="楷体" w:hAnsi="楷体" w:eastAsia="楷体" w:cs="楷体"/>
                <w:sz w:val="24"/>
              </w:rPr>
              <w:t>3</w:t>
            </w:r>
          </w:p>
        </w:tc>
        <w:tc>
          <w:tcPr>
            <w:tcW w:w="1425" w:type="dxa"/>
            <w:tcBorders>
              <w:top w:val="single" w:color="000000" w:sz="4" w:space="0"/>
              <w:left w:val="single" w:color="auto" w:sz="4" w:space="0"/>
              <w:bottom w:val="single" w:color="000000" w:sz="4" w:space="0"/>
              <w:right w:val="single" w:color="000000" w:sz="4" w:space="0"/>
            </w:tcBorders>
            <w:vAlign w:val="center"/>
          </w:tcPr>
          <w:p w14:paraId="779F052D">
            <w:pPr>
              <w:widowControl/>
              <w:overflowPunct w:val="0"/>
              <w:adjustRightInd w:val="0"/>
              <w:snapToGrid w:val="0"/>
              <w:jc w:val="center"/>
              <w:textAlignment w:val="top"/>
              <w:rPr>
                <w:rFonts w:ascii="楷体" w:hAnsi="楷体" w:eastAsia="楷体" w:cs="楷体"/>
                <w:sz w:val="24"/>
              </w:rPr>
            </w:pPr>
            <w:r>
              <w:rPr>
                <w:rFonts w:hint="eastAsia" w:ascii="楷体" w:hAnsi="楷体" w:eastAsia="楷体" w:cs="楷体"/>
                <w:sz w:val="24"/>
              </w:rPr>
              <w:t>10</w:t>
            </w:r>
          </w:p>
        </w:tc>
      </w:tr>
      <w:tr w14:paraId="146C56FB">
        <w:tblPrEx>
          <w:tblCellMar>
            <w:top w:w="0" w:type="dxa"/>
            <w:left w:w="108" w:type="dxa"/>
            <w:bottom w:w="0" w:type="dxa"/>
            <w:right w:w="108" w:type="dxa"/>
          </w:tblCellMar>
        </w:tblPrEx>
        <w:trPr>
          <w:trHeight w:val="567" w:hRule="atLeast"/>
          <w:jc w:val="center"/>
        </w:trPr>
        <w:tc>
          <w:tcPr>
            <w:tcW w:w="856" w:type="dxa"/>
            <w:vMerge w:val="restart"/>
            <w:tcBorders>
              <w:top w:val="single" w:color="000000" w:sz="4" w:space="0"/>
              <w:left w:val="single" w:color="000000" w:sz="4" w:space="0"/>
              <w:right w:val="single" w:color="000000" w:sz="4" w:space="0"/>
            </w:tcBorders>
            <w:vAlign w:val="center"/>
          </w:tcPr>
          <w:p w14:paraId="55BBA9D6">
            <w:pPr>
              <w:widowControl/>
              <w:overflowPunct w:val="0"/>
              <w:adjustRightInd w:val="0"/>
              <w:snapToGrid w:val="0"/>
              <w:spacing w:line="240" w:lineRule="atLeast"/>
              <w:jc w:val="center"/>
              <w:textAlignment w:val="top"/>
              <w:rPr>
                <w:rFonts w:hint="eastAsia" w:ascii="楷体" w:hAnsi="楷体" w:eastAsia="楷体" w:cs="楷体"/>
                <w:sz w:val="24"/>
                <w:lang w:eastAsia="zh-CN"/>
              </w:rPr>
            </w:pPr>
            <w:r>
              <w:rPr>
                <w:rFonts w:hint="eastAsia" w:ascii="楷体" w:hAnsi="楷体" w:eastAsia="楷体" w:cs="楷体"/>
                <w:sz w:val="24"/>
                <w:lang w:val="en-US" w:eastAsia="zh-CN"/>
              </w:rPr>
              <w:t>3</w:t>
            </w:r>
          </w:p>
        </w:tc>
        <w:tc>
          <w:tcPr>
            <w:tcW w:w="1411" w:type="dxa"/>
            <w:vMerge w:val="restart"/>
            <w:tcBorders>
              <w:top w:val="single" w:color="000000" w:sz="4" w:space="0"/>
              <w:left w:val="single" w:color="000000" w:sz="4" w:space="0"/>
              <w:right w:val="single" w:color="000000" w:sz="4" w:space="0"/>
            </w:tcBorders>
            <w:vAlign w:val="center"/>
          </w:tcPr>
          <w:p w14:paraId="19C39ABB">
            <w:pPr>
              <w:widowControl/>
              <w:overflowPunct/>
              <w:adjustRightInd w:val="0"/>
              <w:snapToGrid w:val="0"/>
              <w:spacing w:line="240" w:lineRule="atLeast"/>
              <w:jc w:val="center"/>
              <w:rPr>
                <w:rFonts w:ascii="楷体" w:hAnsi="楷体" w:eastAsia="楷体" w:cs="楷体"/>
                <w:sz w:val="24"/>
              </w:rPr>
            </w:pPr>
            <w:r>
              <w:rPr>
                <w:rFonts w:hint="eastAsia" w:ascii="楷体" w:hAnsi="楷体" w:eastAsia="楷体" w:cs="楷体"/>
                <w:sz w:val="24"/>
                <w:lang w:val="en-US" w:eastAsia="zh-CN"/>
              </w:rPr>
              <w:t xml:space="preserve">运营质效 </w:t>
            </w:r>
            <w:r>
              <w:rPr>
                <w:rFonts w:hint="eastAsia" w:ascii="楷体" w:hAnsi="楷体" w:eastAsia="楷体" w:cs="楷体"/>
                <w:sz w:val="24"/>
              </w:rPr>
              <w:t xml:space="preserve">   （</w:t>
            </w:r>
            <w:r>
              <w:rPr>
                <w:rFonts w:hint="eastAsia" w:ascii="楷体" w:hAnsi="楷体" w:eastAsia="楷体" w:cs="楷体"/>
                <w:sz w:val="24"/>
                <w:lang w:val="en-US" w:eastAsia="zh-CN"/>
              </w:rPr>
              <w:t>20</w:t>
            </w:r>
            <w:r>
              <w:rPr>
                <w:rFonts w:hint="eastAsia" w:ascii="楷体" w:hAnsi="楷体" w:eastAsia="楷体" w:cs="楷体"/>
                <w:sz w:val="24"/>
              </w:rPr>
              <w:t>分）</w:t>
            </w:r>
          </w:p>
        </w:tc>
        <w:tc>
          <w:tcPr>
            <w:tcW w:w="5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1DED">
            <w:pPr>
              <w:widowControl/>
              <w:overflowPunct w:val="0"/>
              <w:adjustRightInd w:val="0"/>
              <w:snapToGrid w:val="0"/>
              <w:spacing w:line="240" w:lineRule="atLeast"/>
              <w:jc w:val="center"/>
              <w:textAlignment w:val="top"/>
              <w:rPr>
                <w:rFonts w:ascii="楷体" w:hAnsi="楷体" w:eastAsia="楷体" w:cs="楷体"/>
                <w:sz w:val="24"/>
                <w:szCs w:val="24"/>
                <w:lang w:val="en-US" w:eastAsia="zh-CN" w:bidi="ar-SA"/>
              </w:rPr>
            </w:pPr>
            <w:r>
              <w:rPr>
                <w:rFonts w:hint="eastAsia" w:ascii="楷体" w:hAnsi="楷体" w:eastAsia="楷体" w:cs="楷体"/>
                <w:sz w:val="24"/>
              </w:rPr>
              <w:t>技术合同登记</w:t>
            </w:r>
            <w:r>
              <w:rPr>
                <w:rFonts w:hint="eastAsia" w:ascii="楷体" w:hAnsi="楷体" w:eastAsia="楷体" w:cs="楷体"/>
                <w:sz w:val="24"/>
                <w:lang w:val="en-US" w:eastAsia="zh-CN"/>
              </w:rPr>
              <w:t>额</w:t>
            </w:r>
            <w:r>
              <w:rPr>
                <w:rFonts w:hint="eastAsia" w:ascii="楷体" w:hAnsi="楷体" w:eastAsia="楷体" w:cs="楷体"/>
                <w:sz w:val="24"/>
              </w:rPr>
              <w:t>（亿元）</w:t>
            </w:r>
          </w:p>
        </w:tc>
        <w:tc>
          <w:tcPr>
            <w:tcW w:w="1364" w:type="dxa"/>
            <w:tcBorders>
              <w:top w:val="single" w:color="000000" w:sz="4" w:space="0"/>
              <w:left w:val="single" w:color="000000" w:sz="4" w:space="0"/>
              <w:bottom w:val="single" w:color="000000" w:sz="4" w:space="0"/>
              <w:right w:val="single" w:color="auto" w:sz="4" w:space="0"/>
            </w:tcBorders>
            <w:shd w:val="clear" w:color="auto" w:fill="auto"/>
            <w:vAlign w:val="center"/>
          </w:tcPr>
          <w:p w14:paraId="10C150E2">
            <w:pPr>
              <w:widowControl/>
              <w:overflowPunct w:val="0"/>
              <w:adjustRightInd w:val="0"/>
              <w:snapToGrid w:val="0"/>
              <w:spacing w:line="240" w:lineRule="atLeast"/>
              <w:jc w:val="center"/>
              <w:rPr>
                <w:rFonts w:ascii="楷体" w:hAnsi="楷体" w:eastAsia="楷体" w:cs="楷体"/>
                <w:kern w:val="2"/>
                <w:sz w:val="24"/>
                <w:szCs w:val="24"/>
                <w:lang w:val="en-US" w:eastAsia="zh-CN" w:bidi="ar-SA"/>
              </w:rPr>
            </w:pPr>
            <w:r>
              <w:rPr>
                <w:rFonts w:hint="eastAsia" w:ascii="楷体" w:hAnsi="楷体" w:eastAsia="楷体" w:cs="楷体"/>
                <w:sz w:val="24"/>
              </w:rPr>
              <w:t>2</w:t>
            </w:r>
          </w:p>
        </w:tc>
        <w:tc>
          <w:tcPr>
            <w:tcW w:w="1553" w:type="dxa"/>
            <w:tcBorders>
              <w:top w:val="single" w:color="000000" w:sz="4" w:space="0"/>
              <w:left w:val="single" w:color="auto" w:sz="4" w:space="0"/>
              <w:bottom w:val="single" w:color="000000" w:sz="4" w:space="0"/>
              <w:right w:val="single" w:color="000000" w:sz="4" w:space="0"/>
            </w:tcBorders>
            <w:shd w:val="clear" w:color="auto" w:fill="auto"/>
            <w:vAlign w:val="center"/>
          </w:tcPr>
          <w:p w14:paraId="51FC5370">
            <w:pPr>
              <w:widowControl/>
              <w:overflowPunct w:val="0"/>
              <w:adjustRightInd w:val="0"/>
              <w:snapToGrid w:val="0"/>
              <w:spacing w:line="240" w:lineRule="atLeast"/>
              <w:jc w:val="center"/>
              <w:rPr>
                <w:rFonts w:ascii="楷体" w:hAnsi="楷体" w:eastAsia="楷体" w:cs="楷体"/>
                <w:kern w:val="2"/>
                <w:sz w:val="24"/>
                <w:szCs w:val="24"/>
                <w:lang w:val="en-US" w:eastAsia="zh-CN" w:bidi="ar-SA"/>
              </w:rPr>
            </w:pPr>
            <w:r>
              <w:rPr>
                <w:rFonts w:hint="eastAsia" w:ascii="楷体" w:hAnsi="楷体" w:eastAsia="楷体" w:cs="楷体"/>
                <w:sz w:val="24"/>
              </w:rPr>
              <w:t>2.5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0AED">
            <w:pPr>
              <w:widowControl/>
              <w:overflowPunct w:val="0"/>
              <w:adjustRightInd w:val="0"/>
              <w:snapToGrid w:val="0"/>
              <w:spacing w:line="240" w:lineRule="atLeast"/>
              <w:jc w:val="center"/>
              <w:rPr>
                <w:rFonts w:ascii="楷体" w:hAnsi="楷体" w:eastAsia="楷体" w:cs="楷体"/>
                <w:kern w:val="2"/>
                <w:sz w:val="24"/>
                <w:szCs w:val="24"/>
                <w:lang w:val="en-US" w:eastAsia="zh-CN" w:bidi="ar-SA"/>
              </w:rPr>
            </w:pPr>
            <w:r>
              <w:rPr>
                <w:rFonts w:hint="eastAsia" w:ascii="楷体" w:hAnsi="楷体" w:eastAsia="楷体" w:cs="楷体"/>
                <w:sz w:val="24"/>
              </w:rPr>
              <w:t>3</w:t>
            </w:r>
          </w:p>
        </w:tc>
        <w:tc>
          <w:tcPr>
            <w:tcW w:w="1425" w:type="dxa"/>
            <w:tcBorders>
              <w:top w:val="single" w:color="000000" w:sz="4" w:space="0"/>
              <w:left w:val="single" w:color="auto" w:sz="4" w:space="0"/>
              <w:bottom w:val="single" w:color="000000" w:sz="4" w:space="0"/>
              <w:right w:val="single" w:color="000000" w:sz="4" w:space="0"/>
            </w:tcBorders>
            <w:shd w:val="clear" w:color="auto" w:fill="auto"/>
            <w:vAlign w:val="center"/>
          </w:tcPr>
          <w:p w14:paraId="45CDC2BC">
            <w:pPr>
              <w:widowControl/>
              <w:overflowPunct w:val="0"/>
              <w:adjustRightInd w:val="0"/>
              <w:snapToGrid w:val="0"/>
              <w:spacing w:line="240" w:lineRule="atLeast"/>
              <w:jc w:val="center"/>
              <w:textAlignment w:val="top"/>
              <w:rPr>
                <w:rFonts w:ascii="楷体" w:hAnsi="楷体" w:eastAsia="楷体" w:cs="楷体"/>
                <w:sz w:val="24"/>
                <w:szCs w:val="24"/>
                <w:lang w:val="en-US" w:eastAsia="zh-CN" w:bidi="ar-SA"/>
              </w:rPr>
            </w:pPr>
            <w:r>
              <w:rPr>
                <w:rFonts w:hint="eastAsia" w:ascii="楷体" w:hAnsi="楷体" w:eastAsia="楷体" w:cs="楷体"/>
                <w:sz w:val="24"/>
              </w:rPr>
              <w:t>10</w:t>
            </w:r>
          </w:p>
        </w:tc>
      </w:tr>
      <w:tr w14:paraId="1182195E">
        <w:tblPrEx>
          <w:tblCellMar>
            <w:top w:w="0" w:type="dxa"/>
            <w:left w:w="108" w:type="dxa"/>
            <w:bottom w:w="0" w:type="dxa"/>
            <w:right w:w="108" w:type="dxa"/>
          </w:tblCellMar>
        </w:tblPrEx>
        <w:trPr>
          <w:trHeight w:val="567" w:hRule="atLeast"/>
          <w:jc w:val="center"/>
        </w:trPr>
        <w:tc>
          <w:tcPr>
            <w:tcW w:w="856" w:type="dxa"/>
            <w:vMerge w:val="continue"/>
            <w:tcBorders>
              <w:left w:val="single" w:color="000000" w:sz="4" w:space="0"/>
              <w:bottom w:val="single" w:color="000000" w:sz="4" w:space="0"/>
              <w:right w:val="single" w:color="000000" w:sz="4" w:space="0"/>
            </w:tcBorders>
            <w:vAlign w:val="center"/>
          </w:tcPr>
          <w:p w14:paraId="4B982166">
            <w:pPr>
              <w:widowControl/>
              <w:overflowPunct w:val="0"/>
              <w:adjustRightInd w:val="0"/>
              <w:snapToGrid w:val="0"/>
              <w:spacing w:line="240" w:lineRule="atLeast"/>
              <w:jc w:val="center"/>
              <w:textAlignment w:val="top"/>
              <w:rPr>
                <w:rFonts w:hint="eastAsia" w:ascii="楷体" w:hAnsi="楷体" w:eastAsia="楷体" w:cs="楷体"/>
                <w:sz w:val="24"/>
              </w:rPr>
            </w:pPr>
          </w:p>
        </w:tc>
        <w:tc>
          <w:tcPr>
            <w:tcW w:w="1411" w:type="dxa"/>
            <w:vMerge w:val="continue"/>
            <w:tcBorders>
              <w:left w:val="single" w:color="000000" w:sz="4" w:space="0"/>
              <w:bottom w:val="single" w:color="000000" w:sz="4" w:space="0"/>
              <w:right w:val="single" w:color="000000" w:sz="4" w:space="0"/>
            </w:tcBorders>
            <w:vAlign w:val="center"/>
          </w:tcPr>
          <w:p w14:paraId="669B3139">
            <w:pPr>
              <w:widowControl/>
              <w:overflowPunct/>
              <w:adjustRightInd w:val="0"/>
              <w:snapToGrid w:val="0"/>
              <w:spacing w:line="240" w:lineRule="atLeast"/>
              <w:jc w:val="center"/>
              <w:rPr>
                <w:rFonts w:hint="default" w:ascii="楷体" w:hAnsi="楷体" w:eastAsia="楷体" w:cs="楷体"/>
                <w:sz w:val="24"/>
                <w:lang w:val="en-US" w:eastAsia="zh-CN"/>
              </w:rPr>
            </w:pPr>
          </w:p>
        </w:tc>
        <w:tc>
          <w:tcPr>
            <w:tcW w:w="5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090D">
            <w:pPr>
              <w:widowControl/>
              <w:overflowPunct w:val="0"/>
              <w:adjustRightInd w:val="0"/>
              <w:snapToGrid w:val="0"/>
              <w:spacing w:line="240" w:lineRule="atLeast"/>
              <w:jc w:val="left"/>
              <w:textAlignment w:val="top"/>
              <w:rPr>
                <w:rFonts w:hint="eastAsia" w:ascii="楷体" w:hAnsi="楷体" w:eastAsia="楷体" w:cs="楷体"/>
                <w:sz w:val="24"/>
                <w:lang w:eastAsia="zh-CN"/>
              </w:rPr>
            </w:pPr>
            <w:r>
              <w:rPr>
                <w:rFonts w:hint="eastAsia" w:ascii="楷体" w:hAnsi="楷体" w:eastAsia="楷体" w:cs="楷体"/>
                <w:sz w:val="24"/>
              </w:rPr>
              <w:t>年度不少于30%的在孵企业营业收入或研发经费投入同比增</w:t>
            </w:r>
            <w:r>
              <w:rPr>
                <w:rFonts w:hint="eastAsia" w:ascii="楷体" w:hAnsi="楷体" w:eastAsia="楷体" w:cs="楷体"/>
                <w:sz w:val="24"/>
                <w:lang w:val="en-US" w:eastAsia="zh-CN"/>
              </w:rPr>
              <w:t>幅（%）</w:t>
            </w:r>
          </w:p>
        </w:tc>
        <w:tc>
          <w:tcPr>
            <w:tcW w:w="1364" w:type="dxa"/>
            <w:tcBorders>
              <w:top w:val="single" w:color="000000" w:sz="4" w:space="0"/>
              <w:left w:val="single" w:color="000000" w:sz="4" w:space="0"/>
              <w:bottom w:val="single" w:color="000000" w:sz="4" w:space="0"/>
              <w:right w:val="single" w:color="auto" w:sz="4" w:space="0"/>
            </w:tcBorders>
            <w:shd w:val="clear" w:color="auto" w:fill="auto"/>
            <w:vAlign w:val="center"/>
          </w:tcPr>
          <w:p w14:paraId="3696AACF">
            <w:pPr>
              <w:widowControl/>
              <w:overflowPunct w:val="0"/>
              <w:adjustRightInd w:val="0"/>
              <w:snapToGrid w:val="0"/>
              <w:spacing w:line="240" w:lineRule="atLeast"/>
              <w:jc w:val="center"/>
              <w:rPr>
                <w:rFonts w:hint="default" w:ascii="楷体" w:hAnsi="楷体" w:eastAsia="楷体" w:cs="楷体"/>
                <w:sz w:val="24"/>
                <w:lang w:val="en-US" w:eastAsia="zh-CN"/>
              </w:rPr>
            </w:pPr>
            <w:r>
              <w:rPr>
                <w:rFonts w:hint="eastAsia" w:ascii="楷体" w:hAnsi="楷体" w:eastAsia="楷体" w:cs="楷体"/>
                <w:sz w:val="24"/>
                <w:lang w:val="en-US" w:eastAsia="zh-CN"/>
              </w:rPr>
              <w:t>10</w:t>
            </w:r>
          </w:p>
        </w:tc>
        <w:tc>
          <w:tcPr>
            <w:tcW w:w="1553" w:type="dxa"/>
            <w:tcBorders>
              <w:top w:val="single" w:color="000000" w:sz="4" w:space="0"/>
              <w:left w:val="single" w:color="auto" w:sz="4" w:space="0"/>
              <w:bottom w:val="single" w:color="000000" w:sz="4" w:space="0"/>
              <w:right w:val="single" w:color="000000" w:sz="4" w:space="0"/>
            </w:tcBorders>
            <w:shd w:val="clear" w:color="auto" w:fill="auto"/>
            <w:vAlign w:val="center"/>
          </w:tcPr>
          <w:p w14:paraId="1A088D21">
            <w:pPr>
              <w:widowControl/>
              <w:overflowPunct w:val="0"/>
              <w:adjustRightInd w:val="0"/>
              <w:snapToGrid w:val="0"/>
              <w:spacing w:line="240" w:lineRule="atLeast"/>
              <w:jc w:val="center"/>
              <w:rPr>
                <w:rFonts w:hint="default" w:ascii="楷体" w:hAnsi="楷体" w:eastAsia="楷体" w:cs="楷体"/>
                <w:sz w:val="24"/>
                <w:lang w:val="en-US" w:eastAsia="zh-CN"/>
              </w:rPr>
            </w:pPr>
            <w:r>
              <w:rPr>
                <w:rFonts w:hint="eastAsia" w:ascii="楷体" w:hAnsi="楷体" w:eastAsia="楷体" w:cs="楷体"/>
                <w:sz w:val="24"/>
                <w:lang w:val="en-US" w:eastAsia="zh-CN"/>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C36B">
            <w:pPr>
              <w:widowControl/>
              <w:overflowPunct w:val="0"/>
              <w:adjustRightInd w:val="0"/>
              <w:snapToGrid w:val="0"/>
              <w:spacing w:line="240" w:lineRule="atLeast"/>
              <w:jc w:val="center"/>
              <w:rPr>
                <w:rFonts w:hint="default" w:ascii="楷体" w:hAnsi="楷体" w:eastAsia="楷体" w:cs="楷体"/>
                <w:sz w:val="24"/>
                <w:lang w:val="en-US" w:eastAsia="zh-CN"/>
              </w:rPr>
            </w:pPr>
            <w:r>
              <w:rPr>
                <w:rFonts w:hint="eastAsia" w:ascii="楷体" w:hAnsi="楷体" w:eastAsia="楷体" w:cs="楷体"/>
                <w:sz w:val="24"/>
                <w:lang w:val="en-US" w:eastAsia="zh-CN"/>
              </w:rPr>
              <w:t>20</w:t>
            </w:r>
          </w:p>
        </w:tc>
        <w:tc>
          <w:tcPr>
            <w:tcW w:w="1425" w:type="dxa"/>
            <w:tcBorders>
              <w:top w:val="single" w:color="000000" w:sz="4" w:space="0"/>
              <w:left w:val="single" w:color="auto" w:sz="4" w:space="0"/>
              <w:bottom w:val="single" w:color="000000" w:sz="4" w:space="0"/>
              <w:right w:val="single" w:color="000000" w:sz="4" w:space="0"/>
            </w:tcBorders>
            <w:shd w:val="clear" w:color="auto" w:fill="auto"/>
            <w:vAlign w:val="center"/>
          </w:tcPr>
          <w:p w14:paraId="44464AE0">
            <w:pPr>
              <w:widowControl/>
              <w:overflowPunct w:val="0"/>
              <w:adjustRightInd w:val="0"/>
              <w:snapToGrid w:val="0"/>
              <w:spacing w:line="240" w:lineRule="atLeast"/>
              <w:jc w:val="center"/>
              <w:textAlignment w:val="top"/>
              <w:rPr>
                <w:rFonts w:hint="default" w:ascii="楷体" w:hAnsi="楷体" w:eastAsia="楷体" w:cs="楷体"/>
                <w:sz w:val="24"/>
                <w:lang w:val="en-US" w:eastAsia="zh-CN"/>
              </w:rPr>
            </w:pPr>
            <w:r>
              <w:rPr>
                <w:rFonts w:hint="eastAsia" w:ascii="楷体" w:hAnsi="楷体" w:eastAsia="楷体" w:cs="楷体"/>
                <w:sz w:val="24"/>
                <w:lang w:val="en-US" w:eastAsia="zh-CN"/>
              </w:rPr>
              <w:t>10</w:t>
            </w:r>
          </w:p>
        </w:tc>
      </w:tr>
    </w:tbl>
    <w:p w14:paraId="7FDA00BB">
      <w:pPr>
        <w:adjustRightInd w:val="0"/>
        <w:snapToGrid w:val="0"/>
        <w:spacing w:line="500" w:lineRule="exact"/>
        <w:rPr>
          <w:rFonts w:ascii="楷体" w:hAnsi="楷体" w:eastAsia="楷体" w:cs="楷体"/>
          <w:b/>
          <w:bCs/>
          <w:sz w:val="28"/>
          <w:szCs w:val="28"/>
        </w:rPr>
      </w:pPr>
    </w:p>
    <w:p w14:paraId="733A6588">
      <w:pPr>
        <w:spacing w:after="62" w:afterLines="20" w:line="560" w:lineRule="exact"/>
        <w:jc w:val="center"/>
        <w:rPr>
          <w:rFonts w:hint="eastAsia" w:ascii="楷体" w:hAnsi="楷体" w:eastAsia="楷体" w:cs="楷体"/>
          <w:b/>
          <w:bCs/>
          <w:sz w:val="32"/>
          <w:szCs w:val="48"/>
        </w:rPr>
      </w:pPr>
      <w:r>
        <w:rPr>
          <w:rFonts w:hint="eastAsia" w:ascii="楷体" w:hAnsi="楷体" w:eastAsia="楷体" w:cs="楷体"/>
          <w:b/>
          <w:bCs/>
          <w:sz w:val="32"/>
          <w:szCs w:val="48"/>
        </w:rPr>
        <w:t>表</w:t>
      </w:r>
      <w:r>
        <w:rPr>
          <w:rFonts w:hint="eastAsia" w:ascii="楷体" w:hAnsi="楷体" w:eastAsia="楷体" w:cs="楷体"/>
          <w:b/>
          <w:bCs/>
          <w:sz w:val="32"/>
          <w:szCs w:val="48"/>
          <w:lang w:val="en-US" w:eastAsia="zh-CN"/>
        </w:rPr>
        <w:t>3</w:t>
      </w:r>
      <w:r>
        <w:rPr>
          <w:rFonts w:hint="eastAsia" w:ascii="楷体" w:hAnsi="楷体" w:eastAsia="楷体" w:cs="楷体"/>
          <w:b/>
          <w:bCs/>
          <w:sz w:val="32"/>
          <w:szCs w:val="48"/>
        </w:rPr>
        <w:t xml:space="preserve"> 年度附加分值表</w:t>
      </w:r>
    </w:p>
    <w:tbl>
      <w:tblPr>
        <w:tblStyle w:val="3"/>
        <w:tblW w:w="13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4272"/>
        <w:gridCol w:w="2745"/>
        <w:gridCol w:w="1527"/>
        <w:gridCol w:w="1419"/>
        <w:gridCol w:w="2216"/>
      </w:tblGrid>
      <w:tr w14:paraId="7ED7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blHeader/>
          <w:jc w:val="center"/>
        </w:trPr>
        <w:tc>
          <w:tcPr>
            <w:tcW w:w="986" w:type="dxa"/>
            <w:shd w:val="clear" w:color="auto" w:fill="auto"/>
            <w:vAlign w:val="center"/>
          </w:tcPr>
          <w:p w14:paraId="63465DBF">
            <w:pPr>
              <w:spacing w:line="300" w:lineRule="exact"/>
              <w:jc w:val="center"/>
              <w:rPr>
                <w:rFonts w:ascii="楷体" w:hAnsi="楷体" w:eastAsia="楷体" w:cs="楷体"/>
                <w:szCs w:val="28"/>
              </w:rPr>
            </w:pPr>
            <w:r>
              <w:rPr>
                <w:rFonts w:hint="eastAsia" w:ascii="楷体" w:hAnsi="楷体" w:eastAsia="楷体" w:cs="楷体"/>
                <w:szCs w:val="28"/>
              </w:rPr>
              <w:t>序号</w:t>
            </w:r>
          </w:p>
        </w:tc>
        <w:tc>
          <w:tcPr>
            <w:tcW w:w="4272" w:type="dxa"/>
            <w:shd w:val="clear" w:color="auto" w:fill="auto"/>
            <w:vAlign w:val="center"/>
          </w:tcPr>
          <w:p w14:paraId="2540E066">
            <w:pPr>
              <w:spacing w:line="300" w:lineRule="exact"/>
              <w:jc w:val="center"/>
              <w:rPr>
                <w:rFonts w:ascii="楷体" w:hAnsi="楷体" w:eastAsia="楷体" w:cs="楷体"/>
                <w:szCs w:val="28"/>
              </w:rPr>
            </w:pPr>
            <w:r>
              <w:rPr>
                <w:rFonts w:hint="eastAsia" w:ascii="楷体" w:hAnsi="楷体" w:eastAsia="楷体" w:cs="楷体"/>
                <w:szCs w:val="28"/>
              </w:rPr>
              <w:t>加分类别</w:t>
            </w:r>
          </w:p>
        </w:tc>
        <w:tc>
          <w:tcPr>
            <w:tcW w:w="4272" w:type="dxa"/>
            <w:gridSpan w:val="2"/>
            <w:shd w:val="clear" w:color="auto" w:fill="auto"/>
            <w:vAlign w:val="center"/>
          </w:tcPr>
          <w:p w14:paraId="4F170A90">
            <w:pPr>
              <w:spacing w:line="300" w:lineRule="exact"/>
              <w:jc w:val="center"/>
              <w:rPr>
                <w:rFonts w:ascii="楷体" w:hAnsi="楷体" w:eastAsia="楷体" w:cs="楷体"/>
                <w:szCs w:val="28"/>
              </w:rPr>
            </w:pPr>
            <w:r>
              <w:rPr>
                <w:rFonts w:hint="eastAsia" w:ascii="楷体" w:hAnsi="楷体" w:eastAsia="楷体" w:cs="楷体"/>
                <w:szCs w:val="28"/>
              </w:rPr>
              <w:t>加分项</w:t>
            </w:r>
          </w:p>
        </w:tc>
        <w:tc>
          <w:tcPr>
            <w:tcW w:w="1419" w:type="dxa"/>
            <w:shd w:val="clear" w:color="auto" w:fill="auto"/>
            <w:vAlign w:val="center"/>
          </w:tcPr>
          <w:p w14:paraId="7C71B957">
            <w:pPr>
              <w:spacing w:line="300" w:lineRule="exact"/>
              <w:jc w:val="center"/>
              <w:rPr>
                <w:rFonts w:ascii="楷体" w:hAnsi="楷体" w:eastAsia="楷体" w:cs="楷体"/>
                <w:szCs w:val="28"/>
              </w:rPr>
            </w:pPr>
            <w:r>
              <w:rPr>
                <w:rFonts w:hint="eastAsia" w:ascii="楷体" w:hAnsi="楷体" w:eastAsia="楷体" w:cs="楷体"/>
                <w:szCs w:val="28"/>
              </w:rPr>
              <w:t>分值</w:t>
            </w:r>
          </w:p>
        </w:tc>
        <w:tc>
          <w:tcPr>
            <w:tcW w:w="2216" w:type="dxa"/>
            <w:shd w:val="clear" w:color="auto" w:fill="auto"/>
            <w:vAlign w:val="center"/>
          </w:tcPr>
          <w:p w14:paraId="429761CC">
            <w:pPr>
              <w:spacing w:line="300" w:lineRule="exact"/>
              <w:jc w:val="center"/>
              <w:rPr>
                <w:rFonts w:ascii="楷体" w:hAnsi="楷体" w:eastAsia="楷体" w:cs="楷体"/>
                <w:szCs w:val="28"/>
              </w:rPr>
            </w:pPr>
            <w:r>
              <w:rPr>
                <w:rFonts w:hint="eastAsia" w:ascii="楷体" w:hAnsi="楷体" w:eastAsia="楷体" w:cs="楷体"/>
                <w:szCs w:val="28"/>
              </w:rPr>
              <w:t>备注</w:t>
            </w:r>
          </w:p>
        </w:tc>
      </w:tr>
      <w:tr w14:paraId="2088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86" w:type="dxa"/>
            <w:vMerge w:val="restart"/>
            <w:shd w:val="clear" w:color="auto" w:fill="auto"/>
            <w:vAlign w:val="center"/>
          </w:tcPr>
          <w:p w14:paraId="6FE9D547">
            <w:pPr>
              <w:spacing w:line="300" w:lineRule="exact"/>
              <w:jc w:val="center"/>
              <w:rPr>
                <w:rFonts w:hint="eastAsia" w:ascii="楷体" w:hAnsi="楷体" w:eastAsia="楷体" w:cs="楷体"/>
                <w:szCs w:val="28"/>
                <w:lang w:eastAsia="zh-CN"/>
              </w:rPr>
            </w:pPr>
            <w:r>
              <w:rPr>
                <w:rFonts w:hint="eastAsia" w:ascii="楷体" w:hAnsi="楷体" w:eastAsia="楷体" w:cs="楷体"/>
                <w:sz w:val="21"/>
                <w:szCs w:val="28"/>
                <w:lang w:val="en-US" w:eastAsia="zh-CN"/>
              </w:rPr>
              <w:t>1</w:t>
            </w:r>
          </w:p>
        </w:tc>
        <w:tc>
          <w:tcPr>
            <w:tcW w:w="4272" w:type="dxa"/>
            <w:vMerge w:val="restart"/>
            <w:shd w:val="clear" w:color="auto" w:fill="auto"/>
            <w:vAlign w:val="center"/>
          </w:tcPr>
          <w:p w14:paraId="36AC9757">
            <w:pPr>
              <w:spacing w:line="300" w:lineRule="exact"/>
              <w:jc w:val="center"/>
              <w:rPr>
                <w:rFonts w:ascii="楷体" w:hAnsi="楷体" w:eastAsia="楷体" w:cs="楷体"/>
                <w:szCs w:val="28"/>
              </w:rPr>
            </w:pPr>
            <w:r>
              <w:rPr>
                <w:rFonts w:hint="eastAsia" w:ascii="楷体" w:hAnsi="楷体" w:eastAsia="楷体" w:cs="楷体"/>
                <w:szCs w:val="28"/>
              </w:rPr>
              <w:t>经济活动建设</w:t>
            </w:r>
          </w:p>
        </w:tc>
        <w:tc>
          <w:tcPr>
            <w:tcW w:w="2745" w:type="dxa"/>
            <w:vMerge w:val="restart"/>
            <w:shd w:val="clear" w:color="auto" w:fill="auto"/>
            <w:vAlign w:val="center"/>
          </w:tcPr>
          <w:p w14:paraId="2AE9895E">
            <w:pPr>
              <w:spacing w:line="300" w:lineRule="exact"/>
              <w:jc w:val="center"/>
              <w:rPr>
                <w:rFonts w:ascii="楷体" w:hAnsi="楷体" w:eastAsia="楷体" w:cs="楷体"/>
                <w:color w:val="auto"/>
                <w:szCs w:val="28"/>
              </w:rPr>
            </w:pPr>
            <w:r>
              <w:rPr>
                <w:rFonts w:hint="eastAsia" w:ascii="楷体" w:hAnsi="楷体" w:eastAsia="楷体" w:cs="楷体"/>
                <w:color w:val="auto"/>
                <w:szCs w:val="28"/>
              </w:rPr>
              <w:t>单一在孵企业当年纳税额</w:t>
            </w:r>
          </w:p>
        </w:tc>
        <w:tc>
          <w:tcPr>
            <w:tcW w:w="1527" w:type="dxa"/>
            <w:shd w:val="clear" w:color="auto" w:fill="auto"/>
            <w:vAlign w:val="center"/>
          </w:tcPr>
          <w:p w14:paraId="7242893F">
            <w:pPr>
              <w:numPr>
                <w:ilvl w:val="0"/>
                <w:numId w:val="0"/>
              </w:numPr>
              <w:spacing w:line="240" w:lineRule="auto"/>
              <w:jc w:val="center"/>
              <w:rPr>
                <w:rFonts w:hint="eastAsia" w:ascii="楷体" w:hAnsi="楷体" w:eastAsia="楷体" w:cs="楷体"/>
                <w:b w:val="0"/>
                <w:bCs w:val="0"/>
                <w:color w:val="auto"/>
                <w:sz w:val="21"/>
                <w:szCs w:val="21"/>
                <w:highlight w:val="none"/>
                <w:lang w:val="en-US" w:eastAsia="zh-CN"/>
              </w:rPr>
            </w:pPr>
            <w:r>
              <w:rPr>
                <w:rFonts w:hint="eastAsia" w:ascii="楷体" w:hAnsi="楷体" w:eastAsia="楷体" w:cs="楷体"/>
                <w:b w:val="0"/>
                <w:bCs w:val="0"/>
                <w:color w:val="auto"/>
                <w:sz w:val="21"/>
                <w:szCs w:val="21"/>
                <w:highlight w:val="none"/>
                <w:lang w:val="en-US" w:eastAsia="zh-CN"/>
              </w:rPr>
              <w:t>100万元</w:t>
            </w:r>
          </w:p>
        </w:tc>
        <w:tc>
          <w:tcPr>
            <w:tcW w:w="1419" w:type="dxa"/>
            <w:shd w:val="clear" w:color="auto" w:fill="auto"/>
            <w:vAlign w:val="center"/>
          </w:tcPr>
          <w:p w14:paraId="09526D1B">
            <w:pPr>
              <w:spacing w:line="300" w:lineRule="exact"/>
              <w:jc w:val="center"/>
              <w:rPr>
                <w:rFonts w:ascii="楷体" w:hAnsi="楷体" w:eastAsia="楷体" w:cs="楷体"/>
                <w:color w:val="000000"/>
                <w:szCs w:val="28"/>
              </w:rPr>
            </w:pPr>
            <w:r>
              <w:rPr>
                <w:rFonts w:hint="eastAsia" w:ascii="楷体" w:hAnsi="楷体" w:eastAsia="楷体" w:cs="楷体"/>
                <w:color w:val="000000"/>
                <w:szCs w:val="28"/>
              </w:rPr>
              <w:t>1分/家</w:t>
            </w:r>
          </w:p>
        </w:tc>
        <w:tc>
          <w:tcPr>
            <w:tcW w:w="2216" w:type="dxa"/>
            <w:shd w:val="clear" w:color="auto" w:fill="auto"/>
            <w:vAlign w:val="center"/>
          </w:tcPr>
          <w:p w14:paraId="3B77D2DB">
            <w:pPr>
              <w:spacing w:line="300" w:lineRule="exact"/>
              <w:jc w:val="center"/>
              <w:rPr>
                <w:rFonts w:ascii="楷体" w:hAnsi="楷体" w:eastAsia="楷体" w:cs="楷体"/>
                <w:szCs w:val="28"/>
              </w:rPr>
            </w:pPr>
            <w:r>
              <w:rPr>
                <w:rFonts w:hint="eastAsia" w:ascii="楷体" w:hAnsi="楷体" w:eastAsia="楷体" w:cs="楷体"/>
                <w:szCs w:val="28"/>
              </w:rPr>
              <w:t>该项加分不超过3分</w:t>
            </w:r>
          </w:p>
        </w:tc>
      </w:tr>
      <w:tr w14:paraId="44C3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86" w:type="dxa"/>
            <w:vMerge w:val="continue"/>
            <w:shd w:val="clear" w:color="auto" w:fill="auto"/>
            <w:vAlign w:val="center"/>
          </w:tcPr>
          <w:p w14:paraId="6A455994">
            <w:pPr>
              <w:spacing w:line="300" w:lineRule="exact"/>
              <w:jc w:val="center"/>
              <w:rPr>
                <w:rFonts w:ascii="楷体" w:hAnsi="楷体" w:eastAsia="楷体" w:cs="楷体"/>
                <w:szCs w:val="28"/>
              </w:rPr>
            </w:pPr>
          </w:p>
        </w:tc>
        <w:tc>
          <w:tcPr>
            <w:tcW w:w="4272" w:type="dxa"/>
            <w:vMerge w:val="continue"/>
            <w:shd w:val="clear" w:color="auto" w:fill="auto"/>
            <w:vAlign w:val="center"/>
          </w:tcPr>
          <w:p w14:paraId="4C28E150">
            <w:pPr>
              <w:spacing w:line="300" w:lineRule="exact"/>
              <w:jc w:val="center"/>
              <w:rPr>
                <w:rFonts w:ascii="楷体" w:hAnsi="楷体" w:eastAsia="楷体" w:cs="楷体"/>
                <w:szCs w:val="28"/>
              </w:rPr>
            </w:pPr>
          </w:p>
        </w:tc>
        <w:tc>
          <w:tcPr>
            <w:tcW w:w="2745" w:type="dxa"/>
            <w:vMerge w:val="continue"/>
            <w:shd w:val="clear" w:color="auto" w:fill="auto"/>
            <w:vAlign w:val="center"/>
          </w:tcPr>
          <w:p w14:paraId="5BA65848">
            <w:pPr>
              <w:spacing w:line="300" w:lineRule="exact"/>
              <w:jc w:val="center"/>
              <w:rPr>
                <w:rFonts w:ascii="楷体" w:hAnsi="楷体" w:eastAsia="楷体" w:cs="楷体"/>
                <w:color w:val="auto"/>
                <w:szCs w:val="28"/>
              </w:rPr>
            </w:pPr>
          </w:p>
        </w:tc>
        <w:tc>
          <w:tcPr>
            <w:tcW w:w="1527" w:type="dxa"/>
            <w:shd w:val="clear" w:color="auto" w:fill="auto"/>
            <w:vAlign w:val="center"/>
          </w:tcPr>
          <w:p w14:paraId="136F7E48">
            <w:pPr>
              <w:numPr>
                <w:ilvl w:val="0"/>
                <w:numId w:val="0"/>
              </w:numPr>
              <w:spacing w:line="240" w:lineRule="auto"/>
              <w:jc w:val="center"/>
              <w:rPr>
                <w:rFonts w:hint="eastAsia" w:ascii="楷体" w:hAnsi="楷体" w:eastAsia="楷体" w:cs="楷体"/>
                <w:b w:val="0"/>
                <w:bCs w:val="0"/>
                <w:color w:val="auto"/>
                <w:sz w:val="21"/>
                <w:szCs w:val="21"/>
                <w:highlight w:val="none"/>
                <w:lang w:val="en-US" w:eastAsia="zh-CN"/>
              </w:rPr>
            </w:pPr>
            <w:r>
              <w:rPr>
                <w:rFonts w:hint="eastAsia" w:ascii="楷体" w:hAnsi="楷体" w:eastAsia="楷体" w:cs="楷体"/>
                <w:b w:val="0"/>
                <w:bCs w:val="0"/>
                <w:color w:val="auto"/>
                <w:sz w:val="21"/>
                <w:szCs w:val="21"/>
                <w:highlight w:val="none"/>
                <w:lang w:val="en-US" w:eastAsia="zh-CN"/>
              </w:rPr>
              <w:t>300万元</w:t>
            </w:r>
          </w:p>
        </w:tc>
        <w:tc>
          <w:tcPr>
            <w:tcW w:w="1419" w:type="dxa"/>
            <w:shd w:val="clear" w:color="auto" w:fill="auto"/>
            <w:vAlign w:val="center"/>
          </w:tcPr>
          <w:p w14:paraId="001A58B2">
            <w:pPr>
              <w:spacing w:line="300" w:lineRule="exact"/>
              <w:jc w:val="center"/>
              <w:rPr>
                <w:rFonts w:ascii="楷体" w:hAnsi="楷体" w:eastAsia="楷体" w:cs="楷体"/>
                <w:color w:val="000000"/>
                <w:szCs w:val="28"/>
              </w:rPr>
            </w:pPr>
            <w:r>
              <w:rPr>
                <w:rFonts w:hint="eastAsia" w:ascii="楷体" w:hAnsi="楷体" w:eastAsia="楷体" w:cs="楷体"/>
                <w:color w:val="000000"/>
                <w:szCs w:val="28"/>
              </w:rPr>
              <w:t>3分/家</w:t>
            </w:r>
          </w:p>
        </w:tc>
        <w:tc>
          <w:tcPr>
            <w:tcW w:w="2216" w:type="dxa"/>
            <w:shd w:val="clear" w:color="auto" w:fill="auto"/>
            <w:vAlign w:val="center"/>
          </w:tcPr>
          <w:p w14:paraId="2F9E3B5B">
            <w:pPr>
              <w:spacing w:line="300" w:lineRule="exact"/>
              <w:jc w:val="center"/>
              <w:rPr>
                <w:rFonts w:ascii="楷体" w:hAnsi="楷体" w:eastAsia="楷体" w:cs="楷体"/>
                <w:szCs w:val="28"/>
              </w:rPr>
            </w:pPr>
            <w:r>
              <w:rPr>
                <w:rFonts w:hint="eastAsia" w:ascii="楷体" w:hAnsi="楷体" w:eastAsia="楷体" w:cs="楷体"/>
                <w:szCs w:val="28"/>
              </w:rPr>
              <w:t>该项加分不超过6分</w:t>
            </w:r>
          </w:p>
        </w:tc>
      </w:tr>
      <w:tr w14:paraId="5319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86" w:type="dxa"/>
            <w:vMerge w:val="continue"/>
            <w:shd w:val="clear" w:color="auto" w:fill="auto"/>
            <w:vAlign w:val="center"/>
          </w:tcPr>
          <w:p w14:paraId="3E9CB353">
            <w:pPr>
              <w:spacing w:line="300" w:lineRule="exact"/>
              <w:jc w:val="center"/>
              <w:rPr>
                <w:rFonts w:ascii="楷体" w:hAnsi="楷体" w:eastAsia="楷体" w:cs="楷体"/>
                <w:szCs w:val="28"/>
              </w:rPr>
            </w:pPr>
          </w:p>
        </w:tc>
        <w:tc>
          <w:tcPr>
            <w:tcW w:w="4272" w:type="dxa"/>
            <w:vMerge w:val="continue"/>
            <w:shd w:val="clear" w:color="auto" w:fill="auto"/>
            <w:vAlign w:val="center"/>
          </w:tcPr>
          <w:p w14:paraId="6A3BD13A">
            <w:pPr>
              <w:spacing w:line="300" w:lineRule="exact"/>
              <w:jc w:val="center"/>
              <w:rPr>
                <w:rFonts w:ascii="楷体" w:hAnsi="楷体" w:eastAsia="楷体" w:cs="楷体"/>
                <w:szCs w:val="28"/>
              </w:rPr>
            </w:pPr>
          </w:p>
        </w:tc>
        <w:tc>
          <w:tcPr>
            <w:tcW w:w="2745" w:type="dxa"/>
            <w:vMerge w:val="continue"/>
            <w:shd w:val="clear" w:color="auto" w:fill="auto"/>
            <w:vAlign w:val="center"/>
          </w:tcPr>
          <w:p w14:paraId="2D507381">
            <w:pPr>
              <w:spacing w:line="300" w:lineRule="exact"/>
              <w:jc w:val="center"/>
              <w:rPr>
                <w:rFonts w:ascii="楷体" w:hAnsi="楷体" w:eastAsia="楷体" w:cs="楷体"/>
                <w:color w:val="auto"/>
                <w:szCs w:val="28"/>
              </w:rPr>
            </w:pPr>
          </w:p>
        </w:tc>
        <w:tc>
          <w:tcPr>
            <w:tcW w:w="1527" w:type="dxa"/>
            <w:shd w:val="clear" w:color="auto" w:fill="auto"/>
            <w:vAlign w:val="center"/>
          </w:tcPr>
          <w:p w14:paraId="36A03982">
            <w:pPr>
              <w:numPr>
                <w:ilvl w:val="0"/>
                <w:numId w:val="0"/>
              </w:numPr>
              <w:spacing w:line="240" w:lineRule="auto"/>
              <w:jc w:val="center"/>
              <w:rPr>
                <w:rFonts w:hint="eastAsia" w:ascii="楷体" w:hAnsi="楷体" w:eastAsia="楷体" w:cs="楷体"/>
                <w:b w:val="0"/>
                <w:bCs w:val="0"/>
                <w:color w:val="auto"/>
                <w:sz w:val="21"/>
                <w:szCs w:val="21"/>
                <w:highlight w:val="none"/>
                <w:lang w:val="en-US" w:eastAsia="zh-CN"/>
              </w:rPr>
            </w:pPr>
            <w:r>
              <w:rPr>
                <w:rFonts w:hint="eastAsia" w:ascii="楷体" w:hAnsi="楷体" w:eastAsia="楷体" w:cs="楷体"/>
                <w:b w:val="0"/>
                <w:bCs w:val="0"/>
                <w:color w:val="auto"/>
                <w:sz w:val="21"/>
                <w:szCs w:val="21"/>
                <w:highlight w:val="none"/>
                <w:lang w:val="en-US" w:eastAsia="zh-CN"/>
              </w:rPr>
              <w:t>500万元</w:t>
            </w:r>
          </w:p>
        </w:tc>
        <w:tc>
          <w:tcPr>
            <w:tcW w:w="1419" w:type="dxa"/>
            <w:shd w:val="clear" w:color="auto" w:fill="auto"/>
            <w:vAlign w:val="center"/>
          </w:tcPr>
          <w:p w14:paraId="1F857571">
            <w:pPr>
              <w:spacing w:line="300" w:lineRule="exact"/>
              <w:jc w:val="center"/>
              <w:rPr>
                <w:rFonts w:ascii="楷体" w:hAnsi="楷体" w:eastAsia="楷体" w:cs="楷体"/>
                <w:color w:val="000000"/>
                <w:szCs w:val="28"/>
              </w:rPr>
            </w:pPr>
            <w:r>
              <w:rPr>
                <w:rFonts w:hint="eastAsia" w:ascii="楷体" w:hAnsi="楷体" w:eastAsia="楷体" w:cs="楷体"/>
                <w:color w:val="000000"/>
                <w:szCs w:val="28"/>
              </w:rPr>
              <w:t>5分/家</w:t>
            </w:r>
          </w:p>
        </w:tc>
        <w:tc>
          <w:tcPr>
            <w:tcW w:w="2216" w:type="dxa"/>
            <w:shd w:val="clear" w:color="auto" w:fill="auto"/>
            <w:vAlign w:val="center"/>
          </w:tcPr>
          <w:p w14:paraId="5D1AF110">
            <w:pPr>
              <w:spacing w:line="300" w:lineRule="exact"/>
              <w:jc w:val="center"/>
              <w:rPr>
                <w:rFonts w:ascii="楷体" w:hAnsi="楷体" w:eastAsia="楷体" w:cs="楷体"/>
                <w:szCs w:val="28"/>
              </w:rPr>
            </w:pPr>
            <w:r>
              <w:rPr>
                <w:rFonts w:hint="eastAsia" w:ascii="楷体" w:hAnsi="楷体" w:eastAsia="楷体" w:cs="楷体"/>
                <w:szCs w:val="28"/>
              </w:rPr>
              <w:t>该项加分不超过10分</w:t>
            </w:r>
          </w:p>
        </w:tc>
      </w:tr>
      <w:tr w14:paraId="4BED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restart"/>
            <w:shd w:val="clear" w:color="auto" w:fill="auto"/>
            <w:vAlign w:val="center"/>
          </w:tcPr>
          <w:p w14:paraId="10F42C75">
            <w:pPr>
              <w:spacing w:line="300" w:lineRule="exact"/>
              <w:jc w:val="center"/>
              <w:rPr>
                <w:rFonts w:hint="eastAsia" w:ascii="楷体" w:hAnsi="楷体" w:eastAsia="楷体" w:cs="楷体"/>
                <w:szCs w:val="28"/>
                <w:lang w:eastAsia="zh-CN"/>
              </w:rPr>
            </w:pPr>
            <w:r>
              <w:rPr>
                <w:rFonts w:hint="eastAsia" w:ascii="楷体" w:hAnsi="楷体" w:eastAsia="楷体" w:cs="楷体"/>
                <w:szCs w:val="28"/>
                <w:lang w:val="en-US" w:eastAsia="zh-CN"/>
              </w:rPr>
              <w:t>2</w:t>
            </w:r>
          </w:p>
        </w:tc>
        <w:tc>
          <w:tcPr>
            <w:tcW w:w="4272" w:type="dxa"/>
            <w:vMerge w:val="restart"/>
            <w:shd w:val="clear" w:color="auto" w:fill="auto"/>
            <w:vAlign w:val="center"/>
          </w:tcPr>
          <w:p w14:paraId="663C28A7">
            <w:pPr>
              <w:spacing w:line="300" w:lineRule="exact"/>
              <w:jc w:val="center"/>
              <w:rPr>
                <w:rFonts w:ascii="楷体" w:hAnsi="楷体" w:eastAsia="楷体" w:cs="楷体"/>
                <w:szCs w:val="28"/>
              </w:rPr>
            </w:pPr>
            <w:r>
              <w:rPr>
                <w:rFonts w:hint="eastAsia" w:ascii="楷体" w:hAnsi="楷体" w:eastAsia="楷体" w:cs="楷体"/>
                <w:szCs w:val="28"/>
              </w:rPr>
              <w:t>载体资质升级</w:t>
            </w:r>
          </w:p>
        </w:tc>
        <w:tc>
          <w:tcPr>
            <w:tcW w:w="4272" w:type="dxa"/>
            <w:gridSpan w:val="2"/>
            <w:shd w:val="clear" w:color="auto" w:fill="auto"/>
            <w:vAlign w:val="center"/>
          </w:tcPr>
          <w:p w14:paraId="0A712C84">
            <w:pPr>
              <w:spacing w:line="300" w:lineRule="exact"/>
              <w:jc w:val="center"/>
              <w:rPr>
                <w:rFonts w:hint="eastAsia" w:ascii="楷体" w:hAnsi="楷体" w:eastAsia="楷体" w:cs="楷体"/>
                <w:color w:val="auto"/>
                <w:sz w:val="21"/>
                <w:szCs w:val="28"/>
                <w:lang w:val="en-US" w:eastAsia="zh-CN" w:bidi="ar-SA"/>
              </w:rPr>
            </w:pPr>
            <w:r>
              <w:rPr>
                <w:rFonts w:hint="eastAsia" w:ascii="楷体" w:hAnsi="楷体" w:eastAsia="楷体" w:cs="楷体"/>
                <w:color w:val="auto"/>
                <w:szCs w:val="28"/>
              </w:rPr>
              <w:t>获批省级相关资质荣誉</w:t>
            </w:r>
          </w:p>
        </w:tc>
        <w:tc>
          <w:tcPr>
            <w:tcW w:w="1419" w:type="dxa"/>
            <w:shd w:val="clear" w:color="auto" w:fill="auto"/>
            <w:vAlign w:val="center"/>
          </w:tcPr>
          <w:p w14:paraId="0883473C">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3</w:t>
            </w:r>
            <w:r>
              <w:rPr>
                <w:rFonts w:hint="eastAsia" w:ascii="楷体" w:hAnsi="楷体" w:eastAsia="楷体" w:cs="楷体"/>
                <w:color w:val="000000"/>
                <w:szCs w:val="28"/>
              </w:rPr>
              <w:t>分</w:t>
            </w:r>
            <w:r>
              <w:rPr>
                <w:rFonts w:hint="eastAsia" w:ascii="楷体" w:hAnsi="楷体" w:eastAsia="楷体" w:cs="楷体"/>
                <w:szCs w:val="28"/>
              </w:rPr>
              <w:t>/个</w:t>
            </w:r>
          </w:p>
        </w:tc>
        <w:tc>
          <w:tcPr>
            <w:tcW w:w="2216" w:type="dxa"/>
            <w:shd w:val="clear" w:color="auto" w:fill="auto"/>
            <w:vAlign w:val="center"/>
          </w:tcPr>
          <w:p w14:paraId="2059727E">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该项加分不超过6分</w:t>
            </w:r>
          </w:p>
        </w:tc>
      </w:tr>
      <w:tr w14:paraId="4A19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continue"/>
            <w:shd w:val="clear" w:color="auto" w:fill="auto"/>
            <w:vAlign w:val="center"/>
          </w:tcPr>
          <w:p w14:paraId="3F674593">
            <w:pPr>
              <w:spacing w:line="300" w:lineRule="exact"/>
              <w:jc w:val="center"/>
              <w:rPr>
                <w:rFonts w:ascii="楷体" w:hAnsi="楷体" w:eastAsia="楷体" w:cs="楷体"/>
                <w:szCs w:val="28"/>
              </w:rPr>
            </w:pPr>
          </w:p>
        </w:tc>
        <w:tc>
          <w:tcPr>
            <w:tcW w:w="4272" w:type="dxa"/>
            <w:vMerge w:val="continue"/>
            <w:shd w:val="clear" w:color="auto" w:fill="auto"/>
            <w:vAlign w:val="center"/>
          </w:tcPr>
          <w:p w14:paraId="2AC02EC7">
            <w:pPr>
              <w:spacing w:line="300" w:lineRule="exact"/>
              <w:jc w:val="center"/>
              <w:rPr>
                <w:rFonts w:ascii="楷体" w:hAnsi="楷体" w:eastAsia="楷体" w:cs="楷体"/>
                <w:sz w:val="21"/>
                <w:szCs w:val="28"/>
                <w:lang w:val="en-US" w:eastAsia="zh-CN" w:bidi="ar-SA"/>
              </w:rPr>
            </w:pPr>
          </w:p>
        </w:tc>
        <w:tc>
          <w:tcPr>
            <w:tcW w:w="4272" w:type="dxa"/>
            <w:gridSpan w:val="2"/>
            <w:shd w:val="clear" w:color="auto" w:fill="auto"/>
            <w:vAlign w:val="center"/>
          </w:tcPr>
          <w:p w14:paraId="0AA14D43">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获批国家级相关资质荣誉</w:t>
            </w:r>
          </w:p>
        </w:tc>
        <w:tc>
          <w:tcPr>
            <w:tcW w:w="1419" w:type="dxa"/>
            <w:shd w:val="clear" w:color="auto" w:fill="auto"/>
            <w:vAlign w:val="center"/>
          </w:tcPr>
          <w:p w14:paraId="76E387C9">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5</w:t>
            </w:r>
            <w:r>
              <w:rPr>
                <w:rFonts w:hint="eastAsia" w:ascii="楷体" w:hAnsi="楷体" w:eastAsia="楷体" w:cs="楷体"/>
                <w:color w:val="000000"/>
                <w:szCs w:val="28"/>
              </w:rPr>
              <w:t>分</w:t>
            </w:r>
            <w:r>
              <w:rPr>
                <w:rFonts w:hint="eastAsia" w:ascii="楷体" w:hAnsi="楷体" w:eastAsia="楷体" w:cs="楷体"/>
                <w:szCs w:val="28"/>
              </w:rPr>
              <w:t>/个</w:t>
            </w:r>
          </w:p>
        </w:tc>
        <w:tc>
          <w:tcPr>
            <w:tcW w:w="2216" w:type="dxa"/>
            <w:shd w:val="clear" w:color="auto" w:fill="auto"/>
            <w:vAlign w:val="center"/>
          </w:tcPr>
          <w:p w14:paraId="4622D201">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该项加分不超过10分</w:t>
            </w:r>
          </w:p>
        </w:tc>
      </w:tr>
      <w:tr w14:paraId="30E5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restart"/>
            <w:shd w:val="clear" w:color="auto" w:fill="auto"/>
            <w:vAlign w:val="center"/>
          </w:tcPr>
          <w:p w14:paraId="705E34F4">
            <w:pPr>
              <w:spacing w:line="300" w:lineRule="exact"/>
              <w:jc w:val="center"/>
              <w:rPr>
                <w:rFonts w:hint="eastAsia" w:ascii="楷体" w:hAnsi="楷体" w:eastAsia="楷体" w:cs="楷体"/>
                <w:szCs w:val="28"/>
                <w:lang w:val="en-US" w:eastAsia="zh-CN"/>
              </w:rPr>
            </w:pPr>
            <w:r>
              <w:rPr>
                <w:rFonts w:hint="eastAsia" w:ascii="楷体" w:hAnsi="楷体" w:eastAsia="楷体" w:cs="楷体"/>
                <w:szCs w:val="28"/>
                <w:lang w:val="en-US" w:eastAsia="zh-CN"/>
              </w:rPr>
              <w:t>3</w:t>
            </w:r>
          </w:p>
        </w:tc>
        <w:tc>
          <w:tcPr>
            <w:tcW w:w="4272" w:type="dxa"/>
            <w:vMerge w:val="restart"/>
            <w:shd w:val="clear" w:color="auto" w:fill="auto"/>
            <w:vAlign w:val="center"/>
          </w:tcPr>
          <w:p w14:paraId="1511A733">
            <w:pPr>
              <w:spacing w:line="300" w:lineRule="exact"/>
              <w:jc w:val="center"/>
              <w:rPr>
                <w:rFonts w:ascii="楷体" w:hAnsi="楷体" w:eastAsia="楷体" w:cs="楷体"/>
                <w:sz w:val="21"/>
                <w:szCs w:val="28"/>
                <w:lang w:val="en-US" w:eastAsia="zh-CN" w:bidi="ar-SA"/>
              </w:rPr>
            </w:pPr>
            <w:r>
              <w:rPr>
                <w:rFonts w:hint="eastAsia" w:ascii="楷体" w:hAnsi="楷体" w:eastAsia="楷体" w:cs="楷体"/>
                <w:sz w:val="21"/>
                <w:szCs w:val="28"/>
                <w:lang w:val="en-US" w:eastAsia="zh-CN" w:bidi="ar-SA"/>
              </w:rPr>
              <w:t>企业孵化质效</w:t>
            </w:r>
          </w:p>
        </w:tc>
        <w:tc>
          <w:tcPr>
            <w:tcW w:w="4272" w:type="dxa"/>
            <w:gridSpan w:val="2"/>
            <w:shd w:val="clear" w:color="auto" w:fill="auto"/>
            <w:vAlign w:val="center"/>
          </w:tcPr>
          <w:p w14:paraId="0EAED1A4">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国内外资本市场挂牌、上市企业</w:t>
            </w:r>
          </w:p>
        </w:tc>
        <w:tc>
          <w:tcPr>
            <w:tcW w:w="1419" w:type="dxa"/>
            <w:shd w:val="clear" w:color="auto" w:fill="auto"/>
            <w:vAlign w:val="center"/>
          </w:tcPr>
          <w:p w14:paraId="26FA943D">
            <w:pPr>
              <w:spacing w:line="300" w:lineRule="exact"/>
              <w:jc w:val="center"/>
              <w:rPr>
                <w:rFonts w:hint="eastAsia" w:ascii="楷体" w:hAnsi="楷体" w:eastAsia="楷体" w:cs="楷体"/>
                <w:color w:val="000000"/>
                <w:sz w:val="21"/>
                <w:szCs w:val="28"/>
                <w:lang w:val="en-US" w:eastAsia="zh-CN" w:bidi="ar-SA"/>
              </w:rPr>
            </w:pPr>
            <w:r>
              <w:rPr>
                <w:rFonts w:hint="eastAsia" w:ascii="楷体" w:hAnsi="楷体" w:eastAsia="楷体" w:cs="楷体"/>
                <w:color w:val="000000"/>
                <w:szCs w:val="28"/>
              </w:rPr>
              <w:t>3分/家</w:t>
            </w:r>
          </w:p>
        </w:tc>
        <w:tc>
          <w:tcPr>
            <w:tcW w:w="2216" w:type="dxa"/>
            <w:shd w:val="clear" w:color="auto" w:fill="auto"/>
            <w:vAlign w:val="center"/>
          </w:tcPr>
          <w:p w14:paraId="420C55CE">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该项加分不超过6分</w:t>
            </w:r>
          </w:p>
        </w:tc>
      </w:tr>
      <w:tr w14:paraId="5DD9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continue"/>
            <w:shd w:val="clear" w:color="auto" w:fill="auto"/>
            <w:vAlign w:val="center"/>
          </w:tcPr>
          <w:p w14:paraId="13DC083D">
            <w:pPr>
              <w:spacing w:line="300" w:lineRule="exact"/>
              <w:jc w:val="center"/>
              <w:rPr>
                <w:rFonts w:hint="eastAsia" w:ascii="楷体" w:hAnsi="楷体" w:eastAsia="楷体" w:cs="楷体"/>
                <w:szCs w:val="28"/>
                <w:lang w:val="en-US" w:eastAsia="zh-CN"/>
              </w:rPr>
            </w:pPr>
          </w:p>
        </w:tc>
        <w:tc>
          <w:tcPr>
            <w:tcW w:w="4272" w:type="dxa"/>
            <w:vMerge w:val="continue"/>
            <w:shd w:val="clear" w:color="auto" w:fill="auto"/>
            <w:vAlign w:val="center"/>
          </w:tcPr>
          <w:p w14:paraId="5AE8F79E">
            <w:pPr>
              <w:spacing w:line="300" w:lineRule="exact"/>
              <w:jc w:val="center"/>
              <w:rPr>
                <w:rFonts w:ascii="楷体" w:hAnsi="楷体" w:eastAsia="楷体" w:cs="楷体"/>
                <w:sz w:val="21"/>
                <w:szCs w:val="28"/>
                <w:lang w:val="en-US" w:eastAsia="zh-CN" w:bidi="ar-SA"/>
              </w:rPr>
            </w:pPr>
          </w:p>
        </w:tc>
        <w:tc>
          <w:tcPr>
            <w:tcW w:w="4272" w:type="dxa"/>
            <w:gridSpan w:val="2"/>
            <w:shd w:val="clear" w:color="auto" w:fill="auto"/>
            <w:vAlign w:val="center"/>
          </w:tcPr>
          <w:p w14:paraId="1562F441">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获批江苏省专精特新中小企业</w:t>
            </w:r>
          </w:p>
        </w:tc>
        <w:tc>
          <w:tcPr>
            <w:tcW w:w="1419" w:type="dxa"/>
            <w:shd w:val="clear" w:color="auto" w:fill="auto"/>
            <w:vAlign w:val="center"/>
          </w:tcPr>
          <w:p w14:paraId="308E2D82">
            <w:pPr>
              <w:spacing w:line="300" w:lineRule="exact"/>
              <w:jc w:val="center"/>
              <w:rPr>
                <w:rFonts w:hint="eastAsia" w:ascii="楷体" w:hAnsi="楷体" w:eastAsia="楷体" w:cs="楷体"/>
                <w:color w:val="000000"/>
                <w:sz w:val="21"/>
                <w:szCs w:val="28"/>
                <w:lang w:val="en-US" w:eastAsia="zh-CN" w:bidi="ar-SA"/>
              </w:rPr>
            </w:pPr>
            <w:r>
              <w:rPr>
                <w:rFonts w:hint="eastAsia" w:ascii="楷体" w:hAnsi="楷体" w:eastAsia="楷体" w:cs="楷体"/>
                <w:color w:val="000000"/>
                <w:szCs w:val="28"/>
              </w:rPr>
              <w:t>3分/家</w:t>
            </w:r>
          </w:p>
        </w:tc>
        <w:tc>
          <w:tcPr>
            <w:tcW w:w="2216" w:type="dxa"/>
            <w:shd w:val="clear" w:color="auto" w:fill="auto"/>
            <w:vAlign w:val="center"/>
          </w:tcPr>
          <w:p w14:paraId="480A9DCD">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该项加分不超过6分</w:t>
            </w:r>
          </w:p>
        </w:tc>
      </w:tr>
      <w:tr w14:paraId="2D70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continue"/>
            <w:shd w:val="clear" w:color="auto" w:fill="auto"/>
            <w:vAlign w:val="center"/>
          </w:tcPr>
          <w:p w14:paraId="1C4CB1B0">
            <w:pPr>
              <w:spacing w:line="300" w:lineRule="exact"/>
              <w:jc w:val="center"/>
              <w:rPr>
                <w:rFonts w:ascii="楷体" w:hAnsi="楷体" w:eastAsia="楷体" w:cs="楷体"/>
                <w:szCs w:val="28"/>
              </w:rPr>
            </w:pPr>
          </w:p>
        </w:tc>
        <w:tc>
          <w:tcPr>
            <w:tcW w:w="4272" w:type="dxa"/>
            <w:vMerge w:val="continue"/>
            <w:shd w:val="clear" w:color="auto" w:fill="auto"/>
            <w:vAlign w:val="center"/>
          </w:tcPr>
          <w:p w14:paraId="7C4048CA">
            <w:pPr>
              <w:spacing w:line="300" w:lineRule="exact"/>
              <w:jc w:val="center"/>
              <w:rPr>
                <w:rFonts w:ascii="楷体" w:hAnsi="楷体" w:eastAsia="楷体" w:cs="楷体"/>
                <w:sz w:val="21"/>
                <w:szCs w:val="28"/>
                <w:lang w:val="en-US" w:eastAsia="zh-CN" w:bidi="ar-SA"/>
              </w:rPr>
            </w:pPr>
          </w:p>
        </w:tc>
        <w:tc>
          <w:tcPr>
            <w:tcW w:w="4272" w:type="dxa"/>
            <w:gridSpan w:val="2"/>
            <w:shd w:val="clear" w:color="auto" w:fill="auto"/>
            <w:vAlign w:val="center"/>
          </w:tcPr>
          <w:p w14:paraId="399F9835">
            <w:pPr>
              <w:spacing w:line="300" w:lineRule="exact"/>
              <w:jc w:val="left"/>
              <w:rPr>
                <w:rFonts w:hint="eastAsia" w:ascii="楷体" w:hAnsi="楷体" w:eastAsia="楷体" w:cs="楷体"/>
                <w:sz w:val="21"/>
                <w:szCs w:val="28"/>
                <w:lang w:val="en-US" w:eastAsia="zh-CN" w:bidi="ar-SA"/>
              </w:rPr>
            </w:pPr>
            <w:r>
              <w:rPr>
                <w:rFonts w:hint="eastAsia" w:ascii="楷体" w:hAnsi="楷体" w:eastAsia="楷体" w:cs="楷体"/>
                <w:szCs w:val="28"/>
              </w:rPr>
              <w:t>获得单笔天使投资或风险投资500万元及以上企业</w:t>
            </w:r>
          </w:p>
        </w:tc>
        <w:tc>
          <w:tcPr>
            <w:tcW w:w="1419" w:type="dxa"/>
            <w:shd w:val="clear" w:color="auto" w:fill="auto"/>
            <w:vAlign w:val="center"/>
          </w:tcPr>
          <w:p w14:paraId="74FB8CCF">
            <w:pPr>
              <w:spacing w:line="300" w:lineRule="exact"/>
              <w:jc w:val="center"/>
              <w:rPr>
                <w:rFonts w:hint="eastAsia" w:ascii="楷体" w:hAnsi="楷体" w:eastAsia="楷体" w:cs="楷体"/>
                <w:color w:val="000000"/>
                <w:sz w:val="21"/>
                <w:szCs w:val="28"/>
                <w:lang w:val="en-US" w:eastAsia="zh-CN" w:bidi="ar-SA"/>
              </w:rPr>
            </w:pPr>
            <w:r>
              <w:rPr>
                <w:rFonts w:hint="eastAsia" w:ascii="楷体" w:hAnsi="楷体" w:eastAsia="楷体" w:cs="楷体"/>
                <w:color w:val="000000"/>
                <w:szCs w:val="28"/>
                <w:lang w:val="en-US" w:eastAsia="zh-CN"/>
              </w:rPr>
              <w:t>3</w:t>
            </w:r>
            <w:r>
              <w:rPr>
                <w:rFonts w:hint="eastAsia" w:ascii="楷体" w:hAnsi="楷体" w:eastAsia="楷体" w:cs="楷体"/>
                <w:color w:val="000000"/>
                <w:szCs w:val="28"/>
              </w:rPr>
              <w:t>分/家</w:t>
            </w:r>
          </w:p>
        </w:tc>
        <w:tc>
          <w:tcPr>
            <w:tcW w:w="2216" w:type="dxa"/>
            <w:shd w:val="clear" w:color="auto" w:fill="auto"/>
            <w:vAlign w:val="center"/>
          </w:tcPr>
          <w:p w14:paraId="257A1FAB">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该项加分不超过6分</w:t>
            </w:r>
          </w:p>
        </w:tc>
      </w:tr>
      <w:tr w14:paraId="6BA6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restart"/>
            <w:shd w:val="clear" w:color="auto" w:fill="auto"/>
            <w:vAlign w:val="center"/>
          </w:tcPr>
          <w:p w14:paraId="613B02D7">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 w:val="21"/>
                <w:szCs w:val="28"/>
                <w:lang w:val="en-US" w:eastAsia="zh-CN"/>
              </w:rPr>
              <w:t>4</w:t>
            </w:r>
          </w:p>
        </w:tc>
        <w:tc>
          <w:tcPr>
            <w:tcW w:w="4272" w:type="dxa"/>
            <w:vMerge w:val="restart"/>
            <w:shd w:val="clear" w:color="auto" w:fill="auto"/>
            <w:vAlign w:val="center"/>
          </w:tcPr>
          <w:p w14:paraId="57CE695D">
            <w:pPr>
              <w:spacing w:line="300" w:lineRule="exact"/>
              <w:jc w:val="center"/>
              <w:rPr>
                <w:rFonts w:hint="default" w:ascii="楷体" w:hAnsi="楷体" w:eastAsia="楷体" w:cs="楷体"/>
                <w:sz w:val="21"/>
                <w:szCs w:val="28"/>
                <w:lang w:val="en-US" w:eastAsia="zh-CN" w:bidi="ar-SA"/>
              </w:rPr>
            </w:pPr>
            <w:r>
              <w:rPr>
                <w:rFonts w:hint="eastAsia" w:ascii="楷体" w:hAnsi="楷体" w:eastAsia="楷体" w:cs="楷体"/>
                <w:sz w:val="21"/>
                <w:szCs w:val="28"/>
                <w:lang w:val="en-US" w:eastAsia="zh-CN"/>
              </w:rPr>
              <w:t>企业引进培育</w:t>
            </w:r>
          </w:p>
        </w:tc>
        <w:tc>
          <w:tcPr>
            <w:tcW w:w="4272" w:type="dxa"/>
            <w:gridSpan w:val="2"/>
            <w:shd w:val="clear" w:color="auto" w:fill="auto"/>
            <w:vAlign w:val="center"/>
          </w:tcPr>
          <w:p w14:paraId="6F2DA1FD">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lang w:val="en-US" w:eastAsia="zh-CN"/>
              </w:rPr>
              <w:t>经上级认定的科技型企业数</w:t>
            </w:r>
          </w:p>
        </w:tc>
        <w:tc>
          <w:tcPr>
            <w:tcW w:w="1419" w:type="dxa"/>
            <w:shd w:val="clear" w:color="auto" w:fill="auto"/>
            <w:vAlign w:val="center"/>
          </w:tcPr>
          <w:p w14:paraId="691D92D2">
            <w:pPr>
              <w:spacing w:line="300" w:lineRule="exact"/>
              <w:jc w:val="center"/>
              <w:rPr>
                <w:rFonts w:hint="eastAsia" w:ascii="楷体" w:hAnsi="楷体" w:eastAsia="楷体" w:cs="楷体"/>
                <w:color w:val="000000"/>
                <w:sz w:val="21"/>
                <w:szCs w:val="28"/>
                <w:lang w:val="en-US" w:eastAsia="zh-CN" w:bidi="ar-SA"/>
              </w:rPr>
            </w:pPr>
            <w:r>
              <w:rPr>
                <w:rFonts w:hint="eastAsia" w:ascii="楷体" w:hAnsi="楷体" w:eastAsia="楷体" w:cs="楷体"/>
                <w:color w:val="000000"/>
                <w:szCs w:val="28"/>
              </w:rPr>
              <w:t>0.5分/家</w:t>
            </w:r>
          </w:p>
        </w:tc>
        <w:tc>
          <w:tcPr>
            <w:tcW w:w="2216" w:type="dxa"/>
            <w:shd w:val="clear" w:color="auto" w:fill="auto"/>
            <w:vAlign w:val="center"/>
          </w:tcPr>
          <w:p w14:paraId="7EB8F1A8">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该项加分不超过5分</w:t>
            </w:r>
          </w:p>
        </w:tc>
      </w:tr>
      <w:tr w14:paraId="68F3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continue"/>
            <w:shd w:val="clear" w:color="auto" w:fill="auto"/>
            <w:vAlign w:val="center"/>
          </w:tcPr>
          <w:p w14:paraId="038478EC">
            <w:pPr>
              <w:spacing w:line="300" w:lineRule="exact"/>
              <w:jc w:val="center"/>
              <w:rPr>
                <w:rFonts w:ascii="楷体" w:hAnsi="楷体" w:eastAsia="楷体" w:cs="楷体"/>
                <w:szCs w:val="28"/>
              </w:rPr>
            </w:pPr>
          </w:p>
        </w:tc>
        <w:tc>
          <w:tcPr>
            <w:tcW w:w="4272" w:type="dxa"/>
            <w:vMerge w:val="continue"/>
            <w:shd w:val="clear" w:color="auto" w:fill="auto"/>
            <w:vAlign w:val="center"/>
          </w:tcPr>
          <w:p w14:paraId="375E1437">
            <w:pPr>
              <w:spacing w:line="300" w:lineRule="exact"/>
              <w:jc w:val="center"/>
              <w:rPr>
                <w:rFonts w:ascii="楷体" w:hAnsi="楷体" w:eastAsia="楷体" w:cs="楷体"/>
                <w:szCs w:val="28"/>
              </w:rPr>
            </w:pPr>
          </w:p>
        </w:tc>
        <w:tc>
          <w:tcPr>
            <w:tcW w:w="4272" w:type="dxa"/>
            <w:gridSpan w:val="2"/>
            <w:shd w:val="clear" w:color="auto" w:fill="auto"/>
            <w:vAlign w:val="center"/>
          </w:tcPr>
          <w:p w14:paraId="6B52EFEE">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 w:val="21"/>
                <w:szCs w:val="28"/>
              </w:rPr>
              <w:t>获批科技型中小企业数</w:t>
            </w:r>
          </w:p>
        </w:tc>
        <w:tc>
          <w:tcPr>
            <w:tcW w:w="1419" w:type="dxa"/>
            <w:shd w:val="clear" w:color="auto" w:fill="auto"/>
            <w:vAlign w:val="center"/>
          </w:tcPr>
          <w:p w14:paraId="45CA4337">
            <w:pPr>
              <w:spacing w:line="300" w:lineRule="exact"/>
              <w:jc w:val="center"/>
              <w:rPr>
                <w:rFonts w:hint="eastAsia" w:ascii="楷体" w:hAnsi="楷体" w:eastAsia="楷体" w:cs="楷体"/>
                <w:color w:val="000000"/>
                <w:sz w:val="21"/>
                <w:szCs w:val="28"/>
                <w:lang w:val="en-US" w:eastAsia="zh-CN" w:bidi="ar-SA"/>
              </w:rPr>
            </w:pPr>
            <w:r>
              <w:rPr>
                <w:rFonts w:hint="eastAsia" w:ascii="楷体" w:hAnsi="楷体" w:eastAsia="楷体" w:cs="楷体"/>
                <w:color w:val="000000"/>
                <w:szCs w:val="28"/>
              </w:rPr>
              <w:t>0.5分/家</w:t>
            </w:r>
          </w:p>
        </w:tc>
        <w:tc>
          <w:tcPr>
            <w:tcW w:w="2216" w:type="dxa"/>
            <w:shd w:val="clear" w:color="auto" w:fill="auto"/>
            <w:vAlign w:val="center"/>
          </w:tcPr>
          <w:p w14:paraId="2969E212">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该项加分不超过5分</w:t>
            </w:r>
          </w:p>
        </w:tc>
      </w:tr>
      <w:tr w14:paraId="3DD2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continue"/>
            <w:shd w:val="clear" w:color="auto" w:fill="auto"/>
            <w:vAlign w:val="center"/>
          </w:tcPr>
          <w:p w14:paraId="07DAE13E">
            <w:pPr>
              <w:spacing w:line="300" w:lineRule="exact"/>
              <w:jc w:val="center"/>
              <w:rPr>
                <w:rFonts w:ascii="楷体" w:hAnsi="楷体" w:eastAsia="楷体" w:cs="楷体"/>
                <w:szCs w:val="28"/>
              </w:rPr>
            </w:pPr>
          </w:p>
        </w:tc>
        <w:tc>
          <w:tcPr>
            <w:tcW w:w="4272" w:type="dxa"/>
            <w:vMerge w:val="continue"/>
            <w:shd w:val="clear" w:color="auto" w:fill="auto"/>
            <w:vAlign w:val="center"/>
          </w:tcPr>
          <w:p w14:paraId="3C4FB8EA">
            <w:pPr>
              <w:spacing w:line="300" w:lineRule="exact"/>
              <w:jc w:val="center"/>
              <w:rPr>
                <w:rFonts w:ascii="楷体" w:hAnsi="楷体" w:eastAsia="楷体" w:cs="楷体"/>
                <w:szCs w:val="28"/>
              </w:rPr>
            </w:pPr>
          </w:p>
        </w:tc>
        <w:tc>
          <w:tcPr>
            <w:tcW w:w="4272" w:type="dxa"/>
            <w:gridSpan w:val="2"/>
            <w:shd w:val="clear" w:color="auto" w:fill="auto"/>
            <w:vAlign w:val="center"/>
          </w:tcPr>
          <w:p w14:paraId="455DB2C0">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lang w:val="en-US" w:eastAsia="zh-CN"/>
              </w:rPr>
              <w:t>净增</w:t>
            </w:r>
            <w:r>
              <w:rPr>
                <w:rFonts w:hint="eastAsia" w:ascii="楷体" w:hAnsi="楷体" w:eastAsia="楷体" w:cs="楷体"/>
                <w:szCs w:val="28"/>
              </w:rPr>
              <w:t>国家高新技术企业</w:t>
            </w:r>
          </w:p>
        </w:tc>
        <w:tc>
          <w:tcPr>
            <w:tcW w:w="1419" w:type="dxa"/>
            <w:shd w:val="clear" w:color="auto" w:fill="auto"/>
            <w:vAlign w:val="center"/>
          </w:tcPr>
          <w:p w14:paraId="3FBC89DC">
            <w:pPr>
              <w:spacing w:line="300" w:lineRule="exact"/>
              <w:jc w:val="center"/>
              <w:rPr>
                <w:rFonts w:hint="eastAsia" w:ascii="楷体" w:hAnsi="楷体" w:eastAsia="楷体" w:cs="楷体"/>
                <w:color w:val="000000"/>
                <w:sz w:val="21"/>
                <w:szCs w:val="28"/>
                <w:lang w:val="en-US" w:eastAsia="zh-CN" w:bidi="ar-SA"/>
              </w:rPr>
            </w:pPr>
            <w:r>
              <w:rPr>
                <w:rFonts w:hint="eastAsia" w:ascii="楷体" w:hAnsi="楷体" w:eastAsia="楷体" w:cs="楷体"/>
                <w:color w:val="000000"/>
                <w:szCs w:val="28"/>
                <w:lang w:val="en-US" w:eastAsia="zh-CN"/>
              </w:rPr>
              <w:t>3</w:t>
            </w:r>
            <w:r>
              <w:rPr>
                <w:rFonts w:hint="eastAsia" w:ascii="楷体" w:hAnsi="楷体" w:eastAsia="楷体" w:cs="楷体"/>
                <w:color w:val="000000"/>
                <w:szCs w:val="28"/>
              </w:rPr>
              <w:t>分/家</w:t>
            </w:r>
          </w:p>
        </w:tc>
        <w:tc>
          <w:tcPr>
            <w:tcW w:w="2216" w:type="dxa"/>
            <w:shd w:val="clear" w:color="auto" w:fill="auto"/>
            <w:vAlign w:val="center"/>
          </w:tcPr>
          <w:p w14:paraId="2A89088B">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该项加分不超过6分</w:t>
            </w:r>
          </w:p>
        </w:tc>
      </w:tr>
      <w:tr w14:paraId="2DCF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restart"/>
            <w:shd w:val="clear" w:color="auto" w:fill="auto"/>
            <w:vAlign w:val="center"/>
          </w:tcPr>
          <w:p w14:paraId="6A450D7F">
            <w:pPr>
              <w:spacing w:line="300" w:lineRule="exact"/>
              <w:jc w:val="center"/>
              <w:rPr>
                <w:rFonts w:hint="eastAsia" w:ascii="楷体" w:hAnsi="楷体" w:eastAsia="楷体" w:cs="楷体"/>
                <w:szCs w:val="28"/>
                <w:lang w:val="en-US" w:eastAsia="zh-CN"/>
              </w:rPr>
            </w:pPr>
            <w:r>
              <w:rPr>
                <w:rFonts w:hint="eastAsia" w:ascii="楷体" w:hAnsi="楷体" w:eastAsia="楷体" w:cs="楷体"/>
                <w:szCs w:val="28"/>
                <w:lang w:val="en-US" w:eastAsia="zh-CN"/>
              </w:rPr>
              <w:t>5</w:t>
            </w:r>
          </w:p>
        </w:tc>
        <w:tc>
          <w:tcPr>
            <w:tcW w:w="4272" w:type="dxa"/>
            <w:vMerge w:val="restart"/>
            <w:shd w:val="clear" w:color="auto" w:fill="auto"/>
            <w:vAlign w:val="center"/>
          </w:tcPr>
          <w:p w14:paraId="020A9FCF">
            <w:pPr>
              <w:widowControl/>
              <w:overflowPunct w:val="0"/>
              <w:adjustRightInd w:val="0"/>
              <w:snapToGrid w:val="0"/>
              <w:spacing w:line="240" w:lineRule="atLeast"/>
              <w:jc w:val="center"/>
              <w:textAlignment w:val="top"/>
              <w:rPr>
                <w:rFonts w:hint="default" w:ascii="楷体" w:hAnsi="楷体" w:eastAsia="楷体" w:cs="楷体"/>
                <w:sz w:val="24"/>
                <w:lang w:val="en-US" w:eastAsia="zh-CN"/>
              </w:rPr>
            </w:pPr>
            <w:r>
              <w:rPr>
                <w:rFonts w:hint="eastAsia" w:ascii="楷体" w:hAnsi="楷体" w:eastAsia="楷体" w:cs="楷体"/>
                <w:sz w:val="24"/>
              </w:rPr>
              <w:t>人才</w:t>
            </w:r>
            <w:r>
              <w:rPr>
                <w:rFonts w:hint="eastAsia" w:ascii="楷体" w:hAnsi="楷体" w:eastAsia="楷体" w:cs="楷体"/>
                <w:sz w:val="24"/>
                <w:lang w:val="en-US" w:eastAsia="zh-CN"/>
              </w:rPr>
              <w:t>项目招引</w:t>
            </w:r>
          </w:p>
          <w:p w14:paraId="61F5DA6B">
            <w:pPr>
              <w:spacing w:line="300" w:lineRule="exact"/>
              <w:jc w:val="both"/>
              <w:rPr>
                <w:rFonts w:ascii="楷体" w:hAnsi="楷体" w:eastAsia="楷体" w:cs="楷体"/>
                <w:sz w:val="21"/>
                <w:szCs w:val="28"/>
                <w:lang w:val="en-US" w:eastAsia="zh-CN" w:bidi="ar-SA"/>
              </w:rPr>
            </w:pPr>
          </w:p>
        </w:tc>
        <w:tc>
          <w:tcPr>
            <w:tcW w:w="4272" w:type="dxa"/>
            <w:gridSpan w:val="2"/>
            <w:shd w:val="clear" w:color="auto" w:fill="auto"/>
            <w:vAlign w:val="center"/>
          </w:tcPr>
          <w:p w14:paraId="53BA9191">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入选区级人才项目数</w:t>
            </w:r>
          </w:p>
        </w:tc>
        <w:tc>
          <w:tcPr>
            <w:tcW w:w="1419" w:type="dxa"/>
            <w:shd w:val="clear" w:color="auto" w:fill="auto"/>
            <w:vAlign w:val="center"/>
          </w:tcPr>
          <w:p w14:paraId="67AFB697">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1</w:t>
            </w:r>
            <w:r>
              <w:rPr>
                <w:rFonts w:hint="eastAsia" w:ascii="楷体" w:hAnsi="楷体" w:eastAsia="楷体" w:cs="楷体"/>
                <w:color w:val="000000"/>
                <w:szCs w:val="28"/>
              </w:rPr>
              <w:t>分</w:t>
            </w:r>
            <w:r>
              <w:rPr>
                <w:rFonts w:hint="eastAsia" w:ascii="楷体" w:hAnsi="楷体" w:eastAsia="楷体" w:cs="楷体"/>
                <w:szCs w:val="28"/>
              </w:rPr>
              <w:t>/个</w:t>
            </w:r>
          </w:p>
        </w:tc>
        <w:tc>
          <w:tcPr>
            <w:tcW w:w="2216" w:type="dxa"/>
            <w:shd w:val="clear" w:color="auto" w:fill="auto"/>
            <w:vAlign w:val="center"/>
          </w:tcPr>
          <w:p w14:paraId="1DCA5329">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该项加分不超过3分</w:t>
            </w:r>
          </w:p>
        </w:tc>
      </w:tr>
      <w:tr w14:paraId="654B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continue"/>
            <w:shd w:val="clear" w:color="auto" w:fill="auto"/>
            <w:vAlign w:val="center"/>
          </w:tcPr>
          <w:p w14:paraId="5EE72FB6">
            <w:pPr>
              <w:spacing w:line="300" w:lineRule="exact"/>
              <w:jc w:val="center"/>
              <w:rPr>
                <w:rFonts w:ascii="楷体" w:hAnsi="楷体" w:eastAsia="楷体" w:cs="楷体"/>
                <w:szCs w:val="28"/>
              </w:rPr>
            </w:pPr>
          </w:p>
        </w:tc>
        <w:tc>
          <w:tcPr>
            <w:tcW w:w="4272" w:type="dxa"/>
            <w:vMerge w:val="continue"/>
            <w:shd w:val="clear" w:color="auto" w:fill="auto"/>
            <w:vAlign w:val="center"/>
          </w:tcPr>
          <w:p w14:paraId="3DA2A68E">
            <w:pPr>
              <w:spacing w:line="300" w:lineRule="exact"/>
              <w:jc w:val="center"/>
              <w:rPr>
                <w:rFonts w:ascii="楷体" w:hAnsi="楷体" w:eastAsia="楷体" w:cs="楷体"/>
                <w:sz w:val="21"/>
                <w:szCs w:val="28"/>
                <w:lang w:val="en-US" w:eastAsia="zh-CN" w:bidi="ar-SA"/>
              </w:rPr>
            </w:pPr>
          </w:p>
        </w:tc>
        <w:tc>
          <w:tcPr>
            <w:tcW w:w="4272" w:type="dxa"/>
            <w:gridSpan w:val="2"/>
            <w:shd w:val="clear" w:color="auto" w:fill="auto"/>
            <w:vAlign w:val="center"/>
          </w:tcPr>
          <w:p w14:paraId="49E71067">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入选市级人才项目数</w:t>
            </w:r>
          </w:p>
        </w:tc>
        <w:tc>
          <w:tcPr>
            <w:tcW w:w="1419" w:type="dxa"/>
            <w:shd w:val="clear" w:color="auto" w:fill="auto"/>
            <w:vAlign w:val="center"/>
          </w:tcPr>
          <w:p w14:paraId="239D3DDD">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2</w:t>
            </w:r>
            <w:r>
              <w:rPr>
                <w:rFonts w:hint="eastAsia" w:ascii="楷体" w:hAnsi="楷体" w:eastAsia="楷体" w:cs="楷体"/>
                <w:color w:val="000000"/>
                <w:szCs w:val="28"/>
              </w:rPr>
              <w:t>分</w:t>
            </w:r>
            <w:r>
              <w:rPr>
                <w:rFonts w:hint="eastAsia" w:ascii="楷体" w:hAnsi="楷体" w:eastAsia="楷体" w:cs="楷体"/>
                <w:szCs w:val="28"/>
              </w:rPr>
              <w:t>/个</w:t>
            </w:r>
          </w:p>
        </w:tc>
        <w:tc>
          <w:tcPr>
            <w:tcW w:w="2216" w:type="dxa"/>
            <w:shd w:val="clear" w:color="auto" w:fill="auto"/>
            <w:vAlign w:val="center"/>
          </w:tcPr>
          <w:p w14:paraId="4DF17E94">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该项加分不超过6分</w:t>
            </w:r>
          </w:p>
        </w:tc>
      </w:tr>
      <w:tr w14:paraId="3461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6" w:type="dxa"/>
            <w:vMerge w:val="continue"/>
            <w:shd w:val="clear" w:color="auto" w:fill="auto"/>
            <w:vAlign w:val="center"/>
          </w:tcPr>
          <w:p w14:paraId="6718E4E5">
            <w:pPr>
              <w:spacing w:line="300" w:lineRule="exact"/>
              <w:jc w:val="center"/>
              <w:rPr>
                <w:rFonts w:ascii="楷体" w:hAnsi="楷体" w:eastAsia="楷体" w:cs="楷体"/>
                <w:szCs w:val="28"/>
              </w:rPr>
            </w:pPr>
          </w:p>
        </w:tc>
        <w:tc>
          <w:tcPr>
            <w:tcW w:w="4272" w:type="dxa"/>
            <w:vMerge w:val="continue"/>
            <w:shd w:val="clear" w:color="auto" w:fill="auto"/>
            <w:vAlign w:val="center"/>
          </w:tcPr>
          <w:p w14:paraId="57E58607">
            <w:pPr>
              <w:spacing w:line="300" w:lineRule="exact"/>
              <w:jc w:val="center"/>
              <w:rPr>
                <w:rFonts w:ascii="楷体" w:hAnsi="楷体" w:eastAsia="楷体" w:cs="楷体"/>
                <w:sz w:val="21"/>
                <w:szCs w:val="28"/>
                <w:lang w:val="en-US" w:eastAsia="zh-CN" w:bidi="ar-SA"/>
              </w:rPr>
            </w:pPr>
          </w:p>
        </w:tc>
        <w:tc>
          <w:tcPr>
            <w:tcW w:w="4272" w:type="dxa"/>
            <w:gridSpan w:val="2"/>
            <w:shd w:val="clear" w:color="auto" w:fill="auto"/>
            <w:vAlign w:val="center"/>
          </w:tcPr>
          <w:p w14:paraId="26E60875">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入选省级人才项目数</w:t>
            </w:r>
          </w:p>
        </w:tc>
        <w:tc>
          <w:tcPr>
            <w:tcW w:w="1419" w:type="dxa"/>
            <w:shd w:val="clear" w:color="auto" w:fill="auto"/>
            <w:vAlign w:val="center"/>
          </w:tcPr>
          <w:p w14:paraId="124DD7EF">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3</w:t>
            </w:r>
            <w:r>
              <w:rPr>
                <w:rFonts w:hint="eastAsia" w:ascii="楷体" w:hAnsi="楷体" w:eastAsia="楷体" w:cs="楷体"/>
                <w:color w:val="000000"/>
                <w:szCs w:val="28"/>
              </w:rPr>
              <w:t>分</w:t>
            </w:r>
            <w:r>
              <w:rPr>
                <w:rFonts w:hint="eastAsia" w:ascii="楷体" w:hAnsi="楷体" w:eastAsia="楷体" w:cs="楷体"/>
                <w:szCs w:val="28"/>
              </w:rPr>
              <w:t>/个</w:t>
            </w:r>
          </w:p>
        </w:tc>
        <w:tc>
          <w:tcPr>
            <w:tcW w:w="2216" w:type="dxa"/>
            <w:shd w:val="clear" w:color="auto" w:fill="auto"/>
            <w:vAlign w:val="center"/>
          </w:tcPr>
          <w:p w14:paraId="79650407">
            <w:pPr>
              <w:spacing w:line="300" w:lineRule="exact"/>
              <w:jc w:val="center"/>
              <w:rPr>
                <w:rFonts w:hint="eastAsia" w:ascii="楷体" w:hAnsi="楷体" w:eastAsia="楷体" w:cs="楷体"/>
                <w:sz w:val="21"/>
                <w:szCs w:val="28"/>
                <w:lang w:val="en-US" w:eastAsia="zh-CN" w:bidi="ar-SA"/>
              </w:rPr>
            </w:pPr>
            <w:r>
              <w:rPr>
                <w:rFonts w:hint="eastAsia" w:ascii="楷体" w:hAnsi="楷体" w:eastAsia="楷体" w:cs="楷体"/>
                <w:szCs w:val="28"/>
              </w:rPr>
              <w:t>该项加分不超过6分</w:t>
            </w:r>
          </w:p>
        </w:tc>
      </w:tr>
    </w:tbl>
    <w:p w14:paraId="30744F27">
      <w:pPr>
        <w:adjustRightInd w:val="0"/>
        <w:snapToGrid w:val="0"/>
        <w:spacing w:line="500" w:lineRule="exact"/>
        <w:rPr>
          <w:rFonts w:ascii="楷体" w:hAnsi="楷体" w:eastAsia="楷体" w:cs="楷体"/>
          <w:b/>
          <w:bCs/>
          <w:sz w:val="28"/>
          <w:szCs w:val="28"/>
        </w:rPr>
        <w:sectPr>
          <w:pgSz w:w="16838" w:h="11905" w:orient="landscape"/>
          <w:pgMar w:top="1803" w:right="1440" w:bottom="1803" w:left="1440" w:header="850" w:footer="992" w:gutter="0"/>
          <w:pgNumType w:fmt="decimal"/>
          <w:cols w:space="0" w:num="1"/>
          <w:rtlGutter w:val="0"/>
          <w:docGrid w:type="lines" w:linePitch="319" w:charSpace="0"/>
        </w:sectPr>
      </w:pPr>
    </w:p>
    <w:p w14:paraId="5A7AD686">
      <w:pPr>
        <w:spacing w:line="560" w:lineRule="exact"/>
        <w:ind w:firstLine="482" w:firstLineChars="200"/>
        <w:rPr>
          <w:rFonts w:ascii="楷体" w:hAnsi="楷体" w:eastAsia="楷体" w:cs="楷体"/>
          <w:b/>
          <w:bCs/>
          <w:sz w:val="24"/>
        </w:rPr>
      </w:pPr>
      <w:r>
        <w:rPr>
          <w:rFonts w:hint="eastAsia" w:ascii="楷体" w:hAnsi="楷体" w:eastAsia="楷体" w:cs="楷体"/>
          <w:b/>
          <w:bCs/>
          <w:sz w:val="24"/>
        </w:rPr>
        <w:t>备注：</w:t>
      </w:r>
    </w:p>
    <w:p w14:paraId="08EF7221">
      <w:pPr>
        <w:numPr>
          <w:ilvl w:val="0"/>
          <w:numId w:val="1"/>
        </w:numPr>
        <w:spacing w:line="560" w:lineRule="exact"/>
        <w:ind w:firstLine="480" w:firstLineChars="200"/>
        <w:rPr>
          <w:rFonts w:hint="eastAsia" w:ascii="楷体" w:hAnsi="楷体" w:eastAsia="楷体" w:cs="楷体"/>
          <w:sz w:val="24"/>
        </w:rPr>
      </w:pPr>
      <w:r>
        <w:rPr>
          <w:rFonts w:hint="eastAsia" w:ascii="楷体" w:hAnsi="楷体" w:eastAsia="楷体" w:cs="楷体"/>
          <w:sz w:val="24"/>
        </w:rPr>
        <w:t xml:space="preserve">表1满分为100分，各项指标的得分计算方法如下：得分=（实际完成值/目标值）*分值，总得分将按照四舍五入的规则进行取整。 </w:t>
      </w:r>
    </w:p>
    <w:p w14:paraId="46B5B871">
      <w:pPr>
        <w:numPr>
          <w:ilvl w:val="0"/>
          <w:numId w:val="1"/>
        </w:num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表</w:t>
      </w:r>
      <w:r>
        <w:rPr>
          <w:rFonts w:hint="eastAsia" w:ascii="楷体" w:hAnsi="楷体" w:eastAsia="楷体" w:cs="楷体"/>
          <w:sz w:val="24"/>
          <w:lang w:val="en-US" w:eastAsia="zh-CN"/>
        </w:rPr>
        <w:t>2</w:t>
      </w:r>
      <w:r>
        <w:rPr>
          <w:rFonts w:hint="eastAsia" w:ascii="楷体" w:hAnsi="楷体" w:eastAsia="楷体" w:cs="楷体"/>
          <w:sz w:val="24"/>
        </w:rPr>
        <w:t>满分为100分</w:t>
      </w:r>
      <w:r>
        <w:rPr>
          <w:rFonts w:hint="eastAsia" w:ascii="楷体" w:hAnsi="楷体" w:eastAsia="楷体" w:cs="楷体"/>
          <w:sz w:val="24"/>
          <w:lang w:eastAsia="zh-CN"/>
        </w:rPr>
        <w:t>，</w:t>
      </w:r>
      <w:r>
        <w:rPr>
          <w:rFonts w:hint="eastAsia" w:ascii="楷体" w:hAnsi="楷体" w:eastAsia="楷体" w:cs="楷体"/>
          <w:sz w:val="24"/>
        </w:rPr>
        <w:t xml:space="preserve">各项指标的得分计算方法如下：得分=（实际完成值/目标值）*分值，总得分将按照四舍五入的规则进行取整。 </w:t>
      </w:r>
    </w:p>
    <w:p w14:paraId="6B823DF4">
      <w:pPr>
        <w:numPr>
          <w:ilvl w:val="0"/>
          <w:numId w:val="1"/>
        </w:numPr>
        <w:spacing w:line="560" w:lineRule="exact"/>
        <w:ind w:firstLine="480" w:firstLineChars="200"/>
        <w:rPr>
          <w:rFonts w:hint="eastAsia" w:ascii="楷体" w:hAnsi="楷体" w:eastAsia="楷体" w:cs="楷体"/>
          <w:sz w:val="24"/>
          <w:highlight w:val="none"/>
        </w:rPr>
      </w:pPr>
      <w:r>
        <w:rPr>
          <w:rFonts w:hint="eastAsia" w:ascii="楷体" w:hAnsi="楷体" w:eastAsia="楷体" w:cs="楷体"/>
          <w:sz w:val="24"/>
          <w:highlight w:val="none"/>
        </w:rPr>
        <w:t>表</w:t>
      </w:r>
      <w:r>
        <w:rPr>
          <w:rFonts w:hint="eastAsia" w:ascii="楷体" w:hAnsi="楷体" w:eastAsia="楷体" w:cs="楷体"/>
          <w:sz w:val="24"/>
          <w:highlight w:val="none"/>
          <w:lang w:val="en-US" w:eastAsia="zh-CN"/>
        </w:rPr>
        <w:t>3为年度绩效附加分值表，计入表2总分统计（表2、3合计总分合计上限为100分）。</w:t>
      </w:r>
    </w:p>
    <w:p w14:paraId="57992FFC">
      <w:pPr>
        <w:numPr>
          <w:ilvl w:val="0"/>
          <w:numId w:val="1"/>
        </w:numPr>
        <w:spacing w:line="560" w:lineRule="exact"/>
        <w:ind w:firstLine="480" w:firstLineChars="200"/>
        <w:rPr>
          <w:rFonts w:ascii="楷体" w:hAnsi="楷体" w:eastAsia="楷体" w:cs="楷体"/>
          <w:sz w:val="24"/>
        </w:rPr>
      </w:pPr>
      <w:r>
        <w:rPr>
          <w:rFonts w:hint="eastAsia" w:ascii="楷体" w:hAnsi="楷体" w:eastAsia="楷体" w:cs="楷体"/>
          <w:sz w:val="24"/>
        </w:rPr>
        <w:t>委托载体内企业因发展壮大等各类原因迁出载体落户镇江高新区其他区域的，其各类资质也计入乙方指标</w:t>
      </w:r>
      <w:r>
        <w:rPr>
          <w:rFonts w:hint="eastAsia" w:ascii="楷体" w:hAnsi="楷体" w:eastAsia="楷体" w:cs="楷体"/>
          <w:sz w:val="24"/>
          <w:lang w:eastAsia="zh-CN"/>
        </w:rPr>
        <w:t>（</w:t>
      </w:r>
      <w:r>
        <w:rPr>
          <w:rFonts w:hint="eastAsia" w:ascii="楷体" w:hAnsi="楷体" w:eastAsia="楷体" w:cs="楷体"/>
          <w:sz w:val="24"/>
          <w:lang w:val="en-US" w:eastAsia="zh-CN"/>
        </w:rPr>
        <w:t>相关企业需提供证明材料</w:t>
      </w:r>
      <w:r>
        <w:rPr>
          <w:rFonts w:hint="eastAsia" w:ascii="楷体" w:hAnsi="楷体" w:eastAsia="楷体" w:cs="楷体"/>
          <w:sz w:val="24"/>
          <w:lang w:eastAsia="zh-CN"/>
        </w:rPr>
        <w:t>）</w:t>
      </w:r>
      <w:r>
        <w:rPr>
          <w:rFonts w:hint="eastAsia" w:ascii="楷体" w:hAnsi="楷体" w:eastAsia="楷体" w:cs="楷体"/>
          <w:sz w:val="24"/>
        </w:rPr>
        <w:t>。</w:t>
      </w:r>
    </w:p>
    <w:p w14:paraId="790FED5B">
      <w:pPr>
        <w:numPr>
          <w:ilvl w:val="0"/>
          <w:numId w:val="1"/>
        </w:numPr>
        <w:spacing w:line="560" w:lineRule="exact"/>
        <w:ind w:firstLine="480" w:firstLineChars="200"/>
        <w:rPr>
          <w:rFonts w:hint="eastAsia" w:ascii="楷体" w:hAnsi="楷体" w:eastAsia="楷体" w:cs="楷体"/>
          <w:b/>
          <w:bCs/>
          <w:sz w:val="24"/>
        </w:rPr>
      </w:pPr>
      <w:r>
        <w:rPr>
          <w:rFonts w:hint="eastAsia" w:ascii="楷体" w:hAnsi="楷体" w:eastAsia="楷体" w:cs="楷体"/>
          <w:sz w:val="24"/>
        </w:rPr>
        <w:t>若国家、省市对涉及的考核内容进行政策性调整，相应考核指标应根据实际情况进行调整。</w:t>
      </w:r>
    </w:p>
    <w:p w14:paraId="43AD661B">
      <w:pPr>
        <w:spacing w:line="560" w:lineRule="exact"/>
        <w:ind w:firstLine="482" w:firstLineChars="200"/>
        <w:rPr>
          <w:rFonts w:hint="eastAsia" w:ascii="楷体" w:hAnsi="楷体" w:eastAsia="楷体" w:cs="楷体"/>
          <w:b/>
          <w:bCs/>
          <w:sz w:val="24"/>
        </w:rPr>
      </w:pPr>
      <w:r>
        <w:rPr>
          <w:rFonts w:hint="eastAsia" w:ascii="楷体" w:hAnsi="楷体" w:eastAsia="楷体" w:cs="楷体"/>
          <w:b/>
          <w:bCs/>
          <w:sz w:val="24"/>
        </w:rPr>
        <w:t>考评指标解释</w:t>
      </w:r>
      <w:r>
        <w:rPr>
          <w:rFonts w:hint="eastAsia" w:ascii="楷体" w:hAnsi="楷体" w:eastAsia="楷体" w:cs="楷体"/>
          <w:b/>
          <w:bCs/>
          <w:sz w:val="24"/>
          <w:lang w:eastAsia="zh-CN"/>
        </w:rPr>
        <w:t>（</w:t>
      </w:r>
      <w:r>
        <w:rPr>
          <w:rFonts w:hint="eastAsia" w:ascii="楷体" w:hAnsi="楷体" w:eastAsia="楷体" w:cs="楷体"/>
          <w:b/>
          <w:bCs/>
          <w:sz w:val="24"/>
          <w:lang w:val="en-US" w:eastAsia="zh-CN"/>
        </w:rPr>
        <w:t>表1</w:t>
      </w:r>
      <w:r>
        <w:rPr>
          <w:rFonts w:hint="eastAsia" w:ascii="楷体" w:hAnsi="楷体" w:eastAsia="楷体" w:cs="楷体"/>
          <w:b/>
          <w:bCs/>
          <w:sz w:val="24"/>
          <w:lang w:eastAsia="zh-CN"/>
        </w:rPr>
        <w:t>）</w:t>
      </w:r>
      <w:r>
        <w:rPr>
          <w:rFonts w:hint="eastAsia" w:ascii="楷体" w:hAnsi="楷体" w:eastAsia="楷体" w:cs="楷体"/>
          <w:b/>
          <w:bCs/>
          <w:sz w:val="24"/>
        </w:rPr>
        <w:t>：</w:t>
      </w:r>
    </w:p>
    <w:p w14:paraId="6BCD6EA9">
      <w:pPr>
        <w:numPr>
          <w:ilvl w:val="0"/>
          <w:numId w:val="2"/>
        </w:numPr>
        <w:spacing w:line="560" w:lineRule="exact"/>
        <w:ind w:firstLine="480" w:firstLineChars="200"/>
        <w:rPr>
          <w:rFonts w:hint="eastAsia" w:ascii="楷体" w:hAnsi="楷体" w:eastAsia="楷体" w:cs="楷体"/>
          <w:b w:val="0"/>
          <w:bCs w:val="0"/>
          <w:sz w:val="24"/>
          <w:highlight w:val="none"/>
        </w:rPr>
      </w:pPr>
      <w:r>
        <w:rPr>
          <w:rFonts w:hint="eastAsia" w:ascii="楷体" w:hAnsi="楷体" w:eastAsia="楷体" w:cs="楷体"/>
          <w:b w:val="0"/>
          <w:bCs w:val="0"/>
          <w:sz w:val="24"/>
          <w:lang w:val="en-US" w:eastAsia="zh-CN"/>
        </w:rPr>
        <w:t>出租率：在孵企业租赁面积/可供租赁建筑面积，</w:t>
      </w:r>
      <w:r>
        <w:rPr>
          <w:rFonts w:hint="eastAsia" w:ascii="楷体" w:hAnsi="楷体" w:eastAsia="楷体" w:cs="楷体"/>
          <w:b w:val="0"/>
          <w:bCs w:val="0"/>
          <w:sz w:val="24"/>
          <w:highlight w:val="none"/>
          <w:lang w:val="en-US" w:eastAsia="zh-CN"/>
        </w:rPr>
        <w:t>可供租赁建筑面积为实际运营面积去除载体运营管理用房、物业用房、公共配套所涉及的建筑面积后的面积。</w:t>
      </w:r>
    </w:p>
    <w:p w14:paraId="5A2C0028">
      <w:pPr>
        <w:numPr>
          <w:ilvl w:val="0"/>
          <w:numId w:val="2"/>
        </w:numPr>
        <w:spacing w:line="560" w:lineRule="exact"/>
        <w:ind w:firstLine="480" w:firstLineChars="200"/>
        <w:rPr>
          <w:rFonts w:hint="eastAsia" w:ascii="楷体" w:hAnsi="楷体" w:eastAsia="楷体" w:cs="楷体"/>
          <w:b/>
          <w:bCs/>
          <w:color w:val="auto"/>
          <w:sz w:val="24"/>
        </w:rPr>
      </w:pPr>
      <w:r>
        <w:rPr>
          <w:rFonts w:hint="eastAsia" w:ascii="楷体" w:hAnsi="楷体" w:eastAsia="楷体" w:cs="楷体"/>
          <w:sz w:val="24"/>
          <w:highlight w:val="none"/>
        </w:rPr>
        <w:t>在孵企业年平均应税销售额</w:t>
      </w:r>
      <w:r>
        <w:rPr>
          <w:rFonts w:hint="eastAsia" w:ascii="楷体" w:hAnsi="楷体" w:eastAsia="楷体" w:cs="楷体"/>
          <w:b w:val="0"/>
          <w:bCs w:val="0"/>
          <w:sz w:val="24"/>
          <w:highlight w:val="none"/>
          <w:lang w:val="en-US" w:eastAsia="zh-CN"/>
        </w:rPr>
        <w:t>（按实际运</w:t>
      </w:r>
      <w:r>
        <w:rPr>
          <w:rFonts w:hint="eastAsia" w:ascii="楷体" w:hAnsi="楷体" w:eastAsia="楷体" w:cs="楷体"/>
          <w:b w:val="0"/>
          <w:bCs w:val="0"/>
          <w:color w:val="auto"/>
          <w:sz w:val="24"/>
          <w:highlight w:val="none"/>
          <w:lang w:val="en-US" w:eastAsia="zh-CN"/>
        </w:rPr>
        <w:t>营面积计算，面积基数不少10000㎡）</w:t>
      </w:r>
      <w:r>
        <w:rPr>
          <w:rFonts w:hint="eastAsia" w:ascii="楷体" w:hAnsi="楷体" w:eastAsia="楷体" w:cs="楷体"/>
          <w:color w:val="auto"/>
          <w:sz w:val="24"/>
        </w:rPr>
        <w:t>：在孵企业年应税销售总额/在孵企业所使用面积。</w:t>
      </w:r>
    </w:p>
    <w:p w14:paraId="62008D32">
      <w:pPr>
        <w:numPr>
          <w:ilvl w:val="0"/>
          <w:numId w:val="2"/>
        </w:numPr>
        <w:spacing w:line="560" w:lineRule="exact"/>
        <w:ind w:firstLine="480" w:firstLineChars="200"/>
        <w:rPr>
          <w:rFonts w:ascii="楷体" w:hAnsi="楷体" w:eastAsia="楷体" w:cs="楷体"/>
          <w:sz w:val="24"/>
        </w:rPr>
      </w:pPr>
      <w:r>
        <w:rPr>
          <w:rFonts w:hint="eastAsia" w:ascii="楷体" w:hAnsi="楷体" w:eastAsia="楷体" w:cs="楷体"/>
          <w:color w:val="auto"/>
          <w:sz w:val="24"/>
        </w:rPr>
        <w:t>开展双创活动：需提供活动通知、签到簿、现场照片等</w:t>
      </w:r>
      <w:r>
        <w:rPr>
          <w:rFonts w:hint="eastAsia" w:ascii="楷体" w:hAnsi="楷体" w:eastAsia="楷体" w:cs="楷体"/>
          <w:sz w:val="24"/>
        </w:rPr>
        <w:t>佐证材料（线上活动以平台活动系统统计截图等为准）。</w:t>
      </w:r>
    </w:p>
    <w:p w14:paraId="032C83D6">
      <w:pPr>
        <w:numPr>
          <w:ilvl w:val="0"/>
          <w:numId w:val="2"/>
        </w:numPr>
        <w:spacing w:line="560" w:lineRule="exact"/>
        <w:ind w:firstLine="480" w:firstLineChars="200"/>
        <w:rPr>
          <w:rFonts w:ascii="楷体" w:hAnsi="楷体" w:eastAsia="楷体" w:cs="楷体"/>
          <w:sz w:val="24"/>
        </w:rPr>
      </w:pPr>
      <w:r>
        <w:rPr>
          <w:rFonts w:hint="eastAsia" w:ascii="楷体" w:hAnsi="楷体" w:eastAsia="楷体" w:cs="楷体"/>
          <w:sz w:val="24"/>
        </w:rPr>
        <w:t>在孵企业新申请各类知识产权：需提供知识产权申请受理通知书或授权证书等相关佐证材料。</w:t>
      </w:r>
    </w:p>
    <w:p w14:paraId="6491E935">
      <w:pPr>
        <w:numPr>
          <w:ilvl w:val="0"/>
          <w:numId w:val="0"/>
        </w:numPr>
        <w:spacing w:line="560" w:lineRule="exact"/>
        <w:ind w:firstLine="480" w:firstLineChars="200"/>
        <w:rPr>
          <w:rFonts w:hint="eastAsia" w:ascii="楷体" w:hAnsi="楷体" w:eastAsia="楷体" w:cs="楷体"/>
          <w:color w:val="auto"/>
          <w:sz w:val="24"/>
          <w:lang w:eastAsia="zh-CN"/>
        </w:rPr>
      </w:pPr>
      <w:r>
        <w:rPr>
          <w:rFonts w:hint="eastAsia" w:ascii="楷体" w:hAnsi="楷体" w:eastAsia="楷体" w:cs="楷体"/>
          <w:sz w:val="24"/>
          <w:lang w:val="en-US" w:eastAsia="zh-CN"/>
        </w:rPr>
        <w:t>5、</w:t>
      </w:r>
      <w:r>
        <w:rPr>
          <w:rFonts w:hint="eastAsia" w:ascii="楷体" w:hAnsi="楷体" w:eastAsia="楷体" w:cs="楷体"/>
          <w:sz w:val="24"/>
        </w:rPr>
        <w:t>“四上”企业：包括规模以上工业企业、资质等级建筑业企业、限额以上批零住餐企业、国家重点服务业企业。</w:t>
      </w:r>
      <w:r>
        <w:rPr>
          <w:rFonts w:hint="eastAsia" w:ascii="楷体" w:hAnsi="楷体" w:eastAsia="楷体" w:cs="楷体"/>
          <w:color w:val="auto"/>
          <w:sz w:val="24"/>
          <w:lang w:eastAsia="zh-CN"/>
        </w:rPr>
        <w:t>“</w:t>
      </w:r>
      <w:r>
        <w:rPr>
          <w:rFonts w:hint="eastAsia" w:ascii="楷体" w:hAnsi="楷体" w:eastAsia="楷体" w:cs="楷体"/>
          <w:color w:val="auto"/>
          <w:sz w:val="24"/>
        </w:rPr>
        <w:t>四上</w:t>
      </w:r>
      <w:r>
        <w:rPr>
          <w:rFonts w:hint="eastAsia" w:ascii="楷体" w:hAnsi="楷体" w:eastAsia="楷体" w:cs="楷体"/>
          <w:color w:val="auto"/>
          <w:sz w:val="24"/>
          <w:lang w:eastAsia="zh-CN"/>
        </w:rPr>
        <w:t>”</w:t>
      </w:r>
      <w:r>
        <w:rPr>
          <w:rFonts w:hint="eastAsia" w:ascii="楷体" w:hAnsi="楷体" w:eastAsia="楷体" w:cs="楷体"/>
          <w:color w:val="auto"/>
          <w:sz w:val="24"/>
        </w:rPr>
        <w:t>企业入库，</w:t>
      </w:r>
      <w:r>
        <w:rPr>
          <w:rFonts w:hint="eastAsia" w:ascii="楷体" w:hAnsi="楷体" w:eastAsia="楷体" w:cs="楷体"/>
          <w:color w:val="auto"/>
          <w:sz w:val="24"/>
          <w:lang w:val="en-US" w:eastAsia="zh-CN"/>
        </w:rPr>
        <w:t>应</w:t>
      </w:r>
      <w:r>
        <w:rPr>
          <w:rFonts w:hint="eastAsia" w:ascii="楷体" w:hAnsi="楷体" w:eastAsia="楷体" w:cs="楷体"/>
          <w:color w:val="auto"/>
          <w:sz w:val="24"/>
        </w:rPr>
        <w:t>提供企业应税销售达标证明，向</w:t>
      </w:r>
      <w:r>
        <w:rPr>
          <w:rFonts w:hint="eastAsia" w:ascii="楷体" w:hAnsi="楷体" w:eastAsia="楷体" w:cs="楷体"/>
          <w:color w:val="auto"/>
          <w:sz w:val="24"/>
          <w:lang w:val="en-US" w:eastAsia="zh-CN"/>
        </w:rPr>
        <w:t>镇江高新区科技发展局</w:t>
      </w:r>
      <w:r>
        <w:rPr>
          <w:rFonts w:hint="eastAsia" w:ascii="楷体" w:hAnsi="楷体" w:eastAsia="楷体" w:cs="楷体"/>
          <w:color w:val="auto"/>
          <w:sz w:val="24"/>
        </w:rPr>
        <w:t>提报入库申请，得到</w:t>
      </w:r>
      <w:r>
        <w:rPr>
          <w:rFonts w:hint="eastAsia" w:ascii="楷体" w:hAnsi="楷体" w:eastAsia="楷体" w:cs="楷体"/>
          <w:color w:val="auto"/>
          <w:sz w:val="24"/>
          <w:lang w:val="en-US" w:eastAsia="zh-CN"/>
        </w:rPr>
        <w:t>镇江高新区科技发展局认可</w:t>
      </w:r>
      <w:r>
        <w:rPr>
          <w:rFonts w:hint="eastAsia" w:ascii="楷体" w:hAnsi="楷体" w:eastAsia="楷体" w:cs="楷体"/>
          <w:color w:val="auto"/>
          <w:sz w:val="24"/>
          <w:lang w:eastAsia="zh-CN"/>
        </w:rPr>
        <w:t>。</w:t>
      </w:r>
    </w:p>
    <w:p w14:paraId="6B1EA508">
      <w:pPr>
        <w:spacing w:line="560" w:lineRule="exact"/>
        <w:ind w:firstLine="482" w:firstLineChars="200"/>
        <w:rPr>
          <w:rFonts w:hint="eastAsia" w:ascii="楷体" w:hAnsi="楷体" w:eastAsia="楷体" w:cs="楷体"/>
          <w:b/>
          <w:bCs/>
          <w:sz w:val="24"/>
        </w:rPr>
      </w:pPr>
      <w:r>
        <w:rPr>
          <w:rFonts w:hint="eastAsia" w:ascii="楷体" w:hAnsi="楷体" w:eastAsia="楷体" w:cs="楷体"/>
          <w:b/>
          <w:bCs/>
          <w:sz w:val="24"/>
        </w:rPr>
        <w:t>考评指标解释</w:t>
      </w:r>
      <w:r>
        <w:rPr>
          <w:rFonts w:hint="eastAsia" w:ascii="楷体" w:hAnsi="楷体" w:eastAsia="楷体" w:cs="楷体"/>
          <w:b/>
          <w:bCs/>
          <w:sz w:val="24"/>
          <w:lang w:eastAsia="zh-CN"/>
        </w:rPr>
        <w:t>（</w:t>
      </w:r>
      <w:r>
        <w:rPr>
          <w:rFonts w:hint="eastAsia" w:ascii="楷体" w:hAnsi="楷体" w:eastAsia="楷体" w:cs="楷体"/>
          <w:b/>
          <w:bCs/>
          <w:sz w:val="24"/>
          <w:lang w:val="en-US" w:eastAsia="zh-CN"/>
        </w:rPr>
        <w:t>表2、表3</w:t>
      </w:r>
      <w:r>
        <w:rPr>
          <w:rFonts w:hint="eastAsia" w:ascii="楷体" w:hAnsi="楷体" w:eastAsia="楷体" w:cs="楷体"/>
          <w:b/>
          <w:bCs/>
          <w:sz w:val="24"/>
          <w:lang w:eastAsia="zh-CN"/>
        </w:rPr>
        <w:t>）</w:t>
      </w:r>
      <w:r>
        <w:rPr>
          <w:rFonts w:hint="eastAsia" w:ascii="楷体" w:hAnsi="楷体" w:eastAsia="楷体" w:cs="楷体"/>
          <w:b/>
          <w:bCs/>
          <w:sz w:val="24"/>
        </w:rPr>
        <w:t>：</w:t>
      </w:r>
    </w:p>
    <w:p w14:paraId="361058E9">
      <w:pPr>
        <w:numPr>
          <w:ilvl w:val="0"/>
          <w:numId w:val="3"/>
        </w:numPr>
        <w:spacing w:line="560" w:lineRule="exact"/>
        <w:ind w:firstLine="480" w:firstLineChars="200"/>
        <w:rPr>
          <w:rFonts w:ascii="楷体" w:hAnsi="楷体" w:eastAsia="楷体" w:cs="楷体"/>
          <w:sz w:val="24"/>
        </w:rPr>
      </w:pPr>
      <w:r>
        <w:rPr>
          <w:rFonts w:hint="eastAsia" w:ascii="楷体" w:hAnsi="楷体" w:eastAsia="楷体" w:cs="楷体"/>
          <w:sz w:val="24"/>
          <w:lang w:val="en-US" w:eastAsia="zh-CN"/>
        </w:rPr>
        <w:t>科技型企业</w:t>
      </w:r>
      <w:r>
        <w:rPr>
          <w:rFonts w:hint="eastAsia" w:ascii="楷体" w:hAnsi="楷体" w:eastAsia="楷体" w:cs="楷体"/>
          <w:sz w:val="24"/>
        </w:rPr>
        <w:t>招引：当年注册落地高新区，注册资本不低于50万元，主要产品（服务）属于《国家重点支持的高新技术领域》规定的范围，企业获得或正在申请知识产权，年度高品（服务）收入占总收入比例不低于60%，研发费用占同期管理费用的比例不低于20%，科技人员占职工总数比不低于10%。</w:t>
      </w:r>
    </w:p>
    <w:p w14:paraId="4596DD74">
      <w:pPr>
        <w:numPr>
          <w:ilvl w:val="0"/>
          <w:numId w:val="3"/>
        </w:numPr>
        <w:spacing w:line="560" w:lineRule="exact"/>
        <w:ind w:firstLine="480" w:firstLineChars="200"/>
        <w:rPr>
          <w:rFonts w:ascii="楷体" w:hAnsi="楷体" w:eastAsia="楷体" w:cs="楷体"/>
          <w:sz w:val="24"/>
        </w:rPr>
      </w:pPr>
      <w:r>
        <w:rPr>
          <w:rFonts w:hint="eastAsia" w:ascii="楷体" w:hAnsi="楷体" w:eastAsia="楷体" w:cs="楷体"/>
          <w:sz w:val="24"/>
        </w:rPr>
        <w:t>科技型中小企业：经江苏省科技管理部门赋予科技型中小企业入库登记编号的企业。</w:t>
      </w:r>
    </w:p>
    <w:p w14:paraId="094BFE45">
      <w:pPr>
        <w:numPr>
          <w:ilvl w:val="0"/>
          <w:numId w:val="3"/>
        </w:numPr>
        <w:spacing w:line="560" w:lineRule="exact"/>
        <w:ind w:firstLine="480" w:firstLineChars="200"/>
        <w:rPr>
          <w:rFonts w:ascii="楷体" w:hAnsi="楷体" w:eastAsia="楷体" w:cs="楷体"/>
          <w:sz w:val="24"/>
        </w:rPr>
      </w:pPr>
      <w:r>
        <w:rPr>
          <w:rFonts w:hint="eastAsia" w:ascii="楷体" w:hAnsi="楷体" w:eastAsia="楷体" w:cs="楷体"/>
          <w:sz w:val="24"/>
        </w:rPr>
        <w:t>国家高新技术企业：经江苏省高新技术企业认定机构认定报备的高新技术企业；或在高新技术企业资格有效期内完成了跨认定机构管理区域整体迁移，高新技术企业资格和证书继续有效的企业。</w:t>
      </w:r>
    </w:p>
    <w:p w14:paraId="20790411">
      <w:pPr>
        <w:numPr>
          <w:ilvl w:val="0"/>
          <w:numId w:val="3"/>
        </w:numPr>
        <w:spacing w:line="560" w:lineRule="exact"/>
        <w:ind w:firstLine="480" w:firstLineChars="200"/>
        <w:rPr>
          <w:rFonts w:ascii="楷体" w:hAnsi="楷体" w:eastAsia="楷体" w:cs="楷体"/>
          <w:sz w:val="24"/>
        </w:rPr>
      </w:pPr>
      <w:r>
        <w:rPr>
          <w:rFonts w:hint="eastAsia" w:ascii="楷体" w:hAnsi="楷体" w:eastAsia="楷体" w:cs="楷体"/>
          <w:sz w:val="24"/>
        </w:rPr>
        <w:t>区级人才计划项目：包括</w:t>
      </w:r>
      <w:r>
        <w:rPr>
          <w:rFonts w:hint="eastAsia" w:ascii="楷体" w:hAnsi="楷体" w:eastAsia="楷体" w:cs="楷体"/>
          <w:sz w:val="24"/>
          <w:lang w:val="en-US" w:eastAsia="zh-CN"/>
        </w:rPr>
        <w:t>镇江高新区</w:t>
      </w:r>
      <w:r>
        <w:rPr>
          <w:rFonts w:hint="eastAsia" w:ascii="楷体" w:hAnsi="楷体" w:eastAsia="楷体" w:cs="楷体"/>
          <w:sz w:val="24"/>
        </w:rPr>
        <w:t>“团山英才”计划</w:t>
      </w:r>
      <w:r>
        <w:rPr>
          <w:rFonts w:hint="eastAsia" w:ascii="楷体" w:hAnsi="楷体" w:eastAsia="楷体" w:cs="楷体"/>
          <w:sz w:val="24"/>
          <w:lang w:val="en-US" w:eastAsia="zh-CN"/>
        </w:rPr>
        <w:t>立项</w:t>
      </w:r>
      <w:r>
        <w:rPr>
          <w:rFonts w:hint="eastAsia" w:ascii="楷体" w:hAnsi="楷体" w:eastAsia="楷体" w:cs="楷体"/>
          <w:sz w:val="24"/>
        </w:rPr>
        <w:t>项目及“镇江高新区杯”创新创业大赛</w:t>
      </w:r>
      <w:r>
        <w:rPr>
          <w:rFonts w:hint="eastAsia" w:ascii="楷体" w:hAnsi="楷体" w:eastAsia="楷体" w:cs="楷体"/>
          <w:sz w:val="24"/>
          <w:lang w:val="en-US" w:eastAsia="zh-CN"/>
        </w:rPr>
        <w:t>获奖项目</w:t>
      </w:r>
      <w:r>
        <w:rPr>
          <w:rFonts w:hint="eastAsia" w:ascii="楷体" w:hAnsi="楷体" w:eastAsia="楷体" w:cs="楷体"/>
          <w:sz w:val="24"/>
        </w:rPr>
        <w:t>。</w:t>
      </w:r>
    </w:p>
    <w:p w14:paraId="3B80ED92">
      <w:pPr>
        <w:numPr>
          <w:ilvl w:val="0"/>
          <w:numId w:val="3"/>
        </w:numPr>
        <w:spacing w:line="560" w:lineRule="exact"/>
        <w:ind w:firstLine="420"/>
        <w:rPr>
          <w:rFonts w:ascii="楷体" w:hAnsi="楷体" w:eastAsia="楷体" w:cs="楷体"/>
          <w:sz w:val="24"/>
        </w:rPr>
      </w:pPr>
      <w:r>
        <w:rPr>
          <w:rFonts w:hint="eastAsia" w:ascii="楷体" w:hAnsi="楷体" w:eastAsia="楷体" w:cs="楷体"/>
          <w:sz w:val="24"/>
        </w:rPr>
        <w:t>市级人才计划项目：</w:t>
      </w:r>
      <w:r>
        <w:rPr>
          <w:rFonts w:hint="eastAsia" w:ascii="楷体" w:hAnsi="楷体" w:eastAsia="楷体" w:cs="楷体"/>
          <w:sz w:val="24"/>
          <w:lang w:val="en-US" w:eastAsia="zh-CN"/>
        </w:rPr>
        <w:t>镇江市</w:t>
      </w:r>
      <w:r>
        <w:rPr>
          <w:rFonts w:hint="eastAsia" w:ascii="楷体" w:hAnsi="楷体" w:eastAsia="楷体" w:cs="楷体"/>
          <w:sz w:val="24"/>
        </w:rPr>
        <w:t>“金山英才”计划</w:t>
      </w:r>
      <w:r>
        <w:rPr>
          <w:rFonts w:hint="eastAsia" w:ascii="楷体" w:hAnsi="楷体" w:eastAsia="楷体" w:cs="楷体"/>
          <w:sz w:val="24"/>
          <w:lang w:val="en-US" w:eastAsia="zh-CN"/>
        </w:rPr>
        <w:t>立项</w:t>
      </w:r>
      <w:r>
        <w:rPr>
          <w:rFonts w:hint="eastAsia" w:ascii="楷体" w:hAnsi="楷体" w:eastAsia="楷体" w:cs="楷体"/>
          <w:sz w:val="24"/>
        </w:rPr>
        <w:t>项目等。</w:t>
      </w:r>
    </w:p>
    <w:p w14:paraId="326ED8FA">
      <w:pPr>
        <w:numPr>
          <w:ilvl w:val="0"/>
          <w:numId w:val="3"/>
        </w:numPr>
        <w:spacing w:line="560" w:lineRule="exact"/>
        <w:ind w:firstLine="420"/>
        <w:rPr>
          <w:rFonts w:ascii="楷体" w:hAnsi="楷体" w:eastAsia="楷体" w:cs="楷体"/>
          <w:sz w:val="24"/>
        </w:rPr>
      </w:pPr>
      <w:r>
        <w:rPr>
          <w:rFonts w:hint="eastAsia" w:ascii="楷体" w:hAnsi="楷体" w:eastAsia="楷体" w:cs="楷体"/>
          <w:sz w:val="24"/>
        </w:rPr>
        <w:t>省级人才计划项目：江苏省“双创计划”</w:t>
      </w:r>
      <w:r>
        <w:rPr>
          <w:rFonts w:hint="eastAsia" w:ascii="楷体" w:hAnsi="楷体" w:eastAsia="楷体" w:cs="楷体"/>
          <w:sz w:val="24"/>
          <w:lang w:val="en-US" w:eastAsia="zh-CN"/>
        </w:rPr>
        <w:t>立项项目</w:t>
      </w:r>
      <w:r>
        <w:rPr>
          <w:rFonts w:hint="eastAsia" w:ascii="楷体" w:hAnsi="楷体" w:eastAsia="楷体" w:cs="楷体"/>
          <w:sz w:val="24"/>
        </w:rPr>
        <w:t>等。</w:t>
      </w:r>
    </w:p>
    <w:p w14:paraId="36C94512">
      <w:pPr>
        <w:numPr>
          <w:ilvl w:val="0"/>
          <w:numId w:val="3"/>
        </w:numPr>
        <w:spacing w:line="560" w:lineRule="exact"/>
        <w:ind w:firstLine="480" w:firstLineChars="200"/>
        <w:rPr>
          <w:rFonts w:ascii="楷体" w:hAnsi="楷体" w:eastAsia="楷体" w:cs="楷体"/>
          <w:sz w:val="24"/>
        </w:rPr>
      </w:pPr>
      <w:r>
        <w:rPr>
          <w:rFonts w:hint="eastAsia" w:ascii="楷体" w:hAnsi="楷体" w:eastAsia="楷体" w:cs="楷体"/>
          <w:sz w:val="24"/>
        </w:rPr>
        <w:t>技术合同登记：考核期年度内，</w:t>
      </w:r>
      <w:r>
        <w:rPr>
          <w:rFonts w:hint="eastAsia" w:ascii="楷体" w:hAnsi="楷体" w:eastAsia="楷体" w:cs="楷体"/>
          <w:sz w:val="24"/>
          <w:lang w:val="en-US" w:eastAsia="zh-CN"/>
        </w:rPr>
        <w:t>孵化载体在孵及招引落地并经</w:t>
      </w:r>
      <w:r>
        <w:rPr>
          <w:rFonts w:hint="eastAsia" w:ascii="楷体" w:hAnsi="楷体" w:eastAsia="楷体" w:cs="楷体"/>
          <w:sz w:val="24"/>
        </w:rPr>
        <w:t>上级部门登记认定的技术合同中所约定的合同金额。</w:t>
      </w:r>
    </w:p>
    <w:p w14:paraId="2238CACB">
      <w:pPr>
        <w:numPr>
          <w:ilvl w:val="0"/>
          <w:numId w:val="3"/>
        </w:numPr>
        <w:spacing w:line="560" w:lineRule="exact"/>
        <w:ind w:firstLine="480" w:firstLineChars="200"/>
        <w:rPr>
          <w:rFonts w:ascii="楷体" w:hAnsi="楷体" w:eastAsia="楷体" w:cs="楷体"/>
          <w:sz w:val="24"/>
        </w:rPr>
      </w:pPr>
      <w:r>
        <w:rPr>
          <w:rFonts w:hint="eastAsia" w:ascii="楷体" w:hAnsi="楷体" w:eastAsia="楷体" w:cs="楷体"/>
          <w:sz w:val="24"/>
        </w:rPr>
        <w:t>国内外资本市场挂牌、上市企业：指国内外各级资本市场板块和省股交中心“专精特新”专板挂牌企业。</w:t>
      </w:r>
    </w:p>
    <w:p w14:paraId="23C70CB4">
      <w:pPr>
        <w:numPr>
          <w:ilvl w:val="0"/>
          <w:numId w:val="3"/>
        </w:numPr>
        <w:spacing w:line="560" w:lineRule="exact"/>
        <w:ind w:firstLine="480" w:firstLineChars="200"/>
        <w:rPr>
          <w:rFonts w:ascii="楷体" w:hAnsi="楷体" w:eastAsia="楷体"/>
          <w:sz w:val="24"/>
        </w:rPr>
      </w:pPr>
      <w:r>
        <w:rPr>
          <w:rFonts w:hint="eastAsia" w:ascii="楷体" w:hAnsi="楷体" w:eastAsia="楷体" w:cs="楷体"/>
          <w:sz w:val="24"/>
        </w:rPr>
        <w:t>省级（含）以上载体相关荣誉资质：</w:t>
      </w:r>
      <w:r>
        <w:rPr>
          <w:rFonts w:hint="eastAsia" w:ascii="楷体" w:hAnsi="楷体" w:eastAsia="楷体" w:cs="楷体"/>
          <w:sz w:val="24"/>
          <w:lang w:val="en-US" w:eastAsia="zh-CN"/>
        </w:rPr>
        <w:t>包括工信、科技、人社、市场监管、协会等条口组织开展的载体相关荣誉资质申报并成功获批，如</w:t>
      </w:r>
      <w:r>
        <w:rPr>
          <w:rFonts w:hint="eastAsia" w:ascii="楷体" w:hAnsi="楷体" w:eastAsia="楷体" w:cs="楷体"/>
          <w:sz w:val="24"/>
        </w:rPr>
        <w:t>小型微型企业创新创业示范基地（工信）、中小企业公共服务示范平台（工信）、海外人才离岸创新创业基地（科协）、专利导航服务基地（知识产权局）、江苏省创业示范基地（人社）、江苏省留创园（人社）等。</w:t>
      </w:r>
    </w:p>
    <w:p w14:paraId="517D40DA">
      <w:pPr>
        <w:keepNext w:val="0"/>
        <w:keepLines w:val="0"/>
        <w:pageBreakBefore w:val="0"/>
        <w:widowControl w:val="0"/>
        <w:tabs>
          <w:tab w:val="left" w:pos="720"/>
        </w:tabs>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color w:val="auto"/>
          <w:sz w:val="44"/>
          <w:szCs w:val="44"/>
          <w:highlight w:val="none"/>
          <w:lang w:val="en-US" w:eastAsia="zh-CN"/>
        </w:rPr>
        <w:sectPr>
          <w:footerReference r:id="rId4" w:type="default"/>
          <w:pgSz w:w="11905" w:h="16838"/>
          <w:pgMar w:top="1440" w:right="1803" w:bottom="1440" w:left="1803" w:header="850" w:footer="992" w:gutter="0"/>
          <w:pgNumType w:fmt="decimal"/>
          <w:cols w:space="0" w:num="1"/>
          <w:rtlGutter w:val="0"/>
          <w:docGrid w:type="lines" w:linePitch="319" w:charSpace="0"/>
        </w:sectPr>
      </w:pPr>
    </w:p>
    <w:p w14:paraId="0CE504C8">
      <w:pPr>
        <w:spacing w:line="560" w:lineRule="exact"/>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3、项目付款条件</w:t>
      </w:r>
    </w:p>
    <w:p w14:paraId="04DB9B25">
      <w:pPr>
        <w:adjustRightInd w:val="0"/>
        <w:snapToGrid w:val="0"/>
        <w:spacing w:line="560" w:lineRule="exact"/>
        <w:ind w:firstLine="480" w:firstLineChars="200"/>
        <w:rPr>
          <w:rFonts w:ascii="楷体" w:hAnsi="楷体" w:eastAsia="楷体" w:cs="楷体"/>
          <w:sz w:val="24"/>
        </w:rPr>
      </w:pPr>
      <w:r>
        <w:rPr>
          <w:rFonts w:hint="eastAsia" w:ascii="楷体" w:hAnsi="楷体" w:eastAsia="楷体" w:cs="楷体"/>
          <w:sz w:val="24"/>
          <w:lang w:val="en-US" w:eastAsia="zh-CN"/>
        </w:rPr>
        <w:t>采购人应</w:t>
      </w:r>
      <w:r>
        <w:rPr>
          <w:rFonts w:hint="eastAsia" w:ascii="楷体" w:hAnsi="楷体" w:eastAsia="楷体" w:cs="楷体"/>
          <w:sz w:val="24"/>
        </w:rPr>
        <w:t>向</w:t>
      </w:r>
      <w:r>
        <w:rPr>
          <w:rFonts w:hint="eastAsia" w:ascii="楷体" w:hAnsi="楷体" w:eastAsia="楷体" w:cs="楷体"/>
          <w:sz w:val="24"/>
          <w:lang w:val="en-US" w:eastAsia="zh-CN"/>
        </w:rPr>
        <w:t>运营商</w:t>
      </w:r>
      <w:r>
        <w:rPr>
          <w:rFonts w:hint="eastAsia" w:ascii="楷体" w:hAnsi="楷体" w:eastAsia="楷体" w:cs="楷体"/>
          <w:sz w:val="24"/>
        </w:rPr>
        <w:t>支付服务费，</w:t>
      </w:r>
      <w:r>
        <w:rPr>
          <w:rFonts w:hint="eastAsia" w:ascii="楷体" w:hAnsi="楷体" w:eastAsia="楷体" w:cs="楷体"/>
          <w:sz w:val="24"/>
          <w:lang w:val="en-US" w:eastAsia="zh-CN"/>
        </w:rPr>
        <w:t>主要涉及基本运营费、绩效奖励费、其他费用，</w:t>
      </w:r>
      <w:r>
        <w:rPr>
          <w:rFonts w:hint="eastAsia" w:ascii="楷体" w:hAnsi="楷体" w:eastAsia="楷体" w:cs="楷体"/>
          <w:sz w:val="24"/>
          <w:szCs w:val="40"/>
          <w:lang w:val="en-US" w:eastAsia="zh-CN"/>
        </w:rPr>
        <w:t>相应资金</w:t>
      </w:r>
      <w:r>
        <w:rPr>
          <w:rFonts w:hint="eastAsia" w:ascii="楷体" w:hAnsi="楷体" w:eastAsia="楷体" w:cs="楷体"/>
          <w:sz w:val="24"/>
          <w:szCs w:val="40"/>
        </w:rPr>
        <w:t>的拨付不受</w:t>
      </w:r>
      <w:r>
        <w:rPr>
          <w:rFonts w:hint="eastAsia" w:ascii="楷体" w:hAnsi="楷体" w:eastAsia="楷体" w:cs="楷体"/>
          <w:sz w:val="24"/>
          <w:szCs w:val="40"/>
          <w:lang w:val="en-US" w:eastAsia="zh-CN"/>
        </w:rPr>
        <w:t>本协议</w:t>
      </w:r>
      <w:r>
        <w:rPr>
          <w:rFonts w:hint="eastAsia" w:ascii="楷体" w:hAnsi="楷体" w:eastAsia="楷体" w:cs="楷体"/>
          <w:sz w:val="24"/>
          <w:szCs w:val="40"/>
        </w:rPr>
        <w:t>委托期的限制。</w:t>
      </w:r>
      <w:r>
        <w:rPr>
          <w:rFonts w:hint="eastAsia" w:ascii="楷体" w:hAnsi="楷体" w:eastAsia="楷体" w:cs="楷体"/>
          <w:sz w:val="24"/>
        </w:rPr>
        <w:t>具体</w:t>
      </w:r>
      <w:r>
        <w:rPr>
          <w:rFonts w:hint="eastAsia" w:ascii="楷体" w:hAnsi="楷体" w:eastAsia="楷体" w:cs="楷体"/>
          <w:sz w:val="24"/>
          <w:lang w:val="en-US" w:eastAsia="zh-CN"/>
        </w:rPr>
        <w:t>费用标准、支付方式、支付条件如下：</w:t>
      </w:r>
    </w:p>
    <w:p w14:paraId="734CE625">
      <w:pPr>
        <w:ind w:firstLine="480" w:firstLineChars="200"/>
        <w:rPr>
          <w:rFonts w:hint="eastAsia" w:ascii="楷体" w:hAnsi="楷体" w:eastAsia="楷体" w:cs="楷体"/>
          <w:color w:val="000000"/>
          <w:sz w:val="28"/>
          <w:szCs w:val="28"/>
          <w:lang w:val="en-US" w:eastAsia="zh-CN"/>
        </w:rPr>
      </w:pPr>
      <w:r>
        <w:rPr>
          <w:rFonts w:hint="eastAsia" w:ascii="楷体" w:hAnsi="楷体" w:eastAsia="楷体" w:cs="楷体"/>
          <w:b w:val="0"/>
          <w:bCs/>
          <w:sz w:val="24"/>
          <w:szCs w:val="24"/>
          <w:highlight w:val="none"/>
        </w:rPr>
        <w:t>（1）</w:t>
      </w:r>
      <w:r>
        <w:rPr>
          <w:rFonts w:hint="eastAsia" w:ascii="楷体" w:hAnsi="楷体" w:eastAsia="楷体" w:cs="楷体"/>
          <w:b w:val="0"/>
          <w:bCs/>
          <w:sz w:val="24"/>
          <w:szCs w:val="24"/>
          <w:highlight w:val="none"/>
          <w:lang w:val="en-US" w:eastAsia="zh-CN"/>
        </w:rPr>
        <w:t>基本运营费：每年度总额</w:t>
      </w:r>
      <w:r>
        <w:rPr>
          <w:rFonts w:hint="eastAsia" w:ascii="楷体" w:hAnsi="楷体" w:eastAsia="楷体" w:cs="楷体"/>
          <w:b w:val="0"/>
          <w:bCs/>
          <w:sz w:val="24"/>
          <w:szCs w:val="24"/>
          <w:highlight w:val="none"/>
          <w:u w:val="single"/>
          <w:lang w:val="en-US" w:eastAsia="zh-CN"/>
        </w:rPr>
        <w:t xml:space="preserve">         </w:t>
      </w:r>
      <w:r>
        <w:rPr>
          <w:rFonts w:hint="eastAsia" w:ascii="楷体" w:hAnsi="楷体" w:eastAsia="楷体" w:cs="楷体"/>
          <w:b w:val="0"/>
          <w:bCs/>
          <w:sz w:val="24"/>
          <w:szCs w:val="24"/>
          <w:highlight w:val="none"/>
          <w:lang w:val="en-US" w:eastAsia="zh-CN"/>
        </w:rPr>
        <w:t>万元</w:t>
      </w:r>
    </w:p>
    <w:p w14:paraId="7B3E9943">
      <w:pPr>
        <w:adjustRightInd w:val="0"/>
        <w:snapToGrid w:val="0"/>
        <w:spacing w:line="560" w:lineRule="exact"/>
        <w:ind w:firstLine="480" w:firstLineChars="200"/>
        <w:rPr>
          <w:rFonts w:hint="eastAsia" w:ascii="楷体" w:hAnsi="楷体" w:eastAsia="楷体" w:cs="楷体"/>
          <w:b w:val="0"/>
          <w:bCs/>
          <w:sz w:val="24"/>
          <w:highlight w:val="none"/>
          <w:lang w:val="en-US" w:eastAsia="zh-CN"/>
        </w:rPr>
      </w:pPr>
      <w:r>
        <w:rPr>
          <w:rFonts w:hint="eastAsia" w:ascii="楷体" w:hAnsi="楷体" w:eastAsia="楷体" w:cs="楷体"/>
          <w:b w:val="0"/>
          <w:bCs/>
          <w:sz w:val="24"/>
          <w:highlight w:val="none"/>
        </w:rPr>
        <w:t>每个考核年度</w:t>
      </w:r>
      <w:r>
        <w:rPr>
          <w:rFonts w:hint="eastAsia" w:ascii="楷体" w:hAnsi="楷体" w:eastAsia="楷体" w:cs="楷体"/>
          <w:b w:val="0"/>
          <w:bCs/>
          <w:sz w:val="24"/>
          <w:highlight w:val="none"/>
          <w:lang w:val="en-US" w:eastAsia="zh-CN"/>
        </w:rPr>
        <w:t>开始</w:t>
      </w:r>
      <w:r>
        <w:rPr>
          <w:rFonts w:hint="eastAsia" w:ascii="楷体" w:hAnsi="楷体" w:eastAsia="楷体" w:cs="楷体"/>
          <w:b w:val="0"/>
          <w:bCs/>
          <w:color w:val="auto"/>
          <w:sz w:val="24"/>
          <w:highlight w:val="none"/>
          <w:lang w:val="en-US" w:eastAsia="zh-CN"/>
        </w:rPr>
        <w:t>收到运营商发票之日起</w:t>
      </w:r>
      <w:r>
        <w:rPr>
          <w:rFonts w:hint="eastAsia" w:ascii="楷体" w:hAnsi="楷体" w:eastAsia="楷体" w:cs="楷体"/>
          <w:color w:val="auto"/>
          <w:sz w:val="24"/>
          <w:szCs w:val="24"/>
          <w:highlight w:val="none"/>
          <w:lang w:val="en-US" w:eastAsia="zh-CN"/>
        </w:rPr>
        <w:t>10个工作日</w:t>
      </w:r>
      <w:r>
        <w:rPr>
          <w:rFonts w:hint="eastAsia" w:ascii="楷体" w:hAnsi="楷体" w:eastAsia="楷体" w:cs="楷体"/>
          <w:b w:val="0"/>
          <w:bCs/>
          <w:color w:val="auto"/>
          <w:sz w:val="24"/>
          <w:highlight w:val="none"/>
          <w:lang w:val="en-US" w:eastAsia="zh-CN"/>
        </w:rPr>
        <w:t>内</w:t>
      </w:r>
      <w:r>
        <w:rPr>
          <w:rFonts w:hint="eastAsia" w:ascii="楷体" w:hAnsi="楷体" w:eastAsia="楷体" w:cs="楷体"/>
          <w:b w:val="0"/>
          <w:bCs/>
          <w:color w:val="auto"/>
          <w:sz w:val="24"/>
          <w:highlight w:val="none"/>
        </w:rPr>
        <w:t>，</w:t>
      </w:r>
      <w:r>
        <w:rPr>
          <w:rFonts w:hint="eastAsia" w:ascii="楷体" w:hAnsi="楷体" w:eastAsia="楷体" w:cs="楷体"/>
          <w:b w:val="0"/>
          <w:bCs/>
          <w:color w:val="auto"/>
          <w:sz w:val="24"/>
          <w:highlight w:val="none"/>
          <w:lang w:val="en-US" w:eastAsia="zh-CN"/>
        </w:rPr>
        <w:t>采购人</w:t>
      </w:r>
      <w:r>
        <w:rPr>
          <w:rFonts w:hint="eastAsia" w:ascii="楷体" w:hAnsi="楷体" w:eastAsia="楷体" w:cs="楷体"/>
          <w:b w:val="0"/>
          <w:bCs/>
          <w:color w:val="auto"/>
          <w:sz w:val="24"/>
          <w:highlight w:val="none"/>
        </w:rPr>
        <w:t>支付当年</w:t>
      </w:r>
      <w:r>
        <w:rPr>
          <w:rFonts w:hint="eastAsia" w:ascii="楷体" w:hAnsi="楷体" w:eastAsia="楷体" w:cs="楷体"/>
          <w:b w:val="0"/>
          <w:bCs/>
          <w:color w:val="auto"/>
          <w:sz w:val="24"/>
          <w:highlight w:val="none"/>
          <w:lang w:val="en-US" w:eastAsia="zh-CN"/>
        </w:rPr>
        <w:t>基本</w:t>
      </w:r>
      <w:r>
        <w:rPr>
          <w:rFonts w:hint="eastAsia" w:ascii="楷体" w:hAnsi="楷体" w:eastAsia="楷体" w:cs="楷体"/>
          <w:b w:val="0"/>
          <w:bCs/>
          <w:color w:val="auto"/>
          <w:sz w:val="24"/>
          <w:highlight w:val="none"/>
        </w:rPr>
        <w:t>运营费的</w:t>
      </w:r>
      <w:r>
        <w:rPr>
          <w:rFonts w:hint="eastAsia" w:ascii="楷体" w:hAnsi="楷体" w:eastAsia="楷体" w:cs="楷体"/>
          <w:b w:val="0"/>
          <w:bCs/>
          <w:color w:val="auto"/>
          <w:sz w:val="24"/>
          <w:highlight w:val="none"/>
          <w:lang w:val="en-US" w:eastAsia="zh-CN"/>
        </w:rPr>
        <w:t>50</w:t>
      </w:r>
      <w:r>
        <w:rPr>
          <w:rFonts w:hint="eastAsia" w:ascii="楷体" w:hAnsi="楷体" w:eastAsia="楷体" w:cs="楷体"/>
          <w:b w:val="0"/>
          <w:bCs/>
          <w:color w:val="auto"/>
          <w:sz w:val="24"/>
          <w:highlight w:val="none"/>
        </w:rPr>
        <w:t>%；每个考核年度</w:t>
      </w:r>
      <w:r>
        <w:rPr>
          <w:rFonts w:hint="eastAsia" w:ascii="楷体" w:hAnsi="楷体" w:eastAsia="楷体" w:cs="楷体"/>
          <w:b w:val="0"/>
          <w:bCs/>
          <w:color w:val="auto"/>
          <w:sz w:val="24"/>
          <w:highlight w:val="none"/>
          <w:lang w:val="en-US" w:eastAsia="zh-CN"/>
        </w:rPr>
        <w:t>结束后次月</w:t>
      </w:r>
      <w:r>
        <w:rPr>
          <w:rFonts w:hint="eastAsia" w:ascii="楷体" w:hAnsi="楷体" w:eastAsia="楷体" w:cs="楷体"/>
          <w:b w:val="0"/>
          <w:bCs/>
          <w:color w:val="auto"/>
          <w:sz w:val="24"/>
          <w:highlight w:val="none"/>
        </w:rPr>
        <w:t>进行上年度考核，</w:t>
      </w:r>
      <w:r>
        <w:rPr>
          <w:rFonts w:hint="eastAsia" w:ascii="楷体" w:hAnsi="楷体" w:eastAsia="楷体" w:cs="楷体"/>
          <w:b w:val="0"/>
          <w:bCs/>
          <w:color w:val="auto"/>
          <w:sz w:val="24"/>
          <w:highlight w:val="none"/>
          <w:lang w:val="en-US" w:eastAsia="zh-CN"/>
        </w:rPr>
        <w:t>采购人</w:t>
      </w:r>
      <w:r>
        <w:rPr>
          <w:rFonts w:hint="eastAsia" w:ascii="楷体" w:hAnsi="楷体" w:eastAsia="楷体" w:cs="楷体"/>
          <w:b w:val="0"/>
          <w:bCs/>
          <w:sz w:val="24"/>
          <w:highlight w:val="none"/>
        </w:rPr>
        <w:t>委托第三方机构审核</w:t>
      </w:r>
      <w:r>
        <w:rPr>
          <w:rFonts w:hint="eastAsia" w:ascii="楷体" w:hAnsi="楷体" w:eastAsia="楷体" w:cs="楷体"/>
          <w:b w:val="0"/>
          <w:bCs/>
          <w:sz w:val="24"/>
          <w:highlight w:val="none"/>
          <w:lang w:val="en-US" w:eastAsia="zh-CN"/>
        </w:rPr>
        <w:t>运营商</w:t>
      </w:r>
      <w:r>
        <w:rPr>
          <w:rFonts w:hint="eastAsia" w:ascii="楷体" w:hAnsi="楷体" w:eastAsia="楷体" w:cs="楷体"/>
          <w:b w:val="0"/>
          <w:bCs/>
          <w:sz w:val="24"/>
          <w:highlight w:val="none"/>
        </w:rPr>
        <w:t>上年度完成的考核任务</w:t>
      </w:r>
      <w:r>
        <w:rPr>
          <w:rFonts w:hint="eastAsia" w:ascii="楷体" w:hAnsi="楷体" w:eastAsia="楷体" w:cs="楷体"/>
          <w:b w:val="0"/>
          <w:bCs/>
          <w:sz w:val="24"/>
          <w:highlight w:val="none"/>
          <w:lang w:eastAsia="zh-CN"/>
        </w:rPr>
        <w:t>，</w:t>
      </w:r>
      <w:r>
        <w:rPr>
          <w:rFonts w:hint="eastAsia" w:ascii="楷体" w:hAnsi="楷体" w:eastAsia="楷体" w:cs="楷体"/>
          <w:b w:val="0"/>
          <w:bCs/>
          <w:sz w:val="24"/>
          <w:highlight w:val="none"/>
          <w:lang w:val="en-US" w:eastAsia="zh-CN"/>
        </w:rPr>
        <w:t>根据考核结果在</w:t>
      </w:r>
      <w:r>
        <w:rPr>
          <w:rFonts w:hint="eastAsia" w:ascii="楷体" w:hAnsi="楷体" w:eastAsia="楷体" w:cs="楷体"/>
          <w:b w:val="0"/>
          <w:bCs/>
          <w:sz w:val="24"/>
          <w:highlight w:val="none"/>
        </w:rPr>
        <w:t>审核结束后2个月内</w:t>
      </w:r>
      <w:r>
        <w:rPr>
          <w:rFonts w:hint="eastAsia" w:ascii="楷体" w:hAnsi="楷体" w:eastAsia="楷体" w:cs="楷体"/>
          <w:b w:val="0"/>
          <w:bCs/>
          <w:sz w:val="24"/>
          <w:highlight w:val="none"/>
          <w:lang w:val="en-US" w:eastAsia="zh-CN"/>
        </w:rPr>
        <w:t>按以下规定支付剩余30%的基本运营费。</w:t>
      </w:r>
    </w:p>
    <w:p w14:paraId="547F5F4C">
      <w:pPr>
        <w:adjustRightInd w:val="0"/>
        <w:snapToGrid w:val="0"/>
        <w:spacing w:line="560" w:lineRule="exact"/>
        <w:ind w:firstLine="480" w:firstLineChars="200"/>
        <w:rPr>
          <w:rFonts w:hint="eastAsia" w:ascii="楷体" w:hAnsi="楷体" w:eastAsia="楷体" w:cs="楷体"/>
          <w:bCs/>
          <w:sz w:val="24"/>
          <w:szCs w:val="40"/>
          <w:highlight w:val="none"/>
          <w:lang w:val="en-US" w:eastAsia="zh-CN"/>
        </w:rPr>
      </w:pPr>
      <w:r>
        <w:rPr>
          <w:rFonts w:hint="eastAsia" w:ascii="楷体" w:hAnsi="楷体" w:eastAsia="楷体" w:cs="楷体"/>
          <w:color w:val="000000"/>
          <w:sz w:val="24"/>
          <w:szCs w:val="24"/>
          <w:lang w:val="en-US" w:eastAsia="zh-CN"/>
        </w:rPr>
        <w:t>除部级（标准级）孵化器对应20</w:t>
      </w:r>
      <w:r>
        <w:rPr>
          <w:rFonts w:hint="eastAsia" w:ascii="楷体" w:hAnsi="楷体" w:eastAsia="楷体" w:cs="楷体"/>
          <w:sz w:val="24"/>
          <w:szCs w:val="24"/>
          <w:lang w:val="en-US" w:eastAsia="zh-CN"/>
        </w:rPr>
        <w:t>%的基本运营费外，年度剩余基本运营费相关基本运营指标</w:t>
      </w:r>
      <w:r>
        <w:rPr>
          <w:rFonts w:hint="eastAsia" w:ascii="楷体" w:hAnsi="楷体" w:eastAsia="楷体" w:cs="楷体"/>
          <w:bCs/>
          <w:sz w:val="24"/>
          <w:szCs w:val="40"/>
          <w:highlight w:val="none"/>
        </w:rPr>
        <w:t>考核得分</w:t>
      </w:r>
      <w:r>
        <w:rPr>
          <w:rFonts w:hint="eastAsia" w:ascii="楷体" w:hAnsi="楷体" w:eastAsia="楷体" w:cs="楷体"/>
          <w:bCs/>
          <w:sz w:val="24"/>
          <w:szCs w:val="40"/>
          <w:highlight w:val="none"/>
          <w:lang w:val="en-US" w:eastAsia="zh-CN"/>
        </w:rPr>
        <w:t>及支付条件如下：</w:t>
      </w:r>
    </w:p>
    <w:p w14:paraId="70FEE063">
      <w:pPr>
        <w:adjustRightInd w:val="0"/>
        <w:snapToGrid w:val="0"/>
        <w:spacing w:line="560" w:lineRule="exact"/>
        <w:ind w:firstLine="480" w:firstLineChars="200"/>
        <w:rPr>
          <w:rFonts w:ascii="楷体" w:hAnsi="楷体" w:eastAsia="楷体" w:cs="楷体"/>
          <w:sz w:val="24"/>
          <w:szCs w:val="40"/>
          <w:highlight w:val="none"/>
        </w:rPr>
      </w:pPr>
      <w:r>
        <w:rPr>
          <w:rFonts w:hint="eastAsia" w:ascii="楷体" w:hAnsi="楷体" w:eastAsia="楷体" w:cs="楷体"/>
          <w:bCs/>
          <w:sz w:val="24"/>
          <w:szCs w:val="40"/>
          <w:highlight w:val="none"/>
          <w:lang w:val="en-US" w:eastAsia="zh-CN"/>
        </w:rPr>
        <w:t>7</w:t>
      </w:r>
      <w:r>
        <w:rPr>
          <w:rFonts w:hint="eastAsia" w:ascii="楷体" w:hAnsi="楷体" w:eastAsia="楷体" w:cs="楷体"/>
          <w:bCs/>
          <w:sz w:val="24"/>
          <w:szCs w:val="40"/>
          <w:highlight w:val="none"/>
        </w:rPr>
        <w:t>0分</w:t>
      </w:r>
      <w:r>
        <w:rPr>
          <w:rFonts w:hint="eastAsia" w:ascii="楷体" w:hAnsi="楷体" w:eastAsia="楷体" w:cs="楷体"/>
          <w:bCs/>
          <w:sz w:val="24"/>
          <w:szCs w:val="40"/>
          <w:highlight w:val="none"/>
          <w:lang w:val="en-US" w:eastAsia="zh-CN"/>
        </w:rPr>
        <w:t>及以上</w:t>
      </w:r>
      <w:r>
        <w:rPr>
          <w:rFonts w:hint="eastAsia" w:ascii="楷体" w:hAnsi="楷体" w:eastAsia="楷体" w:cs="楷体"/>
          <w:bCs/>
          <w:sz w:val="24"/>
          <w:szCs w:val="40"/>
          <w:highlight w:val="none"/>
        </w:rPr>
        <w:t>：</w:t>
      </w:r>
      <w:r>
        <w:rPr>
          <w:rFonts w:hint="eastAsia" w:ascii="楷体" w:hAnsi="楷体" w:eastAsia="楷体" w:cs="楷体"/>
          <w:bCs/>
          <w:sz w:val="24"/>
          <w:szCs w:val="40"/>
          <w:highlight w:val="none"/>
          <w:lang w:val="en-US" w:eastAsia="zh-CN"/>
        </w:rPr>
        <w:t>剩余基本运营费</w:t>
      </w:r>
      <w:r>
        <w:rPr>
          <w:rFonts w:hint="eastAsia" w:ascii="楷体" w:hAnsi="楷体" w:eastAsia="楷体" w:cs="楷体"/>
          <w:sz w:val="24"/>
          <w:szCs w:val="40"/>
          <w:highlight w:val="none"/>
        </w:rPr>
        <w:t>依据对应考核分数百分比支付；</w:t>
      </w:r>
    </w:p>
    <w:p w14:paraId="37A5E9D0">
      <w:pPr>
        <w:adjustRightInd w:val="0"/>
        <w:snapToGrid w:val="0"/>
        <w:spacing w:line="560" w:lineRule="exact"/>
        <w:ind w:firstLine="480" w:firstLineChars="200"/>
        <w:rPr>
          <w:rFonts w:hint="eastAsia" w:ascii="楷体" w:hAnsi="楷体" w:eastAsia="楷体" w:cs="楷体"/>
          <w:sz w:val="24"/>
          <w:szCs w:val="40"/>
          <w:highlight w:val="none"/>
          <w:lang w:eastAsia="zh-CN"/>
        </w:rPr>
      </w:pPr>
      <w:r>
        <w:rPr>
          <w:rFonts w:hint="eastAsia" w:ascii="楷体" w:hAnsi="楷体" w:eastAsia="楷体" w:cs="楷体"/>
          <w:bCs/>
          <w:sz w:val="24"/>
          <w:szCs w:val="40"/>
          <w:highlight w:val="none"/>
          <w:lang w:val="en-US" w:eastAsia="zh-CN"/>
        </w:rPr>
        <w:t>小于7</w:t>
      </w:r>
      <w:r>
        <w:rPr>
          <w:rFonts w:hint="eastAsia" w:ascii="楷体" w:hAnsi="楷体" w:eastAsia="楷体" w:cs="楷体"/>
          <w:bCs/>
          <w:sz w:val="24"/>
          <w:szCs w:val="40"/>
          <w:highlight w:val="none"/>
        </w:rPr>
        <w:t>0分：</w:t>
      </w:r>
      <w:r>
        <w:rPr>
          <w:rFonts w:hint="eastAsia" w:ascii="楷体" w:hAnsi="楷体" w:eastAsia="楷体" w:cs="楷体"/>
          <w:sz w:val="24"/>
          <w:szCs w:val="40"/>
          <w:highlight w:val="none"/>
        </w:rPr>
        <w:t>视为不合格，</w:t>
      </w:r>
      <w:r>
        <w:rPr>
          <w:rFonts w:hint="eastAsia" w:ascii="楷体" w:hAnsi="楷体" w:eastAsia="楷体" w:cs="楷体"/>
          <w:sz w:val="24"/>
          <w:szCs w:val="40"/>
          <w:highlight w:val="none"/>
          <w:lang w:val="en-US" w:eastAsia="zh-CN"/>
        </w:rPr>
        <w:t>采购人</w:t>
      </w:r>
      <w:r>
        <w:rPr>
          <w:rFonts w:hint="eastAsia" w:ascii="楷体" w:hAnsi="楷体" w:eastAsia="楷体" w:cs="楷体"/>
          <w:sz w:val="24"/>
          <w:szCs w:val="40"/>
          <w:highlight w:val="none"/>
        </w:rPr>
        <w:t>暂停拨付</w:t>
      </w:r>
      <w:r>
        <w:rPr>
          <w:rFonts w:hint="eastAsia" w:ascii="楷体" w:hAnsi="楷体" w:eastAsia="楷体" w:cs="楷体"/>
          <w:sz w:val="24"/>
          <w:szCs w:val="40"/>
          <w:highlight w:val="none"/>
          <w:lang w:val="en-US" w:eastAsia="zh-CN"/>
        </w:rPr>
        <w:t>剩余</w:t>
      </w:r>
      <w:r>
        <w:rPr>
          <w:rFonts w:hint="eastAsia" w:ascii="楷体" w:hAnsi="楷体" w:eastAsia="楷体" w:cs="楷体"/>
          <w:bCs/>
          <w:sz w:val="24"/>
          <w:szCs w:val="40"/>
          <w:highlight w:val="none"/>
          <w:lang w:val="en-US" w:eastAsia="zh-CN"/>
        </w:rPr>
        <w:t>基本运营费</w:t>
      </w:r>
      <w:r>
        <w:rPr>
          <w:rFonts w:hint="eastAsia" w:ascii="楷体" w:hAnsi="楷体" w:eastAsia="楷体" w:cs="楷体"/>
          <w:sz w:val="24"/>
          <w:szCs w:val="40"/>
          <w:highlight w:val="none"/>
        </w:rPr>
        <w:t>，并给予3个月整改期。</w:t>
      </w:r>
      <w:r>
        <w:rPr>
          <w:rFonts w:hint="eastAsia" w:ascii="楷体" w:hAnsi="楷体" w:eastAsia="楷体" w:cs="楷体"/>
          <w:sz w:val="24"/>
          <w:szCs w:val="40"/>
          <w:highlight w:val="none"/>
          <w:lang w:eastAsia="zh-CN"/>
        </w:rPr>
        <w:t>（</w:t>
      </w:r>
      <w:r>
        <w:rPr>
          <w:rFonts w:hint="eastAsia" w:ascii="楷体" w:hAnsi="楷体" w:eastAsia="楷体" w:cs="楷体"/>
          <w:sz w:val="24"/>
          <w:szCs w:val="40"/>
          <w:highlight w:val="none"/>
        </w:rPr>
        <w:t>整改期间完成的</w:t>
      </w:r>
      <w:r>
        <w:rPr>
          <w:rFonts w:hint="eastAsia" w:ascii="楷体" w:hAnsi="楷体" w:eastAsia="楷体" w:cs="楷体"/>
          <w:sz w:val="24"/>
          <w:szCs w:val="40"/>
          <w:highlight w:val="none"/>
          <w:lang w:val="en-US" w:eastAsia="zh-CN"/>
        </w:rPr>
        <w:t>基本运营</w:t>
      </w:r>
      <w:r>
        <w:rPr>
          <w:rFonts w:hint="eastAsia" w:ascii="楷体" w:hAnsi="楷体" w:eastAsia="楷体" w:cs="楷体"/>
          <w:sz w:val="24"/>
          <w:szCs w:val="40"/>
          <w:highlight w:val="none"/>
        </w:rPr>
        <w:t>指标计入上年度考核，不重复计入当年考核。整改期届满，考核得分≥</w:t>
      </w:r>
      <w:r>
        <w:rPr>
          <w:rFonts w:hint="eastAsia" w:ascii="楷体" w:hAnsi="楷体" w:eastAsia="楷体" w:cs="楷体"/>
          <w:sz w:val="24"/>
          <w:szCs w:val="40"/>
          <w:highlight w:val="none"/>
          <w:lang w:val="en-US" w:eastAsia="zh-CN"/>
        </w:rPr>
        <w:t>7</w:t>
      </w:r>
      <w:r>
        <w:rPr>
          <w:rFonts w:hint="eastAsia" w:ascii="楷体" w:hAnsi="楷体" w:eastAsia="楷体" w:cs="楷体"/>
          <w:sz w:val="24"/>
          <w:szCs w:val="40"/>
          <w:highlight w:val="none"/>
        </w:rPr>
        <w:t>0分的，</w:t>
      </w:r>
      <w:r>
        <w:rPr>
          <w:rFonts w:hint="eastAsia" w:ascii="楷体" w:hAnsi="楷体" w:eastAsia="楷体" w:cs="楷体"/>
          <w:bCs/>
          <w:sz w:val="24"/>
          <w:szCs w:val="40"/>
          <w:highlight w:val="none"/>
          <w:lang w:val="en-US" w:eastAsia="zh-CN"/>
        </w:rPr>
        <w:t>剩余基本运营费</w:t>
      </w:r>
      <w:r>
        <w:rPr>
          <w:rFonts w:hint="eastAsia" w:ascii="楷体" w:hAnsi="楷体" w:eastAsia="楷体" w:cs="楷体"/>
          <w:sz w:val="24"/>
          <w:szCs w:val="40"/>
          <w:highlight w:val="none"/>
        </w:rPr>
        <w:t>依据对应考核分数百分比补发；考核得分&lt;</w:t>
      </w:r>
      <w:r>
        <w:rPr>
          <w:rFonts w:hint="eastAsia" w:ascii="楷体" w:hAnsi="楷体" w:eastAsia="楷体" w:cs="楷体"/>
          <w:sz w:val="24"/>
          <w:szCs w:val="40"/>
          <w:highlight w:val="none"/>
          <w:lang w:val="en-US" w:eastAsia="zh-CN"/>
        </w:rPr>
        <w:t>7</w:t>
      </w:r>
      <w:r>
        <w:rPr>
          <w:rFonts w:hint="eastAsia" w:ascii="楷体" w:hAnsi="楷体" w:eastAsia="楷体" w:cs="楷体"/>
          <w:sz w:val="24"/>
          <w:szCs w:val="40"/>
          <w:highlight w:val="none"/>
        </w:rPr>
        <w:t>0分，</w:t>
      </w:r>
      <w:r>
        <w:rPr>
          <w:rFonts w:hint="eastAsia" w:ascii="楷体" w:hAnsi="楷体" w:eastAsia="楷体" w:cs="楷体"/>
          <w:sz w:val="24"/>
          <w:szCs w:val="40"/>
          <w:highlight w:val="none"/>
          <w:lang w:val="en-US" w:eastAsia="zh-CN"/>
        </w:rPr>
        <w:t>剩余</w:t>
      </w:r>
      <w:r>
        <w:rPr>
          <w:rFonts w:hint="eastAsia" w:ascii="楷体" w:hAnsi="楷体" w:eastAsia="楷体" w:cs="楷体"/>
          <w:bCs/>
          <w:sz w:val="24"/>
          <w:szCs w:val="40"/>
          <w:highlight w:val="none"/>
          <w:lang w:val="en-US" w:eastAsia="zh-CN"/>
        </w:rPr>
        <w:t>基本运营费</w:t>
      </w:r>
      <w:r>
        <w:rPr>
          <w:rFonts w:hint="eastAsia" w:ascii="楷体" w:hAnsi="楷体" w:eastAsia="楷体" w:cs="楷体"/>
          <w:sz w:val="24"/>
          <w:szCs w:val="40"/>
          <w:highlight w:val="none"/>
        </w:rPr>
        <w:t>不予拨付。</w:t>
      </w:r>
      <w:r>
        <w:rPr>
          <w:rFonts w:hint="eastAsia" w:ascii="楷体" w:hAnsi="楷体" w:eastAsia="楷体" w:cs="楷体"/>
          <w:sz w:val="24"/>
          <w:szCs w:val="40"/>
          <w:highlight w:val="none"/>
          <w:lang w:eastAsia="zh-CN"/>
        </w:rPr>
        <w:t>）</w:t>
      </w:r>
    </w:p>
    <w:p w14:paraId="4A3DAD8B">
      <w:pPr>
        <w:keepNext w:val="0"/>
        <w:keepLines w:val="0"/>
        <w:pageBreakBefore w:val="0"/>
        <w:widowControl w:val="0"/>
        <w:kinsoku/>
        <w:wordWrap/>
        <w:overflowPunct/>
        <w:topLinePunct w:val="0"/>
        <w:autoSpaceDE/>
        <w:autoSpaceDN/>
        <w:bidi w:val="0"/>
        <w:snapToGrid w:val="0"/>
        <w:spacing w:line="560" w:lineRule="exact"/>
        <w:ind w:firstLine="480" w:firstLineChars="200"/>
        <w:textAlignment w:val="auto"/>
        <w:rPr>
          <w:rFonts w:hint="eastAsia" w:ascii="楷体" w:hAnsi="楷体" w:eastAsia="楷体" w:cs="楷体"/>
          <w:color w:val="000000"/>
          <w:sz w:val="24"/>
          <w:szCs w:val="24"/>
          <w:lang w:val="en-US" w:eastAsia="zh-CN"/>
        </w:rPr>
      </w:pPr>
    </w:p>
    <w:p w14:paraId="59200752">
      <w:pPr>
        <w:keepNext w:val="0"/>
        <w:keepLines w:val="0"/>
        <w:pageBreakBefore w:val="0"/>
        <w:widowControl w:val="0"/>
        <w:kinsoku/>
        <w:wordWrap/>
        <w:overflowPunct/>
        <w:topLinePunct w:val="0"/>
        <w:autoSpaceDE/>
        <w:autoSpaceDN/>
        <w:bidi w:val="0"/>
        <w:snapToGrid w:val="0"/>
        <w:spacing w:line="560" w:lineRule="exact"/>
        <w:ind w:firstLine="480" w:firstLineChars="200"/>
        <w:textAlignment w:val="auto"/>
        <w:rPr>
          <w:rFonts w:hint="eastAsia" w:ascii="楷体" w:hAnsi="楷体" w:eastAsia="楷体" w:cs="楷体"/>
          <w:color w:val="auto"/>
          <w:sz w:val="24"/>
          <w:szCs w:val="24"/>
          <w:lang w:val="en-US" w:eastAsia="zh-CN"/>
        </w:rPr>
      </w:pPr>
      <w:r>
        <w:rPr>
          <w:rFonts w:hint="eastAsia" w:ascii="楷体" w:hAnsi="楷体" w:eastAsia="楷体" w:cs="楷体"/>
          <w:color w:val="000000"/>
          <w:sz w:val="24"/>
          <w:szCs w:val="24"/>
          <w:lang w:val="en-US" w:eastAsia="zh-CN"/>
        </w:rPr>
        <w:t>运营商应在本协议委托期内完成部级（标准级）孵化器申报工作并成功获</w:t>
      </w:r>
      <w:r>
        <w:rPr>
          <w:rFonts w:hint="eastAsia" w:ascii="楷体" w:hAnsi="楷体" w:eastAsia="楷体" w:cs="楷体"/>
          <w:color w:val="auto"/>
          <w:sz w:val="24"/>
          <w:szCs w:val="24"/>
          <w:lang w:val="en-US" w:eastAsia="zh-CN"/>
        </w:rPr>
        <w:t>批，该项内容每年度均对应20%的基本运营费。</w:t>
      </w:r>
    </w:p>
    <w:p w14:paraId="7267EAE1">
      <w:pPr>
        <w:adjustRightInd w:val="0"/>
        <w:snapToGrid w:val="0"/>
        <w:spacing w:line="560" w:lineRule="exact"/>
        <w:ind w:firstLine="480" w:firstLineChars="200"/>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若委托期第一年部级（标准级）孵化器未申报，则第一年度结束时，运营商应根据部级孵化器标准提供佐证材料，以证明完成本年度工作，采购人委托第三方机构审核运营商上年度完成的考核任务，在确认运营商已完成本年度工作之日起15个工作日内拨付委托期内第一年度20%的基本运营费；</w:t>
      </w:r>
    </w:p>
    <w:p w14:paraId="39202820">
      <w:pPr>
        <w:adjustRightInd w:val="0"/>
        <w:snapToGrid w:val="0"/>
        <w:spacing w:line="560" w:lineRule="exact"/>
        <w:ind w:firstLine="480" w:firstLineChars="200"/>
        <w:rPr>
          <w:rFonts w:hint="eastAsia" w:ascii="楷体" w:hAnsi="楷体" w:eastAsia="楷体" w:cs="楷体"/>
          <w:color w:val="0000FF"/>
          <w:sz w:val="24"/>
          <w:szCs w:val="24"/>
          <w:highlight w:val="none"/>
          <w:lang w:val="en-US" w:eastAsia="zh-CN"/>
        </w:rPr>
      </w:pPr>
      <w:r>
        <w:rPr>
          <w:rFonts w:hint="eastAsia" w:ascii="楷体" w:hAnsi="楷体" w:eastAsia="楷体" w:cs="楷体"/>
          <w:color w:val="auto"/>
          <w:sz w:val="24"/>
          <w:szCs w:val="24"/>
          <w:highlight w:val="none"/>
          <w:lang w:val="en-US" w:eastAsia="zh-CN"/>
        </w:rPr>
        <w:t>若委托期第二年部级（标准级）孵化器未申报，则第二年度结束时，运营商应根据部级孵化器标准提供佐证材料，以证明完成本年度工作，采购人委托第三方机构审核运营商上年度完成的考核任务，在确认运营商已完成本年度工作之日起15个工作日内拨付委托期内第二年度20%的基本运营费；</w:t>
      </w:r>
    </w:p>
    <w:p w14:paraId="480875BF">
      <w:pPr>
        <w:adjustRightInd w:val="0"/>
        <w:snapToGrid w:val="0"/>
        <w:spacing w:line="560" w:lineRule="exact"/>
        <w:ind w:firstLine="480" w:firstLineChars="200"/>
        <w:rPr>
          <w:rFonts w:hint="eastAsia" w:ascii="楷体" w:hAnsi="楷体" w:eastAsia="楷体" w:cs="楷体"/>
          <w:sz w:val="24"/>
          <w:szCs w:val="40"/>
          <w:highlight w:val="none"/>
          <w:lang w:eastAsia="zh-CN"/>
        </w:rPr>
      </w:pPr>
      <w:r>
        <w:rPr>
          <w:rFonts w:hint="eastAsia" w:ascii="楷体" w:hAnsi="楷体" w:eastAsia="楷体" w:cs="楷体"/>
          <w:color w:val="auto"/>
          <w:sz w:val="24"/>
          <w:szCs w:val="24"/>
          <w:lang w:val="en-US" w:eastAsia="zh-CN"/>
        </w:rPr>
        <w:t>若委托期第三年部级（标准级）孵化器成功获批，则</w:t>
      </w:r>
      <w:r>
        <w:rPr>
          <w:rFonts w:hint="eastAsia" w:ascii="楷体" w:hAnsi="楷体" w:eastAsia="楷体" w:cs="楷体"/>
          <w:color w:val="auto"/>
          <w:sz w:val="24"/>
          <w:szCs w:val="24"/>
          <w:highlight w:val="none"/>
          <w:lang w:val="en-US" w:eastAsia="zh-CN"/>
        </w:rPr>
        <w:t>采购人在收到正式的获批通知之日起15个工作日内拨付</w:t>
      </w:r>
      <w:r>
        <w:rPr>
          <w:rFonts w:hint="eastAsia" w:ascii="楷体" w:hAnsi="楷体" w:eastAsia="楷体" w:cs="楷体"/>
          <w:color w:val="auto"/>
          <w:sz w:val="24"/>
          <w:szCs w:val="24"/>
          <w:lang w:val="en-US" w:eastAsia="zh-CN"/>
        </w:rPr>
        <w:t>当年度20%的基本运营费，</w:t>
      </w:r>
      <w:r>
        <w:rPr>
          <w:rFonts w:hint="eastAsia" w:ascii="楷体" w:hAnsi="楷体" w:eastAsia="楷体" w:cs="楷体"/>
          <w:color w:val="auto"/>
          <w:sz w:val="24"/>
          <w:szCs w:val="24"/>
          <w:highlight w:val="none"/>
          <w:lang w:val="en-US" w:eastAsia="zh-CN"/>
        </w:rPr>
        <w:t>若委托期第三年部级（标准级）孵化器未成功获批，则采购人无需拨付委托期当年度20%的基本运营费</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highlight w:val="none"/>
          <w:lang w:val="en-US" w:eastAsia="zh-CN"/>
        </w:rPr>
        <w:t>且运营商须在采购人收到未获批正式通知或部级孵化器名单公布之日起15个工作日内，向采购人退还委托期内采购人已支付全部基本运营费的50%至采购人指定账户。</w:t>
      </w:r>
    </w:p>
    <w:p w14:paraId="30638C0F">
      <w:pPr>
        <w:numPr>
          <w:ilvl w:val="0"/>
          <w:numId w:val="4"/>
        </w:numPr>
        <w:adjustRightInd w:val="0"/>
        <w:snapToGrid w:val="0"/>
        <w:spacing w:line="560" w:lineRule="exact"/>
        <w:ind w:firstLine="480" w:firstLineChars="200"/>
        <w:rPr>
          <w:rFonts w:hint="eastAsia" w:ascii="楷体" w:hAnsi="楷体" w:eastAsia="楷体" w:cs="楷体"/>
          <w:b w:val="0"/>
          <w:bCs/>
          <w:sz w:val="24"/>
          <w:highlight w:val="none"/>
          <w:u w:val="single"/>
          <w:lang w:val="en-US" w:eastAsia="zh-CN"/>
        </w:rPr>
      </w:pPr>
      <w:r>
        <w:rPr>
          <w:rFonts w:hint="eastAsia" w:ascii="楷体" w:hAnsi="楷体" w:eastAsia="楷体" w:cs="楷体"/>
          <w:b w:val="0"/>
          <w:bCs/>
          <w:sz w:val="24"/>
          <w:highlight w:val="none"/>
          <w:lang w:val="en-US" w:eastAsia="zh-CN"/>
        </w:rPr>
        <w:t>绩效奖励费：每年度总额</w:t>
      </w:r>
      <w:r>
        <w:rPr>
          <w:rFonts w:hint="eastAsia" w:ascii="楷体" w:hAnsi="楷体" w:eastAsia="楷体" w:cs="楷体"/>
          <w:b w:val="0"/>
          <w:bCs/>
          <w:sz w:val="24"/>
          <w:highlight w:val="none"/>
          <w:u w:val="single"/>
          <w:lang w:val="en-US" w:eastAsia="zh-CN"/>
        </w:rPr>
        <w:t xml:space="preserve">         </w:t>
      </w:r>
      <w:r>
        <w:rPr>
          <w:rFonts w:hint="eastAsia" w:ascii="楷体" w:hAnsi="楷体" w:eastAsia="楷体" w:cs="楷体"/>
          <w:b w:val="0"/>
          <w:bCs/>
          <w:sz w:val="24"/>
          <w:highlight w:val="none"/>
          <w:lang w:val="en-US" w:eastAsia="zh-CN"/>
        </w:rPr>
        <w:t>万元</w:t>
      </w:r>
    </w:p>
    <w:p w14:paraId="50E3804A">
      <w:pPr>
        <w:adjustRightInd w:val="0"/>
        <w:snapToGrid w:val="0"/>
        <w:spacing w:line="560" w:lineRule="exact"/>
        <w:ind w:firstLine="480" w:firstLineChars="200"/>
        <w:rPr>
          <w:rFonts w:hint="eastAsia" w:ascii="楷体" w:hAnsi="楷体" w:eastAsia="楷体" w:cs="楷体"/>
          <w:b w:val="0"/>
          <w:bCs/>
          <w:color w:val="auto"/>
          <w:sz w:val="24"/>
          <w:highlight w:val="none"/>
          <w:lang w:val="en-US" w:eastAsia="zh-CN"/>
        </w:rPr>
      </w:pPr>
      <w:r>
        <w:rPr>
          <w:rFonts w:hint="eastAsia" w:ascii="楷体" w:hAnsi="楷体" w:eastAsia="楷体" w:cs="楷体"/>
          <w:b w:val="0"/>
          <w:bCs/>
          <w:sz w:val="24"/>
          <w:highlight w:val="none"/>
          <w:lang w:val="en-US" w:eastAsia="zh-CN"/>
        </w:rPr>
        <w:t>绩效奖励费应在</w:t>
      </w:r>
      <w:r>
        <w:rPr>
          <w:rFonts w:hint="eastAsia" w:ascii="楷体" w:hAnsi="楷体" w:eastAsia="楷体" w:cs="楷体"/>
          <w:b w:val="0"/>
          <w:bCs/>
          <w:sz w:val="24"/>
          <w:highlight w:val="none"/>
        </w:rPr>
        <w:t>每个考核年度</w:t>
      </w:r>
      <w:r>
        <w:rPr>
          <w:rFonts w:hint="eastAsia" w:ascii="楷体" w:hAnsi="楷体" w:eastAsia="楷体" w:cs="楷体"/>
          <w:b w:val="0"/>
          <w:bCs/>
          <w:sz w:val="24"/>
          <w:highlight w:val="none"/>
          <w:lang w:val="en-US" w:eastAsia="zh-CN"/>
        </w:rPr>
        <w:t>结束后次月</w:t>
      </w:r>
      <w:r>
        <w:rPr>
          <w:rFonts w:hint="eastAsia" w:ascii="楷体" w:hAnsi="楷体" w:eastAsia="楷体" w:cs="楷体"/>
          <w:b w:val="0"/>
          <w:bCs/>
          <w:sz w:val="24"/>
          <w:highlight w:val="none"/>
        </w:rPr>
        <w:t>进行上年度考核，</w:t>
      </w:r>
      <w:r>
        <w:rPr>
          <w:rFonts w:hint="eastAsia" w:ascii="楷体" w:hAnsi="楷体" w:eastAsia="楷体" w:cs="楷体"/>
          <w:b w:val="0"/>
          <w:bCs/>
          <w:sz w:val="24"/>
          <w:highlight w:val="none"/>
          <w:lang w:val="en-US" w:eastAsia="zh-CN"/>
        </w:rPr>
        <w:t>采购人</w:t>
      </w:r>
      <w:r>
        <w:rPr>
          <w:rFonts w:hint="eastAsia" w:ascii="楷体" w:hAnsi="楷体" w:eastAsia="楷体" w:cs="楷体"/>
          <w:b w:val="0"/>
          <w:bCs/>
          <w:sz w:val="24"/>
          <w:highlight w:val="none"/>
        </w:rPr>
        <w:t>委托第三方</w:t>
      </w:r>
      <w:r>
        <w:rPr>
          <w:rFonts w:hint="eastAsia" w:ascii="楷体" w:hAnsi="楷体" w:eastAsia="楷体" w:cs="楷体"/>
          <w:b w:val="0"/>
          <w:bCs/>
          <w:sz w:val="24"/>
          <w:highlight w:val="none"/>
          <w:lang w:val="en-US" w:eastAsia="zh-CN"/>
        </w:rPr>
        <w:t>审计</w:t>
      </w:r>
      <w:r>
        <w:rPr>
          <w:rFonts w:hint="eastAsia" w:ascii="楷体" w:hAnsi="楷体" w:eastAsia="楷体" w:cs="楷体"/>
          <w:b w:val="0"/>
          <w:bCs/>
          <w:sz w:val="24"/>
          <w:highlight w:val="none"/>
        </w:rPr>
        <w:t>机构审核</w:t>
      </w:r>
      <w:r>
        <w:rPr>
          <w:rFonts w:hint="eastAsia" w:ascii="楷体" w:hAnsi="楷体" w:eastAsia="楷体" w:cs="楷体"/>
          <w:b w:val="0"/>
          <w:bCs/>
          <w:sz w:val="24"/>
          <w:highlight w:val="none"/>
          <w:lang w:val="en-US" w:eastAsia="zh-CN"/>
        </w:rPr>
        <w:t>运营商</w:t>
      </w:r>
      <w:r>
        <w:rPr>
          <w:rFonts w:hint="eastAsia" w:ascii="楷体" w:hAnsi="楷体" w:eastAsia="楷体" w:cs="楷体"/>
          <w:b w:val="0"/>
          <w:bCs/>
          <w:sz w:val="24"/>
          <w:highlight w:val="none"/>
        </w:rPr>
        <w:t>上年度完成的</w:t>
      </w:r>
      <w:r>
        <w:rPr>
          <w:rFonts w:hint="eastAsia" w:ascii="楷体" w:hAnsi="楷体" w:eastAsia="楷体" w:cs="楷体"/>
          <w:b w:val="0"/>
          <w:bCs/>
          <w:sz w:val="24"/>
          <w:highlight w:val="none"/>
          <w:lang w:val="en-US" w:eastAsia="zh-CN"/>
        </w:rPr>
        <w:t>绩效指标情况</w:t>
      </w:r>
      <w:r>
        <w:rPr>
          <w:rFonts w:hint="eastAsia" w:ascii="楷体" w:hAnsi="楷体" w:eastAsia="楷体" w:cs="楷体"/>
          <w:b w:val="0"/>
          <w:bCs/>
          <w:sz w:val="24"/>
          <w:highlight w:val="none"/>
        </w:rPr>
        <w:t>，</w:t>
      </w:r>
      <w:r>
        <w:rPr>
          <w:rFonts w:hint="eastAsia" w:ascii="楷体" w:hAnsi="楷体" w:eastAsia="楷体" w:cs="楷体"/>
          <w:b w:val="0"/>
          <w:bCs/>
          <w:sz w:val="24"/>
          <w:highlight w:val="none"/>
          <w:lang w:val="en-US" w:eastAsia="zh-CN"/>
        </w:rPr>
        <w:t>根据考核结果在</w:t>
      </w:r>
      <w:r>
        <w:rPr>
          <w:rFonts w:hint="eastAsia" w:ascii="楷体" w:hAnsi="楷体" w:eastAsia="楷体" w:cs="楷体"/>
          <w:b w:val="0"/>
          <w:bCs/>
          <w:sz w:val="24"/>
          <w:highlight w:val="none"/>
        </w:rPr>
        <w:t>审核结束后</w:t>
      </w:r>
      <w:r>
        <w:rPr>
          <w:rFonts w:hint="eastAsia" w:ascii="楷体" w:hAnsi="楷体" w:eastAsia="楷体" w:cs="楷体"/>
          <w:b w:val="0"/>
          <w:bCs/>
          <w:sz w:val="24"/>
          <w:highlight w:val="none"/>
          <w:lang w:val="en-US" w:eastAsia="zh-CN"/>
        </w:rPr>
        <w:t>尽快完成财政资金批复流程并支付绩效奖励费</w:t>
      </w:r>
      <w:r>
        <w:rPr>
          <w:rFonts w:hint="eastAsia" w:ascii="楷体" w:hAnsi="楷体" w:eastAsia="楷体" w:cs="楷体"/>
          <w:b w:val="0"/>
          <w:bCs/>
          <w:color w:val="auto"/>
          <w:sz w:val="24"/>
          <w:highlight w:val="none"/>
          <w:lang w:val="en-US" w:eastAsia="zh-CN"/>
        </w:rPr>
        <w:t>或因不合格不予拨付绩效奖励费并要求运营商整改。</w:t>
      </w:r>
    </w:p>
    <w:p w14:paraId="22F7DC68">
      <w:pPr>
        <w:adjustRightInd w:val="0"/>
        <w:snapToGrid w:val="0"/>
        <w:spacing w:line="560" w:lineRule="exact"/>
        <w:ind w:firstLine="480" w:firstLineChars="200"/>
        <w:rPr>
          <w:rFonts w:hint="eastAsia" w:ascii="楷体" w:hAnsi="楷体" w:eastAsia="楷体" w:cs="楷体"/>
          <w:bCs/>
          <w:sz w:val="24"/>
          <w:szCs w:val="40"/>
          <w:lang w:val="en-US" w:eastAsia="zh-CN"/>
        </w:rPr>
      </w:pPr>
      <w:r>
        <w:rPr>
          <w:rFonts w:hint="eastAsia" w:ascii="楷体" w:hAnsi="楷体" w:eastAsia="楷体" w:cs="楷体"/>
          <w:bCs/>
          <w:sz w:val="24"/>
          <w:szCs w:val="40"/>
        </w:rPr>
        <w:t>年度</w:t>
      </w:r>
      <w:r>
        <w:rPr>
          <w:rFonts w:hint="eastAsia" w:ascii="楷体" w:hAnsi="楷体" w:eastAsia="楷体" w:cs="楷体"/>
          <w:bCs/>
          <w:sz w:val="24"/>
          <w:szCs w:val="40"/>
          <w:lang w:val="en-US" w:eastAsia="zh-CN"/>
        </w:rPr>
        <w:t>绩效</w:t>
      </w:r>
      <w:r>
        <w:rPr>
          <w:rFonts w:hint="eastAsia" w:ascii="楷体" w:hAnsi="楷体" w:eastAsia="楷体" w:cs="楷体"/>
          <w:bCs/>
          <w:sz w:val="24"/>
          <w:szCs w:val="40"/>
        </w:rPr>
        <w:t>考核得分</w:t>
      </w:r>
      <w:r>
        <w:rPr>
          <w:rFonts w:hint="eastAsia" w:ascii="楷体" w:hAnsi="楷体" w:eastAsia="楷体" w:cs="楷体"/>
          <w:bCs/>
          <w:sz w:val="24"/>
          <w:szCs w:val="40"/>
          <w:lang w:val="en-US" w:eastAsia="zh-CN"/>
        </w:rPr>
        <w:t>情况及支付条件如下：</w:t>
      </w:r>
    </w:p>
    <w:p w14:paraId="09D0C9D1">
      <w:pPr>
        <w:adjustRightInd w:val="0"/>
        <w:snapToGrid w:val="0"/>
        <w:spacing w:line="560" w:lineRule="exact"/>
        <w:ind w:firstLine="480" w:firstLineChars="200"/>
        <w:rPr>
          <w:rFonts w:ascii="楷体" w:hAnsi="楷体" w:eastAsia="楷体" w:cs="楷体"/>
          <w:sz w:val="24"/>
          <w:szCs w:val="40"/>
        </w:rPr>
      </w:pPr>
      <w:r>
        <w:rPr>
          <w:rFonts w:hint="eastAsia" w:ascii="楷体" w:hAnsi="楷体" w:eastAsia="楷体" w:cs="楷体"/>
          <w:bCs/>
          <w:sz w:val="24"/>
          <w:szCs w:val="40"/>
          <w:lang w:val="en-US" w:eastAsia="zh-CN"/>
        </w:rPr>
        <w:t>7</w:t>
      </w:r>
      <w:r>
        <w:rPr>
          <w:rFonts w:hint="eastAsia" w:ascii="楷体" w:hAnsi="楷体" w:eastAsia="楷体" w:cs="楷体"/>
          <w:bCs/>
          <w:sz w:val="24"/>
          <w:szCs w:val="40"/>
        </w:rPr>
        <w:t>0分</w:t>
      </w:r>
      <w:r>
        <w:rPr>
          <w:rFonts w:hint="eastAsia" w:ascii="楷体" w:hAnsi="楷体" w:eastAsia="楷体" w:cs="楷体"/>
          <w:bCs/>
          <w:sz w:val="24"/>
          <w:szCs w:val="40"/>
          <w:lang w:val="en-US" w:eastAsia="zh-CN"/>
        </w:rPr>
        <w:t>及以上</w:t>
      </w:r>
      <w:r>
        <w:rPr>
          <w:rFonts w:hint="eastAsia" w:ascii="楷体" w:hAnsi="楷体" w:eastAsia="楷体" w:cs="楷体"/>
          <w:bCs/>
          <w:sz w:val="24"/>
          <w:szCs w:val="40"/>
        </w:rPr>
        <w:t>：</w:t>
      </w:r>
      <w:r>
        <w:rPr>
          <w:rFonts w:hint="eastAsia" w:ascii="楷体" w:hAnsi="楷体" w:eastAsia="楷体" w:cs="楷体"/>
          <w:bCs/>
          <w:sz w:val="24"/>
          <w:szCs w:val="40"/>
          <w:lang w:val="en-US" w:eastAsia="zh-CN"/>
        </w:rPr>
        <w:t>绩效奖励费</w:t>
      </w:r>
      <w:r>
        <w:rPr>
          <w:rFonts w:hint="eastAsia" w:ascii="楷体" w:hAnsi="楷体" w:eastAsia="楷体" w:cs="楷体"/>
          <w:sz w:val="24"/>
          <w:szCs w:val="40"/>
        </w:rPr>
        <w:t>依据对应考核分数百分比支付；</w:t>
      </w:r>
    </w:p>
    <w:p w14:paraId="067C53BA">
      <w:pPr>
        <w:adjustRightInd w:val="0"/>
        <w:snapToGrid w:val="0"/>
        <w:spacing w:line="560" w:lineRule="exact"/>
        <w:ind w:firstLine="480" w:firstLineChars="200"/>
        <w:rPr>
          <w:rFonts w:hint="eastAsia" w:ascii="楷体" w:hAnsi="楷体" w:eastAsia="楷体" w:cs="楷体"/>
          <w:sz w:val="24"/>
          <w:szCs w:val="40"/>
          <w:lang w:eastAsia="zh-CN"/>
        </w:rPr>
      </w:pPr>
      <w:r>
        <w:rPr>
          <w:rFonts w:hint="eastAsia" w:ascii="楷体" w:hAnsi="楷体" w:eastAsia="楷体" w:cs="楷体"/>
          <w:bCs/>
          <w:sz w:val="24"/>
          <w:szCs w:val="40"/>
          <w:lang w:val="en-US" w:eastAsia="zh-CN"/>
        </w:rPr>
        <w:t>小于7</w:t>
      </w:r>
      <w:r>
        <w:rPr>
          <w:rFonts w:hint="eastAsia" w:ascii="楷体" w:hAnsi="楷体" w:eastAsia="楷体" w:cs="楷体"/>
          <w:bCs/>
          <w:sz w:val="24"/>
          <w:szCs w:val="40"/>
        </w:rPr>
        <w:t>0分：</w:t>
      </w:r>
      <w:r>
        <w:rPr>
          <w:rFonts w:hint="eastAsia" w:ascii="楷体" w:hAnsi="楷体" w:eastAsia="楷体" w:cs="楷体"/>
          <w:sz w:val="24"/>
          <w:szCs w:val="40"/>
        </w:rPr>
        <w:t>视为不合格，</w:t>
      </w:r>
      <w:r>
        <w:rPr>
          <w:rFonts w:hint="eastAsia" w:ascii="楷体" w:hAnsi="楷体" w:eastAsia="楷体" w:cs="楷体"/>
          <w:sz w:val="24"/>
          <w:szCs w:val="40"/>
          <w:lang w:val="en-US" w:eastAsia="zh-CN"/>
        </w:rPr>
        <w:t>采购人不予</w:t>
      </w:r>
      <w:r>
        <w:rPr>
          <w:rFonts w:hint="eastAsia" w:ascii="楷体" w:hAnsi="楷体" w:eastAsia="楷体" w:cs="楷体"/>
          <w:sz w:val="24"/>
          <w:szCs w:val="40"/>
        </w:rPr>
        <w:t>拨付</w:t>
      </w:r>
      <w:r>
        <w:rPr>
          <w:rFonts w:hint="eastAsia" w:ascii="楷体" w:hAnsi="楷体" w:eastAsia="楷体" w:cs="楷体"/>
          <w:sz w:val="24"/>
          <w:szCs w:val="40"/>
          <w:lang w:val="en-US" w:eastAsia="zh-CN"/>
        </w:rPr>
        <w:t>当年度</w:t>
      </w:r>
      <w:r>
        <w:rPr>
          <w:rFonts w:hint="eastAsia" w:ascii="楷体" w:hAnsi="楷体" w:eastAsia="楷体" w:cs="楷体"/>
          <w:bCs/>
          <w:sz w:val="24"/>
          <w:szCs w:val="40"/>
          <w:lang w:val="en-US" w:eastAsia="zh-CN"/>
        </w:rPr>
        <w:t>绩效奖励费</w:t>
      </w:r>
      <w:r>
        <w:rPr>
          <w:rFonts w:hint="eastAsia" w:ascii="楷体" w:hAnsi="楷体" w:eastAsia="楷体" w:cs="楷体"/>
          <w:sz w:val="24"/>
          <w:szCs w:val="40"/>
          <w:lang w:eastAsia="zh-CN"/>
        </w:rPr>
        <w:t>。</w:t>
      </w:r>
    </w:p>
    <w:p w14:paraId="2D21ECDE">
      <w:pPr>
        <w:adjustRightInd w:val="0"/>
        <w:snapToGrid w:val="0"/>
        <w:spacing w:line="560" w:lineRule="exact"/>
        <w:ind w:firstLine="480" w:firstLineChars="200"/>
        <w:rPr>
          <w:rFonts w:hint="default" w:ascii="楷体" w:hAnsi="楷体" w:eastAsia="楷体" w:cs="楷体"/>
          <w:sz w:val="24"/>
          <w:lang w:val="en-US" w:eastAsia="zh-CN"/>
        </w:rPr>
      </w:pPr>
      <w:r>
        <w:rPr>
          <w:rFonts w:hint="eastAsia" w:ascii="楷体" w:hAnsi="楷体" w:eastAsia="楷体" w:cs="楷体"/>
          <w:sz w:val="24"/>
        </w:rPr>
        <w:t>（3）其它费用</w:t>
      </w:r>
      <w:r>
        <w:rPr>
          <w:rFonts w:hint="eastAsia" w:ascii="楷体" w:hAnsi="楷体" w:eastAsia="楷体" w:cs="楷体"/>
          <w:sz w:val="24"/>
          <w:lang w:eastAsia="zh-CN"/>
        </w:rPr>
        <w:t>：</w:t>
      </w:r>
      <w:r>
        <w:rPr>
          <w:rFonts w:hint="eastAsia" w:ascii="楷体" w:hAnsi="楷体" w:eastAsia="楷体" w:cs="楷体"/>
          <w:sz w:val="24"/>
          <w:lang w:val="en-US" w:eastAsia="zh-CN"/>
        </w:rPr>
        <w:t>政府奖补资金获批奖励</w:t>
      </w:r>
    </w:p>
    <w:p w14:paraId="7CC0EAE2">
      <w:pPr>
        <w:adjustRightInd w:val="0"/>
        <w:snapToGrid w:val="0"/>
        <w:spacing w:line="560" w:lineRule="exact"/>
        <w:ind w:firstLine="480" w:firstLineChars="200"/>
        <w:rPr>
          <w:rFonts w:hint="eastAsia" w:ascii="楷体" w:hAnsi="楷体" w:eastAsia="楷体" w:cs="楷体"/>
          <w:sz w:val="24"/>
        </w:rPr>
      </w:pPr>
      <w:r>
        <w:rPr>
          <w:rFonts w:hint="eastAsia" w:ascii="楷体" w:hAnsi="楷体" w:eastAsia="楷体" w:cs="楷体"/>
          <w:sz w:val="24"/>
        </w:rPr>
        <w:t>在协议有效期内，</w:t>
      </w:r>
      <w:r>
        <w:rPr>
          <w:rFonts w:hint="eastAsia" w:ascii="楷体" w:hAnsi="楷体" w:eastAsia="楷体" w:cs="楷体"/>
          <w:sz w:val="24"/>
          <w:lang w:val="en-US" w:eastAsia="zh-CN"/>
        </w:rPr>
        <w:t>运营商</w:t>
      </w:r>
      <w:r>
        <w:rPr>
          <w:rFonts w:hint="eastAsia" w:ascii="楷体" w:hAnsi="楷体" w:eastAsia="楷体" w:cs="楷体"/>
          <w:sz w:val="24"/>
        </w:rPr>
        <w:t>作为</w:t>
      </w:r>
      <w:r>
        <w:rPr>
          <w:rFonts w:hint="eastAsia" w:ascii="楷体" w:hAnsi="楷体" w:eastAsia="楷体" w:cs="楷体"/>
          <w:sz w:val="24"/>
          <w:lang w:val="en-US" w:eastAsia="zh-CN"/>
        </w:rPr>
        <w:t>采购人</w:t>
      </w:r>
      <w:r>
        <w:rPr>
          <w:rFonts w:hint="eastAsia" w:ascii="楷体" w:hAnsi="楷体" w:eastAsia="楷体" w:cs="楷体"/>
          <w:sz w:val="24"/>
        </w:rPr>
        <w:t>载体的委托运营方，享有政策申报奖励等权益，以上权益范围涵盖各级政府部门正式发布的产业扶持、研发补贴、资质认定奖励等政策。</w:t>
      </w:r>
    </w:p>
    <w:p w14:paraId="2343C948">
      <w:pPr>
        <w:adjustRightInd w:val="0"/>
        <w:snapToGrid w:val="0"/>
        <w:spacing w:line="560" w:lineRule="exact"/>
        <w:ind w:firstLine="480" w:firstLineChars="200"/>
        <w:rPr>
          <w:rFonts w:ascii="楷体" w:hAnsi="楷体" w:eastAsia="楷体" w:cs="楷体"/>
          <w:sz w:val="24"/>
        </w:rPr>
      </w:pPr>
      <w:r>
        <w:rPr>
          <w:rFonts w:hint="eastAsia" w:ascii="楷体" w:hAnsi="楷体" w:eastAsia="楷体" w:cs="楷体"/>
          <w:sz w:val="24"/>
        </w:rPr>
        <w:t>政策申报奖励：对于</w:t>
      </w:r>
      <w:r>
        <w:rPr>
          <w:rFonts w:hint="eastAsia" w:ascii="楷体" w:hAnsi="楷体" w:eastAsia="楷体" w:cs="楷体"/>
          <w:sz w:val="24"/>
          <w:lang w:val="en-US" w:eastAsia="zh-CN"/>
        </w:rPr>
        <w:t>运营商</w:t>
      </w:r>
      <w:r>
        <w:rPr>
          <w:rFonts w:hint="eastAsia" w:ascii="楷体" w:hAnsi="楷体" w:eastAsia="楷体" w:cs="楷体"/>
          <w:sz w:val="24"/>
        </w:rPr>
        <w:t>以</w:t>
      </w:r>
      <w:r>
        <w:rPr>
          <w:rFonts w:hint="eastAsia" w:ascii="楷体" w:hAnsi="楷体" w:eastAsia="楷体" w:cs="楷体"/>
          <w:sz w:val="24"/>
          <w:lang w:val="en-US" w:eastAsia="zh-CN"/>
        </w:rPr>
        <w:t>采购人</w:t>
      </w:r>
      <w:r>
        <w:rPr>
          <w:rFonts w:hint="eastAsia" w:ascii="楷体" w:hAnsi="楷体" w:eastAsia="楷体" w:cs="楷体"/>
          <w:sz w:val="24"/>
        </w:rPr>
        <w:t>名义成功申报并实际获得的政府扶持资金(包括但不限于省、市、区、街道等各级政府部门发布的科技发展类、总部经济类等专项政策资金），</w:t>
      </w:r>
      <w:r>
        <w:rPr>
          <w:rFonts w:hint="eastAsia" w:ascii="楷体" w:hAnsi="楷体" w:eastAsia="楷体" w:cs="楷体"/>
          <w:sz w:val="24"/>
          <w:lang w:val="en-US" w:eastAsia="zh-CN"/>
        </w:rPr>
        <w:t>采购人</w:t>
      </w:r>
      <w:r>
        <w:rPr>
          <w:rFonts w:hint="eastAsia" w:ascii="楷体" w:hAnsi="楷体" w:eastAsia="楷体" w:cs="楷体"/>
          <w:sz w:val="24"/>
        </w:rPr>
        <w:t>以自有资金按实际到账资金总额的50%给予</w:t>
      </w:r>
      <w:r>
        <w:rPr>
          <w:rFonts w:hint="eastAsia" w:ascii="楷体" w:hAnsi="楷体" w:eastAsia="楷体" w:cs="楷体"/>
          <w:sz w:val="24"/>
          <w:lang w:val="en-US" w:eastAsia="zh-CN"/>
        </w:rPr>
        <w:t>运营商</w:t>
      </w:r>
      <w:r>
        <w:rPr>
          <w:rFonts w:hint="eastAsia" w:ascii="楷体" w:hAnsi="楷体" w:eastAsia="楷体" w:cs="楷体"/>
          <w:sz w:val="24"/>
        </w:rPr>
        <w:t>奖励。</w:t>
      </w:r>
    </w:p>
    <w:p w14:paraId="463A9ED2">
      <w:pPr>
        <w:adjustRightInd w:val="0"/>
        <w:snapToGrid w:val="0"/>
        <w:spacing w:line="560" w:lineRule="exact"/>
        <w:ind w:firstLine="480" w:firstLineChars="200"/>
        <w:rPr>
          <w:rFonts w:hint="eastAsia" w:ascii="楷体" w:hAnsi="楷体" w:eastAsia="楷体" w:cs="楷体"/>
          <w:sz w:val="24"/>
          <w:szCs w:val="40"/>
          <w:highlight w:val="yellow"/>
        </w:rPr>
      </w:pPr>
      <w:r>
        <w:rPr>
          <w:rFonts w:hint="eastAsia" w:ascii="楷体" w:hAnsi="楷体" w:eastAsia="楷体" w:cs="楷体"/>
          <w:sz w:val="24"/>
          <w:szCs w:val="40"/>
          <w:lang w:val="en-US" w:eastAsia="zh-CN"/>
        </w:rPr>
        <w:t>其他费用</w:t>
      </w:r>
      <w:r>
        <w:rPr>
          <w:rFonts w:hint="eastAsia" w:ascii="楷体" w:hAnsi="楷体" w:eastAsia="楷体" w:cs="楷体"/>
          <w:sz w:val="24"/>
          <w:szCs w:val="40"/>
        </w:rPr>
        <w:t>支付</w:t>
      </w:r>
      <w:r>
        <w:rPr>
          <w:rFonts w:hint="eastAsia" w:ascii="楷体" w:hAnsi="楷体" w:eastAsia="楷体" w:cs="楷体"/>
          <w:sz w:val="24"/>
          <w:szCs w:val="40"/>
          <w:lang w:val="en-US" w:eastAsia="zh-CN"/>
        </w:rPr>
        <w:t>条件</w:t>
      </w:r>
      <w:r>
        <w:rPr>
          <w:rFonts w:hint="eastAsia" w:ascii="楷体" w:hAnsi="楷体" w:eastAsia="楷体" w:cs="楷体"/>
          <w:sz w:val="24"/>
          <w:szCs w:val="40"/>
        </w:rPr>
        <w:t>：以财政拨付之日起，15个工作日内向</w:t>
      </w:r>
      <w:r>
        <w:rPr>
          <w:rFonts w:hint="eastAsia" w:ascii="楷体" w:hAnsi="楷体" w:eastAsia="楷体" w:cs="楷体"/>
          <w:sz w:val="24"/>
          <w:szCs w:val="40"/>
          <w:lang w:val="en-US" w:eastAsia="zh-CN"/>
        </w:rPr>
        <w:t>运营商</w:t>
      </w:r>
      <w:r>
        <w:rPr>
          <w:rFonts w:hint="eastAsia" w:ascii="楷体" w:hAnsi="楷体" w:eastAsia="楷体" w:cs="楷体"/>
          <w:sz w:val="24"/>
          <w:szCs w:val="40"/>
        </w:rPr>
        <w:t>支付。</w:t>
      </w:r>
    </w:p>
    <w:p w14:paraId="3C868AC1">
      <w:pPr>
        <w:numPr>
          <w:ilvl w:val="0"/>
          <w:numId w:val="5"/>
        </w:numPr>
        <w:spacing w:line="560" w:lineRule="exact"/>
        <w:ind w:firstLine="480" w:firstLineChars="200"/>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项目资金来源：财政资金</w:t>
      </w:r>
    </w:p>
    <w:p w14:paraId="0CAEA46E">
      <w:pPr>
        <w:numPr>
          <w:ilvl w:val="0"/>
          <w:numId w:val="0"/>
        </w:numPr>
        <w:spacing w:line="560" w:lineRule="exact"/>
        <w:ind w:firstLine="480" w:firstLineChars="200"/>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五、服务要求</w:t>
      </w:r>
    </w:p>
    <w:p w14:paraId="13C5AD52">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sz w:val="24"/>
          <w:szCs w:val="24"/>
          <w:highlight w:val="none"/>
          <w:lang w:val="en-US" w:eastAsia="zh-CN"/>
        </w:rPr>
        <w:t>1、</w:t>
      </w:r>
      <w:r>
        <w:rPr>
          <w:rFonts w:hint="eastAsia" w:ascii="楷体" w:hAnsi="楷体" w:eastAsia="楷体" w:cs="楷体"/>
          <w:color w:val="000000"/>
          <w:kern w:val="0"/>
          <w:sz w:val="24"/>
          <w:szCs w:val="24"/>
          <w:highlight w:val="none"/>
          <w:lang w:val="en-US" w:eastAsia="zh-CN" w:bidi="ar"/>
        </w:rPr>
        <w:t>国家级孵化器委托运营：运营管理镇江高新区国家级孵化器，按照国家火炬中心对国家级孵化器的具体要求，做实镇江高新区国家孵化器各项指标。包括但不限于孵化器日常运营维护，在孵企业动态库维护，职业化的服务队伍和专业孵化服务人员打造，在孵企业专利申请，以及参与指导园区科技孵化中心装修设计，制定入孵管理制度，并完成采购人的总体和阶段性目标，负责提供在孵企业年度财务报表和社保缴费清单等材料。</w:t>
      </w:r>
    </w:p>
    <w:p w14:paraId="0E985731">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default" w:ascii="楷体" w:hAnsi="楷体" w:eastAsia="楷体" w:cs="楷体"/>
          <w:sz w:val="24"/>
          <w:szCs w:val="24"/>
          <w:highlight w:val="none"/>
          <w:lang w:val="en-US"/>
        </w:rPr>
      </w:pPr>
      <w:r>
        <w:rPr>
          <w:rFonts w:hint="eastAsia" w:ascii="楷体" w:hAnsi="楷体" w:eastAsia="楷体" w:cs="楷体"/>
          <w:b/>
          <w:bCs/>
          <w:color w:val="000000"/>
          <w:kern w:val="0"/>
          <w:sz w:val="24"/>
          <w:szCs w:val="24"/>
          <w:highlight w:val="none"/>
          <w:lang w:val="en-US" w:eastAsia="zh-CN" w:bidi="ar"/>
        </w:rPr>
        <w:t>2</w:t>
      </w:r>
      <w:r>
        <w:rPr>
          <w:rFonts w:hint="eastAsia" w:ascii="楷体" w:hAnsi="楷体" w:eastAsia="楷体" w:cs="楷体"/>
          <w:color w:val="000000"/>
          <w:kern w:val="0"/>
          <w:sz w:val="24"/>
          <w:szCs w:val="24"/>
          <w:highlight w:val="none"/>
          <w:lang w:val="en-US" w:eastAsia="zh-CN" w:bidi="ar"/>
        </w:rPr>
        <w:t>、</w:t>
      </w:r>
      <w:r>
        <w:rPr>
          <w:rFonts w:hint="eastAsia" w:ascii="楷体" w:hAnsi="楷体" w:eastAsia="楷体" w:cs="楷体"/>
          <w:b/>
          <w:bCs/>
          <w:sz w:val="24"/>
          <w:szCs w:val="24"/>
          <w:highlight w:val="none"/>
          <w:lang w:val="en-US" w:eastAsia="zh-CN"/>
        </w:rPr>
        <w:t>提供高质量运营服务（确保采购人国家级科技企业孵化器不被降级或取消）（提供承诺函）</w:t>
      </w:r>
    </w:p>
    <w:p w14:paraId="3FFBD82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 xml:space="preserve">3、优质企业项目招引：在合作期内充分利用自身资源，精准对接潜在客商投资需求，对接匹配知名院校研究成果，委托定向开发，以科研成果推介、建设生产基地、开设研究院等形式寻找合作机会，推动高新区优质项目落地及高校院所科技成果产业化。 </w:t>
      </w:r>
    </w:p>
    <w:p w14:paraId="528B5DBE">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4、园区企业支持发展：在采购人的全力支持和配合下，通过常态化走访、活动等形式征集高新区企业技术人才等需求，以人才引进、产学研合作、技术共享、成果转化或其他方式帮助企业解决实际问题，按采购人需求每年在镇江高新区完成科技成果转化。</w:t>
      </w:r>
    </w:p>
    <w:p w14:paraId="794DFC67">
      <w:pPr>
        <w:keepNext w:val="0"/>
        <w:keepLines w:val="0"/>
        <w:widowControl/>
        <w:suppressLineNumbers w:val="0"/>
        <w:ind w:firstLine="480" w:firstLineChars="200"/>
        <w:jc w:val="left"/>
        <w:rPr>
          <w:rFonts w:hint="eastAsia" w:ascii="仿宋" w:hAnsi="仿宋" w:eastAsia="仿宋" w:cs="仿宋"/>
          <w:color w:val="000000"/>
          <w:kern w:val="0"/>
          <w:sz w:val="28"/>
          <w:szCs w:val="28"/>
          <w:highlight w:val="none"/>
          <w:lang w:val="en-US" w:eastAsia="zh-CN" w:bidi="ar"/>
        </w:rPr>
      </w:pPr>
      <w:r>
        <w:rPr>
          <w:rFonts w:hint="eastAsia" w:ascii="楷体" w:hAnsi="楷体" w:eastAsia="楷体" w:cs="楷体"/>
          <w:color w:val="000000"/>
          <w:kern w:val="0"/>
          <w:sz w:val="24"/>
          <w:szCs w:val="24"/>
          <w:highlight w:val="none"/>
          <w:lang w:val="en-US" w:eastAsia="zh-CN" w:bidi="ar"/>
        </w:rPr>
        <w:t>5、大赛活动及创业培训活动的组织：积极承接国家级、江苏省省级创业大赛。同时每年免费组织在孵企业创业培训活动</w:t>
      </w:r>
      <w:r>
        <w:rPr>
          <w:rFonts w:hint="eastAsia" w:ascii="仿宋" w:hAnsi="仿宋" w:eastAsia="仿宋" w:cs="仿宋"/>
          <w:color w:val="000000"/>
          <w:kern w:val="0"/>
          <w:sz w:val="28"/>
          <w:szCs w:val="28"/>
          <w:highlight w:val="none"/>
          <w:lang w:val="en-US" w:eastAsia="zh-CN" w:bidi="ar"/>
        </w:rPr>
        <w:t>。</w:t>
      </w:r>
    </w:p>
    <w:p w14:paraId="0D5D2B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楷体" w:hAnsi="楷体" w:eastAsia="楷体" w:cs="楷体"/>
          <w:color w:val="000000"/>
          <w:kern w:val="0"/>
          <w:sz w:val="24"/>
          <w:szCs w:val="24"/>
          <w:highlight w:val="none"/>
          <w:lang w:val="en-US" w:eastAsia="zh-CN" w:bidi="ar"/>
        </w:rPr>
      </w:pPr>
      <w:r>
        <w:rPr>
          <w:rFonts w:hint="eastAsia" w:ascii="楷体" w:hAnsi="楷体" w:eastAsia="楷体" w:cs="楷体"/>
          <w:color w:val="000000"/>
          <w:kern w:val="0"/>
          <w:sz w:val="24"/>
          <w:szCs w:val="24"/>
          <w:highlight w:val="none"/>
          <w:lang w:val="en-US" w:eastAsia="zh-CN" w:bidi="ar"/>
        </w:rPr>
        <w:t>6、经济活动建设：通过构建创新生态、推动产业协同、集聚高端人才、促进国际合作，为地区经济发展注入活力。同时，通过企业成长、就业增加、产业集群等途径，保障地区税收稳定增长，助力区域经济可持续发展。</w:t>
      </w:r>
    </w:p>
    <w:p w14:paraId="5CE8F467">
      <w:pPr>
        <w:numPr>
          <w:ilvl w:val="0"/>
          <w:numId w:val="0"/>
        </w:numPr>
        <w:spacing w:line="560" w:lineRule="exact"/>
        <w:ind w:left="479" w:leftChars="228" w:firstLine="0" w:firstLineChars="0"/>
        <w:rPr>
          <w:rFonts w:hint="eastAsia" w:ascii="楷体" w:hAnsi="楷体" w:eastAsia="楷体" w:cs="楷体"/>
          <w:sz w:val="24"/>
          <w:szCs w:val="24"/>
          <w:highlight w:val="none"/>
          <w:lang w:val="en-US" w:eastAsia="zh-CN"/>
        </w:rPr>
      </w:pPr>
    </w:p>
    <w:p w14:paraId="00A66B8F">
      <w:pPr>
        <w:numPr>
          <w:ilvl w:val="0"/>
          <w:numId w:val="0"/>
        </w:numPr>
        <w:spacing w:line="560" w:lineRule="exact"/>
        <w:ind w:left="479" w:leftChars="228" w:firstLine="0" w:firstLineChars="0"/>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六、</w:t>
      </w:r>
      <w:r>
        <w:rPr>
          <w:rFonts w:hint="eastAsia" w:ascii="楷体" w:hAnsi="楷体" w:eastAsia="楷体" w:cs="楷体"/>
          <w:sz w:val="24"/>
          <w:szCs w:val="24"/>
          <w:highlight w:val="none"/>
        </w:rPr>
        <w:t>服务期限</w:t>
      </w:r>
    </w:p>
    <w:p w14:paraId="3ED9A20D">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服务期</w:t>
      </w:r>
      <w:r>
        <w:rPr>
          <w:rFonts w:hint="eastAsia" w:ascii="楷体" w:hAnsi="楷体" w:eastAsia="楷体" w:cs="楷体"/>
          <w:sz w:val="24"/>
          <w:szCs w:val="24"/>
          <w:highlight w:val="none"/>
          <w:lang w:val="en-US" w:eastAsia="zh-CN"/>
        </w:rPr>
        <w:t>三</w:t>
      </w:r>
      <w:r>
        <w:rPr>
          <w:rFonts w:hint="eastAsia" w:ascii="楷体" w:hAnsi="楷体" w:eastAsia="楷体" w:cs="楷体"/>
          <w:sz w:val="24"/>
          <w:szCs w:val="24"/>
          <w:highlight w:val="none"/>
        </w:rPr>
        <w:t>年，服务期限开始时间以签定合同日期为准</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合同一年一签</w:t>
      </w:r>
      <w:r>
        <w:rPr>
          <w:rFonts w:hint="eastAsia" w:ascii="楷体" w:hAnsi="楷体" w:eastAsia="楷体" w:cs="楷体"/>
          <w:sz w:val="24"/>
          <w:szCs w:val="24"/>
          <w:highlight w:val="none"/>
        </w:rPr>
        <w:t>。</w:t>
      </w:r>
    </w:p>
    <w:p w14:paraId="56BC17D0">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highlight w:val="none"/>
        </w:rPr>
      </w:pPr>
      <w:r>
        <w:rPr>
          <w:rFonts w:hint="eastAsia" w:ascii="楷体" w:hAnsi="楷体" w:eastAsia="楷体" w:cs="楷体"/>
          <w:sz w:val="24"/>
          <w:szCs w:val="24"/>
          <w:highlight w:val="none"/>
          <w:lang w:val="en-US" w:eastAsia="zh-CN"/>
        </w:rPr>
        <w:t>七</w:t>
      </w: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服务标准：</w:t>
      </w:r>
      <w:r>
        <w:rPr>
          <w:rFonts w:hint="default" w:ascii="楷体" w:hAnsi="楷体" w:eastAsia="楷体" w:cs="楷体"/>
          <w:sz w:val="24"/>
          <w:szCs w:val="24"/>
          <w:highlight w:val="none"/>
          <w:lang w:val="en-US" w:eastAsia="zh-CN"/>
        </w:rPr>
        <w:t>按照国家级科技孵化器运营标准。</w:t>
      </w:r>
    </w:p>
    <w:p w14:paraId="44CBA377">
      <w:pPr>
        <w:spacing w:line="560" w:lineRule="exact"/>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八、</w:t>
      </w:r>
      <w:r>
        <w:rPr>
          <w:rFonts w:hint="eastAsia" w:ascii="楷体" w:hAnsi="楷体" w:eastAsia="楷体" w:cs="楷体"/>
          <w:sz w:val="24"/>
          <w:szCs w:val="24"/>
          <w:highlight w:val="none"/>
        </w:rPr>
        <w:t>其他要求</w:t>
      </w:r>
    </w:p>
    <w:p w14:paraId="2CFDEF1C">
      <w:pPr>
        <w:spacing w:line="560" w:lineRule="exact"/>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项目履约能力要求：</w:t>
      </w:r>
    </w:p>
    <w:p w14:paraId="5148A267">
      <w:pPr>
        <w:spacing w:line="560" w:lineRule="exact"/>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（1）成交供应商应具有较强的服务组织能力。</w:t>
      </w:r>
    </w:p>
    <w:p w14:paraId="17D64FF4">
      <w:pPr>
        <w:spacing w:line="560" w:lineRule="exact"/>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（2）成交供应商应具有良好的综合实力，资源、专家丰富。</w:t>
      </w:r>
    </w:p>
    <w:p w14:paraId="6AA75154">
      <w:pPr>
        <w:spacing w:line="560" w:lineRule="exact"/>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（3）成交供应商应具有符合本项目特点和性质相关的类似履约经验。</w:t>
      </w:r>
    </w:p>
    <w:p w14:paraId="7131A87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楷体" w:hAnsi="楷体" w:eastAsia="楷体" w:cs="楷体"/>
          <w:b w:val="0"/>
          <w:sz w:val="24"/>
          <w:szCs w:val="24"/>
          <w:highlight w:val="none"/>
          <w:lang w:val="en-US" w:eastAsia="zh-CN" w:bidi="ar-SA"/>
        </w:rPr>
      </w:pPr>
      <w:r>
        <w:rPr>
          <w:rFonts w:hint="eastAsia" w:ascii="楷体" w:hAnsi="楷体" w:eastAsia="楷体" w:cs="楷体"/>
          <w:b w:val="0"/>
          <w:sz w:val="24"/>
          <w:szCs w:val="24"/>
          <w:highlight w:val="none"/>
          <w:lang w:val="en-US" w:eastAsia="zh-CN" w:bidi="ar-SA"/>
        </w:rPr>
        <w:t xml:space="preserve">2、负责做好管辖区域内场地安全管理，督促入孵企业遵守大楼物业管理规 </w:t>
      </w:r>
    </w:p>
    <w:p w14:paraId="2A5C75A3">
      <w:pPr>
        <w:keepNext w:val="0"/>
        <w:keepLines w:val="0"/>
        <w:pageBreakBefore w:val="0"/>
        <w:widowControl/>
        <w:suppressLineNumbers w:val="0"/>
        <w:kinsoku/>
        <w:wordWrap/>
        <w:overflowPunct/>
        <w:topLinePunct w:val="0"/>
        <w:autoSpaceDE/>
        <w:autoSpaceDN/>
        <w:bidi w:val="0"/>
        <w:adjustRightInd/>
        <w:snapToGrid w:val="0"/>
        <w:spacing w:line="560" w:lineRule="exact"/>
        <w:jc w:val="left"/>
        <w:textAlignment w:val="auto"/>
        <w:rPr>
          <w:rFonts w:hint="eastAsia" w:ascii="楷体" w:hAnsi="楷体" w:eastAsia="楷体" w:cs="楷体"/>
          <w:b w:val="0"/>
          <w:sz w:val="24"/>
          <w:szCs w:val="24"/>
          <w:highlight w:val="none"/>
          <w:lang w:val="en-US" w:eastAsia="zh-CN" w:bidi="ar-SA"/>
        </w:rPr>
      </w:pPr>
      <w:r>
        <w:rPr>
          <w:rFonts w:hint="eastAsia" w:ascii="楷体" w:hAnsi="楷体" w:eastAsia="楷体" w:cs="楷体"/>
          <w:b w:val="0"/>
          <w:sz w:val="24"/>
          <w:szCs w:val="24"/>
          <w:highlight w:val="none"/>
          <w:lang w:val="en-US" w:eastAsia="zh-CN" w:bidi="ar-SA"/>
        </w:rPr>
        <w:t xml:space="preserve">定，保证所有入孵企业经营行为合法合规。 </w:t>
      </w:r>
    </w:p>
    <w:p w14:paraId="0238088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楷体" w:hAnsi="楷体" w:eastAsia="楷体" w:cs="楷体"/>
          <w:b w:val="0"/>
          <w:sz w:val="24"/>
          <w:szCs w:val="24"/>
          <w:highlight w:val="none"/>
          <w:lang w:val="en-US" w:eastAsia="zh-CN" w:bidi="ar-SA"/>
        </w:rPr>
      </w:pPr>
      <w:r>
        <w:rPr>
          <w:rFonts w:hint="eastAsia" w:ascii="楷体" w:hAnsi="楷体" w:eastAsia="楷体" w:cs="楷体"/>
          <w:b w:val="0"/>
          <w:sz w:val="24"/>
          <w:szCs w:val="24"/>
          <w:highlight w:val="none"/>
          <w:lang w:val="en-US" w:eastAsia="zh-CN" w:bidi="ar-SA"/>
        </w:rPr>
        <w:t xml:space="preserve">3、在孵化器运营期间保证孵化器场地年均空置率达到采购人需求标准，入 </w:t>
      </w:r>
    </w:p>
    <w:p w14:paraId="06098A98">
      <w:pPr>
        <w:keepNext w:val="0"/>
        <w:keepLines w:val="0"/>
        <w:pageBreakBefore w:val="0"/>
        <w:widowControl/>
        <w:suppressLineNumbers w:val="0"/>
        <w:kinsoku/>
        <w:wordWrap/>
        <w:overflowPunct/>
        <w:topLinePunct w:val="0"/>
        <w:autoSpaceDE/>
        <w:autoSpaceDN/>
        <w:bidi w:val="0"/>
        <w:adjustRightInd/>
        <w:snapToGrid w:val="0"/>
        <w:spacing w:line="560" w:lineRule="exact"/>
        <w:jc w:val="left"/>
        <w:textAlignment w:val="auto"/>
        <w:rPr>
          <w:rFonts w:hint="eastAsia" w:ascii="楷体" w:hAnsi="楷体" w:eastAsia="楷体" w:cs="楷体"/>
          <w:b w:val="0"/>
          <w:sz w:val="24"/>
          <w:szCs w:val="24"/>
          <w:highlight w:val="none"/>
          <w:lang w:val="en-US" w:eastAsia="zh-CN" w:bidi="ar-SA"/>
        </w:rPr>
      </w:pPr>
      <w:r>
        <w:rPr>
          <w:rFonts w:hint="eastAsia" w:ascii="楷体" w:hAnsi="楷体" w:eastAsia="楷体" w:cs="楷体"/>
          <w:b w:val="0"/>
          <w:sz w:val="24"/>
          <w:szCs w:val="24"/>
          <w:highlight w:val="none"/>
          <w:lang w:val="en-US" w:eastAsia="zh-CN" w:bidi="ar-SA"/>
        </w:rPr>
        <w:t xml:space="preserve">孵企业工位实际上座率不低于 70%。 </w:t>
      </w:r>
    </w:p>
    <w:p w14:paraId="3617B72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楷体" w:hAnsi="楷体" w:eastAsia="楷体" w:cs="楷体"/>
          <w:b w:val="0"/>
          <w:sz w:val="24"/>
          <w:szCs w:val="24"/>
          <w:highlight w:val="none"/>
          <w:lang w:val="en-US" w:eastAsia="zh-CN" w:bidi="ar-SA"/>
        </w:rPr>
      </w:pPr>
      <w:r>
        <w:rPr>
          <w:rFonts w:hint="eastAsia" w:ascii="楷体" w:hAnsi="楷体" w:eastAsia="楷体" w:cs="楷体"/>
          <w:b w:val="0"/>
          <w:sz w:val="24"/>
          <w:szCs w:val="24"/>
          <w:highlight w:val="none"/>
          <w:lang w:val="en-US" w:eastAsia="zh-CN" w:bidi="ar-SA"/>
        </w:rPr>
        <w:t xml:space="preserve">4、每季度初向采购人提交书面运营报告，汇报上季度运营报告及下一季度 </w:t>
      </w:r>
    </w:p>
    <w:p w14:paraId="76BED249">
      <w:pPr>
        <w:keepNext w:val="0"/>
        <w:keepLines w:val="0"/>
        <w:pageBreakBefore w:val="0"/>
        <w:widowControl/>
        <w:suppressLineNumbers w:val="0"/>
        <w:kinsoku/>
        <w:wordWrap/>
        <w:overflowPunct/>
        <w:topLinePunct w:val="0"/>
        <w:autoSpaceDE/>
        <w:autoSpaceDN/>
        <w:bidi w:val="0"/>
        <w:adjustRightInd/>
        <w:snapToGrid w:val="0"/>
        <w:spacing w:line="560" w:lineRule="exact"/>
        <w:jc w:val="left"/>
        <w:textAlignment w:val="auto"/>
        <w:rPr>
          <w:rFonts w:hint="eastAsia" w:ascii="楷体" w:hAnsi="楷体" w:eastAsia="楷体" w:cs="楷体"/>
          <w:b w:val="0"/>
          <w:sz w:val="24"/>
          <w:szCs w:val="24"/>
          <w:highlight w:val="none"/>
          <w:lang w:val="en-US" w:eastAsia="zh-CN" w:bidi="ar-SA"/>
        </w:rPr>
      </w:pPr>
      <w:r>
        <w:rPr>
          <w:rFonts w:hint="eastAsia" w:ascii="楷体" w:hAnsi="楷体" w:eastAsia="楷体" w:cs="楷体"/>
          <w:b w:val="0"/>
          <w:sz w:val="24"/>
          <w:szCs w:val="24"/>
          <w:highlight w:val="none"/>
          <w:lang w:val="en-US" w:eastAsia="zh-CN" w:bidi="ar-SA"/>
        </w:rPr>
        <w:t xml:space="preserve">运营计划。在半年度、年度运营考核时，须向采购人提交考核报告并配合其他 </w:t>
      </w:r>
    </w:p>
    <w:p w14:paraId="2623D27F">
      <w:pPr>
        <w:keepNext w:val="0"/>
        <w:keepLines w:val="0"/>
        <w:pageBreakBefore w:val="0"/>
        <w:widowControl/>
        <w:suppressLineNumbers w:val="0"/>
        <w:kinsoku/>
        <w:wordWrap/>
        <w:overflowPunct/>
        <w:topLinePunct w:val="0"/>
        <w:autoSpaceDE/>
        <w:autoSpaceDN/>
        <w:bidi w:val="0"/>
        <w:adjustRightInd/>
        <w:snapToGrid w:val="0"/>
        <w:spacing w:line="560" w:lineRule="exact"/>
        <w:jc w:val="left"/>
        <w:textAlignment w:val="auto"/>
        <w:rPr>
          <w:rFonts w:hint="eastAsia" w:ascii="楷体" w:hAnsi="楷体" w:eastAsia="楷体" w:cs="楷体"/>
          <w:b w:val="0"/>
          <w:sz w:val="24"/>
          <w:szCs w:val="24"/>
          <w:highlight w:val="none"/>
          <w:lang w:val="en-US" w:eastAsia="zh-CN" w:bidi="ar-SA"/>
        </w:rPr>
      </w:pPr>
      <w:r>
        <w:rPr>
          <w:rFonts w:hint="eastAsia" w:ascii="楷体" w:hAnsi="楷体" w:eastAsia="楷体" w:cs="楷体"/>
          <w:b w:val="0"/>
          <w:sz w:val="24"/>
          <w:szCs w:val="24"/>
          <w:highlight w:val="none"/>
          <w:lang w:val="en-US" w:eastAsia="zh-CN" w:bidi="ar-SA"/>
        </w:rPr>
        <w:t xml:space="preserve">考核所要求工作 </w:t>
      </w:r>
    </w:p>
    <w:p w14:paraId="090C9F40">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楷体" w:hAnsi="楷体" w:eastAsia="楷体" w:cs="楷体"/>
          <w:b w:val="0"/>
          <w:sz w:val="24"/>
          <w:szCs w:val="24"/>
          <w:highlight w:val="none"/>
          <w:lang w:val="en-US" w:eastAsia="zh-CN" w:bidi="ar-SA"/>
        </w:rPr>
      </w:pPr>
      <w:r>
        <w:rPr>
          <w:rFonts w:hint="eastAsia" w:ascii="楷体" w:hAnsi="楷体" w:eastAsia="楷体" w:cs="楷体"/>
          <w:b w:val="0"/>
          <w:sz w:val="24"/>
          <w:szCs w:val="24"/>
          <w:highlight w:val="none"/>
          <w:lang w:val="en-US" w:eastAsia="zh-CN" w:bidi="ar-SA"/>
        </w:rPr>
        <w:t>5、成交供应商若从事违法活动，给采购人或园区入孵企业造成损害的，须承担相应经济赔偿及相关法律责任。</w:t>
      </w:r>
    </w:p>
    <w:p w14:paraId="645BEFF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1C432">
    <w:pPr>
      <w:pStyle w:val="2"/>
      <w:tabs>
        <w:tab w:val="center" w:pos="4153"/>
        <w:tab w:val="right" w:pos="8306"/>
        <w:tab w:val="clear" w:pos="7143"/>
        <w:tab w:val="clear" w:pos="14287"/>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B1EC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AB1EC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23D90">
    <w:pPr>
      <w:pStyle w:val="2"/>
      <w:tabs>
        <w:tab w:val="center" w:pos="4153"/>
        <w:tab w:val="right" w:pos="8306"/>
        <w:tab w:val="clear" w:pos="7143"/>
        <w:tab w:val="clear" w:pos="14287"/>
      </w:tabs>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60D3E">
                          <w:pPr>
                            <w:pStyle w:val="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360D3E">
                    <w:pPr>
                      <w:pStyle w:val="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443A2"/>
    <w:multiLevelType w:val="singleLevel"/>
    <w:tmpl w:val="9B7443A2"/>
    <w:lvl w:ilvl="0" w:tentative="0">
      <w:start w:val="4"/>
      <w:numFmt w:val="chineseCounting"/>
      <w:suff w:val="nothing"/>
      <w:lvlText w:val="%1、"/>
      <w:lvlJc w:val="left"/>
      <w:rPr>
        <w:rFonts w:hint="eastAsia"/>
      </w:rPr>
    </w:lvl>
  </w:abstractNum>
  <w:abstractNum w:abstractNumId="1">
    <w:nsid w:val="217103EE"/>
    <w:multiLevelType w:val="singleLevel"/>
    <w:tmpl w:val="217103EE"/>
    <w:lvl w:ilvl="0" w:tentative="0">
      <w:start w:val="2"/>
      <w:numFmt w:val="decimal"/>
      <w:suff w:val="nothing"/>
      <w:lvlText w:val="（%1）"/>
      <w:lvlJc w:val="left"/>
    </w:lvl>
  </w:abstractNum>
  <w:abstractNum w:abstractNumId="2">
    <w:nsid w:val="2F44B44F"/>
    <w:multiLevelType w:val="singleLevel"/>
    <w:tmpl w:val="2F44B44F"/>
    <w:lvl w:ilvl="0" w:tentative="0">
      <w:start w:val="1"/>
      <w:numFmt w:val="decimal"/>
      <w:suff w:val="nothing"/>
      <w:lvlText w:val="%1、"/>
      <w:lvlJc w:val="left"/>
      <w:rPr>
        <w:rFonts w:hint="default"/>
        <w:sz w:val="21"/>
        <w:szCs w:val="21"/>
      </w:rPr>
    </w:lvl>
  </w:abstractNum>
  <w:abstractNum w:abstractNumId="3">
    <w:nsid w:val="4EE7C218"/>
    <w:multiLevelType w:val="singleLevel"/>
    <w:tmpl w:val="4EE7C218"/>
    <w:lvl w:ilvl="0" w:tentative="0">
      <w:start w:val="1"/>
      <w:numFmt w:val="decimal"/>
      <w:suff w:val="nothing"/>
      <w:lvlText w:val="%1、"/>
      <w:lvlJc w:val="left"/>
      <w:rPr>
        <w:rFonts w:hint="default"/>
        <w:b w:val="0"/>
        <w:bCs w:val="0"/>
        <w:sz w:val="21"/>
        <w:szCs w:val="21"/>
      </w:rPr>
    </w:lvl>
  </w:abstractNum>
  <w:abstractNum w:abstractNumId="4">
    <w:nsid w:val="569F40D7"/>
    <w:multiLevelType w:val="singleLevel"/>
    <w:tmpl w:val="569F40D7"/>
    <w:lvl w:ilvl="0" w:tentative="0">
      <w:start w:val="1"/>
      <w:numFmt w:val="decimal"/>
      <w:suff w:val="nothing"/>
      <w:lvlText w:val="%1、"/>
      <w:lvlJc w:val="left"/>
      <w:rPr>
        <w:rFonts w:hint="default"/>
        <w:b w:val="0"/>
        <w:bCs w:val="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C1B0D"/>
    <w:rsid w:val="293C1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7143"/>
        <w:tab w:val="right" w:pos="14287"/>
      </w:tabs>
      <w:spacing w:after="0" w:line="240" w:lineRule="auto"/>
    </w:pPr>
  </w:style>
  <w:style w:type="paragraph" w:customStyle="1" w:styleId="5">
    <w:name w:val="01-标书-标题1"/>
    <w:next w:val="1"/>
    <w:qFormat/>
    <w:uiPriority w:val="0"/>
    <w:pPr>
      <w:tabs>
        <w:tab w:val="left" w:pos="425"/>
      </w:tabs>
      <w:spacing w:line="360" w:lineRule="auto"/>
      <w:ind w:left="425" w:hanging="425"/>
      <w:outlineLvl w:val="0"/>
    </w:pPr>
    <w:rPr>
      <w:rFonts w:hint="default" w:ascii="黑体" w:hAnsi="宋体" w:eastAsia="黑体" w:cs="Times New Roman"/>
      <w:sz w:val="44"/>
      <w:szCs w:val="32"/>
      <w:lang w:val="en-US" w:eastAsia="zh-CN" w:bidi="ar-SA"/>
    </w:rPr>
  </w:style>
  <w:style w:type="character" w:customStyle="1" w:styleId="6">
    <w:name w:val="font131"/>
    <w:basedOn w:val="4"/>
    <w:link w:val="1"/>
    <w:qFormat/>
    <w:uiPriority w:val="0"/>
    <w:rPr>
      <w:rFonts w:hint="default"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2025-11-26T07:53:00Z</dcterms:created>
  <dc:creator>Administrator</dc:creator>
  <cp:lastModifiedBy>Administrator</cp:lastModifiedBy>
  <dcterms:modified xsi:type="dcterms:W3CDTF">2025-11-26T07:53:56Z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B81616BFC5834EFBBD9CB9A7759D94F5_11</vt:lpwstr>
  </property>
  <property fmtid="{D5CDD505-2E9C-101B-9397-08002B2CF9AE}" pid="4" name="KSOTemplateDocerSaveRecord">
    <vt:lpwstr>eyJoZGlkIjoiM2Y2NDM4ZmVlMzk4MWFkMzY2Y2NmYzUyYTY5YjM1MTUiLCJ1c2VySWQiOiIxNjYxMjk5OTMzIn0=</vt:lpwstr>
  </property>
</Properties>
</file>