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2"/>
        <w:ind w:firstLine="0"/>
        <w:rPr>
          <w:rFonts w:hint="eastAsia" w:eastAsia="黑体"/>
          <w:b/>
          <w:bCs/>
          <w:color w:val="000000"/>
          <w:sz w:val="84"/>
          <w:shd w:val="clear" w:color="ffffff" w:fill="d9d9d9"/>
        </w:rPr>
      </w:pPr>
      <w:r>
        <w:rPr>
          <w:rFonts w:hint="eastAsia" w:eastAsia="黑体"/>
          <w:b/>
          <w:bCs/>
          <w:color w:val="000000"/>
          <w:sz w:val="84"/>
          <w:shd w:val="clear" w:color="ffffff" w:fill="d9d9d9"/>
        </w:rPr>
      </w:r>
      <w:r/>
    </w:p>
    <w:p>
      <w:pPr>
        <w:pStyle w:val="822"/>
        <w:ind w:firstLine="0"/>
        <w:jc w:val="both"/>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公开招标文件</w:t>
      </w:r>
      <w:r/>
    </w:p>
    <w:p>
      <w:pPr>
        <w:pStyle w:val="822"/>
        <w:ind w:firstLine="0"/>
        <w:jc w:val="center"/>
        <w:rPr>
          <w:rFonts w:ascii="黑体" w:hAnsi="华文中宋" w:eastAsia="黑体"/>
          <w:bCs/>
          <w:color w:val="000000"/>
          <w:spacing w:val="20"/>
          <w:sz w:val="52"/>
          <w:szCs w:val="52"/>
        </w:rPr>
      </w:pPr>
      <w:r>
        <w:rPr>
          <w:rFonts w:ascii="黑体" w:hAnsi="华文中宋" w:eastAsia="黑体"/>
          <w:bCs/>
          <w:color w:val="000000"/>
          <w:spacing w:val="20"/>
          <w:sz w:val="52"/>
          <w:szCs w:val="52"/>
        </w:rPr>
      </w:r>
      <w:r/>
    </w:p>
    <w:p>
      <w:pPr>
        <w:pStyle w:val="822"/>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822"/>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822"/>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734"/>
        <w:ind w:firstLine="1920"/>
        <w:jc w:val="left"/>
        <w:rPr>
          <w:rFonts w:ascii="黑体" w:hAnsi="华文中宋" w:eastAsia="黑体"/>
          <w:bCs/>
          <w:color w:val="000000"/>
          <w:sz w:val="32"/>
          <w:szCs w:val="32"/>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rPr>
        <w:t xml:space="preserve">JSZC-320200-JZCG-G2024-0201</w:t>
      </w:r>
      <w:r>
        <w:rPr>
          <w:rFonts w:ascii="黑体" w:hAnsi="华文中宋" w:eastAsia="黑体"/>
          <w:bCs/>
          <w:color w:val="000000"/>
          <w:sz w:val="32"/>
          <w:szCs w:val="32"/>
        </w:rPr>
      </w:r>
      <w:r/>
    </w:p>
    <w:p>
      <w:pPr>
        <w:pStyle w:val="734"/>
        <w:ind w:firstLine="1920"/>
        <w:jc w:val="left"/>
        <w:rPr>
          <w:rFonts w:hint="eastAsia" w:ascii="黑体" w:hAnsi="华文中宋" w:eastAsia="黑体"/>
          <w:bCs/>
          <w:color w:val="000000"/>
          <w:sz w:val="32"/>
          <w:szCs w:val="32"/>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rPr>
        <w:t xml:space="preserve">信息化服务器硬件支撑</w:t>
      </w:r>
      <w:r>
        <w:rPr>
          <w:rFonts w:hint="eastAsia" w:ascii="黑体" w:hAnsi="华文中宋" w:eastAsia="黑体"/>
          <w:bCs/>
          <w:color w:val="000000"/>
          <w:sz w:val="32"/>
          <w:szCs w:val="32"/>
        </w:rPr>
      </w:r>
      <w:r/>
    </w:p>
    <w:p>
      <w:pPr>
        <w:pStyle w:val="734"/>
        <w:ind w:firstLine="1920"/>
        <w:jc w:val="left"/>
        <w:rPr>
          <w:rFonts w:hint="eastAsia" w:ascii="黑体" w:hAnsi="华文中宋" w:eastAsia="黑体"/>
          <w:bCs/>
          <w:color w:val="000000"/>
          <w:sz w:val="32"/>
          <w:szCs w:val="32"/>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32"/>
          <w:szCs w:val="32"/>
        </w:rPr>
        <w:t xml:space="preserve">无锡市公安局（本级）</w:t>
      </w:r>
      <w:r>
        <w:rPr>
          <w:rFonts w:hint="eastAsia" w:ascii="黑体" w:hAnsi="华文中宋" w:eastAsia="黑体"/>
          <w:bCs/>
          <w:color w:val="000000"/>
          <w:sz w:val="32"/>
          <w:szCs w:val="32"/>
        </w:rPr>
      </w:r>
      <w:r/>
    </w:p>
    <w:p>
      <w:pPr>
        <w:pStyle w:val="734"/>
        <w:jc w:val="center"/>
        <w:rPr>
          <w:rFonts w:ascii="黑体" w:hAnsi="华文中宋" w:eastAsia="黑体"/>
          <w:bCs/>
          <w:color w:val="000000"/>
          <w:sz w:val="30"/>
          <w:szCs w:val="30"/>
        </w:rPr>
      </w:pPr>
      <w:r>
        <w:rPr>
          <w:rFonts w:ascii="黑体" w:hAnsi="华文中宋" w:eastAsia="黑体"/>
          <w:bCs/>
          <w:color w:val="000000"/>
          <w:sz w:val="30"/>
          <w:szCs w:val="30"/>
        </w:rPr>
      </w:r>
      <w:r/>
    </w:p>
    <w:p>
      <w:pPr>
        <w:pStyle w:val="822"/>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822"/>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822"/>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822"/>
        <w:ind w:firstLine="0"/>
        <w:jc w:val="center"/>
        <w:spacing w:before="0" w:after="0"/>
        <w:rPr>
          <w:rFonts w:hint="eastAsia" w:ascii="宋体" w:hAnsi="宋体"/>
          <w:color w:val="000000"/>
          <w:sz w:val="32"/>
          <w:szCs w:val="32"/>
          <w:shd w:val="clear" w:color="ffffff" w:fill="d9d9d9"/>
        </w:rPr>
      </w:pPr>
      <w:r>
        <w:rPr>
          <w:rFonts w:hint="eastAsia" w:ascii="黑体" w:hAnsi="华文中宋" w:eastAsia="黑体"/>
          <w:bCs/>
          <w:color w:val="000000"/>
          <w:sz w:val="32"/>
          <w:szCs w:val="32"/>
        </w:rPr>
        <w:t xml:space="preserve">采购代理机构：无锡市公共资源交易中心</w:t>
      </w:r>
      <w:r>
        <w:rPr>
          <w:rFonts w:hint="eastAsia" w:ascii="宋体" w:hAnsi="宋体"/>
          <w:color w:val="000000"/>
          <w:sz w:val="32"/>
          <w:szCs w:val="32"/>
          <w:shd w:val="clear" w:color="ffffff" w:fill="d9d9d9"/>
        </w:rPr>
      </w:r>
      <w:r/>
    </w:p>
    <w:p>
      <w:pPr>
        <w:pStyle w:val="822"/>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二○二四年</w:t>
      </w:r>
      <w:r>
        <w:rPr>
          <w:rFonts w:hint="eastAsia" w:ascii="黑体" w:hAnsi="华文中宋" w:eastAsia="黑体"/>
          <w:bCs/>
          <w:color w:val="000000"/>
          <w:sz w:val="32"/>
          <w:szCs w:val="32"/>
        </w:rPr>
        <w:t xml:space="preserve">九</w:t>
      </w:r>
      <w:r>
        <w:rPr>
          <w:rFonts w:hint="eastAsia" w:ascii="黑体" w:hAnsi="华文中宋" w:eastAsia="黑体"/>
          <w:bCs/>
          <w:color w:val="000000"/>
          <w:sz w:val="32"/>
          <w:szCs w:val="32"/>
        </w:rPr>
        <w:t xml:space="preserve">月</w:t>
      </w:r>
      <w:r>
        <w:rPr>
          <w:rFonts w:ascii="黑体" w:hAnsi="华文中宋" w:eastAsia="黑体"/>
          <w:bCs/>
          <w:color w:val="000000"/>
          <w:sz w:val="32"/>
          <w:szCs w:val="32"/>
        </w:rPr>
      </w:r>
      <w:r/>
    </w:p>
    <w:p>
      <w:pPr>
        <w:pStyle w:val="822"/>
        <w:ind w:firstLine="0"/>
        <w:jc w:val="center"/>
        <w:rPr>
          <w:rFonts w:hint="eastAsia" w:ascii="黑体" w:hAnsi="黑体" w:eastAsia="黑体"/>
          <w:color w:val="000000"/>
          <w:sz w:val="36"/>
          <w:szCs w:val="36"/>
        </w:rPr>
      </w:pPr>
      <w:r>
        <w:rPr>
          <w:rFonts w:ascii="黑体" w:hAnsi="华文中宋" w:eastAsia="黑体"/>
          <w:bCs/>
          <w:color w:val="000000"/>
          <w:sz w:val="44"/>
          <w:szCs w:val="44"/>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黑体" w:eastAsia="黑体"/>
          <w:color w:val="000000"/>
          <w:sz w:val="36"/>
          <w:szCs w:val="36"/>
        </w:rPr>
        <w:t xml:space="preserve">总  目  录</w:t>
      </w:r>
      <w:r/>
    </w:p>
    <w:p>
      <w:pPr>
        <w:pStyle w:val="734"/>
        <w:jc w:val="center"/>
        <w:spacing w:line="480" w:lineRule="auto"/>
        <w:rPr>
          <w:rFonts w:hint="eastAsia" w:ascii="黑体" w:hAnsi="Arial" w:eastAsia="黑体"/>
          <w:color w:val="000000"/>
          <w:sz w:val="44"/>
        </w:rPr>
        <w:outlineLvl w:val="0"/>
      </w:pPr>
      <w:r>
        <w:rPr>
          <w:rFonts w:hint="eastAsia" w:ascii="黑体" w:hAnsi="Arial" w:eastAsia="黑体"/>
          <w:color w:val="000000"/>
          <w:sz w:val="44"/>
        </w:rPr>
      </w:r>
      <w:r/>
    </w:p>
    <w:p>
      <w:pPr>
        <w:pStyle w:val="73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p>
    <w:p>
      <w:pPr>
        <w:pStyle w:val="73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p>
    <w:p>
      <w:pPr>
        <w:pStyle w:val="73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p>
    <w:p>
      <w:pPr>
        <w:pStyle w:val="73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p>
    <w:p>
      <w:pPr>
        <w:pStyle w:val="73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p>
    <w:p>
      <w:pPr>
        <w:pStyle w:val="73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p>
    <w:p>
      <w:pPr>
        <w:pStyle w:val="734"/>
        <w:jc w:val="center"/>
        <w:spacing w:line="500" w:lineRule="exact"/>
        <w:tabs>
          <w:tab w:val="left" w:pos="1440" w:leader="none"/>
        </w:tabs>
        <w:rPr>
          <w:rFonts w:hint="eastAsia" w:ascii="黑体" w:hAnsi="黑体" w:eastAsia="黑体"/>
          <w:color w:val="000000"/>
          <w:sz w:val="36"/>
          <w:szCs w:val="36"/>
        </w:rPr>
        <w:outlineLvl w:val="0"/>
      </w:pPr>
      <w:r>
        <w:rPr>
          <w:rFonts w:ascii="黑体" w:hAnsi="Showcard Gothic" w:eastAsia="黑体"/>
          <w:color w:val="000000"/>
          <w:sz w:val="30"/>
          <w:szCs w:val="30"/>
        </w:rPr>
        <w:br w:type="page" w:clear="all"/>
      </w:r>
      <w:r>
        <w:rPr>
          <w:rFonts w:hint="eastAsia" w:ascii="黑体" w:hAnsi="黑体" w:eastAsia="黑体"/>
          <w:color w:val="000000"/>
          <w:sz w:val="36"/>
          <w:szCs w:val="36"/>
        </w:rPr>
        <w:t xml:space="preserve">第一章  投标邀请</w:t>
      </w:r>
      <w:r/>
    </w:p>
    <w:p>
      <w:pPr>
        <w:pStyle w:val="734"/>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rPr>
        <w:t xml:space="preserve">无锡市公安局（本级）</w:t>
      </w:r>
      <w:r>
        <w:rPr>
          <w:rFonts w:hint="eastAsia" w:ascii="宋体" w:hAnsi="宋体"/>
          <w:color w:val="000000"/>
          <w:sz w:val="24"/>
          <w:szCs w:val="24"/>
        </w:rPr>
        <w:t xml:space="preserve">的委托，无锡市公共资源交易中心就</w:t>
      </w:r>
      <w:r>
        <w:rPr>
          <w:rFonts w:hint="eastAsia" w:ascii="宋体" w:hAnsi="宋体"/>
          <w:color w:val="000000"/>
          <w:sz w:val="24"/>
          <w:szCs w:val="24"/>
        </w:rPr>
        <w:t xml:space="preserve">信息化服务器硬件支撑</w:t>
      </w:r>
      <w:r>
        <w:rPr>
          <w:rFonts w:hint="eastAsia" w:ascii="宋体" w:hAnsi="宋体"/>
          <w:color w:val="000000"/>
          <w:sz w:val="24"/>
          <w:szCs w:val="24"/>
        </w:rPr>
        <w:t xml:space="preserve">（</w:t>
      </w:r>
      <w:r>
        <w:rPr>
          <w:rFonts w:hint="eastAsia" w:ascii="宋体" w:hAnsi="宋体"/>
          <w:color w:val="000000"/>
          <w:sz w:val="24"/>
          <w:szCs w:val="24"/>
        </w:rPr>
        <w:t xml:space="preserve">JSZC-320200-JZCG-G2024-0201</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734"/>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734"/>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信息化服务器硬件支撑</w:t>
      </w:r>
      <w:r>
        <w:rPr>
          <w:rFonts w:hint="eastAsia" w:ascii="宋体" w:hAnsi="宋体"/>
          <w:color w:val="000000"/>
          <w:sz w:val="24"/>
          <w:szCs w:val="24"/>
        </w:rPr>
        <w:t xml:space="preserve">采购项目的潜在投标人应在“无锡政府采购网”“江苏政府采购网”自行浏览招标文件，如有投标意向须在本招标文件有效获取期内通过</w:t>
      </w:r>
      <w:r>
        <w:rPr>
          <w:rFonts w:hint="eastAsia" w:ascii="宋体" w:hAnsi="宋体"/>
          <w:color w:val="000000"/>
          <w:sz w:val="24"/>
          <w:szCs w:val="24"/>
        </w:rPr>
        <w:t xml:space="preserve">登录</w:t>
      </w:r>
      <w:r>
        <w:rPr>
          <w:rFonts w:ascii="宋体" w:hAnsi="宋体"/>
          <w:color w:val="000000"/>
          <w:sz w:val="24"/>
          <w:szCs w:val="24"/>
        </w:rPr>
        <w:t xml:space="preserve">“江苏省政府采购（苏采云）平台”</w:t>
      </w:r>
      <w:r>
        <w:rPr>
          <w:rFonts w:hint="eastAsia" w:ascii="宋体" w:hAnsi="宋体"/>
          <w:color w:val="000000"/>
          <w:sz w:val="24"/>
          <w:szCs w:val="24"/>
        </w:rPr>
        <w:t xml:space="preserve">下载的方式</w:t>
      </w:r>
      <w:r>
        <w:rPr>
          <w:rFonts w:hint="eastAsia" w:ascii="宋体" w:hAnsi="宋体"/>
          <w:color w:val="000000"/>
          <w:sz w:val="24"/>
          <w:szCs w:val="24"/>
        </w:rPr>
        <w:t xml:space="preserve">依法</w:t>
      </w:r>
      <w:r>
        <w:rPr>
          <w:rFonts w:hint="eastAsia" w:ascii="宋体" w:hAnsi="宋体"/>
          <w:color w:val="000000"/>
          <w:sz w:val="24"/>
          <w:szCs w:val="24"/>
        </w:rPr>
        <w:t xml:space="preserve">获取招标文件，并于2024年</w:t>
      </w:r>
      <w:r>
        <w:rPr>
          <w:rFonts w:hint="eastAsia" w:ascii="宋体" w:hAnsi="宋体"/>
          <w:color w:val="000000"/>
          <w:sz w:val="24"/>
          <w:szCs w:val="24"/>
        </w:rPr>
        <w:t xml:space="preserve">10</w:t>
      </w:r>
      <w:r>
        <w:rPr>
          <w:rFonts w:hint="eastAsia" w:ascii="宋体" w:hAnsi="宋体"/>
          <w:color w:val="000000"/>
          <w:sz w:val="24"/>
          <w:szCs w:val="24"/>
        </w:rPr>
        <w:t xml:space="preserve">月</w:t>
      </w:r>
      <w:r>
        <w:rPr>
          <w:rFonts w:hint="eastAsia" w:ascii="宋体" w:hAnsi="宋体"/>
          <w:color w:val="000000"/>
          <w:sz w:val="24"/>
          <w:szCs w:val="24"/>
        </w:rPr>
        <w:t xml:space="preserve">22</w:t>
      </w:r>
      <w:r>
        <w:rPr>
          <w:rFonts w:hint="eastAsia" w:ascii="宋体" w:hAnsi="宋体"/>
          <w:color w:val="000000"/>
          <w:sz w:val="24"/>
          <w:szCs w:val="24"/>
        </w:rPr>
        <w:t xml:space="preserve">日0</w:t>
      </w:r>
      <w:r>
        <w:rPr>
          <w:rFonts w:hint="eastAsia" w:ascii="宋体" w:hAnsi="宋体"/>
          <w:color w:val="000000"/>
          <w:sz w:val="24"/>
          <w:szCs w:val="24"/>
        </w:rPr>
        <w:t xml:space="preserve">9</w:t>
      </w:r>
      <w:r>
        <w:rPr>
          <w:rFonts w:hint="eastAsia" w:ascii="宋体" w:hAnsi="宋体"/>
          <w:color w:val="000000"/>
          <w:sz w:val="24"/>
          <w:szCs w:val="24"/>
        </w:rPr>
        <w:t xml:space="preserve">点</w:t>
      </w:r>
      <w:r>
        <w:rPr>
          <w:rFonts w:hint="eastAsia" w:ascii="宋体" w:hAnsi="宋体"/>
          <w:color w:val="000000"/>
          <w:sz w:val="24"/>
          <w:szCs w:val="24"/>
        </w:rPr>
        <w:t xml:space="preserve">30</w:t>
      </w:r>
      <w:r>
        <w:rPr>
          <w:rFonts w:hint="eastAsia" w:ascii="宋体" w:hAnsi="宋体"/>
          <w:color w:val="000000"/>
          <w:sz w:val="24"/>
          <w:szCs w:val="24"/>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shd w:val="clear" w:color="ffffff" w:fill="d9d9d9"/>
        </w:rPr>
      </w:r>
      <w:r/>
    </w:p>
    <w:p>
      <w:pPr>
        <w:pStyle w:val="737"/>
        <w:ind w:firstLine="452"/>
        <w:keepLines w:val="0"/>
        <w:keepNext w:val="0"/>
        <w:spacing w:before="0" w:after="0" w:line="500" w:lineRule="exact"/>
        <w:rPr>
          <w:color w:val="000000"/>
          <w:sz w:val="30"/>
          <w:szCs w:val="30"/>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color w:val="000000"/>
          <w:sz w:val="30"/>
          <w:szCs w:val="30"/>
        </w:rPr>
        <w:t xml:space="preserve">一、项目基本情况</w:t>
      </w:r>
      <w:bookmarkEnd w:id="6"/>
      <w:r/>
      <w:bookmarkEnd w:id="7"/>
      <w:r/>
      <w:bookmarkEnd w:id="8"/>
      <w:r/>
      <w:bookmarkEnd w:id="9"/>
      <w:r/>
      <w:bookmarkEnd w:id="10"/>
      <w:r>
        <w:rPr>
          <w:color w:val="000000"/>
          <w:sz w:val="30"/>
          <w:szCs w:val="30"/>
        </w:rPr>
      </w:r>
      <w:r/>
    </w:p>
    <w:p>
      <w:pPr>
        <w:pStyle w:val="734"/>
        <w:ind w:firstLine="480"/>
        <w:spacing w:line="500" w:lineRule="exact"/>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olor w:val="000000"/>
          <w:sz w:val="24"/>
          <w:szCs w:val="24"/>
        </w:rPr>
        <w:t xml:space="preserve">JSZC-320200-JZCG-G2024-0201</w:t>
      </w:r>
      <w:r>
        <w:rPr>
          <w:rFonts w:ascii="宋体" w:hAnsi="宋体"/>
          <w:color w:val="000000"/>
          <w:sz w:val="24"/>
          <w:szCs w:val="24"/>
        </w:rPr>
      </w:r>
      <w:r/>
    </w:p>
    <w:p>
      <w:pPr>
        <w:pStyle w:val="734"/>
        <w:ind w:firstLine="480"/>
        <w:spacing w:line="5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rPr>
        <w:t xml:space="preserve">信息化服务器硬件支撑</w:t>
      </w:r>
      <w:r>
        <w:rPr>
          <w:rFonts w:ascii="宋体" w:hAnsi="宋体"/>
          <w:color w:val="000000"/>
          <w:sz w:val="24"/>
          <w:szCs w:val="24"/>
        </w:rPr>
      </w:r>
      <w:r/>
    </w:p>
    <w:p>
      <w:pPr>
        <w:pStyle w:val="734"/>
        <w:ind w:firstLine="480"/>
        <w:spacing w:line="500" w:lineRule="exact"/>
        <w:rPr>
          <w:rFonts w:ascii="宋体" w:hAnsi="宋体"/>
          <w:color w:val="000000"/>
          <w:sz w:val="24"/>
          <w:szCs w:val="24"/>
        </w:rPr>
      </w:pPr>
      <w:r/>
      <w:bookmarkEnd w:id="11"/>
      <w:r>
        <w:rPr>
          <w:rFonts w:hint="eastAsia" w:ascii="宋体" w:hAnsi="宋体"/>
          <w:color w:val="000000"/>
          <w:sz w:val="24"/>
          <w:szCs w:val="24"/>
        </w:rPr>
        <w:t xml:space="preserve">3.项目预算金额：</w:t>
      </w:r>
      <w:r>
        <w:rPr>
          <w:rFonts w:hint="eastAsia" w:ascii="宋体" w:hAnsi="宋体"/>
          <w:color w:val="000000"/>
          <w:sz w:val="24"/>
          <w:szCs w:val="24"/>
        </w:rPr>
        <w:t xml:space="preserve">367</w:t>
      </w:r>
      <w:r>
        <w:rPr>
          <w:rFonts w:hint="eastAsia" w:ascii="宋体" w:hAnsi="宋体"/>
          <w:color w:val="000000"/>
          <w:sz w:val="24"/>
          <w:szCs w:val="24"/>
        </w:rPr>
        <w:t xml:space="preserve">万元</w:t>
      </w:r>
      <w:r>
        <w:rPr>
          <w:rFonts w:ascii="宋体" w:hAnsi="宋体"/>
          <w:color w:val="000000"/>
          <w:sz w:val="24"/>
          <w:szCs w:val="24"/>
        </w:rPr>
      </w:r>
      <w:r/>
    </w:p>
    <w:p>
      <w:pPr>
        <w:pStyle w:val="734"/>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hint="eastAsia" w:ascii="宋体" w:hAnsi="宋体"/>
          <w:color w:val="000000"/>
          <w:sz w:val="24"/>
          <w:szCs w:val="24"/>
        </w:rPr>
        <w:t xml:space="preserve">367</w:t>
      </w:r>
      <w:r>
        <w:rPr>
          <w:rFonts w:hint="eastAsia" w:ascii="宋体" w:hAnsi="宋体"/>
          <w:color w:val="000000"/>
          <w:sz w:val="24"/>
          <w:szCs w:val="24"/>
        </w:rPr>
        <w:t xml:space="preserve">万元</w:t>
      </w:r>
      <w:r>
        <w:rPr>
          <w:rFonts w:ascii="宋体" w:hAnsi="宋体"/>
          <w:color w:val="000000"/>
          <w:sz w:val="24"/>
          <w:szCs w:val="24"/>
        </w:rPr>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5.采购方式：公开招标</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t xml:space="preserve">.采购需求：</w:t>
      </w:r>
      <w:r>
        <w:rPr>
          <w:rFonts w:hint="eastAsia" w:ascii="宋体" w:hAnsi="宋体" w:cs="宋体"/>
          <w:color w:val="000000"/>
          <w:sz w:val="24"/>
          <w:szCs w:val="24"/>
        </w:rPr>
        <w:t xml:space="preserve">详见招标文件第四章《采购需求》</w:t>
      </w:r>
      <w:r>
        <w:rPr>
          <w:rFonts w:hint="eastAsia" w:ascii="宋体" w:hAnsi="宋体"/>
          <w:color w:val="000000"/>
          <w:sz w:val="24"/>
          <w:szCs w:val="24"/>
        </w:rPr>
      </w:r>
      <w:r/>
    </w:p>
    <w:p>
      <w:pPr>
        <w:pStyle w:val="734"/>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t xml:space="preserve">.合同履行期限：</w:t>
      </w:r>
      <w:r>
        <w:rPr>
          <w:rFonts w:hint="eastAsia" w:ascii="宋体" w:hAnsi="宋体" w:cs="宋体"/>
          <w:color w:val="000000"/>
          <w:sz w:val="24"/>
          <w:szCs w:val="24"/>
        </w:rPr>
        <w:t xml:space="preserve">详见招标文件第四章《采购需求》</w:t>
      </w:r>
      <w:r/>
    </w:p>
    <w:p>
      <w:pPr>
        <w:pStyle w:val="73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t xml:space="preserve">.本项目不接受联合体投标。</w:t>
      </w:r>
      <w:r>
        <w:rPr>
          <w:rFonts w:ascii="宋体" w:hAnsi="宋体" w:cs="宋体"/>
          <w:color w:val="000000"/>
          <w:sz w:val="24"/>
          <w:szCs w:val="24"/>
        </w:rPr>
      </w:r>
      <w:r/>
    </w:p>
    <w:p>
      <w:pPr>
        <w:pStyle w:val="737"/>
        <w:ind w:firstLine="452"/>
        <w:keepLines w:val="0"/>
        <w:keepNext w:val="0"/>
        <w:spacing w:before="0" w:after="0" w:line="500" w:lineRule="exact"/>
        <w:rPr>
          <w:color w:val="000000"/>
          <w:sz w:val="30"/>
          <w:szCs w:val="30"/>
        </w:rPr>
      </w:pPr>
      <w:r/>
      <w:bookmarkStart w:id="12" w:name="_Toc38985264"/>
      <w:r/>
      <w:bookmarkStart w:id="13" w:name="_Toc35393791"/>
      <w:r/>
      <w:bookmarkStart w:id="14" w:name="_Toc28359080"/>
      <w:r/>
      <w:bookmarkStart w:id="15" w:name="_Toc28359003"/>
      <w:r/>
      <w:bookmarkStart w:id="16" w:name="_Toc35393622"/>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734"/>
        <w:ind w:firstLine="480"/>
        <w:spacing w:line="500" w:lineRule="exact"/>
        <w:rPr>
          <w:rFonts w:ascii="宋体" w:hAnsi="宋体"/>
          <w:color w:val="000000"/>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color w:val="000000"/>
          <w:sz w:val="24"/>
          <w:szCs w:val="24"/>
        </w:rPr>
        <w:t xml:space="preserve">1.满足《中华人民共和国政府采购法》第二十二条规定；</w:t>
      </w:r>
      <w:r>
        <w:rPr>
          <w:rFonts w:ascii="宋体" w:hAnsi="宋体"/>
          <w:color w:val="000000"/>
          <w:sz w:val="24"/>
          <w:szCs w:val="24"/>
        </w:rPr>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落实政府采购政策需满足的资格要求：</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2.1中小企业政策：无</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734"/>
        <w:ind w:firstLine="480"/>
        <w:spacing w:line="500" w:lineRule="exact"/>
        <w:rPr>
          <w:rFonts w:ascii="宋体" w:hAnsi="宋体" w:cs="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.本项目的特定资格要求：无</w:t>
      </w:r>
      <w:r>
        <w:rPr>
          <w:rFonts w:hint="eastAsia" w:ascii="宋体" w:hAnsi="宋体"/>
          <w:color w:val="000000"/>
          <w:sz w:val="24"/>
          <w:szCs w:val="24"/>
        </w:rPr>
        <w:t xml:space="preserve">。</w:t>
      </w:r>
      <w:r>
        <w:rPr>
          <w:rFonts w:ascii="宋体" w:hAnsi="宋体" w:cs="宋体"/>
          <w:color w:val="000000"/>
          <w:sz w:val="24"/>
          <w:szCs w:val="24"/>
        </w:rPr>
      </w:r>
      <w:r/>
    </w:p>
    <w:p>
      <w:pPr>
        <w:pStyle w:val="737"/>
        <w:ind w:firstLine="452"/>
        <w:keepLines w:val="0"/>
        <w:keepNext w:val="0"/>
        <w:spacing w:before="0" w:after="0" w:line="500" w:lineRule="exact"/>
        <w:rPr>
          <w:color w:val="000000"/>
          <w:sz w:val="30"/>
          <w:szCs w:val="30"/>
        </w:rPr>
      </w:pPr>
      <w:r>
        <w:rPr>
          <w:rFonts w:hint="eastAsia"/>
          <w:color w:val="000000"/>
          <w:sz w:val="30"/>
          <w:szCs w:val="30"/>
        </w:rPr>
        <w:t xml:space="preserve">三、获取招标文件</w:t>
      </w:r>
      <w:bookmarkEnd w:id="17"/>
      <w:r/>
      <w:bookmarkEnd w:id="18"/>
      <w:r/>
      <w:bookmarkEnd w:id="19"/>
      <w:r/>
      <w:bookmarkEnd w:id="20"/>
      <w:r/>
      <w:bookmarkEnd w:id="21"/>
      <w:r>
        <w:rPr>
          <w:color w:val="000000"/>
          <w:sz w:val="30"/>
          <w:szCs w:val="30"/>
        </w:rPr>
      </w:r>
      <w:r/>
    </w:p>
    <w:p>
      <w:pPr>
        <w:pStyle w:val="734"/>
        <w:ind w:firstLine="540"/>
        <w:spacing w:line="500" w:lineRule="exact"/>
        <w:rPr>
          <w:rFonts w:hint="eastAsia" w:ascii="宋体" w:hAnsi="宋体"/>
          <w:color w:val="000000"/>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sz w:val="24"/>
          <w:szCs w:val="24"/>
        </w:rPr>
        <w:t xml:space="preserve">1.时间：</w:t>
      </w:r>
      <w:r>
        <w:rPr>
          <w:rFonts w:hint="eastAsia" w:ascii="宋体" w:hAnsi="宋体"/>
          <w:color w:val="000000"/>
          <w:sz w:val="24"/>
          <w:szCs w:val="24"/>
        </w:rPr>
        <w:t xml:space="preserve">本招标文件有效获取期限</w:t>
      </w:r>
      <w:r>
        <w:rPr>
          <w:rFonts w:hint="eastAsia" w:ascii="宋体" w:hAnsi="宋体"/>
          <w:color w:val="000000"/>
          <w:sz w:val="24"/>
          <w:szCs w:val="24"/>
        </w:rPr>
        <w:t xml:space="preserve">以本项目招标公告中规定的获取招标文件时间为准。</w:t>
      </w:r>
      <w:r/>
    </w:p>
    <w:p>
      <w:pPr>
        <w:pStyle w:val="734"/>
        <w:ind w:firstLine="540"/>
        <w:spacing w:line="500" w:lineRule="exact"/>
        <w:rPr>
          <w:rFonts w:hint="eastAsia"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bCs/>
          <w:color w:val="000000"/>
          <w:sz w:val="24"/>
          <w:szCs w:val="24"/>
        </w:rPr>
      </w:r>
      <w:r/>
    </w:p>
    <w:p>
      <w:pPr>
        <w:pStyle w:val="734"/>
        <w:ind w:firstLine="540"/>
        <w:spacing w:line="500" w:lineRule="exact"/>
        <w:rPr>
          <w:rStyle w:val="811"/>
          <w:color w:val="000000"/>
        </w:rPr>
      </w:pPr>
      <w:r>
        <w:rPr>
          <w:rFonts w:hint="eastAsia" w:ascii="宋体" w:hAnsi="宋体"/>
          <w:bCs/>
          <w:color w:val="000000"/>
          <w:sz w:val="24"/>
          <w:szCs w:val="24"/>
        </w:rPr>
        <w:t xml:space="preserve">3.方式：</w:t>
      </w:r>
      <w:r>
        <w:rPr>
          <w:rFonts w:hint="eastAsia" w:ascii="宋体" w:hAnsi="宋体"/>
          <w:bCs/>
          <w:color w:val="000000"/>
          <w:sz w:val="24"/>
          <w:szCs w:val="24"/>
        </w:rPr>
        <w:t xml:space="preserve">请有投标意向的供应商在招标文件有效获取期内及时至</w:t>
      </w:r>
      <w:r>
        <w:rPr>
          <w:rFonts w:ascii="宋体" w:hAnsi="宋体"/>
          <w:color w:val="000000"/>
          <w:sz w:val="24"/>
          <w:szCs w:val="24"/>
        </w:rPr>
        <w:t xml:space="preserve">“江苏省政府采购（苏采云）平台”</w:t>
      </w:r>
      <w:r>
        <w:rPr>
          <w:rFonts w:ascii="宋体" w:hAnsi="宋体"/>
          <w:color w:val="000000"/>
          <w:sz w:val="24"/>
          <w:szCs w:val="24"/>
        </w:rPr>
        <w:t xml:space="preserve">（http://jszfcg.jscz.gov.cn/jszc/login）</w:t>
      </w:r>
      <w:r>
        <w:rPr>
          <w:rFonts w:ascii="宋体" w:hAnsi="宋体"/>
          <w:color w:val="000000"/>
          <w:sz w:val="24"/>
          <w:szCs w:val="24"/>
        </w:rPr>
        <w:t xml:space="preserve">获取</w:t>
      </w:r>
      <w:r>
        <w:rPr>
          <w:rFonts w:hint="eastAsia" w:ascii="宋体" w:hAnsi="宋体"/>
          <w:color w:val="000000"/>
          <w:sz w:val="24"/>
          <w:szCs w:val="24"/>
        </w:rPr>
        <w:t xml:space="preserve">。</w:t>
      </w:r>
      <w:r>
        <w:rPr>
          <w:rFonts w:hint="eastAsia" w:ascii="宋体" w:hAnsi="宋体"/>
          <w:bCs/>
          <w:color w:val="000000"/>
          <w:sz w:val="24"/>
          <w:szCs w:val="24"/>
        </w:rPr>
        <w:t xml:space="preserve">在招标文件</w:t>
      </w:r>
      <w:r>
        <w:rPr>
          <w:rFonts w:hint="eastAsia" w:ascii="宋体" w:hAnsi="宋体"/>
          <w:bCs/>
          <w:color w:val="000000"/>
          <w:sz w:val="24"/>
          <w:szCs w:val="24"/>
        </w:rPr>
        <w:t xml:space="preserve">有效获取</w:t>
      </w:r>
      <w:r>
        <w:rPr>
          <w:rFonts w:hint="eastAsia" w:ascii="宋体" w:hAnsi="宋体"/>
          <w:bCs/>
          <w:color w:val="000000"/>
          <w:sz w:val="24"/>
          <w:szCs w:val="24"/>
        </w:rPr>
        <w:t xml:space="preserve">期限内，从</w:t>
      </w:r>
      <w:r>
        <w:rPr>
          <w:rFonts w:ascii="宋体" w:hAnsi="宋体"/>
          <w:color w:val="000000"/>
          <w:sz w:val="24"/>
          <w:szCs w:val="24"/>
        </w:rPr>
        <w:t xml:space="preserve">“江苏省政府采购（苏采云）平台”</w:t>
      </w:r>
      <w:r>
        <w:rPr>
          <w:rFonts w:ascii="宋体" w:hAnsi="宋体"/>
          <w:color w:val="000000"/>
          <w:sz w:val="24"/>
          <w:szCs w:val="24"/>
        </w:rPr>
        <w:t xml:space="preserve">获取的</w:t>
      </w:r>
      <w:r>
        <w:rPr>
          <w:rFonts w:hint="eastAsia" w:ascii="宋体" w:hAnsi="宋体"/>
          <w:bCs/>
          <w:color w:val="000000"/>
          <w:sz w:val="24"/>
          <w:szCs w:val="24"/>
        </w:rPr>
        <w:t xml:space="preserve">招标文件，视为依法获取的招标文件。</w:t>
      </w:r>
      <w:r>
        <w:rPr>
          <w:rStyle w:val="811"/>
          <w:color w:val="000000"/>
        </w:rPr>
      </w:r>
      <w:r/>
    </w:p>
    <w:p>
      <w:pPr>
        <w:pStyle w:val="734"/>
        <w:ind w:firstLine="540"/>
        <w:spacing w:line="500" w:lineRule="exact"/>
        <w:rPr>
          <w:rFonts w:ascii="宋体" w:hAnsi="宋体"/>
          <w:bCs/>
          <w:color w:val="000000"/>
          <w:sz w:val="24"/>
          <w:szCs w:val="24"/>
        </w:rPr>
      </w:pPr>
      <w:r>
        <w:rPr>
          <w:rFonts w:hint="eastAsia" w:ascii="宋体" w:hAnsi="宋体"/>
          <w:bCs/>
          <w:color w:val="000000"/>
          <w:sz w:val="24"/>
          <w:szCs w:val="24"/>
        </w:rPr>
        <w:t xml:space="preserve">4.售价：</w:t>
      </w:r>
      <w:r>
        <w:rPr>
          <w:rFonts w:hint="eastAsia" w:ascii="宋体" w:hAnsi="宋体"/>
          <w:bCs/>
          <w:color w:val="000000"/>
          <w:sz w:val="24"/>
          <w:szCs w:val="24"/>
        </w:rPr>
        <w:t xml:space="preserve">本</w:t>
      </w:r>
      <w:r>
        <w:rPr>
          <w:rFonts w:hint="eastAsia" w:ascii="宋体" w:hAnsi="宋体"/>
          <w:bCs/>
          <w:color w:val="000000"/>
          <w:sz w:val="24"/>
          <w:szCs w:val="24"/>
        </w:rPr>
        <w:t xml:space="preserve">项目</w:t>
      </w:r>
      <w:r>
        <w:rPr>
          <w:rFonts w:hint="eastAsia" w:ascii="宋体" w:hAnsi="宋体"/>
          <w:bCs/>
          <w:color w:val="000000"/>
          <w:sz w:val="24"/>
          <w:szCs w:val="24"/>
        </w:rPr>
        <w:t xml:space="preserve">招标文件</w:t>
      </w:r>
      <w:r>
        <w:rPr>
          <w:rFonts w:hint="eastAsia" w:ascii="宋体" w:hAnsi="宋体"/>
          <w:bCs/>
          <w:color w:val="000000"/>
          <w:sz w:val="24"/>
          <w:szCs w:val="24"/>
        </w:rPr>
        <w:t xml:space="preserve">免费。</w:t>
      </w:r>
      <w:r>
        <w:rPr>
          <w:rFonts w:ascii="宋体" w:hAnsi="宋体"/>
          <w:bCs/>
          <w:color w:val="000000"/>
          <w:sz w:val="24"/>
          <w:szCs w:val="24"/>
        </w:rPr>
      </w:r>
      <w:r/>
    </w:p>
    <w:p>
      <w:pPr>
        <w:pStyle w:val="737"/>
        <w:ind w:firstLine="452"/>
        <w:keepLines w:val="0"/>
        <w:keepNext w:val="0"/>
        <w:spacing w:before="0" w:after="0" w:line="500" w:lineRule="exact"/>
        <w:rPr>
          <w:color w:val="000000"/>
          <w:sz w:val="30"/>
          <w:szCs w:val="30"/>
        </w:rPr>
      </w:pPr>
      <w:r>
        <w:rPr>
          <w:rFonts w:hint="eastAsia"/>
          <w:color w:val="000000"/>
          <w:sz w:val="30"/>
          <w:szCs w:val="30"/>
        </w:rPr>
        <w:t xml:space="preserve">四、提交投标文件</w:t>
      </w:r>
      <w:bookmarkEnd w:id="22"/>
      <w:r/>
      <w:bookmarkEnd w:id="23"/>
      <w:r>
        <w:rPr>
          <w:rFonts w:hint="eastAsia"/>
          <w:color w:val="000000"/>
          <w:sz w:val="30"/>
          <w:szCs w:val="30"/>
        </w:rPr>
        <w:t xml:space="preserve">截止时间、开标时间和地点</w:t>
      </w:r>
      <w:bookmarkEnd w:id="24"/>
      <w:r/>
      <w:bookmarkEnd w:id="25"/>
      <w:r/>
      <w:bookmarkEnd w:id="26"/>
      <w:r>
        <w:rPr>
          <w:color w:val="000000"/>
          <w:sz w:val="30"/>
          <w:szCs w:val="30"/>
        </w:rPr>
      </w:r>
      <w:r/>
    </w:p>
    <w:p>
      <w:pPr>
        <w:pStyle w:val="73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1.时间：2024年</w:t>
      </w:r>
      <w:r>
        <w:rPr>
          <w:rFonts w:hint="eastAsia" w:ascii="宋体" w:hAnsi="宋体"/>
          <w:bCs/>
          <w:color w:val="000000"/>
          <w:sz w:val="24"/>
          <w:szCs w:val="24"/>
        </w:rPr>
        <w:t xml:space="preserve">10</w:t>
      </w:r>
      <w:r>
        <w:rPr>
          <w:rFonts w:hint="eastAsia" w:ascii="宋体" w:hAnsi="宋体"/>
          <w:bCs/>
          <w:color w:val="000000"/>
          <w:sz w:val="24"/>
          <w:szCs w:val="24"/>
        </w:rPr>
        <w:t xml:space="preserve">月</w:t>
      </w:r>
      <w:r>
        <w:rPr>
          <w:rFonts w:hint="eastAsia" w:ascii="宋体" w:hAnsi="宋体"/>
          <w:bCs/>
          <w:color w:val="000000"/>
          <w:sz w:val="24"/>
          <w:szCs w:val="24"/>
        </w:rPr>
        <w:t xml:space="preserve">22</w:t>
      </w:r>
      <w:r>
        <w:rPr>
          <w:rFonts w:hint="eastAsia" w:ascii="宋体" w:hAnsi="宋体"/>
          <w:bCs/>
          <w:color w:val="000000"/>
          <w:sz w:val="24"/>
          <w:szCs w:val="24"/>
        </w:rPr>
        <w:t xml:space="preserve">日09点30分（北京时间）</w:t>
      </w:r>
      <w:r/>
    </w:p>
    <w:p>
      <w:pPr>
        <w:pStyle w:val="734"/>
        <w:ind w:firstLine="480"/>
        <w:spacing w:line="500" w:lineRule="exact"/>
        <w:rPr>
          <w:rFonts w:hint="eastAsia" w:ascii="宋体" w:hAnsi="宋体"/>
          <w:bCs/>
          <w:color w:val="000000"/>
          <w:sz w:val="24"/>
          <w:szCs w:val="24"/>
          <w:u w:val="single"/>
        </w:rPr>
      </w:pPr>
      <w:r>
        <w:rPr>
          <w:rFonts w:hint="eastAsia" w:ascii="宋体" w:hAnsi="宋体"/>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网上开标大厅。</w:t>
      </w:r>
      <w:r>
        <w:rPr>
          <w:rFonts w:hint="eastAsia" w:ascii="宋体" w:hAnsi="宋体"/>
          <w:bCs/>
          <w:color w:val="000000"/>
          <w:sz w:val="24"/>
          <w:szCs w:val="24"/>
          <w:u w:val="single"/>
        </w:rPr>
      </w:r>
      <w:r/>
    </w:p>
    <w:p>
      <w:pPr>
        <w:pStyle w:val="737"/>
        <w:ind w:firstLine="452"/>
        <w:keepLines w:val="0"/>
        <w:keepNext w:val="0"/>
        <w:spacing w:before="0" w:after="0" w:line="500" w:lineRule="exact"/>
        <w:rPr>
          <w:color w:val="000000"/>
          <w:sz w:val="30"/>
          <w:szCs w:val="30"/>
        </w:rPr>
      </w:pPr>
      <w:r/>
      <w:bookmarkStart w:id="27" w:name="_Toc28359084"/>
      <w:r/>
      <w:bookmarkStart w:id="28" w:name="_Toc28359007"/>
      <w:r/>
      <w:bookmarkStart w:id="29" w:name="_Toc35393625"/>
      <w:r/>
      <w:bookmarkStart w:id="30" w:name="_Toc35393794"/>
      <w:r/>
      <w:bookmarkStart w:id="31" w:name="_Toc38985267"/>
      <w:r>
        <w:rPr>
          <w:rFonts w:hint="eastAsia"/>
          <w:color w:val="000000"/>
          <w:sz w:val="30"/>
          <w:szCs w:val="30"/>
        </w:rPr>
        <w:t xml:space="preserve">五、公告期限</w:t>
      </w:r>
      <w:bookmarkEnd w:id="27"/>
      <w:r/>
      <w:bookmarkEnd w:id="28"/>
      <w:r/>
      <w:bookmarkEnd w:id="29"/>
      <w:r/>
      <w:bookmarkEnd w:id="30"/>
      <w:r/>
      <w:bookmarkEnd w:id="31"/>
      <w:r>
        <w:rPr>
          <w:color w:val="000000"/>
          <w:sz w:val="30"/>
          <w:szCs w:val="30"/>
        </w:rPr>
      </w:r>
      <w:r/>
    </w:p>
    <w:p>
      <w:pPr>
        <w:pStyle w:val="734"/>
        <w:ind w:firstLine="480"/>
        <w:spacing w:line="500" w:lineRule="exact"/>
        <w:rPr>
          <w:rFonts w:ascii="宋体" w:hAnsi="宋体" w:cs="宋体"/>
          <w:color w:val="000000"/>
          <w:sz w:val="24"/>
          <w:szCs w:val="24"/>
        </w:rPr>
      </w:pPr>
      <w:r/>
      <w:bookmarkStart w:id="32" w:name="_Toc35393795"/>
      <w:r/>
      <w:bookmarkStart w:id="33" w:name="_Toc38985268"/>
      <w:r/>
      <w:bookmarkStart w:id="34" w:name="_Toc35393626"/>
      <w:r>
        <w:rPr>
          <w:rFonts w:hint="eastAsia" w:ascii="宋体" w:hAnsi="宋体" w:cs="宋体"/>
          <w:color w:val="000000"/>
          <w:sz w:val="24"/>
          <w:szCs w:val="24"/>
        </w:rPr>
        <w:t xml:space="preserve">（招标公告及招标文件公告期限）自本公告发布之日起5个工作日。</w:t>
      </w:r>
      <w:r>
        <w:rPr>
          <w:rFonts w:ascii="宋体" w:hAnsi="宋体" w:cs="宋体"/>
          <w:color w:val="000000"/>
          <w:sz w:val="24"/>
          <w:szCs w:val="24"/>
        </w:rPr>
      </w:r>
      <w:r/>
    </w:p>
    <w:p>
      <w:pPr>
        <w:pStyle w:val="737"/>
        <w:ind w:firstLine="452"/>
        <w:keepLines w:val="0"/>
        <w:keepNext w:val="0"/>
        <w:spacing w:before="0" w:after="0" w:line="500" w:lineRule="exact"/>
        <w:rPr>
          <w:color w:val="000000"/>
          <w:sz w:val="30"/>
          <w:szCs w:val="30"/>
        </w:rPr>
      </w:pPr>
      <w:r>
        <w:rPr>
          <w:rFonts w:hint="eastAsia"/>
          <w:color w:val="000000"/>
          <w:sz w:val="30"/>
          <w:szCs w:val="30"/>
        </w:rPr>
        <w:t xml:space="preserve">六、其他补充事宜</w:t>
      </w:r>
      <w:bookmarkEnd w:id="32"/>
      <w:r/>
      <w:bookmarkEnd w:id="33"/>
      <w:r/>
      <w:bookmarkEnd w:id="34"/>
      <w:r>
        <w:rPr>
          <w:color w:val="000000"/>
          <w:sz w:val="30"/>
          <w:szCs w:val="30"/>
        </w:rPr>
      </w:r>
      <w:r/>
    </w:p>
    <w:p>
      <w:pPr>
        <w:pStyle w:val="73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737"/>
        <w:ind w:firstLine="452"/>
        <w:keepLines w:val="0"/>
        <w:keepNext w:val="0"/>
        <w:spacing w:before="0" w:after="0" w:line="500" w:lineRule="exact"/>
        <w:rPr>
          <w:color w:val="000000"/>
          <w:sz w:val="30"/>
          <w:szCs w:val="30"/>
        </w:rPr>
      </w:pPr>
      <w:r/>
      <w:bookmarkStart w:id="35" w:name="_Toc28359008"/>
      <w:r/>
      <w:bookmarkStart w:id="36" w:name="_Toc35393627"/>
      <w:r/>
      <w:bookmarkStart w:id="37" w:name="_Toc28359085"/>
      <w:r/>
      <w:bookmarkStart w:id="38" w:name="_Toc35393796"/>
      <w:r/>
      <w:bookmarkStart w:id="39" w:name="_Toc38985269"/>
      <w:r>
        <w:rPr>
          <w:rFonts w:hint="eastAsia"/>
          <w:color w:val="000000"/>
          <w:sz w:val="30"/>
          <w:szCs w:val="30"/>
        </w:rPr>
        <w:t xml:space="preserve">七、本项目联系方式</w:t>
      </w:r>
      <w:bookmarkEnd w:id="35"/>
      <w:r/>
      <w:bookmarkEnd w:id="36"/>
      <w:r/>
      <w:bookmarkEnd w:id="37"/>
      <w:r/>
      <w:bookmarkEnd w:id="38"/>
      <w:r/>
      <w:bookmarkEnd w:id="39"/>
      <w:r>
        <w:rPr>
          <w:color w:val="000000"/>
          <w:sz w:val="30"/>
          <w:szCs w:val="30"/>
        </w:rPr>
      </w:r>
      <w:r/>
    </w:p>
    <w:p>
      <w:pPr>
        <w:pStyle w:val="73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1.采购人信息</w:t>
      </w:r>
      <w:r>
        <w:rPr>
          <w:rFonts w:ascii="宋体" w:hAnsi="宋体" w:cs="宋体"/>
          <w:color w:val="000000"/>
          <w:sz w:val="24"/>
          <w:szCs w:val="24"/>
        </w:rPr>
      </w:r>
      <w:r/>
    </w:p>
    <w:p>
      <w:pPr>
        <w:pStyle w:val="73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rPr>
        <w:t xml:space="preserve">无锡市公安局（本级）</w:t>
      </w:r>
      <w:r>
        <w:rPr>
          <w:rFonts w:ascii="宋体" w:hAnsi="宋体" w:cs="宋体"/>
          <w:color w:val="000000"/>
          <w:sz w:val="24"/>
          <w:szCs w:val="24"/>
        </w:rPr>
      </w:r>
      <w:r/>
    </w:p>
    <w:p>
      <w:pPr>
        <w:pStyle w:val="73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w:t>
      </w:r>
      <w:r>
        <w:rPr>
          <w:rFonts w:hint="eastAsia" w:ascii="宋体" w:hAnsi="宋体" w:cs="宋体"/>
          <w:color w:val="000000"/>
          <w:sz w:val="24"/>
          <w:szCs w:val="24"/>
        </w:rPr>
        <w:t xml:space="preserve">无锡市滨湖区高浪西路</w:t>
      </w:r>
      <w:r>
        <w:rPr>
          <w:rFonts w:ascii="宋体" w:hAnsi="宋体" w:cs="宋体"/>
          <w:color w:val="000000"/>
          <w:sz w:val="24"/>
          <w:szCs w:val="24"/>
        </w:rPr>
        <w:t xml:space="preserve">58号</w:t>
      </w:r>
      <w:r>
        <w:rPr>
          <w:rFonts w:ascii="宋体" w:hAnsi="宋体" w:cs="宋体"/>
          <w:color w:val="000000"/>
          <w:sz w:val="24"/>
          <w:szCs w:val="24"/>
        </w:rPr>
      </w:r>
      <w:r/>
    </w:p>
    <w:p>
      <w:pPr>
        <w:pStyle w:val="73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09"/>
      <w:r/>
      <w:bookmarkStart w:id="41" w:name="_Toc28359086"/>
      <w:r>
        <w:rPr>
          <w:rFonts w:hint="eastAsia" w:ascii="宋体" w:hAnsi="宋体" w:cs="宋体"/>
          <w:color w:val="000000"/>
          <w:sz w:val="24"/>
          <w:szCs w:val="24"/>
        </w:rPr>
        <w:t xml:space="preserve">见“项目联系方式”</w:t>
      </w:r>
      <w:r>
        <w:rPr>
          <w:rFonts w:ascii="宋体" w:hAnsi="宋体" w:cs="宋体"/>
          <w:color w:val="000000"/>
          <w:sz w:val="24"/>
          <w:szCs w:val="24"/>
        </w:rPr>
      </w:r>
      <w:r/>
    </w:p>
    <w:p>
      <w:pPr>
        <w:pStyle w:val="73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rPr>
          <w:rFonts w:ascii="宋体" w:hAnsi="宋体" w:cs="宋体"/>
          <w:color w:val="000000"/>
          <w:sz w:val="24"/>
          <w:szCs w:val="24"/>
        </w:rPr>
      </w:r>
      <w:r/>
    </w:p>
    <w:p>
      <w:pPr>
        <w:pStyle w:val="734"/>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称：无锡市公共资源交易中心</w:t>
      </w:r>
      <w:r/>
    </w:p>
    <w:p>
      <w:pPr>
        <w:pStyle w:val="73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址：无锡市滨湖区观山路199号10号3楼</w:t>
      </w:r>
      <w:r>
        <w:rPr>
          <w:rFonts w:ascii="宋体" w:hAnsi="宋体" w:cs="宋体"/>
          <w:color w:val="000000"/>
          <w:sz w:val="24"/>
          <w:szCs w:val="24"/>
        </w:rPr>
      </w:r>
      <w:r/>
    </w:p>
    <w:p>
      <w:pPr>
        <w:pStyle w:val="734"/>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联系方式：见“项目联系方式”</w:t>
      </w:r>
      <w:r/>
    </w:p>
    <w:p>
      <w:pPr>
        <w:pStyle w:val="734"/>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3.项目联系方式</w:t>
      </w:r>
      <w:r/>
    </w:p>
    <w:p>
      <w:pPr>
        <w:pStyle w:val="734"/>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w:t>
      </w:r>
      <w:r>
        <w:rPr>
          <w:rFonts w:hint="eastAsia" w:ascii="宋体" w:hAnsi="宋体" w:cs="宋体"/>
          <w:color w:val="000000"/>
          <w:sz w:val="24"/>
          <w:szCs w:val="24"/>
        </w:rPr>
        <w:t xml:space="preserve">项目咨询联系人：</w:t>
      </w:r>
      <w:r>
        <w:rPr>
          <w:rFonts w:hint="eastAsia" w:ascii="宋体" w:hAnsi="宋体" w:cs="宋体"/>
          <w:color w:val="000000"/>
          <w:sz w:val="24"/>
          <w:szCs w:val="24"/>
        </w:rPr>
        <w:t xml:space="preserve">王年丰</w:t>
      </w:r>
      <w:r>
        <w:rPr>
          <w:rFonts w:hint="eastAsia" w:ascii="宋体" w:hAnsi="宋体" w:cs="宋体"/>
          <w:color w:val="000000"/>
          <w:sz w:val="24"/>
          <w:szCs w:val="24"/>
        </w:rPr>
        <w:t xml:space="preserve">；电话：0510-</w:t>
      </w:r>
      <w:r>
        <w:rPr>
          <w:rFonts w:ascii="宋体" w:hAnsi="宋体" w:cs="宋体"/>
          <w:color w:val="000000"/>
          <w:sz w:val="24"/>
          <w:szCs w:val="24"/>
        </w:rPr>
        <w:t xml:space="preserve">82222667</w:t>
      </w:r>
      <w:r>
        <w:rPr>
          <w:rFonts w:hint="eastAsia" w:ascii="宋体" w:hAnsi="宋体" w:cs="宋体"/>
          <w:color w:val="000000"/>
          <w:sz w:val="24"/>
          <w:szCs w:val="24"/>
        </w:rPr>
      </w:r>
      <w:r/>
    </w:p>
    <w:p>
      <w:pPr>
        <w:pStyle w:val="734"/>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w:t>
      </w:r>
      <w:r>
        <w:rPr>
          <w:rFonts w:hint="eastAsia" w:ascii="宋体" w:hAnsi="宋体" w:cs="宋体"/>
          <w:color w:val="000000"/>
          <w:sz w:val="24"/>
          <w:szCs w:val="24"/>
        </w:rPr>
        <w:t xml:space="preserve">王年丰</w:t>
      </w:r>
      <w:r>
        <w:rPr>
          <w:rFonts w:hint="eastAsia" w:ascii="宋体" w:hAnsi="宋体" w:cs="宋体"/>
          <w:color w:val="000000"/>
          <w:sz w:val="24"/>
          <w:szCs w:val="24"/>
        </w:rPr>
        <w:t xml:space="preserve">；电话：0510-</w:t>
      </w:r>
      <w:r>
        <w:rPr>
          <w:rFonts w:ascii="宋体" w:hAnsi="宋体" w:cs="宋体"/>
          <w:color w:val="000000"/>
          <w:sz w:val="24"/>
          <w:szCs w:val="24"/>
        </w:rPr>
        <w:t xml:space="preserve">82222667</w:t>
      </w:r>
      <w:r>
        <w:rPr>
          <w:rFonts w:hint="eastAsia" w:ascii="宋体" w:hAnsi="宋体" w:cs="宋体"/>
          <w:color w:val="000000"/>
          <w:sz w:val="24"/>
          <w:szCs w:val="24"/>
        </w:rPr>
      </w:r>
      <w:r/>
    </w:p>
    <w:p>
      <w:pPr>
        <w:pStyle w:val="734"/>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交易中心项目</w:t>
      </w:r>
      <w:r>
        <w:rPr>
          <w:rFonts w:hint="eastAsia" w:ascii="宋体" w:hAnsi="宋体" w:cs="宋体"/>
          <w:color w:val="000000"/>
          <w:sz w:val="24"/>
          <w:szCs w:val="24"/>
        </w:rPr>
        <w:t xml:space="preserve">联系人：</w:t>
      </w:r>
      <w:r>
        <w:rPr>
          <w:rFonts w:hint="eastAsia" w:ascii="宋体" w:hAnsi="宋体" w:cs="宋体"/>
          <w:color w:val="000000"/>
          <w:sz w:val="24"/>
          <w:szCs w:val="24"/>
        </w:rPr>
        <w:t xml:space="preserve">邰云祥</w:t>
      </w:r>
      <w:r>
        <w:rPr>
          <w:rFonts w:hint="eastAsia" w:ascii="宋体" w:hAnsi="宋体" w:cs="宋体"/>
          <w:color w:val="000000"/>
          <w:sz w:val="24"/>
          <w:szCs w:val="24"/>
        </w:rPr>
        <w:t xml:space="preserve">；电话：0510-</w:t>
      </w:r>
      <w:r>
        <w:rPr>
          <w:rFonts w:hint="eastAsia" w:ascii="宋体" w:hAnsi="宋体" w:cs="宋体"/>
          <w:color w:val="000000"/>
          <w:sz w:val="24"/>
          <w:szCs w:val="24"/>
        </w:rPr>
        <w:t xml:space="preserve">81827764</w:t>
      </w:r>
      <w:r>
        <w:rPr>
          <w:rFonts w:hint="eastAsia" w:ascii="宋体" w:hAnsi="宋体" w:cs="宋体"/>
          <w:color w:val="000000"/>
          <w:sz w:val="24"/>
          <w:szCs w:val="24"/>
        </w:rPr>
      </w:r>
      <w:r/>
    </w:p>
    <w:p>
      <w:pPr>
        <w:pStyle w:val="737"/>
        <w:ind w:firstLine="452"/>
        <w:keepLines w:val="0"/>
        <w:keepNext w:val="0"/>
        <w:spacing w:before="0" w:after="0" w:line="500" w:lineRule="exact"/>
        <w:rPr>
          <w:color w:val="000000"/>
          <w:sz w:val="30"/>
          <w:szCs w:val="30"/>
        </w:rPr>
      </w:pPr>
      <w:r>
        <w:rPr>
          <w:rFonts w:hint="eastAsia"/>
          <w:color w:val="000000"/>
          <w:sz w:val="30"/>
          <w:szCs w:val="30"/>
        </w:rPr>
        <w:t xml:space="preserve">八、其他</w:t>
      </w:r>
      <w:r>
        <w:rPr>
          <w:color w:val="000000"/>
          <w:sz w:val="30"/>
          <w:szCs w:val="30"/>
        </w:rPr>
      </w:r>
      <w:r/>
    </w:p>
    <w:p>
      <w:pPr>
        <w:pStyle w:val="734"/>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rPr>
          <w:rFonts w:ascii="宋体" w:hAnsi="宋体" w:cs="宋体"/>
          <w:color w:val="000000"/>
          <w:sz w:val="24"/>
          <w:szCs w:val="24"/>
        </w:rPr>
      </w:r>
      <w:r/>
    </w:p>
    <w:p>
      <w:pPr>
        <w:pStyle w:val="734"/>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pStyle w:val="73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color w:val="000000"/>
          <w:sz w:val="24"/>
          <w:szCs w:val="24"/>
        </w:rPr>
        <w:t xml:space="preserve">（以下简称</w:t>
      </w:r>
      <w:r>
        <w:rPr>
          <w:rFonts w:hint="eastAsia" w:ascii="宋体" w:hAnsi="宋体"/>
          <w:bCs/>
          <w:color w:val="000000"/>
          <w:sz w:val="24"/>
          <w:szCs w:val="24"/>
        </w:rPr>
        <w:t xml:space="preserve">“苏采云”系统</w:t>
      </w:r>
      <w:r>
        <w:rPr>
          <w:rFonts w:ascii="宋体" w:hAnsi="宋体"/>
          <w:bCs/>
          <w:color w:val="000000"/>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73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pStyle w:val="73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pStyle w:val="73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账号</w:t>
      </w:r>
      <w:r>
        <w:rPr>
          <w:rFonts w:ascii="宋体" w:hAnsi="宋体"/>
          <w:color w:val="000000"/>
          <w:sz w:val="24"/>
          <w:szCs w:val="24"/>
        </w:rPr>
        <w:t xml:space="preserve">登录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p>
    <w:p>
      <w:pPr>
        <w:pStyle w:val="73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pStyle w:val="734"/>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p>
    <w:p>
      <w:pPr>
        <w:pStyle w:val="734"/>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pStyle w:val="734"/>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734"/>
        <w:ind w:firstLine="480"/>
        <w:spacing w:line="500" w:lineRule="exact"/>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rPr>
          <w:rFonts w:ascii="宋体" w:hAnsi="宋体"/>
          <w:color w:val="000000"/>
          <w:sz w:val="24"/>
          <w:szCs w:val="24"/>
        </w:rPr>
      </w:r>
      <w:r/>
    </w:p>
    <w:p>
      <w:pPr>
        <w:pStyle w:val="734"/>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rPr>
          <w:rFonts w:ascii="宋体" w:hAnsi="宋体" w:cs="宋体"/>
          <w:color w:val="000000"/>
          <w:sz w:val="24"/>
          <w:szCs w:val="24"/>
        </w:rPr>
      </w:r>
      <w:r/>
    </w:p>
    <w:p>
      <w:pPr>
        <w:pStyle w:val="73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pStyle w:val="734"/>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（三）有关本次采购的事项若存在变动或修改，敬请及时关注无锡市公共资源交易中心在“无锡政府采购网”“江苏政府采购网”发布的更正公告。</w:t>
      </w:r>
      <w:r/>
    </w:p>
    <w:p>
      <w:pPr>
        <w:pStyle w:val="734"/>
        <w:ind w:firstLine="480"/>
        <w:spacing w:line="500" w:lineRule="exact"/>
        <w:tabs>
          <w:tab w:val="left" w:pos="900" w:leader="none"/>
        </w:tabs>
        <w:rPr>
          <w:rFonts w:hint="eastAsia" w:ascii="宋体" w:hAnsi="宋体"/>
          <w:bCs/>
          <w:color w:val="000000"/>
          <w:sz w:val="24"/>
          <w:szCs w:val="24"/>
          <w:shd w:val="clear" w:color="ffffff" w:fill="d9d9d9"/>
        </w:rPr>
      </w:pPr>
      <w:r>
        <w:rPr>
          <w:rFonts w:hint="eastAsia" w:ascii="宋体" w:hAnsi="宋体"/>
          <w:bCs/>
          <w:color w:val="000000"/>
          <w:sz w:val="24"/>
          <w:szCs w:val="24"/>
        </w:rPr>
        <w:t xml:space="preserve">（四）本次采购不收取投标保证金。</w:t>
      </w:r>
      <w:r>
        <w:rPr>
          <w:rFonts w:hint="eastAsia" w:ascii="宋体" w:hAnsi="宋体"/>
          <w:bCs/>
          <w:color w:val="000000"/>
          <w:sz w:val="24"/>
          <w:szCs w:val="24"/>
          <w:shd w:val="clear" w:color="ffffff" w:fill="d9d9d9"/>
        </w:rPr>
      </w:r>
      <w:r/>
    </w:p>
    <w:p>
      <w:pPr>
        <w:pStyle w:val="734"/>
        <w:jc w:val="center"/>
        <w:spacing w:line="500" w:lineRule="exact"/>
        <w:tabs>
          <w:tab w:val="left" w:pos="1440" w:leader="none"/>
        </w:tabs>
        <w:rPr>
          <w:rFonts w:hint="eastAsia" w:ascii="黑体" w:hAnsi="黑体" w:eastAsia="黑体"/>
          <w:color w:val="000000"/>
          <w:sz w:val="36"/>
          <w:szCs w:val="36"/>
        </w:rPr>
        <w:outlineLvl w:val="0"/>
      </w:pPr>
      <w:r>
        <w:rPr>
          <w:rFonts w:ascii="宋体" w:hAnsi="宋体"/>
          <w:bCs/>
          <w:color w:val="000000"/>
          <w:sz w:val="24"/>
          <w:szCs w:val="24"/>
          <w:shd w:val="clear" w:color="ffffff" w:fill="d9d9d9"/>
        </w:rPr>
        <w:br w:type="page" w:clear="all"/>
      </w:r>
      <w:bookmarkStart w:id="42" w:name="_Toc120614211"/>
      <w:r>
        <w:rPr>
          <w:rFonts w:hint="eastAsia" w:ascii="黑体" w:hAnsi="黑体" w:eastAsia="黑体"/>
          <w:color w:val="000000"/>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color w:val="000000"/>
          <w:sz w:val="36"/>
          <w:szCs w:val="36"/>
        </w:rPr>
        <w:t xml:space="preserve">投标人须知</w:t>
      </w:r>
      <w:bookmarkEnd w:id="43"/>
      <w:r/>
      <w:bookmarkEnd w:id="44"/>
      <w:r/>
      <w:bookmarkEnd w:id="45"/>
      <w:r/>
      <w:bookmarkEnd w:id="46"/>
      <w:r>
        <w:rPr>
          <w:rFonts w:hint="eastAsia" w:ascii="黑体" w:hAnsi="黑体" w:eastAsia="黑体"/>
          <w:color w:val="000000"/>
          <w:sz w:val="36"/>
          <w:szCs w:val="36"/>
        </w:rPr>
      </w:r>
      <w:r/>
    </w:p>
    <w:p>
      <w:pPr>
        <w:pStyle w:val="737"/>
        <w:ind w:firstLine="452"/>
        <w:keepLines w:val="0"/>
        <w:keepNext w:val="0"/>
        <w:spacing w:before="0" w:after="0" w:line="500" w:lineRule="exact"/>
        <w:rPr>
          <w:rFonts w:hint="eastAsia"/>
          <w:color w:val="000000"/>
          <w:sz w:val="30"/>
          <w:szCs w:val="30"/>
        </w:rPr>
      </w:pPr>
      <w:r/>
      <w:bookmarkStart w:id="47" w:name="_Toc513029203"/>
      <w:r/>
      <w:bookmarkStart w:id="48" w:name="_Toc120614214"/>
      <w:r/>
      <w:bookmarkStart w:id="49" w:name="_Toc20823275"/>
      <w:r/>
      <w:bookmarkStart w:id="50" w:name="_Toc16938519"/>
      <w:r>
        <w:rPr>
          <w:rFonts w:hint="eastAsia"/>
          <w:color w:val="000000"/>
          <w:sz w:val="30"/>
          <w:szCs w:val="30"/>
        </w:rPr>
        <w:t xml:space="preserve">一、总则</w:t>
      </w:r>
      <w:bookmarkEnd w:id="47"/>
      <w:r/>
      <w:bookmarkEnd w:id="48"/>
      <w:r/>
      <w:bookmarkEnd w:id="49"/>
      <w:r/>
      <w:bookmarkEnd w:id="50"/>
      <w:r>
        <w:rPr>
          <w:rFonts w:hint="eastAsia"/>
          <w:color w:val="000000"/>
          <w:sz w:val="30"/>
          <w:szCs w:val="30"/>
        </w:rPr>
      </w:r>
      <w:r/>
    </w:p>
    <w:p>
      <w:pPr>
        <w:pStyle w:val="738"/>
        <w:ind w:firstLine="422"/>
        <w:keepLines w:val="0"/>
        <w:keepNext w:val="0"/>
        <w:spacing w:before="0" w:after="0" w:line="500" w:lineRule="exact"/>
        <w:rPr>
          <w:rFonts w:hint="eastAsia" w:ascii="宋体" w:hAnsi="宋体" w:eastAsia="宋体"/>
          <w:bCs w:val="0"/>
          <w:color w:val="00000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color w:val="000000"/>
        </w:rPr>
        <w:t xml:space="preserve">1.招标方式</w:t>
      </w:r>
      <w:bookmarkEnd w:id="52"/>
      <w:r/>
      <w:bookmarkEnd w:id="53"/>
      <w:r/>
      <w:bookmarkEnd w:id="54"/>
      <w:r>
        <w:rPr>
          <w:rFonts w:hint="eastAsia" w:ascii="宋体" w:hAnsi="宋体" w:eastAsia="宋体"/>
          <w:bCs w:val="0"/>
          <w:color w:val="000000"/>
        </w:rPr>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pStyle w:val="738"/>
        <w:ind w:firstLine="422"/>
        <w:keepLines w:val="0"/>
        <w:keepNext w:val="0"/>
        <w:spacing w:before="0" w:after="0" w:line="500" w:lineRule="exact"/>
        <w:rPr>
          <w:rFonts w:hint="eastAsia" w:ascii="宋体" w:hAnsi="宋体" w:eastAsia="宋体"/>
          <w:bCs w:val="0"/>
          <w:color w:val="000000"/>
        </w:rPr>
      </w:pPr>
      <w:r/>
      <w:bookmarkStart w:id="55" w:name="_Toc16938521"/>
      <w:r/>
      <w:bookmarkStart w:id="56" w:name="_Toc20823277"/>
      <w:r/>
      <w:bookmarkStart w:id="57" w:name="_Toc513029205"/>
      <w:r>
        <w:rPr>
          <w:rFonts w:hint="eastAsia" w:ascii="宋体" w:hAnsi="宋体" w:eastAsia="宋体"/>
          <w:bCs w:val="0"/>
          <w:color w:val="000000"/>
        </w:rPr>
        <w:t xml:space="preserve">2.</w:t>
      </w:r>
      <w:bookmarkEnd w:id="55"/>
      <w:r/>
      <w:bookmarkEnd w:id="56"/>
      <w:r/>
      <w:bookmarkEnd w:id="57"/>
      <w:r>
        <w:rPr>
          <w:rFonts w:hint="eastAsia" w:ascii="宋体" w:hAnsi="宋体" w:eastAsia="宋体"/>
          <w:bCs w:val="0"/>
          <w:color w:val="000000"/>
        </w:rPr>
        <w:t xml:space="preserve">采购人、采购代理机构、投标人、联合体</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p>
    <w:p>
      <w:pPr>
        <w:pStyle w:val="734"/>
        <w:ind w:firstLine="480"/>
        <w:spacing w:line="500" w:lineRule="exact"/>
        <w:rPr>
          <w:rFonts w:ascii="宋体" w:hAnsi="宋体"/>
          <w:color w:val="000000"/>
          <w:sz w:val="24"/>
          <w:szCs w:val="24"/>
        </w:rPr>
      </w:pPr>
      <w:r>
        <w:rPr>
          <w:rFonts w:hint="eastAsia" w:ascii="宋体" w:hAnsi="宋体"/>
          <w:color w:val="000000"/>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rPr>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738"/>
        <w:ind w:firstLine="422"/>
        <w:keepLines w:val="0"/>
        <w:keepNext w:val="0"/>
        <w:spacing w:before="0" w:after="0" w:line="500" w:lineRule="exact"/>
        <w:rPr>
          <w:rFonts w:hint="eastAsia" w:ascii="宋体" w:hAnsi="宋体" w:eastAsia="宋体"/>
          <w:bCs w:val="0"/>
          <w:color w:val="000000"/>
        </w:rPr>
      </w:pPr>
      <w:r/>
      <w:bookmarkStart w:id="58" w:name="_Toc513029206"/>
      <w:r/>
      <w:bookmarkStart w:id="59" w:name="_Toc16938522"/>
      <w:r/>
      <w:bookmarkStart w:id="60" w:name="_Toc20823278"/>
      <w:r>
        <w:rPr>
          <w:rFonts w:hint="eastAsia" w:ascii="宋体" w:hAnsi="宋体" w:eastAsia="宋体"/>
          <w:bCs w:val="0"/>
          <w:color w:val="000000"/>
        </w:rPr>
        <w:t xml:space="preserve">3.适用法律</w:t>
      </w:r>
      <w:bookmarkEnd w:id="58"/>
      <w:r/>
      <w:bookmarkEnd w:id="59"/>
      <w:r/>
      <w:bookmarkEnd w:id="60"/>
      <w:r>
        <w:rPr>
          <w:rFonts w:hint="eastAsia" w:ascii="宋体" w:hAnsi="宋体" w:eastAsia="宋体"/>
          <w:bCs w:val="0"/>
          <w:color w:val="000000"/>
        </w:rPr>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3.1</w:t>
      </w:r>
      <w:r>
        <w:rPr>
          <w:rFonts w:hint="eastAsia" w:ascii="宋体" w:hAnsi="宋体"/>
          <w:color w:val="000000"/>
          <w:sz w:val="24"/>
        </w:rPr>
        <w:t xml:space="preserve">本次招标及由此产生的合同受中华人民共和国法律的制约和保护。</w:t>
      </w:r>
      <w:r>
        <w:rPr>
          <w:rFonts w:hint="eastAsia" w:ascii="宋体" w:hAnsi="宋体"/>
          <w:color w:val="000000"/>
          <w:sz w:val="24"/>
        </w:rPr>
      </w:r>
      <w:r/>
    </w:p>
    <w:p>
      <w:pPr>
        <w:pStyle w:val="738"/>
        <w:ind w:firstLine="422"/>
        <w:keepLines w:val="0"/>
        <w:keepNext w:val="0"/>
        <w:spacing w:before="0" w:after="0" w:line="500" w:lineRule="exact"/>
        <w:rPr>
          <w:rFonts w:hint="eastAsia" w:ascii="宋体" w:hAnsi="宋体" w:eastAsia="宋体"/>
          <w:bCs w:val="0"/>
          <w:color w:val="000000"/>
        </w:rPr>
      </w:pPr>
      <w:r/>
      <w:bookmarkStart w:id="61" w:name="_Toc20823279"/>
      <w:r/>
      <w:bookmarkStart w:id="62" w:name="_Toc513029207"/>
      <w:r/>
      <w:bookmarkStart w:id="63" w:name="_Toc462564067"/>
      <w:r/>
      <w:bookmarkStart w:id="64" w:name="_Toc16938523"/>
      <w:r>
        <w:rPr>
          <w:rFonts w:hint="eastAsia" w:ascii="宋体" w:hAnsi="宋体" w:eastAsia="宋体"/>
          <w:bCs w:val="0"/>
          <w:color w:val="000000"/>
        </w:rPr>
        <w:t xml:space="preserve">4.投标费用</w:t>
      </w:r>
      <w:bookmarkEnd w:id="61"/>
      <w:r/>
      <w:bookmarkEnd w:id="62"/>
      <w:r/>
      <w:bookmarkEnd w:id="63"/>
      <w:r/>
      <w:bookmarkEnd w:id="64"/>
      <w:r>
        <w:rPr>
          <w:rFonts w:hint="eastAsia" w:ascii="宋体" w:hAnsi="宋体" w:eastAsia="宋体"/>
          <w:bCs w:val="0"/>
          <w:color w:val="000000"/>
        </w:rPr>
      </w:r>
      <w:r/>
    </w:p>
    <w:p>
      <w:pPr>
        <w:pStyle w:val="734"/>
        <w:ind w:firstLine="480"/>
        <w:spacing w:line="5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4.2本次招标标书工本费</w:t>
      </w:r>
      <w:r>
        <w:rPr>
          <w:rFonts w:hint="eastAsia" w:ascii="宋体" w:hAnsi="宋体"/>
          <w:color w:val="000000"/>
          <w:sz w:val="24"/>
        </w:rPr>
        <w:t xml:space="preserve">、</w:t>
      </w:r>
      <w:r>
        <w:rPr>
          <w:rFonts w:hint="eastAsia" w:ascii="宋体" w:hAnsi="宋体"/>
          <w:color w:val="000000"/>
          <w:sz w:val="24"/>
        </w:rPr>
        <w:t xml:space="preserve">中标服务费</w:t>
      </w:r>
      <w:r>
        <w:rPr>
          <w:rFonts w:hint="eastAsia" w:ascii="宋体" w:hAnsi="宋体"/>
          <w:color w:val="000000"/>
          <w:sz w:val="24"/>
        </w:rPr>
        <w:t xml:space="preserve">、招标文件均免费</w:t>
      </w:r>
      <w:r>
        <w:rPr>
          <w:rFonts w:hint="eastAsia" w:ascii="宋体" w:hAnsi="宋体"/>
          <w:color w:val="000000"/>
          <w:sz w:val="24"/>
        </w:rPr>
        <w:t xml:space="preserve">。</w:t>
      </w:r>
      <w:r/>
    </w:p>
    <w:p>
      <w:pPr>
        <w:pStyle w:val="738"/>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5.招标文件的约束力</w:t>
      </w:r>
      <w:r/>
    </w:p>
    <w:p>
      <w:pPr>
        <w:pStyle w:val="734"/>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pStyle w:val="737"/>
        <w:ind w:firstLine="452"/>
        <w:keepLines w:val="0"/>
        <w:keepNext w:val="0"/>
        <w:spacing w:before="0" w:after="0" w:line="500" w:lineRule="exact"/>
        <w:rPr>
          <w:rFonts w:hint="eastAsia"/>
          <w:color w:val="000000"/>
          <w:sz w:val="30"/>
          <w:szCs w:val="30"/>
        </w:rPr>
      </w:pPr>
      <w:r/>
      <w:bookmarkStart w:id="65" w:name="_Toc16938525"/>
      <w:r/>
      <w:bookmarkStart w:id="66" w:name="_Toc513029209"/>
      <w:r/>
      <w:bookmarkStart w:id="67" w:name="_Toc120614215"/>
      <w:r/>
      <w:bookmarkStart w:id="68" w:name="_Toc20823281"/>
      <w:r>
        <w:rPr>
          <w:rFonts w:hint="eastAsia"/>
          <w:color w:val="000000"/>
          <w:sz w:val="30"/>
          <w:szCs w:val="30"/>
        </w:rPr>
        <w:t xml:space="preserve">二、招标文件</w:t>
      </w:r>
      <w:bookmarkEnd w:id="65"/>
      <w:r/>
      <w:bookmarkEnd w:id="66"/>
      <w:r/>
      <w:bookmarkEnd w:id="67"/>
      <w:r/>
      <w:bookmarkEnd w:id="68"/>
      <w:r>
        <w:rPr>
          <w:rFonts w:hint="eastAsia"/>
          <w:color w:val="000000"/>
          <w:sz w:val="30"/>
          <w:szCs w:val="30"/>
        </w:rPr>
      </w:r>
      <w:r/>
    </w:p>
    <w:p>
      <w:pPr>
        <w:pStyle w:val="738"/>
        <w:ind w:firstLine="422"/>
        <w:keepLines w:val="0"/>
        <w:keepNext w:val="0"/>
        <w:spacing w:before="0" w:after="0" w:line="500" w:lineRule="exact"/>
        <w:rPr>
          <w:rFonts w:hint="eastAsia" w:ascii="宋体" w:hAnsi="宋体" w:eastAsia="宋体"/>
          <w:bCs w:val="0"/>
          <w:color w:val="000000"/>
        </w:rPr>
      </w:pPr>
      <w:r/>
      <w:bookmarkStart w:id="69" w:name="_Toc20823282"/>
      <w:r/>
      <w:bookmarkStart w:id="70" w:name="_Toc513029210"/>
      <w:r/>
      <w:bookmarkStart w:id="71" w:name="_Toc16938526"/>
      <w:r>
        <w:rPr>
          <w:rFonts w:hint="eastAsia" w:ascii="宋体" w:hAnsi="宋体" w:eastAsia="宋体"/>
          <w:bCs w:val="0"/>
          <w:color w:val="000000"/>
        </w:rPr>
        <w:t xml:space="preserve">6.招标文件构成</w:t>
      </w:r>
      <w:bookmarkEnd w:id="69"/>
      <w:r/>
      <w:bookmarkEnd w:id="70"/>
      <w:r/>
      <w:bookmarkEnd w:id="71"/>
      <w:r>
        <w:rPr>
          <w:rFonts w:hint="eastAsia" w:ascii="宋体" w:hAnsi="宋体" w:eastAsia="宋体"/>
          <w:bCs w:val="0"/>
          <w:color w:val="000000"/>
        </w:rPr>
      </w:r>
      <w:r/>
    </w:p>
    <w:p>
      <w:pPr>
        <w:pStyle w:val="734"/>
        <w:ind w:firstLine="480"/>
        <w:spacing w:line="5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734"/>
        <w:ind w:firstLine="480"/>
        <w:spacing w:line="5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（6）投标文件内容与格式</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8"/>
        <w:ind w:firstLine="422"/>
        <w:keepLines w:val="0"/>
        <w:keepNext w:val="0"/>
        <w:spacing w:before="0" w:after="0" w:line="500" w:lineRule="exact"/>
        <w:rPr>
          <w:rFonts w:hint="eastAsia" w:ascii="宋体" w:hAnsi="宋体" w:eastAsia="宋体"/>
          <w:bCs w:val="0"/>
          <w:color w:val="000000"/>
        </w:rPr>
      </w:pPr>
      <w:r/>
      <w:bookmarkStart w:id="72" w:name="_Toc16938527"/>
      <w:r/>
      <w:bookmarkStart w:id="73" w:name="_Toc20823283"/>
      <w:r/>
      <w:bookmarkStart w:id="74" w:name="_Toc462564070"/>
      <w:r/>
      <w:bookmarkStart w:id="75" w:name="_Toc513029211"/>
      <w:r>
        <w:rPr>
          <w:rFonts w:hint="eastAsia" w:ascii="宋体" w:hAnsi="宋体" w:eastAsia="宋体"/>
          <w:bCs w:val="0"/>
          <w:color w:val="000000"/>
        </w:rPr>
        <w:t xml:space="preserve">7.招标文件的澄清</w:t>
      </w:r>
      <w:bookmarkEnd w:id="72"/>
      <w:r/>
      <w:bookmarkEnd w:id="73"/>
      <w:r/>
      <w:bookmarkEnd w:id="74"/>
      <w:r/>
      <w:bookmarkEnd w:id="75"/>
      <w:r>
        <w:rPr>
          <w:rFonts w:hint="eastAsia" w:ascii="宋体" w:hAnsi="宋体" w:eastAsia="宋体"/>
          <w:bCs w:val="0"/>
          <w:color w:val="000000"/>
        </w:rPr>
      </w:r>
      <w:r/>
    </w:p>
    <w:p>
      <w:pPr>
        <w:pStyle w:val="734"/>
        <w:ind w:firstLine="480"/>
        <w:spacing w:line="500" w:lineRule="exact"/>
        <w:rPr>
          <w:rFonts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w:t>
      </w:r>
      <w:r>
        <w:rPr>
          <w:rFonts w:hint="eastAsia" w:ascii="宋体" w:hAnsi="宋体"/>
          <w:bCs/>
          <w:color w:val="000000"/>
          <w:sz w:val="24"/>
        </w:rPr>
        <w:t xml:space="preserve">参照</w:t>
      </w:r>
      <w:r>
        <w:rPr>
          <w:rFonts w:hint="eastAsia" w:ascii="宋体" w:hAnsi="宋体"/>
          <w:bCs/>
          <w:color w:val="000000"/>
          <w:sz w:val="24"/>
        </w:rPr>
        <w:t xml:space="preserve">本章</w:t>
      </w:r>
      <w:r>
        <w:rPr>
          <w:rFonts w:hint="eastAsia" w:ascii="宋体" w:hAnsi="宋体"/>
          <w:bCs/>
          <w:color w:val="000000"/>
          <w:sz w:val="24"/>
        </w:rPr>
        <w:t xml:space="preserve">下述28.4条款的规定向采购人或交易中心以书面形式提出。</w:t>
      </w:r>
      <w:r>
        <w:rPr>
          <w:rFonts w:ascii="宋体" w:hAnsi="宋体"/>
          <w:bCs/>
          <w:color w:val="000000"/>
          <w:sz w:val="24"/>
        </w:rPr>
      </w:r>
      <w:r/>
    </w:p>
    <w:p>
      <w:pPr>
        <w:pStyle w:val="738"/>
        <w:ind w:firstLine="422"/>
        <w:keepLines w:val="0"/>
        <w:keepNext w:val="0"/>
        <w:spacing w:before="0" w:after="0" w:line="500" w:lineRule="exact"/>
        <w:rPr>
          <w:rFonts w:hint="eastAsia" w:ascii="宋体" w:hAnsi="宋体" w:eastAsia="宋体"/>
          <w:bCs w:val="0"/>
          <w:color w:val="000000"/>
        </w:rPr>
      </w:pPr>
      <w:r/>
      <w:bookmarkStart w:id="76" w:name="_Toc20823284"/>
      <w:r/>
      <w:bookmarkStart w:id="77" w:name="_Toc462564071"/>
      <w:r/>
      <w:bookmarkStart w:id="78" w:name="_Toc16938528"/>
      <w:r/>
      <w:bookmarkStart w:id="79" w:name="_Toc513029212"/>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73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8.1交易中心可在投标截止时间十五日前对招标文件进行必要的澄清或者修改，不足十五日的，将顺延提交投标文件的截止时间和开标日期。</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color w:val="000000"/>
          <w:sz w:val="24"/>
        </w:rPr>
      </w:r>
      <w:r/>
    </w:p>
    <w:p>
      <w:pPr>
        <w:pStyle w:val="737"/>
        <w:ind w:firstLine="452"/>
        <w:keepLines w:val="0"/>
        <w:keepNext w:val="0"/>
        <w:spacing w:before="0" w:after="0" w:line="500" w:lineRule="exact"/>
        <w:rPr>
          <w:rFonts w:hint="eastAsia"/>
          <w:color w:val="000000"/>
          <w:sz w:val="30"/>
          <w:szCs w:val="30"/>
        </w:rPr>
      </w:pPr>
      <w:r/>
      <w:bookmarkStart w:id="80" w:name="_Toc120614216"/>
      <w:r/>
      <w:bookmarkStart w:id="81" w:name="_Toc462564072"/>
      <w:r/>
      <w:bookmarkStart w:id="82" w:name="_Toc20823285"/>
      <w:r/>
      <w:bookmarkStart w:id="83" w:name="_Toc16938529"/>
      <w:r/>
      <w:bookmarkStart w:id="84" w:name="_Toc513029213"/>
      <w:r>
        <w:rPr>
          <w:rFonts w:hint="eastAsia"/>
          <w:color w:val="000000"/>
          <w:sz w:val="30"/>
          <w:szCs w:val="30"/>
        </w:rPr>
        <w:t xml:space="preserve">三、投标文件的编制</w:t>
      </w:r>
      <w:bookmarkEnd w:id="80"/>
      <w:r/>
      <w:bookmarkEnd w:id="81"/>
      <w:r/>
      <w:bookmarkEnd w:id="82"/>
      <w:r/>
      <w:bookmarkEnd w:id="83"/>
      <w:r/>
      <w:bookmarkEnd w:id="84"/>
      <w:r>
        <w:rPr>
          <w:rFonts w:hint="eastAsia"/>
          <w:color w:val="000000"/>
          <w:sz w:val="30"/>
          <w:szCs w:val="30"/>
        </w:rPr>
      </w:r>
      <w:r/>
    </w:p>
    <w:p>
      <w:pPr>
        <w:pStyle w:val="738"/>
        <w:ind w:firstLine="422"/>
        <w:keepLines w:val="0"/>
        <w:keepNext w:val="0"/>
        <w:spacing w:before="0" w:after="0" w:line="500" w:lineRule="exact"/>
        <w:rPr>
          <w:rFonts w:hint="eastAsia" w:ascii="宋体" w:hAnsi="宋体" w:eastAsia="宋体"/>
          <w:bCs w:val="0"/>
          <w:color w:val="000000"/>
        </w:rPr>
      </w:pPr>
      <w:r/>
      <w:bookmarkStart w:id="85" w:name="_Toc462564073"/>
      <w:r/>
      <w:bookmarkStart w:id="86" w:name="_Toc513029214"/>
      <w:r/>
      <w:bookmarkStart w:id="87" w:name="_Toc20823286"/>
      <w:r/>
      <w:bookmarkStart w:id="88" w:name="_Toc16938530"/>
      <w:r>
        <w:rPr>
          <w:rFonts w:hint="eastAsia" w:ascii="宋体" w:hAnsi="宋体" w:eastAsia="宋体"/>
          <w:bCs w:val="0"/>
          <w:color w:val="000000"/>
        </w:rPr>
        <w:t xml:space="preserve">9.投标文件的语言及度量衡单位</w:t>
      </w:r>
      <w:bookmarkEnd w:id="85"/>
      <w:r/>
      <w:bookmarkEnd w:id="86"/>
      <w:r/>
      <w:bookmarkEnd w:id="87"/>
      <w:r/>
      <w:bookmarkEnd w:id="88"/>
      <w:r>
        <w:rPr>
          <w:rFonts w:hint="eastAsia" w:ascii="宋体" w:hAnsi="宋体" w:eastAsia="宋体"/>
          <w:bCs w:val="0"/>
          <w:color w:val="000000"/>
        </w:rPr>
      </w:r>
      <w:r/>
    </w:p>
    <w:p>
      <w:pPr>
        <w:pStyle w:val="734"/>
        <w:ind w:firstLine="480"/>
        <w:spacing w:line="500" w:lineRule="exact"/>
        <w:rPr>
          <w:rFonts w:hint="eastAsia"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p>
    <w:p>
      <w:pPr>
        <w:pStyle w:val="734"/>
        <w:ind w:firstLine="480"/>
        <w:spacing w:line="500" w:lineRule="exact"/>
        <w:rPr>
          <w:rFonts w:hint="eastAsia"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p>
    <w:p>
      <w:pPr>
        <w:pStyle w:val="738"/>
        <w:ind w:firstLine="422"/>
        <w:keepLines w:val="0"/>
        <w:keepNext w:val="0"/>
        <w:spacing w:before="0" w:after="0" w:line="500" w:lineRule="exact"/>
        <w:rPr>
          <w:rFonts w:hint="eastAsia" w:ascii="宋体" w:hAnsi="宋体" w:eastAsia="宋体"/>
          <w:bCs w:val="0"/>
          <w:color w:val="000000"/>
        </w:rPr>
      </w:pPr>
      <w:r/>
      <w:bookmarkStart w:id="89" w:name="_Toc462564074"/>
      <w:r/>
      <w:bookmarkStart w:id="90" w:name="_Toc16938531"/>
      <w:r/>
      <w:bookmarkStart w:id="91" w:name="_Toc20823287"/>
      <w:r/>
      <w:bookmarkStart w:id="92" w:name="_Toc513029215"/>
      <w:r>
        <w:rPr>
          <w:rFonts w:hint="eastAsia" w:ascii="宋体" w:hAnsi="宋体" w:eastAsia="宋体"/>
          <w:bCs w:val="0"/>
          <w:color w:val="000000"/>
        </w:rPr>
        <w:t xml:space="preserve">10.投标文件构成</w:t>
      </w:r>
      <w:bookmarkEnd w:id="89"/>
      <w:r/>
      <w:bookmarkEnd w:id="90"/>
      <w:r/>
      <w:bookmarkEnd w:id="91"/>
      <w:r/>
      <w:bookmarkEnd w:id="92"/>
      <w:r>
        <w:rPr>
          <w:rFonts w:hint="eastAsia" w:ascii="宋体" w:hAnsi="宋体" w:eastAsia="宋体"/>
          <w:bCs w:val="0"/>
          <w:color w:val="000000"/>
        </w:rPr>
      </w:r>
      <w:r/>
    </w:p>
    <w:p>
      <w:pPr>
        <w:pStyle w:val="734"/>
        <w:ind w:firstLine="480"/>
        <w:spacing w:line="500" w:lineRule="exact"/>
        <w:rPr>
          <w:rFonts w:ascii="宋体" w:hAnsi="宋体"/>
          <w:color w:val="000000"/>
          <w:sz w:val="24"/>
        </w:rPr>
      </w:pPr>
      <w:r>
        <w:rPr>
          <w:rFonts w:hint="eastAsia" w:ascii="宋体" w:hAnsi="宋体"/>
          <w:color w:val="000000"/>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rPr>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10.2投标人所须提供的相关证明文件和要求以及投标文件的部分格式要求，详见第六章《投标文件内容与格式》。</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10.3如标书制作工具中格式和内容与招标文件不一致的，请以招标文件为准。</w:t>
      </w:r>
      <w:r/>
    </w:p>
    <w:p>
      <w:pPr>
        <w:pStyle w:val="738"/>
        <w:ind w:firstLine="422"/>
        <w:keepLines w:val="0"/>
        <w:keepNext w:val="0"/>
        <w:spacing w:before="0" w:after="0" w:line="500" w:lineRule="exact"/>
        <w:rPr>
          <w:rFonts w:hint="eastAsia" w:ascii="宋体" w:hAnsi="宋体" w:eastAsia="宋体"/>
          <w:bCs w:val="0"/>
          <w:color w:val="000000"/>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513029216"/>
      <w:r/>
      <w:bookmarkStart w:id="100" w:name="_Toc49090507"/>
      <w:r/>
      <w:bookmarkStart w:id="101" w:name="_Toc14577354"/>
      <w:r>
        <w:rPr>
          <w:rFonts w:hint="eastAsia" w:ascii="宋体" w:hAnsi="宋体" w:eastAsia="宋体"/>
          <w:bCs w:val="0"/>
          <w:color w:val="000000"/>
        </w:rPr>
        <w:t xml:space="preserve">11.证明投标人及投标标的符合招标文件规定的文件</w:t>
      </w:r>
      <w:bookmarkEnd w:id="96"/>
      <w:r/>
      <w:bookmarkEnd w:id="97"/>
      <w:r/>
      <w:bookmarkEnd w:id="98"/>
      <w:r>
        <w:rPr>
          <w:rFonts w:hint="eastAsia" w:ascii="宋体" w:hAnsi="宋体" w:eastAsia="宋体"/>
          <w:bCs w:val="0"/>
          <w:color w:val="000000"/>
        </w:rPr>
      </w:r>
      <w:r/>
    </w:p>
    <w:p>
      <w:pPr>
        <w:pStyle w:val="734"/>
        <w:ind w:firstLine="480"/>
        <w:spacing w:line="500" w:lineRule="exact"/>
        <w:rPr>
          <w:rFonts w:hint="eastAsia" w:ascii="宋体" w:hAnsi="宋体"/>
          <w:bCs/>
          <w:color w:val="000000"/>
          <w:sz w:val="24"/>
        </w:rPr>
      </w:pPr>
      <w:r/>
      <w:bookmarkEnd w:id="99"/>
      <w:r/>
      <w:bookmarkEnd w:id="100"/>
      <w:r/>
      <w:bookmarkEnd w:id="101"/>
      <w:r/>
      <w:bookmarkStart w:id="102" w:name="_Toc14577355"/>
      <w:r/>
      <w:bookmarkStart w:id="103" w:name="_Toc49090508"/>
      <w:r>
        <w:rPr>
          <w:rFonts w:hint="eastAsia" w:ascii="宋体" w:hAnsi="宋体"/>
          <w:bCs/>
          <w:color w:val="000000"/>
          <w:sz w:val="24"/>
        </w:rPr>
        <w:t xml:space="preserve">11.1投标人应按照法律、法规、规章和规范性文件以及招标文件要求提交证明文件，证明其及投标标的符合招标文件规定。</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738"/>
        <w:ind w:firstLine="422"/>
        <w:keepLines w:val="0"/>
        <w:keepNext w:val="0"/>
        <w:spacing w:before="0" w:after="0" w:line="500" w:lineRule="exact"/>
        <w:rPr>
          <w:rFonts w:hint="eastAsia" w:ascii="宋体" w:hAnsi="宋体" w:eastAsia="宋体"/>
          <w:bCs w:val="0"/>
          <w:color w:val="000000"/>
        </w:rPr>
      </w:pPr>
      <w:r/>
      <w:bookmarkStart w:id="104" w:name="_Toc14577359"/>
      <w:r/>
      <w:bookmarkStart w:id="105" w:name="_Toc49090510"/>
      <w:r>
        <w:rPr>
          <w:rFonts w:hint="eastAsia" w:ascii="宋体" w:hAnsi="宋体" w:eastAsia="宋体"/>
          <w:bCs w:val="0"/>
          <w:color w:val="000000"/>
        </w:rPr>
        <w:t xml:space="preserve">12.投标函、承诺书和开标一览表</w:t>
      </w:r>
      <w:r/>
    </w:p>
    <w:p>
      <w:pPr>
        <w:pStyle w:val="734"/>
        <w:ind w:firstLine="480"/>
        <w:spacing w:line="500" w:lineRule="exact"/>
        <w:rPr>
          <w:rFonts w:hint="eastAsia" w:ascii="宋体" w:hAnsi="宋体"/>
          <w:color w:val="000000"/>
          <w:sz w:val="24"/>
        </w:rPr>
      </w:pPr>
      <w:r>
        <w:rPr>
          <w:rFonts w:hint="eastAsia" w:ascii="宋体" w:hAnsi="宋体"/>
          <w:bCs/>
          <w:color w:val="000000"/>
          <w:sz w:val="24"/>
        </w:rPr>
        <w:t xml:space="preserve">12.1</w:t>
      </w:r>
      <w:r>
        <w:rPr>
          <w:rFonts w:hint="eastAsia" w:ascii="宋体" w:hAnsi="宋体"/>
          <w:color w:val="000000"/>
          <w:sz w:val="24"/>
        </w:rPr>
        <w:t xml:space="preserve">投标人应按照招标文件中提供的格式</w:t>
      </w:r>
      <w:r>
        <w:rPr>
          <w:rFonts w:hint="eastAsia" w:ascii="宋体" w:hAnsi="宋体"/>
          <w:color w:val="000000"/>
          <w:sz w:val="24"/>
        </w:rPr>
        <w:t xml:space="preserve">，</w:t>
      </w:r>
      <w:r>
        <w:rPr>
          <w:rFonts w:hint="eastAsia" w:ascii="宋体" w:hAnsi="宋体"/>
          <w:color w:val="000000"/>
          <w:sz w:val="24"/>
        </w:rPr>
        <w:t xml:space="preserve">完整、正确填写投标函、承诺书</w:t>
      </w:r>
      <w:r>
        <w:rPr>
          <w:rFonts w:hint="eastAsia" w:ascii="宋体" w:hAnsi="宋体"/>
          <w:color w:val="000000"/>
          <w:sz w:val="24"/>
        </w:rPr>
        <w:t xml:space="preserve">；投标人应按照“苏采云”系统中的</w:t>
      </w:r>
      <w:r>
        <w:rPr>
          <w:rFonts w:hint="eastAsia" w:ascii="宋体" w:hAnsi="宋体"/>
          <w:color w:val="000000"/>
          <w:sz w:val="24"/>
        </w:rPr>
        <w:t xml:space="preserve">给定格式</w:t>
      </w:r>
      <w:r>
        <w:rPr>
          <w:rFonts w:hint="eastAsia" w:ascii="宋体" w:hAnsi="宋体"/>
          <w:color w:val="000000"/>
          <w:sz w:val="24"/>
        </w:rPr>
        <w:t xml:space="preserve">模块为准，完整、正确填写开标一览表</w:t>
      </w:r>
      <w:r>
        <w:rPr>
          <w:rFonts w:hint="eastAsia" w:ascii="宋体" w:hAnsi="宋体"/>
          <w:color w:val="000000"/>
          <w:sz w:val="24"/>
        </w:rPr>
        <w:t xml:space="preserve">。</w:t>
      </w:r>
      <w:r/>
    </w:p>
    <w:p>
      <w:pPr>
        <w:pStyle w:val="734"/>
        <w:ind w:firstLine="480"/>
        <w:spacing w:line="500" w:lineRule="exact"/>
        <w:rPr>
          <w:rFonts w:hint="eastAsia" w:ascii="宋体" w:hAnsi="宋体"/>
          <w:bCs/>
          <w:color w:val="000000"/>
          <w:sz w:val="24"/>
        </w:rPr>
      </w:pPr>
      <w:r>
        <w:rPr>
          <w:rFonts w:hint="eastAsia" w:ascii="宋体" w:hAnsi="宋体"/>
          <w:color w:val="000000"/>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sz w:val="24"/>
        </w:rPr>
      </w:r>
      <w:r/>
    </w:p>
    <w:p>
      <w:pPr>
        <w:pStyle w:val="738"/>
        <w:ind w:firstLine="422"/>
        <w:keepLines w:val="0"/>
        <w:keepNext w:val="0"/>
        <w:spacing w:before="0" w:after="0" w:line="500" w:lineRule="exact"/>
        <w:rPr>
          <w:rFonts w:hint="eastAsia" w:ascii="宋体" w:hAnsi="宋体" w:eastAsia="宋体"/>
          <w:bCs w:val="0"/>
          <w:color w:val="000000"/>
        </w:rPr>
      </w:pPr>
      <w:r/>
      <w:bookmarkEnd w:id="104"/>
      <w:r/>
      <w:bookmarkEnd w:id="105"/>
      <w:r>
        <w:rPr>
          <w:rFonts w:hint="eastAsia" w:ascii="宋体" w:hAnsi="宋体" w:eastAsia="宋体"/>
          <w:bCs w:val="0"/>
          <w:color w:val="000000"/>
        </w:rPr>
        <w:t xml:space="preserve">13.</w:t>
      </w:r>
      <w:bookmarkEnd w:id="102"/>
      <w:r/>
      <w:bookmarkEnd w:id="103"/>
      <w:r>
        <w:rPr>
          <w:rFonts w:hint="eastAsia" w:ascii="宋体" w:hAnsi="宋体" w:eastAsia="宋体"/>
          <w:bCs w:val="0"/>
          <w:color w:val="000000"/>
        </w:rPr>
        <w:t xml:space="preserve">分项报价表</w:t>
      </w:r>
      <w:r/>
    </w:p>
    <w:p>
      <w:pPr>
        <w:pStyle w:val="734"/>
        <w:ind w:firstLine="480"/>
        <w:spacing w:line="500" w:lineRule="exact"/>
        <w:rPr>
          <w:rFonts w:hint="eastAsia" w:ascii="宋体" w:hAnsi="宋体"/>
          <w:bCs/>
          <w:color w:val="000000"/>
          <w:sz w:val="24"/>
        </w:rPr>
      </w:pPr>
      <w:r>
        <w:rPr>
          <w:rFonts w:hint="eastAsia" w:ascii="宋体" w:hAnsi="宋体"/>
          <w:bCs/>
          <w:color w:val="000000"/>
          <w:sz w:val="24"/>
        </w:rPr>
        <w:t xml:space="preserve">13.1</w:t>
      </w:r>
      <w:r>
        <w:rPr>
          <w:rFonts w:hint="eastAsia" w:ascii="宋体" w:hAnsi="宋体"/>
          <w:color w:val="000000"/>
          <w:sz w:val="24"/>
        </w:rPr>
        <w:t xml:space="preserve">投</w:t>
      </w:r>
      <w:bookmarkStart w:id="106" w:name="_Hlt26954840"/>
      <w:r/>
      <w:bookmarkEnd w:id="106"/>
      <w:r>
        <w:rPr>
          <w:rFonts w:hint="eastAsia" w:ascii="宋体" w:hAnsi="宋体"/>
          <w:color w:val="000000"/>
          <w:sz w:val="24"/>
        </w:rPr>
        <w:t xml:space="preserve">标人应按照招标文件规定格式填报</w:t>
      </w:r>
      <w:bookmarkStart w:id="107" w:name="_Hlt26670399"/>
      <w:r/>
      <w:bookmarkEnd w:id="107"/>
      <w:r>
        <w:rPr>
          <w:rFonts w:hint="eastAsia" w:ascii="宋体" w:hAnsi="宋体"/>
          <w:color w:val="000000"/>
          <w:sz w:val="24"/>
        </w:rPr>
        <w:t xml:space="preserve">分项报价表。</w:t>
      </w:r>
      <w:r>
        <w:rPr>
          <w:rFonts w:hint="eastAsia" w:ascii="宋体" w:hAnsi="宋体"/>
          <w:bCs/>
          <w:color w:val="000000"/>
          <w:sz w:val="24"/>
        </w:rPr>
      </w:r>
      <w:r/>
    </w:p>
    <w:p>
      <w:pPr>
        <w:pStyle w:val="734"/>
        <w:ind w:firstLine="480"/>
        <w:spacing w:line="500" w:lineRule="exact"/>
        <w:rPr>
          <w:rFonts w:hint="eastAsia"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738"/>
        <w:ind w:firstLine="422"/>
        <w:keepLines w:val="0"/>
        <w:keepNext w:val="0"/>
        <w:spacing w:before="0" w:after="0" w:line="500" w:lineRule="exact"/>
        <w:rPr>
          <w:rFonts w:hint="eastAsia" w:ascii="宋体" w:hAnsi="宋体" w:eastAsia="宋体"/>
          <w:bCs w:val="0"/>
          <w:color w:val="000000"/>
        </w:rPr>
      </w:pPr>
      <w:r/>
      <w:bookmarkStart w:id="108" w:name="_Hlt26954848"/>
      <w:r/>
      <w:bookmarkEnd w:id="108"/>
      <w:r/>
      <w:bookmarkStart w:id="109" w:name="_Hlt26670425"/>
      <w:r/>
      <w:bookmarkEnd w:id="109"/>
      <w:r/>
      <w:bookmarkStart w:id="110" w:name="_Hlt26670403"/>
      <w:r/>
      <w:bookmarkEnd w:id="110"/>
      <w:r/>
      <w:bookmarkStart w:id="111" w:name="_Hlt26954846"/>
      <w:r/>
      <w:bookmarkEnd w:id="111"/>
      <w:r/>
      <w:bookmarkStart w:id="112" w:name="_Hlt26668983"/>
      <w:r/>
      <w:bookmarkEnd w:id="112"/>
      <w:r/>
      <w:bookmarkStart w:id="113" w:name="_Hlt26954731"/>
      <w:r/>
      <w:bookmarkEnd w:id="113"/>
      <w:r/>
      <w:bookmarkStart w:id="114" w:name="_Hlt26670486"/>
      <w:r/>
      <w:bookmarkEnd w:id="114"/>
      <w:r/>
      <w:bookmarkStart w:id="115" w:name="_Hlt26954842"/>
      <w:r/>
      <w:bookmarkEnd w:id="115"/>
      <w:r/>
      <w:bookmarkStart w:id="116" w:name="_Hlt26954844"/>
      <w:r/>
      <w:bookmarkEnd w:id="116"/>
      <w:r/>
      <w:bookmarkStart w:id="117" w:name="_Hlt26670482"/>
      <w:r/>
      <w:bookmarkEnd w:id="117"/>
      <w:r>
        <w:rPr>
          <w:rFonts w:hint="eastAsia" w:ascii="宋体" w:hAnsi="宋体" w:eastAsia="宋体"/>
          <w:bCs w:val="0"/>
          <w:color w:val="000000"/>
        </w:rPr>
        <w:t xml:space="preserve">14.投标偏离表</w:t>
      </w:r>
      <w:r/>
    </w:p>
    <w:p>
      <w:pPr>
        <w:pStyle w:val="734"/>
        <w:ind w:firstLine="480"/>
        <w:spacing w:line="500" w:lineRule="exact"/>
        <w:tabs>
          <w:tab w:val="left" w:pos="1035" w:leader="none"/>
        </w:tabs>
        <w:rPr>
          <w:rFonts w:ascii="宋体" w:hAnsi="Arial" w:cs="宋体"/>
          <w:color w:val="000000"/>
          <w:sz w:val="24"/>
          <w:lang w:val="zh-CN"/>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rPr>
          <w:rFonts w:ascii="宋体" w:hAnsi="Arial" w:cs="宋体"/>
          <w:color w:val="000000"/>
          <w:sz w:val="24"/>
          <w:lang w:val="zh-CN"/>
        </w:rPr>
      </w:r>
      <w:r/>
    </w:p>
    <w:p>
      <w:pPr>
        <w:pStyle w:val="738"/>
        <w:ind w:firstLine="422"/>
        <w:keepLines w:val="0"/>
        <w:keepNext w:val="0"/>
        <w:spacing w:before="0" w:after="0" w:line="500" w:lineRule="exact"/>
        <w:rPr>
          <w:rFonts w:hint="eastAsia" w:ascii="宋体" w:hAnsi="宋体" w:eastAsia="宋体"/>
          <w:bCs w:val="0"/>
          <w:color w:val="00000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color w:val="000000"/>
        </w:rPr>
        <w:t xml:space="preserve">15.投标有效期</w:t>
      </w:r>
      <w:bookmarkEnd w:id="121"/>
      <w:r/>
      <w:bookmarkEnd w:id="122"/>
      <w:r>
        <w:rPr>
          <w:rFonts w:hint="eastAsia" w:ascii="宋体" w:hAnsi="宋体" w:eastAsia="宋体"/>
          <w:bCs w:val="0"/>
          <w:color w:val="000000"/>
        </w:rPr>
      </w:r>
      <w:r/>
    </w:p>
    <w:p>
      <w:pPr>
        <w:pStyle w:val="734"/>
        <w:ind w:firstLine="480"/>
        <w:spacing w:line="500" w:lineRule="exact"/>
        <w:rPr>
          <w:rFonts w:hint="eastAsia"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九十（90）天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738"/>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16.投标有效期的延长</w:t>
      </w:r>
      <w:r/>
    </w:p>
    <w:p>
      <w:pPr>
        <w:pStyle w:val="734"/>
        <w:ind w:firstLine="480"/>
        <w:spacing w:line="500" w:lineRule="exact"/>
        <w:rPr>
          <w:rFonts w:hint="eastAsia"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737"/>
        <w:ind w:firstLine="452"/>
        <w:keepLines w:val="0"/>
        <w:keepNext w:val="0"/>
        <w:spacing w:before="0" w:after="0" w:line="500" w:lineRule="exact"/>
        <w:rPr>
          <w:rFonts w:hint="eastAsia"/>
          <w:color w:val="000000"/>
          <w:sz w:val="30"/>
          <w:szCs w:val="30"/>
        </w:rPr>
      </w:pPr>
      <w:r/>
      <w:bookmarkStart w:id="123" w:name="_Hlt26954852"/>
      <w:r/>
      <w:bookmarkEnd w:id="123"/>
      <w:r/>
      <w:bookmarkStart w:id="124" w:name="_Hlt26954739"/>
      <w:r/>
      <w:bookmarkEnd w:id="124"/>
      <w:r/>
      <w:bookmarkStart w:id="125" w:name="_Toc16938540"/>
      <w:r/>
      <w:bookmarkStart w:id="126" w:name="_Toc20823296"/>
      <w:r/>
      <w:bookmarkStart w:id="127" w:name="_Toc120614217"/>
      <w:r/>
      <w:bookmarkStart w:id="128" w:name="_Toc513029224"/>
      <w:r>
        <w:rPr>
          <w:rFonts w:hint="eastAsia"/>
          <w:color w:val="000000"/>
          <w:sz w:val="30"/>
          <w:szCs w:val="30"/>
        </w:rPr>
        <w:t xml:space="preserve">四、投标文件的递交</w:t>
      </w:r>
      <w:bookmarkEnd w:id="125"/>
      <w:r/>
      <w:bookmarkEnd w:id="126"/>
      <w:r/>
      <w:bookmarkEnd w:id="127"/>
      <w:r/>
      <w:bookmarkEnd w:id="128"/>
      <w:r>
        <w:rPr>
          <w:rFonts w:hint="eastAsia"/>
          <w:color w:val="000000"/>
          <w:sz w:val="30"/>
          <w:szCs w:val="30"/>
        </w:rPr>
      </w:r>
      <w:r/>
    </w:p>
    <w:p>
      <w:pPr>
        <w:pStyle w:val="738"/>
        <w:ind w:firstLine="422"/>
        <w:keepLines w:val="0"/>
        <w:keepNext w:val="0"/>
        <w:spacing w:before="0" w:after="0" w:line="500" w:lineRule="exact"/>
        <w:rPr>
          <w:rFonts w:hint="eastAsia" w:ascii="宋体" w:hAnsi="宋体" w:eastAsia="宋体"/>
          <w:bCs w:val="0"/>
          <w:color w:val="000000"/>
        </w:rPr>
      </w:pPr>
      <w:r/>
      <w:bookmarkStart w:id="129" w:name="_Toc16938541"/>
      <w:r/>
      <w:bookmarkStart w:id="130" w:name="_Toc462564084"/>
      <w:r/>
      <w:bookmarkStart w:id="131" w:name="_Toc20823297"/>
      <w:r/>
      <w:bookmarkStart w:id="132" w:name="_Toc513029225"/>
      <w:r>
        <w:rPr>
          <w:rFonts w:hint="eastAsia" w:ascii="宋体" w:hAnsi="宋体" w:eastAsia="宋体"/>
          <w:bCs w:val="0"/>
          <w:color w:val="000000"/>
        </w:rPr>
        <w:t xml:space="preserve">17.投标文件</w:t>
      </w:r>
      <w:bookmarkEnd w:id="129"/>
      <w:r/>
      <w:bookmarkEnd w:id="130"/>
      <w:r/>
      <w:bookmarkEnd w:id="131"/>
      <w:r/>
      <w:bookmarkEnd w:id="132"/>
      <w:r>
        <w:rPr>
          <w:rFonts w:hint="eastAsia" w:ascii="宋体" w:hAnsi="宋体" w:eastAsia="宋体"/>
          <w:bCs w:val="0"/>
          <w:color w:val="000000"/>
        </w:rPr>
        <w:t xml:space="preserve">的递交</w:t>
      </w:r>
      <w:r/>
    </w:p>
    <w:p>
      <w:pPr>
        <w:pStyle w:val="734"/>
        <w:ind w:firstLine="480"/>
        <w:spacing w:line="5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电子投标文件的递交</w:t>
      </w:r>
      <w:r/>
    </w:p>
    <w:p>
      <w:pPr>
        <w:pStyle w:val="847"/>
        <w:ind w:firstLine="480"/>
        <w:spacing w:line="500" w:lineRule="exact"/>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513029226"/>
      <w:r/>
      <w:bookmarkStart w:id="134" w:name="_Toc20823298"/>
      <w:r/>
      <w:bookmarkStart w:id="135" w:name="_Toc16938542"/>
      <w:r>
        <w:rPr>
          <w:rFonts w:hint="eastAsia" w:ascii="宋体" w:hAnsi="宋体"/>
          <w:bCs/>
          <w:color w:val="000000"/>
          <w:sz w:val="24"/>
        </w:rPr>
      </w:r>
      <w:r/>
    </w:p>
    <w:p>
      <w:pPr>
        <w:pStyle w:val="738"/>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18.投标截止</w:t>
      </w:r>
      <w:bookmarkEnd w:id="133"/>
      <w:r/>
      <w:bookmarkEnd w:id="134"/>
      <w:r/>
      <w:bookmarkEnd w:id="135"/>
      <w:r>
        <w:rPr>
          <w:rFonts w:hint="eastAsia" w:ascii="宋体" w:hAnsi="宋体" w:eastAsia="宋体"/>
          <w:bCs w:val="0"/>
          <w:color w:val="000000"/>
        </w:rPr>
        <w:t xml:space="preserve">时间</w:t>
      </w:r>
      <w:r/>
    </w:p>
    <w:p>
      <w:pPr>
        <w:pStyle w:val="734"/>
        <w:ind w:firstLine="480"/>
        <w:spacing w:line="500" w:lineRule="exact"/>
        <w:rPr>
          <w:rFonts w:hint="eastAsia"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p>
    <w:p>
      <w:pPr>
        <w:pStyle w:val="734"/>
        <w:ind w:firstLine="480"/>
        <w:spacing w:line="5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pStyle w:val="734"/>
        <w:ind w:firstLine="480"/>
        <w:spacing w:line="500" w:lineRule="exact"/>
        <w:rPr>
          <w:rFonts w:hint="eastAsia"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交易中心可以按照规定，通过更正公告修改投标截止时间，投标人的所有权利和义务以及投标人受制的截止时间均应以延长后新的截止时间为准。</w:t>
      </w:r>
      <w:r/>
    </w:p>
    <w:p>
      <w:pPr>
        <w:pStyle w:val="738"/>
        <w:ind w:firstLine="422"/>
        <w:keepLines w:val="0"/>
        <w:keepNext w:val="0"/>
        <w:spacing w:before="0" w:after="0" w:line="500" w:lineRule="exact"/>
        <w:rPr>
          <w:rFonts w:hint="eastAsia" w:ascii="宋体" w:hAnsi="宋体" w:eastAsia="宋体"/>
          <w:bCs w:val="0"/>
          <w:color w:val="000000"/>
        </w:rPr>
      </w:pPr>
      <w:r/>
      <w:bookmarkStart w:id="136" w:name="_Toc20823299"/>
      <w:r/>
      <w:bookmarkStart w:id="137" w:name="_Toc16938543"/>
      <w:r/>
      <w:bookmarkStart w:id="138" w:name="_Toc513029227"/>
      <w:r>
        <w:rPr>
          <w:rFonts w:hint="eastAsia" w:ascii="宋体" w:hAnsi="宋体" w:eastAsia="宋体"/>
          <w:bCs w:val="0"/>
          <w:color w:val="000000"/>
        </w:rPr>
        <w:t xml:space="preserve">19.投标文件</w:t>
      </w:r>
      <w:bookmarkEnd w:id="136"/>
      <w:r/>
      <w:bookmarkEnd w:id="137"/>
      <w:r/>
      <w:bookmarkEnd w:id="138"/>
      <w:r>
        <w:rPr>
          <w:rFonts w:hint="eastAsia" w:ascii="宋体" w:hAnsi="宋体" w:eastAsia="宋体"/>
          <w:bCs w:val="0"/>
          <w:color w:val="000000"/>
        </w:rPr>
        <w:t xml:space="preserve">的拒收</w:t>
      </w:r>
      <w:r/>
    </w:p>
    <w:p>
      <w:pPr>
        <w:pStyle w:val="734"/>
        <w:ind w:firstLine="480"/>
        <w:spacing w:line="500" w:lineRule="exact"/>
        <w:rPr>
          <w:rFonts w:hint="eastAsia"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交易中心拒绝接收在其规定的投标截止时间后上传的任何投标文件。</w:t>
      </w:r>
      <w:r/>
    </w:p>
    <w:p>
      <w:pPr>
        <w:pStyle w:val="738"/>
        <w:ind w:firstLine="422"/>
        <w:keepLines w:val="0"/>
        <w:keepNext w:val="0"/>
        <w:spacing w:before="0" w:after="0" w:line="500" w:lineRule="exact"/>
        <w:rPr>
          <w:rFonts w:hint="eastAsia" w:ascii="宋体" w:hAnsi="宋体" w:eastAsia="宋体"/>
          <w:bCs w:val="0"/>
          <w:color w:val="000000"/>
        </w:rPr>
      </w:pPr>
      <w:r/>
      <w:bookmarkStart w:id="139" w:name="_Toc16938544"/>
      <w:r/>
      <w:bookmarkStart w:id="140" w:name="_Toc513029228"/>
      <w:r/>
      <w:bookmarkStart w:id="141" w:name="_Toc20823300"/>
      <w:r>
        <w:rPr>
          <w:rFonts w:hint="eastAsia" w:ascii="宋体" w:hAnsi="宋体" w:eastAsia="宋体"/>
          <w:bCs w:val="0"/>
          <w:color w:val="000000"/>
        </w:rPr>
        <w:t xml:space="preserve">20.投标文件的撤回和修改</w:t>
      </w:r>
      <w:bookmarkEnd w:id="139"/>
      <w:r/>
      <w:bookmarkEnd w:id="140"/>
      <w:r/>
      <w:bookmarkEnd w:id="141"/>
      <w:r>
        <w:rPr>
          <w:rFonts w:hint="eastAsia" w:ascii="宋体" w:hAnsi="宋体" w:eastAsia="宋体"/>
          <w:bCs w:val="0"/>
          <w:color w:val="000000"/>
        </w:rPr>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20.1投标文件的撤回</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21.1.1电子投标文件的撤回</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20.2投标文件的修改</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p>
    <w:p>
      <w:pPr>
        <w:pStyle w:val="734"/>
        <w:ind w:firstLine="480"/>
        <w:spacing w:line="500" w:lineRule="exact"/>
        <w:rPr>
          <w:rFonts w:hint="eastAsia"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在投标截止时间之后，投标人不得对其电子投标文件作任何修改。</w:t>
      </w:r>
      <w:r/>
    </w:p>
    <w:p>
      <w:pPr>
        <w:pStyle w:val="734"/>
        <w:ind w:firstLine="480"/>
        <w:spacing w:line="500" w:lineRule="exact"/>
        <w:rPr>
          <w:rFonts w:hint="eastAsia"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在投标截止时间至招标文件中规定的投标有效期满之间的这段时间内，投标人不得撤回其投标。</w:t>
      </w:r>
      <w:r/>
    </w:p>
    <w:p>
      <w:pPr>
        <w:pStyle w:val="737"/>
        <w:ind w:firstLine="452"/>
        <w:keepLines w:val="0"/>
        <w:keepNext w:val="0"/>
        <w:spacing w:before="0" w:after="0" w:line="500" w:lineRule="exact"/>
        <w:rPr>
          <w:rFonts w:hint="eastAsia"/>
          <w:color w:val="000000"/>
          <w:sz w:val="30"/>
          <w:szCs w:val="30"/>
        </w:rPr>
      </w:pPr>
      <w:r/>
      <w:bookmarkStart w:id="142" w:name="_Toc16938545"/>
      <w:r/>
      <w:bookmarkStart w:id="143" w:name="_Toc120614218"/>
      <w:r/>
      <w:bookmarkStart w:id="144" w:name="_Toc20823301"/>
      <w:r/>
      <w:bookmarkStart w:id="145" w:name="_Toc513029229"/>
      <w:r>
        <w:rPr>
          <w:rFonts w:hint="eastAsia"/>
          <w:color w:val="000000"/>
          <w:sz w:val="30"/>
          <w:szCs w:val="30"/>
        </w:rPr>
        <w:t xml:space="preserve">五、开标与评标</w:t>
      </w:r>
      <w:bookmarkEnd w:id="142"/>
      <w:r/>
      <w:bookmarkEnd w:id="143"/>
      <w:r/>
      <w:bookmarkEnd w:id="144"/>
      <w:r/>
      <w:bookmarkEnd w:id="145"/>
      <w:r>
        <w:rPr>
          <w:rFonts w:hint="eastAsia"/>
          <w:color w:val="000000"/>
          <w:sz w:val="30"/>
          <w:szCs w:val="30"/>
        </w:rPr>
      </w:r>
      <w:r/>
    </w:p>
    <w:p>
      <w:pPr>
        <w:pStyle w:val="738"/>
        <w:ind w:firstLine="422"/>
        <w:keepLines w:val="0"/>
        <w:keepNext w:val="0"/>
        <w:spacing w:before="0" w:after="0" w:line="500" w:lineRule="exact"/>
        <w:rPr>
          <w:rFonts w:hint="eastAsia" w:ascii="宋体" w:hAnsi="宋体" w:eastAsia="宋体"/>
          <w:bCs w:val="0"/>
          <w:color w:val="000000"/>
        </w:rPr>
      </w:pPr>
      <w:r/>
      <w:bookmarkStart w:id="146" w:name="_Toc16938546"/>
      <w:r/>
      <w:bookmarkStart w:id="147" w:name="_Toc513029230"/>
      <w:r/>
      <w:bookmarkStart w:id="148" w:name="_Toc20823302"/>
      <w:r>
        <w:rPr>
          <w:rFonts w:hint="eastAsia" w:ascii="宋体" w:hAnsi="宋体" w:eastAsia="宋体"/>
          <w:bCs w:val="0"/>
          <w:color w:val="000000"/>
        </w:rPr>
        <w:t xml:space="preserve">21.开标</w:t>
      </w:r>
      <w:bookmarkEnd w:id="146"/>
      <w:r/>
      <w:bookmarkEnd w:id="147"/>
      <w:r/>
      <w:bookmarkEnd w:id="148"/>
      <w:r>
        <w:rPr>
          <w:rFonts w:hint="eastAsia" w:ascii="宋体" w:hAnsi="宋体" w:eastAsia="宋体"/>
          <w:bCs w:val="0"/>
          <w:color w:val="000000"/>
        </w:rPr>
      </w:r>
      <w:r/>
    </w:p>
    <w:p>
      <w:pPr>
        <w:pStyle w:val="734"/>
        <w:ind w:firstLine="480"/>
        <w:spacing w:line="500" w:lineRule="exact"/>
        <w:rPr>
          <w:rFonts w:hint="eastAsia"/>
          <w:color w:val="000000"/>
        </w:rPr>
      </w:pPr>
      <w:r>
        <w:rPr>
          <w:rFonts w:hint="eastAsia" w:ascii="宋体" w:hAnsi="宋体"/>
          <w:color w:val="000000"/>
          <w:sz w:val="24"/>
        </w:rPr>
        <w:t xml:space="preserve">21.1</w:t>
      </w:r>
      <w:r>
        <w:rPr>
          <w:rFonts w:hint="eastAsia" w:ascii="宋体" w:hAnsi="宋体"/>
          <w:bCs/>
          <w:color w:val="000000"/>
          <w:sz w:val="24"/>
        </w:rPr>
        <w:t xml:space="preserve">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rPr>
          <w:rFonts w:hint="eastAsia"/>
          <w:color w:val="000000"/>
        </w:rPr>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21.2开标仪式由交易中心组织。</w:t>
      </w:r>
      <w:r>
        <w:rPr>
          <w:rFonts w:hint="eastAsia" w:ascii="宋体" w:hAnsi="宋体"/>
          <w:bCs/>
          <w:color w:val="000000"/>
          <w:sz w:val="24"/>
          <w:szCs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21.3投标人在开标过程中</w:t>
      </w:r>
      <w:r>
        <w:rPr>
          <w:rFonts w:hint="eastAsia" w:ascii="宋体" w:hAnsi="宋体"/>
          <w:color w:val="000000"/>
          <w:sz w:val="24"/>
        </w:rPr>
        <w:t xml:space="preserve">涉及</w:t>
      </w:r>
      <w:r>
        <w:rPr>
          <w:rFonts w:hint="eastAsia" w:ascii="宋体" w:hAnsi="宋体"/>
          <w:color w:val="000000"/>
          <w:sz w:val="24"/>
        </w:rPr>
        <w:t xml:space="preserve">的投标文件解密、开标结果确认等工作，应按照《操作手册》规定执行。</w:t>
      </w:r>
      <w:r/>
    </w:p>
    <w:p>
      <w:pPr>
        <w:pStyle w:val="734"/>
        <w:ind w:firstLine="480"/>
        <w:spacing w:line="500" w:lineRule="exact"/>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rPr>
        <w:t xml:space="preserve">中《开标记录表》宣布后5分钟内未提出的，视同认可开标结果。</w:t>
      </w:r>
      <w:r>
        <w:rPr>
          <w:rFonts w:ascii="宋体" w:hAnsi="宋体"/>
          <w:color w:val="000000"/>
          <w:sz w:val="24"/>
        </w:rPr>
      </w:r>
      <w:r/>
    </w:p>
    <w:p>
      <w:pPr>
        <w:pStyle w:val="738"/>
        <w:ind w:firstLine="422"/>
        <w:keepLines w:val="0"/>
        <w:keepNext w:val="0"/>
        <w:spacing w:before="0" w:after="0" w:line="500" w:lineRule="exact"/>
        <w:rPr>
          <w:rFonts w:hint="eastAsia" w:ascii="宋体" w:hAnsi="宋体" w:eastAsia="宋体"/>
          <w:bCs w:val="0"/>
          <w:color w:val="000000"/>
        </w:rPr>
      </w:pPr>
      <w:r/>
      <w:bookmarkStart w:id="149" w:name="_Toc20823303"/>
      <w:r/>
      <w:bookmarkStart w:id="150" w:name="_Toc513029231"/>
      <w:r/>
      <w:bookmarkStart w:id="151" w:name="_Toc16938547"/>
      <w:r>
        <w:rPr>
          <w:rFonts w:hint="eastAsia" w:ascii="宋体" w:hAnsi="宋体" w:eastAsia="宋体"/>
          <w:bCs w:val="0"/>
          <w:color w:val="000000"/>
        </w:rPr>
        <w:t xml:space="preserve">22.评标委员会</w:t>
      </w:r>
      <w:r/>
    </w:p>
    <w:p>
      <w:pPr>
        <w:pStyle w:val="734"/>
        <w:ind w:firstLine="480"/>
        <w:spacing w:line="500" w:lineRule="exact"/>
        <w:rPr>
          <w:rFonts w:hint="eastAsia" w:ascii="宋体" w:hAnsi="宋体"/>
          <w:b/>
          <w:color w:val="000000"/>
          <w:sz w:val="24"/>
          <w:szCs w:val="24"/>
        </w:rPr>
      </w:pPr>
      <w:r>
        <w:rPr>
          <w:rFonts w:hint="eastAsia" w:ascii="宋体" w:hAnsi="宋体"/>
          <w:color w:val="000000"/>
          <w:sz w:val="24"/>
          <w:szCs w:val="24"/>
        </w:rPr>
        <w:t xml:space="preserve">22.1开标后，交易中心将立即组织评标委员会（以下简称评委会）进行评标。</w:t>
      </w:r>
      <w:r>
        <w:rPr>
          <w:rFonts w:hint="eastAsia" w:ascii="宋体" w:hAnsi="宋体"/>
          <w:b/>
          <w:color w:val="000000"/>
          <w:sz w:val="24"/>
          <w:szCs w:val="24"/>
        </w:rPr>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22.2评委会依法组建，且人员构成符合政府采购有关规定。</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22.3评委会独立工作，负责评审所有投标文件并确定中标</w:t>
      </w:r>
      <w:r>
        <w:rPr>
          <w:rFonts w:hint="eastAsia" w:ascii="宋体" w:hAnsi="宋体"/>
          <w:color w:val="000000"/>
          <w:sz w:val="24"/>
          <w:szCs w:val="24"/>
        </w:rPr>
        <w:t xml:space="preserve">候选人</w:t>
      </w:r>
      <w:r>
        <w:rPr>
          <w:rFonts w:hint="eastAsia" w:ascii="宋体" w:hAnsi="宋体"/>
          <w:color w:val="000000"/>
          <w:sz w:val="24"/>
          <w:szCs w:val="24"/>
        </w:rPr>
        <w:t xml:space="preserve">。</w:t>
      </w:r>
      <w:r/>
    </w:p>
    <w:p>
      <w:pPr>
        <w:pStyle w:val="738"/>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23.评标过程的保密与公正</w:t>
      </w:r>
      <w:r/>
    </w:p>
    <w:p>
      <w:pPr>
        <w:pStyle w:val="734"/>
        <w:ind w:firstLine="480"/>
        <w:spacing w:line="500" w:lineRule="exact"/>
        <w:rPr>
          <w:rFonts w:hint="eastAsia" w:ascii="宋体" w:hAnsi="宋体"/>
          <w:bCs/>
          <w:color w:val="000000"/>
          <w:sz w:val="24"/>
        </w:rPr>
      </w:pPr>
      <w:r/>
      <w:bookmarkEnd w:id="149"/>
      <w:r/>
      <w:bookmarkEnd w:id="150"/>
      <w:r/>
      <w:bookmarkEnd w:id="151"/>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pStyle w:val="734"/>
        <w:ind w:firstLine="480"/>
        <w:spacing w:line="500" w:lineRule="exact"/>
        <w:rPr>
          <w:rFonts w:hint="eastAsia"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交易中心和评标委员会不向未中标的投标人解释未中标原因，也不公布评标过程中的相关细节。</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p>
    <w:p>
      <w:pPr>
        <w:pStyle w:val="738"/>
        <w:ind w:firstLine="422"/>
        <w:keepLines w:val="0"/>
        <w:keepNext w:val="0"/>
        <w:spacing w:before="0" w:after="0" w:line="500" w:lineRule="exact"/>
        <w:rPr>
          <w:rFonts w:hint="eastAsia" w:ascii="宋体" w:hAnsi="宋体" w:eastAsia="宋体"/>
          <w:bCs w:val="0"/>
          <w:color w:val="000000"/>
        </w:rPr>
      </w:pPr>
      <w:r/>
      <w:bookmarkStart w:id="152" w:name="_Toc513029232"/>
      <w:r/>
      <w:bookmarkStart w:id="153" w:name="_Toc16938548"/>
      <w:r/>
      <w:bookmarkStart w:id="154" w:name="_Toc20823304"/>
      <w:r>
        <w:rPr>
          <w:rFonts w:hint="eastAsia" w:ascii="宋体" w:hAnsi="宋体" w:eastAsia="宋体"/>
          <w:bCs w:val="0"/>
          <w:color w:val="000000"/>
        </w:rPr>
        <w:t xml:space="preserve">24.投标文件的澄清</w:t>
      </w:r>
      <w:bookmarkEnd w:id="152"/>
      <w:r/>
      <w:bookmarkEnd w:id="153"/>
      <w:r/>
      <w:bookmarkEnd w:id="154"/>
      <w:r>
        <w:rPr>
          <w:rFonts w:hint="eastAsia" w:ascii="宋体" w:hAnsi="宋体" w:eastAsia="宋体"/>
          <w:bCs w:val="0"/>
          <w:color w:val="000000"/>
        </w:rPr>
      </w:r>
      <w:r/>
    </w:p>
    <w:p>
      <w:pPr>
        <w:pStyle w:val="734"/>
        <w:ind w:firstLine="480"/>
        <w:spacing w:line="50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rPr>
      </w:r>
      <w:r/>
    </w:p>
    <w:p>
      <w:pPr>
        <w:pStyle w:val="734"/>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24.3接到评委会澄清、说明和补正要求的投标人如未按规定</w:t>
      </w:r>
      <w:r>
        <w:rPr>
          <w:rFonts w:hint="eastAsia" w:ascii="宋体" w:hAnsi="宋体"/>
          <w:color w:val="000000"/>
          <w:sz w:val="24"/>
          <w:szCs w:val="24"/>
        </w:rPr>
        <w:t xml:space="preserve">及时</w:t>
      </w:r>
      <w:r>
        <w:rPr>
          <w:rFonts w:hint="eastAsia" w:ascii="宋体" w:hAnsi="宋体"/>
          <w:color w:val="000000"/>
          <w:sz w:val="24"/>
          <w:szCs w:val="24"/>
        </w:rPr>
        <w:t xml:space="preserve">做出澄清、说明和补正，其风险由投标人自行承担。</w:t>
      </w:r>
      <w:r/>
    </w:p>
    <w:p>
      <w:pPr>
        <w:pStyle w:val="738"/>
        <w:ind w:firstLine="422"/>
        <w:keepLines w:val="0"/>
        <w:keepNext w:val="0"/>
        <w:spacing w:before="0" w:after="0" w:line="500" w:lineRule="exact"/>
        <w:rPr>
          <w:rFonts w:hint="eastAsia" w:ascii="宋体" w:hAnsi="宋体" w:eastAsia="宋体"/>
          <w:bCs w:val="0"/>
          <w:color w:val="000000"/>
        </w:rPr>
      </w:pPr>
      <w:r/>
      <w:bookmarkStart w:id="155" w:name="_Toc513029233"/>
      <w:r/>
      <w:bookmarkStart w:id="156" w:name="_Toc20823305"/>
      <w:r/>
      <w:bookmarkStart w:id="157" w:name="_Toc16938549"/>
      <w:r>
        <w:rPr>
          <w:rFonts w:hint="eastAsia" w:ascii="宋体" w:hAnsi="宋体" w:eastAsia="宋体"/>
          <w:bCs w:val="0"/>
          <w:color w:val="000000"/>
        </w:rPr>
        <w:t xml:space="preserve">25.对投标文件的初审</w:t>
      </w:r>
      <w:bookmarkEnd w:id="155"/>
      <w:r/>
      <w:bookmarkEnd w:id="156"/>
      <w:r/>
      <w:bookmarkEnd w:id="157"/>
      <w:r>
        <w:rPr>
          <w:rFonts w:hint="eastAsia" w:ascii="宋体" w:hAnsi="宋体" w:eastAsia="宋体"/>
          <w:bCs w:val="0"/>
          <w:color w:val="000000"/>
        </w:rPr>
      </w:r>
      <w:r/>
    </w:p>
    <w:p>
      <w:pPr>
        <w:pStyle w:val="734"/>
        <w:ind w:firstLine="480"/>
        <w:spacing w:line="500" w:lineRule="exact"/>
        <w:rPr>
          <w:rFonts w:hint="eastAsia"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p>
    <w:p>
      <w:pPr>
        <w:pStyle w:val="734"/>
        <w:ind w:firstLine="480"/>
        <w:spacing w:line="500" w:lineRule="exact"/>
        <w:rPr>
          <w:rFonts w:hint="eastAsia" w:ascii="宋体" w:hAnsi="宋体"/>
          <w:bCs/>
          <w:color w:val="000000"/>
          <w:sz w:val="24"/>
        </w:rPr>
      </w:pPr>
      <w:r>
        <w:rPr>
          <w:rFonts w:hint="eastAsia" w:ascii="宋体" w:hAnsi="宋体"/>
          <w:bCs/>
          <w:color w:val="000000"/>
          <w:sz w:val="24"/>
        </w:rPr>
        <w:t xml:space="preserve">25.1.1资格审查：依据法律法规和招标文件的规定，由采购人对投标文件中的资格证明文件进行审查。</w:t>
      </w:r>
      <w:r/>
    </w:p>
    <w:p>
      <w:pPr>
        <w:pStyle w:val="734"/>
        <w:ind w:firstLine="480"/>
        <w:spacing w:line="500" w:lineRule="exact"/>
        <w:rPr>
          <w:rFonts w:hint="eastAsia" w:ascii="宋体" w:hAnsi="宋体" w:cs="宋体"/>
          <w:bCs/>
          <w:color w:val="000000"/>
          <w:sz w:val="24"/>
        </w:rPr>
      </w:pPr>
      <w:r>
        <w:rPr>
          <w:rFonts w:hint="eastAsia" w:ascii="宋体" w:hAnsi="宋体" w:cs="宋体"/>
          <w:bCs/>
          <w:color w:val="000000"/>
          <w:sz w:val="24"/>
        </w:rPr>
        <w:t xml:space="preserve">采购人在进行资格审查的同时，将</w:t>
      </w:r>
      <w:r>
        <w:rPr>
          <w:rFonts w:hint="eastAsia" w:ascii="宋体" w:hAnsi="宋体" w:cs="宋体"/>
          <w:bCs/>
          <w:color w:val="000000"/>
          <w:sz w:val="24"/>
          <w:szCs w:val="24"/>
        </w:rPr>
        <w:t xml:space="preserve">通过“信用中国”网站（</w:t>
      </w:r>
      <w:r>
        <w:rPr>
          <w:rFonts w:hint="eastAsia" w:ascii="宋体" w:hAnsi="宋体" w:cs="宋体"/>
          <w:color w:val="000000"/>
        </w:rPr>
        <w:fldChar w:fldCharType="begin"/>
      </w:r>
      <w:r>
        <w:rPr>
          <w:rFonts w:hint="eastAsia" w:ascii="宋体" w:hAnsi="宋体" w:cs="宋体"/>
          <w:color w:val="000000"/>
        </w:rPr>
        <w:instrText xml:space="preserve">HYPERLINK "http://www.creditchina.gov.cn"</w:instrText>
      </w:r>
      <w:r>
        <w:rPr>
          <w:rFonts w:hint="eastAsia" w:ascii="宋体" w:hAnsi="宋体" w:cs="宋体"/>
          <w:color w:val="000000"/>
        </w:rPr>
        <w:fldChar w:fldCharType="separate"/>
      </w:r>
      <w:r>
        <w:rPr>
          <w:rFonts w:hint="eastAsia" w:ascii="宋体" w:hAnsi="宋体" w:cs="宋体"/>
          <w:bCs/>
          <w:color w:val="000000"/>
          <w:sz w:val="24"/>
          <w:szCs w:val="24"/>
        </w:rPr>
        <w:t xml:space="preserve">www.creditchina.gov.cn</w:t>
      </w:r>
      <w:r>
        <w:rPr>
          <w:rFonts w:hint="eastAsia" w:ascii="宋体" w:hAnsi="宋体" w:cs="宋体"/>
          <w:color w:val="000000"/>
        </w:rPr>
        <w:fldChar w:fldCharType="end"/>
      </w:r>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中国政府采购网(www.ccgp.gov.cn)</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失信被执行人、重大税收违法案件当事人名单、政府采购严重违法失信行为记录名单，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rPr>
          <w:rFonts w:hint="eastAsia" w:ascii="宋体" w:hAnsi="宋体" w:cs="宋体"/>
          <w:bCs/>
          <w:color w:val="000000"/>
          <w:sz w:val="24"/>
        </w:rPr>
      </w:r>
      <w:r/>
    </w:p>
    <w:p>
      <w:pPr>
        <w:pStyle w:val="734"/>
        <w:ind w:firstLine="480"/>
        <w:spacing w:line="5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w:t>
      </w:r>
      <w:r>
        <w:rPr>
          <w:rFonts w:hint="eastAsia" w:ascii="宋体" w:hAnsi="宋体"/>
          <w:bCs/>
          <w:color w:val="000000"/>
          <w:sz w:val="24"/>
        </w:rPr>
        <w:t xml:space="preserve">不良信用</w:t>
      </w:r>
      <w:r>
        <w:rPr>
          <w:rFonts w:hint="eastAsia" w:ascii="宋体" w:hAnsi="宋体"/>
          <w:bCs/>
          <w:color w:val="000000"/>
          <w:sz w:val="24"/>
        </w:rPr>
        <w:t xml:space="preserve">记录。</w:t>
      </w:r>
      <w:r/>
    </w:p>
    <w:p>
      <w:pPr>
        <w:pStyle w:val="734"/>
        <w:ind w:firstLine="480"/>
        <w:spacing w:line="500" w:lineRule="exact"/>
        <w:rPr>
          <w:rFonts w:hint="eastAsia" w:ascii="宋体" w:hAnsi="宋体"/>
          <w:bCs/>
          <w:color w:val="000000"/>
          <w:sz w:val="24"/>
        </w:rPr>
      </w:pPr>
      <w:r>
        <w:rPr>
          <w:rFonts w:hint="eastAsia" w:ascii="宋体" w:hAnsi="宋体"/>
          <w:bCs/>
          <w:color w:val="000000"/>
          <w:sz w:val="24"/>
        </w:rPr>
        <w:t xml:space="preserve">25.1.2符合性审查：依据招标文件的规定，由评委会从投标文件的有效性、完整性和对招标文件的响应程度进行审查，以确定是否对招标文件的实质性要求作出响应。</w:t>
      </w:r>
      <w:r/>
    </w:p>
    <w:p>
      <w:pPr>
        <w:pStyle w:val="734"/>
        <w:ind w:firstLine="480"/>
        <w:spacing w:line="500" w:lineRule="exact"/>
        <w:rPr>
          <w:rFonts w:hint="eastAsia"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3未通过资格审查或符合性审查的投标人，将在</w:t>
      </w:r>
      <w:r>
        <w:rPr>
          <w:rFonts w:hint="eastAsia" w:ascii="宋体" w:hAnsi="宋体"/>
          <w:bCs/>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ascii="宋体" w:hAnsi="宋体"/>
          <w:bCs/>
          <w:color w:val="000000"/>
          <w:sz w:val="24"/>
        </w:rPr>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34"/>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000000"/>
          <w:sz w:val="24"/>
        </w:rPr>
      </w:r>
      <w:r/>
    </w:p>
    <w:p>
      <w:pPr>
        <w:pStyle w:val="734"/>
        <w:ind w:firstLine="480"/>
        <w:spacing w:line="500" w:lineRule="exact"/>
        <w:rPr>
          <w:rFonts w:hint="eastAsia"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p>
    <w:p>
      <w:pPr>
        <w:pStyle w:val="734"/>
        <w:ind w:firstLine="480"/>
        <w:spacing w:line="5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734"/>
        <w:ind w:firstLine="480"/>
        <w:spacing w:line="5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734"/>
        <w:ind w:firstLine="480"/>
        <w:spacing w:line="5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734"/>
        <w:ind w:firstLine="480"/>
        <w:spacing w:line="5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pStyle w:val="734"/>
        <w:ind w:firstLine="480"/>
        <w:spacing w:line="5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pStyle w:val="734"/>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rPr>
          <w:rFonts w:ascii="宋体" w:hAnsi="宋体"/>
          <w:bCs/>
          <w:color w:val="000000"/>
          <w:sz w:val="24"/>
        </w:rPr>
      </w:r>
      <w:r/>
    </w:p>
    <w:p>
      <w:pPr>
        <w:pStyle w:val="734"/>
        <w:ind w:firstLine="420"/>
        <w:spacing w:line="500" w:lineRule="exact"/>
        <w:rPr>
          <w:rFonts w:hint="eastAsia" w:ascii="宋体" w:hAnsi="宋体"/>
          <w:color w:val="000000"/>
          <w:sz w:val="24"/>
        </w:rPr>
      </w:pPr>
      <w:r/>
      <w:bookmarkStart w:id="158" w:name="_Toc16938550"/>
      <w:r/>
      <w:bookmarkStart w:id="159" w:name="_Toc513029234"/>
      <w:r/>
      <w:bookmarkStart w:id="160" w:name="_Toc20823306"/>
      <w:r>
        <w:rPr>
          <w:rFonts w:hint="eastAsia" w:ascii="宋体" w:hAnsi="宋体"/>
          <w:color w:val="000000"/>
          <w:sz w:val="24"/>
        </w:rPr>
        <w:t xml:space="preserve">25.6投标人在开、评标全过程中应保持通讯畅通，及时登录</w:t>
      </w:r>
      <w:r>
        <w:rPr>
          <w:rFonts w:hint="eastAsia" w:ascii="宋体" w:hAnsi="宋体"/>
          <w:bCs/>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p>
    <w:p>
      <w:pPr>
        <w:pStyle w:val="738"/>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26</w:t>
      </w:r>
      <w:bookmarkEnd w:id="158"/>
      <w:r/>
      <w:bookmarkEnd w:id="159"/>
      <w:r/>
      <w:bookmarkEnd w:id="160"/>
      <w:r>
        <w:rPr>
          <w:rFonts w:hint="eastAsia" w:ascii="宋体" w:hAnsi="宋体" w:eastAsia="宋体"/>
          <w:bCs w:val="0"/>
          <w:color w:val="000000"/>
        </w:rPr>
        <w:t xml:space="preserve">.无效投标条款和废标条款</w:t>
      </w:r>
      <w:r/>
    </w:p>
    <w:p>
      <w:pPr>
        <w:pStyle w:val="734"/>
        <w:ind w:left="479"/>
        <w:spacing w:line="500" w:lineRule="exact"/>
        <w:rPr>
          <w:rFonts w:hint="eastAsia" w:ascii="宋体" w:hAnsi="宋体"/>
          <w:bCs/>
          <w:color w:val="000000"/>
          <w:sz w:val="24"/>
        </w:rPr>
      </w:pPr>
      <w:r/>
      <w:bookmarkStart w:id="161" w:name="_Toc20823307"/>
      <w:r/>
      <w:bookmarkStart w:id="162" w:name="_Toc513029235"/>
      <w:r/>
      <w:bookmarkStart w:id="163" w:name="_Toc16938551"/>
      <w:r>
        <w:rPr>
          <w:rFonts w:hint="eastAsia" w:ascii="宋体" w:hAnsi="宋体"/>
          <w:bCs/>
          <w:color w:val="000000"/>
          <w:sz w:val="24"/>
        </w:rPr>
        <w:t xml:space="preserve">26.1无效投标条款</w:t>
      </w:r>
      <w:r/>
    </w:p>
    <w:p>
      <w:pPr>
        <w:pStyle w:val="734"/>
        <w:ind w:firstLine="480"/>
        <w:spacing w:line="500" w:lineRule="exact"/>
        <w:rPr>
          <w:rFonts w:hint="eastAsia"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w:t>
      </w:r>
      <w:r>
        <w:rPr>
          <w:rFonts w:hint="eastAsia" w:ascii="宋体" w:hAnsi="宋体"/>
          <w:color w:val="000000"/>
          <w:sz w:val="24"/>
          <w:szCs w:val="24"/>
        </w:rPr>
        <w:t xml:space="preserve">未按《“苏采云”系统供应商操作手册》进行正确操作的。</w:t>
      </w:r>
      <w:r>
        <w:rPr>
          <w:rFonts w:hint="eastAsia" w:ascii="宋体" w:hAnsi="宋体"/>
          <w:bCs/>
          <w:color w:val="000000"/>
          <w:sz w:val="24"/>
          <w:szCs w:val="24"/>
        </w:rPr>
      </w:r>
      <w:r/>
    </w:p>
    <w:p>
      <w:pPr>
        <w:pStyle w:val="73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26.1.2投标人在</w:t>
      </w:r>
      <w:r>
        <w:rPr>
          <w:rFonts w:hint="eastAsia" w:ascii="宋体" w:hAnsi="宋体"/>
          <w:bCs/>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pStyle w:val="73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26.1.3</w:t>
      </w:r>
      <w:r>
        <w:rPr>
          <w:rFonts w:hint="eastAsia" w:ascii="宋体" w:hAnsi="宋体"/>
          <w:bCs/>
          <w:color w:val="000000"/>
          <w:sz w:val="24"/>
        </w:rPr>
        <w:t xml:space="preserve">投标人未按照招标文件要求上传电子投标文件、</w:t>
      </w:r>
      <w:r>
        <w:rPr>
          <w:rFonts w:hint="eastAsia" w:ascii="宋体" w:hAnsi="宋体"/>
          <w:bCs/>
          <w:color w:val="000000"/>
          <w:sz w:val="24"/>
          <w:szCs w:val="24"/>
        </w:rPr>
        <w:t xml:space="preserve">电子投标文件未按规定期限投标的，纸质投标文件（如有）未按规定的期限、地点送达的。</w:t>
      </w:r>
      <w:r/>
    </w:p>
    <w:p>
      <w:pPr>
        <w:pStyle w:val="73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26.1.4</w:t>
      </w:r>
      <w:r>
        <w:rPr>
          <w:rFonts w:hint="eastAsia" w:ascii="宋体" w:hAnsi="宋体"/>
          <w:bCs/>
          <w:color w:val="000000"/>
          <w:sz w:val="24"/>
        </w:rPr>
        <w:t xml:space="preserve">投标人的</w:t>
      </w:r>
      <w:r>
        <w:rPr>
          <w:rFonts w:hint="eastAsia" w:ascii="宋体" w:hAnsi="宋体"/>
          <w:bCs/>
          <w:color w:val="000000"/>
          <w:sz w:val="24"/>
          <w:szCs w:val="24"/>
        </w:rPr>
        <w:t xml:space="preserve">电子投标文件未按招标文件要求签章的。</w:t>
      </w:r>
      <w:r/>
    </w:p>
    <w:p>
      <w:pPr>
        <w:pStyle w:val="73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26.1.5投标人的被授权代表无授权委托书或授权委托日期晚于投标截止日期的。</w:t>
      </w:r>
      <w:r/>
    </w:p>
    <w:p>
      <w:pPr>
        <w:pStyle w:val="73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26.1.6投标人不具备招标文件中规定的资格要求或未按招标文件规定的要求提供资格证明文件的。</w:t>
      </w:r>
      <w:r/>
    </w:p>
    <w:p>
      <w:pPr>
        <w:pStyle w:val="73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26.1.7</w:t>
      </w:r>
      <w:r>
        <w:rPr>
          <w:rFonts w:hint="eastAsia" w:ascii="宋体" w:hAnsi="宋体"/>
          <w:bCs/>
          <w:color w:val="000000"/>
          <w:sz w:val="24"/>
        </w:rPr>
        <w:t xml:space="preserve">同一投标人提交两</w:t>
      </w:r>
      <w:r>
        <w:rPr>
          <w:rFonts w:hint="eastAsia" w:ascii="宋体" w:hAnsi="宋体"/>
          <w:bCs/>
          <w:color w:val="000000"/>
          <w:sz w:val="24"/>
        </w:rPr>
        <w:t xml:space="preserve">种</w:t>
      </w:r>
      <w:r>
        <w:rPr>
          <w:rFonts w:hint="eastAsia" w:ascii="宋体" w:hAnsi="宋体"/>
          <w:bCs/>
          <w:color w:val="000000"/>
          <w:sz w:val="24"/>
        </w:rPr>
        <w:t xml:space="preserve">（含两</w:t>
      </w:r>
      <w:r>
        <w:rPr>
          <w:rFonts w:hint="eastAsia" w:ascii="宋体" w:hAnsi="宋体"/>
          <w:bCs/>
          <w:color w:val="000000"/>
          <w:sz w:val="24"/>
        </w:rPr>
        <w:t xml:space="preserve">种</w:t>
      </w:r>
      <w:r>
        <w:rPr>
          <w:rFonts w:hint="eastAsia" w:ascii="宋体" w:hAnsi="宋体"/>
          <w:bCs/>
          <w:color w:val="000000"/>
          <w:sz w:val="24"/>
        </w:rPr>
        <w:t xml:space="preserve">）以上不同的投标报价的。</w:t>
      </w:r>
      <w:r>
        <w:rPr>
          <w:rFonts w:hint="eastAsia" w:ascii="宋体" w:hAnsi="宋体"/>
          <w:bCs/>
          <w:color w:val="000000"/>
          <w:sz w:val="24"/>
          <w:szCs w:val="24"/>
        </w:rPr>
      </w:r>
      <w:r/>
    </w:p>
    <w:p>
      <w:pPr>
        <w:pStyle w:val="734"/>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26.1.8投标人被“信用中国”网站（</w:t>
      </w:r>
      <w:r>
        <w:rPr>
          <w:rFonts w:ascii="宋体" w:hAnsi="宋体"/>
          <w:color w:val="000000"/>
          <w:sz w:val="24"/>
          <w:szCs w:val="24"/>
        </w:rPr>
        <w:fldChar w:fldCharType="begin"/>
      </w:r>
      <w:r>
        <w:rPr>
          <w:rFonts w:ascii="宋体" w:hAnsi="宋体"/>
          <w:color w:val="000000"/>
          <w:sz w:val="24"/>
          <w:szCs w:val="24"/>
        </w:rPr>
        <w:instrText xml:space="preserve"> HYPERLINK "http://www.creditchina.gov.cn" </w:instrText>
      </w:r>
      <w:r>
        <w:rPr>
          <w:rFonts w:ascii="宋体" w:hAnsi="宋体"/>
          <w:color w:val="000000"/>
          <w:sz w:val="24"/>
          <w:szCs w:val="24"/>
        </w:rPr>
        <w:fldChar w:fldCharType="separate"/>
      </w:r>
      <w:r>
        <w:rPr>
          <w:rFonts w:hint="eastAsia" w:ascii="宋体" w:hAnsi="宋体"/>
          <w:color w:val="000000"/>
          <w:sz w:val="24"/>
          <w:szCs w:val="24"/>
        </w:rPr>
        <w:t xml:space="preserve">www.creditchina.gov.cn</w:t>
      </w:r>
      <w:r>
        <w:rPr>
          <w:rFonts w:ascii="宋体" w:hAnsi="宋体"/>
          <w:color w:val="000000"/>
          <w:sz w:val="24"/>
          <w:szCs w:val="24"/>
        </w:rPr>
        <w:fldChar w:fldCharType="end"/>
      </w:r>
      <w:r>
        <w:rPr>
          <w:rFonts w:hint="eastAsia" w:ascii="宋体" w:hAnsi="宋体"/>
          <w:color w:val="000000"/>
          <w:sz w:val="24"/>
          <w:szCs w:val="24"/>
        </w:rPr>
        <w:t xml:space="preserve">）、中国政府采购网(www.ccgp.gov.cn)列入失信被执行人或重大税收违法案件当事人名单或政府采购严重违法失信行为记录名单的。</w:t>
      </w:r>
      <w:r>
        <w:rPr>
          <w:rFonts w:hint="eastAsia" w:ascii="宋体" w:hAnsi="宋体"/>
          <w:bCs/>
          <w:color w:val="000000"/>
          <w:sz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rPr>
        <w:t xml:space="preserve">后发现投标人存在其他不符合《中华人民共和国政府采购法》第二十二条规定条件的信用记录。</w:t>
      </w:r>
      <w:r>
        <w:rPr>
          <w:rFonts w:hint="eastAsia" w:ascii="宋体" w:hAnsi="宋体"/>
          <w:bCs/>
          <w:color w:val="000000"/>
          <w:sz w:val="24"/>
          <w:szCs w:val="24"/>
        </w:rPr>
      </w:r>
      <w:r/>
    </w:p>
    <w:p>
      <w:pPr>
        <w:pStyle w:val="73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26.1.9投标文件未按招标文件规定的内容和要求填写的。</w:t>
      </w:r>
      <w:r/>
    </w:p>
    <w:p>
      <w:pPr>
        <w:pStyle w:val="73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26.1.10</w:t>
      </w:r>
      <w:r>
        <w:rPr>
          <w:rFonts w:hint="eastAsia" w:ascii="宋体" w:hAnsi="宋体"/>
          <w:bCs/>
          <w:color w:val="000000"/>
          <w:sz w:val="24"/>
        </w:rPr>
        <w:t xml:space="preserve">投标人的</w:t>
      </w:r>
      <w:r>
        <w:rPr>
          <w:rFonts w:hint="eastAsia" w:ascii="宋体" w:hAnsi="宋体"/>
          <w:bCs/>
          <w:color w:val="000000"/>
          <w:sz w:val="24"/>
          <w:szCs w:val="24"/>
        </w:rPr>
        <w:t xml:space="preserve">项目（</w:t>
      </w:r>
      <w:r>
        <w:rPr>
          <w:rFonts w:hint="eastAsia" w:ascii="宋体" w:hAnsi="宋体"/>
          <w:bCs/>
          <w:color w:val="000000"/>
          <w:sz w:val="24"/>
          <w:szCs w:val="24"/>
        </w:rPr>
        <w:t xml:space="preserve">采购包、</w:t>
      </w:r>
      <w:r>
        <w:rPr>
          <w:rFonts w:hint="eastAsia" w:ascii="宋体" w:hAnsi="宋体"/>
          <w:bCs/>
          <w:color w:val="000000"/>
          <w:sz w:val="24"/>
          <w:szCs w:val="24"/>
        </w:rPr>
        <w:t xml:space="preserve">标项、</w:t>
      </w:r>
      <w:r>
        <w:rPr>
          <w:rFonts w:hint="eastAsia" w:ascii="宋体" w:hAnsi="宋体"/>
          <w:bCs/>
          <w:color w:val="000000"/>
          <w:sz w:val="24"/>
          <w:szCs w:val="24"/>
        </w:rPr>
        <w:t xml:space="preserve">标段）投标总价超过本项目（</w:t>
      </w:r>
      <w:r>
        <w:rPr>
          <w:rFonts w:hint="eastAsia" w:ascii="宋体" w:hAnsi="宋体"/>
          <w:bCs/>
          <w:color w:val="000000"/>
          <w:sz w:val="24"/>
          <w:szCs w:val="24"/>
        </w:rPr>
        <w:t xml:space="preserve">本采购包、本</w:t>
      </w:r>
      <w:r>
        <w:rPr>
          <w:rFonts w:hint="eastAsia" w:ascii="宋体" w:hAnsi="宋体"/>
          <w:bCs/>
          <w:color w:val="000000"/>
          <w:sz w:val="24"/>
          <w:szCs w:val="24"/>
        </w:rPr>
        <w:t xml:space="preserve">标项、</w:t>
      </w:r>
      <w:r>
        <w:rPr>
          <w:rFonts w:hint="eastAsia" w:ascii="宋体" w:hAnsi="宋体"/>
          <w:bCs/>
          <w:color w:val="000000"/>
          <w:sz w:val="24"/>
          <w:szCs w:val="24"/>
        </w:rPr>
        <w:t xml:space="preserve">本</w:t>
      </w:r>
      <w:r>
        <w:rPr>
          <w:rFonts w:hint="eastAsia" w:ascii="宋体" w:hAnsi="宋体"/>
          <w:bCs/>
          <w:color w:val="000000"/>
          <w:sz w:val="24"/>
          <w:szCs w:val="24"/>
        </w:rPr>
        <w:t xml:space="preserve">标段）预算或最高限价的。</w:t>
      </w:r>
      <w:r/>
    </w:p>
    <w:p>
      <w:pPr>
        <w:pStyle w:val="73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26.1.11未通过符合性审查的。</w:t>
      </w:r>
      <w:r/>
    </w:p>
    <w:p>
      <w:pPr>
        <w:pStyle w:val="73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26.1.12投标文件含有采购人不能接受的附加条件的。</w:t>
      </w:r>
      <w:r/>
    </w:p>
    <w:p>
      <w:pPr>
        <w:pStyle w:val="73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26.1.13电子投标文件图片、字迹模糊不清、无法辨认导致无法评审的。</w:t>
      </w:r>
      <w:r/>
    </w:p>
    <w:p>
      <w:pPr>
        <w:pStyle w:val="73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26.1.14投标文件中有招标文件未允许提供的选择性内容。</w:t>
      </w:r>
      <w:r/>
    </w:p>
    <w:p>
      <w:pPr>
        <w:pStyle w:val="734"/>
        <w:ind w:firstLine="480"/>
        <w:spacing w:line="500" w:lineRule="exact"/>
        <w:rPr>
          <w:rFonts w:hint="eastAsia" w:ascii="宋体" w:hAnsi="宋体"/>
          <w:bCs/>
          <w:color w:val="000000"/>
          <w:sz w:val="24"/>
          <w:szCs w:val="24"/>
        </w:rPr>
      </w:pPr>
      <w:r>
        <w:rPr>
          <w:rFonts w:hint="eastAsia" w:ascii="宋体" w:hAnsi="宋体"/>
          <w:bCs/>
          <w:color w:val="000000"/>
          <w:sz w:val="24"/>
        </w:rPr>
        <w:t xml:space="preserve">26.1.15</w:t>
      </w:r>
      <w:r>
        <w:rPr>
          <w:rFonts w:hint="eastAsia" w:ascii="宋体" w:hAnsi="宋体"/>
          <w:bCs/>
          <w:color w:val="000000"/>
          <w:sz w:val="24"/>
          <w:szCs w:val="24"/>
        </w:rPr>
        <w:t xml:space="preserve">不同投标人委托同一单位或者个人办理投标事宜的。</w:t>
      </w:r>
      <w:r/>
    </w:p>
    <w:p>
      <w:pPr>
        <w:pStyle w:val="734"/>
        <w:ind w:firstLine="480"/>
        <w:spacing w:line="500" w:lineRule="exact"/>
        <w:rPr>
          <w:rFonts w:hint="eastAsia" w:ascii="宋体" w:hAnsi="宋体"/>
          <w:bCs/>
          <w:color w:val="000000"/>
          <w:sz w:val="24"/>
        </w:rPr>
      </w:pPr>
      <w:r>
        <w:rPr>
          <w:rFonts w:hint="eastAsia" w:ascii="宋体" w:hAnsi="宋体"/>
          <w:bCs/>
          <w:color w:val="000000"/>
          <w:sz w:val="24"/>
        </w:rPr>
        <w:t xml:space="preserve">26.1.16</w:t>
      </w:r>
      <w:r>
        <w:rPr>
          <w:rFonts w:hint="eastAsia" w:ascii="宋体" w:hAnsi="宋体"/>
          <w:bCs/>
          <w:color w:val="000000"/>
          <w:sz w:val="24"/>
          <w:szCs w:val="24"/>
        </w:rPr>
        <w:t xml:space="preserve">不同投标人的单位负责人为同一人或者存在直接控股、管理关系的。</w:t>
      </w:r>
      <w:r>
        <w:rPr>
          <w:rFonts w:hint="eastAsia" w:ascii="宋体" w:hAnsi="宋体"/>
          <w:bCs/>
          <w:color w:val="000000"/>
          <w:sz w:val="24"/>
        </w:rPr>
      </w:r>
      <w:r/>
    </w:p>
    <w:p>
      <w:pPr>
        <w:pStyle w:val="73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26.1.17不同投标人的投标文件的装订形式、纸张情况、目录序号、排版格式、文字风格等存在明显的相似性或一致性，特征显示由同一单位或者同一个人编制的。</w:t>
      </w:r>
      <w:r/>
    </w:p>
    <w:p>
      <w:pPr>
        <w:pStyle w:val="73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734"/>
        <w:ind w:firstLine="480"/>
        <w:spacing w:line="500" w:lineRule="exact"/>
        <w:rPr>
          <w:rFonts w:hint="eastAsia" w:ascii="宋体" w:hAnsi="宋体"/>
          <w:bCs/>
          <w:color w:val="000000"/>
          <w:sz w:val="24"/>
        </w:rPr>
      </w:pPr>
      <w:r>
        <w:rPr>
          <w:rFonts w:hint="eastAsia" w:ascii="宋体" w:hAnsi="宋体"/>
          <w:bCs/>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734"/>
        <w:ind w:firstLine="480"/>
        <w:spacing w:line="500" w:lineRule="exact"/>
        <w:rPr>
          <w:rFonts w:hint="eastAsia" w:ascii="宋体" w:hAnsi="宋体"/>
          <w:bCs/>
          <w:color w:val="000000"/>
          <w:sz w:val="24"/>
        </w:rPr>
      </w:pPr>
      <w:r>
        <w:rPr>
          <w:rFonts w:hint="eastAsia" w:ascii="宋体" w:hAnsi="宋体"/>
          <w:bCs/>
          <w:color w:val="000000"/>
          <w:sz w:val="24"/>
        </w:rPr>
        <w:t xml:space="preserve">26.1.20</w:t>
      </w:r>
      <w:r>
        <w:rPr>
          <w:rFonts w:hint="eastAsia" w:ascii="宋体" w:hAnsi="宋体"/>
          <w:bCs/>
          <w:color w:val="000000"/>
          <w:sz w:val="24"/>
          <w:szCs w:val="24"/>
        </w:rPr>
        <w:t xml:space="preserve">提供虚假材料的（包括工商营业执照、财务报表、资格证明文件等）。</w:t>
      </w:r>
      <w:r>
        <w:rPr>
          <w:rFonts w:hint="eastAsia" w:ascii="宋体" w:hAnsi="宋体"/>
          <w:bCs/>
          <w:color w:val="000000"/>
          <w:sz w:val="24"/>
        </w:rPr>
      </w:r>
      <w:r/>
    </w:p>
    <w:p>
      <w:pPr>
        <w:pStyle w:val="734"/>
        <w:ind w:firstLine="480"/>
        <w:spacing w:line="500" w:lineRule="exact"/>
        <w:rPr>
          <w:rFonts w:hint="eastAsia" w:ascii="宋体" w:hAnsi="宋体"/>
          <w:bCs/>
          <w:color w:val="000000"/>
          <w:sz w:val="24"/>
        </w:rPr>
      </w:pPr>
      <w:r>
        <w:rPr>
          <w:rFonts w:hint="eastAsia" w:ascii="宋体" w:hAnsi="宋体"/>
          <w:bCs/>
          <w:color w:val="000000"/>
          <w:sz w:val="24"/>
        </w:rPr>
        <w:t xml:space="preserve">26.1.21</w:t>
      </w:r>
      <w:r>
        <w:rPr>
          <w:rFonts w:hint="eastAsia" w:ascii="宋体" w:hAnsi="宋体"/>
          <w:bCs/>
          <w:color w:val="000000"/>
          <w:sz w:val="24"/>
          <w:szCs w:val="24"/>
        </w:rPr>
        <w:t xml:space="preserve">除单一来源采购项目外，为采购项目提供整体设计、规范编制或者项目管理、监理、检测等服务的。</w:t>
      </w:r>
      <w:r>
        <w:rPr>
          <w:rFonts w:hint="eastAsia" w:ascii="宋体" w:hAnsi="宋体"/>
          <w:bCs/>
          <w:color w:val="000000"/>
          <w:sz w:val="24"/>
        </w:rPr>
      </w:r>
      <w:r/>
    </w:p>
    <w:p>
      <w:pPr>
        <w:pStyle w:val="734"/>
        <w:ind w:firstLine="480"/>
        <w:spacing w:line="500" w:lineRule="exact"/>
        <w:rPr>
          <w:rFonts w:hint="eastAsia" w:ascii="宋体" w:hAnsi="宋体"/>
          <w:bCs/>
          <w:color w:val="000000"/>
          <w:sz w:val="24"/>
          <w:shd w:val="clear" w:color="ffffff" w:fill="d9d9d9"/>
        </w:rPr>
      </w:pPr>
      <w:r>
        <w:rPr>
          <w:rFonts w:hint="eastAsia" w:ascii="宋体" w:hAnsi="宋体"/>
          <w:bCs/>
          <w:color w:val="000000"/>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在评标现场</w:t>
      </w:r>
      <w:r>
        <w:rPr>
          <w:rFonts w:hint="eastAsia" w:ascii="宋体" w:hAnsi="宋体"/>
          <w:color w:val="000000"/>
          <w:sz w:val="24"/>
          <w:szCs w:val="24"/>
        </w:rPr>
        <w:t xml:space="preserve">）</w:t>
      </w:r>
      <w:r>
        <w:rPr>
          <w:rFonts w:hint="eastAsia" w:ascii="宋体" w:hAnsi="宋体"/>
          <w:color w:val="000000"/>
          <w:sz w:val="24"/>
          <w:szCs w:val="24"/>
        </w:rPr>
        <w:t xml:space="preserve">在给定的</w:t>
      </w:r>
      <w:r>
        <w:rPr>
          <w:rFonts w:hint="eastAsia" w:ascii="宋体" w:hAnsi="宋体"/>
          <w:bCs/>
          <w:color w:val="000000"/>
          <w:sz w:val="24"/>
          <w:szCs w:val="24"/>
        </w:rPr>
        <w:t xml:space="preserve">合理时间内提供说明（必要时评标委员会可要求投标人提交相关证明材料）证明其报价合理性的</w:t>
      </w:r>
      <w:r>
        <w:rPr>
          <w:rFonts w:hint="eastAsia" w:ascii="宋体" w:hAnsi="宋体"/>
          <w:bCs/>
          <w:color w:val="000000"/>
          <w:sz w:val="24"/>
        </w:rPr>
        <w:t xml:space="preserve">，评标委员会应当将其作为无效投标处理。</w:t>
      </w:r>
      <w:r>
        <w:rPr>
          <w:rFonts w:hint="eastAsia" w:ascii="宋体" w:hAnsi="宋体"/>
          <w:bCs/>
          <w:color w:val="000000"/>
          <w:sz w:val="24"/>
          <w:shd w:val="clear" w:color="ffffff" w:fill="d9d9d9"/>
        </w:rPr>
      </w:r>
      <w:r/>
    </w:p>
    <w:p>
      <w:pPr>
        <w:pStyle w:val="734"/>
        <w:ind w:firstLine="480"/>
        <w:spacing w:line="500" w:lineRule="exact"/>
        <w:rPr>
          <w:rFonts w:hint="eastAsia" w:ascii="宋体" w:hAnsi="宋体"/>
          <w:bCs/>
          <w:color w:val="000000"/>
          <w:sz w:val="24"/>
        </w:rPr>
      </w:pPr>
      <w:r>
        <w:rPr>
          <w:rFonts w:hint="eastAsia" w:ascii="宋体" w:hAnsi="宋体"/>
          <w:bCs/>
          <w:color w:val="000000"/>
          <w:sz w:val="24"/>
          <w:szCs w:val="24"/>
        </w:rPr>
        <w:t xml:space="preserve">26.1.23投标文件内容不全或不符合招标文件中规定的</w:t>
      </w:r>
      <w:r>
        <w:rPr>
          <w:rFonts w:hint="eastAsia" w:ascii="宋体" w:hAnsi="宋体"/>
          <w:bCs/>
          <w:color w:val="000000"/>
          <w:sz w:val="24"/>
          <w:szCs w:val="24"/>
        </w:rPr>
        <w:t xml:space="preserve">其他实质性</w:t>
      </w:r>
      <w:r>
        <w:rPr>
          <w:rFonts w:hint="eastAsia" w:ascii="宋体" w:hAnsi="宋体"/>
          <w:bCs/>
          <w:color w:val="000000"/>
          <w:sz w:val="24"/>
          <w:szCs w:val="24"/>
        </w:rPr>
        <w:t xml:space="preserve">要求和条件的</w:t>
      </w:r>
      <w:r>
        <w:rPr>
          <w:rFonts w:hint="eastAsia" w:ascii="宋体" w:hAnsi="宋体"/>
          <w:bCs/>
          <w:color w:val="000000"/>
          <w:sz w:val="24"/>
        </w:rPr>
      </w:r>
      <w:r/>
    </w:p>
    <w:p>
      <w:pPr>
        <w:pStyle w:val="734"/>
        <w:ind w:firstLine="480"/>
        <w:spacing w:line="500" w:lineRule="exact"/>
        <w:rPr>
          <w:rFonts w:hint="eastAsia" w:ascii="宋体" w:hAnsi="宋体"/>
          <w:bCs/>
          <w:color w:val="000000"/>
          <w:sz w:val="24"/>
        </w:rPr>
      </w:pPr>
      <w:r>
        <w:rPr>
          <w:rFonts w:hint="eastAsia" w:ascii="宋体" w:hAnsi="宋体"/>
          <w:bCs/>
          <w:color w:val="000000"/>
          <w:sz w:val="24"/>
        </w:rPr>
        <w:t xml:space="preserve">26.1.24其他法律、法规及本招标文件规定的属无效投标的情形。</w:t>
      </w:r>
      <w:r/>
    </w:p>
    <w:p>
      <w:pPr>
        <w:pStyle w:val="734"/>
        <w:ind w:left="479"/>
        <w:spacing w:line="500" w:lineRule="exact"/>
        <w:rPr>
          <w:rFonts w:hint="eastAsia" w:ascii="宋体" w:hAnsi="宋体"/>
          <w:bCs/>
          <w:color w:val="000000"/>
          <w:sz w:val="24"/>
        </w:rPr>
      </w:pPr>
      <w:r>
        <w:rPr>
          <w:rFonts w:hint="eastAsia" w:ascii="宋体" w:hAnsi="宋体"/>
          <w:bCs/>
          <w:color w:val="000000"/>
          <w:sz w:val="24"/>
        </w:rPr>
        <w:t xml:space="preserve">26.2废标条款</w:t>
      </w:r>
      <w:r/>
    </w:p>
    <w:p>
      <w:pPr>
        <w:pStyle w:val="734"/>
        <w:ind w:left="479"/>
        <w:spacing w:line="500" w:lineRule="exact"/>
        <w:rPr>
          <w:rFonts w:hint="eastAsia" w:ascii="宋体" w:hAnsi="宋体"/>
          <w:bCs/>
          <w:color w:val="000000"/>
          <w:sz w:val="24"/>
        </w:rPr>
      </w:pPr>
      <w:r>
        <w:rPr>
          <w:rFonts w:hint="eastAsia" w:ascii="宋体" w:hAnsi="宋体"/>
          <w:bCs/>
          <w:color w:val="000000"/>
          <w:sz w:val="24"/>
        </w:rPr>
        <w:t xml:space="preserve">26.2.1符合专业条件的供应商或者对招标文件作实质响应的供应商不足三家的。26.2.2出现影响采购公正的违法、违规行为的。</w:t>
      </w:r>
      <w:r/>
    </w:p>
    <w:p>
      <w:pPr>
        <w:pStyle w:val="734"/>
        <w:ind w:left="479"/>
        <w:spacing w:line="500" w:lineRule="exact"/>
        <w:rPr>
          <w:rFonts w:hint="eastAsia" w:ascii="宋体" w:hAnsi="宋体"/>
          <w:bCs/>
          <w:color w:val="000000"/>
          <w:sz w:val="24"/>
        </w:rPr>
      </w:pPr>
      <w:r>
        <w:rPr>
          <w:rFonts w:hint="eastAsia" w:ascii="宋体" w:hAnsi="宋体"/>
          <w:bCs/>
          <w:color w:val="000000"/>
          <w:sz w:val="24"/>
        </w:rPr>
        <w:t xml:space="preserve">26.2.3因重大变故，采购任务取消的。</w:t>
      </w:r>
      <w:r/>
    </w:p>
    <w:p>
      <w:pPr>
        <w:pStyle w:val="734"/>
        <w:ind w:left="479"/>
        <w:spacing w:line="50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rPr>
          <w:rFonts w:ascii="宋体" w:hAnsi="宋体"/>
          <w:bCs/>
          <w:color w:val="000000"/>
          <w:sz w:val="24"/>
        </w:rPr>
      </w:r>
      <w:r/>
    </w:p>
    <w:p>
      <w:pPr>
        <w:pStyle w:val="734"/>
        <w:ind w:left="479"/>
        <w:spacing w:line="500" w:lineRule="exact"/>
        <w:rPr>
          <w:rFonts w:hint="eastAsia" w:ascii="宋体" w:hAnsi="宋体"/>
          <w:bCs/>
          <w:color w:val="000000"/>
          <w:sz w:val="24"/>
        </w:rPr>
      </w:pPr>
      <w:r>
        <w:rPr>
          <w:rFonts w:hint="eastAsia" w:ascii="宋体" w:hAnsi="宋体"/>
          <w:bCs/>
          <w:color w:val="000000"/>
          <w:sz w:val="24"/>
        </w:rPr>
        <w:t xml:space="preserve">26.2.5 因</w:t>
      </w:r>
      <w:r>
        <w:rPr>
          <w:rFonts w:hint="eastAsia" w:ascii="宋体" w:hAnsi="宋体"/>
          <w:bCs/>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p>
    <w:p>
      <w:pPr>
        <w:pStyle w:val="734"/>
        <w:ind w:left="479"/>
        <w:spacing w:line="500" w:lineRule="exact"/>
        <w:rPr>
          <w:rFonts w:hint="eastAsia" w:ascii="宋体" w:hAnsi="宋体"/>
          <w:bCs/>
          <w:color w:val="000000"/>
          <w:sz w:val="24"/>
        </w:rPr>
      </w:pPr>
      <w:r>
        <w:rPr>
          <w:rFonts w:hint="eastAsia" w:ascii="宋体" w:hAnsi="宋体"/>
          <w:bCs/>
          <w:color w:val="000000"/>
          <w:sz w:val="24"/>
          <w:szCs w:val="24"/>
        </w:rPr>
        <w:t xml:space="preserve">26.2.6投标人的报价均超过采购预算，采购人不能支付的。</w:t>
      </w:r>
      <w:r>
        <w:rPr>
          <w:rFonts w:hint="eastAsia" w:ascii="宋体" w:hAnsi="宋体"/>
          <w:bCs/>
          <w:color w:val="000000"/>
          <w:sz w:val="24"/>
        </w:rPr>
      </w:r>
      <w:r/>
    </w:p>
    <w:p>
      <w:pPr>
        <w:pStyle w:val="734"/>
        <w:ind w:left="479"/>
        <w:spacing w:line="500" w:lineRule="exact"/>
        <w:rPr>
          <w:rFonts w:hint="eastAsia" w:ascii="宋体" w:hAnsi="宋体"/>
          <w:bCs/>
          <w:color w:val="000000"/>
          <w:sz w:val="24"/>
        </w:rPr>
      </w:pPr>
      <w:r>
        <w:rPr>
          <w:rFonts w:hint="eastAsia" w:ascii="宋体" w:hAnsi="宋体"/>
          <w:bCs/>
          <w:color w:val="000000"/>
          <w:sz w:val="24"/>
        </w:rPr>
        <w:t xml:space="preserve">26.3 投标截止时间结束后参加投标的供应商不足三家的处理：</w:t>
      </w:r>
      <w:r/>
    </w:p>
    <w:p>
      <w:pPr>
        <w:pStyle w:val="734"/>
        <w:ind w:firstLine="480"/>
        <w:spacing w:line="500" w:lineRule="exact"/>
        <w:rPr>
          <w:rFonts w:hint="eastAsia"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p>
    <w:p>
      <w:pPr>
        <w:pStyle w:val="737"/>
        <w:ind w:firstLine="452"/>
        <w:keepLines w:val="0"/>
        <w:keepNext w:val="0"/>
        <w:spacing w:before="0" w:after="0" w:line="500" w:lineRule="exact"/>
        <w:rPr>
          <w:rFonts w:hint="eastAsia"/>
          <w:color w:val="000000"/>
          <w:sz w:val="30"/>
          <w:szCs w:val="30"/>
        </w:rPr>
      </w:pPr>
      <w:r/>
      <w:bookmarkStart w:id="164" w:name="_Toc120614219"/>
      <w:r>
        <w:rPr>
          <w:rFonts w:hint="eastAsia"/>
          <w:color w:val="000000"/>
          <w:sz w:val="30"/>
          <w:szCs w:val="30"/>
        </w:rPr>
        <w:t xml:space="preserve">六、</w:t>
      </w:r>
      <w:bookmarkEnd w:id="161"/>
      <w:r/>
      <w:bookmarkEnd w:id="162"/>
      <w:r/>
      <w:bookmarkEnd w:id="163"/>
      <w:r>
        <w:rPr>
          <w:rFonts w:hint="eastAsia"/>
          <w:color w:val="000000"/>
          <w:sz w:val="30"/>
          <w:szCs w:val="30"/>
        </w:rPr>
        <w:t xml:space="preserve">定标</w:t>
      </w:r>
      <w:bookmarkEnd w:id="164"/>
      <w:r>
        <w:rPr>
          <w:rFonts w:hint="eastAsia"/>
          <w:color w:val="000000"/>
          <w:sz w:val="30"/>
          <w:szCs w:val="30"/>
        </w:rPr>
      </w:r>
      <w:r/>
    </w:p>
    <w:p>
      <w:pPr>
        <w:pStyle w:val="738"/>
        <w:ind w:firstLine="422"/>
        <w:keepLines w:val="0"/>
        <w:keepNext w:val="0"/>
        <w:spacing w:before="0" w:after="0" w:line="500" w:lineRule="exact"/>
        <w:rPr>
          <w:rFonts w:hint="eastAsia" w:ascii="宋体" w:hAnsi="宋体" w:eastAsia="宋体"/>
          <w:bCs w:val="0"/>
          <w:color w:val="000000"/>
        </w:rPr>
      </w:pPr>
      <w:r/>
      <w:bookmarkStart w:id="165" w:name="_Toc513029238"/>
      <w:r/>
      <w:bookmarkStart w:id="166" w:name="_Toc20823310"/>
      <w:r/>
      <w:bookmarkStart w:id="167" w:name="_Toc16938554"/>
      <w:r>
        <w:rPr>
          <w:rFonts w:hint="eastAsia" w:ascii="宋体" w:hAnsi="宋体" w:eastAsia="宋体"/>
          <w:bCs w:val="0"/>
          <w:color w:val="000000"/>
        </w:rPr>
        <w:t xml:space="preserve">27</w:t>
      </w:r>
      <w:bookmarkEnd w:id="165"/>
      <w:r>
        <w:rPr>
          <w:rFonts w:hint="eastAsia" w:ascii="宋体" w:hAnsi="宋体" w:eastAsia="宋体"/>
          <w:bCs w:val="0"/>
          <w:color w:val="000000"/>
          <w:lang w:eastAsia="zh-CN"/>
        </w:rPr>
        <w:t xml:space="preserve">.</w:t>
      </w:r>
      <w:r>
        <w:rPr>
          <w:rFonts w:hint="eastAsia" w:ascii="宋体" w:hAnsi="宋体" w:eastAsia="宋体"/>
          <w:bCs w:val="0"/>
          <w:color w:val="000000"/>
        </w:rPr>
        <w:t xml:space="preserve">确定</w:t>
      </w:r>
      <w:bookmarkEnd w:id="166"/>
      <w:r/>
      <w:bookmarkEnd w:id="167"/>
      <w:r>
        <w:rPr>
          <w:rFonts w:hint="eastAsia" w:ascii="宋体" w:hAnsi="宋体" w:eastAsia="宋体"/>
          <w:bCs w:val="0"/>
          <w:color w:val="000000"/>
        </w:rPr>
        <w:t xml:space="preserve">中标单位</w:t>
      </w:r>
      <w:r/>
    </w:p>
    <w:p>
      <w:pPr>
        <w:pStyle w:val="734"/>
        <w:ind w:firstLine="480"/>
        <w:spacing w:line="500" w:lineRule="exact"/>
        <w:rPr>
          <w:rFonts w:hint="eastAsia" w:ascii="宋体" w:hAnsi="宋体"/>
          <w:bCs/>
          <w:color w:val="000000"/>
          <w:sz w:val="24"/>
        </w:rPr>
      </w:pPr>
      <w:r>
        <w:rPr>
          <w:rFonts w:hint="eastAsia" w:ascii="宋体" w:hAnsi="宋体"/>
          <w:bCs/>
          <w:color w:val="000000"/>
          <w:sz w:val="24"/>
        </w:rPr>
        <w:t xml:space="preserve">27.1评标委员会根据招标文件规定的评标方法和评标标准进行评审，按招标文件的要求依法选取中标候选人，中标候选人的选取原则和数量见招标文件第五章规定。</w:t>
      </w:r>
      <w:r/>
    </w:p>
    <w:p>
      <w:pPr>
        <w:pStyle w:val="734"/>
        <w:ind w:firstLine="480"/>
        <w:spacing w:line="500" w:lineRule="exact"/>
        <w:rPr>
          <w:rFonts w:hint="eastAsia" w:ascii="宋体" w:hAnsi="宋体"/>
          <w:bCs/>
          <w:color w:val="000000"/>
          <w:sz w:val="24"/>
        </w:rPr>
      </w:pPr>
      <w:r>
        <w:rPr>
          <w:rFonts w:hint="eastAsia" w:ascii="宋体" w:hAnsi="宋体"/>
          <w:bCs/>
          <w:color w:val="000000"/>
          <w:sz w:val="24"/>
        </w:rPr>
        <w:t xml:space="preserve">27.2采购人应根据评委会推荐的中标候选人</w:t>
      </w:r>
      <w:r>
        <w:rPr>
          <w:rFonts w:hint="eastAsia" w:ascii="宋体" w:hAnsi="宋体"/>
          <w:bCs/>
          <w:color w:val="000000"/>
          <w:sz w:val="24"/>
        </w:rPr>
        <w:t xml:space="preserve">名单中按</w:t>
      </w:r>
      <w:r>
        <w:rPr>
          <w:rFonts w:hint="eastAsia" w:ascii="宋体" w:hAnsi="宋体"/>
          <w:bCs/>
          <w:color w:val="000000"/>
          <w:sz w:val="24"/>
        </w:rPr>
        <w:t xml:space="preserve">排名先后</w:t>
      </w:r>
      <w:r>
        <w:rPr>
          <w:rFonts w:hint="eastAsia" w:ascii="宋体" w:hAnsi="宋体"/>
          <w:bCs/>
          <w:color w:val="000000"/>
          <w:sz w:val="24"/>
        </w:rPr>
        <w:t xml:space="preserve">顺序</w:t>
      </w:r>
      <w:r>
        <w:rPr>
          <w:rFonts w:hint="eastAsia" w:ascii="宋体" w:hAnsi="宋体"/>
          <w:bCs/>
          <w:color w:val="000000"/>
          <w:sz w:val="24"/>
        </w:rPr>
        <w:t xml:space="preserve">确定一个投标人</w:t>
      </w:r>
      <w:r>
        <w:rPr>
          <w:rFonts w:hint="eastAsia" w:ascii="宋体" w:hAnsi="宋体"/>
          <w:bCs/>
          <w:color w:val="000000"/>
          <w:sz w:val="24"/>
        </w:rPr>
        <w:t xml:space="preserve">为</w:t>
      </w:r>
      <w:r>
        <w:rPr>
          <w:rFonts w:hint="eastAsia" w:ascii="宋体" w:hAnsi="宋体"/>
          <w:bCs/>
          <w:color w:val="000000"/>
          <w:sz w:val="24"/>
        </w:rPr>
        <w:t xml:space="preserve">中标</w:t>
      </w:r>
      <w:r>
        <w:rPr>
          <w:rFonts w:hint="eastAsia" w:ascii="宋体" w:hAnsi="宋体"/>
          <w:bCs/>
          <w:color w:val="000000"/>
          <w:sz w:val="24"/>
        </w:rPr>
        <w:t xml:space="preserve">单位</w:t>
      </w:r>
      <w:r>
        <w:rPr>
          <w:rFonts w:hint="eastAsia" w:ascii="宋体" w:hAnsi="宋体"/>
          <w:bCs/>
          <w:color w:val="000000"/>
          <w:sz w:val="24"/>
        </w:rPr>
        <w:t xml:space="preserve">。联合体中标的，联合体各方应当共同与采购人签订合同，就中标项目向采购人承担连带责任。</w:t>
      </w:r>
      <w:r/>
    </w:p>
    <w:p>
      <w:pPr>
        <w:pStyle w:val="734"/>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交易中心将在“无锡政府采购网”“江苏政府采购网”发布中标公告，公告期限为1个工作日。</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27.4中标无效的确认</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pStyle w:val="734"/>
        <w:ind w:firstLine="480"/>
        <w:spacing w:line="500" w:lineRule="exact"/>
        <w:rPr>
          <w:rFonts w:hint="eastAsia" w:ascii="宋体" w:hAnsi="宋体"/>
          <w:color w:val="000000"/>
          <w:sz w:val="24"/>
          <w:szCs w:val="24"/>
        </w:rPr>
      </w:pPr>
      <w:r/>
      <w:bookmarkStart w:id="168"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rPr>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rPr>
          <w:rFonts w:hint="eastAsia" w:ascii="宋体" w:hAnsi="宋体"/>
          <w:color w:val="000000"/>
          <w:sz w:val="24"/>
          <w:szCs w:val="24"/>
        </w:rPr>
      </w:r>
      <w:r/>
    </w:p>
    <w:p>
      <w:pPr>
        <w:pStyle w:val="734"/>
        <w:ind w:firstLine="480"/>
        <w:spacing w:line="500" w:lineRule="exact"/>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734"/>
        <w:ind w:firstLine="480"/>
        <w:spacing w:line="5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734"/>
        <w:ind w:firstLine="480"/>
        <w:spacing w:line="5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734"/>
        <w:ind w:firstLine="480"/>
        <w:spacing w:line="5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734"/>
        <w:ind w:firstLine="480"/>
        <w:spacing w:line="5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738"/>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28.质疑处理</w:t>
      </w:r>
      <w:bookmarkEnd w:id="168"/>
      <w:r>
        <w:rPr>
          <w:rFonts w:hint="eastAsia" w:ascii="宋体" w:hAnsi="宋体" w:eastAsia="宋体"/>
          <w:bCs w:val="0"/>
          <w:color w:val="000000"/>
        </w:rPr>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t xml:space="preserve">供应商</w:t>
      </w:r>
      <w:r>
        <w:rPr>
          <w:rFonts w:hint="eastAsia" w:ascii="宋体" w:hAnsi="宋体"/>
          <w:color w:val="000000"/>
          <w:sz w:val="24"/>
          <w:szCs w:val="24"/>
        </w:rPr>
        <w:t xml:space="preserve">针对采购文件</w:t>
      </w:r>
      <w:r>
        <w:rPr>
          <w:rFonts w:hint="eastAsia" w:ascii="宋体" w:hAnsi="宋体"/>
          <w:color w:val="000000"/>
          <w:sz w:val="24"/>
          <w:szCs w:val="24"/>
        </w:rPr>
        <w:t xml:space="preserve">提出书面质疑的，须同时</w:t>
      </w:r>
      <w:r>
        <w:rPr>
          <w:rFonts w:hint="eastAsia" w:ascii="宋体" w:hAnsi="宋体"/>
          <w:color w:val="000000"/>
          <w:sz w:val="24"/>
          <w:szCs w:val="24"/>
        </w:rPr>
        <w:t xml:space="preserve">提供</w:t>
      </w:r>
      <w:r>
        <w:rPr>
          <w:rFonts w:hint="eastAsia" w:ascii="宋体" w:hAnsi="宋体"/>
          <w:color w:val="000000"/>
          <w:sz w:val="24"/>
          <w:szCs w:val="24"/>
        </w:rPr>
        <w:t xml:space="preserve">对可质疑的采购文件已进行依法获取的证明，</w:t>
      </w:r>
      <w:r>
        <w:rPr>
          <w:rFonts w:hint="eastAsia" w:ascii="宋体" w:hAnsi="宋体"/>
          <w:color w:val="000000"/>
          <w:sz w:val="24"/>
          <w:szCs w:val="24"/>
        </w:rPr>
        <w:t xml:space="preserve">且</w:t>
      </w:r>
      <w:r>
        <w:rPr>
          <w:rFonts w:hint="eastAsia" w:ascii="宋体" w:hAnsi="宋体"/>
          <w:color w:val="000000"/>
          <w:sz w:val="24"/>
          <w:szCs w:val="24"/>
        </w:rPr>
        <w:t xml:space="preserve">采购人或交易中心有权向“苏采云”系统平台方进行核实。供应商对可质疑的采购文件已进行依法获取的证明是指：本项目的</w:t>
      </w:r>
      <w:r>
        <w:rPr>
          <w:rFonts w:hint="eastAsia" w:ascii="宋体" w:hAnsi="宋体"/>
          <w:color w:val="000000"/>
          <w:sz w:val="24"/>
          <w:szCs w:val="24"/>
        </w:rPr>
        <w:t xml:space="preserve">《投标供应商确认函》</w:t>
      </w:r>
      <w:r>
        <w:rPr>
          <w:rFonts w:hint="eastAsia" w:ascii="宋体" w:hAnsi="宋体"/>
          <w:color w:val="000000"/>
          <w:sz w:val="24"/>
          <w:szCs w:val="24"/>
        </w:rPr>
        <w:t xml:space="preserve">和已在“苏采云”系统中对本项目采购文件进行有效获取的</w:t>
      </w:r>
      <w:r>
        <w:rPr>
          <w:rFonts w:hint="eastAsia" w:ascii="宋体" w:hAnsi="宋体"/>
          <w:color w:val="000000"/>
          <w:sz w:val="24"/>
          <w:szCs w:val="24"/>
        </w:rPr>
        <w:t xml:space="preserve">界面</w:t>
      </w:r>
      <w:r>
        <w:rPr>
          <w:rFonts w:hint="eastAsia" w:ascii="宋体" w:hAnsi="宋体"/>
          <w:color w:val="000000"/>
          <w:sz w:val="24"/>
          <w:szCs w:val="24"/>
        </w:rPr>
        <w:t xml:space="preserve">截图（</w:t>
      </w:r>
      <w:r>
        <w:rPr>
          <w:rFonts w:hint="eastAsia" w:ascii="宋体" w:hAnsi="宋体"/>
          <w:color w:val="000000"/>
          <w:sz w:val="24"/>
          <w:szCs w:val="24"/>
        </w:rPr>
        <w:t xml:space="preserve">截图上显示供应商名称以及</w:t>
      </w:r>
      <w:r>
        <w:rPr>
          <w:rFonts w:hint="eastAsia" w:ascii="宋体" w:hAnsi="宋体"/>
          <w:color w:val="000000"/>
          <w:sz w:val="24"/>
          <w:szCs w:val="24"/>
        </w:rPr>
        <w:t xml:space="preserve">在供应商的</w:t>
      </w:r>
      <w:r>
        <w:rPr>
          <w:rFonts w:hint="eastAsia" w:ascii="宋体" w:hAnsi="宋体"/>
          <w:color w:val="000000"/>
          <w:sz w:val="24"/>
          <w:szCs w:val="24"/>
        </w:rPr>
        <w:t xml:space="preserve">界面操作</w:t>
      </w:r>
      <w:r>
        <w:rPr>
          <w:rFonts w:hint="eastAsia" w:ascii="宋体" w:hAnsi="宋体"/>
          <w:color w:val="000000"/>
          <w:sz w:val="24"/>
          <w:szCs w:val="24"/>
        </w:rPr>
        <w:t xml:space="preserve">一栏处</w:t>
      </w:r>
      <w:r>
        <w:rPr>
          <w:rFonts w:hint="eastAsia" w:ascii="宋体" w:hAnsi="宋体"/>
          <w:color w:val="000000"/>
          <w:sz w:val="24"/>
          <w:szCs w:val="24"/>
        </w:rPr>
        <w:t xml:space="preserve">能够显示“上传文件”按钮的，代表该供应商在</w:t>
      </w:r>
      <w:r>
        <w:rPr>
          <w:rFonts w:hint="eastAsia" w:ascii="宋体" w:hAnsi="宋体"/>
          <w:color w:val="000000"/>
          <w:sz w:val="24"/>
          <w:szCs w:val="24"/>
        </w:rPr>
        <w:t xml:space="preserve">本文件</w:t>
      </w:r>
      <w:r>
        <w:rPr>
          <w:rFonts w:hint="eastAsia" w:ascii="宋体" w:hAnsi="宋体"/>
          <w:color w:val="000000"/>
          <w:sz w:val="24"/>
          <w:szCs w:val="24"/>
        </w:rPr>
        <w:t xml:space="preserve">有效获取期限内已从“苏采云”系统</w:t>
      </w:r>
      <w:r>
        <w:rPr>
          <w:rFonts w:hint="eastAsia" w:ascii="宋体" w:hAnsi="宋体"/>
          <w:color w:val="000000"/>
          <w:sz w:val="24"/>
          <w:szCs w:val="24"/>
        </w:rPr>
        <w:t xml:space="preserve">中</w:t>
      </w:r>
      <w:r>
        <w:rPr>
          <w:rFonts w:hint="eastAsia" w:ascii="宋体" w:hAnsi="宋体"/>
          <w:color w:val="000000"/>
          <w:sz w:val="24"/>
          <w:szCs w:val="24"/>
        </w:rPr>
        <w:t xml:space="preserve">进行了获取）</w:t>
      </w:r>
      <w:r>
        <w:rPr>
          <w:rFonts w:hint="eastAsia" w:ascii="宋体" w:hAnsi="宋体"/>
          <w:color w:val="000000"/>
          <w:sz w:val="24"/>
          <w:szCs w:val="24"/>
        </w:rPr>
        <w:t xml:space="preserve">。</w:t>
      </w:r>
      <w:r>
        <w:rPr>
          <w:rFonts w:hint="eastAsia" w:ascii="宋体" w:hAnsi="宋体"/>
          <w:color w:val="000000"/>
          <w:sz w:val="24"/>
          <w:szCs w:val="24"/>
        </w:rPr>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28.2.1</w:t>
      </w:r>
      <w:r>
        <w:rPr>
          <w:rFonts w:ascii="宋体" w:hAnsi="宋体"/>
          <w:color w:val="000000"/>
          <w:sz w:val="24"/>
          <w:szCs w:val="24"/>
        </w:rPr>
        <w:t xml:space="preserve">对可以质疑的采购文件提出质疑的，为收到采购文件之日或者采购文件公告期限届满之日；</w:t>
      </w:r>
      <w:r>
        <w:rPr>
          <w:rFonts w:hint="eastAsia" w:ascii="宋体" w:hAnsi="宋体"/>
          <w:color w:val="000000"/>
          <w:sz w:val="24"/>
          <w:szCs w:val="24"/>
        </w:rPr>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28.2.2</w:t>
      </w:r>
      <w:r>
        <w:rPr>
          <w:rFonts w:ascii="宋体" w:hAnsi="宋体"/>
          <w:color w:val="000000"/>
          <w:sz w:val="24"/>
          <w:szCs w:val="24"/>
        </w:rPr>
        <w:t xml:space="preserve">对采购过程提出质疑的，为各采购程序环节结束之日；</w:t>
      </w:r>
      <w:r>
        <w:rPr>
          <w:rFonts w:hint="eastAsia" w:ascii="宋体" w:hAnsi="宋体"/>
          <w:color w:val="000000"/>
          <w:sz w:val="24"/>
          <w:szCs w:val="24"/>
        </w:rPr>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28.2.3</w:t>
      </w:r>
      <w:r>
        <w:rPr>
          <w:rFonts w:ascii="宋体" w:hAnsi="宋体"/>
          <w:color w:val="000000"/>
          <w:sz w:val="24"/>
          <w:szCs w:val="24"/>
        </w:rPr>
        <w:t xml:space="preserve">对中标或者成交结果提出质疑的，为中标或者成交结果公告期限届满之日。</w:t>
      </w:r>
      <w:r>
        <w:rPr>
          <w:rFonts w:hint="eastAsia" w:ascii="宋体" w:hAnsi="宋体"/>
          <w:color w:val="000000"/>
          <w:sz w:val="24"/>
          <w:szCs w:val="24"/>
        </w:rPr>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rPr>
        <w:t xml:space="preserve">采购人</w:t>
      </w:r>
      <w:r>
        <w:rPr>
          <w:rFonts w:hint="eastAsia" w:ascii="宋体" w:hAnsi="宋体"/>
          <w:color w:val="000000"/>
          <w:sz w:val="24"/>
          <w:szCs w:val="24"/>
        </w:rPr>
        <w:t xml:space="preserve">将只对供应商第一次质疑作出答复。</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28.3</w:t>
      </w:r>
      <w:r>
        <w:rPr>
          <w:rFonts w:hint="eastAsia" w:ascii="宋体"/>
          <w:bCs/>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rPr>
        <w:t xml:space="preserve">供应商如组成联合体参加投标，则《质疑函范本》中要求签字、盖章、加盖公章之处，联合体各方均须按要求签字、盖章、加盖公章。</w:t>
      </w:r>
      <w:r/>
    </w:p>
    <w:p>
      <w:pPr>
        <w:pStyle w:val="734"/>
        <w:ind w:firstLine="480"/>
        <w:spacing w:line="500" w:lineRule="exact"/>
        <w:rPr>
          <w:rFonts w:hint="eastAsia" w:ascii="宋体" w:hAnsi="宋体"/>
          <w:color w:val="000000"/>
          <w:sz w:val="24"/>
          <w:szCs w:val="24"/>
          <w:shd w:val="clear" w:color="ffffff" w:fill="d9d9d9"/>
        </w:rPr>
      </w:pPr>
      <w:r>
        <w:rPr>
          <w:rFonts w:hint="eastAsia" w:ascii="宋体" w:hAnsi="宋体"/>
          <w:color w:val="000000"/>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sz w:val="24"/>
          <w:szCs w:val="24"/>
          <w:shd w:val="clear" w:color="ffffff" w:fill="d9d9d9"/>
        </w:rPr>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采购人、交易中心只接收以纸质原件形式送达的质疑,质疑供应商可通过面交或邮寄方式送达（采购人和交易中心不接受未填写快递运单的快件）。</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采购人、交易中心联系人、联系方式、通信地址见招标文件第一章。</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 以下情形的质疑不予受理</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28.5.2 超出政府采购法定期限的质疑。</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28.5.3 以传真、电子邮件等方式递交的非原件形式的质疑。</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28.5.4未参加投标活动的供应商或在投标活动中自身权益未受到损害的供应商所提出的质疑。</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p>
    <w:p>
      <w:pPr>
        <w:pStyle w:val="734"/>
        <w:ind w:firstLine="468"/>
        <w:spacing w:line="500" w:lineRule="exact"/>
        <w:rPr>
          <w:rFonts w:hint="eastAsia" w:ascii="宋体" w:hAnsi="宋体"/>
          <w:color w:val="000000"/>
          <w:sz w:val="24"/>
          <w:szCs w:val="24"/>
        </w:rPr>
      </w:pPr>
      <w:r>
        <w:rPr>
          <w:rFonts w:hint="eastAsia" w:ascii="宋体" w:hAnsi="宋体"/>
          <w:color w:val="000000"/>
          <w:sz w:val="24"/>
          <w:szCs w:val="24"/>
        </w:rPr>
        <w:t xml:space="preserve">28.6供应商提出书面质疑必须有理、有据，</w:t>
      </w:r>
      <w:r>
        <w:rPr>
          <w:rFonts w:hint="eastAsia" w:ascii="宋体" w:hAnsi="宋体"/>
          <w:bCs/>
          <w:color w:val="000000"/>
          <w:sz w:val="24"/>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rPr>
        <w:t xml:space="preserve">一经查实，交易中心有权依据政府采购的有关规定，报请政府采购监管部门对该供应商进行相应的行政处罚和记录该供应商的失信信息。</w:t>
      </w:r>
      <w:r/>
    </w:p>
    <w:p>
      <w:pPr>
        <w:pStyle w:val="738"/>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29.中标通知书</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不再保证提供下载中标通知书服务,因未及时下载而造成的不利后果由中标人自行承担。</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37"/>
        <w:ind w:firstLine="452"/>
        <w:keepLines w:val="0"/>
        <w:keepNext w:val="0"/>
        <w:spacing w:before="0" w:after="0" w:line="500" w:lineRule="exact"/>
        <w:rPr>
          <w:rFonts w:hint="eastAsia"/>
          <w:color w:val="000000"/>
          <w:sz w:val="30"/>
          <w:szCs w:val="30"/>
        </w:rPr>
      </w:pPr>
      <w:r/>
      <w:bookmarkStart w:id="169" w:name="_Toc120614220"/>
      <w:r/>
      <w:bookmarkStart w:id="170" w:name="_Toc20823308"/>
      <w:r/>
      <w:bookmarkStart w:id="171" w:name="_Toc16938552"/>
      <w:r/>
      <w:bookmarkStart w:id="172" w:name="_Toc513029236"/>
      <w:r>
        <w:rPr>
          <w:rFonts w:hint="eastAsia"/>
          <w:color w:val="000000"/>
          <w:sz w:val="30"/>
          <w:szCs w:val="30"/>
        </w:rPr>
        <w:t xml:space="preserve">七、授予合同</w:t>
      </w:r>
      <w:bookmarkEnd w:id="169"/>
      <w:r>
        <w:rPr>
          <w:rFonts w:hint="eastAsia"/>
          <w:color w:val="000000"/>
          <w:sz w:val="30"/>
          <w:szCs w:val="30"/>
        </w:rPr>
      </w:r>
      <w:r/>
    </w:p>
    <w:p>
      <w:pPr>
        <w:pStyle w:val="738"/>
        <w:ind w:firstLine="422"/>
        <w:keepLines w:val="0"/>
        <w:keepNext w:val="0"/>
        <w:spacing w:before="0" w:after="0" w:line="500" w:lineRule="exact"/>
        <w:rPr>
          <w:rFonts w:hint="eastAsia" w:ascii="宋体" w:hAnsi="宋体" w:eastAsia="宋体"/>
          <w:bCs w:val="0"/>
          <w:color w:val="000000"/>
        </w:rPr>
      </w:pPr>
      <w:r/>
      <w:bookmarkEnd w:id="170"/>
      <w:r/>
      <w:bookmarkEnd w:id="171"/>
      <w:r/>
      <w:bookmarkEnd w:id="172"/>
      <w:r/>
      <w:bookmarkStart w:id="173" w:name="_Toc16938553"/>
      <w:r/>
      <w:bookmarkStart w:id="174" w:name="_Toc513029237"/>
      <w:r/>
      <w:bookmarkStart w:id="175" w:name="_Toc20823309"/>
      <w:r>
        <w:rPr>
          <w:rFonts w:hint="eastAsia" w:ascii="宋体" w:hAnsi="宋体" w:eastAsia="宋体"/>
          <w:bCs w:val="0"/>
          <w:color w:val="000000"/>
        </w:rPr>
        <w:t xml:space="preserve">30.签订合同</w:t>
      </w:r>
      <w:r/>
    </w:p>
    <w:p>
      <w:pPr>
        <w:pStyle w:val="734"/>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30.2中标人非因不可抗力未履行招、投标文件和合同规定的义务，一经查实，交易中心将根据具体情况提请政府采购管理部门作出相应处理。</w:t>
      </w:r>
      <w:r/>
    </w:p>
    <w:p>
      <w:pPr>
        <w:pStyle w:val="734"/>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sz w:val="24"/>
          <w:szCs w:val="24"/>
        </w:rPr>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738"/>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31.服务（包含与服务相关的货物）的追加</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49"/>
        <w:jc w:val="center"/>
        <w:spacing w:line="500" w:lineRule="exact"/>
        <w:rPr>
          <w:rFonts w:hint="eastAsia" w:ascii="黑体" w:eastAsia="黑体"/>
          <w:bCs/>
          <w:color w:val="000000"/>
          <w:sz w:val="36"/>
          <w:szCs w:val="36"/>
        </w:rPr>
      </w:pPr>
      <w:r/>
      <w:bookmarkEnd w:id="173"/>
      <w:r/>
      <w:bookmarkEnd w:id="174"/>
      <w:r/>
      <w:bookmarkEnd w:id="175"/>
      <w:r/>
      <w:bookmarkStart w:id="176" w:name="_Toc479757207"/>
      <w:r/>
      <w:bookmarkStart w:id="177" w:name="_Toc20823314"/>
      <w:r/>
      <w:bookmarkStart w:id="178" w:name="_Toc120614221"/>
      <w:r/>
      <w:bookmarkStart w:id="179" w:name="_Toc16938558"/>
      <w:r/>
      <w:bookmarkStart w:id="180" w:name="_Toc513029242"/>
      <w:r>
        <w:rPr>
          <w:rFonts w:ascii="宋体" w:hAnsi="宋体"/>
          <w:bCs/>
          <w:color w:val="000000"/>
          <w:sz w:val="24"/>
          <w:shd w:val="clear" w:color="ffffff" w:fill="d9d9d9"/>
        </w:rPr>
        <w:br w:type="page" w:clear="all"/>
      </w:r>
      <w:r>
        <w:rPr>
          <w:rFonts w:hint="eastAsia" w:ascii="黑体" w:eastAsia="黑体"/>
          <w:bCs/>
          <w:color w:val="000000"/>
          <w:sz w:val="36"/>
          <w:szCs w:val="36"/>
        </w:rPr>
        <w:t xml:space="preserve">第三章  合同</w:t>
      </w:r>
      <w:bookmarkEnd w:id="176"/>
      <w:r/>
      <w:bookmarkEnd w:id="177"/>
      <w:r/>
      <w:bookmarkEnd w:id="178"/>
      <w:r/>
      <w:bookmarkEnd w:id="179"/>
      <w:r/>
      <w:bookmarkEnd w:id="180"/>
      <w:r>
        <w:rPr>
          <w:rFonts w:hint="eastAsia" w:ascii="黑体" w:eastAsia="黑体"/>
          <w:bCs/>
          <w:color w:val="000000"/>
          <w:sz w:val="36"/>
          <w:szCs w:val="36"/>
        </w:rPr>
        <w:t xml:space="preserve">文本</w:t>
      </w:r>
      <w:r/>
    </w:p>
    <w:p>
      <w:pPr>
        <w:pStyle w:val="734"/>
        <w:ind w:firstLine="480"/>
        <w:spacing w:line="400" w:lineRule="exact"/>
        <w:rPr>
          <w:rFonts w:hint="eastAsia" w:ascii="宋体" w:hAnsi="宋体"/>
          <w:bCs/>
          <w:color w:val="000000"/>
          <w:sz w:val="24"/>
        </w:rPr>
      </w:pPr>
      <w:r/>
      <w:bookmarkStart w:id="181" w:name="_Toc20823315"/>
      <w:r/>
      <w:bookmarkStart w:id="182" w:name="_Toc16938559"/>
      <w:r/>
      <w:bookmarkStart w:id="183" w:name="_Toc513029243"/>
      <w:r>
        <w:rPr>
          <w:rFonts w:hint="eastAsia" w:ascii="宋体" w:hAnsi="宋体"/>
          <w:bCs/>
          <w:color w:val="000000"/>
          <w:sz w:val="24"/>
        </w:rPr>
        <w:t xml:space="preserve">以下为中标后</w:t>
      </w:r>
      <w:r>
        <w:rPr>
          <w:rFonts w:hint="eastAsia" w:ascii="宋体" w:hAnsi="宋体"/>
          <w:bCs/>
          <w:color w:val="000000"/>
          <w:sz w:val="24"/>
        </w:rPr>
        <w:t xml:space="preserve">签订</w:t>
      </w:r>
      <w:r>
        <w:rPr>
          <w:rFonts w:hint="eastAsia" w:ascii="宋体" w:hAnsi="宋体"/>
          <w:bCs/>
          <w:color w:val="000000"/>
          <w:sz w:val="24"/>
        </w:rPr>
        <w:t xml:space="preserve">本项目合同的通用条款，中标人不得提出实质性的修改。</w:t>
      </w:r>
      <w:r/>
    </w:p>
    <w:p>
      <w:pPr>
        <w:pStyle w:val="734"/>
        <w:jc w:val="center"/>
        <w:spacing w:line="400" w:lineRule="exact"/>
        <w:rPr>
          <w:rFonts w:ascii="宋体" w:hAnsi="宋体"/>
          <w:b/>
          <w:bCs/>
          <w:color w:val="000000"/>
          <w:sz w:val="30"/>
          <w:szCs w:val="20"/>
        </w:rPr>
      </w:pPr>
      <w:r>
        <w:rPr>
          <w:rFonts w:hint="eastAsia" w:ascii="宋体" w:hAnsi="宋体"/>
          <w:b/>
          <w:color w:val="000000"/>
          <w:sz w:val="30"/>
        </w:rPr>
        <w:t xml:space="preserve">江苏省政府采购合同（货物）（合同编号）</w:t>
      </w:r>
      <w:r>
        <w:rPr>
          <w:rFonts w:ascii="宋体" w:hAnsi="宋体"/>
          <w:b/>
          <w:bCs/>
          <w:color w:val="000000"/>
          <w:sz w:val="30"/>
          <w:szCs w:val="20"/>
        </w:rPr>
      </w:r>
      <w:r/>
    </w:p>
    <w:p>
      <w:pPr>
        <w:pStyle w:val="734"/>
        <w:spacing w:line="400" w:lineRule="exact"/>
        <w:rPr>
          <w:rFonts w:ascii="宋体" w:hAnsi="宋体" w:cs="Courier New"/>
          <w:color w:val="000000"/>
          <w:sz w:val="24"/>
          <w:szCs w:val="24"/>
        </w:rPr>
      </w:pPr>
      <w:r>
        <w:rPr>
          <w:rFonts w:ascii="宋体" w:hAnsi="宋体" w:cs="Courier New"/>
          <w:color w:val="000000"/>
          <w:sz w:val="24"/>
          <w:szCs w:val="24"/>
        </w:rPr>
        <w:t xml:space="preserve">项目名称：                                       项目编号：</w:t>
      </w:r>
      <w:r/>
    </w:p>
    <w:p>
      <w:pPr>
        <w:pStyle w:val="734"/>
        <w:spacing w:line="400" w:lineRule="exact"/>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t xml:space="preserve">、</w:t>
      </w:r>
      <w:r>
        <w:rPr>
          <w:rFonts w:ascii="宋体" w:hAnsi="宋体" w:cs="Courier New"/>
          <w:color w:val="000000"/>
          <w:sz w:val="24"/>
          <w:szCs w:val="24"/>
        </w:rPr>
        <w:t xml:space="preserve">需方、</w:t>
      </w:r>
      <w:r>
        <w:rPr>
          <w:rFonts w:ascii="宋体" w:hAnsi="宋体" w:cs="Courier New"/>
          <w:color w:val="000000"/>
          <w:sz w:val="24"/>
          <w:szCs w:val="24"/>
        </w:rPr>
        <w:t xml:space="preserve">采购人</w:t>
      </w:r>
      <w:r>
        <w:rPr>
          <w:rFonts w:ascii="宋体" w:hAnsi="宋体" w:cs="Courier New"/>
          <w:color w:val="000000"/>
          <w:sz w:val="24"/>
          <w:szCs w:val="24"/>
        </w:rPr>
        <w:t xml:space="preserve">）_________</w:t>
      </w:r>
      <w:r/>
    </w:p>
    <w:p>
      <w:pPr>
        <w:pStyle w:val="734"/>
        <w:spacing w:line="400" w:lineRule="exact"/>
        <w:rPr>
          <w:rFonts w:hint="eastAsia"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t xml:space="preserve">、</w:t>
      </w:r>
      <w:r>
        <w:rPr>
          <w:rFonts w:ascii="宋体" w:hAnsi="宋体" w:cs="Courier New"/>
          <w:color w:val="000000"/>
          <w:sz w:val="24"/>
          <w:szCs w:val="24"/>
        </w:rPr>
        <w:t xml:space="preserve">供方、</w:t>
      </w:r>
      <w:r>
        <w:rPr>
          <w:rFonts w:ascii="宋体" w:hAnsi="宋体" w:cs="Courier New"/>
          <w:color w:val="000000"/>
          <w:sz w:val="24"/>
          <w:szCs w:val="24"/>
        </w:rPr>
        <w:t xml:space="preserve">供应商</w:t>
      </w:r>
      <w:r>
        <w:rPr>
          <w:rFonts w:ascii="宋体" w:hAnsi="宋体" w:cs="Courier New"/>
          <w:color w:val="000000"/>
          <w:sz w:val="24"/>
          <w:szCs w:val="24"/>
        </w:rPr>
        <w:t xml:space="preserve">）_________</w:t>
      </w:r>
      <w:r>
        <w:rPr>
          <w:rFonts w:hint="eastAsia" w:ascii="宋体" w:hAnsi="宋体" w:cs="Courier New"/>
          <w:color w:val="000000"/>
          <w:sz w:val="24"/>
          <w:szCs w:val="24"/>
        </w:rPr>
      </w:r>
      <w:r/>
    </w:p>
    <w:p>
      <w:pPr>
        <w:pStyle w:val="734"/>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无锡市公共资源交易中心</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rPr>
          <w:rFonts w:ascii="宋体" w:hAnsi="宋体" w:cs="Courier New"/>
          <w:b/>
          <w:color w:val="000000"/>
          <w:sz w:val="24"/>
          <w:szCs w:val="24"/>
        </w:rPr>
      </w:r>
      <w:r/>
    </w:p>
    <w:p>
      <w:pPr>
        <w:pStyle w:val="734"/>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pStyle w:val="73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pStyle w:val="734"/>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p>
    <w:p>
      <w:pPr>
        <w:pStyle w:val="734"/>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p>
    <w:p>
      <w:pPr>
        <w:pStyle w:val="734"/>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p>
    <w:p>
      <w:pPr>
        <w:pStyle w:val="734"/>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1.5 履行地点：</w:t>
      </w:r>
      <w:r>
        <w:rPr>
          <w:rFonts w:ascii="宋体" w:hAnsi="宋体" w:cs="Courier New"/>
          <w:color w:val="000000"/>
          <w:sz w:val="24"/>
          <w:szCs w:val="24"/>
        </w:rPr>
      </w:r>
      <w:r/>
    </w:p>
    <w:p>
      <w:pPr>
        <w:pStyle w:val="734"/>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p>
    <w:p>
      <w:pPr>
        <w:pStyle w:val="734"/>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1.7 包装方式：</w:t>
      </w:r>
      <w:r>
        <w:rPr>
          <w:rFonts w:ascii="宋体" w:hAnsi="宋体" w:cs="Courier New"/>
          <w:color w:val="000000"/>
          <w:sz w:val="24"/>
          <w:szCs w:val="24"/>
        </w:rPr>
      </w:r>
      <w:r/>
    </w:p>
    <w:p>
      <w:pPr>
        <w:pStyle w:val="734"/>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二、合同金额</w:t>
      </w:r>
      <w:r/>
    </w:p>
    <w:p>
      <w:pPr>
        <w:pStyle w:val="73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2.1</w:t>
      </w:r>
      <w:r>
        <w:rPr>
          <w:rFonts w:hAnsi="宋体"/>
          <w:color w:val="000000"/>
          <w:sz w:val="24"/>
          <w:szCs w:val="24"/>
        </w:rPr>
        <w:t xml:space="preserve">本合同金额为（大写）： _____________</w:t>
      </w:r>
      <w:r>
        <w:rPr>
          <w:rFonts w:hint="eastAsia" w:hAnsi="宋体"/>
          <w:color w:val="000000"/>
          <w:sz w:val="24"/>
          <w:szCs w:val="24"/>
        </w:rPr>
        <w:t xml:space="preserve">圆</w:t>
      </w:r>
      <w:r>
        <w:rPr>
          <w:rFonts w:hAnsi="宋体"/>
          <w:color w:val="000000"/>
          <w:sz w:val="24"/>
          <w:szCs w:val="24"/>
        </w:rPr>
        <w:t xml:space="preserve">（______元）人民币</w:t>
      </w:r>
      <w:r>
        <w:rPr>
          <w:rFonts w:hint="eastAsia" w:hAnsi="宋体"/>
          <w:color w:val="000000"/>
          <w:sz w:val="24"/>
          <w:szCs w:val="24"/>
        </w:rPr>
        <w:t xml:space="preserve">或其他币种</w:t>
      </w:r>
      <w:r>
        <w:rPr>
          <w:rFonts w:hAnsi="宋体"/>
          <w:color w:val="000000"/>
          <w:sz w:val="24"/>
          <w:szCs w:val="24"/>
        </w:rPr>
        <w:t xml:space="preserve">。</w:t>
      </w:r>
      <w:r>
        <w:rPr>
          <w:rFonts w:ascii="宋体" w:hAnsi="宋体" w:cs="Courier New"/>
          <w:color w:val="000000"/>
          <w:sz w:val="24"/>
          <w:szCs w:val="24"/>
        </w:rPr>
      </w:r>
      <w:r/>
    </w:p>
    <w:p>
      <w:pPr>
        <w:pStyle w:val="734"/>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三、技术资料</w:t>
      </w:r>
      <w:r/>
    </w:p>
    <w:p>
      <w:pPr>
        <w:pStyle w:val="734"/>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的有关技术资料。</w:t>
      </w:r>
      <w:r>
        <w:rPr>
          <w:rFonts w:hint="eastAsia" w:ascii="宋体" w:hAnsi="宋体" w:cs="Courier New"/>
          <w:color w:val="000000"/>
          <w:sz w:val="24"/>
          <w:szCs w:val="24"/>
        </w:rPr>
      </w:r>
      <w:r/>
    </w:p>
    <w:p>
      <w:pPr>
        <w:pStyle w:val="73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4"/>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四、知识产权</w:t>
      </w:r>
      <w:r/>
    </w:p>
    <w:p>
      <w:pPr>
        <w:pStyle w:val="734"/>
        <w:ind w:firstLine="480"/>
        <w:spacing w:line="400" w:lineRule="exact"/>
        <w:rPr>
          <w:rFonts w:hint="eastAsia" w:ascii="宋体" w:hAnsi="宋体"/>
          <w:color w:val="000000"/>
          <w:sz w:val="24"/>
        </w:rPr>
      </w:pPr>
      <w:r>
        <w:rPr>
          <w:rFonts w:hAnsi="宋体"/>
          <w:color w:val="000000"/>
          <w:sz w:val="24"/>
          <w:szCs w:val="24"/>
        </w:rPr>
        <w:t xml:space="preserve">4.1乙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p>
    <w:p>
      <w:pPr>
        <w:pStyle w:val="734"/>
        <w:spacing w:line="400" w:lineRule="exact"/>
        <w:rPr>
          <w:rFonts w:hint="eastAsia" w:ascii="宋体" w:hAnsi="宋体" w:cs="Courier New"/>
          <w:color w:val="000000"/>
          <w:sz w:val="24"/>
          <w:szCs w:val="24"/>
        </w:rPr>
      </w:pPr>
      <w:r>
        <w:rPr>
          <w:rFonts w:hint="eastAsia" w:hAnsi="宋体"/>
          <w:color w:val="000000"/>
          <w:sz w:val="24"/>
          <w:szCs w:val="24"/>
        </w:rPr>
        <w:t xml:space="preserve">（注：采购项目如涉及采购标的的知识产权归属、处理的，如订购、设计、定制开发的信息化建设项目等，应当约定知识产权的归属和处理方式）</w:t>
      </w:r>
      <w:r>
        <w:rPr>
          <w:rFonts w:hint="eastAsia" w:ascii="宋体" w:hAnsi="宋体" w:cs="Courier New"/>
          <w:color w:val="000000"/>
          <w:sz w:val="24"/>
          <w:szCs w:val="24"/>
        </w:rPr>
      </w:r>
      <w:r/>
    </w:p>
    <w:p>
      <w:pPr>
        <w:pStyle w:val="734"/>
        <w:ind w:firstLine="482"/>
        <w:spacing w:line="40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rPr>
          <w:rFonts w:ascii="宋体" w:hAnsi="宋体" w:cs="Courier New"/>
          <w:color w:val="000000"/>
          <w:sz w:val="24"/>
          <w:szCs w:val="24"/>
          <w:u w:val="single"/>
        </w:rPr>
      </w:r>
      <w:r/>
    </w:p>
    <w:p>
      <w:pPr>
        <w:pStyle w:val="734"/>
        <w:ind w:firstLine="480"/>
        <w:spacing w:line="400" w:lineRule="exact"/>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rPr>
          <w:rFonts w:ascii="宋体" w:hAnsi="宋体" w:cs="Courier New"/>
          <w:color w:val="000000"/>
          <w:sz w:val="24"/>
          <w:szCs w:val="24"/>
          <w:u w:val="single"/>
        </w:rPr>
      </w:r>
      <w:r/>
    </w:p>
    <w:p>
      <w:pPr>
        <w:pStyle w:val="734"/>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p>
    <w:p>
      <w:pPr>
        <w:pStyle w:val="734"/>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6.1 乙方交纳人民币__元作为本合同的履约保证金。</w:t>
      </w:r>
      <w:r>
        <w:rPr>
          <w:rFonts w:hint="eastAsia" w:ascii="宋体" w:hAnsi="宋体" w:cs="Courier New"/>
          <w:color w:val="000000"/>
          <w:sz w:val="24"/>
          <w:szCs w:val="24"/>
        </w:rPr>
        <w:t xml:space="preserve">（不得超过合同金额的10%）</w:t>
      </w:r>
      <w:r/>
    </w:p>
    <w:p>
      <w:pPr>
        <w:pStyle w:val="734"/>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p>
    <w:p>
      <w:pPr>
        <w:pStyle w:val="734"/>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6.2.1履约保证金退还方式：</w:t>
      </w:r>
      <w:r/>
    </w:p>
    <w:p>
      <w:pPr>
        <w:pStyle w:val="734"/>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6.2.2履约保证金退还时间：</w:t>
      </w:r>
      <w:r/>
    </w:p>
    <w:p>
      <w:pPr>
        <w:pStyle w:val="734"/>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6.2.3履约保证金退还条件：</w:t>
      </w:r>
      <w:r/>
    </w:p>
    <w:p>
      <w:pPr>
        <w:pStyle w:val="734"/>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6.2.4履约保证金不予退还的情形：</w:t>
      </w:r>
      <w:r>
        <w:rPr>
          <w:rFonts w:ascii="宋体" w:hAnsi="宋体" w:cs="Courier New"/>
          <w:color w:val="000000"/>
          <w:sz w:val="24"/>
          <w:szCs w:val="24"/>
        </w:rPr>
      </w:r>
      <w:r/>
    </w:p>
    <w:p>
      <w:pPr>
        <w:pStyle w:val="734"/>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73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pStyle w:val="73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color w:val="000000"/>
          <w:sz w:val="24"/>
          <w:szCs w:val="24"/>
        </w:rPr>
      </w:r>
      <w:r/>
    </w:p>
    <w:p>
      <w:pPr>
        <w:pStyle w:val="734"/>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rPr>
          <w:rFonts w:ascii="宋体" w:hAnsi="宋体" w:eastAsia="仿宋_GB2312"/>
          <w:color w:val="000000"/>
          <w:sz w:val="24"/>
          <w:szCs w:val="24"/>
        </w:rPr>
      </w:r>
      <w:r/>
    </w:p>
    <w:p>
      <w:pPr>
        <w:pStyle w:val="734"/>
        <w:ind w:firstLine="482"/>
        <w:spacing w:line="40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pStyle w:val="734"/>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p>
    <w:p>
      <w:pPr>
        <w:pStyle w:val="734"/>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8．1.1预付款支付时间：合同签订后</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日内，预付款支付比例：合同金额的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p>
    <w:p>
      <w:pPr>
        <w:pStyle w:val="734"/>
        <w:ind w:firstLine="480"/>
        <w:spacing w:line="400" w:lineRule="exact"/>
        <w:rPr>
          <w:rFonts w:hint="eastAsia" w:ascii="宋体" w:hAnsi="宋体" w:cs="Courier New"/>
          <w:color w:val="000000"/>
          <w:sz w:val="24"/>
          <w:szCs w:val="24"/>
        </w:rPr>
      </w:pPr>
      <w:r>
        <w:rPr>
          <w:rFonts w:hint="eastAsia" w:ascii="宋体" w:hAnsi="宋体" w:cs="Courier New"/>
          <w:bCs/>
          <w:color w:val="000000"/>
          <w:sz w:val="24"/>
          <w:szCs w:val="24"/>
        </w:rPr>
        <w:t xml:space="preserve">8.1.2尾款支付时间：产品验收通过,采购人收到发票后</w:t>
      </w:r>
      <w:r>
        <w:rPr>
          <w:rFonts w:hint="eastAsia" w:ascii="宋体" w:hAnsi="宋体" w:cs="Courier New"/>
          <w:bCs/>
          <w:color w:val="000000"/>
          <w:sz w:val="24"/>
          <w:szCs w:val="24"/>
        </w:rPr>
        <w:t xml:space="preserve">10个工作</w:t>
      </w:r>
      <w:r>
        <w:rPr>
          <w:rFonts w:hint="eastAsia" w:ascii="宋体" w:hAnsi="宋体" w:cs="Courier New"/>
          <w:bCs/>
          <w:color w:val="000000"/>
          <w:sz w:val="24"/>
          <w:szCs w:val="24"/>
        </w:rPr>
        <w:t xml:space="preserve">日内，尾款支付比例：合同金额的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rPr>
          <w:rFonts w:hint="eastAsia" w:ascii="宋体" w:hAnsi="宋体" w:cs="Courier New"/>
          <w:color w:val="000000"/>
          <w:sz w:val="24"/>
          <w:szCs w:val="24"/>
        </w:rPr>
      </w:r>
      <w:r/>
    </w:p>
    <w:p>
      <w:pPr>
        <w:pStyle w:val="734"/>
        <w:spacing w:line="400" w:lineRule="exact"/>
        <w:rPr>
          <w:rFonts w:ascii="宋体" w:hAnsi="宋体" w:cs="Courier New"/>
          <w:bCs/>
          <w:color w:val="000000"/>
          <w:sz w:val="24"/>
          <w:szCs w:val="24"/>
        </w:rPr>
      </w:pPr>
      <w:r>
        <w:rPr>
          <w:rFonts w:hint="eastAsia" w:hAnsi="宋体"/>
          <w:bCs/>
          <w:color w:val="000000"/>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ascii="宋体" w:hAnsi="宋体" w:cs="Courier New"/>
          <w:bCs/>
          <w:color w:val="000000"/>
          <w:sz w:val="24"/>
          <w:szCs w:val="24"/>
        </w:rPr>
      </w:r>
      <w:r/>
    </w:p>
    <w:p>
      <w:pPr>
        <w:pStyle w:val="734"/>
        <w:ind w:firstLine="480"/>
        <w:spacing w:line="400" w:lineRule="exact"/>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应根据实际使用量供货，合同的最终结算金额按实际使用量乘以成交单价进行计算。</w:t>
      </w:r>
      <w:r>
        <w:rPr>
          <w:rFonts w:ascii="宋体" w:hAnsi="宋体" w:cs="Courier New"/>
          <w:bCs/>
          <w:color w:val="000000"/>
          <w:sz w:val="24"/>
          <w:szCs w:val="24"/>
        </w:rPr>
      </w:r>
      <w:r/>
    </w:p>
    <w:p>
      <w:pPr>
        <w:pStyle w:val="734"/>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734"/>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734"/>
        <w:ind w:firstLine="482"/>
        <w:spacing w:line="400" w:lineRule="exact"/>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rPr>
          <w:rFonts w:ascii="宋体" w:hAnsi="宋体" w:cs="Courier New"/>
          <w:color w:val="000000"/>
          <w:sz w:val="24"/>
          <w:szCs w:val="24"/>
        </w:rPr>
      </w:r>
      <w:r/>
    </w:p>
    <w:p>
      <w:pPr>
        <w:pStyle w:val="73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乙方应按招标文件规定的货物性能、技术要求、质量标准向甲方提供未经使用的全新产品。</w:t>
      </w:r>
      <w:r/>
    </w:p>
    <w:p>
      <w:pPr>
        <w:pStyle w:val="73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p>
    <w:p>
      <w:pPr>
        <w:pStyle w:val="73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p>
    <w:p>
      <w:pPr>
        <w:pStyle w:val="73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p>
    <w:p>
      <w:pPr>
        <w:pStyle w:val="73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p>
    <w:p>
      <w:pPr>
        <w:pStyle w:val="73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如在使用过程中发生质量问题，乙方在接到甲方通知后在_________小时内到达甲方现场。</w:t>
      </w:r>
      <w:r/>
    </w:p>
    <w:p>
      <w:pPr>
        <w:pStyle w:val="73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 在质保期内，乙方应对货物出现的质量及安全问题负责处理解决并承担一切费用。</w:t>
      </w:r>
      <w:r/>
    </w:p>
    <w:p>
      <w:pPr>
        <w:pStyle w:val="73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年（自交货验收合格之日起计），因人为因素出现的故障不在免费保修范围内。超过保修期的机器设备，终生维修，维修时只收部件成本费。</w:t>
      </w:r>
      <w:r/>
    </w:p>
    <w:p>
      <w:pPr>
        <w:pStyle w:val="734"/>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p>
    <w:p>
      <w:pPr>
        <w:pStyle w:val="734"/>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pStyle w:val="734"/>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34"/>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pStyle w:val="734"/>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如有必要，甲方邀请参加本项目的其他供应商或第三方专业机构及专家参与验收，相关意见将作为验收书的参考资料。</w:t>
      </w:r>
      <w:r/>
    </w:p>
    <w:p>
      <w:pPr>
        <w:pStyle w:val="734"/>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34"/>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s="Courier New"/>
          <w:color w:val="000000"/>
          <w:sz w:val="24"/>
          <w:szCs w:val="24"/>
        </w:rPr>
        <w:t xml:space="preserve">中华人民共和国民法典</w:t>
      </w:r>
      <w:r>
        <w:rPr>
          <w:rFonts w:hint="eastAsia" w:ascii="宋体" w:hAnsi="宋体" w:cs="Courier New"/>
          <w:color w:val="000000"/>
          <w:sz w:val="24"/>
          <w:szCs w:val="24"/>
        </w:rPr>
        <w:t xml:space="preserve">》。乙方在履约过程中有政府采购法律法规规定的违法违规情形的,甲方将及时报告本级财政部门。</w:t>
      </w:r>
      <w:r/>
    </w:p>
    <w:p>
      <w:pPr>
        <w:pStyle w:val="734"/>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p>
    <w:p>
      <w:pPr>
        <w:pStyle w:val="73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乙方应在货物发运前对其进行满足运输距离、防潮、防震、防锈和防破损装卸等要求包装，以保证货物安全运达甲方指定地点。</w:t>
      </w:r>
      <w:r>
        <w:rPr>
          <w:rFonts w:hint="eastAsia" w:ascii="宋体" w:hAnsi="宋体"/>
          <w:color w:val="000000"/>
          <w:sz w:val="24"/>
          <w:szCs w:val="24"/>
        </w:rPr>
        <w:t xml:space="preserve">乙方对货物的包装应符合《商品包装政府采购需求标准（试行）》、《快递包装政府采购需求标准（试行）》的规定。</w:t>
      </w:r>
      <w:r>
        <w:rPr>
          <w:rFonts w:ascii="宋体" w:hAnsi="宋体" w:cs="Courier New"/>
          <w:color w:val="000000"/>
          <w:sz w:val="24"/>
          <w:szCs w:val="24"/>
        </w:rPr>
      </w:r>
      <w:r/>
    </w:p>
    <w:p>
      <w:pPr>
        <w:pStyle w:val="73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使用说明书、质量检验证明书、随配附件和工具以及清单一并附于货物内。</w:t>
      </w:r>
      <w:r/>
    </w:p>
    <w:p>
      <w:pPr>
        <w:pStyle w:val="73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p>
    <w:p>
      <w:pPr>
        <w:pStyle w:val="73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p>
    <w:p>
      <w:pPr>
        <w:pStyle w:val="73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货物在规定的交付期限内由乙方送达甲方指定的地点视为交付，乙方同时需通知甲方货物已送达。</w:t>
      </w:r>
      <w:r/>
    </w:p>
    <w:p>
      <w:pPr>
        <w:pStyle w:val="734"/>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p>
    <w:p>
      <w:pPr>
        <w:pStyle w:val="73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p>
    <w:p>
      <w:pPr>
        <w:pStyle w:val="73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 甲方无故逾期验收和办理货款支付手续的,甲方应按逾期付款总额每日</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向乙方支付违约金。</w:t>
      </w:r>
      <w:r/>
    </w:p>
    <w:p>
      <w:pPr>
        <w:pStyle w:val="73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p>
    <w:p>
      <w:pPr>
        <w:pStyle w:val="73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34"/>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p>
    <w:p>
      <w:pPr>
        <w:pStyle w:val="73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p>
    <w:p>
      <w:pPr>
        <w:pStyle w:val="73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p>
    <w:p>
      <w:pPr>
        <w:pStyle w:val="73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p>
    <w:p>
      <w:pPr>
        <w:pStyle w:val="734"/>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rPr>
          <w:rFonts w:ascii="宋体" w:hAnsi="宋体" w:cs="Courier New"/>
          <w:b/>
          <w:color w:val="000000"/>
          <w:sz w:val="24"/>
          <w:szCs w:val="24"/>
        </w:rPr>
      </w:r>
      <w:r/>
    </w:p>
    <w:p>
      <w:pPr>
        <w:pStyle w:val="734"/>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p>
    <w:p>
      <w:pPr>
        <w:pStyle w:val="734"/>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、合同生效及其它</w:t>
      </w:r>
      <w:r/>
    </w:p>
    <w:p>
      <w:pPr>
        <w:pStyle w:val="73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p>
    <w:p>
      <w:pPr>
        <w:pStyle w:val="73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w:t>
      </w:r>
      <w:r>
        <w:rPr>
          <w:rFonts w:hint="eastAsia" w:ascii="宋体" w:hAnsi="宋体" w:cs="Courier New"/>
          <w:color w:val="000000"/>
          <w:sz w:val="24"/>
          <w:szCs w:val="24"/>
        </w:rPr>
        <w:t xml:space="preserve">中华人民共和国民法典</w:t>
      </w:r>
      <w:r>
        <w:rPr>
          <w:rFonts w:hint="eastAsia" w:ascii="宋体" w:hAnsi="宋体" w:cs="Courier New"/>
          <w:color w:val="000000"/>
          <w:sz w:val="24"/>
          <w:szCs w:val="24"/>
        </w:rPr>
        <w:t xml:space="preserve">》、</w:t>
      </w:r>
      <w:r>
        <w:rPr>
          <w:rFonts w:hint="eastAsia" w:ascii="宋体" w:hAnsi="宋体" w:cs="Courier New"/>
          <w:color w:val="000000"/>
          <w:sz w:val="24"/>
          <w:szCs w:val="24"/>
        </w:rPr>
        <w:t xml:space="preserve">《中华人民共和国政府采购法》</w:t>
      </w:r>
      <w:r>
        <w:rPr>
          <w:rFonts w:ascii="宋体" w:hAnsi="宋体" w:cs="Courier New"/>
          <w:color w:val="000000"/>
          <w:sz w:val="24"/>
          <w:szCs w:val="24"/>
        </w:rPr>
        <w:t xml:space="preserve">有关条文执行。</w:t>
      </w:r>
      <w:r/>
    </w:p>
    <w:p>
      <w:pPr>
        <w:pStyle w:val="73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两</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乙方各执一份。</w:t>
      </w:r>
      <w:r/>
    </w:p>
    <w:p>
      <w:pPr>
        <w:pStyle w:val="734"/>
        <w:ind w:left="480" w:hanging="480"/>
        <w:spacing w:line="400" w:lineRule="exact"/>
        <w:rPr>
          <w:rFonts w:ascii="宋体" w:hAnsi="宋体" w:cs="Courier New"/>
          <w:color w:val="000000"/>
          <w:sz w:val="24"/>
          <w:szCs w:val="24"/>
        </w:rPr>
      </w:pPr>
      <w:r>
        <w:rPr>
          <w:rFonts w:ascii="宋体" w:hAnsi="宋体" w:cs="Courier New"/>
          <w:color w:val="000000"/>
          <w:sz w:val="24"/>
          <w:szCs w:val="24"/>
        </w:rPr>
        <w:t xml:space="preserve">  甲方：                        乙方： </w:t>
      </w:r>
      <w:r/>
    </w:p>
    <w:p>
      <w:pPr>
        <w:pStyle w:val="734"/>
        <w:spacing w:line="400" w:lineRule="exac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p>
    <w:p>
      <w:pPr>
        <w:pStyle w:val="734"/>
        <w:spacing w:line="400" w:lineRule="exac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p>
    <w:p>
      <w:pPr>
        <w:pStyle w:val="734"/>
        <w:ind w:firstLine="240"/>
        <w:spacing w:line="400" w:lineRule="exact"/>
        <w:rPr>
          <w:rFonts w:hint="eastAsia" w:ascii="宋体" w:hAnsi="Courier New" w:cs="Courier New"/>
          <w:color w:val="000000"/>
        </w:rPr>
      </w:pPr>
      <w:r>
        <w:rPr>
          <w:rFonts w:hint="eastAsia" w:ascii="宋体" w:hAnsi="宋体" w:cs="Courier New"/>
          <w:color w:val="000000"/>
          <w:sz w:val="24"/>
          <w:szCs w:val="24"/>
        </w:rPr>
        <w:t xml:space="preserve">联系电话：                    联系电话：          </w:t>
      </w:r>
      <w:r>
        <w:rPr>
          <w:rFonts w:hint="eastAsia" w:ascii="宋体" w:hAnsi="Courier New" w:cs="Courier New"/>
          <w:color w:val="000000"/>
        </w:rPr>
      </w:r>
      <w:r/>
    </w:p>
    <w:p>
      <w:pPr>
        <w:pStyle w:val="734"/>
        <w:jc w:val="center"/>
        <w:spacing w:line="400" w:lineRule="exact"/>
        <w:rPr>
          <w:rFonts w:hint="eastAsia" w:ascii="宋体" w:hAnsi="宋体" w:cs="Courier New"/>
          <w:color w:val="000000"/>
          <w:sz w:val="24"/>
          <w:szCs w:val="24"/>
        </w:rPr>
      </w:pPr>
      <w:r>
        <w:rPr>
          <w:rFonts w:hint="eastAsia" w:ascii="宋体" w:hAnsi="Courier New" w:cs="Courier New"/>
          <w:color w:val="000000"/>
        </w:rPr>
        <w:t xml:space="preserve">                 </w:t>
      </w:r>
      <w:r>
        <w:rPr>
          <w:rFonts w:hint="eastAsia" w:ascii="宋体" w:hAnsi="宋体" w:cs="Courier New"/>
          <w:color w:val="000000"/>
          <w:sz w:val="24"/>
          <w:szCs w:val="24"/>
        </w:rPr>
        <w:t xml:space="preserve">   </w:t>
      </w:r>
      <w:r/>
    </w:p>
    <w:p>
      <w:pPr>
        <w:pStyle w:val="734"/>
        <w:jc w:val="center"/>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734"/>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r>
        <w:rPr>
          <w:rFonts w:hint="eastAsia" w:ascii="宋体" w:hAnsi="宋体" w:cs="Courier New"/>
          <w:color w:val="000000"/>
          <w:sz w:val="24"/>
          <w:szCs w:val="24"/>
        </w:rPr>
      </w:r>
      <w:r/>
    </w:p>
    <w:p>
      <w:pPr>
        <w:pStyle w:val="734"/>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734"/>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734"/>
        <w:ind w:firstLine="480"/>
        <w:spacing w:line="400" w:lineRule="exact"/>
        <w:rPr>
          <w:rFonts w:ascii="宋体" w:hAnsi="宋体"/>
          <w:bCs/>
          <w:color w:val="000000"/>
          <w:sz w:val="24"/>
          <w:szCs w:val="24"/>
        </w:rPr>
      </w:pPr>
      <w:r>
        <w:rPr>
          <w:rFonts w:hint="eastAsia" w:ascii="宋体" w:hAnsi="宋体" w:cs="Courier New"/>
          <w:color w:val="000000"/>
          <w:sz w:val="24"/>
          <w:szCs w:val="24"/>
        </w:rPr>
        <w:t xml:space="preserve">注：采购人也可参考财政部制定的《政府采购货物买卖合同（试行）》使用，《政府采购货物买卖合同（试行）》电子版请登录中国政府采购网（www.ccgp.gov.cn）下载。</w:t>
      </w:r>
      <w:r>
        <w:rPr>
          <w:rFonts w:ascii="宋体" w:hAnsi="宋体"/>
          <w:bCs/>
          <w:color w:val="000000"/>
          <w:sz w:val="24"/>
          <w:szCs w:val="24"/>
        </w:rPr>
      </w:r>
      <w:r/>
    </w:p>
    <w:p>
      <w:pPr>
        <w:pStyle w:val="734"/>
        <w:spacing w:line="400" w:lineRule="exact"/>
        <w:rPr>
          <w:rFonts w:ascii="宋体" w:hAnsi="宋体" w:cs="宋体"/>
          <w:color w:val="000000"/>
          <w:sz w:val="24"/>
        </w:rPr>
        <w:outlineLvl w:val="0"/>
      </w:pPr>
      <w:r>
        <w:rPr>
          <w:rFonts w:ascii="宋体" w:hAnsi="宋体" w:cs="宋体"/>
          <w:color w:val="000000"/>
          <w:sz w:val="24"/>
        </w:rPr>
        <w:t xml:space="preserve"> </w:t>
      </w:r>
      <w:r>
        <w:rPr>
          <w:rFonts w:ascii="宋体" w:hAnsi="宋体" w:cs="宋体"/>
          <w:color w:val="000000"/>
          <w:sz w:val="24"/>
        </w:rPr>
      </w:r>
      <w:r/>
    </w:p>
    <w:p>
      <w:pPr>
        <w:pStyle w:val="734"/>
        <w:ind w:firstLine="480"/>
        <w:spacing w:line="400" w:lineRule="exact"/>
        <w:rPr>
          <w:rFonts w:ascii="宋体" w:hAnsi="宋体" w:cs="宋体"/>
          <w:color w:val="000000"/>
          <w:sz w:val="24"/>
        </w:rPr>
      </w:pPr>
      <w:r>
        <w:rPr>
          <w:rFonts w:ascii="宋体" w:hAnsi="宋体" w:cs="宋体"/>
          <w:color w:val="000000"/>
          <w:sz w:val="24"/>
        </w:rPr>
      </w:r>
      <w:r/>
    </w:p>
    <w:p>
      <w:pPr>
        <w:pStyle w:val="734"/>
        <w:ind w:firstLine="480"/>
        <w:jc w:val="center"/>
        <w:spacing w:line="288" w:lineRule="auto"/>
        <w:rPr>
          <w:rFonts w:hint="eastAsia" w:hAnsi="宋体"/>
          <w:color w:val="000000"/>
          <w:sz w:val="36"/>
          <w:szCs w:val="36"/>
        </w:rPr>
      </w:pPr>
      <w:r>
        <w:rPr>
          <w:rFonts w:ascii="宋体" w:hAnsi="宋体"/>
          <w:bCs/>
          <w:color w:val="000000"/>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hint="eastAsia" w:ascii="黑体" w:eastAsia="黑体"/>
          <w:bCs/>
          <w:color w:val="000000"/>
          <w:sz w:val="36"/>
          <w:szCs w:val="36"/>
        </w:rPr>
        <w:t xml:space="preserve">第</w:t>
      </w:r>
      <w:bookmarkEnd w:id="185"/>
      <w:r>
        <w:rPr>
          <w:rFonts w:hint="eastAsia" w:ascii="黑体" w:eastAsia="黑体"/>
          <w:bCs/>
          <w:color w:val="000000"/>
          <w:sz w:val="36"/>
          <w:szCs w:val="36"/>
        </w:rPr>
        <w:t xml:space="preserve">四章 采购需求</w:t>
      </w:r>
      <w:bookmarkEnd w:id="186"/>
      <w:r/>
      <w:bookmarkEnd w:id="187"/>
      <w:r/>
      <w:bookmarkEnd w:id="188"/>
      <w:r>
        <w:rPr>
          <w:rFonts w:hint="eastAsia" w:hAnsi="宋体"/>
          <w:color w:val="000000"/>
          <w:sz w:val="36"/>
          <w:szCs w:val="36"/>
        </w:rPr>
      </w:r>
      <w:r/>
    </w:p>
    <w:p>
      <w:pPr>
        <w:pStyle w:val="734"/>
        <w:ind w:firstLine="600"/>
        <w:jc w:val="left"/>
        <w:spacing w:line="360" w:lineRule="auto"/>
        <w:rPr>
          <w:rFonts w:hint="eastAsia" w:ascii="黑体" w:hAnsi="黑体" w:eastAsia="黑体"/>
          <w:color w:val="000000"/>
          <w:sz w:val="30"/>
          <w:szCs w:val="30"/>
        </w:rPr>
      </w:pPr>
      <w:r/>
      <w:bookmarkStart w:id="191" w:name="_Toc49090575"/>
      <w:r/>
      <w:bookmarkStart w:id="192" w:name="_Toc26554093"/>
      <w:r>
        <w:rPr>
          <w:rFonts w:hint="eastAsia" w:ascii="黑体" w:hAnsi="黑体" w:eastAsia="黑体"/>
          <w:color w:val="000000"/>
          <w:sz w:val="30"/>
          <w:szCs w:val="30"/>
        </w:rPr>
        <w:t xml:space="preserve">本项目属性：货物类项目</w:t>
      </w:r>
      <w:r/>
    </w:p>
    <w:p>
      <w:pPr>
        <w:pStyle w:val="734"/>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pStyle w:val="734"/>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w:t>
      </w:r>
      <w:r>
        <w:rPr>
          <w:rFonts w:hint="eastAsia" w:ascii="宋体" w:hAnsi="宋体"/>
          <w:bCs/>
          <w:color w:val="000000"/>
          <w:sz w:val="24"/>
          <w:szCs w:val="24"/>
        </w:rPr>
        <w:t xml:space="preserve">工业</w:t>
      </w:r>
      <w:r>
        <w:rPr>
          <w:rFonts w:hint="eastAsia" w:ascii="宋体" w:hAnsi="宋体"/>
          <w:bCs/>
          <w:color w:val="000000"/>
          <w:sz w:val="24"/>
          <w:szCs w:val="24"/>
        </w:rPr>
      </w:r>
      <w:r/>
    </w:p>
    <w:p>
      <w:pPr>
        <w:pStyle w:val="734"/>
        <w:ind w:firstLine="480"/>
        <w:spacing w:line="360" w:lineRule="auto"/>
        <w:rPr>
          <w:rFonts w:ascii="宋体" w:hAnsi="宋体"/>
          <w:color w:val="000000"/>
          <w:sz w:val="24"/>
          <w:szCs w:val="24"/>
        </w:rPr>
      </w:pPr>
      <w:r>
        <w:rPr>
          <w:rFonts w:hint="eastAsia" w:ascii="宋体" w:hAnsi="宋体"/>
          <w:color w:val="000000"/>
          <w:sz w:val="24"/>
          <w:szCs w:val="24"/>
        </w:rPr>
        <w:t xml:space="preserve">本项目中的</w:t>
      </w:r>
      <w:r>
        <w:rPr>
          <w:rFonts w:hint="eastAsia" w:ascii="宋体" w:hAnsi="宋体"/>
          <w:color w:val="000000"/>
          <w:sz w:val="24"/>
          <w:szCs w:val="24"/>
        </w:rPr>
        <w:t xml:space="preserve">通用服务器</w:t>
      </w:r>
      <w:r>
        <w:rPr>
          <w:rFonts w:hint="eastAsia" w:ascii="宋体" w:hAnsi="宋体"/>
          <w:color w:val="000000"/>
          <w:sz w:val="24"/>
          <w:szCs w:val="24"/>
        </w:rPr>
        <w:t xml:space="preserve">为核心产品。</w:t>
      </w:r>
      <w:r>
        <w:rPr>
          <w:rFonts w:ascii="宋体" w:hAnsi="宋体"/>
          <w:color w:val="000000"/>
          <w:sz w:val="24"/>
          <w:szCs w:val="24"/>
        </w:rPr>
      </w:r>
      <w:r/>
    </w:p>
    <w:p>
      <w:pPr>
        <w:pStyle w:val="734"/>
        <w:ind w:firstLine="602"/>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rPr>
          <w:rFonts w:ascii="宋体" w:hAnsi="宋体"/>
          <w:b/>
          <w:color w:val="000000"/>
          <w:sz w:val="30"/>
          <w:szCs w:val="30"/>
        </w:rPr>
      </w:r>
      <w:r/>
    </w:p>
    <w:p>
      <w:pPr>
        <w:pStyle w:val="734"/>
        <w:numPr>
          <w:ilvl w:val="0"/>
          <w:numId w:val="35"/>
        </w:numPr>
        <w:spacing w:line="360" w:lineRule="auto"/>
        <w:rPr>
          <w:rFonts w:ascii="宋体" w:hAnsi="宋体" w:cs="宋体"/>
          <w:b/>
          <w:bCs/>
          <w:color w:val="000000"/>
          <w:sz w:val="24"/>
          <w:szCs w:val="24"/>
        </w:rPr>
        <w:outlineLvl w:val="0"/>
      </w:pPr>
      <w:r>
        <w:rPr>
          <w:rFonts w:hint="eastAsia" w:ascii="宋体" w:hAnsi="宋体" w:cs="宋体"/>
          <w:b/>
          <w:bCs/>
          <w:color w:val="000000"/>
          <w:sz w:val="24"/>
          <w:szCs w:val="24"/>
        </w:rPr>
        <w:t xml:space="preserve">建设背景</w:t>
      </w:r>
      <w:r>
        <w:rPr>
          <w:rFonts w:ascii="宋体" w:hAnsi="宋体" w:cs="宋体"/>
          <w:b/>
          <w:bCs/>
          <w:color w:val="000000"/>
          <w:sz w:val="24"/>
          <w:szCs w:val="24"/>
        </w:rPr>
      </w:r>
      <w:r/>
    </w:p>
    <w:p>
      <w:pPr>
        <w:pStyle w:val="734"/>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无锡市公安局警务云平台主要部署于公安信息网和感知网(视频网)。随着警务信息化的发展，目前硬件资源池已趋于饱和，已经无法为新的警务信息化项目提供硬件资源支撑。通过本次项目建设，开展硬件资源服务器的采购，为警务信息化项目提供计算资源的硬件支撑。</w:t>
      </w:r>
      <w:r>
        <w:rPr>
          <w:rFonts w:ascii="宋体" w:hAnsi="宋体" w:cs="宋体"/>
          <w:color w:val="000000"/>
          <w:sz w:val="24"/>
          <w:szCs w:val="24"/>
        </w:rPr>
      </w:r>
      <w:r/>
    </w:p>
    <w:p>
      <w:pPr>
        <w:pStyle w:val="734"/>
        <w:numPr>
          <w:ilvl w:val="0"/>
          <w:numId w:val="36"/>
        </w:numPr>
        <w:spacing w:line="360" w:lineRule="auto"/>
        <w:rPr>
          <w:rFonts w:ascii="宋体" w:hAnsi="宋体" w:cs="宋体"/>
          <w:b/>
          <w:bCs/>
          <w:color w:val="000000"/>
          <w:sz w:val="24"/>
          <w:szCs w:val="24"/>
        </w:rPr>
        <w:outlineLvl w:val="0"/>
      </w:pPr>
      <w:r>
        <w:rPr>
          <w:rFonts w:hint="eastAsia" w:ascii="宋体" w:hAnsi="宋体" w:cs="宋体"/>
          <w:b/>
          <w:bCs/>
          <w:color w:val="000000"/>
          <w:sz w:val="24"/>
          <w:szCs w:val="24"/>
        </w:rPr>
        <w:t xml:space="preserve">建设内容</w:t>
      </w:r>
      <w:r>
        <w:rPr>
          <w:rFonts w:ascii="宋体" w:hAnsi="宋体" w:cs="宋体"/>
          <w:b/>
          <w:bCs/>
          <w:color w:val="000000"/>
          <w:sz w:val="24"/>
          <w:szCs w:val="24"/>
        </w:rPr>
      </w:r>
      <w:r/>
    </w:p>
    <w:p>
      <w:pPr>
        <w:pStyle w:val="73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w:t>
      </w:r>
      <w:r>
        <w:rPr>
          <w:rFonts w:ascii="宋体" w:hAnsi="宋体" w:cs="宋体"/>
          <w:color w:val="000000"/>
          <w:sz w:val="24"/>
          <w:szCs w:val="24"/>
        </w:rPr>
        <w:t xml:space="preserve">依据</w:t>
      </w:r>
      <w:r>
        <w:rPr>
          <w:rFonts w:hint="eastAsia" w:ascii="宋体" w:hAnsi="宋体" w:cs="宋体"/>
          <w:color w:val="000000"/>
          <w:sz w:val="24"/>
          <w:szCs w:val="24"/>
        </w:rPr>
        <w:t xml:space="preserve">《关于无锡市</w:t>
      </w:r>
      <w:r>
        <w:rPr>
          <w:rFonts w:ascii="宋体" w:hAnsi="宋体" w:cs="宋体"/>
          <w:color w:val="000000"/>
          <w:sz w:val="24"/>
          <w:szCs w:val="24"/>
        </w:rPr>
        <w:t xml:space="preserve">公安局</w:t>
      </w:r>
      <w:r>
        <w:rPr>
          <w:rFonts w:hint="eastAsia" w:ascii="宋体" w:hAnsi="宋体" w:cs="宋体"/>
          <w:color w:val="000000"/>
          <w:sz w:val="24"/>
          <w:szCs w:val="24"/>
        </w:rPr>
        <w:t xml:space="preserve">2023年信息</w:t>
      </w:r>
      <w:r>
        <w:rPr>
          <w:rFonts w:ascii="宋体" w:hAnsi="宋体" w:cs="宋体"/>
          <w:color w:val="000000"/>
          <w:sz w:val="24"/>
          <w:szCs w:val="24"/>
        </w:rPr>
        <w:t xml:space="preserve">化服务器硬件支撑</w:t>
      </w:r>
      <w:r>
        <w:rPr>
          <w:rFonts w:hint="eastAsia" w:ascii="宋体" w:hAnsi="宋体" w:cs="宋体"/>
          <w:color w:val="000000"/>
          <w:sz w:val="24"/>
          <w:szCs w:val="24"/>
        </w:rPr>
        <w:t xml:space="preserve">项目</w:t>
      </w:r>
      <w:r>
        <w:rPr>
          <w:rFonts w:ascii="宋体" w:hAnsi="宋体" w:cs="宋体"/>
          <w:color w:val="000000"/>
          <w:sz w:val="24"/>
          <w:szCs w:val="24"/>
        </w:rPr>
        <w:t xml:space="preserve">建议书的批复</w:t>
      </w:r>
      <w:r>
        <w:rPr>
          <w:rFonts w:hint="eastAsia" w:ascii="宋体" w:hAnsi="宋体" w:cs="宋体"/>
          <w:color w:val="000000"/>
          <w:sz w:val="24"/>
          <w:szCs w:val="24"/>
        </w:rPr>
        <w:t xml:space="preserve">》（锡行</w:t>
      </w:r>
      <w:r>
        <w:rPr>
          <w:rFonts w:ascii="宋体" w:hAnsi="宋体" w:cs="宋体"/>
          <w:color w:val="000000"/>
          <w:sz w:val="24"/>
          <w:szCs w:val="24"/>
        </w:rPr>
        <w:t xml:space="preserve">审投许</w:t>
      </w:r>
      <w:r>
        <w:rPr>
          <w:rFonts w:hint="eastAsia" w:ascii="宋体" w:hAnsi="宋体" w:cs="宋体"/>
          <w:color w:val="000000"/>
          <w:sz w:val="24"/>
          <w:szCs w:val="24"/>
        </w:rPr>
        <w:t xml:space="preserve">〔20</w:t>
      </w:r>
      <w:r>
        <w:rPr>
          <w:rFonts w:ascii="宋体" w:hAnsi="宋体" w:cs="宋体"/>
          <w:color w:val="000000"/>
          <w:sz w:val="24"/>
          <w:szCs w:val="24"/>
        </w:rPr>
        <w:t xml:space="preserve">23</w:t>
      </w:r>
      <w:r>
        <w:rPr>
          <w:rFonts w:hint="eastAsia" w:ascii="宋体" w:hAnsi="宋体" w:cs="宋体"/>
          <w:color w:val="000000"/>
          <w:sz w:val="24"/>
          <w:szCs w:val="24"/>
        </w:rPr>
        <w:t xml:space="preserve">〕</w:t>
      </w:r>
      <w:r>
        <w:rPr>
          <w:rFonts w:ascii="宋体" w:hAnsi="宋体" w:cs="宋体"/>
          <w:color w:val="000000"/>
          <w:sz w:val="24"/>
          <w:szCs w:val="24"/>
        </w:rPr>
        <w:t xml:space="preserve">190</w:t>
      </w:r>
      <w:r>
        <w:rPr>
          <w:rFonts w:hint="eastAsia" w:ascii="宋体" w:hAnsi="宋体" w:cs="宋体"/>
          <w:color w:val="000000"/>
          <w:sz w:val="24"/>
          <w:szCs w:val="24"/>
        </w:rPr>
        <w:t xml:space="preserve">号）文件</w:t>
      </w:r>
      <w:r>
        <w:rPr>
          <w:rFonts w:ascii="宋体" w:hAnsi="宋体" w:cs="宋体"/>
          <w:color w:val="000000"/>
          <w:sz w:val="24"/>
          <w:szCs w:val="24"/>
        </w:rPr>
        <w:t xml:space="preserve">实施。</w:t>
      </w:r>
      <w:r>
        <w:rPr>
          <w:rFonts w:hint="eastAsia" w:ascii="宋体" w:hAnsi="宋体" w:cs="宋体"/>
          <w:color w:val="000000"/>
          <w:sz w:val="24"/>
          <w:szCs w:val="24"/>
        </w:rPr>
      </w:r>
      <w:r/>
    </w:p>
    <w:p>
      <w:pPr>
        <w:pStyle w:val="734"/>
        <w:ind w:firstLine="480"/>
        <w:spacing w:line="360" w:lineRule="auto"/>
        <w:rPr>
          <w:rFonts w:ascii="宋体" w:hAnsi="宋体" w:cs="宋体"/>
          <w:color w:val="000000"/>
          <w:sz w:val="24"/>
          <w:szCs w:val="24"/>
        </w:rPr>
      </w:pPr>
      <w:r>
        <w:rPr>
          <w:rFonts w:ascii="宋体" w:hAnsi="宋体" w:cs="宋体"/>
          <w:color w:val="000000"/>
          <w:sz w:val="24"/>
          <w:szCs w:val="24"/>
        </w:rPr>
        <w:t xml:space="preserve">该项目建设内容主要包括：采购数据库服务器、通用服务器、大数据节点服务器、前置服务器、GPU服务器和服务器内存等硬件。</w:t>
      </w:r>
      <w:r/>
    </w:p>
    <w:p>
      <w:pPr>
        <w:pStyle w:val="734"/>
        <w:numPr>
          <w:ilvl w:val="0"/>
          <w:numId w:val="36"/>
        </w:numPr>
        <w:spacing w:line="360" w:lineRule="auto"/>
        <w:rPr>
          <w:rFonts w:ascii="宋体" w:hAnsi="宋体" w:cs="宋体"/>
          <w:b/>
          <w:bCs/>
          <w:color w:val="000000"/>
          <w:sz w:val="24"/>
          <w:szCs w:val="24"/>
        </w:rPr>
        <w:outlineLvl w:val="0"/>
      </w:pPr>
      <w:r>
        <w:rPr>
          <w:rFonts w:hint="eastAsia" w:ascii="宋体" w:hAnsi="宋体" w:cs="宋体"/>
          <w:b/>
          <w:bCs/>
          <w:color w:val="000000"/>
          <w:sz w:val="24"/>
          <w:szCs w:val="24"/>
        </w:rPr>
        <w:t xml:space="preserve">建设需求</w:t>
      </w:r>
      <w:r>
        <w:rPr>
          <w:rFonts w:ascii="宋体" w:hAnsi="宋体" w:cs="宋体"/>
          <w:b/>
          <w:bCs/>
          <w:color w:val="000000"/>
          <w:sz w:val="24"/>
          <w:szCs w:val="24"/>
        </w:rPr>
      </w:r>
      <w:r/>
    </w:p>
    <w:p>
      <w:pPr>
        <w:pStyle w:val="73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无锡市公安局警务云平台</w:t>
      </w:r>
      <w:r>
        <w:rPr>
          <w:rFonts w:ascii="宋体" w:hAnsi="宋体" w:cs="宋体"/>
          <w:color w:val="000000"/>
          <w:sz w:val="24"/>
          <w:szCs w:val="24"/>
        </w:rPr>
        <w:t xml:space="preserve">计算资源处于满负载运行状态，已无法为新的警务</w:t>
      </w:r>
      <w:r>
        <w:rPr>
          <w:rFonts w:hint="eastAsia" w:ascii="宋体" w:hAnsi="宋体" w:cs="宋体"/>
          <w:color w:val="000000"/>
          <w:sz w:val="24"/>
          <w:szCs w:val="24"/>
        </w:rPr>
        <w:t xml:space="preserve">信息</w:t>
      </w:r>
      <w:r>
        <w:rPr>
          <w:rFonts w:ascii="宋体" w:hAnsi="宋体" w:cs="宋体"/>
          <w:color w:val="000000"/>
          <w:sz w:val="24"/>
          <w:szCs w:val="24"/>
        </w:rPr>
        <w:t xml:space="preserve">化项目提供硬件资源支撑。</w:t>
      </w:r>
      <w:r>
        <w:rPr>
          <w:rFonts w:hint="eastAsia" w:ascii="宋体" w:hAnsi="宋体" w:cs="宋体"/>
          <w:color w:val="000000"/>
          <w:sz w:val="24"/>
          <w:szCs w:val="24"/>
        </w:rPr>
        <w:t xml:space="preserve">通过本项目的实施</w:t>
      </w:r>
      <w:r>
        <w:rPr>
          <w:rFonts w:ascii="宋体" w:hAnsi="宋体" w:cs="宋体"/>
          <w:color w:val="000000"/>
          <w:sz w:val="24"/>
          <w:szCs w:val="24"/>
        </w:rPr>
        <w:t xml:space="preserve">，</w:t>
      </w:r>
      <w:r>
        <w:rPr>
          <w:rFonts w:hint="eastAsia" w:ascii="宋体" w:hAnsi="宋体" w:cs="宋体"/>
          <w:color w:val="000000"/>
          <w:sz w:val="24"/>
          <w:szCs w:val="24"/>
        </w:rPr>
        <w:t xml:space="preserve">提升平台服务能力，为警务信息化项目提供硬件支撑，满足信息化建设需求。</w:t>
      </w:r>
      <w:r/>
    </w:p>
    <w:p>
      <w:pPr>
        <w:pStyle w:val="734"/>
        <w:spacing w:line="360" w:lineRule="auto"/>
        <w:rPr>
          <w:rFonts w:ascii="宋体" w:hAnsi="宋体" w:cs="宋体"/>
          <w:b/>
          <w:bCs/>
          <w:color w:val="000000"/>
          <w:sz w:val="24"/>
          <w:szCs w:val="24"/>
        </w:rPr>
        <w:outlineLvl w:val="0"/>
      </w:pPr>
      <w:r>
        <w:rPr>
          <w:rFonts w:hint="eastAsia" w:ascii="宋体" w:hAnsi="宋体" w:cs="宋体"/>
          <w:b/>
          <w:color w:val="000000"/>
          <w:sz w:val="24"/>
          <w:szCs w:val="24"/>
        </w:rPr>
        <w:t xml:space="preserve">四.采购清单</w:t>
      </w:r>
      <w:r>
        <w:rPr>
          <w:rFonts w:ascii="宋体" w:hAnsi="宋体" w:cs="宋体"/>
          <w:b/>
          <w:color w:val="000000"/>
          <w:sz w:val="24"/>
          <w:szCs w:val="24"/>
        </w:rPr>
        <w:t xml:space="preserve">和</w:t>
      </w:r>
      <w:r>
        <w:rPr>
          <w:rFonts w:hint="eastAsia" w:ascii="宋体" w:hAnsi="宋体" w:cs="宋体"/>
          <w:b/>
          <w:color w:val="000000"/>
          <w:sz w:val="24"/>
          <w:szCs w:val="24"/>
        </w:rPr>
        <w:t xml:space="preserve">产品</w:t>
      </w:r>
      <w:r>
        <w:rPr>
          <w:rFonts w:ascii="宋体" w:hAnsi="宋体" w:cs="宋体"/>
          <w:b/>
          <w:color w:val="000000"/>
          <w:sz w:val="24"/>
          <w:szCs w:val="24"/>
        </w:rPr>
        <w:t xml:space="preserve">参数要求</w:t>
      </w:r>
      <w:r>
        <w:rPr>
          <w:rFonts w:hint="eastAsia" w:ascii="宋体" w:hAnsi="宋体" w:cs="宋体"/>
          <w:b/>
          <w:color w:val="000000"/>
          <w:sz w:val="24"/>
          <w:szCs w:val="24"/>
        </w:rPr>
        <w:t xml:space="preserve">：</w:t>
      </w:r>
      <w:r>
        <w:rPr>
          <w:rFonts w:ascii="宋体" w:hAnsi="宋体" w:cs="宋体"/>
          <w:b/>
          <w:bCs/>
          <w:color w:val="000000"/>
          <w:sz w:val="24"/>
          <w:szCs w:val="24"/>
        </w:rPr>
      </w:r>
      <w:r/>
    </w:p>
    <w:tbl>
      <w:tblPr>
        <w:tblW w:w="0" w:type="auto"/>
        <w:tblInd w:w="113" w:type="dxa"/>
        <w:tblLayout w:type="fixed"/>
        <w:tblCellMar>
          <w:left w:w="108" w:type="dxa"/>
          <w:top w:w="0" w:type="dxa"/>
          <w:right w:w="108" w:type="dxa"/>
          <w:bottom w:w="0" w:type="dxa"/>
        </w:tblCellMar>
        <w:tblLook w:val="04A0" w:firstRow="1" w:lastRow="0" w:firstColumn="1" w:lastColumn="0" w:noHBand="0" w:noVBand="1"/>
      </w:tblPr>
      <w:tblGrid>
        <w:gridCol w:w="924"/>
        <w:gridCol w:w="2827"/>
        <w:gridCol w:w="3144"/>
        <w:gridCol w:w="924"/>
        <w:gridCol w:w="1241"/>
      </w:tblGrid>
      <w:tr>
        <w:trPr>
          <w:trHeight w:val="740"/>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4"/>
              <w:jc w:val="center"/>
              <w:widowControl/>
              <w:rPr>
                <w:rFonts w:ascii="宋体" w:hAnsi="宋体" w:cs="宋体"/>
                <w:b/>
                <w:color w:val="000000"/>
              </w:rPr>
            </w:pPr>
            <w:r>
              <w:rPr>
                <w:rFonts w:hint="eastAsia" w:ascii="宋体" w:hAnsi="宋体" w:cs="宋体"/>
                <w:b/>
                <w:color w:val="000000"/>
                <w:lang w:bidi="ar"/>
              </w:rPr>
              <w:t xml:space="preserve">序号</w:t>
            </w:r>
            <w:r>
              <w:rPr>
                <w:rFonts w:ascii="宋体" w:hAnsi="宋体" w:cs="宋体"/>
                <w:b/>
                <w:color w:val="000000"/>
              </w:rPr>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pStyle w:val="734"/>
              <w:jc w:val="center"/>
              <w:widowControl/>
              <w:rPr>
                <w:rFonts w:ascii="宋体" w:hAnsi="宋体" w:cs="宋体"/>
                <w:b/>
                <w:color w:val="000000"/>
              </w:rPr>
            </w:pPr>
            <w:r>
              <w:rPr>
                <w:rFonts w:hint="eastAsia" w:ascii="宋体" w:hAnsi="宋体" w:cs="宋体"/>
                <w:b/>
                <w:color w:val="000000"/>
                <w:lang w:bidi="ar"/>
              </w:rPr>
              <w:t xml:space="preserve">分项名称</w:t>
            </w:r>
            <w:r>
              <w:rPr>
                <w:rFonts w:ascii="宋体" w:hAnsi="宋体" w:cs="宋体"/>
                <w:b/>
                <w:color w:val="000000"/>
              </w:rPr>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734"/>
              <w:jc w:val="center"/>
              <w:widowControl/>
              <w:rPr>
                <w:rFonts w:ascii="宋体" w:hAnsi="宋体" w:cs="宋体"/>
                <w:b/>
                <w:color w:val="000000"/>
              </w:rPr>
            </w:pPr>
            <w:r>
              <w:rPr>
                <w:rFonts w:hint="eastAsia" w:ascii="宋体" w:hAnsi="宋体" w:cs="宋体"/>
                <w:b/>
                <w:color w:val="000000"/>
                <w:lang w:bidi="ar"/>
              </w:rPr>
              <w:t xml:space="preserve">性能指标</w:t>
            </w:r>
            <w:r>
              <w:rPr>
                <w:rFonts w:ascii="宋体" w:hAnsi="宋体" w:cs="宋体"/>
                <w:b/>
                <w:color w:val="000000"/>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4"/>
              <w:jc w:val="center"/>
              <w:widowControl/>
              <w:rPr>
                <w:rFonts w:ascii="宋体" w:hAnsi="宋体" w:cs="宋体"/>
                <w:b/>
                <w:color w:val="000000"/>
              </w:rPr>
            </w:pPr>
            <w:r>
              <w:rPr>
                <w:rFonts w:hint="eastAsia" w:ascii="宋体" w:hAnsi="宋体" w:cs="宋体"/>
                <w:b/>
                <w:color w:val="000000"/>
                <w:lang w:bidi="ar"/>
              </w:rPr>
              <w:t xml:space="preserve">数量</w:t>
            </w:r>
            <w:r>
              <w:rPr>
                <w:rFonts w:ascii="宋体" w:hAnsi="宋体" w:cs="宋体"/>
                <w:b/>
                <w:color w:val="000000"/>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pStyle w:val="734"/>
              <w:jc w:val="center"/>
              <w:widowControl/>
              <w:rPr>
                <w:rFonts w:hint="eastAsia" w:ascii="宋体" w:hAnsi="宋体" w:cs="宋体"/>
                <w:b/>
                <w:color w:val="000000"/>
                <w:lang w:bidi="ar"/>
              </w:rPr>
            </w:pPr>
            <w:r>
              <w:rPr>
                <w:rFonts w:hint="eastAsia" w:ascii="宋体" w:hAnsi="宋体" w:cs="宋体"/>
                <w:b/>
                <w:color w:val="000000"/>
                <w:lang w:bidi="ar"/>
              </w:rPr>
              <w:t xml:space="preserve">单位</w:t>
            </w:r>
            <w:r/>
          </w:p>
        </w:tc>
      </w:tr>
      <w:tr>
        <w:trPr>
          <w:trHeight w:val="4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pStyle w:val="734"/>
              <w:jc w:val="center"/>
              <w:widowControl/>
              <w:rPr>
                <w:rFonts w:ascii="宋体" w:hAnsi="宋体" w:cs="宋体"/>
                <w:color w:val="000000"/>
                <w:lang w:bidi="ar"/>
              </w:rPr>
            </w:pPr>
            <w:r>
              <w:rPr>
                <w:rFonts w:hint="eastAsia" w:ascii="宋体" w:hAnsi="宋体" w:cs="宋体"/>
                <w:color w:val="000000"/>
                <w:lang w:bidi="ar"/>
              </w:rPr>
              <w:t xml:space="preserve">数据库服务器</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734"/>
              <w:jc w:val="center"/>
              <w:widowControl/>
              <w:rPr>
                <w:rFonts w:ascii="宋体" w:hAnsi="宋体" w:cs="宋体"/>
                <w:color w:val="000000"/>
                <w:lang w:bidi="ar"/>
              </w:rPr>
            </w:pPr>
            <w:r>
              <w:rPr>
                <w:rFonts w:hint="eastAsia" w:ascii="宋体" w:hAnsi="宋体" w:cs="宋体"/>
                <w:color w:val="000000"/>
                <w:lang w:bidi="ar"/>
              </w:rPr>
              <w:t xml:space="preserve">见详细技术指标要求</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lang w:bidi="ar"/>
              </w:rPr>
              <w:t xml:space="preserve">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pStyle w:val="734"/>
              <w:jc w:val="center"/>
              <w:rPr>
                <w:rFonts w:ascii="宋体" w:hAnsi="宋体" w:cs="宋体"/>
                <w:color w:val="000000"/>
              </w:rPr>
            </w:pPr>
            <w:r>
              <w:rPr>
                <w:rFonts w:hint="eastAsia" w:ascii="宋体" w:hAnsi="宋体" w:cs="宋体"/>
                <w:color w:val="000000"/>
              </w:rPr>
              <w:t xml:space="preserve">台</w:t>
            </w:r>
            <w:r>
              <w:rPr>
                <w:rFonts w:ascii="宋体" w:hAnsi="宋体" w:cs="宋体"/>
                <w:color w:val="000000"/>
              </w:rPr>
            </w:r>
            <w:r/>
          </w:p>
        </w:tc>
      </w:tr>
      <w:tr>
        <w:trPr>
          <w:trHeight w:val="4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lang w:bidi="ar"/>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lang w:bidi="ar"/>
              </w:rPr>
              <w:t xml:space="preserve">通用服务器</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lang w:bidi="ar"/>
              </w:rPr>
              <w:t xml:space="preserve">见详细技术指标要求</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lang w:bidi="ar"/>
              </w:rPr>
              <w:t xml:space="preserve">20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pStyle w:val="734"/>
              <w:jc w:val="center"/>
              <w:rPr>
                <w:rFonts w:ascii="宋体" w:hAnsi="宋体" w:cs="宋体"/>
                <w:color w:val="000000"/>
              </w:rPr>
            </w:pPr>
            <w:r>
              <w:rPr>
                <w:rFonts w:hint="eastAsia" w:ascii="宋体" w:hAnsi="宋体" w:cs="宋体"/>
                <w:color w:val="000000"/>
              </w:rPr>
              <w:t xml:space="preserve">台</w:t>
            </w:r>
            <w:r>
              <w:rPr>
                <w:rFonts w:ascii="宋体" w:hAnsi="宋体" w:cs="宋体"/>
                <w:color w:val="000000"/>
              </w:rPr>
            </w:r>
            <w:r/>
          </w:p>
        </w:tc>
      </w:tr>
      <w:tr>
        <w:trPr>
          <w:trHeight w:val="4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lang w:bidi="ar"/>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lang w:bidi="ar"/>
              </w:rPr>
              <w:t xml:space="preserve">大数据节点服务器</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lang w:bidi="ar"/>
              </w:rPr>
              <w:t xml:space="preserve">见详细技术指标要求</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lang w:bidi="ar"/>
              </w:rPr>
              <w:t xml:space="preserve">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pStyle w:val="734"/>
              <w:jc w:val="center"/>
              <w:rPr>
                <w:rFonts w:ascii="宋体" w:hAnsi="宋体" w:cs="宋体"/>
                <w:color w:val="000000"/>
              </w:rPr>
            </w:pPr>
            <w:r>
              <w:rPr>
                <w:rFonts w:hint="eastAsia" w:ascii="宋体" w:hAnsi="宋体" w:cs="宋体"/>
                <w:color w:val="000000"/>
              </w:rPr>
              <w:t xml:space="preserve">台</w:t>
            </w:r>
            <w:r>
              <w:rPr>
                <w:rFonts w:ascii="宋体" w:hAnsi="宋体" w:cs="宋体"/>
                <w:color w:val="000000"/>
              </w:rPr>
            </w:r>
            <w:r/>
          </w:p>
        </w:tc>
      </w:tr>
      <w:tr>
        <w:trPr>
          <w:trHeight w:val="4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lang w:bidi="ar"/>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lang w:bidi="ar"/>
              </w:rPr>
              <w:t xml:space="preserve">前置服务器</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734"/>
              <w:jc w:val="center"/>
              <w:widowControl/>
              <w:rPr>
                <w:rFonts w:ascii="宋体" w:hAnsi="宋体" w:cs="宋体"/>
                <w:color w:val="000000"/>
                <w:lang w:bidi="ar"/>
              </w:rPr>
            </w:pPr>
            <w:r>
              <w:rPr>
                <w:rFonts w:hint="eastAsia" w:ascii="宋体" w:hAnsi="宋体" w:cs="宋体"/>
                <w:color w:val="000000"/>
                <w:lang w:bidi="ar"/>
              </w:rPr>
              <w:t xml:space="preserve">见详细技术指标要求</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lang w:bidi="ar"/>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pStyle w:val="734"/>
              <w:jc w:val="center"/>
              <w:rPr>
                <w:rFonts w:ascii="宋体" w:hAnsi="宋体" w:cs="宋体"/>
                <w:color w:val="000000"/>
              </w:rPr>
            </w:pPr>
            <w:r>
              <w:rPr>
                <w:rFonts w:hint="eastAsia" w:ascii="宋体" w:hAnsi="宋体" w:cs="宋体"/>
                <w:color w:val="000000"/>
              </w:rPr>
              <w:t xml:space="preserve">台</w:t>
            </w:r>
            <w:r>
              <w:rPr>
                <w:rFonts w:ascii="宋体" w:hAnsi="宋体" w:cs="宋体"/>
                <w:color w:val="000000"/>
              </w:rPr>
            </w:r>
            <w:r/>
          </w:p>
        </w:tc>
      </w:tr>
      <w:tr>
        <w:trPr>
          <w:trHeight w:val="4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lang w:bidi="ar"/>
              </w:rPr>
              <w:t xml:space="preserve">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lang w:bidi="ar"/>
              </w:rPr>
              <w:t xml:space="preserve">GPU服务器</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734"/>
              <w:jc w:val="center"/>
              <w:widowControl/>
              <w:rPr>
                <w:rFonts w:ascii="宋体" w:hAnsi="宋体" w:cs="宋体"/>
                <w:color w:val="000000"/>
                <w:lang w:bidi="ar"/>
              </w:rPr>
            </w:pPr>
            <w:r>
              <w:rPr>
                <w:rFonts w:hint="eastAsia" w:ascii="宋体" w:hAnsi="宋体" w:cs="宋体"/>
                <w:color w:val="000000"/>
                <w:lang w:bidi="ar"/>
              </w:rPr>
              <w:t xml:space="preserve">见详细技术指标要求</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lang w:bidi="ar"/>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pStyle w:val="734"/>
              <w:jc w:val="center"/>
              <w:rPr>
                <w:rFonts w:ascii="宋体" w:hAnsi="宋体" w:cs="宋体"/>
                <w:color w:val="000000"/>
              </w:rPr>
            </w:pPr>
            <w:r>
              <w:rPr>
                <w:rFonts w:hint="eastAsia" w:ascii="宋体" w:hAnsi="宋体" w:cs="宋体"/>
                <w:color w:val="000000"/>
              </w:rPr>
              <w:t xml:space="preserve">台</w:t>
            </w:r>
            <w:r>
              <w:rPr>
                <w:rFonts w:ascii="宋体" w:hAnsi="宋体" w:cs="宋体"/>
                <w:color w:val="000000"/>
              </w:rPr>
            </w:r>
            <w:r/>
          </w:p>
        </w:tc>
      </w:tr>
      <w:tr>
        <w:trPr>
          <w:trHeight w:val="4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lang w:bidi="ar"/>
              </w:rPr>
              <w:t xml:space="preserve">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lang w:bidi="ar"/>
              </w:rPr>
              <w:t xml:space="preserve">内存条</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734"/>
              <w:jc w:val="center"/>
              <w:widowControl/>
              <w:rPr>
                <w:rFonts w:ascii="宋体" w:hAnsi="宋体" w:cs="宋体"/>
                <w:color w:val="000000"/>
                <w:lang w:bidi="ar"/>
              </w:rPr>
            </w:pPr>
            <w:r>
              <w:rPr>
                <w:rFonts w:hint="eastAsia" w:ascii="宋体" w:hAnsi="宋体" w:cs="宋体"/>
                <w:color w:val="000000"/>
                <w:lang w:bidi="ar"/>
              </w:rPr>
              <w:t xml:space="preserve">见详细技术指标要求</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lang w:bidi="ar"/>
              </w:rPr>
              <w:t xml:space="preserve">120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pStyle w:val="734"/>
              <w:jc w:val="center"/>
              <w:rPr>
                <w:rFonts w:ascii="宋体" w:hAnsi="宋体" w:cs="宋体"/>
                <w:color w:val="000000"/>
              </w:rPr>
            </w:pPr>
            <w:r>
              <w:rPr>
                <w:rFonts w:hint="eastAsia" w:ascii="宋体" w:hAnsi="宋体" w:cs="宋体"/>
                <w:color w:val="000000"/>
              </w:rPr>
              <w:t xml:space="preserve">条</w:t>
            </w:r>
            <w:r>
              <w:rPr>
                <w:rFonts w:ascii="宋体" w:hAnsi="宋体" w:cs="宋体"/>
                <w:color w:val="000000"/>
              </w:rPr>
            </w:r>
            <w:r/>
          </w:p>
        </w:tc>
      </w:tr>
    </w:tbl>
    <w:p>
      <w:pPr>
        <w:pStyle w:val="801"/>
        <w:ind w:firstLine="0"/>
        <w:rPr>
          <w:rFonts w:hint="eastAsia"/>
          <w:color w:val="000000"/>
          <w:sz w:val="24"/>
          <w:szCs w:val="24"/>
          <w:lang w:eastAsia="zh-CN"/>
        </w:rPr>
      </w:pPr>
      <w:r>
        <w:rPr>
          <w:rFonts w:hint="eastAsia"/>
          <w:color w:val="000000"/>
          <w:sz w:val="24"/>
          <w:szCs w:val="24"/>
          <w:lang w:eastAsia="zh-CN"/>
        </w:rPr>
      </w:r>
      <w:r/>
    </w:p>
    <w:p>
      <w:pPr>
        <w:pStyle w:val="734"/>
        <w:rPr>
          <w:rFonts w:ascii="宋体" w:hAnsi="宋体" w:cs="宋体"/>
          <w:b/>
          <w:bCs/>
          <w:color w:val="000000"/>
          <w:sz w:val="24"/>
          <w:szCs w:val="24"/>
        </w:rPr>
        <w:outlineLvl w:val="0"/>
      </w:pPr>
      <w:r>
        <w:rPr>
          <w:rFonts w:hint="eastAsia" w:ascii="宋体" w:hAnsi="宋体" w:cs="宋体"/>
          <w:b/>
          <w:bCs/>
          <w:color w:val="000000"/>
          <w:sz w:val="24"/>
          <w:szCs w:val="24"/>
        </w:rPr>
        <w:t xml:space="preserve">详细技术指标要求：</w:t>
      </w:r>
      <w:r>
        <w:rPr>
          <w:rFonts w:ascii="宋体" w:hAnsi="宋体" w:cs="宋体"/>
          <w:b/>
          <w:bCs/>
          <w:color w:val="000000"/>
          <w:sz w:val="24"/>
          <w:szCs w:val="24"/>
        </w:rPr>
      </w:r>
      <w:r/>
    </w:p>
    <w:p>
      <w:pPr>
        <w:pStyle w:val="738"/>
        <w:rPr>
          <w:rFonts w:ascii="宋体" w:hAnsi="宋体" w:eastAsia="宋体"/>
          <w:color w:val="000000"/>
          <w:sz w:val="24"/>
          <w:szCs w:val="24"/>
        </w:rPr>
      </w:pPr>
      <w:r>
        <w:rPr>
          <w:rFonts w:hint="eastAsia" w:ascii="宋体" w:hAnsi="宋体" w:eastAsia="宋体"/>
          <w:color w:val="000000"/>
          <w:sz w:val="24"/>
          <w:szCs w:val="24"/>
        </w:rPr>
        <w:t xml:space="preserve">4.1 数据库服务器 </w:t>
      </w:r>
      <w:r>
        <w:rPr>
          <w:rFonts w:ascii="宋体" w:hAnsi="宋体" w:eastAsia="宋体"/>
          <w:color w:val="000000"/>
          <w:sz w:val="24"/>
          <w:szCs w:val="24"/>
        </w:rPr>
        <w:t xml:space="preserve">5</w:t>
      </w:r>
      <w:r>
        <w:rPr>
          <w:rFonts w:hint="eastAsia" w:ascii="宋体" w:hAnsi="宋体" w:eastAsia="宋体"/>
          <w:color w:val="000000"/>
          <w:sz w:val="24"/>
          <w:szCs w:val="24"/>
        </w:rPr>
        <w:t xml:space="preserve">台</w:t>
      </w:r>
      <w:r>
        <w:rPr>
          <w:rFonts w:ascii="宋体" w:hAnsi="宋体" w:eastAsia="宋体"/>
          <w:color w:val="000000"/>
          <w:sz w:val="24"/>
          <w:szCs w:val="24"/>
        </w:rPr>
      </w:r>
      <w:r/>
    </w:p>
    <w:tbl>
      <w:tblPr>
        <w:tblW w:w="943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7" w:type="dxa"/>
          <w:top w:w="42" w:type="dxa"/>
          <w:right w:w="108" w:type="dxa"/>
          <w:bottom w:w="0" w:type="dxa"/>
        </w:tblCellMar>
        <w:tblLook w:val="04A0" w:firstRow="1" w:lastRow="0" w:firstColumn="1" w:lastColumn="0" w:noHBand="0" w:noVBand="1"/>
      </w:tblPr>
      <w:tblGrid>
        <w:gridCol w:w="527"/>
        <w:gridCol w:w="1417"/>
        <w:gridCol w:w="1276"/>
        <w:gridCol w:w="1559"/>
        <w:gridCol w:w="993"/>
        <w:gridCol w:w="3666"/>
      </w:tblGrid>
      <w:tr>
        <w:trPr>
          <w:trHeight w:val="910"/>
        </w:trPr>
        <w:tc>
          <w:tcPr>
            <w:tcW w:w="527" w:type="dxa"/>
            <w:vAlign w:val="center"/>
            <w:textDirection w:val="lrTb"/>
            <w:noWrap w:val="false"/>
          </w:tcPr>
          <w:p>
            <w:pPr>
              <w:pStyle w:val="734"/>
              <w:ind w:left="70"/>
              <w:jc w:val="left"/>
              <w:spacing w:line="200" w:lineRule="exact"/>
              <w:rPr>
                <w:rFonts w:ascii="宋体" w:hAnsi="宋体"/>
                <w:b/>
                <w:color w:val="000000"/>
                <w:sz w:val="18"/>
                <w:szCs w:val="18"/>
              </w:rPr>
            </w:pPr>
            <w:r>
              <w:rPr>
                <w:rFonts w:ascii="宋体" w:hAnsi="宋体" w:cs="黑体"/>
                <w:b/>
                <w:color w:val="000000"/>
                <w:sz w:val="18"/>
                <w:szCs w:val="18"/>
              </w:rPr>
              <w:t xml:space="preserve">序号</w:t>
            </w:r>
            <w:r>
              <w:rPr>
                <w:rFonts w:ascii="宋体" w:hAnsi="宋体"/>
                <w:b/>
                <w:color w:val="000000"/>
                <w:sz w:val="18"/>
                <w:szCs w:val="18"/>
              </w:rPr>
            </w:r>
            <w:r/>
          </w:p>
        </w:tc>
        <w:tc>
          <w:tcPr>
            <w:tcW w:w="1417" w:type="dxa"/>
            <w:vAlign w:val="center"/>
            <w:textDirection w:val="lrTb"/>
            <w:noWrap w:val="false"/>
          </w:tcPr>
          <w:p>
            <w:pPr>
              <w:pStyle w:val="734"/>
              <w:ind w:left="49"/>
              <w:jc w:val="center"/>
              <w:spacing w:line="200" w:lineRule="exact"/>
              <w:rPr>
                <w:rFonts w:ascii="宋体" w:hAnsi="宋体"/>
                <w:b/>
                <w:color w:val="000000"/>
                <w:sz w:val="18"/>
                <w:szCs w:val="18"/>
              </w:rPr>
            </w:pPr>
            <w:r>
              <w:rPr>
                <w:rFonts w:ascii="宋体" w:hAnsi="宋体" w:cs="黑体"/>
                <w:b/>
                <w:color w:val="000000"/>
                <w:sz w:val="18"/>
                <w:szCs w:val="18"/>
              </w:rPr>
              <w:t xml:space="preserve">指标分类</w:t>
            </w:r>
            <w:r>
              <w:rPr>
                <w:rFonts w:ascii="宋体" w:hAnsi="宋体"/>
                <w:b/>
                <w:color w:val="000000"/>
                <w:sz w:val="18"/>
                <w:szCs w:val="18"/>
              </w:rPr>
            </w:r>
            <w:r/>
          </w:p>
        </w:tc>
        <w:tc>
          <w:tcPr>
            <w:tcW w:w="1276" w:type="dxa"/>
            <w:vAlign w:val="center"/>
            <w:textDirection w:val="lrTb"/>
            <w:noWrap w:val="false"/>
          </w:tcPr>
          <w:p>
            <w:pPr>
              <w:pStyle w:val="734"/>
              <w:jc w:val="center"/>
              <w:spacing w:line="200" w:lineRule="exact"/>
              <w:rPr>
                <w:rFonts w:ascii="宋体" w:hAnsi="宋体"/>
                <w:b/>
                <w:color w:val="000000"/>
                <w:sz w:val="18"/>
                <w:szCs w:val="18"/>
              </w:rPr>
            </w:pPr>
            <w:r>
              <w:rPr>
                <w:rFonts w:ascii="宋体" w:hAnsi="宋体" w:cs="黑体"/>
                <w:b/>
                <w:color w:val="000000"/>
                <w:sz w:val="18"/>
                <w:szCs w:val="18"/>
              </w:rPr>
              <w:t xml:space="preserve">一级指标</w:t>
            </w:r>
            <w:r>
              <w:rPr>
                <w:rFonts w:ascii="宋体" w:hAnsi="宋体"/>
                <w:b/>
                <w:color w:val="000000"/>
                <w:sz w:val="18"/>
                <w:szCs w:val="18"/>
              </w:rPr>
            </w:r>
            <w:r/>
          </w:p>
        </w:tc>
        <w:tc>
          <w:tcPr>
            <w:tcW w:w="1559" w:type="dxa"/>
            <w:vAlign w:val="center"/>
            <w:textDirection w:val="lrTb"/>
            <w:noWrap w:val="false"/>
          </w:tcPr>
          <w:p>
            <w:pPr>
              <w:pStyle w:val="734"/>
              <w:ind w:left="39"/>
              <w:jc w:val="center"/>
              <w:spacing w:line="200" w:lineRule="exact"/>
              <w:rPr>
                <w:rFonts w:ascii="宋体" w:hAnsi="宋体"/>
                <w:b/>
                <w:color w:val="000000"/>
                <w:sz w:val="18"/>
                <w:szCs w:val="18"/>
              </w:rPr>
            </w:pPr>
            <w:r>
              <w:rPr>
                <w:rFonts w:ascii="宋体" w:hAnsi="宋体" w:cs="黑体"/>
                <w:b/>
                <w:color w:val="000000"/>
                <w:sz w:val="18"/>
                <w:szCs w:val="18"/>
              </w:rPr>
              <w:t xml:space="preserve">二级指标</w:t>
            </w:r>
            <w:r>
              <w:rPr>
                <w:rFonts w:ascii="宋体" w:hAnsi="宋体"/>
                <w:b/>
                <w:color w:val="000000"/>
                <w:sz w:val="18"/>
                <w:szCs w:val="18"/>
              </w:rPr>
            </w:r>
            <w:r/>
          </w:p>
        </w:tc>
        <w:tc>
          <w:tcPr>
            <w:tcW w:w="993" w:type="dxa"/>
            <w:vAlign w:val="center"/>
            <w:textDirection w:val="lrTb"/>
            <w:noWrap w:val="false"/>
          </w:tcPr>
          <w:p>
            <w:pPr>
              <w:pStyle w:val="734"/>
              <w:jc w:val="center"/>
              <w:spacing w:line="200" w:lineRule="exact"/>
              <w:rPr>
                <w:rFonts w:ascii="宋体" w:hAnsi="宋体"/>
                <w:b/>
                <w:color w:val="000000"/>
                <w:sz w:val="18"/>
                <w:szCs w:val="18"/>
              </w:rPr>
            </w:pPr>
            <w:r>
              <w:rPr>
                <w:rFonts w:ascii="宋体" w:hAnsi="宋体" w:cs="黑体"/>
                <w:b/>
                <w:color w:val="000000"/>
                <w:sz w:val="18"/>
                <w:szCs w:val="18"/>
              </w:rPr>
              <w:t xml:space="preserve">是否可以作为评分因素</w:t>
            </w:r>
            <w:r>
              <w:rPr>
                <w:rFonts w:ascii="宋体" w:hAnsi="宋体"/>
                <w:b/>
                <w:color w:val="000000"/>
                <w:sz w:val="18"/>
                <w:szCs w:val="18"/>
              </w:rPr>
            </w:r>
            <w:r/>
          </w:p>
        </w:tc>
        <w:tc>
          <w:tcPr>
            <w:tcW w:w="3666" w:type="dxa"/>
            <w:vAlign w:val="center"/>
            <w:textDirection w:val="lrTb"/>
            <w:noWrap w:val="false"/>
          </w:tcPr>
          <w:p>
            <w:pPr>
              <w:pStyle w:val="734"/>
              <w:ind w:left="2" w:firstLine="360"/>
              <w:jc w:val="center"/>
              <w:spacing w:line="200" w:lineRule="exact"/>
              <w:rPr>
                <w:rFonts w:ascii="宋体" w:hAnsi="宋体"/>
                <w:b/>
                <w:color w:val="000000"/>
                <w:sz w:val="18"/>
                <w:szCs w:val="18"/>
              </w:rPr>
            </w:pPr>
            <w:r>
              <w:rPr>
                <w:rFonts w:ascii="宋体" w:hAnsi="宋体" w:cs="黑体"/>
                <w:b/>
                <w:color w:val="000000"/>
                <w:sz w:val="18"/>
                <w:szCs w:val="18"/>
              </w:rPr>
              <w:t xml:space="preserve">指标要求</w:t>
            </w:r>
            <w:r>
              <w:rPr>
                <w:rFonts w:ascii="宋体" w:hAnsi="宋体"/>
                <w:b/>
                <w:color w:val="000000"/>
                <w:sz w:val="18"/>
                <w:szCs w:val="18"/>
              </w:rPr>
            </w:r>
            <w:r/>
          </w:p>
        </w:tc>
      </w:tr>
      <w:tr>
        <w:trPr>
          <w:trHeight w:val="970"/>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w:t>
            </w:r>
            <w:r/>
          </w:p>
        </w:tc>
        <w:tc>
          <w:tcPr>
            <w:tcW w:w="1417"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*CPU规格</w:t>
            </w:r>
            <w:r/>
          </w:p>
        </w:tc>
        <w:tc>
          <w:tcPr>
            <w:tcW w:w="1559" w:type="dxa"/>
            <w:vAlign w:val="center"/>
            <w:textDirection w:val="lrTb"/>
            <w:noWrap w:val="false"/>
          </w:tcPr>
          <w:p>
            <w:pPr>
              <w:pStyle w:val="734"/>
              <w:ind w:left="1" w:firstLine="90"/>
              <w:spacing w:line="200" w:lineRule="exact"/>
              <w:rPr>
                <w:rFonts w:ascii="宋体" w:hAnsi="宋体" w:cs="黑体"/>
                <w:color w:val="000000"/>
                <w:sz w:val="18"/>
                <w:szCs w:val="18"/>
              </w:rPr>
            </w:pPr>
            <w:r>
              <w:rPr>
                <w:rFonts w:ascii="宋体" w:hAnsi="宋体" w:cs="黑体"/>
                <w:color w:val="000000"/>
                <w:sz w:val="18"/>
                <w:szCs w:val="18"/>
              </w:rPr>
              <w:t xml:space="preserve">*CPU信息</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firstLine="360"/>
              <w:spacing w:line="200" w:lineRule="exact"/>
              <w:rPr>
                <w:rFonts w:ascii="宋体" w:hAnsi="宋体"/>
                <w:color w:val="000000"/>
                <w:sz w:val="18"/>
                <w:szCs w:val="18"/>
              </w:rPr>
            </w:pPr>
            <w:r>
              <w:rPr>
                <w:rFonts w:hint="eastAsia" w:ascii="宋体" w:hAnsi="宋体" w:cs="黑体"/>
                <w:color w:val="000000"/>
                <w:sz w:val="18"/>
                <w:szCs w:val="18"/>
              </w:rPr>
              <w:t xml:space="preserve">配置2颗鲲鹏920处理器，主频≥2.6GHz（基准频率，非动态加速频率）；核数≥32个物理核/颗，非超线程数量；内存通道为4通道，最高速率2933</w:t>
            </w:r>
            <w:r>
              <w:rPr>
                <w:rFonts w:ascii="宋体" w:hAnsi="宋体" w:cs="黑体"/>
                <w:color w:val="000000"/>
                <w:sz w:val="18"/>
                <w:szCs w:val="18"/>
              </w:rPr>
              <w:t xml:space="preserve">MH</w:t>
            </w:r>
            <w:r>
              <w:rPr>
                <w:rFonts w:hint="eastAsia" w:ascii="宋体" w:hAnsi="宋体" w:cs="黑体"/>
                <w:color w:val="000000"/>
                <w:sz w:val="18"/>
                <w:szCs w:val="18"/>
              </w:rPr>
              <w:t xml:space="preserve">z，位宽64位，功耗1</w:t>
            </w:r>
            <w:r>
              <w:rPr>
                <w:rFonts w:ascii="宋体" w:hAnsi="宋体" w:cs="黑体"/>
                <w:color w:val="000000"/>
                <w:sz w:val="18"/>
                <w:szCs w:val="18"/>
              </w:rPr>
              <w:t xml:space="preserve">15</w:t>
            </w:r>
            <w:r>
              <w:rPr>
                <w:rFonts w:hint="eastAsia" w:ascii="宋体" w:hAnsi="宋体" w:cs="黑体"/>
                <w:color w:val="000000"/>
                <w:sz w:val="18"/>
                <w:szCs w:val="18"/>
              </w:rPr>
              <w:t xml:space="preserve">w</w:t>
            </w:r>
            <w:r>
              <w:rPr>
                <w:rFonts w:ascii="宋体" w:hAnsi="宋体"/>
                <w:color w:val="000000"/>
                <w:sz w:val="18"/>
                <w:szCs w:val="18"/>
              </w:rPr>
            </w:r>
            <w:r/>
          </w:p>
        </w:tc>
      </w:tr>
      <w:tr>
        <w:trPr>
          <w:cantSplit/>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2</w:t>
            </w:r>
            <w:r/>
          </w:p>
        </w:tc>
        <w:tc>
          <w:tcPr>
            <w:tcW w:w="1417"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vMerge w:val="restart"/>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*主板规格</w:t>
            </w:r>
            <w:r/>
          </w:p>
        </w:tc>
        <w:tc>
          <w:tcPr>
            <w:tcW w:w="1559"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*主板支持的CPU和内存情况</w:t>
            </w:r>
            <w:r/>
          </w:p>
        </w:tc>
        <w:tc>
          <w:tcPr>
            <w:tcW w:w="993" w:type="dxa"/>
            <w:vAlign w:val="center"/>
            <w:textDirection w:val="lrTb"/>
            <w:noWrap w:val="false"/>
          </w:tcPr>
          <w:p>
            <w:pPr>
              <w:pStyle w:val="734"/>
              <w:ind w:left="2"/>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firstLine="360"/>
              <w:spacing w:line="200" w:lineRule="exact"/>
              <w:rPr>
                <w:rFonts w:ascii="宋体" w:hAnsi="宋体" w:cs="黑体"/>
                <w:color w:val="000000"/>
                <w:sz w:val="18"/>
                <w:szCs w:val="18"/>
              </w:rPr>
            </w:pPr>
            <w:r>
              <w:rPr>
                <w:rFonts w:hint="eastAsia" w:ascii="宋体" w:hAnsi="宋体" w:cs="黑体"/>
                <w:color w:val="000000"/>
                <w:sz w:val="18"/>
                <w:szCs w:val="18"/>
              </w:rPr>
              <w:t xml:space="preserve">支持鲲鹏9</w:t>
            </w:r>
            <w:r>
              <w:rPr>
                <w:rFonts w:ascii="宋体" w:hAnsi="宋体" w:cs="黑体"/>
                <w:color w:val="000000"/>
                <w:sz w:val="18"/>
                <w:szCs w:val="18"/>
              </w:rPr>
              <w:t xml:space="preserve">20</w:t>
            </w:r>
            <w:r>
              <w:rPr>
                <w:rFonts w:hint="eastAsia" w:ascii="宋体" w:hAnsi="宋体" w:cs="黑体"/>
                <w:color w:val="000000"/>
                <w:sz w:val="18"/>
                <w:szCs w:val="18"/>
              </w:rPr>
              <w:t xml:space="preserve">系列C</w:t>
            </w:r>
            <w:r>
              <w:rPr>
                <w:rFonts w:ascii="宋体" w:hAnsi="宋体" w:cs="黑体"/>
                <w:color w:val="000000"/>
                <w:sz w:val="18"/>
                <w:szCs w:val="18"/>
              </w:rPr>
              <w:t xml:space="preserve">PU</w:t>
            </w:r>
            <w:r>
              <w:rPr>
                <w:rFonts w:hint="eastAsia" w:ascii="宋体" w:hAnsi="宋体" w:cs="黑体"/>
                <w:color w:val="000000"/>
                <w:sz w:val="18"/>
                <w:szCs w:val="18"/>
              </w:rPr>
              <w:t xml:space="preserve"> </w:t>
            </w:r>
            <w:r>
              <w:rPr>
                <w:rFonts w:ascii="宋体" w:hAnsi="宋体" w:cs="黑体"/>
                <w:color w:val="000000"/>
                <w:sz w:val="18"/>
                <w:szCs w:val="18"/>
              </w:rPr>
              <w:t xml:space="preserve">2</w:t>
            </w:r>
            <w:r>
              <w:rPr>
                <w:rFonts w:hint="eastAsia" w:ascii="宋体" w:hAnsi="宋体" w:cs="黑体"/>
                <w:color w:val="000000"/>
                <w:sz w:val="18"/>
                <w:szCs w:val="18"/>
              </w:rPr>
              <w:t xml:space="preserve">颗，支持D</w:t>
            </w:r>
            <w:r>
              <w:rPr>
                <w:rFonts w:ascii="宋体" w:hAnsi="宋体" w:cs="黑体"/>
                <w:color w:val="000000"/>
                <w:sz w:val="18"/>
                <w:szCs w:val="18"/>
              </w:rPr>
              <w:t xml:space="preserve">DR4</w:t>
            </w:r>
            <w:r>
              <w:rPr>
                <w:rFonts w:hint="eastAsia" w:ascii="宋体" w:hAnsi="宋体" w:cs="黑体"/>
                <w:color w:val="000000"/>
                <w:sz w:val="18"/>
                <w:szCs w:val="18"/>
              </w:rPr>
              <w:t xml:space="preserve"> </w:t>
            </w:r>
            <w:r>
              <w:rPr>
                <w:rFonts w:ascii="宋体" w:hAnsi="宋体" w:cs="黑体"/>
                <w:color w:val="000000"/>
                <w:sz w:val="18"/>
                <w:szCs w:val="18"/>
              </w:rPr>
              <w:t xml:space="preserve">2933MH</w:t>
            </w:r>
            <w:r>
              <w:rPr>
                <w:rFonts w:hint="eastAsia" w:ascii="宋体" w:hAnsi="宋体" w:cs="黑体"/>
                <w:color w:val="000000"/>
                <w:sz w:val="18"/>
                <w:szCs w:val="18"/>
              </w:rPr>
              <w:t xml:space="preserve">z频率内存 </w:t>
            </w:r>
            <w:r>
              <w:rPr>
                <w:rFonts w:ascii="宋体" w:hAnsi="宋体" w:cs="黑体"/>
                <w:color w:val="000000"/>
                <w:sz w:val="18"/>
                <w:szCs w:val="18"/>
              </w:rPr>
              <w:t xml:space="preserve">16</w:t>
            </w:r>
            <w:r>
              <w:rPr>
                <w:rFonts w:hint="eastAsia" w:ascii="宋体" w:hAnsi="宋体" w:cs="黑体"/>
                <w:color w:val="000000"/>
                <w:sz w:val="18"/>
                <w:szCs w:val="18"/>
              </w:rPr>
              <w:t xml:space="preserve">根</w:t>
            </w:r>
            <w:r>
              <w:rPr>
                <w:rFonts w:ascii="宋体" w:hAnsi="宋体" w:cs="黑体"/>
                <w:color w:val="000000"/>
                <w:sz w:val="18"/>
                <w:szCs w:val="18"/>
              </w:rPr>
            </w:r>
            <w:r/>
          </w:p>
        </w:tc>
      </w:tr>
      <w:tr>
        <w:trPr>
          <w:cantSplit/>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3</w:t>
            </w:r>
            <w:r/>
          </w:p>
        </w:tc>
        <w:tc>
          <w:tcPr>
            <w:tcW w:w="1417"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vMerge w:val="continue"/>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*主板内存槽数量</w:t>
            </w:r>
            <w:r/>
          </w:p>
        </w:tc>
        <w:tc>
          <w:tcPr>
            <w:tcW w:w="993" w:type="dxa"/>
            <w:vAlign w:val="center"/>
            <w:textDirection w:val="lrTb"/>
            <w:noWrap w:val="false"/>
          </w:tcPr>
          <w:p>
            <w:pPr>
              <w:pStyle w:val="734"/>
              <w:ind w:left="2"/>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firstLine="180"/>
              <w:spacing w:line="200" w:lineRule="exact"/>
              <w:rPr>
                <w:rFonts w:ascii="宋体" w:hAnsi="宋体"/>
                <w:color w:val="000000"/>
                <w:sz w:val="18"/>
                <w:szCs w:val="18"/>
              </w:rPr>
            </w:pPr>
            <w:r>
              <w:rPr>
                <w:rFonts w:ascii="宋体" w:hAnsi="宋体" w:cs="黑体"/>
                <w:color w:val="000000"/>
                <w:sz w:val="18"/>
                <w:szCs w:val="18"/>
              </w:rPr>
              <w:t xml:space="preserve">非板载内存的可扩展插槽</w:t>
            </w:r>
            <w:r>
              <w:rPr>
                <w:rFonts w:hint="eastAsia" w:ascii="宋体" w:hAnsi="宋体" w:cs="黑体"/>
                <w:color w:val="000000"/>
                <w:sz w:val="18"/>
                <w:szCs w:val="18"/>
              </w:rPr>
              <w:t xml:space="preserve">数量≥1</w:t>
            </w:r>
            <w:r>
              <w:rPr>
                <w:rFonts w:ascii="宋体" w:hAnsi="宋体" w:cs="黑体"/>
                <w:color w:val="000000"/>
                <w:sz w:val="18"/>
                <w:szCs w:val="18"/>
              </w:rPr>
              <w:t xml:space="preserve">6个</w:t>
            </w:r>
            <w:r>
              <w:rPr>
                <w:rFonts w:ascii="宋体" w:hAnsi="宋体"/>
                <w:color w:val="000000"/>
                <w:sz w:val="18"/>
                <w:szCs w:val="18"/>
              </w:rPr>
            </w:r>
            <w:r/>
          </w:p>
        </w:tc>
      </w:tr>
      <w:tr>
        <w:trPr>
          <w:cantSplit/>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4</w:t>
            </w:r>
            <w:r/>
          </w:p>
        </w:tc>
        <w:tc>
          <w:tcPr>
            <w:tcW w:w="1417"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vMerge w:val="continue"/>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*主板存储接口</w:t>
            </w:r>
            <w:r/>
          </w:p>
        </w:tc>
        <w:tc>
          <w:tcPr>
            <w:tcW w:w="993" w:type="dxa"/>
            <w:vAlign w:val="center"/>
            <w:textDirection w:val="lrTb"/>
            <w:noWrap w:val="false"/>
          </w:tcPr>
          <w:p>
            <w:pPr>
              <w:pStyle w:val="734"/>
              <w:ind w:left="2"/>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firstLine="360"/>
              <w:spacing w:line="200" w:lineRule="exact"/>
              <w:rPr>
                <w:rFonts w:ascii="宋体" w:hAnsi="宋体"/>
                <w:color w:val="000000"/>
                <w:sz w:val="18"/>
                <w:szCs w:val="18"/>
              </w:rPr>
            </w:pPr>
            <w:r>
              <w:rPr>
                <w:rFonts w:ascii="宋体" w:hAnsi="宋体" w:cs="黑体"/>
                <w:color w:val="000000"/>
                <w:sz w:val="18"/>
                <w:szCs w:val="18"/>
              </w:rPr>
              <w:t xml:space="preserve">支持SATA、SAS等存储接口</w:t>
            </w:r>
            <w:r>
              <w:rPr>
                <w:rFonts w:ascii="宋体" w:hAnsi="宋体"/>
                <w:color w:val="000000"/>
                <w:sz w:val="18"/>
                <w:szCs w:val="18"/>
              </w:rPr>
            </w:r>
            <w:r/>
          </w:p>
        </w:tc>
      </w:tr>
      <w:tr>
        <w:trPr>
          <w:cantSplit/>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5</w:t>
            </w:r>
            <w:r/>
          </w:p>
        </w:tc>
        <w:tc>
          <w:tcPr>
            <w:tcW w:w="1417"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vMerge w:val="continue"/>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*PCIe插槽</w:t>
            </w:r>
            <w:r/>
          </w:p>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接口</w:t>
            </w:r>
            <w:r/>
          </w:p>
        </w:tc>
        <w:tc>
          <w:tcPr>
            <w:tcW w:w="993" w:type="dxa"/>
            <w:vAlign w:val="center"/>
            <w:textDirection w:val="lrTb"/>
            <w:noWrap w:val="false"/>
          </w:tcPr>
          <w:p>
            <w:pPr>
              <w:pStyle w:val="734"/>
              <w:ind w:left="2"/>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firstLine="360"/>
              <w:spacing w:line="200" w:lineRule="exact"/>
              <w:rPr>
                <w:rFonts w:ascii="宋体" w:hAnsi="宋体"/>
                <w:color w:val="000000"/>
                <w:sz w:val="18"/>
                <w:szCs w:val="18"/>
              </w:rPr>
            </w:pPr>
            <w:r>
              <w:rPr>
                <w:rFonts w:ascii="宋体" w:hAnsi="宋体" w:cs="黑体"/>
                <w:color w:val="000000"/>
                <w:sz w:val="18"/>
                <w:szCs w:val="18"/>
              </w:rPr>
              <w:t xml:space="preserve">符合PCIe3.0或以上的高速串行计算机扩展总线标准，PCIe的接口速率与位宽向下兼容</w:t>
            </w:r>
            <w:r>
              <w:rPr>
                <w:rFonts w:ascii="宋体" w:hAnsi="宋体"/>
                <w:color w:val="000000"/>
                <w:sz w:val="18"/>
                <w:szCs w:val="18"/>
              </w:rPr>
            </w:r>
            <w:r/>
          </w:p>
        </w:tc>
      </w:tr>
      <w:tr>
        <w:trPr>
          <w:cantSplit/>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6</w:t>
            </w:r>
            <w:r/>
          </w:p>
        </w:tc>
        <w:tc>
          <w:tcPr>
            <w:tcW w:w="1417"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vMerge w:val="continue"/>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*主板PCIe 插槽数量及规格</w:t>
            </w:r>
            <w:r/>
          </w:p>
        </w:tc>
        <w:tc>
          <w:tcPr>
            <w:tcW w:w="993" w:type="dxa"/>
            <w:vAlign w:val="center"/>
            <w:textDirection w:val="lrTb"/>
            <w:noWrap w:val="false"/>
          </w:tcPr>
          <w:p>
            <w:pPr>
              <w:pStyle w:val="734"/>
              <w:ind w:left="2"/>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firstLine="360"/>
              <w:spacing w:line="200" w:lineRule="exact"/>
              <w:rPr>
                <w:rFonts w:ascii="宋体" w:hAnsi="宋体"/>
                <w:color w:val="000000"/>
                <w:sz w:val="18"/>
                <w:szCs w:val="18"/>
              </w:rPr>
            </w:pPr>
            <w:r>
              <w:rPr>
                <w:rFonts w:ascii="宋体" w:hAnsi="宋体" w:cs="黑体"/>
                <w:color w:val="000000"/>
                <w:sz w:val="18"/>
                <w:szCs w:val="18"/>
              </w:rPr>
              <w:t xml:space="preserve">服务器PCIe插槽或接口</w:t>
            </w:r>
            <w:r>
              <w:rPr>
                <w:rFonts w:hint="eastAsia" w:ascii="宋体" w:hAnsi="宋体" w:cs="黑体"/>
                <w:color w:val="000000"/>
                <w:sz w:val="18"/>
                <w:szCs w:val="18"/>
              </w:rPr>
              <w:t xml:space="preserve">数量≥</w:t>
            </w:r>
            <w:r>
              <w:rPr>
                <w:rFonts w:ascii="宋体" w:hAnsi="宋体" w:cs="黑体"/>
                <w:color w:val="000000"/>
                <w:sz w:val="18"/>
                <w:szCs w:val="18"/>
              </w:rPr>
              <w:t xml:space="preserve">5个</w:t>
            </w:r>
            <w:r>
              <w:rPr>
                <w:rFonts w:ascii="宋体" w:hAnsi="宋体"/>
                <w:color w:val="000000"/>
                <w:sz w:val="18"/>
                <w:szCs w:val="18"/>
              </w:rPr>
            </w:r>
            <w:r/>
          </w:p>
        </w:tc>
      </w:tr>
      <w:tr>
        <w:trPr>
          <w:cantSplit/>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7</w:t>
            </w:r>
            <w:r/>
          </w:p>
        </w:tc>
        <w:tc>
          <w:tcPr>
            <w:tcW w:w="1417" w:type="dxa"/>
            <w:vAlign w:val="center"/>
            <w:textDirection w:val="lrTb"/>
            <w:noWrap w:val="false"/>
          </w:tcPr>
          <w:p>
            <w:pPr>
              <w:pStyle w:val="734"/>
              <w:ind w:left="49"/>
              <w:spacing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vMerge w:val="continue"/>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特殊孔位及接口</w:t>
            </w:r>
            <w:r/>
          </w:p>
        </w:tc>
        <w:tc>
          <w:tcPr>
            <w:tcW w:w="993" w:type="dxa"/>
            <w:vAlign w:val="center"/>
            <w:textDirection w:val="lrTb"/>
            <w:noWrap w:val="false"/>
          </w:tcPr>
          <w:p>
            <w:pPr>
              <w:pStyle w:val="734"/>
              <w:ind w:left="2"/>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firstLine="360"/>
              <w:spacing w:line="200" w:lineRule="exact"/>
              <w:rPr>
                <w:rFonts w:ascii="宋体" w:hAnsi="宋体"/>
                <w:color w:val="000000"/>
                <w:sz w:val="18"/>
                <w:szCs w:val="18"/>
              </w:rPr>
            </w:pPr>
            <w:r>
              <w:rPr>
                <w:rFonts w:ascii="宋体" w:hAnsi="宋体" w:cs="黑体"/>
                <w:color w:val="000000"/>
                <w:sz w:val="18"/>
                <w:szCs w:val="18"/>
              </w:rPr>
              <w:t xml:space="preserve">a)服务器机箱内主板可根据用户实际使用需求支持安装多功能导入装置板卡，机箱内预留多功能导入装置板卡安装位置，容量不小于55mm×45mm×15mm（长×宽×高，单位毫米）；</w:t>
            </w:r>
            <w:r>
              <w:rPr>
                <w:rFonts w:ascii="宋体" w:hAnsi="宋体"/>
                <w:color w:val="000000"/>
                <w:sz w:val="18"/>
                <w:szCs w:val="18"/>
              </w:rPr>
            </w:r>
            <w:r/>
          </w:p>
          <w:p>
            <w:pPr>
              <w:pStyle w:val="734"/>
              <w:ind w:firstLine="360"/>
              <w:spacing w:line="200" w:lineRule="exact"/>
              <w:rPr>
                <w:rFonts w:ascii="宋体" w:hAnsi="宋体"/>
                <w:color w:val="000000"/>
                <w:sz w:val="18"/>
                <w:szCs w:val="18"/>
              </w:rPr>
            </w:pPr>
            <w:r>
              <w:rPr>
                <w:rFonts w:ascii="宋体" w:hAnsi="宋体" w:cs="黑体"/>
                <w:color w:val="000000"/>
                <w:sz w:val="18"/>
                <w:szCs w:val="18"/>
              </w:rPr>
              <w:t xml:space="preserve">b)服务器主板可根据用户实际使用需求预留满足USB3.0数据传输规范的接口，工作电压5V</w:t>
            </w:r>
            <w:r>
              <w:rPr>
                <w:rFonts w:ascii="宋体" w:hAnsi="宋体"/>
                <w:color w:val="000000"/>
                <w:sz w:val="18"/>
                <w:szCs w:val="18"/>
              </w:rPr>
            </w:r>
            <w:r/>
          </w:p>
        </w:tc>
      </w:tr>
      <w:tr>
        <w:trPr>
          <w:cantSplit/>
          <w:trHeight w:val="641"/>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8</w:t>
            </w:r>
            <w:r/>
          </w:p>
        </w:tc>
        <w:tc>
          <w:tcPr>
            <w:tcW w:w="1417" w:type="dxa"/>
            <w:vAlign w:val="center"/>
            <w:textDirection w:val="lrTb"/>
            <w:noWrap w:val="false"/>
          </w:tcPr>
          <w:p>
            <w:pPr>
              <w:pStyle w:val="734"/>
              <w:ind w:left="49"/>
              <w:spacing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vMerge w:val="continue"/>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板载网络接口</w:t>
            </w:r>
            <w:r/>
          </w:p>
        </w:tc>
        <w:tc>
          <w:tcPr>
            <w:tcW w:w="993" w:type="dxa"/>
            <w:vAlign w:val="center"/>
            <w:textDirection w:val="lrTb"/>
            <w:noWrap w:val="false"/>
          </w:tcPr>
          <w:p>
            <w:pPr>
              <w:pStyle w:val="734"/>
              <w:ind w:left="2"/>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firstLine="360"/>
              <w:spacing w:line="200" w:lineRule="exact"/>
              <w:rPr>
                <w:rFonts w:ascii="宋体" w:hAnsi="宋体"/>
                <w:color w:val="000000"/>
                <w:sz w:val="18"/>
                <w:szCs w:val="18"/>
              </w:rPr>
            </w:pPr>
            <w:r>
              <w:rPr>
                <w:rFonts w:ascii="宋体" w:hAnsi="宋体" w:cs="黑体"/>
                <w:color w:val="000000"/>
                <w:sz w:val="18"/>
                <w:szCs w:val="18"/>
              </w:rPr>
              <w:t xml:space="preserve">板载网络接口</w:t>
            </w:r>
            <w:r>
              <w:rPr>
                <w:rFonts w:hint="eastAsia" w:ascii="宋体" w:hAnsi="宋体" w:cs="黑体"/>
                <w:color w:val="000000"/>
                <w:sz w:val="18"/>
                <w:szCs w:val="18"/>
              </w:rPr>
              <w:t xml:space="preserve">≥</w:t>
            </w:r>
            <w:r>
              <w:rPr>
                <w:rFonts w:ascii="宋体" w:hAnsi="宋体" w:cs="黑体"/>
                <w:color w:val="000000"/>
                <w:sz w:val="18"/>
                <w:szCs w:val="18"/>
              </w:rPr>
              <w:t xml:space="preserve">1个1GE网口</w:t>
            </w:r>
            <w:r>
              <w:rPr>
                <w:rFonts w:ascii="宋体" w:hAnsi="宋体"/>
                <w:color w:val="000000"/>
                <w:sz w:val="18"/>
                <w:szCs w:val="18"/>
              </w:rPr>
            </w:r>
            <w:r/>
          </w:p>
        </w:tc>
      </w:tr>
      <w:tr>
        <w:trPr>
          <w:cantSplit/>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9</w:t>
            </w:r>
            <w:r/>
          </w:p>
        </w:tc>
        <w:tc>
          <w:tcPr>
            <w:tcW w:w="1417" w:type="dxa"/>
            <w:vAlign w:val="center"/>
            <w:textDirection w:val="lrTb"/>
            <w:noWrap w:val="false"/>
          </w:tcPr>
          <w:p>
            <w:pPr>
              <w:pStyle w:val="734"/>
              <w:ind w:left="49"/>
              <w:spacing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vMerge w:val="continue"/>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主板OCP插槽数量</w:t>
            </w:r>
            <w:r/>
          </w:p>
        </w:tc>
        <w:tc>
          <w:tcPr>
            <w:tcW w:w="993" w:type="dxa"/>
            <w:vAlign w:val="center"/>
            <w:textDirection w:val="lrTb"/>
            <w:noWrap w:val="false"/>
          </w:tcPr>
          <w:p>
            <w:pPr>
              <w:pStyle w:val="734"/>
              <w:ind w:left="2"/>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firstLine="360"/>
              <w:spacing w:line="200" w:lineRule="exact"/>
              <w:rPr>
                <w:rFonts w:ascii="宋体" w:hAnsi="宋体"/>
                <w:color w:val="000000"/>
                <w:sz w:val="18"/>
                <w:szCs w:val="18"/>
              </w:rPr>
            </w:pPr>
            <w:r>
              <w:rPr>
                <w:rFonts w:ascii="宋体" w:hAnsi="宋体" w:cs="黑体"/>
                <w:color w:val="000000"/>
                <w:sz w:val="18"/>
                <w:szCs w:val="18"/>
              </w:rPr>
              <w:t xml:space="preserve">支持OCP2.0及以上插槽的数量</w:t>
            </w:r>
            <w:r>
              <w:rPr>
                <w:rFonts w:hint="eastAsia" w:ascii="宋体" w:hAnsi="宋体" w:cs="黑体"/>
                <w:color w:val="000000"/>
                <w:sz w:val="18"/>
                <w:szCs w:val="18"/>
              </w:rPr>
              <w:t xml:space="preserve">≥</w:t>
            </w:r>
            <w:r>
              <w:rPr>
                <w:rFonts w:ascii="宋体" w:hAnsi="宋体" w:cs="黑体"/>
                <w:color w:val="000000"/>
                <w:sz w:val="18"/>
                <w:szCs w:val="18"/>
              </w:rPr>
              <w:t xml:space="preserve">1个</w:t>
            </w:r>
            <w:r>
              <w:rPr>
                <w:rFonts w:ascii="宋体" w:hAnsi="宋体"/>
                <w:color w:val="000000"/>
                <w:sz w:val="18"/>
                <w:szCs w:val="18"/>
              </w:rPr>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10</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*内存规格</w:t>
            </w:r>
            <w:r/>
          </w:p>
        </w:tc>
        <w:tc>
          <w:tcPr>
            <w:tcW w:w="1559" w:type="dxa"/>
            <w:vAlign w:val="center"/>
            <w:textDirection w:val="lrTb"/>
            <w:noWrap w:val="false"/>
          </w:tcPr>
          <w:p>
            <w:pPr>
              <w:pStyle w:val="734"/>
              <w:ind w:firstLine="360"/>
              <w:spacing w:line="200" w:lineRule="exact"/>
              <w:rPr>
                <w:rFonts w:ascii="宋体" w:hAnsi="宋体" w:cs="黑体"/>
                <w:color w:val="000000"/>
                <w:sz w:val="18"/>
                <w:szCs w:val="18"/>
              </w:rPr>
            </w:pPr>
            <w:r>
              <w:rPr>
                <w:rFonts w:ascii="宋体" w:hAnsi="宋体" w:cs="黑体"/>
                <w:color w:val="000000"/>
                <w:sz w:val="18"/>
                <w:szCs w:val="18"/>
              </w:rPr>
              <w:t xml:space="preserve">*内存数量</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firstLine="360"/>
              <w:spacing w:before="312" w:line="200" w:lineRule="exact"/>
              <w:rPr>
                <w:rFonts w:ascii="宋体" w:hAnsi="宋体"/>
                <w:color w:val="000000"/>
                <w:sz w:val="18"/>
                <w:szCs w:val="18"/>
              </w:rPr>
            </w:pPr>
            <w:r>
              <w:rPr>
                <w:rFonts w:hint="eastAsia" w:ascii="宋体" w:hAnsi="宋体" w:cs="黑体"/>
                <w:color w:val="000000"/>
                <w:sz w:val="18"/>
                <w:szCs w:val="18"/>
              </w:rPr>
              <w:t xml:space="preserve">8根</w:t>
            </w:r>
            <w:r>
              <w:rPr>
                <w:rFonts w:ascii="宋体" w:hAnsi="宋体"/>
                <w:color w:val="000000"/>
                <w:sz w:val="18"/>
                <w:szCs w:val="18"/>
              </w:rPr>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11</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ind w:firstLine="360"/>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*内存规格</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firstLine="360"/>
              <w:spacing w:before="312" w:line="200" w:lineRule="exact"/>
              <w:rPr>
                <w:rFonts w:ascii="宋体" w:hAnsi="宋体"/>
                <w:color w:val="000000"/>
                <w:sz w:val="18"/>
                <w:szCs w:val="18"/>
              </w:rPr>
            </w:pPr>
            <w:r>
              <w:rPr>
                <w:rFonts w:ascii="宋体" w:hAnsi="宋体" w:cs="黑体"/>
                <w:color w:val="000000"/>
                <w:sz w:val="18"/>
                <w:szCs w:val="18"/>
              </w:rPr>
              <w:t xml:space="preserve">DDR4 32GB</w:t>
            </w:r>
            <w:r>
              <w:rPr>
                <w:rFonts w:ascii="宋体" w:hAnsi="宋体"/>
                <w:color w:val="000000"/>
                <w:sz w:val="18"/>
                <w:szCs w:val="18"/>
              </w:rPr>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12</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ind w:firstLine="360"/>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*内存通道</w:t>
            </w:r>
            <w:r/>
          </w:p>
        </w:tc>
        <w:tc>
          <w:tcPr>
            <w:tcW w:w="993" w:type="dxa"/>
            <w:vAlign w:val="center"/>
            <w:textDirection w:val="lrTb"/>
            <w:noWrap w:val="false"/>
          </w:tcPr>
          <w:p>
            <w:pPr>
              <w:pStyle w:val="734"/>
              <w:spacing w:line="200" w:lineRule="exact"/>
              <w:rPr>
                <w:rFonts w:hint="eastAsia" w:ascii="宋体" w:hAnsi="宋体" w:cs="黑体"/>
                <w:color w:val="000000"/>
                <w:sz w:val="18"/>
                <w:szCs w:val="18"/>
              </w:rPr>
            </w:pPr>
            <w:r>
              <w:rPr>
                <w:rFonts w:hint="eastAsia" w:ascii="宋体" w:hAnsi="宋体" w:cs="黑体"/>
                <w:color w:val="000000"/>
                <w:sz w:val="18"/>
                <w:szCs w:val="18"/>
              </w:rPr>
              <w:t xml:space="preserve">否</w:t>
            </w:r>
            <w:r/>
          </w:p>
        </w:tc>
        <w:tc>
          <w:tcPr>
            <w:tcW w:w="3666" w:type="dxa"/>
            <w:vAlign w:val="center"/>
            <w:textDirection w:val="lrTb"/>
            <w:noWrap w:val="false"/>
          </w:tcPr>
          <w:p>
            <w:pPr>
              <w:pStyle w:val="734"/>
              <w:spacing w:before="312" w:line="200" w:lineRule="exact"/>
              <w:rPr>
                <w:rFonts w:ascii="宋体" w:hAnsi="宋体"/>
                <w:color w:val="000000"/>
                <w:sz w:val="18"/>
                <w:szCs w:val="18"/>
              </w:rPr>
            </w:pPr>
            <w:r>
              <w:rPr>
                <w:rFonts w:ascii="宋体" w:hAnsi="宋体" w:cs="黑体"/>
                <w:color w:val="000000"/>
                <w:sz w:val="18"/>
                <w:szCs w:val="18"/>
              </w:rPr>
              <w:t xml:space="preserve">支持多个内存接口通道，每个通道可支持2DPC，印制电路板上应具备插槽的序号标识，具体通道数应在随机文件中明确</w:t>
            </w:r>
            <w:r>
              <w:rPr>
                <w:rFonts w:ascii="宋体" w:hAnsi="宋体"/>
                <w:color w:val="000000"/>
                <w:sz w:val="18"/>
                <w:szCs w:val="18"/>
              </w:rPr>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13</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*存储规格</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硬盘类型</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firstLine="360"/>
              <w:spacing w:line="200" w:lineRule="exact"/>
              <w:rPr>
                <w:rFonts w:ascii="宋体" w:hAnsi="宋体"/>
                <w:color w:val="000000"/>
                <w:sz w:val="18"/>
                <w:szCs w:val="18"/>
              </w:rPr>
            </w:pPr>
            <w:r>
              <w:rPr>
                <w:rFonts w:hint="eastAsia" w:ascii="宋体" w:hAnsi="宋体"/>
                <w:color w:val="000000"/>
                <w:sz w:val="18"/>
                <w:szCs w:val="18"/>
              </w:rPr>
              <w:t xml:space="preserve">支持S</w:t>
            </w:r>
            <w:r>
              <w:rPr>
                <w:rFonts w:ascii="宋体" w:hAnsi="宋体"/>
                <w:color w:val="000000"/>
                <w:sz w:val="18"/>
                <w:szCs w:val="18"/>
              </w:rPr>
              <w:t xml:space="preserve">ATA</w:t>
            </w:r>
            <w:r>
              <w:rPr>
                <w:rFonts w:hint="eastAsia" w:ascii="宋体" w:hAnsi="宋体"/>
                <w:color w:val="000000"/>
                <w:sz w:val="18"/>
                <w:szCs w:val="18"/>
              </w:rPr>
              <w:t xml:space="preserve">、S</w:t>
            </w:r>
            <w:r>
              <w:rPr>
                <w:rFonts w:ascii="宋体" w:hAnsi="宋体"/>
                <w:color w:val="000000"/>
                <w:sz w:val="18"/>
                <w:szCs w:val="18"/>
              </w:rPr>
              <w:t xml:space="preserve">AS</w:t>
            </w:r>
            <w:r>
              <w:rPr>
                <w:rFonts w:hint="eastAsia" w:ascii="宋体" w:hAnsi="宋体"/>
                <w:color w:val="000000"/>
                <w:sz w:val="18"/>
                <w:szCs w:val="18"/>
              </w:rPr>
              <w:t xml:space="preserve">、S</w:t>
            </w:r>
            <w:r>
              <w:rPr>
                <w:rFonts w:ascii="宋体" w:hAnsi="宋体"/>
                <w:color w:val="000000"/>
                <w:sz w:val="18"/>
                <w:szCs w:val="18"/>
              </w:rPr>
              <w:t xml:space="preserve">SD</w:t>
            </w:r>
            <w:r>
              <w:rPr>
                <w:rFonts w:hint="eastAsia" w:ascii="宋体" w:hAnsi="宋体"/>
                <w:color w:val="000000"/>
                <w:sz w:val="18"/>
                <w:szCs w:val="18"/>
              </w:rPr>
              <w:t xml:space="preserve">硬盘</w:t>
            </w:r>
            <w:r>
              <w:rPr>
                <w:rFonts w:ascii="宋体" w:hAnsi="宋体"/>
                <w:color w:val="000000"/>
                <w:sz w:val="18"/>
                <w:szCs w:val="18"/>
              </w:rPr>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14</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ind w:firstLine="360"/>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*硬磁盘实配容量</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是</w:t>
            </w:r>
            <w:r/>
          </w:p>
        </w:tc>
        <w:tc>
          <w:tcPr>
            <w:tcW w:w="3666" w:type="dxa"/>
            <w:vAlign w:val="center"/>
            <w:textDirection w:val="lrTb"/>
            <w:noWrap w:val="false"/>
          </w:tcPr>
          <w:p>
            <w:pPr>
              <w:pStyle w:val="734"/>
              <w:ind w:left="1" w:firstLine="360"/>
              <w:spacing w:line="200" w:lineRule="exact"/>
              <w:rPr>
                <w:rFonts w:ascii="宋体" w:hAnsi="宋体"/>
                <w:color w:val="000000"/>
                <w:sz w:val="18"/>
                <w:szCs w:val="18"/>
              </w:rPr>
            </w:pPr>
            <w:r>
              <w:rPr>
                <w:rFonts w:hint="eastAsia" w:ascii="宋体" w:hAnsi="宋体"/>
                <w:color w:val="000000"/>
                <w:sz w:val="18"/>
                <w:szCs w:val="18"/>
              </w:rPr>
              <w:t xml:space="preserve">配置6</w:t>
            </w:r>
            <w:r>
              <w:rPr>
                <w:rFonts w:ascii="宋体" w:hAnsi="宋体"/>
                <w:color w:val="000000"/>
                <w:sz w:val="18"/>
                <w:szCs w:val="18"/>
              </w:rPr>
              <w:t xml:space="preserve">00GB</w:t>
            </w:r>
            <w:r>
              <w:rPr>
                <w:rFonts w:hint="eastAsia" w:ascii="宋体" w:hAnsi="宋体"/>
                <w:color w:val="000000"/>
                <w:sz w:val="18"/>
                <w:szCs w:val="18"/>
              </w:rPr>
              <w:t xml:space="preserve">、1</w:t>
            </w:r>
            <w:r>
              <w:rPr>
                <w:rFonts w:ascii="宋体" w:hAnsi="宋体"/>
                <w:color w:val="000000"/>
                <w:sz w:val="18"/>
                <w:szCs w:val="18"/>
              </w:rPr>
              <w:t xml:space="preserve">.2TB</w:t>
            </w:r>
            <w:r>
              <w:rPr>
                <w:rFonts w:hint="eastAsia" w:ascii="宋体" w:hAnsi="宋体"/>
                <w:color w:val="000000"/>
                <w:sz w:val="18"/>
                <w:szCs w:val="18"/>
              </w:rPr>
              <w:t xml:space="preserve">容量硬盘</w:t>
            </w:r>
            <w:r>
              <w:rPr>
                <w:rFonts w:ascii="宋体" w:hAnsi="宋体"/>
                <w:color w:val="000000"/>
                <w:sz w:val="18"/>
                <w:szCs w:val="18"/>
              </w:rPr>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15</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ind w:firstLine="360"/>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硬盘接口类型</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firstLine="360"/>
              <w:spacing w:line="200" w:lineRule="exact"/>
              <w:rPr>
                <w:rFonts w:ascii="宋体" w:hAnsi="宋体"/>
                <w:color w:val="000000"/>
                <w:sz w:val="18"/>
                <w:szCs w:val="18"/>
              </w:rPr>
            </w:pPr>
            <w:r>
              <w:rPr>
                <w:rFonts w:ascii="宋体" w:hAnsi="宋体" w:cs="黑体"/>
                <w:color w:val="000000"/>
                <w:sz w:val="18"/>
                <w:szCs w:val="18"/>
              </w:rPr>
              <w:t xml:space="preserve">配备硬磁盘，应提供SAS 3.0接口</w:t>
            </w:r>
            <w:r>
              <w:rPr>
                <w:rFonts w:ascii="宋体" w:hAnsi="宋体"/>
                <w:color w:val="000000"/>
                <w:sz w:val="18"/>
                <w:szCs w:val="18"/>
              </w:rPr>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16</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ind w:firstLine="360"/>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*硬盘实配数量</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firstLine="360"/>
              <w:spacing w:line="200" w:lineRule="exact"/>
              <w:rPr>
                <w:rFonts w:ascii="宋体" w:hAnsi="宋体"/>
                <w:color w:val="000000"/>
                <w:sz w:val="18"/>
                <w:szCs w:val="18"/>
              </w:rPr>
            </w:pPr>
            <w:r>
              <w:rPr>
                <w:rFonts w:ascii="宋体" w:hAnsi="宋体" w:cs="黑体"/>
                <w:color w:val="000000"/>
                <w:sz w:val="18"/>
                <w:szCs w:val="18"/>
              </w:rPr>
              <w:t xml:space="preserve">实配</w:t>
            </w:r>
            <w:r>
              <w:rPr>
                <w:rFonts w:hint="eastAsia" w:ascii="宋体" w:hAnsi="宋体" w:cs="黑体"/>
                <w:color w:val="000000"/>
                <w:sz w:val="18"/>
                <w:szCs w:val="18"/>
              </w:rPr>
              <w:t xml:space="preserve">6</w:t>
            </w:r>
            <w:r>
              <w:rPr>
                <w:rFonts w:ascii="宋体" w:hAnsi="宋体" w:cs="黑体"/>
                <w:color w:val="000000"/>
                <w:sz w:val="18"/>
                <w:szCs w:val="18"/>
              </w:rPr>
              <w:t xml:space="preserve">00GB SAS硬磁盘数量</w:t>
            </w:r>
            <w:r>
              <w:rPr>
                <w:rFonts w:hint="eastAsia" w:ascii="宋体" w:hAnsi="宋体" w:cs="黑体"/>
                <w:color w:val="000000"/>
                <w:sz w:val="18"/>
                <w:szCs w:val="18"/>
              </w:rPr>
              <w:t xml:space="preserve">4</w:t>
            </w:r>
            <w:r>
              <w:rPr>
                <w:rFonts w:ascii="宋体" w:hAnsi="宋体" w:cs="黑体"/>
                <w:color w:val="000000"/>
                <w:sz w:val="18"/>
                <w:szCs w:val="18"/>
              </w:rPr>
              <w:t xml:space="preserve">块，</w:t>
            </w:r>
            <w:r>
              <w:rPr>
                <w:rFonts w:hint="eastAsia" w:ascii="宋体" w:hAnsi="宋体" w:cs="黑体"/>
                <w:color w:val="000000"/>
                <w:sz w:val="18"/>
                <w:szCs w:val="18"/>
              </w:rPr>
              <w:t xml:space="preserve">1</w:t>
            </w:r>
            <w:r>
              <w:rPr>
                <w:rFonts w:ascii="宋体" w:hAnsi="宋体" w:cs="黑体"/>
                <w:color w:val="000000"/>
                <w:sz w:val="18"/>
                <w:szCs w:val="18"/>
              </w:rPr>
              <w:t xml:space="preserve">.2TB SAS</w:t>
            </w:r>
            <w:r>
              <w:rPr>
                <w:rFonts w:hint="eastAsia" w:ascii="宋体" w:hAnsi="宋体" w:cs="黑体"/>
                <w:color w:val="000000"/>
                <w:sz w:val="18"/>
                <w:szCs w:val="18"/>
              </w:rPr>
              <w:t xml:space="preserve">硬盘数量1</w:t>
            </w:r>
            <w:r>
              <w:rPr>
                <w:rFonts w:ascii="宋体" w:hAnsi="宋体" w:cs="黑体"/>
                <w:color w:val="000000"/>
                <w:sz w:val="18"/>
                <w:szCs w:val="18"/>
              </w:rPr>
              <w:t xml:space="preserve">2</w:t>
            </w:r>
            <w:r>
              <w:rPr>
                <w:rFonts w:hint="eastAsia" w:ascii="宋体" w:hAnsi="宋体" w:cs="黑体"/>
                <w:color w:val="000000"/>
                <w:sz w:val="18"/>
                <w:szCs w:val="18"/>
              </w:rPr>
              <w:t xml:space="preserve">块</w:t>
            </w:r>
            <w:r>
              <w:rPr>
                <w:rFonts w:ascii="宋体" w:hAnsi="宋体"/>
                <w:color w:val="000000"/>
                <w:sz w:val="18"/>
                <w:szCs w:val="18"/>
              </w:rPr>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17</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ind w:firstLine="360"/>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*硬盘插槽数量及规格</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firstLine="360"/>
              <w:spacing w:line="200" w:lineRule="exact"/>
              <w:widowControl/>
              <w:rPr>
                <w:rFonts w:ascii="宋体" w:hAnsi="宋体"/>
                <w:color w:val="000000"/>
                <w:sz w:val="18"/>
                <w:szCs w:val="18"/>
              </w:rPr>
            </w:pPr>
            <w:r>
              <w:rPr>
                <w:rFonts w:ascii="宋体" w:hAnsi="宋体" w:cs="黑体"/>
                <w:color w:val="000000"/>
                <w:sz w:val="18"/>
                <w:szCs w:val="18"/>
              </w:rPr>
              <w:t xml:space="preserve">配置的硬盘尺寸</w:t>
            </w:r>
            <w:r>
              <w:rPr>
                <w:rFonts w:hint="eastAsia" w:ascii="宋体" w:hAnsi="宋体" w:cs="黑体"/>
                <w:color w:val="000000"/>
                <w:sz w:val="18"/>
                <w:szCs w:val="18"/>
              </w:rPr>
              <w:t xml:space="preserve">为</w:t>
            </w:r>
            <w:r>
              <w:rPr>
                <w:rFonts w:ascii="宋体" w:hAnsi="宋体" w:cs="黑体"/>
                <w:color w:val="000000"/>
                <w:sz w:val="18"/>
                <w:szCs w:val="18"/>
              </w:rPr>
              <w:t xml:space="preserve">2.5英寸硬磁盘；</w:t>
            </w:r>
            <w:r>
              <w:rPr>
                <w:rFonts w:ascii="宋体" w:hAnsi="宋体"/>
                <w:color w:val="000000"/>
                <w:sz w:val="18"/>
                <w:szCs w:val="18"/>
              </w:rPr>
            </w:r>
            <w:r/>
          </w:p>
          <w:p>
            <w:pPr>
              <w:pStyle w:val="734"/>
              <w:ind w:left="1" w:firstLine="360"/>
              <w:spacing w:line="200" w:lineRule="exact"/>
              <w:widowControl/>
              <w:rPr>
                <w:rFonts w:ascii="宋体" w:hAnsi="宋体"/>
                <w:color w:val="000000"/>
                <w:sz w:val="18"/>
                <w:szCs w:val="18"/>
              </w:rPr>
            </w:pPr>
            <w:r>
              <w:rPr>
                <w:rFonts w:ascii="宋体" w:hAnsi="宋体" w:cs="黑体"/>
                <w:color w:val="000000"/>
                <w:sz w:val="18"/>
                <w:szCs w:val="18"/>
              </w:rPr>
              <w:t xml:space="preserve">服务器可支持的硬盘数量应不少于</w:t>
            </w:r>
            <w:r>
              <w:rPr>
                <w:rFonts w:hint="eastAsia" w:ascii="宋体" w:hAnsi="宋体" w:cs="黑体"/>
                <w:color w:val="000000"/>
                <w:sz w:val="18"/>
                <w:szCs w:val="18"/>
              </w:rPr>
              <w:t xml:space="preserve">1</w:t>
            </w:r>
            <w:r>
              <w:rPr>
                <w:rFonts w:ascii="宋体" w:hAnsi="宋体" w:cs="黑体"/>
                <w:color w:val="000000"/>
                <w:sz w:val="18"/>
                <w:szCs w:val="18"/>
              </w:rPr>
              <w:t xml:space="preserve">2块。</w:t>
            </w:r>
            <w:r>
              <w:rPr>
                <w:rFonts w:ascii="宋体" w:hAnsi="宋体"/>
                <w:color w:val="000000"/>
                <w:sz w:val="18"/>
                <w:szCs w:val="18"/>
              </w:rPr>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18</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ind w:firstLine="360"/>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硬盘其他参数要求</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firstLine="360"/>
              <w:spacing w:line="200" w:lineRule="exact"/>
              <w:rPr>
                <w:rFonts w:ascii="宋体" w:hAnsi="宋体"/>
                <w:color w:val="000000"/>
                <w:sz w:val="18"/>
                <w:szCs w:val="18"/>
              </w:rPr>
            </w:pPr>
            <w:r>
              <w:rPr>
                <w:rFonts w:ascii="宋体" w:hAnsi="宋体" w:cs="黑体"/>
                <w:color w:val="000000"/>
                <w:sz w:val="18"/>
                <w:szCs w:val="18"/>
              </w:rPr>
              <w:t xml:space="preserve">机械硬盘准备时间应</w:t>
            </w:r>
            <w:r>
              <w:rPr>
                <w:rFonts w:hint="eastAsia" w:ascii="宋体" w:hAnsi="宋体" w:cs="黑体"/>
                <w:color w:val="000000"/>
                <w:sz w:val="18"/>
                <w:szCs w:val="18"/>
              </w:rPr>
              <w:t xml:space="preserve">小于</w:t>
            </w:r>
            <w:r>
              <w:rPr>
                <w:rFonts w:ascii="宋体" w:hAnsi="宋体" w:cs="黑体"/>
                <w:color w:val="000000"/>
                <w:sz w:val="18"/>
                <w:szCs w:val="18"/>
              </w:rPr>
              <w:t xml:space="preserve">30s；侧面固定螺丝孔数量可为4孔或6 孔；工作状态环境温度应满足5℃~55℃，其它参数符合GB/T12628 的相关规定；</w:t>
            </w:r>
            <w:r>
              <w:rPr>
                <w:rFonts w:ascii="宋体" w:hAnsi="宋体"/>
                <w:color w:val="000000"/>
                <w:sz w:val="18"/>
                <w:szCs w:val="18"/>
              </w:rPr>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19</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RAID 卡规格（若支持 RAID 卡）</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RAID卡支持的SAS接口数</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是</w:t>
            </w:r>
            <w:r/>
          </w:p>
        </w:tc>
        <w:tc>
          <w:tcPr>
            <w:tcW w:w="3666" w:type="dxa"/>
            <w:vAlign w:val="center"/>
            <w:textDirection w:val="lrTb"/>
            <w:noWrap w:val="false"/>
          </w:tcPr>
          <w:p>
            <w:pPr>
              <w:pStyle w:val="734"/>
              <w:ind w:left="1" w:firstLine="360"/>
              <w:spacing w:line="200" w:lineRule="exact"/>
              <w:rPr>
                <w:rFonts w:ascii="宋体" w:hAnsi="宋体"/>
                <w:color w:val="000000"/>
                <w:sz w:val="18"/>
                <w:szCs w:val="18"/>
              </w:rPr>
            </w:pPr>
            <w:r>
              <w:rPr>
                <w:rFonts w:ascii="宋体" w:hAnsi="宋体" w:cs="黑体"/>
                <w:color w:val="000000"/>
                <w:sz w:val="18"/>
                <w:szCs w:val="18"/>
              </w:rPr>
              <w:t xml:space="preserve">≥8</w:t>
            </w:r>
            <w:r>
              <w:rPr>
                <w:rFonts w:ascii="宋体" w:hAnsi="宋体"/>
                <w:color w:val="000000"/>
                <w:sz w:val="18"/>
                <w:szCs w:val="18"/>
              </w:rPr>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20</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SAS直通卡规格 (若支持SAS 直通卡)</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SAS直通卡SAS接口数量</w:t>
            </w:r>
            <w:r/>
          </w:p>
        </w:tc>
        <w:tc>
          <w:tcPr>
            <w:tcW w:w="993"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firstLine="360"/>
              <w:spacing w:before="312" w:line="200" w:lineRule="exact"/>
              <w:rPr>
                <w:rFonts w:ascii="宋体" w:hAnsi="宋体"/>
                <w:color w:val="000000"/>
                <w:sz w:val="18"/>
                <w:szCs w:val="18"/>
              </w:rPr>
            </w:pPr>
            <w:r>
              <w:rPr>
                <w:rFonts w:ascii="宋体" w:hAnsi="宋体" w:cs="黑体"/>
                <w:color w:val="000000"/>
                <w:sz w:val="18"/>
                <w:szCs w:val="18"/>
              </w:rPr>
              <w:t xml:space="preserve">≥0</w:t>
            </w:r>
            <w:r>
              <w:rPr>
                <w:rFonts w:ascii="宋体" w:hAnsi="宋体"/>
                <w:color w:val="000000"/>
                <w:sz w:val="18"/>
                <w:szCs w:val="18"/>
              </w:rPr>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21</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HBA卡规格 (若支持HBA 直通卡)</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HBA卡端口数量</w:t>
            </w:r>
            <w:r/>
          </w:p>
        </w:tc>
        <w:tc>
          <w:tcPr>
            <w:tcW w:w="993"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firstLine="360"/>
              <w:spacing w:before="312" w:line="200" w:lineRule="exact"/>
              <w:rPr>
                <w:rFonts w:ascii="宋体" w:hAnsi="宋体"/>
                <w:color w:val="000000"/>
                <w:sz w:val="18"/>
                <w:szCs w:val="18"/>
              </w:rPr>
            </w:pPr>
            <w:r>
              <w:rPr>
                <w:rFonts w:ascii="宋体" w:hAnsi="宋体" w:cs="黑体"/>
                <w:color w:val="000000"/>
                <w:sz w:val="18"/>
                <w:szCs w:val="18"/>
              </w:rPr>
              <w:t xml:space="preserve">≥0</w:t>
            </w:r>
            <w:r>
              <w:rPr>
                <w:rFonts w:ascii="宋体" w:hAnsi="宋体"/>
                <w:color w:val="000000"/>
                <w:sz w:val="18"/>
                <w:szCs w:val="18"/>
              </w:rPr>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22</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*网络规格</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*网口速率和数量</w:t>
            </w:r>
            <w:r/>
          </w:p>
        </w:tc>
        <w:tc>
          <w:tcPr>
            <w:tcW w:w="993"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服务器</w:t>
            </w:r>
            <w:r>
              <w:rPr>
                <w:rFonts w:hint="eastAsia" w:ascii="宋体" w:hAnsi="宋体" w:cs="黑体"/>
                <w:color w:val="000000"/>
                <w:sz w:val="18"/>
                <w:szCs w:val="18"/>
              </w:rPr>
              <w:t xml:space="preserve">千兆</w:t>
            </w:r>
            <w:r>
              <w:rPr>
                <w:rFonts w:ascii="宋体" w:hAnsi="宋体" w:cs="黑体"/>
                <w:color w:val="000000"/>
                <w:sz w:val="18"/>
                <w:szCs w:val="18"/>
              </w:rPr>
              <w:t xml:space="preserve">电口数量</w:t>
            </w:r>
            <w:r>
              <w:rPr>
                <w:rFonts w:hint="eastAsia" w:ascii="宋体" w:hAnsi="宋体" w:cs="黑体"/>
                <w:color w:val="000000"/>
                <w:sz w:val="18"/>
                <w:szCs w:val="18"/>
              </w:rPr>
              <w:t xml:space="preserve">4</w:t>
            </w:r>
            <w:r>
              <w:rPr>
                <w:rFonts w:ascii="宋体" w:hAnsi="宋体" w:cs="黑体"/>
                <w:color w:val="000000"/>
                <w:sz w:val="18"/>
                <w:szCs w:val="18"/>
              </w:rPr>
              <w:t xml:space="preserve">个</w:t>
            </w:r>
            <w:r>
              <w:rPr>
                <w:rFonts w:hint="eastAsia" w:ascii="宋体" w:hAnsi="宋体" w:cs="黑体"/>
                <w:color w:val="000000"/>
                <w:sz w:val="18"/>
                <w:szCs w:val="18"/>
              </w:rPr>
              <w:t xml:space="preserve">,万兆光口</w:t>
            </w:r>
            <w:r>
              <w:rPr>
                <w:rFonts w:ascii="宋体" w:hAnsi="宋体" w:cs="黑体"/>
                <w:color w:val="000000"/>
                <w:sz w:val="18"/>
                <w:szCs w:val="18"/>
              </w:rPr>
              <w:t xml:space="preserve">数量</w:t>
            </w:r>
            <w:r>
              <w:rPr>
                <w:rFonts w:hint="eastAsia" w:ascii="宋体" w:hAnsi="宋体" w:cs="黑体"/>
                <w:color w:val="000000"/>
                <w:sz w:val="18"/>
                <w:szCs w:val="18"/>
              </w:rPr>
              <w:t xml:space="preserve">数量2个，配置</w:t>
            </w:r>
            <w:r>
              <w:rPr>
                <w:rFonts w:ascii="宋体" w:hAnsi="宋体" w:cs="黑体"/>
                <w:color w:val="000000"/>
                <w:sz w:val="18"/>
                <w:szCs w:val="18"/>
              </w:rPr>
              <w:t xml:space="preserve">2</w:t>
            </w:r>
            <w:r>
              <w:rPr>
                <w:rFonts w:hint="eastAsia" w:ascii="宋体" w:hAnsi="宋体" w:cs="黑体"/>
                <w:color w:val="000000"/>
                <w:sz w:val="18"/>
                <w:szCs w:val="18"/>
              </w:rPr>
              <w:t xml:space="preserve">*光模块10G多模模块</w:t>
            </w:r>
            <w:r>
              <w:rPr>
                <w:rFonts w:ascii="宋体" w:hAnsi="宋体" w:cs="黑体"/>
                <w:color w:val="000000"/>
                <w:sz w:val="18"/>
                <w:szCs w:val="18"/>
              </w:rPr>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23</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存储型服务器网口速率和数量</w:t>
            </w:r>
            <w:r/>
          </w:p>
        </w:tc>
        <w:tc>
          <w:tcPr>
            <w:tcW w:w="993"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olor w:val="000000"/>
                <w:sz w:val="18"/>
                <w:szCs w:val="18"/>
              </w:rPr>
            </w:pPr>
            <w:r>
              <w:rPr>
                <w:rFonts w:ascii="宋体" w:hAnsi="宋体"/>
                <w:color w:val="000000"/>
                <w:sz w:val="18"/>
                <w:szCs w:val="18"/>
              </w:rPr>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24</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独立网卡网口数量</w:t>
            </w:r>
            <w:r/>
          </w:p>
        </w:tc>
        <w:tc>
          <w:tcPr>
            <w:tcW w:w="993"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firstLine="360"/>
              <w:spacing w:line="200" w:lineRule="exact"/>
              <w:rPr>
                <w:rFonts w:ascii="宋体" w:hAnsi="宋体"/>
                <w:color w:val="000000"/>
                <w:sz w:val="18"/>
                <w:szCs w:val="18"/>
              </w:rPr>
            </w:pPr>
            <w:r>
              <w:rPr>
                <w:rFonts w:ascii="宋体" w:hAnsi="宋体" w:cs="黑体"/>
                <w:color w:val="000000"/>
                <w:sz w:val="18"/>
                <w:szCs w:val="18"/>
              </w:rPr>
              <w:t xml:space="preserve">独立网卡网口数量≥1</w:t>
            </w:r>
            <w:r>
              <w:rPr>
                <w:rFonts w:ascii="宋体" w:hAnsi="宋体"/>
                <w:color w:val="000000"/>
                <w:sz w:val="18"/>
                <w:szCs w:val="18"/>
              </w:rPr>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25</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独立网卡接口类型</w:t>
            </w:r>
            <w:r/>
          </w:p>
        </w:tc>
        <w:tc>
          <w:tcPr>
            <w:tcW w:w="993"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firstLine="360"/>
              <w:spacing w:line="200" w:lineRule="exact"/>
              <w:rPr>
                <w:rFonts w:ascii="宋体" w:hAnsi="宋体"/>
                <w:color w:val="000000"/>
                <w:sz w:val="18"/>
                <w:szCs w:val="18"/>
              </w:rPr>
            </w:pPr>
            <w:r>
              <w:rPr>
                <w:rFonts w:ascii="宋体" w:hAnsi="宋体" w:cs="黑体"/>
                <w:color w:val="000000"/>
                <w:sz w:val="18"/>
                <w:szCs w:val="18"/>
              </w:rPr>
              <w:t xml:space="preserve">支持RJ45/SFP等</w:t>
            </w:r>
            <w:r>
              <w:rPr>
                <w:rFonts w:ascii="宋体" w:hAnsi="宋体"/>
                <w:color w:val="000000"/>
                <w:sz w:val="18"/>
                <w:szCs w:val="18"/>
              </w:rPr>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26</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板载网卡接口类型</w:t>
            </w:r>
            <w:r/>
          </w:p>
        </w:tc>
        <w:tc>
          <w:tcPr>
            <w:tcW w:w="993"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firstLine="360"/>
              <w:spacing w:line="200" w:lineRule="exact"/>
              <w:rPr>
                <w:rFonts w:ascii="宋体" w:hAnsi="宋体"/>
                <w:color w:val="000000"/>
                <w:sz w:val="18"/>
                <w:szCs w:val="18"/>
              </w:rPr>
            </w:pPr>
            <w:r>
              <w:rPr>
                <w:rFonts w:ascii="宋体" w:hAnsi="宋体" w:cs="黑体"/>
                <w:color w:val="000000"/>
                <w:sz w:val="18"/>
                <w:szCs w:val="18"/>
              </w:rPr>
              <w:t xml:space="preserve">支持RJ45</w:t>
            </w:r>
            <w:r>
              <w:rPr>
                <w:rFonts w:ascii="宋体" w:hAnsi="宋体"/>
                <w:color w:val="000000"/>
                <w:sz w:val="18"/>
                <w:szCs w:val="18"/>
              </w:rPr>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27</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*外部接口规格</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*显示接口</w:t>
            </w:r>
            <w:r/>
          </w:p>
        </w:tc>
        <w:tc>
          <w:tcPr>
            <w:tcW w:w="993"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firstLine="360"/>
              <w:spacing w:line="200" w:lineRule="exact"/>
              <w:rPr>
                <w:rFonts w:ascii="宋体" w:hAnsi="宋体"/>
                <w:color w:val="000000"/>
                <w:sz w:val="18"/>
                <w:szCs w:val="18"/>
              </w:rPr>
            </w:pPr>
            <w:r>
              <w:rPr>
                <w:rFonts w:ascii="宋体" w:hAnsi="宋体" w:cs="黑体"/>
                <w:color w:val="000000"/>
                <w:sz w:val="18"/>
                <w:szCs w:val="18"/>
              </w:rPr>
              <w:t xml:space="preserve">显示接口类型</w:t>
            </w:r>
            <w:r>
              <w:rPr>
                <w:rFonts w:hint="eastAsia" w:ascii="宋体" w:hAnsi="宋体" w:cs="黑体"/>
                <w:color w:val="000000"/>
                <w:sz w:val="18"/>
                <w:szCs w:val="18"/>
              </w:rPr>
              <w:t xml:space="preserve">为</w:t>
            </w:r>
            <w:r>
              <w:rPr>
                <w:rFonts w:ascii="宋体" w:hAnsi="宋体" w:cs="黑体"/>
                <w:color w:val="000000"/>
                <w:sz w:val="18"/>
                <w:szCs w:val="18"/>
              </w:rPr>
              <w:t xml:space="preserve">VGA</w:t>
            </w:r>
            <w:r>
              <w:rPr>
                <w:rFonts w:ascii="宋体" w:hAnsi="宋体"/>
                <w:color w:val="000000"/>
                <w:sz w:val="18"/>
                <w:szCs w:val="18"/>
              </w:rPr>
              <w:t xml:space="preserve"> </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28</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*USB接口</w:t>
            </w:r>
            <w:r/>
          </w:p>
        </w:tc>
        <w:tc>
          <w:tcPr>
            <w:tcW w:w="993"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firstLine="360"/>
              <w:spacing w:line="200" w:lineRule="exact"/>
              <w:rPr>
                <w:rFonts w:ascii="宋体" w:hAnsi="宋体"/>
                <w:color w:val="000000"/>
                <w:sz w:val="18"/>
                <w:szCs w:val="18"/>
              </w:rPr>
            </w:pPr>
            <w:r>
              <w:rPr>
                <w:rFonts w:ascii="宋体" w:hAnsi="宋体" w:cs="黑体"/>
                <w:color w:val="000000"/>
                <w:sz w:val="18"/>
                <w:szCs w:val="18"/>
              </w:rPr>
              <w:t xml:space="preserve">配备USB接口USB3.0</w:t>
            </w:r>
            <w:r>
              <w:rPr>
                <w:rFonts w:ascii="宋体" w:hAnsi="宋体"/>
                <w:color w:val="000000"/>
                <w:sz w:val="18"/>
                <w:szCs w:val="18"/>
              </w:rPr>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29</w:t>
            </w:r>
            <w:r/>
          </w:p>
        </w:tc>
        <w:tc>
          <w:tcPr>
            <w:tcW w:w="1417" w:type="dxa"/>
            <w:vAlign w:val="center"/>
            <w:textDirection w:val="lrTb"/>
            <w:noWrap w:val="false"/>
          </w:tcPr>
          <w:p>
            <w:pPr>
              <w:pStyle w:val="734"/>
              <w:spacing w:before="312"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特殊接口及孔位</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firstLine="360"/>
              <w:spacing w:line="200" w:lineRule="exact"/>
              <w:rPr>
                <w:rFonts w:ascii="宋体" w:hAnsi="宋体" w:cs="黑体"/>
                <w:color w:val="000000"/>
                <w:sz w:val="18"/>
                <w:szCs w:val="18"/>
              </w:rPr>
            </w:pPr>
            <w:r>
              <w:rPr>
                <w:rFonts w:ascii="宋体" w:hAnsi="宋体" w:cs="黑体"/>
                <w:color w:val="000000"/>
                <w:sz w:val="18"/>
                <w:szCs w:val="18"/>
              </w:rPr>
              <w:t xml:space="preserve">前面板预留1个专用USB母座接口孔位</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30</w:t>
            </w:r>
            <w:r/>
          </w:p>
        </w:tc>
        <w:tc>
          <w:tcPr>
            <w:tcW w:w="1417" w:type="dxa"/>
            <w:vAlign w:val="center"/>
            <w:textDirection w:val="lrTb"/>
            <w:noWrap w:val="false"/>
          </w:tcPr>
          <w:p>
            <w:pPr>
              <w:pStyle w:val="734"/>
              <w:spacing w:before="312" w:line="200" w:lineRule="exact"/>
              <w:rPr>
                <w:rFonts w:ascii="宋体" w:hAnsi="宋体" w:cs="黑体"/>
                <w:color w:val="000000"/>
                <w:sz w:val="18"/>
                <w:szCs w:val="18"/>
              </w:rPr>
            </w:pPr>
            <w:r>
              <w:rPr>
                <w:rFonts w:ascii="宋体" w:hAnsi="宋体" w:cs="黑体"/>
                <w:color w:val="000000"/>
                <w:sz w:val="18"/>
                <w:szCs w:val="18"/>
              </w:rPr>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其他接口</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firstLine="360"/>
              <w:spacing w:after="5" w:line="200" w:lineRule="exact"/>
              <w:rPr>
                <w:rFonts w:ascii="宋体" w:hAnsi="宋体" w:cs="黑体"/>
                <w:color w:val="000000"/>
                <w:sz w:val="18"/>
                <w:szCs w:val="18"/>
              </w:rPr>
            </w:pPr>
            <w:r>
              <w:rPr>
                <w:rFonts w:ascii="宋体" w:hAnsi="宋体" w:cs="黑体"/>
                <w:color w:val="000000"/>
                <w:sz w:val="18"/>
                <w:szCs w:val="18"/>
              </w:rPr>
              <w:t xml:space="preserve">串口数量1个，并可实现GB/T 6107或GB/T 26803.2的相关功能； </w:t>
            </w:r>
            <w:r/>
          </w:p>
          <w:p>
            <w:pPr>
              <w:pStyle w:val="734"/>
              <w:ind w:left="1" w:firstLine="360"/>
              <w:spacing w:after="5" w:line="200" w:lineRule="exact"/>
              <w:rPr>
                <w:rFonts w:ascii="宋体" w:hAnsi="宋体" w:cs="黑体"/>
                <w:color w:val="000000"/>
                <w:sz w:val="18"/>
                <w:szCs w:val="18"/>
              </w:rPr>
            </w:pPr>
            <w:r>
              <w:rPr>
                <w:rFonts w:ascii="宋体" w:hAnsi="宋体" w:cs="黑体"/>
                <w:color w:val="000000"/>
                <w:sz w:val="18"/>
                <w:szCs w:val="18"/>
              </w:rPr>
              <w:t xml:space="preserve">服务器主机前面板可根据用户实际使用需求预留1个专用USB母座接口孔位</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31</w:t>
            </w:r>
            <w:r/>
          </w:p>
        </w:tc>
        <w:tc>
          <w:tcPr>
            <w:tcW w:w="1417" w:type="dxa"/>
            <w:vAlign w:val="center"/>
            <w:textDirection w:val="lrTb"/>
            <w:noWrap w:val="false"/>
          </w:tcPr>
          <w:p>
            <w:pPr>
              <w:pStyle w:val="734"/>
              <w:spacing w:before="312"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*电源规格</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电源冗余模式</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firstLine="360"/>
              <w:spacing w:line="200" w:lineRule="exact"/>
              <w:rPr>
                <w:rFonts w:ascii="宋体" w:hAnsi="宋体" w:cs="黑体"/>
                <w:color w:val="000000"/>
                <w:sz w:val="18"/>
                <w:szCs w:val="18"/>
              </w:rPr>
            </w:pPr>
            <w:r>
              <w:rPr>
                <w:rFonts w:ascii="宋体" w:hAnsi="宋体" w:cs="黑体"/>
                <w:color w:val="000000"/>
                <w:sz w:val="18"/>
                <w:szCs w:val="18"/>
              </w:rPr>
              <w:t xml:space="preserve">整机电源模块按1+1冗余配置</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32</w:t>
            </w:r>
            <w:r/>
          </w:p>
        </w:tc>
        <w:tc>
          <w:tcPr>
            <w:tcW w:w="1417" w:type="dxa"/>
            <w:vAlign w:val="center"/>
            <w:textDirection w:val="lrTb"/>
            <w:noWrap w:val="false"/>
          </w:tcPr>
          <w:p>
            <w:pPr>
              <w:pStyle w:val="734"/>
              <w:spacing w:before="312"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*电源模块数量</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firstLine="360"/>
              <w:spacing w:line="200" w:lineRule="exact"/>
              <w:rPr>
                <w:rFonts w:ascii="宋体" w:hAnsi="宋体" w:cs="黑体"/>
                <w:color w:val="000000"/>
                <w:sz w:val="18"/>
                <w:szCs w:val="18"/>
              </w:rPr>
            </w:pPr>
            <w:r>
              <w:rPr>
                <w:rFonts w:hint="eastAsia" w:ascii="宋体" w:hAnsi="宋体" w:cs="黑体"/>
                <w:color w:val="000000"/>
                <w:sz w:val="18"/>
                <w:szCs w:val="18"/>
              </w:rPr>
              <w:t xml:space="preserve">2个</w:t>
            </w:r>
            <w:r>
              <w:rPr>
                <w:rFonts w:ascii="宋体" w:hAnsi="宋体" w:cs="黑体"/>
                <w:color w:val="000000"/>
                <w:sz w:val="18"/>
                <w:szCs w:val="18"/>
              </w:rPr>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33</w:t>
            </w:r>
            <w:r/>
          </w:p>
        </w:tc>
        <w:tc>
          <w:tcPr>
            <w:tcW w:w="1417" w:type="dxa"/>
            <w:vAlign w:val="center"/>
            <w:textDirection w:val="lrTb"/>
            <w:noWrap w:val="false"/>
          </w:tcPr>
          <w:p>
            <w:pPr>
              <w:pStyle w:val="734"/>
              <w:spacing w:before="312"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*电源功率</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hint="eastAsia" w:ascii="宋体" w:hAnsi="宋体" w:cs="黑体"/>
                <w:color w:val="000000"/>
                <w:sz w:val="18"/>
                <w:szCs w:val="18"/>
              </w:rPr>
              <w:t xml:space="preserve">≥</w:t>
            </w:r>
            <w:r>
              <w:rPr>
                <w:rFonts w:ascii="宋体" w:hAnsi="宋体" w:cs="黑体"/>
                <w:color w:val="000000"/>
                <w:sz w:val="18"/>
                <w:szCs w:val="18"/>
              </w:rPr>
              <w:t xml:space="preserve">900W</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34</w:t>
            </w:r>
            <w:r/>
          </w:p>
        </w:tc>
        <w:tc>
          <w:tcPr>
            <w:tcW w:w="1417" w:type="dxa"/>
            <w:vAlign w:val="center"/>
            <w:textDirection w:val="lrTb"/>
            <w:noWrap w:val="false"/>
          </w:tcPr>
          <w:p>
            <w:pPr>
              <w:pStyle w:val="734"/>
              <w:spacing w:before="312"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电源指示灯</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配备电源指示灯，指示待机、工作异常等状态</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35</w:t>
            </w:r>
            <w:r/>
          </w:p>
        </w:tc>
        <w:tc>
          <w:tcPr>
            <w:tcW w:w="1417" w:type="dxa"/>
            <w:vAlign w:val="center"/>
            <w:textDirection w:val="lrTb"/>
            <w:noWrap w:val="false"/>
          </w:tcPr>
          <w:p>
            <w:pPr>
              <w:pStyle w:val="734"/>
              <w:spacing w:before="312"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*整机规格</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*外观和结构</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a)服务器的零部件应紧固无松动，可插拔部件应可靠连接，开关、按钮和其它控制部件应灵活可靠，布局应方便使用； </w:t>
            </w:r>
            <w:r/>
          </w:p>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b) 产品表面不应有明显的凹痕、划伤、裂缝、变形和污染等。表面涂层均匀，不应起泡、龟裂、脱落和磨损，金属零部件无锈蚀及其它机械损伤； </w:t>
            </w:r>
            <w:r/>
          </w:p>
          <w:p>
            <w:pPr>
              <w:pStyle w:val="734"/>
              <w:ind w:left="1"/>
              <w:spacing w:line="200" w:lineRule="exact"/>
              <w:rPr>
                <w:rFonts w:hint="eastAsia" w:ascii="宋体" w:hAnsi="宋体" w:cs="黑体"/>
                <w:color w:val="000000"/>
                <w:sz w:val="18"/>
                <w:szCs w:val="18"/>
              </w:rPr>
            </w:pPr>
            <w:r>
              <w:rPr>
                <w:rFonts w:ascii="宋体" w:hAnsi="宋体" w:cs="黑体"/>
                <w:color w:val="000000"/>
                <w:sz w:val="18"/>
                <w:szCs w:val="18"/>
              </w:rPr>
              <w:t xml:space="preserve">c) 产品表面说明功能的文字、符号和标志应清晰、端正且牢固； d) 应在服务器的显著位置提供运行状态的指示功能，并在随机文件中明确具体含义；</w:t>
            </w:r>
            <w:r>
              <w:rPr>
                <w:rFonts w:hint="eastAsia" w:ascii="宋体" w:hAnsi="宋体" w:cs="黑体"/>
                <w:color w:val="000000"/>
                <w:sz w:val="18"/>
                <w:szCs w:val="18"/>
              </w:rPr>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36</w:t>
            </w:r>
            <w:r/>
          </w:p>
        </w:tc>
        <w:tc>
          <w:tcPr>
            <w:tcW w:w="1417" w:type="dxa"/>
            <w:vAlign w:val="center"/>
            <w:textDirection w:val="lrTb"/>
            <w:noWrap w:val="false"/>
          </w:tcPr>
          <w:p>
            <w:pPr>
              <w:pStyle w:val="734"/>
              <w:spacing w:before="312"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*尺寸（高</w:t>
            </w:r>
            <w:r/>
          </w:p>
          <w:p>
            <w:pPr>
              <w:pStyle w:val="734"/>
              <w:spacing w:line="200" w:lineRule="exact"/>
              <w:rPr>
                <w:rFonts w:ascii="宋体" w:hAnsi="宋体" w:cs="黑体"/>
                <w:color w:val="000000"/>
                <w:sz w:val="18"/>
                <w:szCs w:val="18"/>
              </w:rPr>
            </w:pPr>
            <w:r>
              <w:rPr>
                <w:rFonts w:ascii="宋体" w:hAnsi="宋体" w:cs="黑体"/>
                <w:color w:val="000000"/>
                <w:sz w:val="18"/>
                <w:szCs w:val="18"/>
              </w:rPr>
              <w:t xml:space="preserve">×宽×深）</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供应商给出产品尺寸；设计应遵循标准化、系列化的要求；机箱的内部结构符合通用部件的安装需要</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37</w:t>
            </w:r>
            <w:r/>
          </w:p>
        </w:tc>
        <w:tc>
          <w:tcPr>
            <w:tcW w:w="1417" w:type="dxa"/>
            <w:vAlign w:val="center"/>
            <w:textDirection w:val="lrTb"/>
            <w:noWrap w:val="false"/>
          </w:tcPr>
          <w:p>
            <w:pPr>
              <w:pStyle w:val="734"/>
              <w:spacing w:before="312"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服务器导轨</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供应商给出导轨尺寸、安装方式等信息</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38</w:t>
            </w:r>
            <w:r/>
          </w:p>
        </w:tc>
        <w:tc>
          <w:tcPr>
            <w:tcW w:w="1417" w:type="dxa"/>
            <w:vAlign w:val="center"/>
            <w:textDirection w:val="lrTb"/>
            <w:noWrap w:val="false"/>
          </w:tcPr>
          <w:p>
            <w:pPr>
              <w:pStyle w:val="734"/>
              <w:spacing w:before="312"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CPU个数与机柜高</w:t>
            </w:r>
            <w:r/>
          </w:p>
          <w:p>
            <w:pPr>
              <w:pStyle w:val="734"/>
              <w:spacing w:line="200" w:lineRule="exact"/>
              <w:rPr>
                <w:rFonts w:ascii="宋体" w:hAnsi="宋体" w:cs="黑体"/>
                <w:color w:val="000000"/>
                <w:sz w:val="18"/>
                <w:szCs w:val="18"/>
              </w:rPr>
            </w:pPr>
            <w:r>
              <w:rPr>
                <w:rFonts w:ascii="宋体" w:hAnsi="宋体" w:cs="黑体"/>
                <w:color w:val="000000"/>
                <w:sz w:val="18"/>
                <w:szCs w:val="18"/>
              </w:rPr>
              <w:t xml:space="preserve">度单位(U) 比</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hint="eastAsia" w:ascii="宋体" w:hAnsi="宋体" w:cs="黑体"/>
                <w:color w:val="000000"/>
                <w:sz w:val="18"/>
                <w:szCs w:val="18"/>
              </w:rPr>
              <w:t xml:space="preserve">1（C</w:t>
            </w:r>
            <w:r>
              <w:rPr>
                <w:rFonts w:ascii="宋体" w:hAnsi="宋体" w:cs="黑体"/>
                <w:color w:val="000000"/>
                <w:sz w:val="18"/>
                <w:szCs w:val="18"/>
              </w:rPr>
              <w:t xml:space="preserve">PU</w:t>
            </w:r>
            <w:r>
              <w:rPr>
                <w:rFonts w:hint="eastAsia" w:ascii="宋体" w:hAnsi="宋体" w:cs="黑体"/>
                <w:color w:val="000000"/>
                <w:sz w:val="18"/>
                <w:szCs w:val="18"/>
              </w:rPr>
              <w:t xml:space="preserve">）：1（U高度）</w:t>
            </w:r>
            <w:r>
              <w:rPr>
                <w:rFonts w:ascii="宋体" w:hAnsi="宋体" w:cs="黑体"/>
                <w:color w:val="000000"/>
                <w:sz w:val="18"/>
                <w:szCs w:val="18"/>
              </w:rPr>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39</w:t>
            </w:r>
            <w:r/>
          </w:p>
        </w:tc>
        <w:tc>
          <w:tcPr>
            <w:tcW w:w="1417" w:type="dxa"/>
            <w:vAlign w:val="center"/>
            <w:textDirection w:val="lrTb"/>
            <w:noWrap w:val="false"/>
          </w:tcPr>
          <w:p>
            <w:pPr>
              <w:pStyle w:val="734"/>
              <w:spacing w:before="312"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*环境适应性</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气候环境适应性应符合GB/T</w:t>
            </w:r>
            <w:r/>
          </w:p>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9813.3的有关规定，工作温度10～ 35℃，贮存运输温度-40～55℃；工作相对湿度35%～80%，贮存运输相对湿度20％～93%（40℃）；大气压</w:t>
            </w:r>
            <w:r/>
          </w:p>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86～106kPa</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40</w:t>
            </w:r>
            <w:r/>
          </w:p>
        </w:tc>
        <w:tc>
          <w:tcPr>
            <w:tcW w:w="1417" w:type="dxa"/>
            <w:vAlign w:val="center"/>
            <w:textDirection w:val="lrTb"/>
            <w:noWrap w:val="false"/>
          </w:tcPr>
          <w:p>
            <w:pPr>
              <w:pStyle w:val="734"/>
              <w:spacing w:before="312"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特殊机型环境适应性</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边缘应用服务器，工作环境温度宜为0～45℃，短期工作可承受环境温度宜为-5～55℃，液冷服务器贮存运输温度宜为-30～55℃</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41</w:t>
            </w:r>
            <w:r/>
          </w:p>
        </w:tc>
        <w:tc>
          <w:tcPr>
            <w:tcW w:w="1417" w:type="dxa"/>
            <w:vAlign w:val="center"/>
            <w:textDirection w:val="lrTb"/>
            <w:noWrap w:val="false"/>
          </w:tcPr>
          <w:p>
            <w:pPr>
              <w:pStyle w:val="734"/>
              <w:spacing w:before="312"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*机械环境适应性</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机械环境适应性应符合GB/T</w:t>
            </w:r>
            <w:r/>
          </w:p>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9813.3的有关规定</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42</w:t>
            </w:r>
            <w:r/>
          </w:p>
        </w:tc>
        <w:tc>
          <w:tcPr>
            <w:tcW w:w="1417" w:type="dxa"/>
            <w:vAlign w:val="center"/>
            <w:textDirection w:val="lrTb"/>
            <w:noWrap w:val="false"/>
          </w:tcPr>
          <w:p>
            <w:pPr>
              <w:pStyle w:val="734"/>
              <w:spacing w:before="312"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*噪声</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符合GB/T 9813.3的有关规定，在产品说明中给出具体测试值</w:t>
            </w:r>
            <w:r/>
          </w:p>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塔式服务器噪声在空闲状态下不大于50dB</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43</w:t>
            </w:r>
            <w:r/>
          </w:p>
        </w:tc>
        <w:tc>
          <w:tcPr>
            <w:tcW w:w="1417" w:type="dxa"/>
            <w:vAlign w:val="center"/>
            <w:textDirection w:val="lrTb"/>
            <w:noWrap w:val="false"/>
          </w:tcPr>
          <w:p>
            <w:pPr>
              <w:pStyle w:val="734"/>
              <w:spacing w:before="312"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AI计算单元规格</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AI计算单元</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若配备AI计算单元应符合如下要求：</w:t>
            </w:r>
            <w:r/>
          </w:p>
          <w:p>
            <w:pPr>
              <w:pStyle w:val="734"/>
              <w:numPr>
                <w:ilvl w:val="0"/>
                <w:numId w:val="37"/>
              </w:numPr>
              <w:spacing w:line="200" w:lineRule="exact"/>
              <w:widowControl/>
              <w:rPr>
                <w:rFonts w:ascii="宋体" w:hAnsi="宋体" w:cs="黑体"/>
                <w:color w:val="000000"/>
                <w:sz w:val="18"/>
                <w:szCs w:val="18"/>
              </w:rPr>
            </w:pPr>
            <w:r>
              <w:rPr>
                <w:rFonts w:ascii="宋体" w:hAnsi="宋体" w:cs="黑体"/>
                <w:color w:val="000000"/>
                <w:sz w:val="18"/>
                <w:szCs w:val="18"/>
              </w:rPr>
              <w:t xml:space="preserve">具备人工智能加速处理器，计算精度至少支持FP16、BF16、FP32、 FP64、INT8和INT16等中的1种；</w:t>
            </w:r>
            <w:r/>
          </w:p>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单推理卡或模块，具备视频解析、文本识别、语音分析等推理能力；在视觉场景下配备可直接调用的接口实现视觉计算加速，路数不小于64（1080P 30FPS）</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44</w:t>
            </w:r>
            <w:r/>
          </w:p>
        </w:tc>
        <w:tc>
          <w:tcPr>
            <w:tcW w:w="1417" w:type="dxa"/>
            <w:vAlign w:val="center"/>
            <w:textDirection w:val="lrTb"/>
            <w:noWrap w:val="false"/>
          </w:tcPr>
          <w:p>
            <w:pPr>
              <w:pStyle w:val="734"/>
              <w:spacing w:before="312"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一键式迁移</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若服务器配备AI计算单元，提供训练脚本迁移工具</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45</w:t>
            </w:r>
            <w:r/>
          </w:p>
        </w:tc>
        <w:tc>
          <w:tcPr>
            <w:tcW w:w="1417" w:type="dxa"/>
            <w:vAlign w:val="center"/>
            <w:textDirection w:val="lrTb"/>
            <w:noWrap w:val="false"/>
          </w:tcPr>
          <w:p>
            <w:pPr>
              <w:pStyle w:val="734"/>
              <w:spacing w:before="312"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机柜规格</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*机柜尺寸</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hint="eastAsia" w:ascii="宋体" w:hAnsi="宋体" w:cs="黑体"/>
                <w:color w:val="000000"/>
                <w:sz w:val="18"/>
                <w:szCs w:val="18"/>
              </w:rPr>
              <w:t xml:space="preserve">/</w:t>
            </w:r>
            <w:r>
              <w:rPr>
                <w:rFonts w:ascii="宋体" w:hAnsi="宋体" w:cs="黑体"/>
                <w:color w:val="000000"/>
                <w:sz w:val="18"/>
                <w:szCs w:val="18"/>
              </w:rPr>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46</w:t>
            </w:r>
            <w:r/>
          </w:p>
        </w:tc>
        <w:tc>
          <w:tcPr>
            <w:tcW w:w="1417" w:type="dxa"/>
            <w:vAlign w:val="center"/>
            <w:textDirection w:val="lrTb"/>
            <w:noWrap w:val="false"/>
          </w:tcPr>
          <w:p>
            <w:pPr>
              <w:pStyle w:val="734"/>
              <w:spacing w:before="312"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机柜管理板</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 //</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47</w:t>
            </w:r>
            <w:r/>
          </w:p>
        </w:tc>
        <w:tc>
          <w:tcPr>
            <w:tcW w:w="1417" w:type="dxa"/>
            <w:vAlign w:val="center"/>
            <w:textDirection w:val="lrTb"/>
            <w:noWrap w:val="false"/>
          </w:tcPr>
          <w:p>
            <w:pPr>
              <w:pStyle w:val="734"/>
              <w:spacing w:before="312" w:line="200" w:lineRule="exact"/>
              <w:rPr>
                <w:rFonts w:ascii="宋体" w:hAnsi="宋体" w:cs="黑体"/>
                <w:color w:val="000000"/>
                <w:sz w:val="18"/>
                <w:szCs w:val="18"/>
              </w:rPr>
            </w:pPr>
            <w:r>
              <w:rPr>
                <w:rFonts w:ascii="宋体" w:hAnsi="宋体" w:cs="黑体"/>
                <w:color w:val="000000"/>
                <w:sz w:val="18"/>
                <w:szCs w:val="18"/>
              </w:rPr>
              <w:t xml:space="preserve">产品规格</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机柜电源规格</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a) 机柜电源支持集中供电，电源输入不少于2路且支持自动切换； b) 机柜电源模块支持N+1冗余配置，电源模块可独立更换</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48</w:t>
            </w:r>
            <w:r/>
          </w:p>
        </w:tc>
        <w:tc>
          <w:tcPr>
            <w:tcW w:w="1417" w:type="dxa"/>
            <w:vAlign w:val="center"/>
            <w:textDirection w:val="lrTb"/>
            <w:noWrap w:val="false"/>
          </w:tcPr>
          <w:p>
            <w:pPr>
              <w:pStyle w:val="734"/>
              <w:spacing w:before="312" w:line="200" w:lineRule="exact"/>
              <w:rPr>
                <w:rFonts w:ascii="宋体" w:hAnsi="宋体" w:cs="黑体"/>
                <w:color w:val="000000"/>
                <w:sz w:val="18"/>
                <w:szCs w:val="18"/>
              </w:rPr>
            </w:pPr>
            <w:r>
              <w:rPr>
                <w:rFonts w:ascii="宋体" w:hAnsi="宋体" w:cs="黑体"/>
                <w:color w:val="000000"/>
                <w:sz w:val="18"/>
                <w:szCs w:val="18"/>
              </w:rPr>
              <w:t xml:space="preserve">功能要求</w:t>
            </w:r>
            <w:r/>
          </w:p>
        </w:tc>
        <w:tc>
          <w:tcPr>
            <w:tcW w:w="1276" w:type="dxa"/>
            <w:vAlign w:val="center"/>
            <w:textDirection w:val="lrTb"/>
            <w:noWrap w:val="false"/>
          </w:tcPr>
          <w:p>
            <w:pPr>
              <w:pStyle w:val="734"/>
              <w:ind w:left="32"/>
              <w:spacing w:line="200" w:lineRule="exact"/>
              <w:rPr>
                <w:rFonts w:ascii="宋体" w:hAnsi="宋体" w:cs="黑体"/>
                <w:color w:val="000000"/>
                <w:sz w:val="18"/>
                <w:szCs w:val="18"/>
              </w:rPr>
            </w:pPr>
            <w:r>
              <w:rPr>
                <w:rFonts w:ascii="宋体" w:hAnsi="宋体" w:cs="黑体"/>
                <w:color w:val="000000"/>
                <w:sz w:val="18"/>
                <w:szCs w:val="18"/>
              </w:rPr>
              <w:t xml:space="preserve">*主板功能</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*主板外部接口种类</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before="312" w:line="200" w:lineRule="exact"/>
              <w:rPr>
                <w:rFonts w:ascii="宋体" w:hAnsi="宋体" w:cs="黑体"/>
                <w:color w:val="000000"/>
                <w:sz w:val="18"/>
                <w:szCs w:val="18"/>
              </w:rPr>
            </w:pPr>
            <w:r>
              <w:rPr>
                <w:rFonts w:ascii="宋体" w:hAnsi="宋体" w:cs="黑体"/>
                <w:color w:val="000000"/>
                <w:sz w:val="18"/>
                <w:szCs w:val="18"/>
              </w:rPr>
              <w:t xml:space="preserve">支持USB、显示、管理等接口，如：VGA、DP、HDMI、USB3.0、PS/2接口、</w:t>
            </w:r>
            <w:r/>
          </w:p>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BMC管理端口</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49</w:t>
            </w:r>
            <w:r/>
          </w:p>
        </w:tc>
        <w:tc>
          <w:tcPr>
            <w:tcW w:w="1417" w:type="dxa"/>
            <w:vAlign w:val="center"/>
            <w:textDirection w:val="lrTb"/>
            <w:noWrap w:val="false"/>
          </w:tcPr>
          <w:p>
            <w:pPr>
              <w:pStyle w:val="734"/>
              <w:spacing w:before="312" w:line="200" w:lineRule="exact"/>
              <w:rPr>
                <w:rFonts w:ascii="宋体" w:hAnsi="宋体" w:cs="黑体"/>
                <w:color w:val="000000"/>
                <w:sz w:val="18"/>
                <w:szCs w:val="18"/>
              </w:rPr>
            </w:pPr>
            <w:r>
              <w:rPr>
                <w:rFonts w:ascii="宋体" w:hAnsi="宋体" w:cs="黑体"/>
                <w:color w:val="000000"/>
                <w:sz w:val="18"/>
                <w:szCs w:val="18"/>
              </w:rPr>
              <w:t xml:space="preserve">功能要求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主板防烧板设计</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支持主板防烧板设计，保证电源故障后不扩散</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50</w:t>
            </w:r>
            <w:r/>
          </w:p>
        </w:tc>
        <w:tc>
          <w:tcPr>
            <w:tcW w:w="1417" w:type="dxa"/>
            <w:vAlign w:val="center"/>
            <w:textDirection w:val="lrTb"/>
            <w:noWrap w:val="false"/>
          </w:tcPr>
          <w:p>
            <w:pPr>
              <w:pStyle w:val="734"/>
              <w:spacing w:before="312" w:line="200" w:lineRule="exact"/>
              <w:rPr>
                <w:rFonts w:ascii="宋体" w:hAnsi="宋体" w:cs="黑体"/>
                <w:color w:val="000000"/>
                <w:sz w:val="18"/>
                <w:szCs w:val="18"/>
              </w:rPr>
            </w:pPr>
            <w:r>
              <w:rPr>
                <w:rFonts w:ascii="宋体" w:hAnsi="宋体" w:cs="黑体"/>
                <w:color w:val="000000"/>
                <w:sz w:val="18"/>
                <w:szCs w:val="18"/>
              </w:rPr>
              <w:t xml:space="preserve">功能要求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扩展功能</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实现至少一种扩展功能，如存储功能卡、显示功能卡、运算加速功能卡及网络功能卡等扩展功能</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51</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功能要求</w:t>
            </w:r>
            <w:r/>
          </w:p>
        </w:tc>
        <w:tc>
          <w:tcPr>
            <w:tcW w:w="127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*网络功能</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*网络功能</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支持网络连接、网络访问、数据交换和网络管控功能</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52</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功能要求</w:t>
            </w:r>
            <w:r/>
          </w:p>
        </w:tc>
        <w:tc>
          <w:tcPr>
            <w:tcW w:w="127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*CPU 功能</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*计算处理</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支持通用计算及虚拟化功能。处理器需集成整型计算单元、浮点计算单元、内存控制器、I/O模块等，处理器与存储部件、网络部件、I/O 部件等组成计算系统，提供数据处理、网络接入等计算相关功能</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53</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功能要求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*密码算法实现</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CPU芯片应符合GM/T0008的相关规定，或芯片密码模块应符合GB/T</w:t>
            </w:r>
            <w:r>
              <w:rPr>
                <w:rFonts w:hint="eastAsia" w:ascii="宋体" w:hAnsi="宋体" w:cs="黑体"/>
                <w:color w:val="000000"/>
                <w:sz w:val="18"/>
                <w:szCs w:val="18"/>
              </w:rPr>
              <w:t xml:space="preserve"> </w:t>
            </w:r>
            <w:r>
              <w:rPr>
                <w:rFonts w:ascii="宋体" w:hAnsi="宋体" w:cs="黑体"/>
                <w:color w:val="000000"/>
                <w:sz w:val="18"/>
                <w:szCs w:val="18"/>
              </w:rPr>
              <w:t xml:space="preserve">37092或GM/T 0028的相关规定</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54</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功能要求</w:t>
            </w:r>
            <w:r/>
          </w:p>
        </w:tc>
        <w:tc>
          <w:tcPr>
            <w:tcW w:w="127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存储功能</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内存校验</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支持内存校验或内存增强型纠错功能</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55</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功能要求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SATA SSD NAND健康状态上报</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支持关键外部存储器（硬磁盘、SSD 等）的健康状态上报并进行故障诊断</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56</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功能要求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SATA SSD 单die故障隔离</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支持SSD关键外部存储器中单存储晶元故障隔离</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57</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功能要求</w:t>
            </w:r>
            <w:r/>
          </w:p>
        </w:tc>
        <w:tc>
          <w:tcPr>
            <w:tcW w:w="127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RAID 卡功能（若支持 RAID 卡）</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RAID卡 RAID级别支持</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是</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RAID模式支持RAID 0/1/10/5，存储型支持RAID 0/1/5/6/10/50/60</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58</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功能要求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RAID卡</w:t>
            </w:r>
            <w:r/>
          </w:p>
          <w:p>
            <w:pPr>
              <w:pStyle w:val="734"/>
              <w:spacing w:line="200" w:lineRule="exact"/>
              <w:rPr>
                <w:rFonts w:ascii="宋体" w:hAnsi="宋体" w:cs="黑体"/>
                <w:color w:val="000000"/>
                <w:sz w:val="18"/>
                <w:szCs w:val="18"/>
              </w:rPr>
            </w:pPr>
            <w:r>
              <w:rPr>
                <w:rFonts w:ascii="宋体" w:hAnsi="宋体" w:cs="黑体"/>
                <w:color w:val="000000"/>
                <w:sz w:val="18"/>
                <w:szCs w:val="18"/>
              </w:rPr>
              <w:t xml:space="preserve">BBU单元</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RAID卡支持电池或电容备份单元</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59</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功能要求</w:t>
            </w:r>
            <w:r/>
          </w:p>
        </w:tc>
        <w:tc>
          <w:tcPr>
            <w:tcW w:w="127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光驱功能</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光驱类型</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hint="eastAsia" w:ascii="宋体" w:hAnsi="宋体" w:cs="黑体"/>
                <w:color w:val="000000"/>
                <w:sz w:val="18"/>
                <w:szCs w:val="18"/>
              </w:rPr>
              <w:t xml:space="preserve">不涉及</w:t>
            </w:r>
            <w:r>
              <w:rPr>
                <w:rFonts w:ascii="宋体" w:hAnsi="宋体" w:cs="黑体"/>
                <w:color w:val="000000"/>
                <w:sz w:val="18"/>
                <w:szCs w:val="18"/>
              </w:rPr>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60</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功能要求</w:t>
            </w:r>
            <w:r/>
          </w:p>
        </w:tc>
        <w:tc>
          <w:tcPr>
            <w:tcW w:w="127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*电源功能</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*电源热插拔</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整机电源模块应具备热插拔功能</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61</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功能要求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*电源过流保护</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支持过流及短路保护的功能</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62</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功能要求</w:t>
            </w:r>
            <w:r/>
          </w:p>
        </w:tc>
        <w:tc>
          <w:tcPr>
            <w:tcW w:w="127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*整机功能</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*散热方式</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支持风冷散热方式</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63</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功能要求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其他功能</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numPr>
                <w:ilvl w:val="0"/>
                <w:numId w:val="38"/>
              </w:numPr>
              <w:spacing w:line="200" w:lineRule="exact"/>
              <w:widowControl/>
              <w:rPr>
                <w:rFonts w:ascii="宋体" w:hAnsi="宋体" w:cs="黑体"/>
                <w:color w:val="000000"/>
                <w:sz w:val="18"/>
                <w:szCs w:val="18"/>
              </w:rPr>
            </w:pPr>
            <w:r>
              <w:rPr>
                <w:rFonts w:ascii="宋体" w:hAnsi="宋体" w:cs="黑体"/>
                <w:color w:val="000000"/>
                <w:sz w:val="18"/>
                <w:szCs w:val="18"/>
              </w:rPr>
              <w:t xml:space="preserve">支持关键部件冗余（包括电源、风扇等）；</w:t>
            </w:r>
            <w:r/>
          </w:p>
          <w:p>
            <w:pPr>
              <w:pStyle w:val="734"/>
              <w:numPr>
                <w:ilvl w:val="0"/>
                <w:numId w:val="38"/>
              </w:numPr>
              <w:spacing w:line="200" w:lineRule="exact"/>
              <w:widowControl/>
              <w:rPr>
                <w:rFonts w:ascii="宋体" w:hAnsi="宋体" w:cs="黑体"/>
                <w:color w:val="000000"/>
                <w:sz w:val="18"/>
                <w:szCs w:val="18"/>
              </w:rPr>
            </w:pPr>
            <w:r>
              <w:rPr>
                <w:rFonts w:ascii="宋体" w:hAnsi="宋体" w:cs="黑体"/>
                <w:color w:val="000000"/>
                <w:sz w:val="18"/>
                <w:szCs w:val="18"/>
              </w:rPr>
              <w:t xml:space="preserve">支持熔断保护与恢复功能</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64</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功能要求</w:t>
            </w:r>
            <w:r/>
          </w:p>
        </w:tc>
        <w:tc>
          <w:tcPr>
            <w:tcW w:w="1276" w:type="dxa"/>
            <w:vAlign w:val="center"/>
            <w:textDirection w:val="lrTb"/>
            <w:noWrap w:val="false"/>
          </w:tcPr>
          <w:p>
            <w:pPr>
              <w:pStyle w:val="734"/>
              <w:ind w:left="4"/>
              <w:spacing w:line="200" w:lineRule="exact"/>
              <w:rPr>
                <w:rFonts w:hint="eastAsia" w:ascii="宋体" w:hAnsi="宋体" w:cs="黑体"/>
                <w:color w:val="000000"/>
                <w:sz w:val="18"/>
                <w:szCs w:val="18"/>
              </w:rPr>
            </w:pPr>
            <w:r>
              <w:rPr>
                <w:rFonts w:ascii="宋体" w:hAnsi="宋体" w:cs="黑体"/>
                <w:color w:val="000000"/>
                <w:sz w:val="18"/>
                <w:szCs w:val="18"/>
              </w:rPr>
              <w:t xml:space="preserve">*</w:t>
            </w:r>
            <w:r>
              <w:rPr>
                <w:rFonts w:hint="eastAsia" w:ascii="宋体" w:hAnsi="宋体" w:cs="黑体"/>
                <w:color w:val="000000"/>
                <w:sz w:val="18"/>
                <w:szCs w:val="18"/>
              </w:rPr>
              <w:t xml:space="preserve">管理系统</w:t>
            </w:r>
            <w:r>
              <w:rPr>
                <w:rFonts w:ascii="宋体" w:hAnsi="宋体" w:cs="黑体"/>
                <w:color w:val="000000"/>
                <w:sz w:val="18"/>
                <w:szCs w:val="18"/>
              </w:rPr>
              <w:t xml:space="preserve">功能</w:t>
            </w:r>
            <w:r>
              <w:rPr>
                <w:rFonts w:hint="eastAsia" w:ascii="宋体" w:hAnsi="宋体" w:cs="黑体"/>
                <w:color w:val="000000"/>
                <w:sz w:val="18"/>
                <w:szCs w:val="18"/>
              </w:rPr>
            </w:r>
            <w:r/>
          </w:p>
        </w:tc>
        <w:tc>
          <w:tcPr>
            <w:tcW w:w="1559" w:type="dxa"/>
            <w:vAlign w:val="center"/>
            <w:textDirection w:val="lrTb"/>
            <w:noWrap w:val="false"/>
          </w:tcPr>
          <w:p>
            <w:pPr>
              <w:pStyle w:val="734"/>
              <w:spacing w:line="200" w:lineRule="exact"/>
              <w:rPr>
                <w:rFonts w:hint="eastAsia" w:ascii="宋体" w:hAnsi="宋体" w:cs="黑体"/>
                <w:color w:val="000000"/>
                <w:sz w:val="18"/>
                <w:szCs w:val="18"/>
              </w:rPr>
            </w:pPr>
            <w:r>
              <w:rPr>
                <w:rFonts w:ascii="宋体" w:hAnsi="宋体" w:cs="黑体"/>
                <w:color w:val="000000"/>
                <w:sz w:val="18"/>
                <w:szCs w:val="18"/>
              </w:rPr>
              <w:t xml:space="preserve">*BMG</w:t>
            </w:r>
            <w:r>
              <w:rPr>
                <w:rFonts w:hint="eastAsia" w:ascii="宋体" w:hAnsi="宋体" w:cs="黑体"/>
                <w:color w:val="000000"/>
                <w:sz w:val="18"/>
                <w:szCs w:val="18"/>
              </w:rPr>
              <w:t xml:space="preserve">固件</w:t>
            </w:r>
            <w:r>
              <w:rPr>
                <w:rFonts w:ascii="宋体" w:hAnsi="宋体" w:cs="黑体"/>
                <w:color w:val="000000"/>
                <w:sz w:val="18"/>
                <w:szCs w:val="18"/>
              </w:rPr>
              <w:t xml:space="preserve">基础功能</w:t>
            </w:r>
            <w:r>
              <w:rPr>
                <w:rFonts w:hint="eastAsia" w:ascii="宋体" w:hAnsi="宋体" w:cs="黑体"/>
                <w:color w:val="000000"/>
                <w:sz w:val="18"/>
                <w:szCs w:val="18"/>
              </w:rPr>
            </w:r>
            <w:r/>
          </w:p>
        </w:tc>
        <w:tc>
          <w:tcPr>
            <w:tcW w:w="993" w:type="dxa"/>
            <w:vAlign w:val="center"/>
            <w:textDirection w:val="lrTb"/>
            <w:noWrap w:val="false"/>
          </w:tcPr>
          <w:p>
            <w:pPr>
              <w:pStyle w:val="734"/>
              <w:spacing w:line="200" w:lineRule="exact"/>
              <w:rPr>
                <w:rFonts w:hint="eastAsia" w:ascii="宋体" w:hAnsi="宋体" w:cs="黑体"/>
                <w:color w:val="000000"/>
                <w:sz w:val="18"/>
                <w:szCs w:val="18"/>
              </w:rPr>
            </w:pPr>
            <w:r>
              <w:rPr>
                <w:rFonts w:hint="eastAsia" w:ascii="宋体" w:hAnsi="宋体" w:cs="黑体"/>
                <w:color w:val="000000"/>
                <w:sz w:val="18"/>
                <w:szCs w:val="18"/>
              </w:rPr>
              <w:t xml:space="preserve">否</w:t>
            </w:r>
            <w:r/>
          </w:p>
        </w:tc>
        <w:tc>
          <w:tcPr>
            <w:tcW w:w="3666" w:type="dxa"/>
            <w:vAlign w:val="center"/>
            <w:textDirection w:val="lrTb"/>
            <w:noWrap w:val="false"/>
          </w:tcPr>
          <w:p>
            <w:pPr>
              <w:pStyle w:val="734"/>
              <w:jc w:val="left"/>
              <w:spacing w:line="200" w:lineRule="exact"/>
              <w:rPr>
                <w:rFonts w:ascii="宋体" w:hAnsi="宋体"/>
                <w:color w:val="000000"/>
                <w:sz w:val="18"/>
                <w:szCs w:val="18"/>
              </w:rPr>
            </w:pPr>
            <w:r>
              <w:rPr>
                <w:rFonts w:ascii="宋体" w:hAnsi="宋体" w:cs="黑体"/>
                <w:color w:val="000000"/>
                <w:sz w:val="18"/>
                <w:szCs w:val="18"/>
              </w:rPr>
              <w:t xml:space="preserve">1)支持DHCP设置网络功能；</w:t>
            </w:r>
            <w:r>
              <w:rPr>
                <w:rFonts w:ascii="宋体" w:hAnsi="宋体"/>
                <w:color w:val="000000"/>
                <w:sz w:val="18"/>
                <w:szCs w:val="18"/>
              </w:rPr>
            </w:r>
            <w:r/>
          </w:p>
          <w:p>
            <w:pPr>
              <w:pStyle w:val="734"/>
              <w:jc w:val="left"/>
              <w:spacing w:line="200" w:lineRule="exact"/>
              <w:rPr>
                <w:rFonts w:ascii="宋体" w:hAnsi="宋体"/>
                <w:color w:val="000000"/>
                <w:sz w:val="18"/>
                <w:szCs w:val="18"/>
              </w:rPr>
            </w:pPr>
            <w:r>
              <w:rPr>
                <w:rFonts w:ascii="宋体" w:hAnsi="宋体" w:cs="黑体"/>
                <w:color w:val="000000"/>
                <w:sz w:val="18"/>
                <w:szCs w:val="18"/>
              </w:rPr>
              <w:t xml:space="preserve">2)支持静态IP设置网络功能；</w:t>
            </w:r>
            <w:r>
              <w:rPr>
                <w:rFonts w:ascii="宋体" w:hAnsi="宋体"/>
                <w:color w:val="000000"/>
                <w:sz w:val="18"/>
                <w:szCs w:val="18"/>
              </w:rPr>
            </w:r>
            <w:r/>
          </w:p>
          <w:p>
            <w:pPr>
              <w:pStyle w:val="734"/>
              <w:jc w:val="left"/>
              <w:spacing w:line="200" w:lineRule="exact"/>
              <w:rPr>
                <w:rFonts w:ascii="宋体" w:hAnsi="宋体"/>
                <w:color w:val="000000"/>
                <w:sz w:val="18"/>
                <w:szCs w:val="18"/>
              </w:rPr>
            </w:pPr>
            <w:r>
              <w:rPr>
                <w:rFonts w:ascii="宋体" w:hAnsi="宋体" w:cs="黑体"/>
                <w:color w:val="000000"/>
                <w:sz w:val="18"/>
                <w:szCs w:val="18"/>
              </w:rPr>
              <w:t xml:space="preserve">3)支持设备日志记录，包括但不限于登录日志、操作日志和报警日志等功能；</w:t>
            </w:r>
            <w:r>
              <w:rPr>
                <w:rFonts w:ascii="宋体" w:hAnsi="宋体"/>
                <w:color w:val="000000"/>
                <w:sz w:val="18"/>
                <w:szCs w:val="18"/>
              </w:rPr>
            </w:r>
            <w:r/>
          </w:p>
          <w:p>
            <w:pPr>
              <w:pStyle w:val="734"/>
              <w:jc w:val="left"/>
              <w:spacing w:line="200" w:lineRule="exact"/>
              <w:rPr>
                <w:rFonts w:ascii="宋体" w:hAnsi="宋体"/>
                <w:color w:val="000000"/>
                <w:sz w:val="18"/>
                <w:szCs w:val="18"/>
              </w:rPr>
            </w:pPr>
            <w:r>
              <w:rPr>
                <w:rFonts w:ascii="宋体" w:hAnsi="宋体" w:cs="黑体"/>
                <w:color w:val="000000"/>
                <w:sz w:val="18"/>
                <w:szCs w:val="18"/>
              </w:rPr>
              <w:t xml:space="preserve">4)支持日志信息导出和记录删除功能；</w:t>
            </w:r>
            <w:r>
              <w:rPr>
                <w:rFonts w:ascii="宋体" w:hAnsi="宋体"/>
                <w:color w:val="000000"/>
                <w:sz w:val="18"/>
                <w:szCs w:val="18"/>
              </w:rPr>
            </w:r>
            <w:r/>
          </w:p>
          <w:p>
            <w:pPr>
              <w:pStyle w:val="734"/>
              <w:jc w:val="left"/>
              <w:spacing w:line="200" w:lineRule="exact"/>
              <w:rPr>
                <w:rFonts w:ascii="宋体" w:hAnsi="宋体"/>
                <w:color w:val="000000"/>
                <w:sz w:val="18"/>
                <w:szCs w:val="18"/>
              </w:rPr>
            </w:pPr>
            <w:r>
              <w:rPr>
                <w:rFonts w:ascii="宋体" w:hAnsi="宋体" w:cs="黑体"/>
                <w:color w:val="000000"/>
                <w:sz w:val="18"/>
                <w:szCs w:val="18"/>
              </w:rPr>
              <w:t xml:space="preserve">5)支持通过管理接口向外输出准确的报警信息功能；</w:t>
            </w:r>
            <w:r>
              <w:rPr>
                <w:rFonts w:ascii="宋体" w:hAnsi="宋体"/>
                <w:color w:val="000000"/>
                <w:sz w:val="18"/>
                <w:szCs w:val="18"/>
              </w:rPr>
            </w:r>
            <w:r/>
          </w:p>
          <w:p>
            <w:pPr>
              <w:pStyle w:val="734"/>
              <w:jc w:val="left"/>
              <w:spacing w:line="200" w:lineRule="exact"/>
              <w:rPr>
                <w:rFonts w:ascii="宋体" w:hAnsi="宋体"/>
                <w:color w:val="000000"/>
                <w:sz w:val="18"/>
                <w:szCs w:val="18"/>
              </w:rPr>
            </w:pPr>
            <w:r>
              <w:rPr>
                <w:rFonts w:ascii="宋体" w:hAnsi="宋体" w:cs="黑体"/>
                <w:color w:val="000000"/>
                <w:sz w:val="18"/>
                <w:szCs w:val="18"/>
              </w:rPr>
              <w:t xml:space="preserve">6)设备的BMC管理软件应能够按报</w:t>
            </w:r>
            <w:r>
              <w:rPr>
                <w:rFonts w:ascii="宋体" w:hAnsi="宋体"/>
                <w:color w:val="000000"/>
                <w:sz w:val="18"/>
                <w:szCs w:val="18"/>
              </w:rPr>
            </w:r>
            <w:r/>
          </w:p>
          <w:p>
            <w:pPr>
              <w:pStyle w:val="734"/>
              <w:jc w:val="left"/>
              <w:spacing w:line="200" w:lineRule="exact"/>
              <w:rPr>
                <w:rFonts w:ascii="宋体" w:hAnsi="宋体"/>
                <w:color w:val="000000"/>
                <w:sz w:val="18"/>
                <w:szCs w:val="18"/>
              </w:rPr>
            </w:pPr>
            <w:r>
              <w:rPr>
                <w:rFonts w:ascii="宋体" w:hAnsi="宋体" w:cs="黑体"/>
                <w:color w:val="000000"/>
                <w:sz w:val="18"/>
                <w:szCs w:val="18"/>
              </w:rPr>
              <w:t xml:space="preserve">警的严重程度进行区分；</w:t>
            </w:r>
            <w:r>
              <w:rPr>
                <w:rFonts w:ascii="宋体" w:hAnsi="宋体"/>
                <w:color w:val="000000"/>
                <w:sz w:val="18"/>
                <w:szCs w:val="18"/>
              </w:rPr>
            </w:r>
            <w:r/>
          </w:p>
          <w:p>
            <w:pPr>
              <w:pStyle w:val="734"/>
              <w:jc w:val="left"/>
              <w:spacing w:line="200" w:lineRule="exact"/>
              <w:rPr>
                <w:rFonts w:ascii="宋体" w:hAnsi="宋体"/>
                <w:color w:val="000000"/>
                <w:sz w:val="18"/>
                <w:szCs w:val="18"/>
              </w:rPr>
            </w:pPr>
            <w:r>
              <w:rPr>
                <w:rFonts w:ascii="宋体" w:hAnsi="宋体" w:cs="黑体"/>
                <w:color w:val="000000"/>
                <w:sz w:val="18"/>
                <w:szCs w:val="18"/>
              </w:rPr>
              <w:t xml:space="preserve">7)支持IPMI2.0、SNMP或Redfish 等接口功能；</w:t>
            </w:r>
            <w:r>
              <w:rPr>
                <w:rFonts w:ascii="宋体" w:hAnsi="宋体"/>
                <w:color w:val="000000"/>
                <w:sz w:val="18"/>
                <w:szCs w:val="18"/>
              </w:rPr>
            </w:r>
            <w:r/>
          </w:p>
          <w:p>
            <w:pPr>
              <w:pStyle w:val="734"/>
              <w:jc w:val="left"/>
              <w:spacing w:line="200" w:lineRule="exact"/>
              <w:rPr>
                <w:rFonts w:ascii="宋体" w:hAnsi="宋体"/>
                <w:color w:val="000000"/>
                <w:sz w:val="18"/>
                <w:szCs w:val="18"/>
              </w:rPr>
            </w:pPr>
            <w:r>
              <w:rPr>
                <w:rFonts w:ascii="宋体" w:hAnsi="宋体" w:cs="黑体"/>
                <w:color w:val="000000"/>
                <w:sz w:val="18"/>
                <w:szCs w:val="18"/>
              </w:rPr>
              <w:t xml:space="preserve">8)支持键盘、鼠标和视频的重定向、文本控制台的重定向、远程虚拟媒体、高可靠的硬件监控和管理功能；</w:t>
            </w:r>
            <w:r>
              <w:rPr>
                <w:rFonts w:ascii="宋体" w:hAnsi="宋体"/>
                <w:color w:val="000000"/>
                <w:sz w:val="18"/>
                <w:szCs w:val="18"/>
              </w:rPr>
            </w:r>
            <w:r/>
          </w:p>
          <w:p>
            <w:pPr>
              <w:pStyle w:val="734"/>
              <w:jc w:val="left"/>
              <w:spacing w:line="200" w:lineRule="exact"/>
              <w:rPr>
                <w:rFonts w:ascii="宋体" w:hAnsi="宋体"/>
                <w:color w:val="000000"/>
                <w:sz w:val="18"/>
                <w:szCs w:val="18"/>
              </w:rPr>
            </w:pPr>
            <w:r>
              <w:rPr>
                <w:rFonts w:ascii="宋体" w:hAnsi="宋体" w:cs="黑体"/>
                <w:color w:val="000000"/>
                <w:sz w:val="18"/>
                <w:szCs w:val="18"/>
              </w:rPr>
              <w:t xml:space="preserve">9)支持基于网络开启、关闭和重启设备的功能，并查询当前设备开机运行状态；</w:t>
            </w:r>
            <w:r>
              <w:rPr>
                <w:rFonts w:ascii="宋体" w:hAnsi="宋体"/>
                <w:color w:val="000000"/>
                <w:sz w:val="18"/>
                <w:szCs w:val="18"/>
              </w:rPr>
            </w:r>
            <w:r/>
          </w:p>
          <w:p>
            <w:pPr>
              <w:pStyle w:val="734"/>
              <w:ind w:left="1"/>
              <w:spacing w:line="200" w:lineRule="exact"/>
              <w:rPr>
                <w:rFonts w:hint="eastAsia" w:ascii="宋体" w:hAnsi="宋体" w:cs="黑体"/>
                <w:color w:val="000000"/>
                <w:sz w:val="18"/>
                <w:szCs w:val="18"/>
              </w:rPr>
            </w:pPr>
            <w:r>
              <w:rPr>
                <w:rFonts w:ascii="宋体" w:hAnsi="宋体" w:cs="黑体"/>
                <w:color w:val="000000"/>
                <w:sz w:val="18"/>
                <w:szCs w:val="18"/>
              </w:rPr>
              <w:t xml:space="preserve">10)支持故障提示功能，并可通过接口读取服务器故障信息；</w:t>
            </w:r>
            <w:r>
              <w:rPr>
                <w:rFonts w:hint="eastAsia" w:ascii="宋体" w:hAnsi="宋体" w:cs="黑体"/>
                <w:color w:val="000000"/>
                <w:sz w:val="18"/>
                <w:szCs w:val="18"/>
              </w:rPr>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65</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功能要求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BMC固件增强功能</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66</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功能要求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*BIOS固件基础功能</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after="2" w:line="200" w:lineRule="exact"/>
              <w:rPr>
                <w:rFonts w:ascii="宋体" w:hAnsi="宋体" w:cs="黑体"/>
                <w:color w:val="000000"/>
                <w:sz w:val="18"/>
                <w:szCs w:val="18"/>
              </w:rPr>
            </w:pPr>
            <w:r>
              <w:rPr>
                <w:rFonts w:ascii="宋体" w:hAnsi="宋体" w:cs="黑体"/>
                <w:color w:val="000000"/>
                <w:sz w:val="18"/>
                <w:szCs w:val="18"/>
              </w:rPr>
              <w:t xml:space="preserve">/</w:t>
            </w:r>
            <w:r>
              <w:rPr>
                <w:rFonts w:hint="eastAsia" w:ascii="宋体" w:hAnsi="宋体" w:cs="黑体"/>
                <w:color w:val="000000"/>
                <w:sz w:val="18"/>
                <w:szCs w:val="18"/>
              </w:rPr>
              <w:t xml:space="preserve">/</w:t>
            </w:r>
            <w:r>
              <w:rPr>
                <w:rFonts w:ascii="宋体" w:hAnsi="宋体" w:cs="黑体"/>
                <w:color w:val="000000"/>
                <w:sz w:val="18"/>
                <w:szCs w:val="18"/>
              </w:rPr>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67</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功能要求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*远程控制</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支持远程关机和重新启动功能</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68</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功能要求</w:t>
            </w:r>
            <w:r/>
          </w:p>
        </w:tc>
        <w:tc>
          <w:tcPr>
            <w:tcW w:w="1276" w:type="dxa"/>
            <w:vAlign w:val="center"/>
            <w:textDirection w:val="lrTb"/>
            <w:noWrap w:val="false"/>
          </w:tcPr>
          <w:p>
            <w:pPr>
              <w:pStyle w:val="734"/>
              <w:ind w:left="5"/>
              <w:spacing w:line="200" w:lineRule="exact"/>
              <w:rPr>
                <w:rFonts w:ascii="宋体" w:hAnsi="宋体" w:cs="黑体"/>
                <w:color w:val="000000"/>
                <w:sz w:val="18"/>
                <w:szCs w:val="18"/>
              </w:rPr>
            </w:pPr>
            <w:r>
              <w:rPr>
                <w:rFonts w:ascii="宋体" w:hAnsi="宋体" w:cs="黑体"/>
                <w:color w:val="000000"/>
                <w:sz w:val="18"/>
                <w:szCs w:val="18"/>
              </w:rPr>
              <w:t xml:space="preserve">*操作系统及驱动功能</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*操作系统及驱动的升级</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hint="eastAsia" w:ascii="宋体" w:hAnsi="宋体"/>
                <w:color w:val="000000"/>
                <w:sz w:val="18"/>
                <w:szCs w:val="18"/>
              </w:rPr>
              <w:t xml:space="preserve">配置</w:t>
            </w:r>
            <w:r>
              <w:rPr>
                <w:rFonts w:ascii="宋体" w:hAnsi="宋体"/>
                <w:color w:val="000000"/>
                <w:sz w:val="18"/>
                <w:szCs w:val="18"/>
              </w:rPr>
              <w:t xml:space="preserve">正版国产化商用操作系统</w:t>
            </w:r>
            <w:r>
              <w:rPr>
                <w:rFonts w:hint="eastAsia" w:ascii="宋体" w:hAnsi="宋体"/>
                <w:color w:val="000000"/>
                <w:sz w:val="18"/>
                <w:szCs w:val="18"/>
              </w:rPr>
              <w:t xml:space="preserve">，</w:t>
            </w:r>
            <w:r>
              <w:rPr>
                <w:rFonts w:ascii="宋体" w:hAnsi="宋体" w:cs="黑体"/>
                <w:color w:val="000000"/>
                <w:sz w:val="18"/>
                <w:szCs w:val="18"/>
              </w:rPr>
              <w:t xml:space="preserve">支持通过网络、闪存盘对操作系统、驱动进行升级</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69</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功能要求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操作系统及驱动的备份还原</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支持操作系统备份及还原功能</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70</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功能要求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*操作系统功能</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a) 支持访问控制、安全审计、网络接入鉴别等功能； b) 操作系统其他功能应满足操作系统政府采购需求标准中加*的指标要求</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71</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功能要求</w:t>
            </w:r>
            <w:r/>
          </w:p>
        </w:tc>
        <w:tc>
          <w:tcPr>
            <w:tcW w:w="1276" w:type="dxa"/>
            <w:vAlign w:val="center"/>
            <w:textDirection w:val="lrTb"/>
            <w:noWrap w:val="false"/>
          </w:tcPr>
          <w:p>
            <w:pPr>
              <w:pStyle w:val="734"/>
              <w:ind w:left="11"/>
              <w:spacing w:line="200" w:lineRule="exact"/>
              <w:rPr>
                <w:rFonts w:ascii="宋体" w:hAnsi="宋体" w:cs="黑体"/>
                <w:color w:val="000000"/>
                <w:sz w:val="18"/>
                <w:szCs w:val="18"/>
              </w:rPr>
            </w:pPr>
            <w:r>
              <w:rPr>
                <w:rFonts w:ascii="宋体" w:hAnsi="宋体" w:cs="黑体"/>
                <w:color w:val="000000"/>
                <w:sz w:val="18"/>
                <w:szCs w:val="18"/>
              </w:rPr>
              <w:t xml:space="preserve">*中文信息处理功能</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*中文信息处理</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符合GB 18030的有关规定</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72</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功能要求</w:t>
            </w:r>
            <w:r/>
          </w:p>
        </w:tc>
        <w:tc>
          <w:tcPr>
            <w:tcW w:w="127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机柜功能</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机柜管理功能</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hint="eastAsia" w:ascii="宋体" w:hAnsi="宋体" w:cs="黑体"/>
                <w:color w:val="000000"/>
                <w:sz w:val="18"/>
                <w:szCs w:val="18"/>
              </w:rPr>
              <w:t xml:space="preserve">不涉及</w:t>
            </w:r>
            <w:r>
              <w:rPr>
                <w:rFonts w:ascii="宋体" w:hAnsi="宋体" w:cs="黑体"/>
                <w:color w:val="000000"/>
                <w:sz w:val="18"/>
                <w:szCs w:val="18"/>
              </w:rPr>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73</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功能要求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机柜通信方式</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hint="eastAsia" w:ascii="宋体" w:hAnsi="宋体" w:cs="黑体"/>
                <w:color w:val="000000"/>
                <w:sz w:val="18"/>
                <w:szCs w:val="18"/>
              </w:rPr>
              <w:t xml:space="preserve">不涉及</w:t>
            </w:r>
            <w:r>
              <w:rPr>
                <w:rFonts w:ascii="宋体" w:hAnsi="宋体" w:cs="黑体"/>
                <w:color w:val="000000"/>
                <w:sz w:val="18"/>
                <w:szCs w:val="18"/>
              </w:rPr>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74</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功能要求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多集群作业管理</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hint="eastAsia" w:ascii="宋体" w:hAnsi="宋体" w:cs="黑体"/>
                <w:color w:val="000000"/>
                <w:sz w:val="18"/>
                <w:szCs w:val="18"/>
              </w:rPr>
              <w:t xml:space="preserve">不涉及</w:t>
            </w:r>
            <w:r>
              <w:rPr>
                <w:rFonts w:ascii="宋体" w:hAnsi="宋体" w:cs="黑体"/>
                <w:color w:val="000000"/>
                <w:sz w:val="18"/>
                <w:szCs w:val="18"/>
              </w:rPr>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75</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安全要求</w:t>
            </w:r>
            <w:r/>
          </w:p>
        </w:tc>
        <w:tc>
          <w:tcPr>
            <w:tcW w:w="127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*关键部件安全要求</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*关键部件安全要求3</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CPU和操作系统等关键部件应当符合安全可靠测评要求</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76</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安全要求</w:t>
            </w:r>
            <w:r/>
          </w:p>
        </w:tc>
        <w:tc>
          <w:tcPr>
            <w:tcW w:w="1276" w:type="dxa"/>
            <w:vAlign w:val="center"/>
            <w:textDirection w:val="lrTb"/>
            <w:noWrap w:val="false"/>
          </w:tcPr>
          <w:p>
            <w:pPr>
              <w:pStyle w:val="734"/>
              <w:ind w:left="4"/>
              <w:spacing w:line="200" w:lineRule="exact"/>
              <w:rPr>
                <w:rFonts w:ascii="宋体" w:hAnsi="宋体" w:cs="黑体"/>
                <w:color w:val="000000"/>
                <w:sz w:val="18"/>
                <w:szCs w:val="18"/>
              </w:rPr>
            </w:pPr>
            <w:r>
              <w:rPr>
                <w:rFonts w:ascii="宋体" w:hAnsi="宋体" w:cs="黑体"/>
                <w:color w:val="000000"/>
                <w:sz w:val="18"/>
                <w:szCs w:val="18"/>
              </w:rPr>
              <w:t xml:space="preserve">*固件安全要求</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*故障检测</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支持故障检测功能，可以检测到具体的FRU（内存、硬盘等）的故障并发出告警</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77</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安全要求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内存故障智能预测和自愈修复</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支持内存故障智能预测和自愈修复，提前自动硬隔离，避免内存故障引起的非预期宕机以及内存寿命的降低</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78</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安全要求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硬盘故障智能预测</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支持硬盘故障智能预测，基于故障模型预测出硬盘的故障</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79</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安全要求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PCIe链路故障智能诊断</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支持PCIe链路故障智能诊断，判断出现故障的PCIe链路</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80</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安全要求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内存故障隔离</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支持内存故障隔离，在内存产生CE 故障时，内存地址被隔离成功，服务器正常运行，业务系统不中断</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81</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安全要求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内存、PCIe 卡的故障精准告警功能</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支持内存、PCIe卡的故障精准告警功能，触发告警并明确指示具体的故障位置</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82</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安全要求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异常下电关键数据保护</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支持异常下电关键数据保护，支持数据备份恢复机制，防止系统异常掉电导致的数据文件丢失</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83</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安全要求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BMC/BIOS 固件双镜像保护</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支持BMC/BIOS固件双镜像保护，运行异常时自动切换到备份镜像运行，提升系统稳定性</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84</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安全要求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CPU核重启隔离</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支持CPU核发生不可纠正故障后，重启后由BIOS隔离该故障核，OS 不可见，防止OS再次使用导致系统异常，核0除外</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85</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安全要求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内存地址隔离</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在硬件支持的情况下，支持故障内存地址重启后隔离</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86</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安全要求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内存存储阵列替换</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在硬件支持的情况下，支持故障内存存储阵列替换</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87</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安全要求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安全启动</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支持执行环境要求在整个系统启动的过程中，系统应提供一个机制来保护平台的完整性</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88</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安全要求</w:t>
            </w:r>
            <w:r/>
          </w:p>
        </w:tc>
        <w:tc>
          <w:tcPr>
            <w:tcW w:w="1276" w:type="dxa"/>
            <w:vAlign w:val="center"/>
            <w:textDirection w:val="lrTb"/>
            <w:noWrap w:val="false"/>
          </w:tcPr>
          <w:p>
            <w:pPr>
              <w:pStyle w:val="734"/>
              <w:ind w:left="4"/>
              <w:spacing w:line="200" w:lineRule="exact"/>
              <w:rPr>
                <w:rFonts w:ascii="宋体" w:hAnsi="宋体" w:cs="黑体"/>
                <w:color w:val="000000"/>
                <w:sz w:val="18"/>
                <w:szCs w:val="18"/>
              </w:rPr>
            </w:pPr>
            <w:r>
              <w:rPr>
                <w:rFonts w:ascii="宋体" w:hAnsi="宋体" w:cs="黑体"/>
                <w:color w:val="000000"/>
                <w:sz w:val="18"/>
                <w:szCs w:val="18"/>
              </w:rPr>
              <w:t xml:space="preserve">*系统安全要求</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syslog双</w:t>
            </w:r>
            <w:r/>
          </w:p>
          <w:p>
            <w:pPr>
              <w:pStyle w:val="734"/>
              <w:spacing w:line="200" w:lineRule="exact"/>
              <w:rPr>
                <w:rFonts w:ascii="宋体" w:hAnsi="宋体" w:cs="黑体"/>
                <w:color w:val="000000"/>
                <w:sz w:val="18"/>
                <w:szCs w:val="18"/>
              </w:rPr>
            </w:pPr>
            <w:r>
              <w:rPr>
                <w:rFonts w:ascii="宋体" w:hAnsi="宋体" w:cs="黑体"/>
                <w:color w:val="000000"/>
                <w:sz w:val="18"/>
                <w:szCs w:val="18"/>
              </w:rPr>
              <w:t xml:space="preserve">向鉴别</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支持系统日志双向鉴别，对服务器根证书和客户端根证书进行鉴别</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89</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安全要求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*弱口令字典检查</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支持弱口令字典检查功能，出现在弱口令字典中的字符串不能被设置为用户口令</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90</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安全要求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*白名单访问控制</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支持基于时间、IP或MAC白名单访问控制</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91</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安全要求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双因素鉴别</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支持使用客户端证书和证书密码的双因素鉴别方式登录管理系统</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92</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安全要求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*二次鉴别</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支持二次鉴别功能。对于用户配置、权限配置、公钥导入等重要的管理操作，已登录用户应通过二次鉴别后，才能执行操作</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93</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安全要求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匿名化用户告警接收邮箱</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支持带外管理系统中的用户告警接收邮箱进行匿名化处理</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94</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安全要求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*密码证书安全加密存储</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支持对带外管理系统中的用户口令和证书等敏感信息进行加密存储，禁止使用私有的和业界已知不安全的密码算法</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95</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安全要求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*敏感信息安全加密传输</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支持使用安全的传输加密协议（如SSH或HTTPS等）传输用户的敏感信息</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96</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安全要求</w:t>
            </w:r>
            <w:r/>
          </w:p>
        </w:tc>
        <w:tc>
          <w:tcPr>
            <w:tcW w:w="1276" w:type="dxa"/>
            <w:vAlign w:val="center"/>
            <w:textDirection w:val="lrTb"/>
            <w:noWrap w:val="false"/>
          </w:tcPr>
          <w:p>
            <w:pPr>
              <w:pStyle w:val="734"/>
              <w:ind w:left="4"/>
              <w:spacing w:line="200" w:lineRule="exact"/>
              <w:rPr>
                <w:rFonts w:ascii="宋体" w:hAnsi="宋体" w:cs="黑体"/>
                <w:color w:val="000000"/>
                <w:sz w:val="18"/>
                <w:szCs w:val="18"/>
              </w:rPr>
            </w:pPr>
            <w:r>
              <w:rPr>
                <w:rFonts w:ascii="宋体" w:hAnsi="宋体" w:cs="黑体"/>
                <w:color w:val="000000"/>
                <w:sz w:val="18"/>
                <w:szCs w:val="18"/>
              </w:rPr>
              <w:t xml:space="preserve">*信息安全要求</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*研发过程安全</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供应商承诺，生产商已建立从需求、设计、开发、测试、维护端到端的开发流程管理机制，输出和保存开发流程中每个阶段的产品需求清单、设计文档、开发文档、测试记录等材料，保证各个流程可追溯</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97</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安全要求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漏洞管理</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供应商承诺，生产商已建立漏洞全量视图，保证产品版本涉及到的所有漏洞(如驱动程序、BMC软件等) 都可以查看</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98</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安全要求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网络关键设备服务器要求</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作为网络关键设备的服务器应符合GB 40050的相关规定</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99</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安全要求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增强要求</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numPr>
                <w:ilvl w:val="0"/>
                <w:numId w:val="39"/>
              </w:numPr>
              <w:spacing w:line="200" w:lineRule="exact"/>
              <w:widowControl/>
              <w:rPr>
                <w:rFonts w:ascii="宋体" w:hAnsi="宋体" w:cs="黑体"/>
                <w:color w:val="000000"/>
                <w:sz w:val="18"/>
                <w:szCs w:val="18"/>
              </w:rPr>
            </w:pPr>
            <w:r>
              <w:rPr>
                <w:rFonts w:ascii="宋体" w:hAnsi="宋体" w:cs="黑体"/>
                <w:color w:val="000000"/>
                <w:sz w:val="18"/>
                <w:szCs w:val="18"/>
              </w:rPr>
              <w:t xml:space="preserve">嵌入物理可信根，实现设备的信任链构建；</w:t>
            </w:r>
            <w:r/>
          </w:p>
          <w:p>
            <w:pPr>
              <w:pStyle w:val="734"/>
              <w:numPr>
                <w:ilvl w:val="0"/>
                <w:numId w:val="39"/>
              </w:numPr>
              <w:spacing w:after="5" w:line="200" w:lineRule="exact"/>
              <w:widowControl/>
              <w:rPr>
                <w:rFonts w:ascii="宋体" w:hAnsi="宋体" w:cs="黑体"/>
                <w:color w:val="000000"/>
                <w:sz w:val="18"/>
                <w:szCs w:val="18"/>
              </w:rPr>
            </w:pPr>
            <w:r>
              <w:rPr>
                <w:rFonts w:ascii="宋体" w:hAnsi="宋体" w:cs="黑体"/>
                <w:color w:val="000000"/>
                <w:sz w:val="18"/>
                <w:szCs w:val="18"/>
              </w:rPr>
              <w:t xml:space="preserve">支持可信平台控制模块(TPCM)；</w:t>
            </w:r>
            <w:r/>
          </w:p>
          <w:p>
            <w:pPr>
              <w:pStyle w:val="734"/>
              <w:numPr>
                <w:ilvl w:val="0"/>
                <w:numId w:val="39"/>
              </w:numPr>
              <w:spacing w:line="200" w:lineRule="exact"/>
              <w:widowControl/>
              <w:rPr>
                <w:rFonts w:ascii="宋体" w:hAnsi="宋体" w:cs="黑体"/>
                <w:color w:val="000000"/>
                <w:sz w:val="18"/>
                <w:szCs w:val="18"/>
              </w:rPr>
            </w:pPr>
            <w:r>
              <w:rPr>
                <w:rFonts w:ascii="宋体" w:hAnsi="宋体" w:cs="黑体"/>
                <w:color w:val="000000"/>
                <w:sz w:val="18"/>
                <w:szCs w:val="18"/>
              </w:rPr>
              <w:t xml:space="preserve">支持在固件系统（BMC、BIOS）启动前实现对固件度量的功能，支持物理可信根对BMC固件或BIOS固件进行完整性检测、更新和恢复；</w:t>
            </w:r>
            <w:r/>
          </w:p>
          <w:p>
            <w:pPr>
              <w:pStyle w:val="734"/>
              <w:numPr>
                <w:ilvl w:val="0"/>
                <w:numId w:val="39"/>
              </w:numPr>
              <w:spacing w:line="200" w:lineRule="exact"/>
              <w:widowControl/>
              <w:rPr>
                <w:rFonts w:ascii="宋体" w:hAnsi="宋体" w:cs="黑体"/>
                <w:color w:val="000000"/>
                <w:sz w:val="18"/>
                <w:szCs w:val="18"/>
              </w:rPr>
            </w:pPr>
            <w:r>
              <w:rPr>
                <w:rFonts w:ascii="宋体" w:hAnsi="宋体" w:cs="黑体"/>
                <w:color w:val="000000"/>
                <w:sz w:val="18"/>
                <w:szCs w:val="18"/>
              </w:rPr>
              <w:t xml:space="preserve">支持对CPU、网络控制器等关键处理器进行身份识别与度量的功能；</w:t>
            </w:r>
            <w:r/>
          </w:p>
          <w:p>
            <w:pPr>
              <w:pStyle w:val="734"/>
              <w:numPr>
                <w:ilvl w:val="0"/>
                <w:numId w:val="39"/>
              </w:numPr>
              <w:spacing w:line="200" w:lineRule="exact"/>
              <w:widowControl/>
              <w:rPr>
                <w:rFonts w:ascii="宋体" w:hAnsi="宋体" w:cs="黑体"/>
                <w:color w:val="000000"/>
                <w:sz w:val="18"/>
                <w:szCs w:val="18"/>
              </w:rPr>
            </w:pPr>
            <w:r>
              <w:rPr>
                <w:rFonts w:ascii="宋体" w:hAnsi="宋体" w:cs="黑体"/>
                <w:color w:val="000000"/>
                <w:sz w:val="18"/>
                <w:szCs w:val="18"/>
              </w:rPr>
              <w:t xml:space="preserve">支持基于处理器或可信计算模块度量的功能；</w:t>
            </w:r>
            <w:r/>
          </w:p>
          <w:p>
            <w:pPr>
              <w:pStyle w:val="734"/>
              <w:numPr>
                <w:ilvl w:val="0"/>
                <w:numId w:val="39"/>
              </w:numPr>
              <w:spacing w:line="200" w:lineRule="exact"/>
              <w:widowControl/>
              <w:rPr>
                <w:rFonts w:ascii="宋体" w:hAnsi="宋体" w:cs="黑体"/>
                <w:color w:val="000000"/>
                <w:sz w:val="18"/>
                <w:szCs w:val="18"/>
              </w:rPr>
            </w:pPr>
            <w:r>
              <w:rPr>
                <w:rFonts w:ascii="宋体" w:hAnsi="宋体" w:cs="黑体"/>
                <w:color w:val="000000"/>
                <w:sz w:val="18"/>
                <w:szCs w:val="18"/>
              </w:rPr>
              <w:t xml:space="preserve">所采用的可信密码模块接口应符合GM/T 0012的相关规定；</w:t>
            </w:r>
            <w:r/>
          </w:p>
          <w:p>
            <w:pPr>
              <w:pStyle w:val="734"/>
              <w:numPr>
                <w:ilvl w:val="0"/>
                <w:numId w:val="39"/>
              </w:numPr>
              <w:spacing w:line="200" w:lineRule="exact"/>
              <w:widowControl/>
              <w:rPr>
                <w:rFonts w:ascii="宋体" w:hAnsi="宋体" w:cs="黑体"/>
                <w:color w:val="000000"/>
                <w:sz w:val="18"/>
                <w:szCs w:val="18"/>
              </w:rPr>
            </w:pPr>
            <w:r>
              <w:rPr>
                <w:rFonts w:ascii="宋体" w:hAnsi="宋体" w:cs="黑体"/>
                <w:color w:val="000000"/>
                <w:sz w:val="18"/>
                <w:szCs w:val="18"/>
              </w:rPr>
              <w:t xml:space="preserve">可信安全管理模块、处理器等硬件载体应通过国家相关部门的认证和许可</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100</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安全要求</w:t>
            </w:r>
            <w:r/>
          </w:p>
        </w:tc>
        <w:tc>
          <w:tcPr>
            <w:tcW w:w="127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*物理安全</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*物理安全</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安全要求应符合GB 4943.1的规定</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101</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安全要求</w:t>
            </w:r>
            <w:r/>
          </w:p>
        </w:tc>
        <w:tc>
          <w:tcPr>
            <w:tcW w:w="1276" w:type="dxa"/>
            <w:vAlign w:val="center"/>
            <w:textDirection w:val="lrTb"/>
            <w:noWrap w:val="false"/>
          </w:tcPr>
          <w:p>
            <w:pPr>
              <w:pStyle w:val="734"/>
              <w:ind w:left="5"/>
              <w:spacing w:line="200" w:lineRule="exact"/>
              <w:rPr>
                <w:rFonts w:ascii="宋体" w:hAnsi="宋体" w:cs="黑体"/>
                <w:color w:val="000000"/>
                <w:sz w:val="18"/>
                <w:szCs w:val="18"/>
              </w:rPr>
            </w:pPr>
            <w:r>
              <w:rPr>
                <w:rFonts w:ascii="宋体" w:hAnsi="宋体" w:cs="黑体"/>
                <w:color w:val="000000"/>
                <w:sz w:val="18"/>
                <w:szCs w:val="18"/>
              </w:rPr>
              <w:t xml:space="preserve">*限用物质的限量要求</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*限用物质的限量要求</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限用物质的限量应符合GB/T 26572 的要求</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102</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性能要求</w:t>
            </w:r>
            <w:r/>
          </w:p>
        </w:tc>
        <w:tc>
          <w:tcPr>
            <w:tcW w:w="127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*CPU 性能</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*CPU主频</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≥2.6GHz</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103</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性能要求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*单CPU核数</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≥32</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104</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性能要求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*单CPU末级缓存容量</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是</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≥8MB</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105</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性能要求</w:t>
            </w:r>
            <w:r/>
          </w:p>
        </w:tc>
        <w:tc>
          <w:tcPr>
            <w:tcW w:w="127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*内存性能</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单内存模块容量</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是</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≥32GB</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106</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性能要求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*内存速率</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是</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≥2933MT</w:t>
            </w:r>
            <w:r>
              <w:rPr>
                <w:rFonts w:hint="eastAsia" w:ascii="宋体" w:hAnsi="宋体" w:cs="黑体"/>
                <w:color w:val="000000"/>
                <w:sz w:val="18"/>
                <w:szCs w:val="18"/>
              </w:rPr>
              <w:t xml:space="preserve">/</w:t>
            </w:r>
            <w:r>
              <w:rPr>
                <w:rFonts w:ascii="宋体" w:hAnsi="宋体" w:cs="黑体"/>
                <w:color w:val="000000"/>
                <w:sz w:val="18"/>
                <w:szCs w:val="18"/>
              </w:rPr>
              <w:t xml:space="preserve">s</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107</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性能要求</w:t>
            </w:r>
            <w:r/>
          </w:p>
        </w:tc>
        <w:tc>
          <w:tcPr>
            <w:tcW w:w="127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存储性能</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硬盘转速</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是</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安装的硬磁盘转速不小于10krpm</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108</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性能要求</w:t>
            </w:r>
            <w:r/>
          </w:p>
        </w:tc>
        <w:tc>
          <w:tcPr>
            <w:tcW w:w="127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RAID 卡性能</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RAID卡缓存容量大小</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若配备RAID卡且RAID卡有缓存容量，容量不少于1GB</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109</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性能要求</w:t>
            </w:r>
            <w:r/>
          </w:p>
        </w:tc>
        <w:tc>
          <w:tcPr>
            <w:tcW w:w="127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FC HBA 卡性能</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FC HBA卡</w:t>
            </w:r>
            <w:r/>
          </w:p>
          <w:p>
            <w:pPr>
              <w:pStyle w:val="734"/>
              <w:spacing w:line="200" w:lineRule="exact"/>
              <w:rPr>
                <w:rFonts w:ascii="宋体" w:hAnsi="宋体" w:cs="黑体"/>
                <w:color w:val="000000"/>
                <w:sz w:val="18"/>
                <w:szCs w:val="18"/>
              </w:rPr>
            </w:pPr>
            <w:r>
              <w:rPr>
                <w:rFonts w:ascii="宋体" w:hAnsi="宋体" w:cs="黑体"/>
                <w:color w:val="000000"/>
                <w:sz w:val="18"/>
                <w:szCs w:val="18"/>
              </w:rPr>
              <w:t xml:space="preserve">速率</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是</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hint="eastAsia" w:ascii="宋体" w:hAnsi="宋体" w:cs="黑体"/>
                <w:color w:val="000000"/>
                <w:sz w:val="18"/>
                <w:szCs w:val="18"/>
              </w:rPr>
              <w:t xml:space="preserve">不涉及</w:t>
            </w:r>
            <w:r>
              <w:rPr>
                <w:rFonts w:ascii="宋体" w:hAnsi="宋体" w:cs="黑体"/>
                <w:color w:val="000000"/>
                <w:sz w:val="18"/>
                <w:szCs w:val="18"/>
              </w:rPr>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110</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性能要求</w:t>
            </w:r>
            <w:r/>
          </w:p>
        </w:tc>
        <w:tc>
          <w:tcPr>
            <w:tcW w:w="127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网络性能</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独立网卡速率</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≥1GE</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111</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性能要求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板载网卡速率</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≥1GE</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112</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性能要求</w:t>
            </w:r>
            <w:r/>
          </w:p>
        </w:tc>
        <w:tc>
          <w:tcPr>
            <w:tcW w:w="127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*电源能耗</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*电源能耗</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符合GB/T 9813.3的有关规定</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113</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兼容要求</w:t>
            </w:r>
            <w:r/>
          </w:p>
        </w:tc>
        <w:tc>
          <w:tcPr>
            <w:tcW w:w="127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*部件兼容性要求</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*内存兼容性</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是</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适配3种及以上厂商的内存产品，且均不低于产品支持的内存规格</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114</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兼容要求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*固态存储兼容性</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是</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适配3种或以上厂商的固态存储产品，且均不低于产品支持的固态存储设备规格</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115</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兼容要求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FC HBA卡</w:t>
            </w:r>
            <w:r/>
          </w:p>
          <w:p>
            <w:pPr>
              <w:pStyle w:val="734"/>
              <w:spacing w:line="200" w:lineRule="exact"/>
              <w:rPr>
                <w:rFonts w:ascii="宋体" w:hAnsi="宋体" w:cs="黑体"/>
                <w:color w:val="000000"/>
                <w:sz w:val="18"/>
                <w:szCs w:val="18"/>
              </w:rPr>
            </w:pPr>
            <w:r>
              <w:rPr>
                <w:rFonts w:ascii="宋体" w:hAnsi="宋体" w:cs="黑体"/>
                <w:color w:val="000000"/>
                <w:sz w:val="18"/>
                <w:szCs w:val="18"/>
              </w:rPr>
              <w:t xml:space="preserve">兼容性</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FC HBA应适配两种或以上厂商产品</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116</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兼容要求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RAID卡兼容性</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RAID卡应适配两种或以上厂商产品</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117</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兼容要求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*网卡兼容性</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是</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网卡应适配两种或以上厂商产品</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118</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兼容要求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*功能卡兼容性</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内置或适配符合PCIe的功能卡，如：网络功能卡、存储功能卡及图形显示功能卡</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119</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兼容要求</w:t>
            </w:r>
            <w:r/>
          </w:p>
        </w:tc>
        <w:tc>
          <w:tcPr>
            <w:tcW w:w="127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*外设兼容性</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*外设兼容性</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是</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兼容多种主流生产商的外部设备，</w:t>
            </w:r>
            <w:r/>
          </w:p>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包括显示器、键盘、鼠标、闪存盘、</w:t>
            </w:r>
            <w:r/>
          </w:p>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移动硬盘、USB光驱及KVM等，要求使用不同厂商的外部设备时，系统均能正常识别和安装驱动</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120</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兼容要求</w:t>
            </w:r>
            <w:r/>
          </w:p>
        </w:tc>
        <w:tc>
          <w:tcPr>
            <w:tcW w:w="127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*软件兼容性</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*数据库兼容</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是</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兼容3个及以上厂商的数据库产品</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121</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兼容要求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*中间件兼容</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是</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兼容3个及以上厂商的中间件产品</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122</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兼容要求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*平台软件兼容</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是</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兼容3个及以上厂商的大数据平台</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123</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兼容要求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虚拟化软件兼容</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是</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兼容2款及以上虚拟化软件</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124</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可靠性要求</w:t>
            </w:r>
            <w:r/>
          </w:p>
        </w:tc>
        <w:tc>
          <w:tcPr>
            <w:tcW w:w="127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存储可靠性要求</w:t>
            </w:r>
            <w:r/>
          </w:p>
        </w:tc>
        <w:tc>
          <w:tcPr>
            <w:tcW w:w="1559" w:type="dxa"/>
            <w:vAlign w:val="center"/>
            <w:textDirection w:val="lrTb"/>
            <w:noWrap w:val="false"/>
          </w:tcPr>
          <w:p>
            <w:pPr>
              <w:pStyle w:val="734"/>
              <w:spacing w:after="5" w:line="200" w:lineRule="exact"/>
              <w:rPr>
                <w:rFonts w:ascii="宋体" w:hAnsi="宋体" w:cs="黑体"/>
                <w:color w:val="000000"/>
                <w:sz w:val="18"/>
                <w:szCs w:val="18"/>
              </w:rPr>
            </w:pPr>
            <w:r>
              <w:rPr>
                <w:rFonts w:ascii="宋体" w:hAnsi="宋体" w:cs="黑体"/>
                <w:color w:val="000000"/>
                <w:sz w:val="18"/>
                <w:szCs w:val="18"/>
              </w:rPr>
              <w:t xml:space="preserve">SATA SSD</w:t>
            </w:r>
            <w:r/>
          </w:p>
          <w:p>
            <w:pPr>
              <w:pStyle w:val="734"/>
              <w:spacing w:line="200" w:lineRule="exact"/>
              <w:rPr>
                <w:rFonts w:ascii="宋体" w:hAnsi="宋体" w:cs="黑体"/>
                <w:color w:val="000000"/>
                <w:sz w:val="18"/>
                <w:szCs w:val="18"/>
              </w:rPr>
            </w:pPr>
            <w:r>
              <w:rPr>
                <w:rFonts w:ascii="宋体" w:hAnsi="宋体" w:cs="黑体"/>
                <w:color w:val="000000"/>
                <w:sz w:val="18"/>
                <w:szCs w:val="18"/>
              </w:rPr>
              <w:t xml:space="preserve">可靠性</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是</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SSD的m1值（MTBF的不可接受值）不低于200000h</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125</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可靠性要求</w:t>
            </w:r>
            <w:r/>
          </w:p>
        </w:tc>
        <w:tc>
          <w:tcPr>
            <w:tcW w:w="127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*整机可靠性要求</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*整机可靠性</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是</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m1值（MTBF的不可接受值）不得低于20000h</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126</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可靠性要求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*风扇可靠性</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是</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风扇寿命应不低于40000h</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127</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可靠性要求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*部件可靠性</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支持硬盘、电源、风扇热插拔(内置风扇除外)</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128</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包装及运输要求</w:t>
            </w:r>
            <w:r/>
          </w:p>
        </w:tc>
        <w:tc>
          <w:tcPr>
            <w:tcW w:w="127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*包装及运输要求</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*标志、包装、运输和贮存</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符合GB/T 9813.3和商品包装政府采购需求标准的相关规定</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129</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服务要求</w:t>
            </w:r>
            <w:r/>
          </w:p>
        </w:tc>
        <w:tc>
          <w:tcPr>
            <w:tcW w:w="127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*服务响应</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*服务响应</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是</w:t>
            </w:r>
            <w:r/>
          </w:p>
        </w:tc>
        <w:tc>
          <w:tcPr>
            <w:tcW w:w="3666" w:type="dxa"/>
            <w:vAlign w:val="center"/>
            <w:textDirection w:val="lrTb"/>
            <w:noWrap w:val="false"/>
          </w:tcPr>
          <w:p>
            <w:pPr>
              <w:pStyle w:val="734"/>
              <w:numPr>
                <w:ilvl w:val="0"/>
                <w:numId w:val="40"/>
              </w:numPr>
              <w:spacing w:line="200" w:lineRule="exact"/>
              <w:widowControl/>
              <w:rPr>
                <w:rFonts w:ascii="宋体" w:hAnsi="宋体" w:cs="黑体"/>
                <w:color w:val="000000"/>
                <w:sz w:val="18"/>
                <w:szCs w:val="18"/>
              </w:rPr>
            </w:pPr>
            <w:r>
              <w:rPr>
                <w:rFonts w:ascii="宋体" w:hAnsi="宋体" w:cs="黑体"/>
                <w:color w:val="000000"/>
                <w:sz w:val="18"/>
                <w:szCs w:val="18"/>
              </w:rPr>
              <w:t xml:space="preserve">提供电话、电子邮件、远程连接等多种形式服务；</w:t>
            </w:r>
            <w:r/>
          </w:p>
          <w:p>
            <w:pPr>
              <w:pStyle w:val="734"/>
              <w:numPr>
                <w:ilvl w:val="0"/>
                <w:numId w:val="40"/>
              </w:numPr>
              <w:spacing w:line="200" w:lineRule="exact"/>
              <w:widowControl/>
              <w:rPr>
                <w:rFonts w:ascii="宋体" w:hAnsi="宋体" w:cs="黑体"/>
                <w:color w:val="000000"/>
                <w:sz w:val="18"/>
                <w:szCs w:val="18"/>
              </w:rPr>
            </w:pPr>
            <w:r>
              <w:rPr>
                <w:rFonts w:ascii="宋体" w:hAnsi="宋体" w:cs="黑体"/>
                <w:color w:val="000000"/>
                <w:sz w:val="18"/>
                <w:szCs w:val="18"/>
              </w:rPr>
              <w:t xml:space="preserve">提供同城4h、异地12h技术响应服务，2个工作日解决问题，对于未能解决的问题和故障应提供可行的升级方案，并提供周转设备； c) 建立全国技术服务体系和服务团体，符合专业服务体系标准要求，提供原厂中文服务； d) 服务周期内提供产品的维修、换件和升级服务</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130</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服务要求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*培训服务</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供应商提供培训材料、产品手册、培训视频等培训相关内容</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131</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服务要求</w:t>
            </w:r>
            <w:r/>
          </w:p>
        </w:tc>
        <w:tc>
          <w:tcPr>
            <w:tcW w:w="127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*服务周期</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*服务周期</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是</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a) 产品免费服务周期（含换件和维修）应不小于5年</w:t>
            </w:r>
            <w:r>
              <w:rPr>
                <w:rFonts w:hint="eastAsia" w:ascii="宋体" w:hAnsi="宋体" w:cs="黑体"/>
                <w:color w:val="000000"/>
                <w:sz w:val="18"/>
                <w:szCs w:val="18"/>
              </w:rPr>
              <w:t xml:space="preserve">，提供介质保留服务不小于5年</w:t>
            </w:r>
            <w:r>
              <w:rPr>
                <w:rFonts w:ascii="宋体" w:hAnsi="宋体" w:cs="黑体"/>
                <w:color w:val="000000"/>
                <w:sz w:val="18"/>
                <w:szCs w:val="18"/>
              </w:rPr>
              <w:t xml:space="preserve">； b) 设备停产后继续提供质量保障服务（含备品备件），服务终止时间与最后一批设备交付时间间隔不低于6年； c) 产品停止服务时间应提前1年告知客户；</w:t>
            </w:r>
            <w:r/>
          </w:p>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d) 产品发布日期需在随机文件中明确</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132</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服务要求</w:t>
            </w:r>
            <w:r/>
          </w:p>
        </w:tc>
        <w:tc>
          <w:tcPr>
            <w:tcW w:w="1276" w:type="dxa"/>
            <w:vAlign w:val="center"/>
            <w:textDirection w:val="lrTb"/>
            <w:noWrap w:val="false"/>
          </w:tcPr>
          <w:p>
            <w:pPr>
              <w:pStyle w:val="734"/>
              <w:ind w:left="4"/>
              <w:spacing w:line="200" w:lineRule="exact"/>
              <w:rPr>
                <w:rFonts w:ascii="宋体" w:hAnsi="宋体" w:cs="黑体"/>
                <w:color w:val="000000"/>
                <w:sz w:val="18"/>
                <w:szCs w:val="18"/>
              </w:rPr>
            </w:pPr>
            <w:r>
              <w:rPr>
                <w:rFonts w:ascii="宋体" w:hAnsi="宋体" w:cs="黑体"/>
                <w:color w:val="000000"/>
                <w:sz w:val="18"/>
                <w:szCs w:val="18"/>
              </w:rPr>
              <w:t xml:space="preserve">*服务工具要求</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*工具要求</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供应商提供设置服务器硬件、辅助操作系统安装等功能的辅助工具和管理软件。且随附软件应具有合法授权或版权</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133</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服务要求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辅助工具</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支持如下功能</w:t>
            </w:r>
            <w:r/>
          </w:p>
          <w:p>
            <w:pPr>
              <w:pStyle w:val="734"/>
              <w:numPr>
                <w:ilvl w:val="0"/>
                <w:numId w:val="41"/>
              </w:numPr>
              <w:spacing w:after="5" w:line="200" w:lineRule="exact"/>
              <w:widowControl/>
              <w:rPr>
                <w:rFonts w:ascii="宋体" w:hAnsi="宋体" w:cs="黑体"/>
                <w:color w:val="000000"/>
                <w:sz w:val="18"/>
                <w:szCs w:val="18"/>
              </w:rPr>
            </w:pPr>
            <w:r>
              <w:rPr>
                <w:rFonts w:ascii="宋体" w:hAnsi="宋体" w:cs="黑体"/>
                <w:color w:val="000000"/>
                <w:sz w:val="18"/>
                <w:szCs w:val="18"/>
              </w:rPr>
              <w:t xml:space="preserve">本地的数据备份和还原功能；</w:t>
            </w:r>
            <w:r/>
          </w:p>
          <w:p>
            <w:pPr>
              <w:pStyle w:val="734"/>
              <w:numPr>
                <w:ilvl w:val="0"/>
                <w:numId w:val="41"/>
              </w:numPr>
              <w:spacing w:line="200" w:lineRule="exact"/>
              <w:widowControl/>
              <w:rPr>
                <w:rFonts w:ascii="宋体" w:hAnsi="宋体" w:cs="黑体"/>
                <w:color w:val="000000"/>
                <w:sz w:val="18"/>
                <w:szCs w:val="18"/>
              </w:rPr>
            </w:pPr>
            <w:r>
              <w:rPr>
                <w:rFonts w:ascii="宋体" w:hAnsi="宋体" w:cs="黑体"/>
                <w:color w:val="000000"/>
                <w:sz w:val="18"/>
                <w:szCs w:val="18"/>
              </w:rPr>
              <w:t xml:space="preserve">网络的数据备份和还原功能； c) 服务器操作系统的自动安装功能； d) 服务器所配硬件需要的驱动程序和系统补丁</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134</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服务要求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*驱动安装升级指引</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供应商提供出厂安装的配件所需的驱动程序，形式包括但不限于驱动光盘、驱动下载链接等。其他配件应提供指引</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135</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服务要求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随机附开盖工具</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随服务器打包提供开机箱工具</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136</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服务要求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代码迁移工具</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供应商提供从其他CPU架构到当前服务器CPU架构的软件迁移工具产品，支持软件包迁移评估，对满足产品重构要求的软件包，能重构为当前服务器CPU架构的软件包。提</w:t>
            </w:r>
            <w:r/>
          </w:p>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供源码迁移功能，检查分析</w:t>
            </w:r>
            <w:r/>
          </w:p>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C/C++/Fortran/Go/解释型语言/汇编等源码文件，基于产品功能给出迁移指导</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137</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服务要求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性能分析工具</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供应商提供支持当前服务器CPU架构的性能分析工具产品，支持系统性能分析、Java性能分析和系统诊断，可分析系统或应用在CPU、内存、</w:t>
            </w:r>
            <w:r/>
          </w:p>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IO、网络等方面的性能，并给出优化建议</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138</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服务要求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跨架构平台应用兼容</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跨CPU架构平台应用兼容工具，可兼容一种或者一种以上不同架构平台的应用</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139</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服务要求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*管理软件</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具备资源管理、系统管理、性能监控、健康监控、基于网络控制、报警设置功能</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140</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服务要求</w:t>
            </w:r>
            <w:r/>
          </w:p>
        </w:tc>
        <w:tc>
          <w:tcPr>
            <w:tcW w:w="127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*增值服务</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*厂家升级产品软件与扩容服务</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是</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供应商提供原厂级的部件/软件产品升级和扩容能力</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141</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服务要求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服务保障升级</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供应商有偿提供远程技术支持、软件授权服务、备件更换服务、现场支承服务</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142</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服务要求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*提供上门服务</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是</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供应商具备提供上门服务的能力( )</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143</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服务要求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业务场景性能优化服务及整体架构升级服务</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供应商提供针对特定业务场景性能优化服务及整体架构升级服务</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144</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供保要求</w:t>
            </w:r>
            <w:r/>
          </w:p>
        </w:tc>
        <w:tc>
          <w:tcPr>
            <w:tcW w:w="1276"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*供应链质量</w:t>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*抗干扰性</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当产品部件出现供应风险时，应通知客户并提供风险应对方案确保产品的服务保障，必要时应停止相关受影响产品的销售</w:t>
            </w:r>
            <w:r/>
          </w:p>
        </w:tc>
      </w:tr>
      <w:tr>
        <w:trPr/>
        <w:tc>
          <w:tcPr>
            <w:tcW w:w="52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145</w:t>
            </w:r>
            <w:r/>
          </w:p>
        </w:tc>
        <w:tc>
          <w:tcPr>
            <w:tcW w:w="1417"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供保要求</w:t>
            </w:r>
            <w:r/>
          </w:p>
        </w:tc>
        <w:tc>
          <w:tcPr>
            <w:tcW w:w="1276" w:type="dxa"/>
            <w:vAlign w:val="center"/>
            <w:textDirection w:val="lrTb"/>
            <w:noWrap w:val="false"/>
          </w:tcPr>
          <w:p>
            <w:pPr>
              <w:pStyle w:val="734"/>
              <w:spacing w:after="160" w:line="200" w:lineRule="exact"/>
              <w:rPr>
                <w:rFonts w:ascii="宋体" w:hAnsi="宋体" w:cs="黑体"/>
                <w:color w:val="000000"/>
                <w:sz w:val="18"/>
                <w:szCs w:val="18"/>
              </w:rPr>
            </w:pPr>
            <w:r>
              <w:rPr>
                <w:rFonts w:ascii="宋体" w:hAnsi="宋体" w:cs="黑体"/>
                <w:color w:val="000000"/>
                <w:sz w:val="18"/>
                <w:szCs w:val="18"/>
              </w:rPr>
            </w:r>
            <w:r/>
          </w:p>
        </w:tc>
        <w:tc>
          <w:tcPr>
            <w:tcW w:w="1559"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*供应能力证明</w:t>
            </w:r>
            <w:r/>
          </w:p>
        </w:tc>
        <w:tc>
          <w:tcPr>
            <w:tcW w:w="993" w:type="dxa"/>
            <w:vAlign w:val="center"/>
            <w:textDirection w:val="lrTb"/>
            <w:noWrap w:val="false"/>
          </w:tcPr>
          <w:p>
            <w:pPr>
              <w:pStyle w:val="734"/>
              <w:spacing w:line="200" w:lineRule="exact"/>
              <w:rPr>
                <w:rFonts w:ascii="宋体" w:hAnsi="宋体" w:cs="黑体"/>
                <w:color w:val="000000"/>
                <w:sz w:val="18"/>
                <w:szCs w:val="18"/>
              </w:rPr>
            </w:pPr>
            <w:r>
              <w:rPr>
                <w:rFonts w:ascii="宋体" w:hAnsi="宋体" w:cs="黑体"/>
                <w:color w:val="000000"/>
                <w:sz w:val="18"/>
                <w:szCs w:val="18"/>
              </w:rPr>
              <w:t xml:space="preserve">否</w:t>
            </w:r>
            <w:r/>
          </w:p>
        </w:tc>
        <w:tc>
          <w:tcPr>
            <w:tcW w:w="3666" w:type="dxa"/>
            <w:vAlign w:val="center"/>
            <w:textDirection w:val="lrTb"/>
            <w:noWrap w:val="false"/>
          </w:tcPr>
          <w:p>
            <w:pPr>
              <w:pStyle w:val="734"/>
              <w:ind w:left="1"/>
              <w:spacing w:line="200" w:lineRule="exact"/>
              <w:rPr>
                <w:rFonts w:ascii="宋体" w:hAnsi="宋体" w:cs="黑体"/>
                <w:color w:val="000000"/>
                <w:sz w:val="18"/>
                <w:szCs w:val="18"/>
              </w:rPr>
            </w:pPr>
            <w:r>
              <w:rPr>
                <w:rFonts w:ascii="宋体" w:hAnsi="宋体" w:cs="黑体"/>
                <w:color w:val="000000"/>
                <w:sz w:val="18"/>
                <w:szCs w:val="18"/>
              </w:rPr>
              <w:t xml:space="preserve">供应商提供供应链稳定承诺书，确保产品的部件在产品服务周期内稳定供货</w:t>
            </w:r>
            <w:r/>
          </w:p>
        </w:tc>
      </w:tr>
    </w:tbl>
    <w:p>
      <w:pPr>
        <w:pStyle w:val="734"/>
        <w:ind w:left="-5"/>
        <w:rPr>
          <w:color w:val="000000"/>
          <w:sz w:val="24"/>
          <w:szCs w:val="24"/>
        </w:rPr>
      </w:pPr>
      <w:r>
        <w:rPr>
          <w:color w:val="000000"/>
          <w:sz w:val="24"/>
          <w:szCs w:val="24"/>
        </w:rPr>
      </w:r>
      <w:r/>
    </w:p>
    <w:p>
      <w:pPr>
        <w:pStyle w:val="738"/>
        <w:rPr>
          <w:rFonts w:ascii="宋体" w:hAnsi="宋体" w:eastAsia="宋体"/>
          <w:color w:val="000000"/>
          <w:sz w:val="24"/>
          <w:szCs w:val="24"/>
        </w:rPr>
      </w:pPr>
      <w:r>
        <w:rPr>
          <w:rFonts w:hint="eastAsia" w:ascii="宋体" w:hAnsi="宋体" w:eastAsia="宋体"/>
          <w:color w:val="000000"/>
          <w:sz w:val="24"/>
          <w:szCs w:val="24"/>
        </w:rPr>
        <w:t xml:space="preserve">4.2 通用服务器2</w:t>
      </w:r>
      <w:r>
        <w:rPr>
          <w:rFonts w:ascii="宋体" w:hAnsi="宋体" w:eastAsia="宋体"/>
          <w:color w:val="000000"/>
          <w:sz w:val="24"/>
          <w:szCs w:val="24"/>
        </w:rPr>
        <w:t xml:space="preserve">0</w:t>
      </w:r>
      <w:r>
        <w:rPr>
          <w:rFonts w:hint="eastAsia" w:ascii="宋体" w:hAnsi="宋体" w:eastAsia="宋体"/>
          <w:color w:val="000000"/>
          <w:sz w:val="24"/>
          <w:szCs w:val="24"/>
        </w:rPr>
        <w:t xml:space="preserve">台</w:t>
      </w:r>
      <w:r>
        <w:rPr>
          <w:rFonts w:ascii="宋体" w:hAnsi="宋体" w:eastAsia="宋体"/>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7" w:type="dxa"/>
          <w:top w:w="42" w:type="dxa"/>
          <w:right w:w="108" w:type="dxa"/>
          <w:bottom w:w="0" w:type="dxa"/>
        </w:tblCellMar>
        <w:tblLook w:val="04A0" w:firstRow="1" w:lastRow="0" w:firstColumn="1" w:lastColumn="0" w:noHBand="0" w:noVBand="1"/>
      </w:tblPr>
      <w:tblGrid>
        <w:gridCol w:w="825"/>
        <w:gridCol w:w="1463"/>
        <w:gridCol w:w="1278"/>
        <w:gridCol w:w="1187"/>
        <w:gridCol w:w="1081"/>
        <w:gridCol w:w="3618"/>
      </w:tblGrid>
      <w:tr>
        <w:trPr>
          <w:trHeight w:val="1134"/>
        </w:trPr>
        <w:tc>
          <w:tcPr>
            <w:tcW w:w="825" w:type="dxa"/>
            <w:vAlign w:val="center"/>
            <w:textDirection w:val="lrTb"/>
            <w:noWrap w:val="false"/>
          </w:tcPr>
          <w:p>
            <w:pPr>
              <w:pStyle w:val="734"/>
              <w:jc w:val="center"/>
              <w:spacing w:line="220" w:lineRule="exact"/>
              <w:rPr>
                <w:b/>
                <w:color w:val="000000"/>
              </w:rPr>
            </w:pPr>
            <w:r>
              <w:rPr>
                <w:b/>
                <w:color w:val="000000"/>
              </w:rPr>
              <w:t xml:space="preserve">序号</w:t>
            </w:r>
            <w:r/>
          </w:p>
        </w:tc>
        <w:tc>
          <w:tcPr>
            <w:tcW w:w="1463" w:type="dxa"/>
            <w:vAlign w:val="center"/>
            <w:textDirection w:val="lrTb"/>
            <w:noWrap w:val="false"/>
          </w:tcPr>
          <w:p>
            <w:pPr>
              <w:pStyle w:val="734"/>
              <w:jc w:val="center"/>
              <w:spacing w:line="220" w:lineRule="exact"/>
              <w:rPr>
                <w:b/>
                <w:color w:val="000000"/>
              </w:rPr>
            </w:pPr>
            <w:r>
              <w:rPr>
                <w:b/>
                <w:color w:val="000000"/>
              </w:rPr>
              <w:t xml:space="preserve">指标分类</w:t>
            </w:r>
            <w:r/>
          </w:p>
        </w:tc>
        <w:tc>
          <w:tcPr>
            <w:tcW w:w="1278" w:type="dxa"/>
            <w:vAlign w:val="center"/>
            <w:textDirection w:val="lrTb"/>
            <w:noWrap w:val="false"/>
          </w:tcPr>
          <w:p>
            <w:pPr>
              <w:pStyle w:val="734"/>
              <w:jc w:val="center"/>
              <w:spacing w:line="220" w:lineRule="exact"/>
              <w:rPr>
                <w:b/>
                <w:color w:val="000000"/>
              </w:rPr>
            </w:pPr>
            <w:r>
              <w:rPr>
                <w:b/>
                <w:color w:val="000000"/>
              </w:rPr>
              <w:t xml:space="preserve">一级指标</w:t>
            </w:r>
            <w:r/>
          </w:p>
        </w:tc>
        <w:tc>
          <w:tcPr>
            <w:tcW w:w="1187" w:type="dxa"/>
            <w:vAlign w:val="center"/>
            <w:textDirection w:val="lrTb"/>
            <w:noWrap w:val="false"/>
          </w:tcPr>
          <w:p>
            <w:pPr>
              <w:pStyle w:val="734"/>
              <w:jc w:val="center"/>
              <w:spacing w:line="220" w:lineRule="exact"/>
              <w:rPr>
                <w:b/>
                <w:color w:val="000000"/>
              </w:rPr>
            </w:pPr>
            <w:r>
              <w:rPr>
                <w:b/>
                <w:color w:val="000000"/>
              </w:rPr>
              <w:t xml:space="preserve">二级指标</w:t>
            </w:r>
            <w:r/>
          </w:p>
        </w:tc>
        <w:tc>
          <w:tcPr>
            <w:tcW w:w="1081" w:type="dxa"/>
            <w:vAlign w:val="center"/>
            <w:textDirection w:val="lrTb"/>
            <w:noWrap w:val="false"/>
          </w:tcPr>
          <w:p>
            <w:pPr>
              <w:pStyle w:val="734"/>
              <w:jc w:val="center"/>
              <w:spacing w:line="220" w:lineRule="exact"/>
              <w:rPr>
                <w:b/>
                <w:color w:val="000000"/>
              </w:rPr>
            </w:pPr>
            <w:r>
              <w:rPr>
                <w:b/>
                <w:color w:val="000000"/>
              </w:rPr>
              <w:t xml:space="preserve">是否可以作为评分因素</w:t>
            </w:r>
            <w:r/>
          </w:p>
        </w:tc>
        <w:tc>
          <w:tcPr>
            <w:tcW w:w="3618" w:type="dxa"/>
            <w:vAlign w:val="center"/>
            <w:textDirection w:val="lrTb"/>
            <w:noWrap w:val="false"/>
          </w:tcPr>
          <w:p>
            <w:pPr>
              <w:pStyle w:val="734"/>
              <w:jc w:val="center"/>
              <w:spacing w:line="220" w:lineRule="exact"/>
              <w:rPr>
                <w:b/>
                <w:color w:val="000000"/>
              </w:rPr>
            </w:pPr>
            <w:r>
              <w:rPr>
                <w:b/>
                <w:color w:val="000000"/>
              </w:rPr>
              <w:t xml:space="preserve">指标要求</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*CPU 规格</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*CPU信息</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hint="eastAsia" w:ascii="宋体" w:hAnsi="宋体"/>
                <w:color w:val="000000"/>
              </w:rPr>
              <w:t xml:space="preserve">配置2颗鲲鹏920处理器，主频≥2.6GHz（基准频率，非动态加速频率）；核数≥32个物理核/颗，非超线程数量；内存通道为4通道，最高速率2933</w:t>
            </w:r>
            <w:r>
              <w:rPr>
                <w:rFonts w:ascii="宋体" w:hAnsi="宋体"/>
                <w:color w:val="000000"/>
              </w:rPr>
              <w:t xml:space="preserve">MH</w:t>
            </w:r>
            <w:r>
              <w:rPr>
                <w:rFonts w:hint="eastAsia" w:ascii="宋体" w:hAnsi="宋体"/>
                <w:color w:val="000000"/>
              </w:rPr>
              <w:t xml:space="preserve">z，位宽64位，功耗1</w:t>
            </w:r>
            <w:r>
              <w:rPr>
                <w:rFonts w:ascii="宋体" w:hAnsi="宋体"/>
                <w:color w:val="000000"/>
              </w:rPr>
              <w:t xml:space="preserve">15</w:t>
            </w:r>
            <w:r>
              <w:rPr>
                <w:rFonts w:hint="eastAsia" w:ascii="宋体" w:hAnsi="宋体"/>
                <w:color w:val="000000"/>
              </w:rPr>
              <w:t xml:space="preserve">w</w:t>
            </w:r>
            <w:r>
              <w:rPr>
                <w:rFonts w:ascii="宋体" w:hAnsi="宋体"/>
                <w:color w:val="000000"/>
              </w:rPr>
            </w:r>
            <w:r/>
          </w:p>
        </w:tc>
      </w:tr>
      <w:tr>
        <w:trPr>
          <w:cantSplit/>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2</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vMerge w:val="restart"/>
            <w:textDirection w:val="lrTb"/>
            <w:noWrap w:val="false"/>
          </w:tcPr>
          <w:p>
            <w:pPr>
              <w:pStyle w:val="734"/>
              <w:spacing w:line="220" w:lineRule="exact"/>
              <w:rPr>
                <w:rFonts w:ascii="宋体" w:hAnsi="宋体"/>
                <w:color w:val="000000"/>
              </w:rPr>
            </w:pPr>
            <w:r>
              <w:rPr>
                <w:rFonts w:ascii="宋体" w:hAnsi="宋体"/>
                <w:color w:val="000000"/>
              </w:rPr>
              <w:t xml:space="preserve">*主板规格</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*主板支持的CPU和内存情况</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hint="eastAsia" w:ascii="宋体" w:hAnsi="宋体"/>
                <w:color w:val="000000"/>
              </w:rPr>
              <w:t xml:space="preserve">支持鲲鹏9</w:t>
            </w:r>
            <w:r>
              <w:rPr>
                <w:rFonts w:ascii="宋体" w:hAnsi="宋体"/>
                <w:color w:val="000000"/>
              </w:rPr>
              <w:t xml:space="preserve">20</w:t>
            </w:r>
            <w:r>
              <w:rPr>
                <w:rFonts w:hint="eastAsia" w:ascii="宋体" w:hAnsi="宋体"/>
                <w:color w:val="000000"/>
              </w:rPr>
              <w:t xml:space="preserve">系列C</w:t>
            </w:r>
            <w:r>
              <w:rPr>
                <w:rFonts w:ascii="宋体" w:hAnsi="宋体"/>
                <w:color w:val="000000"/>
              </w:rPr>
              <w:t xml:space="preserve">PU</w:t>
            </w:r>
            <w:r>
              <w:rPr>
                <w:rFonts w:hint="eastAsia" w:ascii="宋体" w:hAnsi="宋体"/>
                <w:color w:val="000000"/>
              </w:rPr>
              <w:t xml:space="preserve"> </w:t>
            </w:r>
            <w:r>
              <w:rPr>
                <w:rFonts w:ascii="宋体" w:hAnsi="宋体"/>
                <w:color w:val="000000"/>
              </w:rPr>
              <w:t xml:space="preserve">2</w:t>
            </w:r>
            <w:r>
              <w:rPr>
                <w:rFonts w:hint="eastAsia" w:ascii="宋体" w:hAnsi="宋体"/>
                <w:color w:val="000000"/>
              </w:rPr>
              <w:t xml:space="preserve">颗，支持D</w:t>
            </w:r>
            <w:r>
              <w:rPr>
                <w:rFonts w:ascii="宋体" w:hAnsi="宋体"/>
                <w:color w:val="000000"/>
              </w:rPr>
              <w:t xml:space="preserve">DR4</w:t>
            </w:r>
            <w:r>
              <w:rPr>
                <w:rFonts w:hint="eastAsia" w:ascii="宋体" w:hAnsi="宋体"/>
                <w:color w:val="000000"/>
              </w:rPr>
              <w:t xml:space="preserve"> </w:t>
            </w:r>
            <w:r>
              <w:rPr>
                <w:rFonts w:ascii="宋体" w:hAnsi="宋体"/>
                <w:color w:val="000000"/>
              </w:rPr>
              <w:t xml:space="preserve">2933MH</w:t>
            </w:r>
            <w:r>
              <w:rPr>
                <w:rFonts w:hint="eastAsia" w:ascii="宋体" w:hAnsi="宋体"/>
                <w:color w:val="000000"/>
              </w:rPr>
              <w:t xml:space="preserve">z频率内存 </w:t>
            </w:r>
            <w:r>
              <w:rPr>
                <w:rFonts w:ascii="宋体" w:hAnsi="宋体"/>
                <w:color w:val="000000"/>
              </w:rPr>
              <w:t xml:space="preserve">16</w:t>
            </w:r>
            <w:r>
              <w:rPr>
                <w:rFonts w:hint="eastAsia" w:ascii="宋体" w:hAnsi="宋体"/>
                <w:color w:val="000000"/>
              </w:rPr>
              <w:t xml:space="preserve">根</w:t>
            </w:r>
            <w:r>
              <w:rPr>
                <w:rFonts w:ascii="宋体" w:hAnsi="宋体"/>
                <w:color w:val="000000"/>
              </w:rPr>
            </w:r>
            <w:r/>
          </w:p>
        </w:tc>
      </w:tr>
      <w:tr>
        <w:trPr>
          <w:cantSplit/>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3</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vMerge w:val="continue"/>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*主板内存槽数量</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非板载内存的可扩展插槽</w:t>
            </w:r>
            <w:r>
              <w:rPr>
                <w:rFonts w:hint="eastAsia" w:ascii="宋体" w:hAnsi="宋体"/>
                <w:color w:val="000000"/>
              </w:rPr>
              <w:t xml:space="preserve">数量≥1</w:t>
            </w:r>
            <w:r>
              <w:rPr>
                <w:rFonts w:ascii="宋体" w:hAnsi="宋体"/>
                <w:color w:val="000000"/>
              </w:rPr>
              <w:t xml:space="preserve">6个</w:t>
            </w:r>
            <w:r/>
          </w:p>
        </w:tc>
      </w:tr>
      <w:tr>
        <w:trPr>
          <w:cantSplit/>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4</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vMerge w:val="continue"/>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*主板存储接口</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支持SATA、SAS等存储接口</w:t>
            </w:r>
            <w:r/>
          </w:p>
        </w:tc>
      </w:tr>
      <w:tr>
        <w:trPr>
          <w:cantSplit/>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5</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vMerge w:val="continue"/>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*PCIe插槽</w:t>
            </w:r>
            <w:r/>
          </w:p>
          <w:p>
            <w:pPr>
              <w:pStyle w:val="734"/>
              <w:spacing w:line="220" w:lineRule="exact"/>
              <w:rPr>
                <w:rFonts w:ascii="宋体" w:hAnsi="宋体"/>
                <w:color w:val="000000"/>
              </w:rPr>
            </w:pPr>
            <w:r>
              <w:rPr>
                <w:rFonts w:ascii="宋体" w:hAnsi="宋体"/>
                <w:color w:val="000000"/>
              </w:rPr>
              <w:t xml:space="preserve">接口</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符合PCIe3.0或以上的高速串行计算机扩展总线标准，PCIe的接口速率与位宽向下兼容</w:t>
            </w:r>
            <w:r/>
          </w:p>
        </w:tc>
      </w:tr>
      <w:tr>
        <w:trPr>
          <w:cantSplit/>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6</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vMerge w:val="continue"/>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*主板PCIe 插槽数量及规格</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服务器PCIe插槽或接口</w:t>
            </w:r>
            <w:r>
              <w:rPr>
                <w:rFonts w:hint="eastAsia" w:ascii="宋体" w:hAnsi="宋体"/>
                <w:color w:val="000000"/>
              </w:rPr>
              <w:t xml:space="preserve">数量≥</w:t>
            </w:r>
            <w:r>
              <w:rPr>
                <w:rFonts w:ascii="宋体" w:hAnsi="宋体"/>
                <w:color w:val="000000"/>
              </w:rPr>
              <w:t xml:space="preserve">5个</w:t>
            </w:r>
            <w:r/>
          </w:p>
        </w:tc>
      </w:tr>
      <w:tr>
        <w:trPr>
          <w:cantSplit/>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7</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vMerge w:val="continue"/>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特殊孔位及接口</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a)服务器机箱内主板可根据用户实际使用需求支持安装多功能导入装置板卡，机箱内预留多功能导入装置板卡安装位置，容量不小于55mm×45mm×15mm（长×宽×高，单位毫米）；</w:t>
            </w:r>
            <w:r/>
          </w:p>
          <w:p>
            <w:pPr>
              <w:pStyle w:val="734"/>
              <w:spacing w:line="220" w:lineRule="exact"/>
              <w:rPr>
                <w:rFonts w:ascii="宋体" w:hAnsi="宋体"/>
                <w:color w:val="000000"/>
              </w:rPr>
            </w:pPr>
            <w:r>
              <w:rPr>
                <w:rFonts w:ascii="宋体" w:hAnsi="宋体"/>
                <w:color w:val="000000"/>
              </w:rPr>
              <w:t xml:space="preserve">b)服务器主板可根据用户实际使用需求预留满足USB3.0数据传输规范的接口，工作电压5V</w:t>
            </w:r>
            <w:r/>
          </w:p>
        </w:tc>
      </w:tr>
      <w:tr>
        <w:trPr>
          <w:cantSplit/>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8</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vMerge w:val="continue"/>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板载网络接口</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板载网络接口</w:t>
            </w:r>
            <w:r>
              <w:rPr>
                <w:rFonts w:hint="eastAsia" w:ascii="宋体" w:hAnsi="宋体"/>
                <w:color w:val="000000"/>
              </w:rPr>
              <w:t xml:space="preserve">≥</w:t>
            </w:r>
            <w:r>
              <w:rPr>
                <w:rFonts w:ascii="宋体" w:hAnsi="宋体"/>
                <w:color w:val="000000"/>
              </w:rPr>
              <w:t xml:space="preserve">1个1GE网口</w:t>
            </w:r>
            <w:r/>
          </w:p>
        </w:tc>
      </w:tr>
      <w:tr>
        <w:trPr>
          <w:cantSplit/>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9</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vMerge w:val="continue"/>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主板OCP插槽数量</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支持OCP2.0及以上插槽的数量</w:t>
            </w:r>
            <w:r>
              <w:rPr>
                <w:rFonts w:hint="eastAsia" w:ascii="宋体" w:hAnsi="宋体"/>
                <w:color w:val="000000"/>
              </w:rPr>
              <w:t xml:space="preserve">≥</w:t>
            </w:r>
            <w:r>
              <w:rPr>
                <w:rFonts w:ascii="宋体" w:hAnsi="宋体"/>
                <w:color w:val="000000"/>
              </w:rPr>
              <w:t xml:space="preserve">1个</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10</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*内存规格</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*内存数量</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16</w:t>
            </w:r>
            <w:r>
              <w:rPr>
                <w:rFonts w:hint="eastAsia" w:ascii="宋体" w:hAnsi="宋体"/>
                <w:color w:val="000000"/>
              </w:rPr>
              <w:t xml:space="preserve">根</w:t>
            </w:r>
            <w:r>
              <w:rPr>
                <w:rFonts w:ascii="宋体" w:hAnsi="宋体"/>
                <w:color w:val="000000"/>
              </w:rPr>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11</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*内存规格</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DDR4 32GB</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12</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*内存通道</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支持多个内存接口通道，每个通道可支持2DPC，印制电路板上应具备插槽的序号标识，具体通道数应在随机文件中明确</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13</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*存储规格</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硬盘类型</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hint="eastAsia" w:ascii="宋体" w:hAnsi="宋体"/>
                <w:color w:val="000000"/>
              </w:rPr>
              <w:t xml:space="preserve">支持S</w:t>
            </w:r>
            <w:r>
              <w:rPr>
                <w:rFonts w:ascii="宋体" w:hAnsi="宋体"/>
                <w:color w:val="000000"/>
              </w:rPr>
              <w:t xml:space="preserve">ATA</w:t>
            </w:r>
            <w:r>
              <w:rPr>
                <w:rFonts w:hint="eastAsia" w:ascii="宋体" w:hAnsi="宋体"/>
                <w:color w:val="000000"/>
              </w:rPr>
              <w:t xml:space="preserve">、S</w:t>
            </w:r>
            <w:r>
              <w:rPr>
                <w:rFonts w:ascii="宋体" w:hAnsi="宋体"/>
                <w:color w:val="000000"/>
              </w:rPr>
              <w:t xml:space="preserve">AS</w:t>
            </w:r>
            <w:r>
              <w:rPr>
                <w:rFonts w:hint="eastAsia" w:ascii="宋体" w:hAnsi="宋体"/>
                <w:color w:val="000000"/>
              </w:rPr>
              <w:t xml:space="preserve">、S</w:t>
            </w:r>
            <w:r>
              <w:rPr>
                <w:rFonts w:ascii="宋体" w:hAnsi="宋体"/>
                <w:color w:val="000000"/>
              </w:rPr>
              <w:t xml:space="preserve">SD</w:t>
            </w:r>
            <w:r>
              <w:rPr>
                <w:rFonts w:hint="eastAsia" w:ascii="宋体" w:hAnsi="宋体"/>
                <w:color w:val="000000"/>
              </w:rPr>
              <w:t xml:space="preserve">硬盘</w:t>
            </w:r>
            <w:r>
              <w:rPr>
                <w:rFonts w:ascii="宋体" w:hAnsi="宋体"/>
                <w:color w:val="000000"/>
              </w:rPr>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14</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*硬磁盘实配容量</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8" w:type="dxa"/>
            <w:vAlign w:val="center"/>
            <w:textDirection w:val="lrTb"/>
            <w:noWrap w:val="false"/>
          </w:tcPr>
          <w:p>
            <w:pPr>
              <w:pStyle w:val="734"/>
              <w:spacing w:line="220" w:lineRule="exact"/>
              <w:rPr>
                <w:rFonts w:ascii="宋体" w:hAnsi="宋体"/>
                <w:color w:val="000000"/>
              </w:rPr>
            </w:pPr>
            <w:r>
              <w:rPr>
                <w:rFonts w:hint="eastAsia" w:ascii="宋体" w:hAnsi="宋体"/>
                <w:color w:val="000000"/>
              </w:rPr>
              <w:t xml:space="preserve">配置6</w:t>
            </w:r>
            <w:r>
              <w:rPr>
                <w:rFonts w:ascii="宋体" w:hAnsi="宋体"/>
                <w:color w:val="000000"/>
              </w:rPr>
              <w:t xml:space="preserve">00GB</w:t>
            </w:r>
            <w:r>
              <w:rPr>
                <w:rFonts w:hint="eastAsia" w:ascii="宋体" w:hAnsi="宋体"/>
                <w:color w:val="000000"/>
              </w:rPr>
              <w:t xml:space="preserve">容量硬盘</w:t>
            </w:r>
            <w:r>
              <w:rPr>
                <w:rFonts w:ascii="宋体" w:hAnsi="宋体"/>
                <w:color w:val="000000"/>
              </w:rPr>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15</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硬盘接口类型</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配备硬磁盘，应提供SAS 3.0接口</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16</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*硬盘实配数量</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实配</w:t>
            </w:r>
            <w:r>
              <w:rPr>
                <w:rFonts w:hint="eastAsia" w:ascii="宋体" w:hAnsi="宋体"/>
                <w:color w:val="000000"/>
              </w:rPr>
              <w:t xml:space="preserve">6</w:t>
            </w:r>
            <w:r>
              <w:rPr>
                <w:rFonts w:ascii="宋体" w:hAnsi="宋体"/>
                <w:color w:val="000000"/>
              </w:rPr>
              <w:t xml:space="preserve">00GB硬磁盘数量</w:t>
            </w:r>
            <w:r>
              <w:rPr>
                <w:rFonts w:hint="eastAsia" w:ascii="宋体" w:hAnsi="宋体"/>
                <w:color w:val="000000"/>
              </w:rPr>
              <w:t xml:space="preserve">4</w:t>
            </w:r>
            <w:r>
              <w:rPr>
                <w:rFonts w:ascii="宋体" w:hAnsi="宋体"/>
                <w:color w:val="000000"/>
              </w:rPr>
              <w:t xml:space="preserve">块 </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17</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*硬盘插槽数量及规格</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配置的硬盘尺寸</w:t>
            </w:r>
            <w:r>
              <w:rPr>
                <w:rFonts w:hint="eastAsia" w:ascii="宋体" w:hAnsi="宋体"/>
                <w:color w:val="000000"/>
              </w:rPr>
              <w:t xml:space="preserve">为</w:t>
            </w:r>
            <w:r>
              <w:rPr>
                <w:rFonts w:ascii="宋体" w:hAnsi="宋体"/>
                <w:color w:val="000000"/>
              </w:rPr>
              <w:t xml:space="preserve">2.5英寸硬磁盘；</w:t>
            </w:r>
            <w:r/>
          </w:p>
          <w:p>
            <w:pPr>
              <w:pStyle w:val="734"/>
              <w:spacing w:line="220" w:lineRule="exact"/>
              <w:rPr>
                <w:rFonts w:ascii="宋体" w:hAnsi="宋体"/>
                <w:color w:val="000000"/>
              </w:rPr>
            </w:pPr>
            <w:r>
              <w:rPr>
                <w:rFonts w:ascii="宋体" w:hAnsi="宋体"/>
                <w:color w:val="000000"/>
              </w:rPr>
              <w:t xml:space="preserve">服务器可支持的硬盘数量应不少于</w:t>
            </w:r>
            <w:r>
              <w:rPr>
                <w:rFonts w:hint="eastAsia" w:ascii="宋体" w:hAnsi="宋体"/>
                <w:color w:val="000000"/>
              </w:rPr>
              <w:t xml:space="preserve">4</w:t>
            </w:r>
            <w:r>
              <w:rPr>
                <w:rFonts w:ascii="宋体" w:hAnsi="宋体"/>
                <w:color w:val="000000"/>
              </w:rPr>
              <w:t xml:space="preserve">块。</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18</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硬盘其他参数要求</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机械硬盘准备时间应</w:t>
            </w:r>
            <w:r>
              <w:rPr>
                <w:rFonts w:hint="eastAsia" w:ascii="宋体" w:hAnsi="宋体"/>
                <w:color w:val="000000"/>
              </w:rPr>
              <w:t xml:space="preserve">小于</w:t>
            </w:r>
            <w:r>
              <w:rPr>
                <w:rFonts w:ascii="宋体" w:hAnsi="宋体"/>
                <w:color w:val="000000"/>
              </w:rPr>
              <w:t xml:space="preserve">30s；侧面固定螺丝孔数量可为4孔或6 孔；工作状态环境温度应满足5</w:t>
            </w:r>
            <w:r>
              <w:rPr>
                <w:rFonts w:hint="eastAsia" w:ascii="宋体" w:hAnsi="宋体" w:cs="微软雅黑"/>
                <w:color w:val="000000"/>
              </w:rPr>
              <w:t xml:space="preserve">℃</w:t>
            </w:r>
            <w:r>
              <w:rPr>
                <w:rFonts w:ascii="宋体" w:hAnsi="宋体"/>
                <w:color w:val="000000"/>
              </w:rPr>
              <w:t xml:space="preserve">~55</w:t>
            </w:r>
            <w:r>
              <w:rPr>
                <w:rFonts w:hint="eastAsia" w:ascii="宋体" w:hAnsi="宋体" w:cs="微软雅黑"/>
                <w:color w:val="000000"/>
              </w:rPr>
              <w:t xml:space="preserve">℃</w:t>
            </w:r>
            <w:r>
              <w:rPr>
                <w:rFonts w:ascii="宋体" w:hAnsi="宋体"/>
                <w:color w:val="000000"/>
              </w:rPr>
              <w:t xml:space="preserve">，其它参数符合GB/T12628 的相关规定；</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19</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RAID 卡规格（若支持 RAID 卡）</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RAID卡支持的SAS接口数</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≥8</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20</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SAS直通卡规格 (若支持SAS 直通卡)</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SAS直通卡SAS接口数量</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≥0</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21</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HBA卡规格 (若支持HBA 直通卡)</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HBA卡端口数量</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color w:val="000000"/>
              </w:rPr>
            </w:pPr>
            <w:r>
              <w:rPr>
                <w:rFonts w:ascii="宋体" w:hAnsi="宋体"/>
                <w:color w:val="000000"/>
              </w:rPr>
              <w:t xml:space="preserve">≥2  </w:t>
            </w:r>
            <w:r>
              <w:rPr>
                <w:rFonts w:hint="eastAsia" w:ascii="宋体" w:hAnsi="宋体"/>
                <w:color w:val="000000"/>
              </w:rPr>
              <w:t xml:space="preserve">，配置</w:t>
            </w:r>
            <w:r>
              <w:rPr>
                <w:rFonts w:ascii="宋体" w:hAnsi="宋体"/>
                <w:color w:val="000000"/>
              </w:rPr>
              <w:t xml:space="preserve"> </w:t>
            </w:r>
            <w:r>
              <w:rPr>
                <w:rFonts w:hint="eastAsia" w:ascii="宋体" w:hAnsi="宋体"/>
                <w:color w:val="000000"/>
              </w:rPr>
              <w:t xml:space="preserve">2个16</w:t>
            </w:r>
            <w:r>
              <w:rPr>
                <w:rFonts w:ascii="宋体" w:hAnsi="宋体"/>
                <w:color w:val="000000"/>
              </w:rPr>
              <w:t xml:space="preserve">GB  HBA</w:t>
            </w:r>
            <w:r>
              <w:rPr>
                <w:rFonts w:hint="eastAsia" w:ascii="宋体" w:hAnsi="宋体"/>
                <w:color w:val="000000"/>
              </w:rPr>
              <w:t xml:space="preserve">口（含</w:t>
            </w:r>
            <w:r>
              <w:rPr>
                <w:rFonts w:ascii="宋体" w:hAnsi="宋体"/>
                <w:color w:val="000000"/>
              </w:rPr>
              <w:t xml:space="preserve">模块</w:t>
            </w:r>
            <w:r>
              <w:rPr>
                <w:rFonts w:hint="eastAsia" w:ascii="宋体" w:hAnsi="宋体"/>
                <w:color w:val="000000"/>
              </w:rPr>
              <w:t xml:space="preserve">）</w:t>
            </w:r>
            <w:r>
              <w:rPr>
                <w:color w:val="000000"/>
              </w:rPr>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22</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*网络规格</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*网口速率和数量</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2</w:t>
            </w:r>
            <w:r>
              <w:rPr>
                <w:rFonts w:hint="eastAsia" w:ascii="宋体" w:hAnsi="宋体"/>
                <w:color w:val="000000"/>
              </w:rPr>
              <w:t xml:space="preserve">个万兆光口和4个千兆电口，配置</w:t>
            </w:r>
            <w:r>
              <w:rPr>
                <w:rFonts w:ascii="宋体" w:hAnsi="宋体"/>
                <w:color w:val="000000"/>
              </w:rPr>
              <w:t xml:space="preserve">2</w:t>
            </w:r>
            <w:r>
              <w:rPr>
                <w:rFonts w:hint="eastAsia" w:ascii="宋体" w:hAnsi="宋体"/>
                <w:color w:val="000000"/>
              </w:rPr>
              <w:t xml:space="preserve">*光模块10G多模模块，</w:t>
            </w:r>
            <w:r>
              <w:rPr>
                <w:rFonts w:ascii="宋体" w:hAnsi="宋体"/>
                <w:color w:val="000000"/>
              </w:rPr>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23</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存储型服务器网口速率和数量</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hint="eastAsia" w:ascii="宋体" w:hAnsi="宋体"/>
                <w:color w:val="000000"/>
              </w:rPr>
            </w:pPr>
            <w:r>
              <w:rPr>
                <w:rFonts w:hint="eastAsia" w:ascii="宋体" w:hAnsi="宋体"/>
                <w:color w:val="000000"/>
              </w:rPr>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24</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独立网卡网口数量</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独立网卡网口数量≥1</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25</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独立网卡接口类型</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支持RJ45/SFP等</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26</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板载网卡接口类型</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支持RJ45</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27</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*外部接口规格</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*显示接口</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显示接口类型</w:t>
            </w:r>
            <w:r>
              <w:rPr>
                <w:rFonts w:hint="eastAsia" w:ascii="宋体" w:hAnsi="宋体"/>
                <w:color w:val="000000"/>
              </w:rPr>
              <w:t xml:space="preserve">为</w:t>
            </w:r>
            <w:r>
              <w:rPr>
                <w:rFonts w:ascii="宋体" w:hAnsi="宋体"/>
                <w:color w:val="000000"/>
              </w:rPr>
              <w:t xml:space="preserve">VGA </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28</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*USB接口</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配备USB接口USB3.0</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29</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特殊接口及孔位</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前面板预留1个专用USB母座接口孔位</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30</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其他接口</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串口数量1个，并可实现GB/T 6107或GB/T 26803.2的相关功能； </w:t>
            </w:r>
            <w:r/>
          </w:p>
          <w:p>
            <w:pPr>
              <w:pStyle w:val="734"/>
              <w:spacing w:line="220" w:lineRule="exact"/>
              <w:rPr>
                <w:rFonts w:ascii="宋体" w:hAnsi="宋体"/>
                <w:color w:val="000000"/>
              </w:rPr>
            </w:pPr>
            <w:r>
              <w:rPr>
                <w:rFonts w:ascii="宋体" w:hAnsi="宋体"/>
                <w:color w:val="000000"/>
              </w:rPr>
              <w:t xml:space="preserve">服务器主机前面板可根据用户实际使用需求预留1个专用USB母座接口孔位</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31</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*电源规格</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电源冗余模式</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整机电源模块按1+1冗余配置</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32</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*电源模块数量</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hint="eastAsia" w:ascii="宋体" w:hAnsi="宋体"/>
                <w:color w:val="000000"/>
              </w:rPr>
              <w:t xml:space="preserve">2个</w:t>
            </w:r>
            <w:r>
              <w:rPr>
                <w:rFonts w:ascii="宋体" w:hAnsi="宋体"/>
                <w:color w:val="000000"/>
              </w:rPr>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33</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*电源功率</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hint="eastAsia" w:ascii="宋体" w:hAnsi="宋体"/>
                <w:color w:val="000000"/>
              </w:rPr>
              <w:t xml:space="preserve">≥</w:t>
            </w:r>
            <w:r>
              <w:rPr>
                <w:rFonts w:ascii="宋体" w:hAnsi="宋体"/>
                <w:color w:val="000000"/>
              </w:rPr>
              <w:t xml:space="preserve">900W</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34</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电源指示灯</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配备电源指示灯，指示待机、工作异常等状态</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35</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*整机规格</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*外观和结构</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a)服务器的零部件应紧固无松动，可插拔部件应可靠连接，开关、按钮和其它控制部件应灵活可靠，布局应方便使用； b) 产品表面不应有明显的凹痕、划伤、裂缝、变形和污染等。表面涂层均匀，不应起泡、龟裂、脱落和磨损，金属零部件无锈蚀及其它机械损伤； c) 产品表面说明功能的文字、符号和标志应清晰、端正且牢固；服务器尺寸具体要求在随机文件中明确</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36</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*尺寸（高</w:t>
            </w:r>
            <w:r/>
          </w:p>
          <w:p>
            <w:pPr>
              <w:pStyle w:val="734"/>
              <w:spacing w:line="220" w:lineRule="exact"/>
              <w:rPr>
                <w:rFonts w:ascii="宋体" w:hAnsi="宋体"/>
                <w:color w:val="000000"/>
              </w:rPr>
            </w:pPr>
            <w:r>
              <w:rPr>
                <w:rFonts w:ascii="宋体" w:hAnsi="宋体"/>
                <w:color w:val="000000"/>
              </w:rPr>
              <w:t xml:space="preserve">×宽×深）</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供应商给出产品尺寸；设计应遵循标准化、系列化的要求；机箱的内部结构符合通用部件的安装需要</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37</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服务器导轨</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供应商给出导轨尺寸、安装方式等信息</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38</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CPU个数与机柜高</w:t>
            </w:r>
            <w:r/>
          </w:p>
          <w:p>
            <w:pPr>
              <w:pStyle w:val="734"/>
              <w:spacing w:line="220" w:lineRule="exact"/>
              <w:rPr>
                <w:rFonts w:ascii="宋体" w:hAnsi="宋体"/>
                <w:color w:val="000000"/>
              </w:rPr>
            </w:pPr>
            <w:r>
              <w:rPr>
                <w:rFonts w:ascii="宋体" w:hAnsi="宋体"/>
                <w:color w:val="000000"/>
              </w:rPr>
              <w:t xml:space="preserve">度单位(U) 比</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hint="eastAsia" w:ascii="宋体" w:hAnsi="宋体"/>
                <w:color w:val="000000"/>
              </w:rPr>
              <w:t xml:space="preserve">1（C</w:t>
            </w:r>
            <w:r>
              <w:rPr>
                <w:rFonts w:ascii="宋体" w:hAnsi="宋体"/>
                <w:color w:val="000000"/>
              </w:rPr>
              <w:t xml:space="preserve">PU</w:t>
            </w:r>
            <w:r>
              <w:rPr>
                <w:rFonts w:hint="eastAsia" w:ascii="宋体" w:hAnsi="宋体"/>
                <w:color w:val="000000"/>
              </w:rPr>
              <w:t xml:space="preserve">）：1（U高度）</w:t>
            </w:r>
            <w:r>
              <w:rPr>
                <w:rFonts w:ascii="宋体" w:hAnsi="宋体"/>
                <w:color w:val="000000"/>
              </w:rPr>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39</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*环境适应性</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气候环境适应性应符合GB/T</w:t>
            </w:r>
            <w:r/>
          </w:p>
          <w:p>
            <w:pPr>
              <w:pStyle w:val="734"/>
              <w:spacing w:line="220" w:lineRule="exact"/>
              <w:rPr>
                <w:rFonts w:ascii="宋体" w:hAnsi="宋体"/>
                <w:color w:val="000000"/>
              </w:rPr>
            </w:pPr>
            <w:r>
              <w:rPr>
                <w:rFonts w:ascii="宋体" w:hAnsi="宋体"/>
                <w:color w:val="000000"/>
              </w:rPr>
              <w:t xml:space="preserve">9813.3的有关规定，工作温度10～ 35</w:t>
            </w:r>
            <w:r>
              <w:rPr>
                <w:rFonts w:hint="eastAsia" w:ascii="宋体" w:hAnsi="宋体" w:cs="微软雅黑"/>
                <w:color w:val="000000"/>
              </w:rPr>
              <w:t xml:space="preserve">℃</w:t>
            </w:r>
            <w:r>
              <w:rPr>
                <w:rFonts w:ascii="宋体" w:hAnsi="宋体"/>
                <w:color w:val="000000"/>
              </w:rPr>
              <w:t xml:space="preserve">，贮存运输温度-40～55</w:t>
            </w:r>
            <w:r>
              <w:rPr>
                <w:rFonts w:hint="eastAsia" w:ascii="宋体" w:hAnsi="宋体" w:cs="微软雅黑"/>
                <w:color w:val="000000"/>
              </w:rPr>
              <w:t xml:space="preserve">℃</w:t>
            </w:r>
            <w:r>
              <w:rPr>
                <w:rFonts w:ascii="宋体" w:hAnsi="宋体"/>
                <w:color w:val="000000"/>
              </w:rPr>
              <w:t xml:space="preserve">；工作相对湿度35%～80%，贮存运输相对湿度20％～93%（40</w:t>
            </w:r>
            <w:r>
              <w:rPr>
                <w:rFonts w:hint="eastAsia" w:ascii="宋体" w:hAnsi="宋体" w:cs="微软雅黑"/>
                <w:color w:val="000000"/>
              </w:rPr>
              <w:t xml:space="preserve">℃</w:t>
            </w:r>
            <w:r>
              <w:rPr>
                <w:rFonts w:ascii="宋体" w:hAnsi="宋体"/>
                <w:color w:val="000000"/>
              </w:rPr>
              <w:t xml:space="preserve">）；大气压</w:t>
            </w:r>
            <w:r/>
          </w:p>
          <w:p>
            <w:pPr>
              <w:pStyle w:val="734"/>
              <w:spacing w:line="220" w:lineRule="exact"/>
              <w:rPr>
                <w:rFonts w:ascii="宋体" w:hAnsi="宋体"/>
                <w:color w:val="000000"/>
              </w:rPr>
            </w:pPr>
            <w:r>
              <w:rPr>
                <w:rFonts w:ascii="宋体" w:hAnsi="宋体"/>
                <w:color w:val="000000"/>
              </w:rPr>
              <w:t xml:space="preserve">86～106kPa</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40</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特殊机型环境适应性</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边缘应用服务器，工作环境温度宜为0～45</w:t>
            </w:r>
            <w:r>
              <w:rPr>
                <w:rFonts w:hint="eastAsia" w:ascii="宋体" w:hAnsi="宋体" w:cs="微软雅黑"/>
                <w:color w:val="000000"/>
              </w:rPr>
              <w:t xml:space="preserve">℃</w:t>
            </w:r>
            <w:r>
              <w:rPr>
                <w:rFonts w:ascii="宋体" w:hAnsi="宋体"/>
                <w:color w:val="000000"/>
              </w:rPr>
              <w:t xml:space="preserve">，短期工作可承受环境温度宜为-5～55</w:t>
            </w:r>
            <w:r>
              <w:rPr>
                <w:rFonts w:hint="eastAsia" w:ascii="宋体" w:hAnsi="宋体" w:cs="微软雅黑"/>
                <w:color w:val="000000"/>
              </w:rPr>
              <w:t xml:space="preserve">℃</w:t>
            </w:r>
            <w:r>
              <w:rPr>
                <w:rFonts w:ascii="宋体" w:hAnsi="宋体"/>
                <w:color w:val="000000"/>
              </w:rPr>
              <w:t xml:space="preserve">，液冷服务器贮存运输温度宜为-30～55</w:t>
            </w:r>
            <w:r>
              <w:rPr>
                <w:rFonts w:hint="eastAsia" w:ascii="宋体" w:hAnsi="宋体" w:cs="微软雅黑"/>
                <w:color w:val="000000"/>
              </w:rPr>
              <w:t xml:space="preserve">℃</w:t>
            </w:r>
            <w:r>
              <w:rPr>
                <w:rFonts w:ascii="宋体" w:hAnsi="宋体"/>
                <w:color w:val="000000"/>
              </w:rPr>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41</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*机械环境适应性</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机械环境适应性应符合GB/T</w:t>
            </w:r>
            <w:r/>
          </w:p>
          <w:p>
            <w:pPr>
              <w:pStyle w:val="734"/>
              <w:spacing w:line="220" w:lineRule="exact"/>
              <w:rPr>
                <w:rFonts w:ascii="宋体" w:hAnsi="宋体"/>
                <w:color w:val="000000"/>
              </w:rPr>
            </w:pPr>
            <w:r>
              <w:rPr>
                <w:rFonts w:ascii="宋体" w:hAnsi="宋体"/>
                <w:color w:val="000000"/>
              </w:rPr>
              <w:t xml:space="preserve">9813.3的有关规定</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42</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*噪声</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符合GB/T 9813.3的有关规定，在产品说明中给出具体测试值</w:t>
            </w:r>
            <w:r/>
          </w:p>
          <w:p>
            <w:pPr>
              <w:pStyle w:val="734"/>
              <w:spacing w:line="220" w:lineRule="exact"/>
              <w:rPr>
                <w:rFonts w:ascii="宋体" w:hAnsi="宋体"/>
                <w:color w:val="000000"/>
              </w:rPr>
            </w:pPr>
            <w:r>
              <w:rPr>
                <w:rFonts w:ascii="宋体" w:hAnsi="宋体"/>
                <w:color w:val="000000"/>
              </w:rPr>
              <w:t xml:space="preserve">塔式服务器噪声在空闲状态下不大于50dB</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43</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AI计算单元规格</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AI计算单元</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若配备AI计算单元应符合如下要求：</w:t>
            </w:r>
            <w:r/>
          </w:p>
          <w:p>
            <w:pPr>
              <w:pStyle w:val="734"/>
              <w:spacing w:line="220" w:lineRule="exact"/>
              <w:rPr>
                <w:rFonts w:ascii="宋体" w:hAnsi="宋体"/>
                <w:color w:val="000000"/>
              </w:rPr>
            </w:pPr>
            <w:r>
              <w:rPr>
                <w:rFonts w:ascii="宋体" w:hAnsi="宋体"/>
                <w:color w:val="000000"/>
              </w:rPr>
              <w:t xml:space="preserve">具备人工智能加速处理器，计算精度至少支持FP16、BF16、FP32、 FP64、INT8和INT16等中的1种；</w:t>
            </w:r>
            <w:r/>
          </w:p>
          <w:p>
            <w:pPr>
              <w:pStyle w:val="734"/>
              <w:spacing w:line="220" w:lineRule="exact"/>
              <w:rPr>
                <w:rFonts w:ascii="宋体" w:hAnsi="宋体"/>
                <w:color w:val="000000"/>
              </w:rPr>
            </w:pPr>
            <w:r>
              <w:rPr>
                <w:rFonts w:ascii="宋体" w:hAnsi="宋体"/>
                <w:color w:val="000000"/>
              </w:rPr>
              <w:t xml:space="preserve">单推理卡或模块，具备视频解析、文本识别、语音分析等推理能力；在视觉场景下配备可直接调用的接口实现视觉计算加速，路数不小于64（1080P 30FPS）</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44</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一键式迁移</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若服务器配备AI计算单元，提供训练脚本迁移工具</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45</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机柜规格</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*机柜尺寸</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hint="eastAsia" w:ascii="宋体" w:hAnsi="宋体"/>
                <w:color w:val="000000"/>
              </w:rPr>
              <w:t xml:space="preserve">/</w:t>
            </w:r>
            <w:r>
              <w:rPr>
                <w:rFonts w:ascii="宋体" w:hAnsi="宋体"/>
                <w:color w:val="000000"/>
              </w:rPr>
              <w:t xml:space="preserve">/</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46</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机柜管理板</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 //</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47</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产品规格</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机柜电源规格</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a) 机柜电源支持集中供电，电源输入不少于2路且支持自动切换； b) 机柜电源模块支持N+1冗余配置，电源模块可独立更换</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48</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功能要求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*主板功能</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*主板外部接口种类</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支持USB、显示、管理等接口，如：VGA、DP、HDMI、USB3.0、PS/2接口、</w:t>
            </w:r>
            <w:r/>
          </w:p>
          <w:p>
            <w:pPr>
              <w:pStyle w:val="734"/>
              <w:spacing w:line="220" w:lineRule="exact"/>
              <w:rPr>
                <w:rFonts w:ascii="宋体" w:hAnsi="宋体"/>
                <w:color w:val="000000"/>
              </w:rPr>
            </w:pPr>
            <w:r>
              <w:rPr>
                <w:rFonts w:ascii="宋体" w:hAnsi="宋体"/>
                <w:color w:val="000000"/>
              </w:rPr>
              <w:t xml:space="preserve">BMC管理端口</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49</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功能要求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主板防烧板设计</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支持主板防烧板设计，保证电源故障后不扩散</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50</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功能要求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扩展功能</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实现至少一种扩展功能，如存储功能卡、显示功能卡、运算加速功能卡及网络功能卡等扩展功能</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51</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功能要求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*网络功能</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*网络功能</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支持网络连接、网络访问、数据交换和网络管控功能</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52</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功能要求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*CPU 功能</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*计算处理</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支持通用计算及虚拟化功能。处理器需集成整型计算单元、浮点计算单元、内存控制器、I/O模块等，处理器与存储部件、网络部件、I/O 部件等组成计算系统，提供数据处理、网络接入等计算相关功能</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53</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功能要求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*密码算法实现</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CPU芯片应符合GM/T0008的相关规定，或芯片密码模块应符合GB/T</w:t>
            </w:r>
            <w:r>
              <w:rPr>
                <w:rFonts w:hint="eastAsia" w:ascii="宋体" w:hAnsi="宋体"/>
                <w:color w:val="000000"/>
              </w:rPr>
              <w:t xml:space="preserve"> </w:t>
            </w:r>
            <w:r>
              <w:rPr>
                <w:rFonts w:ascii="宋体" w:hAnsi="宋体"/>
                <w:color w:val="000000"/>
              </w:rPr>
              <w:t xml:space="preserve">37092或GM/T 0028的相关规定</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54</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功能要求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存储功能</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内存校验</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支持内存校验或内存增强型纠错功能</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55</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功能要求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SATA SSD NAND健康状态上报</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支持关键外部存储器（硬磁盘、SSD 等）的健康状态上报并进行故障诊断</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56</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功能要求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SATA SSD 单die故障隔离</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支持SSD关键外部存储器中单存储晶元故障隔离</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57</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功能要求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RAID 卡功能（若支持 RAID 卡）</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RAID卡 RAID级别支持</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RAID模式支持RAID 0/1/10/5，存储型支持RAID 0/1/5/6/10/50/60</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58</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功能要求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RAID卡</w:t>
            </w:r>
            <w:r/>
          </w:p>
          <w:p>
            <w:pPr>
              <w:pStyle w:val="734"/>
              <w:spacing w:line="220" w:lineRule="exact"/>
              <w:rPr>
                <w:rFonts w:ascii="宋体" w:hAnsi="宋体"/>
                <w:color w:val="000000"/>
              </w:rPr>
            </w:pPr>
            <w:r>
              <w:rPr>
                <w:rFonts w:ascii="宋体" w:hAnsi="宋体"/>
                <w:color w:val="000000"/>
              </w:rPr>
              <w:t xml:space="preserve">BBU单元</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RAID卡支持电池或电容备份单元</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59</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功能要求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光驱功能</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光驱类型</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hint="eastAsia" w:ascii="宋体" w:hAnsi="宋体"/>
                <w:color w:val="000000"/>
              </w:rPr>
              <w:t xml:space="preserve">不涉及</w:t>
            </w:r>
            <w:r>
              <w:rPr>
                <w:rFonts w:ascii="宋体" w:hAnsi="宋体"/>
                <w:color w:val="000000"/>
              </w:rPr>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60</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功能要求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*电源功能</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*电源热插拔</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整机电源模块应具备热插拔功能</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61</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功能要求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*电源过流保护</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支持过流及短路保护的功能</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62</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功能要求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*整机功能</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*散热方式</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支持风冷散热方式</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63</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功能要求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其他功能</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支持关键部件冗余（包括电源、风扇等）；</w:t>
            </w:r>
            <w:r/>
          </w:p>
          <w:p>
            <w:pPr>
              <w:pStyle w:val="734"/>
              <w:spacing w:line="220" w:lineRule="exact"/>
              <w:rPr>
                <w:rFonts w:ascii="宋体" w:hAnsi="宋体"/>
                <w:color w:val="000000"/>
              </w:rPr>
            </w:pPr>
            <w:r>
              <w:rPr>
                <w:rFonts w:ascii="宋体" w:hAnsi="宋体"/>
                <w:color w:val="000000"/>
              </w:rPr>
              <w:t xml:space="preserve">支持熔断保护与恢复功能</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64</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功能要求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*管理系统功能</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*BMC固件基础功能</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jc w:val="left"/>
              <w:spacing w:line="220" w:lineRule="exact"/>
              <w:rPr>
                <w:rFonts w:ascii="宋体" w:hAnsi="宋体"/>
                <w:color w:val="000000"/>
              </w:rPr>
            </w:pPr>
            <w:r>
              <w:rPr>
                <w:rFonts w:ascii="宋体" w:hAnsi="宋体" w:cs="黑体"/>
                <w:color w:val="000000"/>
              </w:rPr>
              <w:t xml:space="preserve">1)支持DHCP设置网络功能；</w:t>
            </w:r>
            <w:r>
              <w:rPr>
                <w:rFonts w:ascii="宋体" w:hAnsi="宋体"/>
                <w:color w:val="000000"/>
              </w:rPr>
            </w:r>
            <w:r/>
          </w:p>
          <w:p>
            <w:pPr>
              <w:pStyle w:val="734"/>
              <w:jc w:val="left"/>
              <w:spacing w:line="220" w:lineRule="exact"/>
              <w:rPr>
                <w:rFonts w:ascii="宋体" w:hAnsi="宋体"/>
                <w:color w:val="000000"/>
              </w:rPr>
            </w:pPr>
            <w:r>
              <w:rPr>
                <w:rFonts w:ascii="宋体" w:hAnsi="宋体" w:cs="黑体"/>
                <w:color w:val="000000"/>
              </w:rPr>
              <w:t xml:space="preserve">2)支持静态IP设置网络功能；</w:t>
            </w:r>
            <w:r>
              <w:rPr>
                <w:rFonts w:ascii="宋体" w:hAnsi="宋体"/>
                <w:color w:val="000000"/>
              </w:rPr>
            </w:r>
            <w:r/>
          </w:p>
          <w:p>
            <w:pPr>
              <w:pStyle w:val="734"/>
              <w:jc w:val="left"/>
              <w:spacing w:line="220" w:lineRule="exact"/>
              <w:rPr>
                <w:rFonts w:ascii="宋体" w:hAnsi="宋体"/>
                <w:color w:val="000000"/>
              </w:rPr>
            </w:pPr>
            <w:r>
              <w:rPr>
                <w:rFonts w:ascii="宋体" w:hAnsi="宋体" w:cs="黑体"/>
                <w:color w:val="000000"/>
              </w:rPr>
              <w:t xml:space="preserve">3)支持设备日志记录，包括但不限于登录日志、操作日志和报警日志等功能；</w:t>
            </w:r>
            <w:r>
              <w:rPr>
                <w:rFonts w:ascii="宋体" w:hAnsi="宋体"/>
                <w:color w:val="000000"/>
              </w:rPr>
            </w:r>
            <w:r/>
          </w:p>
          <w:p>
            <w:pPr>
              <w:pStyle w:val="734"/>
              <w:jc w:val="left"/>
              <w:spacing w:line="220" w:lineRule="exact"/>
              <w:rPr>
                <w:rFonts w:ascii="宋体" w:hAnsi="宋体"/>
                <w:color w:val="000000"/>
              </w:rPr>
            </w:pPr>
            <w:r>
              <w:rPr>
                <w:rFonts w:ascii="宋体" w:hAnsi="宋体" w:cs="黑体"/>
                <w:color w:val="000000"/>
              </w:rPr>
              <w:t xml:space="preserve">4)支持日志信息导出和记录删除功能；</w:t>
            </w:r>
            <w:r>
              <w:rPr>
                <w:rFonts w:ascii="宋体" w:hAnsi="宋体"/>
                <w:color w:val="000000"/>
              </w:rPr>
            </w:r>
            <w:r/>
          </w:p>
          <w:p>
            <w:pPr>
              <w:pStyle w:val="734"/>
              <w:jc w:val="left"/>
              <w:spacing w:line="220" w:lineRule="exact"/>
              <w:rPr>
                <w:rFonts w:ascii="宋体" w:hAnsi="宋体"/>
                <w:color w:val="000000"/>
              </w:rPr>
            </w:pPr>
            <w:r>
              <w:rPr>
                <w:rFonts w:ascii="宋体" w:hAnsi="宋体" w:cs="黑体"/>
                <w:color w:val="000000"/>
              </w:rPr>
              <w:t xml:space="preserve">5)支持通过管理接口向外输出准确的报警信息功能；</w:t>
            </w:r>
            <w:r>
              <w:rPr>
                <w:rFonts w:ascii="宋体" w:hAnsi="宋体"/>
                <w:color w:val="000000"/>
              </w:rPr>
            </w:r>
            <w:r/>
          </w:p>
          <w:p>
            <w:pPr>
              <w:pStyle w:val="734"/>
              <w:jc w:val="left"/>
              <w:spacing w:line="220" w:lineRule="exact"/>
              <w:rPr>
                <w:rFonts w:ascii="宋体" w:hAnsi="宋体"/>
                <w:color w:val="000000"/>
              </w:rPr>
            </w:pPr>
            <w:r>
              <w:rPr>
                <w:rFonts w:ascii="宋体" w:hAnsi="宋体" w:cs="黑体"/>
                <w:color w:val="000000"/>
              </w:rPr>
              <w:t xml:space="preserve">6)设备的BMC管理软件应能够按报</w:t>
            </w:r>
            <w:r>
              <w:rPr>
                <w:rFonts w:ascii="宋体" w:hAnsi="宋体"/>
                <w:color w:val="000000"/>
              </w:rPr>
            </w:r>
            <w:r/>
          </w:p>
          <w:p>
            <w:pPr>
              <w:pStyle w:val="734"/>
              <w:jc w:val="left"/>
              <w:spacing w:line="220" w:lineRule="exact"/>
              <w:rPr>
                <w:rFonts w:ascii="宋体" w:hAnsi="宋体"/>
                <w:color w:val="000000"/>
              </w:rPr>
            </w:pPr>
            <w:r>
              <w:rPr>
                <w:rFonts w:ascii="宋体" w:hAnsi="宋体" w:cs="黑体"/>
                <w:color w:val="000000"/>
              </w:rPr>
              <w:t xml:space="preserve">警的严重程度进行区分；</w:t>
            </w:r>
            <w:r>
              <w:rPr>
                <w:rFonts w:ascii="宋体" w:hAnsi="宋体"/>
                <w:color w:val="000000"/>
              </w:rPr>
            </w:r>
            <w:r/>
          </w:p>
          <w:p>
            <w:pPr>
              <w:pStyle w:val="734"/>
              <w:jc w:val="left"/>
              <w:spacing w:line="220" w:lineRule="exact"/>
              <w:rPr>
                <w:rFonts w:ascii="宋体" w:hAnsi="宋体"/>
                <w:color w:val="000000"/>
              </w:rPr>
            </w:pPr>
            <w:r>
              <w:rPr>
                <w:rFonts w:ascii="宋体" w:hAnsi="宋体" w:cs="黑体"/>
                <w:color w:val="000000"/>
              </w:rPr>
              <w:t xml:space="preserve">7)支持IPMI2.0、SNMP或Redfish 等接口功能；</w:t>
            </w:r>
            <w:r>
              <w:rPr>
                <w:rFonts w:ascii="宋体" w:hAnsi="宋体"/>
                <w:color w:val="000000"/>
              </w:rPr>
            </w:r>
            <w:r/>
          </w:p>
          <w:p>
            <w:pPr>
              <w:pStyle w:val="734"/>
              <w:jc w:val="left"/>
              <w:spacing w:line="220" w:lineRule="exact"/>
              <w:rPr>
                <w:rFonts w:ascii="宋体" w:hAnsi="宋体"/>
                <w:color w:val="000000"/>
              </w:rPr>
            </w:pPr>
            <w:r>
              <w:rPr>
                <w:rFonts w:ascii="宋体" w:hAnsi="宋体" w:cs="黑体"/>
                <w:color w:val="000000"/>
              </w:rPr>
              <w:t xml:space="preserve">8)支持键盘、鼠标和视频的重定向、文本控制台的重定向、远程虚拟媒体、高可靠的硬件监控和管理功能；</w:t>
            </w:r>
            <w:r>
              <w:rPr>
                <w:rFonts w:ascii="宋体" w:hAnsi="宋体"/>
                <w:color w:val="000000"/>
              </w:rPr>
            </w:r>
            <w:r/>
          </w:p>
          <w:p>
            <w:pPr>
              <w:pStyle w:val="734"/>
              <w:jc w:val="left"/>
              <w:spacing w:line="220" w:lineRule="exact"/>
              <w:rPr>
                <w:rFonts w:ascii="宋体" w:hAnsi="宋体"/>
                <w:color w:val="000000"/>
              </w:rPr>
            </w:pPr>
            <w:r>
              <w:rPr>
                <w:rFonts w:ascii="宋体" w:hAnsi="宋体" w:cs="黑体"/>
                <w:color w:val="000000"/>
              </w:rPr>
              <w:t xml:space="preserve">9)支持基于网络开启、关闭和重启设备的功能，并查询当前设备开机运行状态；</w:t>
            </w:r>
            <w:r>
              <w:rPr>
                <w:rFonts w:ascii="宋体" w:hAnsi="宋体"/>
                <w:color w:val="000000"/>
              </w:rPr>
            </w:r>
            <w:r/>
          </w:p>
          <w:p>
            <w:pPr>
              <w:pStyle w:val="734"/>
              <w:ind w:left="1"/>
              <w:spacing w:line="220" w:lineRule="exact"/>
              <w:rPr>
                <w:rFonts w:hint="eastAsia" w:ascii="宋体" w:hAnsi="宋体" w:cs="黑体"/>
                <w:color w:val="000000"/>
              </w:rPr>
            </w:pPr>
            <w:r>
              <w:rPr>
                <w:rFonts w:ascii="宋体" w:hAnsi="宋体" w:cs="黑体"/>
                <w:color w:val="000000"/>
              </w:rPr>
              <w:t xml:space="preserve">10)支持故障提示功能，并可通过接口读取服务器故障信息；</w:t>
            </w:r>
            <w:r>
              <w:rPr>
                <w:rFonts w:hint="eastAsia" w:ascii="宋体" w:hAnsi="宋体" w:cs="黑体"/>
                <w:color w:val="000000"/>
              </w:rPr>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65</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功能要求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BMC固件增强功能</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hint="eastAsia" w:ascii="宋体" w:hAnsi="宋体"/>
                <w:color w:val="000000"/>
              </w:rPr>
              <w:t xml:space="preserve">//</w:t>
            </w:r>
            <w:r>
              <w:rPr>
                <w:rFonts w:ascii="宋体" w:hAnsi="宋体"/>
                <w:color w:val="000000"/>
              </w:rPr>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66</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功能要求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*BIOS固件基础功能</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hint="eastAsia" w:ascii="宋体" w:hAnsi="宋体"/>
                <w:color w:val="000000"/>
              </w:rPr>
              <w:t xml:space="preserve">//</w:t>
            </w:r>
            <w:r>
              <w:rPr>
                <w:rFonts w:ascii="宋体" w:hAnsi="宋体"/>
                <w:color w:val="000000"/>
              </w:rPr>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67</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功能要求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*远程控制</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支持远程关机和重新启动功能</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68</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功能要求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*操作系统及驱动功能</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*操作系统及驱动的升级</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hint="eastAsia" w:ascii="宋体" w:hAnsi="宋体"/>
                <w:color w:val="000000"/>
              </w:rPr>
              <w:t xml:space="preserve">配置</w:t>
            </w:r>
            <w:r>
              <w:rPr>
                <w:rFonts w:ascii="宋体" w:hAnsi="宋体"/>
                <w:color w:val="000000"/>
              </w:rPr>
              <w:t xml:space="preserve">正版国产化商用操作系统，支持通过网络、闪存盘对操作系统、驱动进行升级</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69</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功能要求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操作系统及驱动的备份还原</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支持操作系统备份及还原功能</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70</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功能要求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*操作系统功能</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a) 支持访问控制、安全审计、网络接入鉴别等功能； b) 操作系统其他功能应满足操作系统政府采购需求标准中加*的指标要求</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71</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功能要求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*中文信息处理功能</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*中文信息处理</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符合GB 18030的有关规定</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72</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功能要求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机柜功能</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机柜管理功能</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hint="eastAsia" w:ascii="宋体" w:hAnsi="宋体"/>
                <w:color w:val="000000"/>
              </w:rPr>
              <w:t xml:space="preserve">不涉及</w:t>
            </w:r>
            <w:r>
              <w:rPr>
                <w:rFonts w:ascii="宋体" w:hAnsi="宋体"/>
                <w:color w:val="000000"/>
              </w:rPr>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73</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功能要求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机柜通信方式</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hint="eastAsia" w:ascii="宋体" w:hAnsi="宋体"/>
                <w:color w:val="000000"/>
              </w:rPr>
              <w:t xml:space="preserve">不涉及</w:t>
            </w:r>
            <w:r>
              <w:rPr>
                <w:rFonts w:ascii="宋体" w:hAnsi="宋体"/>
                <w:color w:val="000000"/>
              </w:rPr>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74</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功能要求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多集群作业管理</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hint="eastAsia" w:ascii="宋体" w:hAnsi="宋体"/>
                <w:color w:val="000000"/>
              </w:rPr>
              <w:t xml:space="preserve">不涉及</w:t>
            </w:r>
            <w:r>
              <w:rPr>
                <w:rFonts w:ascii="宋体" w:hAnsi="宋体"/>
                <w:color w:val="000000"/>
              </w:rPr>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75</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安全要求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*关键部件安全要求</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*关键部件安全要求3</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CPU和操作系统等关键部件应当符合安全可靠测评要求</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76</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安全要求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*固件安全要求</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*故障检测</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支持故障检测功能，可以检测到具体的FRU（内存、硬盘等）的故障并发出告警</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77</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安全要求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内存故障智能预测和自愈修复</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支持内存故障智能预测和自愈修复，提前自动硬隔离，避免内存故障引起的非预期宕机以及内存寿命的降低</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78</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安全要求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硬盘故障智能预测</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支持硬盘故障智能预测，基于故障模型预测出硬盘的故障</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79</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安全要求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PCIe链路故障智能诊断</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支持PCIe链路故障智能诊断，判断出现故障的PCIe链路</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80</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安全要求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内存故障隔离</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支持内存故障隔离，在内存产生CE 故障时，内存地址被隔离成功，服务器正常运行，业务系统不中断</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81</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安全要求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内存、PCIe 卡的故障精准告警功能</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支持内存、PCIe卡的故障精准告警功能，触发告警并明确指示具体的故障位置</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82</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安全要求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异常下电关键数据保护</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支持异常下电关键数据保护，支持数据备份恢复机制，防止系统异常掉电导致的数据文件丢失</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83</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安全要求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BMC/BIOS 固件双镜像保护</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支持BMC/BIOS固件双镜像保护，运行异常时自动切换到备份镜像运行，提升系统稳定性</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84</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安全要求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CPU核重启隔离</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支持CPU核发生不可纠正故障后，重启后由BIOS隔离该故障核，OS 不可见，防止OS再次使用导致系统异常，核0除外</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85</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安全要求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内存地址隔离</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在硬件支持的情况下，支持故障内存地址重启后隔离</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86</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安全要求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内存存储阵列替换</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在硬件支持的情况下，支持故障内存存储阵列替换</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87</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安全要求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安全启动</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支持执行环境要求在整个系统启动的过程中，系统应提供一个机制来保护平台的完整性</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88</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安全要求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*系统安全要求</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syslog双</w:t>
            </w:r>
            <w:r/>
          </w:p>
          <w:p>
            <w:pPr>
              <w:pStyle w:val="734"/>
              <w:spacing w:line="220" w:lineRule="exact"/>
              <w:rPr>
                <w:rFonts w:ascii="宋体" w:hAnsi="宋体"/>
                <w:color w:val="000000"/>
              </w:rPr>
            </w:pPr>
            <w:r>
              <w:rPr>
                <w:rFonts w:ascii="宋体" w:hAnsi="宋体"/>
                <w:color w:val="000000"/>
              </w:rPr>
              <w:t xml:space="preserve">向鉴别</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支持系统日志双向鉴别，对服务器根证书和客户端根证书进行鉴别</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89</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安全要求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*弱口令字典检查</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支持弱口令字典检查功能，出现在弱口令字典中的字符串不能被设置为用户口令</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90</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安全要求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*白名单访问控制</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支持基于时间、IP或MAC白名单访问控制</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91</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安全要求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双因素鉴别</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支持使用客户端证书和证书密码的双因素鉴别方式登录管理系统</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92</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安全要求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*二次鉴别</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支持二次鉴别功能。对于用户配置、权限配置、公钥导入等重要的管理操作，已登录用户应通过二次鉴别后，才能执行操作</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93</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安全要求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匿名化用户告警接收邮箱</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支持带外管理系统中的用户告警接收邮箱进行匿名化处理</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94</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安全要求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*密码证书安全加密存储</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支持对带外管理系统中的用户口令和证书等敏感信息进行加密存储，禁止使用私有的和业界已知不安全的密码算法</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95</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安全要求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*敏感信息安全加密传输</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支持使用安全的传输加密协议（如SSH或HTTPS等）传输用户的敏感信息</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96</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安全要求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*信息安全要求</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*研发过程安全</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供应商承诺，生产商已建立从需求、设计、开发、测试、维护端到端的开发流程管理机制，输出和保存开发流程中每个阶段的产品需求清单、设计文档、开发文档、测试记录等材料，保证各个流程可追溯</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97</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安全要求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漏洞管理</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供应商承诺，生产商已建立漏洞全量视图，保证产品版本涉及到的所有漏洞(如驱动程序、BMC软件等) 都可以查看</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98</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安全要求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网络关键设备服务器要求</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作为网络关键设备的服务器应符合GB 40050的相关规定</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99</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安全要求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增强要求</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嵌入物理可信根，实现设备的信任链构建；</w:t>
            </w:r>
            <w:r/>
          </w:p>
          <w:p>
            <w:pPr>
              <w:pStyle w:val="734"/>
              <w:spacing w:line="220" w:lineRule="exact"/>
              <w:rPr>
                <w:rFonts w:ascii="宋体" w:hAnsi="宋体"/>
                <w:color w:val="000000"/>
              </w:rPr>
            </w:pPr>
            <w:r>
              <w:rPr>
                <w:rFonts w:ascii="宋体" w:hAnsi="宋体"/>
                <w:color w:val="000000"/>
              </w:rPr>
              <w:t xml:space="preserve">支持可信平台控制模块(TPCM)；</w:t>
            </w:r>
            <w:r/>
          </w:p>
          <w:p>
            <w:pPr>
              <w:pStyle w:val="734"/>
              <w:spacing w:line="220" w:lineRule="exact"/>
              <w:rPr>
                <w:rFonts w:ascii="宋体" w:hAnsi="宋体"/>
                <w:color w:val="000000"/>
              </w:rPr>
            </w:pPr>
            <w:r>
              <w:rPr>
                <w:rFonts w:ascii="宋体" w:hAnsi="宋体"/>
                <w:color w:val="000000"/>
              </w:rPr>
              <w:t xml:space="preserve">支持在固件系统（BMC、BIOS）启动前实现对固件度量的功能，支持物理可信根对BMC固件或BIOS固件进行完整性检测、更新和恢复；</w:t>
            </w:r>
            <w:r/>
          </w:p>
          <w:p>
            <w:pPr>
              <w:pStyle w:val="734"/>
              <w:spacing w:line="220" w:lineRule="exact"/>
              <w:rPr>
                <w:rFonts w:ascii="宋体" w:hAnsi="宋体"/>
                <w:color w:val="000000"/>
              </w:rPr>
            </w:pPr>
            <w:r>
              <w:rPr>
                <w:rFonts w:ascii="宋体" w:hAnsi="宋体"/>
                <w:color w:val="000000"/>
              </w:rPr>
              <w:t xml:space="preserve">支持对CPU、网络控制器等关键处理器进行身份识别与度量的功能；</w:t>
            </w:r>
            <w:r/>
          </w:p>
          <w:p>
            <w:pPr>
              <w:pStyle w:val="734"/>
              <w:spacing w:line="220" w:lineRule="exact"/>
              <w:rPr>
                <w:rFonts w:ascii="宋体" w:hAnsi="宋体"/>
                <w:color w:val="000000"/>
              </w:rPr>
            </w:pPr>
            <w:r>
              <w:rPr>
                <w:rFonts w:ascii="宋体" w:hAnsi="宋体"/>
                <w:color w:val="000000"/>
              </w:rPr>
              <w:t xml:space="preserve">支持基于处理器或可信计算模块度量的功能；</w:t>
            </w:r>
            <w:r/>
          </w:p>
          <w:p>
            <w:pPr>
              <w:pStyle w:val="734"/>
              <w:spacing w:line="220" w:lineRule="exact"/>
              <w:rPr>
                <w:rFonts w:ascii="宋体" w:hAnsi="宋体"/>
                <w:color w:val="000000"/>
              </w:rPr>
            </w:pPr>
            <w:r>
              <w:rPr>
                <w:rFonts w:ascii="宋体" w:hAnsi="宋体"/>
                <w:color w:val="000000"/>
              </w:rPr>
              <w:t xml:space="preserve">所采用的可信密码模块接口应符合GM/T 0012的相关规定；</w:t>
            </w:r>
            <w:r/>
          </w:p>
          <w:p>
            <w:pPr>
              <w:pStyle w:val="734"/>
              <w:spacing w:line="220" w:lineRule="exact"/>
              <w:rPr>
                <w:rFonts w:ascii="宋体" w:hAnsi="宋体"/>
                <w:color w:val="000000"/>
              </w:rPr>
            </w:pPr>
            <w:r>
              <w:rPr>
                <w:rFonts w:ascii="宋体" w:hAnsi="宋体"/>
                <w:color w:val="000000"/>
              </w:rPr>
              <w:t xml:space="preserve">可信安全管理模块、处理器等硬件载体应通过国家相关部门的认证和许可</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100</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安全要求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*物理安全</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*物理安全</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安全要求应符合GB 4943.1的规定</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101</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安全要求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*限用物质的限量要求</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*限用物质的限量要求</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限用物质的限量应符合GB/T 26572 的要求</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102</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性能要求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*CPU 性能</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*CPU主频</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≥2.6GHz</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103</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性能要求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*单CPU核数</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≥32</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104</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性能要求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*单CPU末级缓存容量</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≥8MB</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105</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性能要求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*内存性能</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单内存模块容量</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≥32GB</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106</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性能要求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*内存速率</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8" w:type="dxa"/>
            <w:vAlign w:val="center"/>
            <w:textDirection w:val="lrTb"/>
            <w:noWrap w:val="false"/>
          </w:tcPr>
          <w:p>
            <w:pPr>
              <w:pStyle w:val="734"/>
              <w:spacing w:line="220" w:lineRule="exact"/>
              <w:rPr>
                <w:rFonts w:ascii="宋体" w:hAnsi="宋体"/>
                <w:color w:val="000000"/>
              </w:rPr>
            </w:pPr>
            <w:r>
              <w:rPr>
                <w:rFonts w:hint="eastAsia" w:ascii="宋体" w:hAnsi="宋体"/>
                <w:color w:val="000000"/>
              </w:rPr>
              <w:t xml:space="preserve">≥2933MT/s</w:t>
            </w:r>
            <w:r>
              <w:rPr>
                <w:rFonts w:ascii="宋体" w:hAnsi="宋体"/>
                <w:color w:val="000000"/>
              </w:rPr>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107</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性能要求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存储性能</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硬盘转速</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安装的硬磁盘转速不小于10</w:t>
            </w:r>
            <w:r>
              <w:rPr>
                <w:rFonts w:hint="eastAsia" w:ascii="宋体" w:hAnsi="宋体"/>
                <w:color w:val="000000"/>
              </w:rPr>
              <w:t xml:space="preserve">k</w:t>
            </w:r>
            <w:r>
              <w:rPr>
                <w:rFonts w:ascii="宋体" w:hAnsi="宋体"/>
                <w:color w:val="000000"/>
              </w:rPr>
              <w:t xml:space="preserve">rpm</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108</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性能要求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RAID 卡性能</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RAID卡缓存容量大小</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若配备RAID卡且RAID卡有缓存容量，容量不少于1GB</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109</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性能要求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FC HBA 卡性能</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FC HBA卡</w:t>
            </w:r>
            <w:r/>
          </w:p>
          <w:p>
            <w:pPr>
              <w:pStyle w:val="734"/>
              <w:spacing w:line="220" w:lineRule="exact"/>
              <w:rPr>
                <w:rFonts w:ascii="宋体" w:hAnsi="宋体"/>
                <w:color w:val="000000"/>
              </w:rPr>
            </w:pPr>
            <w:r>
              <w:rPr>
                <w:rFonts w:ascii="宋体" w:hAnsi="宋体"/>
                <w:color w:val="000000"/>
              </w:rPr>
              <w:t xml:space="preserve">速率</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8" w:type="dxa"/>
            <w:vAlign w:val="center"/>
            <w:textDirection w:val="lrTb"/>
            <w:noWrap w:val="false"/>
          </w:tcPr>
          <w:p>
            <w:pPr>
              <w:pStyle w:val="734"/>
              <w:spacing w:line="220" w:lineRule="exact"/>
              <w:rPr>
                <w:rFonts w:ascii="宋体" w:hAnsi="宋体"/>
                <w:color w:val="000000"/>
              </w:rPr>
            </w:pPr>
            <w:r>
              <w:rPr>
                <w:rFonts w:hint="eastAsia" w:ascii="宋体" w:hAnsi="宋体"/>
                <w:color w:val="000000"/>
              </w:rPr>
              <w:t xml:space="preserve">不涉及</w:t>
            </w:r>
            <w:r>
              <w:rPr>
                <w:rFonts w:ascii="宋体" w:hAnsi="宋体"/>
                <w:color w:val="000000"/>
              </w:rPr>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110</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性能要求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网络性能</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独立网卡速率</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≥1GE</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111</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性能要求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板载网卡速率</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≥1GE</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112</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性能要求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*电源能耗</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*电源能耗</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符合GB/T 9813.3的有关规定</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113</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兼容要求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*部件兼容性要求</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*内存兼容性</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适配3种及以上厂商的内存产品，且均不低于产品支持的内存规格</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114</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兼容要求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*固态存储兼容性</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适配3种或以上厂商的固态存储产品，且均不低于产品支持的固态存储设备规格</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115</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兼容要求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FC HBA卡</w:t>
            </w:r>
            <w:r/>
          </w:p>
          <w:p>
            <w:pPr>
              <w:pStyle w:val="734"/>
              <w:spacing w:line="220" w:lineRule="exact"/>
              <w:rPr>
                <w:rFonts w:ascii="宋体" w:hAnsi="宋体"/>
                <w:color w:val="000000"/>
              </w:rPr>
            </w:pPr>
            <w:r>
              <w:rPr>
                <w:rFonts w:ascii="宋体" w:hAnsi="宋体"/>
                <w:color w:val="000000"/>
              </w:rPr>
              <w:t xml:space="preserve">兼容性</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FC HBA应适配两种或以上厂商产品</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116</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兼容要求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RAID卡兼容性</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RAID卡应适配两种或以上厂商产品</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117</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兼容要求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*网卡兼容性</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网卡应适配两种或以上厂商产品</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118</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兼容要求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*功能卡兼容性</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内置或适配符合PCIe的功能卡，如：网络功能卡、存储功能卡及图形显示功能卡</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119</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兼容要求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*外设兼容性</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*外设兼容性</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兼容多种主流生产商的外部设备，</w:t>
            </w:r>
            <w:r/>
          </w:p>
          <w:p>
            <w:pPr>
              <w:pStyle w:val="734"/>
              <w:spacing w:line="220" w:lineRule="exact"/>
              <w:rPr>
                <w:rFonts w:ascii="宋体" w:hAnsi="宋体"/>
                <w:color w:val="000000"/>
              </w:rPr>
            </w:pPr>
            <w:r>
              <w:rPr>
                <w:rFonts w:ascii="宋体" w:hAnsi="宋体"/>
                <w:color w:val="000000"/>
              </w:rPr>
              <w:t xml:space="preserve">包括显示器、键盘、鼠标、闪存盘、</w:t>
            </w:r>
            <w:r/>
          </w:p>
          <w:p>
            <w:pPr>
              <w:pStyle w:val="734"/>
              <w:spacing w:line="220" w:lineRule="exact"/>
              <w:rPr>
                <w:rFonts w:ascii="宋体" w:hAnsi="宋体"/>
                <w:color w:val="000000"/>
              </w:rPr>
            </w:pPr>
            <w:r>
              <w:rPr>
                <w:rFonts w:ascii="宋体" w:hAnsi="宋体"/>
                <w:color w:val="000000"/>
              </w:rPr>
              <w:t xml:space="preserve">移动硬盘、USB光驱及KVM等，要求使用不同厂商的外部设备时，系统均能正常识别和安装驱动</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120</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兼容要求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*软件兼容性</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*数据库兼容</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兼容3个及以上厂商的数据库产品</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121</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兼容要求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*中间件兼容</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兼容3个及以上厂商的中间件产品</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122</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兼容要求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*平台软件兼容</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兼容3个及以上厂商的大数据平台</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123</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兼容要求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虚拟化软件兼容</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兼容2款及以上虚拟化软件</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124</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可靠性要求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存储可靠性要求</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SATA SSD</w:t>
            </w:r>
            <w:r/>
          </w:p>
          <w:p>
            <w:pPr>
              <w:pStyle w:val="734"/>
              <w:spacing w:line="220" w:lineRule="exact"/>
              <w:rPr>
                <w:rFonts w:ascii="宋体" w:hAnsi="宋体"/>
                <w:color w:val="000000"/>
              </w:rPr>
            </w:pPr>
            <w:r>
              <w:rPr>
                <w:rFonts w:ascii="宋体" w:hAnsi="宋体"/>
                <w:color w:val="000000"/>
              </w:rPr>
              <w:t xml:space="preserve">可靠性</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SSD的m1值（MTBF的不可接受值）不低于200000h</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125</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可靠性要求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*整机可靠性要求</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*整机可靠性</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m1值（MTBF的不可接受值）不得低于30000h</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126</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可靠性要求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*风扇可靠性</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风扇寿命应不低于40000h</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127</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可靠性要求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*部件可靠性</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支持硬盘、电源、风扇热插拔(内置风扇除外)</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128</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包装及运输要求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*包装及运输要求</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*标志、包装、运输和贮存</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符合GB/T 9813.3和商品包装政府采购需求标准的相关规定</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129</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服务要求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*服务响应</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*服务响应</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提供电话、电子邮件、远程连接等多种形式服务；</w:t>
            </w:r>
            <w:r/>
          </w:p>
          <w:p>
            <w:pPr>
              <w:pStyle w:val="734"/>
              <w:spacing w:line="220" w:lineRule="exact"/>
              <w:rPr>
                <w:rFonts w:ascii="宋体" w:hAnsi="宋体"/>
                <w:color w:val="000000"/>
              </w:rPr>
            </w:pPr>
            <w:r>
              <w:rPr>
                <w:rFonts w:ascii="宋体" w:hAnsi="宋体"/>
                <w:color w:val="000000"/>
              </w:rPr>
              <w:t xml:space="preserve">提供同城4h、异地12h技术响应服务，2个工作日解决问题，对于未能解决的问题和故障应提供可行的升级方案，并提供周转设备； c) 建立全国技术服务体系和服务团体，符合专业服务体系标准要求，提供原厂中文服务； d) 服务周期内提供产品的维修、换件和升级服务</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130</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服务要求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*培训服务</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供应商提供培训材料、产品手册、培训视频等培训相关内容</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131</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服务要求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*服务周期</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*服务周期</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a) 产品免费服务周期（含换件和维修）应不小于5年</w:t>
            </w:r>
            <w:r>
              <w:rPr>
                <w:rFonts w:hint="eastAsia" w:ascii="宋体" w:hAnsi="宋体"/>
                <w:color w:val="000000"/>
              </w:rPr>
              <w:t xml:space="preserve">，提供介质保留服务不小于5年</w:t>
            </w:r>
            <w:r>
              <w:rPr>
                <w:rFonts w:ascii="宋体" w:hAnsi="宋体"/>
                <w:color w:val="000000"/>
              </w:rPr>
              <w:t xml:space="preserve">； b) 设备停产后继续提供质量保障服务（含备品备件），服务终止时间与最后一批设备交付时间间隔不低于6年； </w:t>
            </w:r>
            <w:r/>
          </w:p>
          <w:p>
            <w:pPr>
              <w:pStyle w:val="734"/>
              <w:spacing w:line="220" w:lineRule="exact"/>
              <w:rPr>
                <w:rFonts w:ascii="宋体" w:hAnsi="宋体"/>
                <w:color w:val="000000"/>
              </w:rPr>
            </w:pPr>
            <w:r>
              <w:rPr>
                <w:rFonts w:ascii="宋体" w:hAnsi="宋体"/>
                <w:color w:val="000000"/>
              </w:rPr>
              <w:t xml:space="preserve">c) 产品停止服务时间应提前1年告知客户；</w:t>
            </w:r>
            <w:r/>
          </w:p>
          <w:p>
            <w:pPr>
              <w:pStyle w:val="734"/>
              <w:spacing w:line="220" w:lineRule="exact"/>
              <w:rPr>
                <w:rFonts w:ascii="宋体" w:hAnsi="宋体"/>
                <w:color w:val="000000"/>
              </w:rPr>
            </w:pPr>
            <w:r>
              <w:rPr>
                <w:rFonts w:ascii="宋体" w:hAnsi="宋体"/>
                <w:color w:val="000000"/>
              </w:rPr>
              <w:t xml:space="preserve">d) 产品发布日期需在随机文件中明确</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132</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服务要求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*服务工具要求</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*工具要求</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供应商提供设置服务器硬件、辅助操作系统安装等功能的辅助工具和管理软件。且随附软件应具有合法授权或版权</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133</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服务要求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辅助工具</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支持如下功能</w:t>
            </w:r>
            <w:r/>
          </w:p>
          <w:p>
            <w:pPr>
              <w:pStyle w:val="734"/>
              <w:spacing w:line="220" w:lineRule="exact"/>
              <w:rPr>
                <w:rFonts w:ascii="宋体" w:hAnsi="宋体"/>
                <w:color w:val="000000"/>
              </w:rPr>
            </w:pPr>
            <w:r>
              <w:rPr>
                <w:rFonts w:ascii="宋体" w:hAnsi="宋体"/>
                <w:color w:val="000000"/>
              </w:rPr>
              <w:t xml:space="preserve">本地的数据备份和还原功能；</w:t>
            </w:r>
            <w:r/>
          </w:p>
          <w:p>
            <w:pPr>
              <w:pStyle w:val="734"/>
              <w:spacing w:line="220" w:lineRule="exact"/>
              <w:rPr>
                <w:rFonts w:ascii="宋体" w:hAnsi="宋体"/>
                <w:color w:val="000000"/>
              </w:rPr>
            </w:pPr>
            <w:r>
              <w:rPr>
                <w:rFonts w:ascii="宋体" w:hAnsi="宋体"/>
                <w:color w:val="000000"/>
              </w:rPr>
              <w:t xml:space="preserve">网络的数据备份和还原功能； c) 服务器操作系统的自动安装功能； d) 服务器所配硬件需要的驱动程序和系统补丁</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134</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服务要求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*驱动安装升级指引</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供应商提供出厂安装的配件所需的驱动程序，形式包括但不限于驱动光盘、驱动下载链接等。其他配件应提供指引</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135</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服务要求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随机附开盖工具</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随服务器打包提供开机箱工具</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136</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服务要求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代码迁移工具</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供应商提供从其他CPU架构到当前服务器CPU架构的软件迁移工具产品，支持软件包迁移评估，对满足产品重构要求的软件包，能重构为当前服务器CPU架构的软件包。提</w:t>
            </w:r>
            <w:r/>
          </w:p>
          <w:p>
            <w:pPr>
              <w:pStyle w:val="734"/>
              <w:spacing w:line="220" w:lineRule="exact"/>
              <w:rPr>
                <w:rFonts w:ascii="宋体" w:hAnsi="宋体"/>
                <w:color w:val="000000"/>
              </w:rPr>
            </w:pPr>
            <w:r>
              <w:rPr>
                <w:rFonts w:ascii="宋体" w:hAnsi="宋体"/>
                <w:color w:val="000000"/>
              </w:rPr>
              <w:t xml:space="preserve">供源码迁移功能，检查分析</w:t>
            </w:r>
            <w:r/>
          </w:p>
          <w:p>
            <w:pPr>
              <w:pStyle w:val="734"/>
              <w:spacing w:line="220" w:lineRule="exact"/>
              <w:rPr>
                <w:rFonts w:ascii="宋体" w:hAnsi="宋体"/>
                <w:color w:val="000000"/>
              </w:rPr>
            </w:pPr>
            <w:r>
              <w:rPr>
                <w:rFonts w:ascii="宋体" w:hAnsi="宋体"/>
                <w:color w:val="000000"/>
              </w:rPr>
              <w:t xml:space="preserve">C/C++/Fortran/Go/解释型语言/汇编等源码文件，基于产品功能给出迁移指导</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137</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服务要求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性能分析工具</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供应商提供支持当前服务器CPU架构的性能分析工具产品，支持系统性能分析、Java性能分析和系统诊断，可分析系统或应用在CPU、内存、</w:t>
            </w:r>
            <w:r/>
          </w:p>
          <w:p>
            <w:pPr>
              <w:pStyle w:val="734"/>
              <w:spacing w:line="220" w:lineRule="exact"/>
              <w:rPr>
                <w:rFonts w:ascii="宋体" w:hAnsi="宋体"/>
                <w:color w:val="000000"/>
              </w:rPr>
            </w:pPr>
            <w:r>
              <w:rPr>
                <w:rFonts w:ascii="宋体" w:hAnsi="宋体"/>
                <w:color w:val="000000"/>
              </w:rPr>
              <w:t xml:space="preserve">IO、网络等方面的性能，并给出优化建议</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138</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服务要求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跨架构平台应用兼容</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跨CPU架构平台应用兼容工具，可兼容一种或者一种以上不同架构平台的应用</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139</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服务要求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*管理软件</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具备资源管理、系统管理、性能监控、健康监控、基于网络控制、报警设置功能</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140</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服务要求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*增值服务</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*厂家升级产品软件与扩容服务</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供应商提供原厂级的部件/软件产品升级和扩容能力</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141</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服务要求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服务保障升级</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供应商有偿提供远程技术支持、软件授权服务、备件更换服务、现场支承服务</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142</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服务要求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*提供上门服务</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供应商具备提供上门服务的能力</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143</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服务要求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业务场景性能优化服务及整体架构升级服务</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供应商提供针对特定业务场景性能优化服务及整体架构升级服务</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144</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供保要求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*供应链质量</w:t>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*抗干扰性</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当产品部件出现供应风险时，应通知客户并提供风险应对方案确保产品的服务保障，必要时应停止相关受影响产品的销售</w:t>
            </w:r>
            <w:r/>
          </w:p>
        </w:tc>
      </w:tr>
      <w:tr>
        <w:trPr/>
        <w:tc>
          <w:tcPr>
            <w:tcW w:w="82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145</w:t>
            </w:r>
            <w:r/>
          </w:p>
        </w:tc>
        <w:tc>
          <w:tcPr>
            <w:tcW w:w="1463"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供保要求</w:t>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olor w:val="000000"/>
              </w:rPr>
            </w:r>
            <w:r/>
          </w:p>
        </w:tc>
        <w:tc>
          <w:tcPr>
            <w:tcW w:w="1187"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*供应能力证明</w:t>
            </w:r>
            <w:r/>
          </w:p>
        </w:tc>
        <w:tc>
          <w:tcPr>
            <w:tcW w:w="1081"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8"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供应商提供供应链稳定承诺书，确保产品的部件在产品服务周期内稳定供货</w:t>
            </w:r>
            <w:r/>
          </w:p>
        </w:tc>
      </w:tr>
    </w:tbl>
    <w:p>
      <w:pPr>
        <w:pStyle w:val="734"/>
        <w:rPr>
          <w:color w:val="000000"/>
          <w:sz w:val="24"/>
          <w:szCs w:val="24"/>
        </w:rPr>
      </w:pPr>
      <w:r>
        <w:rPr>
          <w:color w:val="000000"/>
          <w:sz w:val="24"/>
          <w:szCs w:val="24"/>
        </w:rPr>
      </w:r>
      <w:r/>
    </w:p>
    <w:p>
      <w:pPr>
        <w:pStyle w:val="738"/>
        <w:rPr>
          <w:rFonts w:ascii="宋体" w:hAnsi="宋体" w:eastAsia="宋体"/>
          <w:color w:val="000000"/>
          <w:sz w:val="24"/>
          <w:szCs w:val="24"/>
        </w:rPr>
      </w:pPr>
      <w:r>
        <w:rPr>
          <w:rFonts w:hint="eastAsia" w:ascii="宋体" w:hAnsi="宋体" w:eastAsia="宋体"/>
          <w:color w:val="000000"/>
          <w:sz w:val="24"/>
          <w:szCs w:val="24"/>
        </w:rPr>
        <w:t xml:space="preserve">4.3 大数据节点服务器 </w:t>
      </w:r>
      <w:r>
        <w:rPr>
          <w:rFonts w:ascii="宋体" w:hAnsi="宋体" w:eastAsia="宋体"/>
          <w:color w:val="000000"/>
          <w:sz w:val="24"/>
          <w:szCs w:val="24"/>
        </w:rPr>
        <w:t xml:space="preserve">8</w:t>
      </w:r>
      <w:r>
        <w:rPr>
          <w:rFonts w:hint="eastAsia" w:ascii="宋体" w:hAnsi="宋体" w:eastAsia="宋体"/>
          <w:color w:val="000000"/>
          <w:sz w:val="24"/>
          <w:szCs w:val="24"/>
        </w:rPr>
        <w:t xml:space="preserve">台</w:t>
      </w:r>
      <w:r>
        <w:rPr>
          <w:rFonts w:ascii="宋体" w:hAnsi="宋体" w:eastAsia="宋体"/>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7" w:type="dxa"/>
          <w:top w:w="42" w:type="dxa"/>
          <w:right w:w="108" w:type="dxa"/>
          <w:bottom w:w="0" w:type="dxa"/>
        </w:tblCellMar>
        <w:tblLook w:val="04A0" w:firstRow="1" w:lastRow="0" w:firstColumn="1" w:lastColumn="0" w:noHBand="0" w:noVBand="1"/>
      </w:tblPr>
      <w:tblGrid>
        <w:gridCol w:w="893"/>
        <w:gridCol w:w="1395"/>
        <w:gridCol w:w="1280"/>
        <w:gridCol w:w="1134"/>
        <w:gridCol w:w="1134"/>
        <w:gridCol w:w="3616"/>
      </w:tblGrid>
      <w:tr>
        <w:trPr/>
        <w:tc>
          <w:tcPr>
            <w:tcW w:w="893" w:type="dxa"/>
            <w:vAlign w:val="center"/>
            <w:textDirection w:val="lrTb"/>
            <w:noWrap w:val="false"/>
          </w:tcPr>
          <w:p>
            <w:pPr>
              <w:pStyle w:val="734"/>
              <w:ind w:left="70"/>
              <w:spacing w:line="220" w:lineRule="exact"/>
              <w:rPr>
                <w:rFonts w:ascii="宋体" w:hAnsi="宋体"/>
                <w:color w:val="000000"/>
              </w:rPr>
            </w:pPr>
            <w:r>
              <w:rPr>
                <w:rFonts w:ascii="宋体" w:hAnsi="宋体" w:cs="黑体"/>
                <w:color w:val="000000"/>
              </w:rPr>
              <w:t xml:space="preserve">序号</w:t>
            </w:r>
            <w:r>
              <w:rPr>
                <w:rFonts w:ascii="宋体" w:hAnsi="宋体"/>
                <w:color w:val="000000"/>
              </w:rPr>
            </w:r>
            <w:r/>
          </w:p>
        </w:tc>
        <w:tc>
          <w:tcPr>
            <w:tcW w:w="1395" w:type="dxa"/>
            <w:vAlign w:val="center"/>
            <w:textDirection w:val="lrTb"/>
            <w:noWrap w:val="false"/>
          </w:tcPr>
          <w:p>
            <w:pPr>
              <w:pStyle w:val="734"/>
              <w:ind w:left="49"/>
              <w:spacing w:line="220" w:lineRule="exact"/>
              <w:rPr>
                <w:rFonts w:ascii="宋体" w:hAnsi="宋体"/>
                <w:color w:val="000000"/>
              </w:rPr>
            </w:pPr>
            <w:r>
              <w:rPr>
                <w:rFonts w:ascii="宋体" w:hAnsi="宋体" w:cs="黑体"/>
                <w:color w:val="000000"/>
              </w:rPr>
              <w:t xml:space="preserve">指标分类</w:t>
            </w:r>
            <w:r>
              <w:rPr>
                <w:rFonts w:ascii="宋体" w:hAnsi="宋体"/>
                <w:color w:val="000000"/>
              </w:rPr>
            </w:r>
            <w:r/>
          </w:p>
        </w:tc>
        <w:tc>
          <w:tcPr>
            <w:tcW w:w="1280"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一级指标</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二级指标 </w:t>
            </w:r>
            <w:r>
              <w:rPr>
                <w:rFonts w:ascii="宋体" w:hAnsi="宋体" w:cs="黑体"/>
                <w:color w:val="000000"/>
                <w:vertAlign w:val="superscript"/>
              </w:rPr>
              <w:t xml:space="preserve">1</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是否可以作为评分因素</w:t>
            </w:r>
            <w:r>
              <w:rPr>
                <w:rFonts w:ascii="宋体" w:hAnsi="宋体"/>
                <w:color w:val="000000"/>
              </w:rPr>
            </w:r>
            <w:r/>
          </w:p>
        </w:tc>
        <w:tc>
          <w:tcPr>
            <w:tcW w:w="3616" w:type="dxa"/>
            <w:vAlign w:val="center"/>
            <w:textDirection w:val="lrTb"/>
            <w:noWrap w:val="false"/>
          </w:tcPr>
          <w:p>
            <w:pPr>
              <w:pStyle w:val="734"/>
              <w:ind w:left="2" w:firstLine="360"/>
              <w:jc w:val="center"/>
              <w:spacing w:line="220" w:lineRule="exact"/>
              <w:rPr>
                <w:rFonts w:ascii="宋体" w:hAnsi="宋体"/>
                <w:color w:val="000000"/>
              </w:rPr>
            </w:pPr>
            <w:r>
              <w:rPr>
                <w:rFonts w:ascii="宋体" w:hAnsi="宋体" w:cs="黑体"/>
                <w:color w:val="000000"/>
              </w:rPr>
              <w:t xml:space="preserve">指标要求</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w:t>
            </w:r>
            <w:r/>
          </w:p>
        </w:tc>
        <w:tc>
          <w:tcPr>
            <w:tcW w:w="1395"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*CPU 规格</w:t>
            </w:r>
            <w:r>
              <w:rPr>
                <w:rFonts w:ascii="宋体" w:hAnsi="宋体"/>
                <w:color w:val="000000"/>
              </w:rPr>
            </w:r>
            <w:r/>
          </w:p>
        </w:tc>
        <w:tc>
          <w:tcPr>
            <w:tcW w:w="1134" w:type="dxa"/>
            <w:vAlign w:val="center"/>
            <w:textDirection w:val="lrTb"/>
            <w:noWrap w:val="false"/>
          </w:tcPr>
          <w:p>
            <w:pPr>
              <w:pStyle w:val="734"/>
              <w:ind w:left="1"/>
              <w:spacing w:line="220" w:lineRule="exact"/>
              <w:rPr>
                <w:rFonts w:ascii="宋体" w:hAnsi="宋体"/>
                <w:color w:val="000000"/>
              </w:rPr>
            </w:pPr>
            <w:r>
              <w:rPr>
                <w:rFonts w:ascii="宋体" w:hAnsi="宋体" w:cs="黑体"/>
                <w:color w:val="000000"/>
              </w:rPr>
              <w:t xml:space="preserve">*CPU信息</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firstLine="360"/>
              <w:spacing w:line="220" w:lineRule="exact"/>
              <w:rPr>
                <w:rFonts w:ascii="宋体" w:hAnsi="宋体"/>
                <w:color w:val="000000"/>
              </w:rPr>
            </w:pPr>
            <w:r>
              <w:rPr>
                <w:rFonts w:hint="eastAsia" w:ascii="宋体" w:hAnsi="宋体" w:cs="黑体"/>
                <w:color w:val="000000"/>
              </w:rPr>
              <w:t xml:space="preserve">配置2颗鲲鹏920处理器，主频≥2.6GHz（基准频率，非动态加速频率）；核数≥32个物理核/颗，非超线程数量；内存通道为4通道，最高速率2933</w:t>
            </w:r>
            <w:r>
              <w:rPr>
                <w:rFonts w:ascii="宋体" w:hAnsi="宋体" w:cs="黑体"/>
                <w:color w:val="000000"/>
              </w:rPr>
              <w:t xml:space="preserve">MH</w:t>
            </w:r>
            <w:r>
              <w:rPr>
                <w:rFonts w:hint="eastAsia" w:ascii="宋体" w:hAnsi="宋体" w:cs="黑体"/>
                <w:color w:val="000000"/>
              </w:rPr>
              <w:t xml:space="preserve">z，位宽64位，功耗1</w:t>
            </w:r>
            <w:r>
              <w:rPr>
                <w:rFonts w:ascii="宋体" w:hAnsi="宋体" w:cs="黑体"/>
                <w:color w:val="000000"/>
              </w:rPr>
              <w:t xml:space="preserve">15</w:t>
            </w:r>
            <w:r>
              <w:rPr>
                <w:rFonts w:hint="eastAsia" w:ascii="宋体" w:hAnsi="宋体" w:cs="黑体"/>
                <w:color w:val="000000"/>
              </w:rPr>
              <w:t xml:space="preserve">w</w:t>
            </w:r>
            <w:r>
              <w:rPr>
                <w:rFonts w:ascii="宋体" w:hAnsi="宋体"/>
                <w:color w:val="000000"/>
              </w:rPr>
            </w:r>
            <w:r/>
          </w:p>
        </w:tc>
      </w:tr>
      <w:tr>
        <w:trPr>
          <w:cantSplit/>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2</w:t>
            </w:r>
            <w:r/>
          </w:p>
        </w:tc>
        <w:tc>
          <w:tcPr>
            <w:tcW w:w="1395"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vMerge w:val="restart"/>
            <w:textDirection w:val="lrTb"/>
            <w:noWrap w:val="false"/>
          </w:tcPr>
          <w:p>
            <w:pPr>
              <w:pStyle w:val="734"/>
              <w:spacing w:line="220" w:lineRule="exact"/>
              <w:rPr>
                <w:rFonts w:ascii="宋体" w:hAnsi="宋体"/>
                <w:color w:val="000000"/>
              </w:rPr>
            </w:pPr>
            <w:r>
              <w:rPr>
                <w:rFonts w:ascii="宋体" w:hAnsi="宋体" w:cs="黑体"/>
                <w:color w:val="000000"/>
              </w:rPr>
              <w:t xml:space="preserve">*主板规格</w:t>
            </w:r>
            <w:r>
              <w:rPr>
                <w:rFonts w:ascii="宋体" w:hAnsi="宋体"/>
                <w:color w:val="000000"/>
              </w:rPr>
            </w:r>
            <w:r/>
          </w:p>
        </w:tc>
        <w:tc>
          <w:tcPr>
            <w:tcW w:w="1134" w:type="dxa"/>
            <w:vAlign w:val="center"/>
            <w:textDirection w:val="lrTb"/>
            <w:noWrap w:val="false"/>
          </w:tcPr>
          <w:p>
            <w:pPr>
              <w:pStyle w:val="734"/>
              <w:ind w:left="1"/>
              <w:spacing w:line="220" w:lineRule="exact"/>
              <w:rPr>
                <w:rFonts w:ascii="宋体" w:hAnsi="宋体"/>
                <w:color w:val="000000"/>
              </w:rPr>
            </w:pPr>
            <w:r>
              <w:rPr>
                <w:rFonts w:ascii="宋体" w:hAnsi="宋体" w:cs="黑体"/>
                <w:color w:val="000000"/>
              </w:rPr>
              <w:t xml:space="preserve">*主板支持的CPU和内存情况</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firstLine="360"/>
              <w:spacing w:line="220" w:lineRule="exact"/>
              <w:rPr>
                <w:rFonts w:ascii="宋体" w:hAnsi="宋体" w:cs="黑体"/>
                <w:color w:val="000000"/>
              </w:rPr>
            </w:pPr>
            <w:r>
              <w:rPr>
                <w:rFonts w:hint="eastAsia" w:ascii="宋体" w:hAnsi="宋体" w:cs="黑体"/>
                <w:color w:val="000000"/>
              </w:rPr>
              <w:t xml:space="preserve">支持鲲鹏9</w:t>
            </w:r>
            <w:r>
              <w:rPr>
                <w:rFonts w:ascii="宋体" w:hAnsi="宋体" w:cs="黑体"/>
                <w:color w:val="000000"/>
              </w:rPr>
              <w:t xml:space="preserve">20</w:t>
            </w:r>
            <w:r>
              <w:rPr>
                <w:rFonts w:hint="eastAsia" w:ascii="宋体" w:hAnsi="宋体" w:cs="黑体"/>
                <w:color w:val="000000"/>
              </w:rPr>
              <w:t xml:space="preserve">系列C</w:t>
            </w:r>
            <w:r>
              <w:rPr>
                <w:rFonts w:ascii="宋体" w:hAnsi="宋体" w:cs="黑体"/>
                <w:color w:val="000000"/>
              </w:rPr>
              <w:t xml:space="preserve">PU</w:t>
            </w:r>
            <w:r>
              <w:rPr>
                <w:rFonts w:hint="eastAsia" w:ascii="宋体" w:hAnsi="宋体" w:cs="黑体"/>
                <w:color w:val="000000"/>
              </w:rPr>
              <w:t xml:space="preserve"> </w:t>
            </w:r>
            <w:r>
              <w:rPr>
                <w:rFonts w:ascii="宋体" w:hAnsi="宋体" w:cs="黑体"/>
                <w:color w:val="000000"/>
              </w:rPr>
              <w:t xml:space="preserve">2</w:t>
            </w:r>
            <w:r>
              <w:rPr>
                <w:rFonts w:hint="eastAsia" w:ascii="宋体" w:hAnsi="宋体" w:cs="黑体"/>
                <w:color w:val="000000"/>
              </w:rPr>
              <w:t xml:space="preserve">颗，支持D</w:t>
            </w:r>
            <w:r>
              <w:rPr>
                <w:rFonts w:ascii="宋体" w:hAnsi="宋体" w:cs="黑体"/>
                <w:color w:val="000000"/>
              </w:rPr>
              <w:t xml:space="preserve">DR4</w:t>
            </w:r>
            <w:r>
              <w:rPr>
                <w:rFonts w:hint="eastAsia" w:ascii="宋体" w:hAnsi="宋体" w:cs="黑体"/>
                <w:color w:val="000000"/>
              </w:rPr>
              <w:t xml:space="preserve"> </w:t>
            </w:r>
            <w:r>
              <w:rPr>
                <w:rFonts w:ascii="宋体" w:hAnsi="宋体" w:cs="黑体"/>
                <w:color w:val="000000"/>
              </w:rPr>
              <w:t xml:space="preserve">2933MH</w:t>
            </w:r>
            <w:r>
              <w:rPr>
                <w:rFonts w:hint="eastAsia" w:ascii="宋体" w:hAnsi="宋体" w:cs="黑体"/>
                <w:color w:val="000000"/>
              </w:rPr>
              <w:t xml:space="preserve">z频率内存 </w:t>
            </w:r>
            <w:r>
              <w:rPr>
                <w:rFonts w:ascii="宋体" w:hAnsi="宋体" w:cs="黑体"/>
                <w:color w:val="000000"/>
              </w:rPr>
              <w:t xml:space="preserve">16</w:t>
            </w:r>
            <w:r>
              <w:rPr>
                <w:rFonts w:hint="eastAsia" w:ascii="宋体" w:hAnsi="宋体" w:cs="黑体"/>
                <w:color w:val="000000"/>
              </w:rPr>
              <w:t xml:space="preserve">根</w:t>
            </w:r>
            <w:r>
              <w:rPr>
                <w:rFonts w:ascii="宋体" w:hAnsi="宋体" w:cs="黑体"/>
                <w:color w:val="000000"/>
              </w:rPr>
            </w:r>
            <w:r/>
          </w:p>
        </w:tc>
      </w:tr>
      <w:tr>
        <w:trPr>
          <w:cantSplit/>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3</w:t>
            </w:r>
            <w:r/>
          </w:p>
        </w:tc>
        <w:tc>
          <w:tcPr>
            <w:tcW w:w="1395"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vMerge w:val="continue"/>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ind w:left="1"/>
              <w:spacing w:line="220" w:lineRule="exact"/>
              <w:rPr>
                <w:rFonts w:ascii="宋体" w:hAnsi="宋体"/>
                <w:color w:val="000000"/>
              </w:rPr>
            </w:pPr>
            <w:r>
              <w:rPr>
                <w:rFonts w:ascii="宋体" w:hAnsi="宋体" w:cs="黑体"/>
                <w:color w:val="000000"/>
              </w:rPr>
              <w:t xml:space="preserve">*主板内存槽数量</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非板载内存的可扩展插槽</w:t>
            </w:r>
            <w:r>
              <w:rPr>
                <w:rFonts w:hint="eastAsia" w:ascii="宋体" w:hAnsi="宋体" w:cs="黑体"/>
                <w:color w:val="000000"/>
              </w:rPr>
              <w:t xml:space="preserve">数量≥1</w:t>
            </w:r>
            <w:r>
              <w:rPr>
                <w:rFonts w:ascii="宋体" w:hAnsi="宋体" w:cs="黑体"/>
                <w:color w:val="000000"/>
              </w:rPr>
              <w:t xml:space="preserve">6个</w:t>
            </w:r>
            <w:r>
              <w:rPr>
                <w:rFonts w:ascii="宋体" w:hAnsi="宋体"/>
                <w:color w:val="000000"/>
              </w:rPr>
            </w:r>
            <w:r/>
          </w:p>
        </w:tc>
      </w:tr>
      <w:tr>
        <w:trPr>
          <w:cantSplit/>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4</w:t>
            </w:r>
            <w:r/>
          </w:p>
        </w:tc>
        <w:tc>
          <w:tcPr>
            <w:tcW w:w="1395"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vMerge w:val="continue"/>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ind w:left="1"/>
              <w:spacing w:line="220" w:lineRule="exact"/>
              <w:rPr>
                <w:rFonts w:ascii="宋体" w:hAnsi="宋体"/>
                <w:color w:val="000000"/>
              </w:rPr>
            </w:pPr>
            <w:r>
              <w:rPr>
                <w:rFonts w:ascii="宋体" w:hAnsi="宋体" w:cs="黑体"/>
                <w:color w:val="000000"/>
              </w:rPr>
              <w:t xml:space="preserve">*主板存储接口</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支持SATA、SAS等存储接口</w:t>
            </w:r>
            <w:r>
              <w:rPr>
                <w:rFonts w:ascii="宋体" w:hAnsi="宋体"/>
                <w:color w:val="000000"/>
              </w:rPr>
            </w:r>
            <w:r/>
          </w:p>
        </w:tc>
      </w:tr>
      <w:tr>
        <w:trPr>
          <w:cantSplit/>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5</w:t>
            </w:r>
            <w:r/>
          </w:p>
        </w:tc>
        <w:tc>
          <w:tcPr>
            <w:tcW w:w="1395"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vMerge w:val="continue"/>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ind w:left="1"/>
              <w:spacing w:line="220" w:lineRule="exact"/>
              <w:rPr>
                <w:rFonts w:ascii="宋体" w:hAnsi="宋体"/>
                <w:color w:val="000000"/>
              </w:rPr>
            </w:pPr>
            <w:r>
              <w:rPr>
                <w:rFonts w:ascii="宋体" w:hAnsi="宋体" w:cs="黑体"/>
                <w:color w:val="000000"/>
              </w:rPr>
              <w:t xml:space="preserve">*PCIe插槽</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接口</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符合PCIe3.0或以上的高速串行计算机扩展总线标准，PCIe的接口速率与位宽向下兼容</w:t>
            </w:r>
            <w:r>
              <w:rPr>
                <w:rFonts w:ascii="宋体" w:hAnsi="宋体"/>
                <w:color w:val="000000"/>
              </w:rPr>
            </w:r>
            <w:r/>
          </w:p>
        </w:tc>
      </w:tr>
      <w:tr>
        <w:trPr>
          <w:cantSplit/>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6</w:t>
            </w:r>
            <w:r/>
          </w:p>
        </w:tc>
        <w:tc>
          <w:tcPr>
            <w:tcW w:w="1395"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vMerge w:val="continue"/>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ind w:left="1"/>
              <w:spacing w:line="220" w:lineRule="exact"/>
              <w:rPr>
                <w:rFonts w:ascii="宋体" w:hAnsi="宋体"/>
                <w:color w:val="000000"/>
              </w:rPr>
            </w:pPr>
            <w:r>
              <w:rPr>
                <w:rFonts w:ascii="宋体" w:hAnsi="宋体" w:cs="黑体"/>
                <w:color w:val="000000"/>
              </w:rPr>
              <w:t xml:space="preserve">*主板PCIe 插槽数量及规格</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服务器PCIe插槽或接口</w:t>
            </w:r>
            <w:r>
              <w:rPr>
                <w:rFonts w:hint="eastAsia" w:ascii="宋体" w:hAnsi="宋体" w:cs="黑体"/>
                <w:color w:val="000000"/>
              </w:rPr>
              <w:t xml:space="preserve">数量≥</w:t>
            </w:r>
            <w:r>
              <w:rPr>
                <w:rFonts w:ascii="宋体" w:hAnsi="宋体" w:cs="黑体"/>
                <w:color w:val="000000"/>
              </w:rPr>
              <w:t xml:space="preserve">5个</w:t>
            </w:r>
            <w:r>
              <w:rPr>
                <w:rFonts w:ascii="宋体" w:hAnsi="宋体"/>
                <w:color w:val="000000"/>
              </w:rPr>
            </w:r>
            <w:r/>
          </w:p>
        </w:tc>
      </w:tr>
      <w:tr>
        <w:trPr>
          <w:cantSplit/>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7</w:t>
            </w:r>
            <w:r/>
          </w:p>
        </w:tc>
        <w:tc>
          <w:tcPr>
            <w:tcW w:w="1395" w:type="dxa"/>
            <w:vAlign w:val="center"/>
            <w:textDirection w:val="lrTb"/>
            <w:noWrap w:val="false"/>
          </w:tcPr>
          <w:p>
            <w:pPr>
              <w:pStyle w:val="734"/>
              <w:ind w:left="49"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vMerge w:val="continue"/>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ind w:left="1"/>
              <w:spacing w:line="220" w:lineRule="exact"/>
              <w:rPr>
                <w:rFonts w:ascii="宋体" w:hAnsi="宋体"/>
                <w:color w:val="000000"/>
              </w:rPr>
            </w:pPr>
            <w:r>
              <w:rPr>
                <w:rFonts w:ascii="宋体" w:hAnsi="宋体" w:cs="黑体"/>
                <w:color w:val="000000"/>
              </w:rPr>
              <w:t xml:space="preserve">特殊孔位及接口</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a)服务器机箱内主板可根据用户实际使用需求支持安装多功能导入装置板卡，机箱内预留多功能导入装置板卡安装位置，容量不小于</w:t>
            </w:r>
            <w:r>
              <w:rPr>
                <w:rFonts w:ascii="宋体" w:hAnsi="宋体"/>
                <w:color w:val="000000"/>
              </w:rPr>
            </w:r>
            <w:r/>
          </w:p>
          <w:p>
            <w:pPr>
              <w:pStyle w:val="734"/>
              <w:ind w:firstLine="360"/>
              <w:spacing w:line="220" w:lineRule="exact"/>
              <w:rPr>
                <w:rFonts w:ascii="宋体" w:hAnsi="宋体"/>
                <w:color w:val="000000"/>
              </w:rPr>
            </w:pPr>
            <w:r>
              <w:rPr>
                <w:rFonts w:ascii="宋体" w:hAnsi="宋体" w:cs="黑体"/>
                <w:color w:val="000000"/>
              </w:rPr>
              <w:t xml:space="preserve">55mm×45mm×15mm（长×宽×高，单位毫米）；</w:t>
            </w:r>
            <w:r>
              <w:rPr>
                <w:rFonts w:ascii="宋体" w:hAnsi="宋体"/>
                <w:color w:val="000000"/>
              </w:rPr>
            </w:r>
            <w:r/>
          </w:p>
          <w:p>
            <w:pPr>
              <w:pStyle w:val="734"/>
              <w:ind w:firstLine="360"/>
              <w:spacing w:line="220" w:lineRule="exact"/>
              <w:rPr>
                <w:rFonts w:ascii="宋体" w:hAnsi="宋体"/>
                <w:color w:val="000000"/>
              </w:rPr>
            </w:pPr>
            <w:r>
              <w:rPr>
                <w:rFonts w:ascii="宋体" w:hAnsi="宋体" w:cs="黑体"/>
                <w:color w:val="000000"/>
              </w:rPr>
              <w:t xml:space="preserve">b)服务器主板可根据用户实际使用需求预留满足USB3.0数据传输规范的接口，工作电压5V</w:t>
            </w:r>
            <w:r>
              <w:rPr>
                <w:rFonts w:ascii="宋体" w:hAnsi="宋体"/>
                <w:color w:val="000000"/>
              </w:rPr>
            </w:r>
            <w:r/>
          </w:p>
        </w:tc>
      </w:tr>
      <w:tr>
        <w:trPr>
          <w:cantSplit/>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8</w:t>
            </w:r>
            <w:r/>
          </w:p>
        </w:tc>
        <w:tc>
          <w:tcPr>
            <w:tcW w:w="1395" w:type="dxa"/>
            <w:vAlign w:val="center"/>
            <w:textDirection w:val="lrTb"/>
            <w:noWrap w:val="false"/>
          </w:tcPr>
          <w:p>
            <w:pPr>
              <w:pStyle w:val="734"/>
              <w:ind w:left="49"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vMerge w:val="continue"/>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ind w:left="1"/>
              <w:spacing w:line="220" w:lineRule="exact"/>
              <w:rPr>
                <w:rFonts w:ascii="宋体" w:hAnsi="宋体"/>
                <w:color w:val="000000"/>
              </w:rPr>
            </w:pPr>
            <w:r>
              <w:rPr>
                <w:rFonts w:ascii="宋体" w:hAnsi="宋体" w:cs="黑体"/>
                <w:color w:val="000000"/>
              </w:rPr>
              <w:t xml:space="preserve">板载网络接口</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板载网络接口</w:t>
            </w:r>
            <w:r>
              <w:rPr>
                <w:rFonts w:hint="eastAsia" w:ascii="宋体" w:hAnsi="宋体" w:cs="黑体"/>
                <w:color w:val="000000"/>
              </w:rPr>
              <w:t xml:space="preserve">≥</w:t>
            </w:r>
            <w:r>
              <w:rPr>
                <w:rFonts w:ascii="宋体" w:hAnsi="宋体" w:cs="黑体"/>
                <w:color w:val="000000"/>
              </w:rPr>
              <w:t xml:space="preserve">1个1GE网口</w:t>
            </w:r>
            <w:r>
              <w:rPr>
                <w:rFonts w:ascii="宋体" w:hAnsi="宋体"/>
                <w:color w:val="000000"/>
              </w:rPr>
            </w:r>
            <w:r/>
          </w:p>
        </w:tc>
      </w:tr>
      <w:tr>
        <w:trPr>
          <w:cantSplit/>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9</w:t>
            </w:r>
            <w:r/>
          </w:p>
        </w:tc>
        <w:tc>
          <w:tcPr>
            <w:tcW w:w="1395" w:type="dxa"/>
            <w:vAlign w:val="center"/>
            <w:textDirection w:val="lrTb"/>
            <w:noWrap w:val="false"/>
          </w:tcPr>
          <w:p>
            <w:pPr>
              <w:pStyle w:val="734"/>
              <w:ind w:left="49"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vMerge w:val="continue"/>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ind w:left="1"/>
              <w:spacing w:line="220" w:lineRule="exact"/>
              <w:rPr>
                <w:rFonts w:ascii="宋体" w:hAnsi="宋体"/>
                <w:color w:val="000000"/>
              </w:rPr>
            </w:pPr>
            <w:r>
              <w:rPr>
                <w:rFonts w:ascii="宋体" w:hAnsi="宋体" w:cs="黑体"/>
                <w:color w:val="000000"/>
              </w:rPr>
              <w:t xml:space="preserve">主板OCP插槽数量</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支持OCP2.0及以上插槽的数量</w:t>
            </w:r>
            <w:r>
              <w:rPr>
                <w:rFonts w:hint="eastAsia" w:ascii="宋体" w:hAnsi="宋体" w:cs="黑体"/>
                <w:color w:val="000000"/>
              </w:rPr>
              <w:t xml:space="preserve">≥</w:t>
            </w:r>
            <w:r>
              <w:rPr>
                <w:rFonts w:ascii="宋体" w:hAnsi="宋体" w:cs="黑体"/>
                <w:color w:val="000000"/>
              </w:rPr>
              <w:t xml:space="preserve">1个</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10</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*内存规格</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*内存数量</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8</w:t>
            </w:r>
            <w:r>
              <w:rPr>
                <w:rFonts w:hint="eastAsia" w:ascii="宋体" w:hAnsi="宋体" w:cs="黑体"/>
                <w:color w:val="000000"/>
              </w:rPr>
              <w:t xml:space="preserve">根</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11</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*内存规格</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DDR4 32GB</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12</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*内存通道</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支持多个内存接口通道，每个通道可支持2DPC，印制电路板上应具备插槽的序号标识，具体通道数应在随机文件中明确</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13</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*存储规格</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硬盘类型</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hint="eastAsia" w:ascii="宋体" w:hAnsi="宋体"/>
                <w:color w:val="000000"/>
              </w:rPr>
              <w:t xml:space="preserve">支持S</w:t>
            </w:r>
            <w:r>
              <w:rPr>
                <w:rFonts w:ascii="宋体" w:hAnsi="宋体"/>
                <w:color w:val="000000"/>
              </w:rPr>
              <w:t xml:space="preserve">ATA</w:t>
            </w:r>
            <w:r>
              <w:rPr>
                <w:rFonts w:hint="eastAsia" w:ascii="宋体" w:hAnsi="宋体"/>
                <w:color w:val="000000"/>
              </w:rPr>
              <w:t xml:space="preserve">、S</w:t>
            </w:r>
            <w:r>
              <w:rPr>
                <w:rFonts w:ascii="宋体" w:hAnsi="宋体"/>
                <w:color w:val="000000"/>
              </w:rPr>
              <w:t xml:space="preserve">AS</w:t>
            </w:r>
            <w:r>
              <w:rPr>
                <w:rFonts w:hint="eastAsia" w:ascii="宋体" w:hAnsi="宋体"/>
                <w:color w:val="000000"/>
              </w:rPr>
              <w:t xml:space="preserve">、S</w:t>
            </w:r>
            <w:r>
              <w:rPr>
                <w:rFonts w:ascii="宋体" w:hAnsi="宋体"/>
                <w:color w:val="000000"/>
              </w:rPr>
              <w:t xml:space="preserve">SD</w:t>
            </w:r>
            <w:r>
              <w:rPr>
                <w:rFonts w:hint="eastAsia" w:ascii="宋体" w:hAnsi="宋体"/>
                <w:color w:val="000000"/>
              </w:rPr>
              <w:t xml:space="preserve">硬盘</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14</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*硬磁盘实配容量</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hint="eastAsia" w:ascii="宋体" w:hAnsi="宋体"/>
                <w:color w:val="000000"/>
              </w:rPr>
              <w:t xml:space="preserve">配置6</w:t>
            </w:r>
            <w:r>
              <w:rPr>
                <w:rFonts w:ascii="宋体" w:hAnsi="宋体"/>
                <w:color w:val="000000"/>
              </w:rPr>
              <w:t xml:space="preserve">00GB</w:t>
            </w:r>
            <w:r>
              <w:rPr>
                <w:rFonts w:hint="eastAsia" w:ascii="宋体" w:hAnsi="宋体"/>
                <w:color w:val="000000"/>
              </w:rPr>
              <w:t xml:space="preserve">、4</w:t>
            </w:r>
            <w:r>
              <w:rPr>
                <w:rFonts w:ascii="宋体" w:hAnsi="宋体"/>
                <w:color w:val="000000"/>
              </w:rPr>
              <w:t xml:space="preserve">TB</w:t>
            </w:r>
            <w:r>
              <w:rPr>
                <w:rFonts w:hint="eastAsia" w:ascii="宋体" w:hAnsi="宋体"/>
                <w:color w:val="000000"/>
              </w:rPr>
              <w:t xml:space="preserve">容量硬盘</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15</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硬盘接口类型</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配备硬磁盘，应提供SAS 3.0接口</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16</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*硬盘实配数量</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实配</w:t>
            </w:r>
            <w:r>
              <w:rPr>
                <w:rFonts w:hint="eastAsia" w:ascii="宋体" w:hAnsi="宋体" w:cs="黑体"/>
                <w:color w:val="000000"/>
              </w:rPr>
              <w:t xml:space="preserve">6</w:t>
            </w:r>
            <w:r>
              <w:rPr>
                <w:rFonts w:ascii="宋体" w:hAnsi="宋体" w:cs="黑体"/>
                <w:color w:val="000000"/>
              </w:rPr>
              <w:t xml:space="preserve">00GB硬磁盘数量</w:t>
            </w:r>
            <w:r>
              <w:rPr>
                <w:rFonts w:hint="eastAsia" w:ascii="宋体" w:hAnsi="宋体" w:cs="黑体"/>
                <w:color w:val="000000"/>
              </w:rPr>
              <w:t xml:space="preserve">2</w:t>
            </w:r>
            <w:r>
              <w:rPr>
                <w:rFonts w:ascii="宋体" w:hAnsi="宋体" w:cs="黑体"/>
                <w:color w:val="000000"/>
              </w:rPr>
              <w:t xml:space="preserve">块</w:t>
            </w:r>
            <w:r>
              <w:rPr>
                <w:rFonts w:hint="eastAsia" w:ascii="宋体" w:hAnsi="宋体"/>
                <w:color w:val="000000"/>
              </w:rPr>
              <w:t xml:space="preserve">，4</w:t>
            </w:r>
            <w:r>
              <w:rPr>
                <w:rFonts w:ascii="宋体" w:hAnsi="宋体"/>
                <w:color w:val="000000"/>
              </w:rPr>
              <w:t xml:space="preserve">TB</w:t>
            </w:r>
            <w:r>
              <w:rPr>
                <w:rFonts w:hint="eastAsia" w:ascii="宋体" w:hAnsi="宋体"/>
                <w:color w:val="000000"/>
              </w:rPr>
              <w:t xml:space="preserve">硬盘数量1</w:t>
            </w:r>
            <w:r>
              <w:rPr>
                <w:rFonts w:ascii="宋体" w:hAnsi="宋体"/>
                <w:color w:val="000000"/>
              </w:rPr>
              <w:t xml:space="preserve">2</w:t>
            </w:r>
            <w:r>
              <w:rPr>
                <w:rFonts w:hint="eastAsia" w:ascii="宋体" w:hAnsi="宋体"/>
                <w:color w:val="000000"/>
              </w:rPr>
              <w:t xml:space="preserve">块</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17</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*硬盘插槽数量及规格</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widowControl/>
              <w:rPr>
                <w:rFonts w:ascii="宋体" w:hAnsi="宋体"/>
                <w:color w:val="000000"/>
              </w:rPr>
            </w:pPr>
            <w:r>
              <w:rPr>
                <w:rFonts w:ascii="宋体" w:hAnsi="宋体" w:cs="黑体"/>
                <w:color w:val="000000"/>
              </w:rPr>
              <w:t xml:space="preserve">配置的硬盘尺寸</w:t>
            </w:r>
            <w:r>
              <w:rPr>
                <w:rFonts w:hint="eastAsia" w:ascii="宋体" w:hAnsi="宋体" w:cs="黑体"/>
                <w:color w:val="000000"/>
              </w:rPr>
              <w:t xml:space="preserve">为</w:t>
            </w:r>
            <w:r>
              <w:rPr>
                <w:rFonts w:ascii="宋体" w:hAnsi="宋体" w:cs="黑体"/>
                <w:color w:val="000000"/>
              </w:rPr>
              <w:t xml:space="preserve">2.5英寸</w:t>
            </w:r>
            <w:r>
              <w:rPr>
                <w:rFonts w:hint="eastAsia" w:ascii="宋体" w:hAnsi="宋体" w:cs="黑体"/>
                <w:color w:val="000000"/>
              </w:rPr>
              <w:t xml:space="preserve">或3</w:t>
            </w:r>
            <w:r>
              <w:rPr>
                <w:rFonts w:ascii="宋体" w:hAnsi="宋体" w:cs="黑体"/>
                <w:color w:val="000000"/>
              </w:rPr>
              <w:t xml:space="preserve">.5</w:t>
            </w:r>
            <w:r>
              <w:rPr>
                <w:rFonts w:hint="eastAsia" w:ascii="宋体" w:hAnsi="宋体" w:cs="黑体"/>
                <w:color w:val="000000"/>
              </w:rPr>
              <w:t xml:space="preserve">英寸</w:t>
            </w:r>
            <w:r>
              <w:rPr>
                <w:rFonts w:ascii="宋体" w:hAnsi="宋体" w:cs="黑体"/>
                <w:color w:val="000000"/>
              </w:rPr>
              <w:t xml:space="preserve">硬磁盘；</w:t>
            </w:r>
            <w:r>
              <w:rPr>
                <w:rFonts w:ascii="宋体" w:hAnsi="宋体"/>
                <w:color w:val="000000"/>
              </w:rPr>
            </w:r>
            <w:r/>
          </w:p>
          <w:p>
            <w:pPr>
              <w:pStyle w:val="734"/>
              <w:ind w:left="1" w:firstLine="360"/>
              <w:spacing w:line="220" w:lineRule="exact"/>
              <w:widowControl/>
              <w:rPr>
                <w:rFonts w:ascii="宋体" w:hAnsi="宋体"/>
                <w:color w:val="000000"/>
              </w:rPr>
            </w:pPr>
            <w:r>
              <w:rPr>
                <w:rFonts w:ascii="宋体" w:hAnsi="宋体" w:cs="黑体"/>
                <w:color w:val="000000"/>
              </w:rPr>
              <w:t xml:space="preserve">服务器可支持的硬盘数量应不少于</w:t>
            </w:r>
            <w:r>
              <w:rPr>
                <w:rFonts w:hint="eastAsia" w:ascii="宋体" w:hAnsi="宋体" w:cs="黑体"/>
                <w:color w:val="000000"/>
              </w:rPr>
              <w:t xml:space="preserve">1</w:t>
            </w:r>
            <w:r>
              <w:rPr>
                <w:rFonts w:ascii="宋体" w:hAnsi="宋体" w:cs="黑体"/>
                <w:color w:val="000000"/>
              </w:rPr>
              <w:t xml:space="preserve">2块。</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18</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硬盘其他参数要求</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机械硬盘准备时间应</w:t>
            </w:r>
            <w:r>
              <w:rPr>
                <w:rFonts w:hint="eastAsia" w:ascii="宋体" w:hAnsi="宋体" w:cs="黑体"/>
                <w:color w:val="000000"/>
              </w:rPr>
              <w:t xml:space="preserve">小于</w:t>
            </w:r>
            <w:r>
              <w:rPr>
                <w:rFonts w:ascii="宋体" w:hAnsi="宋体" w:cs="黑体"/>
                <w:color w:val="000000"/>
              </w:rPr>
              <w:t xml:space="preserve">30s；侧面固定螺丝孔数量可为4孔或6 孔；工作状态环境温度应满足5℃~55℃，其它参数符合GB/T12628 的相关规定；</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19</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RAID 卡规格（若支持 RAID 卡）</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RAID卡支持的SAS接口数</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≥8</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20</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ind w:left="1"/>
              <w:spacing w:line="220" w:lineRule="exact"/>
              <w:rPr>
                <w:rFonts w:ascii="宋体" w:hAnsi="宋体"/>
                <w:color w:val="000000"/>
              </w:rPr>
            </w:pPr>
            <w:r>
              <w:rPr>
                <w:rFonts w:ascii="宋体" w:hAnsi="宋体" w:cs="黑体"/>
                <w:color w:val="000000"/>
              </w:rPr>
              <w:t xml:space="preserve">SAS直通卡规格 (若支持SAS 直通卡)</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SAS直通卡SAS接口数量</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≥0</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21</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HBA卡规格 (若支持HBA 直通卡)</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HBA卡端口数量</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≥0</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22</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*网络规格</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*网口速率和数量</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s="黑体"/>
                <w:color w:val="000000"/>
              </w:rPr>
            </w:pPr>
            <w:r>
              <w:rPr>
                <w:rFonts w:hint="eastAsia" w:ascii="宋体" w:hAnsi="宋体" w:cs="黑体"/>
                <w:color w:val="000000"/>
              </w:rPr>
              <w:t xml:space="preserve">提供</w:t>
            </w:r>
            <w:r>
              <w:rPr>
                <w:rFonts w:ascii="宋体" w:hAnsi="宋体" w:cs="黑体"/>
                <w:color w:val="000000"/>
              </w:rPr>
              <w:t xml:space="preserve">2</w:t>
            </w:r>
            <w:r>
              <w:rPr>
                <w:rFonts w:hint="eastAsia" w:ascii="宋体" w:hAnsi="宋体" w:cs="黑体"/>
                <w:color w:val="000000"/>
              </w:rPr>
              <w:t xml:space="preserve">个万兆光口和4个千兆电口，配置</w:t>
            </w:r>
            <w:r>
              <w:rPr>
                <w:rFonts w:ascii="宋体" w:hAnsi="宋体" w:cs="黑体"/>
                <w:color w:val="000000"/>
              </w:rPr>
              <w:t xml:space="preserve">2</w:t>
            </w:r>
            <w:r>
              <w:rPr>
                <w:rFonts w:hint="eastAsia" w:ascii="宋体" w:hAnsi="宋体" w:cs="黑体"/>
                <w:color w:val="000000"/>
              </w:rPr>
              <w:t xml:space="preserve">*光模块10G多模模块，</w:t>
            </w:r>
            <w:r>
              <w:rPr>
                <w:rFonts w:ascii="宋体" w:hAnsi="宋体" w:cs="黑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23</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存储型服务器网口速率和数量</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24</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独立网卡网口数量</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独立网卡网口数量≥1</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25</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独立网卡接口类型</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支持RJ45/SFP等</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26</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板载网卡接口类型</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支持RJ45</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27</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ind w:left="4"/>
              <w:spacing w:line="220" w:lineRule="exact"/>
              <w:rPr>
                <w:rFonts w:ascii="宋体" w:hAnsi="宋体"/>
                <w:color w:val="000000"/>
              </w:rPr>
            </w:pPr>
            <w:r>
              <w:rPr>
                <w:rFonts w:ascii="宋体" w:hAnsi="宋体" w:cs="黑体"/>
                <w:color w:val="000000"/>
              </w:rPr>
              <w:t xml:space="preserve">*外部接口规格</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*显示接口</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显示接口类型</w:t>
            </w:r>
            <w:r>
              <w:rPr>
                <w:rFonts w:hint="eastAsia" w:ascii="宋体" w:hAnsi="宋体" w:cs="黑体"/>
                <w:color w:val="000000"/>
              </w:rPr>
              <w:t xml:space="preserve">为</w:t>
            </w:r>
            <w:r>
              <w:rPr>
                <w:rFonts w:ascii="宋体" w:hAnsi="宋体" w:cs="黑体"/>
                <w:color w:val="000000"/>
              </w:rPr>
              <w:t xml:space="preserve">VGA</w:t>
            </w:r>
            <w:r>
              <w:rPr>
                <w:rFonts w:ascii="宋体" w:hAnsi="宋体"/>
                <w:color w:val="000000"/>
              </w:rPr>
              <w:t xml:space="preserve"> </w:t>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28</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*USB接口</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配备USB接口USB3.0</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29</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特殊接口及孔位</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前面板预留1个专用USB母座接口孔位</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30</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其他接口</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s="黑体"/>
                <w:color w:val="000000"/>
              </w:rPr>
            </w:pPr>
            <w:r>
              <w:rPr>
                <w:rFonts w:ascii="宋体" w:hAnsi="宋体" w:cs="黑体"/>
                <w:color w:val="000000"/>
              </w:rPr>
              <w:t xml:space="preserve">串口数量1个，并可实现GB/T 6107或GB/T 26803.2的相关功能； </w:t>
            </w:r>
            <w:r/>
          </w:p>
          <w:p>
            <w:pPr>
              <w:pStyle w:val="734"/>
              <w:ind w:left="1" w:firstLine="360"/>
              <w:spacing w:line="220" w:lineRule="exact"/>
              <w:rPr>
                <w:rFonts w:ascii="宋体" w:hAnsi="宋体"/>
                <w:color w:val="000000"/>
              </w:rPr>
            </w:pPr>
            <w:r>
              <w:rPr>
                <w:rFonts w:ascii="宋体" w:hAnsi="宋体" w:cs="黑体"/>
                <w:color w:val="000000"/>
              </w:rPr>
              <w:t xml:space="preserve">服务器主机前面板可根据用户实际使用需求预留1个专用USB母座接口孔位</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31</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*电源规格</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电源冗余模式</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整机电源模块按1+1冗余配置</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32</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*电源模块数量</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hint="eastAsia" w:ascii="宋体" w:hAnsi="宋体"/>
                <w:color w:val="000000"/>
              </w:rPr>
              <w:t xml:space="preserve">2个</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33</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*电源功率</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hint="eastAsia" w:ascii="宋体" w:hAnsi="宋体"/>
                <w:color w:val="000000"/>
              </w:rPr>
              <w:t xml:space="preserve">≥</w:t>
            </w:r>
            <w:r>
              <w:rPr>
                <w:rFonts w:ascii="宋体" w:hAnsi="宋体"/>
                <w:color w:val="000000"/>
              </w:rPr>
              <w:t xml:space="preserve">900W</w:t>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34</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ind w:right="19"/>
              <w:spacing w:line="220" w:lineRule="exact"/>
              <w:rPr>
                <w:rFonts w:ascii="宋体" w:hAnsi="宋体"/>
                <w:color w:val="000000"/>
              </w:rPr>
            </w:pPr>
            <w:r>
              <w:rPr>
                <w:rFonts w:ascii="宋体" w:hAnsi="宋体" w:cs="黑体"/>
                <w:color w:val="000000"/>
              </w:rPr>
              <w:t xml:space="preserve">电源指示灯</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配备电源指示灯，指示待机、工作异常等状态</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35</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*整机规格</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*外观和结构</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s="黑体"/>
                <w:color w:val="000000"/>
              </w:rPr>
            </w:pPr>
            <w:r>
              <w:rPr>
                <w:rFonts w:ascii="宋体" w:hAnsi="宋体" w:cs="黑体"/>
                <w:color w:val="000000"/>
              </w:rPr>
              <w:t xml:space="preserve">a)服务器的零部件应紧固无松动，可插拔部件应可靠连接，开关、按钮和其它控制部件应灵活可靠，布局应方便使用；</w:t>
            </w:r>
            <w:r/>
          </w:p>
          <w:p>
            <w:pPr>
              <w:pStyle w:val="734"/>
              <w:ind w:left="1" w:firstLine="360"/>
              <w:spacing w:line="220" w:lineRule="exact"/>
              <w:rPr>
                <w:rFonts w:ascii="宋体" w:hAnsi="宋体" w:cs="黑体"/>
                <w:color w:val="000000"/>
              </w:rPr>
            </w:pPr>
            <w:r>
              <w:rPr>
                <w:rFonts w:ascii="宋体" w:hAnsi="宋体" w:cs="黑体"/>
                <w:color w:val="000000"/>
              </w:rPr>
              <w:t xml:space="preserve">b) 产品表面不应有明显的凹痕、划伤、裂缝、变形和污染等。表面涂层均匀，不应起泡、龟裂、脱落和磨损，金属零部件无锈蚀及其它机械损伤； </w:t>
            </w:r>
            <w:r/>
          </w:p>
          <w:p>
            <w:pPr>
              <w:pStyle w:val="734"/>
              <w:ind w:left="1" w:firstLine="360"/>
              <w:spacing w:line="220" w:lineRule="exact"/>
              <w:rPr>
                <w:rFonts w:ascii="宋体" w:hAnsi="宋体"/>
                <w:color w:val="000000"/>
              </w:rPr>
            </w:pPr>
            <w:r>
              <w:rPr>
                <w:rFonts w:ascii="宋体" w:hAnsi="宋体" w:cs="黑体"/>
                <w:color w:val="000000"/>
              </w:rPr>
              <w:t xml:space="preserve">c) 服务器尺寸具体要求在随机文件中明确</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36</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*尺寸（高</w:t>
            </w:r>
            <w:r>
              <w:rPr>
                <w:rFonts w:ascii="宋体" w:hAnsi="宋体"/>
                <w:color w:val="000000"/>
              </w:rPr>
            </w:r>
            <w:r/>
          </w:p>
          <w:p>
            <w:pPr>
              <w:pStyle w:val="734"/>
              <w:ind w:firstLine="360"/>
              <w:spacing w:line="220" w:lineRule="exact"/>
              <w:rPr>
                <w:rFonts w:ascii="宋体" w:hAnsi="宋体"/>
                <w:color w:val="000000"/>
              </w:rPr>
            </w:pPr>
            <w:r>
              <w:rPr>
                <w:rFonts w:ascii="宋体" w:hAnsi="宋体" w:cs="黑体"/>
                <w:color w:val="000000"/>
              </w:rPr>
              <w:t xml:space="preserve">×宽×深）</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供应商给出产品尺寸；设计应遵循标准化、系列化的要求；机箱的内部结构符合通用部件的安装需要</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37</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ind w:right="19"/>
              <w:spacing w:line="220" w:lineRule="exact"/>
              <w:rPr>
                <w:rFonts w:ascii="宋体" w:hAnsi="宋体"/>
                <w:color w:val="000000"/>
              </w:rPr>
            </w:pPr>
            <w:r>
              <w:rPr>
                <w:rFonts w:ascii="宋体" w:hAnsi="宋体" w:cs="黑体"/>
                <w:color w:val="000000"/>
              </w:rPr>
              <w:t xml:space="preserve">服务器导轨</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供应商给出导轨尺寸、安装方式等信息</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38</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CPU个数与机柜高度单位(U) 比</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hint="eastAsia" w:ascii="宋体" w:hAnsi="宋体" w:cs="黑体"/>
                <w:color w:val="000000"/>
              </w:rPr>
              <w:t xml:space="preserve">1（C</w:t>
            </w:r>
            <w:r>
              <w:rPr>
                <w:rFonts w:ascii="宋体" w:hAnsi="宋体" w:cs="黑体"/>
                <w:color w:val="000000"/>
              </w:rPr>
              <w:t xml:space="preserve">PU</w:t>
            </w:r>
            <w:r>
              <w:rPr>
                <w:rFonts w:hint="eastAsia" w:ascii="宋体" w:hAnsi="宋体" w:cs="黑体"/>
                <w:color w:val="000000"/>
              </w:rPr>
              <w:t xml:space="preserve">）：1（U高度）</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39</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*环境适应性</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气候环境适应性应符合GB/T</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9813.3的有关规定，工作温度10～ 35℃，贮存运输温度-40～55℃；工作相对湿度35%～80%，贮存运输相对湿度20％～93%（40℃）；大气压</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86～106kPa</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40</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ind w:right="19"/>
              <w:spacing w:line="220" w:lineRule="exact"/>
              <w:rPr>
                <w:rFonts w:ascii="宋体" w:hAnsi="宋体"/>
                <w:color w:val="000000"/>
              </w:rPr>
            </w:pPr>
            <w:r>
              <w:rPr>
                <w:rFonts w:ascii="宋体" w:hAnsi="宋体" w:cs="黑体"/>
                <w:color w:val="000000"/>
              </w:rPr>
              <w:t xml:space="preserve">特殊机型环境适应性</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边缘应用服务器，工作环境温度宜为0～45℃，短期工作可承受环境温度宜为-5～55℃，液冷服务器贮存运输温度宜为-30～55℃</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41</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*机械环境适应性</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机械环境适应性应符合GB/T</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9813.3的有关规定</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42</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*噪声</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符合GB/T 9813.3的有关规定，在产品说明中给出具体测试值</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塔式服务器噪声在空闲状态下不大于50dB</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43</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ind w:right="80"/>
              <w:spacing w:line="220" w:lineRule="exact"/>
              <w:rPr>
                <w:rFonts w:ascii="宋体" w:hAnsi="宋体"/>
                <w:color w:val="000000"/>
              </w:rPr>
            </w:pPr>
            <w:r>
              <w:rPr>
                <w:rFonts w:ascii="宋体" w:hAnsi="宋体" w:cs="黑体"/>
                <w:color w:val="000000"/>
              </w:rPr>
              <w:t xml:space="preserve">AI计算单元规格</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AI计算单元</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若配备AI计算单元应符合如下要求：</w:t>
            </w:r>
            <w:r>
              <w:rPr>
                <w:rFonts w:ascii="宋体" w:hAnsi="宋体"/>
                <w:color w:val="000000"/>
              </w:rPr>
            </w:r>
            <w:r/>
          </w:p>
          <w:p>
            <w:pPr>
              <w:pStyle w:val="734"/>
              <w:numPr>
                <w:ilvl w:val="0"/>
                <w:numId w:val="37"/>
              </w:numPr>
              <w:jc w:val="left"/>
              <w:spacing w:line="220" w:lineRule="exact"/>
              <w:widowControl/>
              <w:rPr>
                <w:rFonts w:ascii="宋体" w:hAnsi="宋体"/>
                <w:color w:val="000000"/>
              </w:rPr>
            </w:pPr>
            <w:r>
              <w:rPr>
                <w:rFonts w:ascii="宋体" w:hAnsi="宋体" w:cs="黑体"/>
                <w:color w:val="000000"/>
              </w:rPr>
              <w:t xml:space="preserve">具备人工智能加速处理器，计算精度至少支持FP16、BF16、FP32、 FP64、INT8和INT16等中的1种；</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单推理卡或模块，具备视频解析、文本识别、语音分析等推理能力；在视觉场景下配备可直接调用的接口实现视觉计算加速，路数不小于64（1080P 30FPS）</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44</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ind w:right="19"/>
              <w:spacing w:line="220" w:lineRule="exact"/>
              <w:rPr>
                <w:rFonts w:ascii="宋体" w:hAnsi="宋体"/>
                <w:color w:val="000000"/>
              </w:rPr>
            </w:pPr>
            <w:r>
              <w:rPr>
                <w:rFonts w:ascii="宋体" w:hAnsi="宋体" w:cs="黑体"/>
                <w:color w:val="000000"/>
              </w:rPr>
              <w:t xml:space="preserve">一键式迁移</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若服务器配备AI计算单元，提供训练脚本迁移工具</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45</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机柜规格</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*机柜尺寸</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供应商给出长度、高度和深度</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46</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ind w:right="19"/>
              <w:spacing w:line="220" w:lineRule="exact"/>
              <w:rPr>
                <w:rFonts w:ascii="宋体" w:hAnsi="宋体"/>
                <w:color w:val="000000"/>
              </w:rPr>
            </w:pPr>
            <w:r>
              <w:rPr>
                <w:rFonts w:ascii="宋体" w:hAnsi="宋体" w:cs="黑体"/>
                <w:color w:val="000000"/>
              </w:rPr>
              <w:t xml:space="preserve">机柜管理板</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 //</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47</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机柜电源规格</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right="91" w:firstLine="360"/>
              <w:spacing w:line="220" w:lineRule="exact"/>
              <w:rPr>
                <w:rFonts w:ascii="宋体" w:hAnsi="宋体"/>
                <w:color w:val="000000"/>
              </w:rPr>
            </w:pPr>
            <w:r>
              <w:rPr>
                <w:rFonts w:ascii="宋体" w:hAnsi="宋体" w:cs="黑体"/>
                <w:color w:val="000000"/>
              </w:rPr>
              <w:t xml:space="preserve">a) 机柜电源支持集中供电，电源输入不少于2路且支持自动切换； b) 机柜电源模块支持N+1冗余配置，电源模块可独立更换</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48</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80" w:type="dxa"/>
            <w:vAlign w:val="center"/>
            <w:textDirection w:val="lrTb"/>
            <w:noWrap w:val="false"/>
          </w:tcPr>
          <w:p>
            <w:pPr>
              <w:pStyle w:val="734"/>
              <w:ind w:left="32"/>
              <w:spacing w:line="220" w:lineRule="exact"/>
              <w:rPr>
                <w:rFonts w:ascii="宋体" w:hAnsi="宋体"/>
                <w:color w:val="000000"/>
              </w:rPr>
            </w:pPr>
            <w:r>
              <w:rPr>
                <w:rFonts w:ascii="宋体" w:hAnsi="宋体" w:cs="黑体"/>
                <w:color w:val="000000"/>
              </w:rPr>
              <w:t xml:space="preserve">*主板功能</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*主板外部接口种类</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支持USB、显示、管理等接口，如：VGA、DP、HDMI、USB3.0、PS/2接口、</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BMC管理端口</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49</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主板防烧板设计</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支持主板防烧板设计，保证电源故障后不扩散</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50</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扩展功能</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实现至少一种扩展功能，如存储功能卡、显示功能卡、运算加速功能卡及网络功能卡等扩展功能</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51</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80"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*网络功能</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*网络功能</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支持网络连接、网络访问、数据交换和网络管控功能</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52</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80"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*CPU 功能</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*计算处理</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支持通用计算及虚拟化功能。处理器需集成整型计算单元、浮点计算单元、内存控制器、I/O模块等，处理器与存储部件、网络部件、I/O 部件等组成计算系统，提供数据处理、网络接入等计算相关功能</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53</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*密码算法实现</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CPU芯片应符合GM/T0008的相关规定，或芯片密码模块应符合GB/T</w:t>
            </w:r>
            <w:r>
              <w:rPr>
                <w:rFonts w:hint="eastAsia" w:ascii="宋体" w:hAnsi="宋体"/>
                <w:color w:val="000000"/>
              </w:rPr>
              <w:t xml:space="preserve"> </w:t>
            </w:r>
            <w:r>
              <w:rPr>
                <w:rFonts w:ascii="宋体" w:hAnsi="宋体" w:cs="黑体"/>
                <w:color w:val="000000"/>
              </w:rPr>
              <w:t xml:space="preserve">37092或GM/T 0028的相关规定</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54</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80"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存储功能</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内存校验</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支持内存校验或内存增强型纠错功能</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55</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SATA SSD NAND健康状态上报</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支持关键外部存储器（硬磁盘、SSD 等）的健康状态上报并进行故障诊断</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56</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SATA SSD 单die故障隔离</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支持SSD关键外部存储器中单存储晶元故障隔离</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57</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80" w:type="dxa"/>
            <w:vAlign w:val="center"/>
            <w:textDirection w:val="lrTb"/>
            <w:noWrap w:val="false"/>
          </w:tcPr>
          <w:p>
            <w:pPr>
              <w:pStyle w:val="734"/>
              <w:ind w:firstLine="360"/>
              <w:jc w:val="center"/>
              <w:spacing w:line="220" w:lineRule="exact"/>
              <w:rPr>
                <w:rFonts w:ascii="宋体" w:hAnsi="宋体"/>
                <w:color w:val="000000"/>
              </w:rPr>
            </w:pPr>
            <w:r>
              <w:rPr>
                <w:rFonts w:ascii="宋体" w:hAnsi="宋体" w:cs="黑体"/>
                <w:color w:val="000000"/>
              </w:rPr>
              <w:t xml:space="preserve">RAID 卡功能（若支持 RAID 卡）</w:t>
            </w:r>
            <w:r>
              <w:rPr>
                <w:rFonts w:ascii="宋体" w:hAnsi="宋体"/>
                <w:color w:val="000000"/>
              </w:rPr>
            </w:r>
            <w:r/>
          </w:p>
        </w:tc>
        <w:tc>
          <w:tcPr>
            <w:tcW w:w="1134"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RAID卡 RAID级别支持</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RAID模式支持RAID 0/1/10/5，存储型支持RAID 0/1/5/6/10/50/60</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58</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RAID卡BBU单元</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RAID卡支持电池或电容备份单元</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59</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80"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光驱功能</w:t>
            </w:r>
            <w:r>
              <w:rPr>
                <w:rFonts w:ascii="宋体" w:hAnsi="宋体"/>
                <w:color w:val="000000"/>
              </w:rPr>
            </w:r>
            <w:r/>
          </w:p>
        </w:tc>
        <w:tc>
          <w:tcPr>
            <w:tcW w:w="1134"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光驱类型（是否支持RW，以及光盘类型CD/DVD）</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hint="eastAsia" w:ascii="宋体" w:hAnsi="宋体"/>
                <w:color w:val="000000"/>
              </w:rPr>
              <w:t xml:space="preserve">不涉及</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60</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80" w:type="dxa"/>
            <w:vAlign w:val="center"/>
            <w:textDirection w:val="lrTb"/>
            <w:noWrap w:val="false"/>
          </w:tcPr>
          <w:p>
            <w:pPr>
              <w:pStyle w:val="734"/>
              <w:ind w:left="1"/>
              <w:spacing w:line="220" w:lineRule="exact"/>
              <w:rPr>
                <w:rFonts w:ascii="宋体" w:hAnsi="宋体"/>
                <w:color w:val="000000"/>
              </w:rPr>
            </w:pPr>
            <w:r>
              <w:rPr>
                <w:rFonts w:ascii="宋体" w:hAnsi="宋体" w:cs="黑体"/>
                <w:color w:val="000000"/>
              </w:rPr>
              <w:t xml:space="preserve">*电源功能</w:t>
            </w:r>
            <w:r>
              <w:rPr>
                <w:rFonts w:ascii="宋体" w:hAnsi="宋体"/>
                <w:color w:val="000000"/>
              </w:rPr>
            </w:r>
            <w:r/>
          </w:p>
        </w:tc>
        <w:tc>
          <w:tcPr>
            <w:tcW w:w="1134"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*电源热插拔</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整机电源模块应具备热插拔功能</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61</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*电源过流保护</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支持过流及短路保护的功能</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62</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80"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*整机功能</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*散热方式</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支持风冷散热方式</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63</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其他功能</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numPr>
                <w:ilvl w:val="0"/>
                <w:numId w:val="38"/>
              </w:numPr>
              <w:jc w:val="left"/>
              <w:spacing w:line="220" w:lineRule="exact"/>
              <w:widowControl/>
              <w:rPr>
                <w:rFonts w:ascii="宋体" w:hAnsi="宋体"/>
                <w:color w:val="000000"/>
              </w:rPr>
            </w:pPr>
            <w:r>
              <w:rPr>
                <w:rFonts w:ascii="宋体" w:hAnsi="宋体" w:cs="黑体"/>
                <w:color w:val="000000"/>
              </w:rPr>
              <w:t xml:space="preserve">支持关键部件冗余（包括电源、风扇等）；</w:t>
            </w:r>
            <w:r>
              <w:rPr>
                <w:rFonts w:ascii="宋体" w:hAnsi="宋体"/>
                <w:color w:val="000000"/>
              </w:rPr>
            </w:r>
            <w:r/>
          </w:p>
          <w:p>
            <w:pPr>
              <w:pStyle w:val="734"/>
              <w:numPr>
                <w:ilvl w:val="0"/>
                <w:numId w:val="38"/>
              </w:numPr>
              <w:jc w:val="left"/>
              <w:spacing w:line="220" w:lineRule="exact"/>
              <w:widowControl/>
              <w:rPr>
                <w:rFonts w:ascii="宋体" w:hAnsi="宋体"/>
                <w:color w:val="000000"/>
              </w:rPr>
            </w:pPr>
            <w:r>
              <w:rPr>
                <w:rFonts w:ascii="宋体" w:hAnsi="宋体" w:cs="黑体"/>
                <w:color w:val="000000"/>
              </w:rPr>
              <w:t xml:space="preserve">支持熔断保护与恢复功能</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64</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80" w:type="dxa"/>
            <w:vAlign w:val="center"/>
            <w:textDirection w:val="lrTb"/>
            <w:noWrap w:val="false"/>
          </w:tcPr>
          <w:p>
            <w:pPr>
              <w:pStyle w:val="734"/>
              <w:ind w:left="4"/>
              <w:spacing w:line="220" w:lineRule="exact"/>
              <w:rPr>
                <w:rFonts w:ascii="宋体" w:hAnsi="宋体"/>
                <w:color w:val="000000"/>
              </w:rPr>
            </w:pPr>
            <w:r>
              <w:rPr>
                <w:rFonts w:ascii="宋体" w:hAnsi="宋体" w:cs="黑体"/>
                <w:color w:val="000000"/>
              </w:rPr>
              <w:t xml:space="preserve">*管理系统功能</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*BMC固件基础功能</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jc w:val="left"/>
              <w:spacing w:line="220" w:lineRule="exact"/>
              <w:rPr>
                <w:rFonts w:ascii="宋体" w:hAnsi="宋体"/>
                <w:color w:val="000000"/>
              </w:rPr>
            </w:pPr>
            <w:r>
              <w:rPr>
                <w:rFonts w:ascii="宋体" w:hAnsi="宋体" w:cs="黑体"/>
                <w:color w:val="000000"/>
              </w:rPr>
              <w:t xml:space="preserve">1)支持DHCP设置网络功能；</w:t>
            </w:r>
            <w:r>
              <w:rPr>
                <w:rFonts w:ascii="宋体" w:hAnsi="宋体"/>
                <w:color w:val="000000"/>
              </w:rPr>
            </w:r>
            <w:r/>
          </w:p>
          <w:p>
            <w:pPr>
              <w:pStyle w:val="734"/>
              <w:jc w:val="left"/>
              <w:spacing w:line="220" w:lineRule="exact"/>
              <w:rPr>
                <w:rFonts w:ascii="宋体" w:hAnsi="宋体"/>
                <w:color w:val="000000"/>
              </w:rPr>
            </w:pPr>
            <w:r>
              <w:rPr>
                <w:rFonts w:ascii="宋体" w:hAnsi="宋体" w:cs="黑体"/>
                <w:color w:val="000000"/>
              </w:rPr>
              <w:t xml:space="preserve">2)支持静态IP设置网络功能；</w:t>
            </w:r>
            <w:r>
              <w:rPr>
                <w:rFonts w:ascii="宋体" w:hAnsi="宋体"/>
                <w:color w:val="000000"/>
              </w:rPr>
            </w:r>
            <w:r/>
          </w:p>
          <w:p>
            <w:pPr>
              <w:pStyle w:val="734"/>
              <w:jc w:val="left"/>
              <w:spacing w:line="220" w:lineRule="exact"/>
            </w:pPr>
            <w:r>
              <w:rPr>
                <w:rFonts w:ascii="宋体" w:hAnsi="宋体" w:cs="黑体"/>
                <w:color w:val="000000"/>
              </w:rPr>
              <w:t xml:space="preserve">3)支持设备日志记录，包括但不限于登录日志、操作日志和报警日志等功能；</w:t>
            </w:r>
            <w:r>
              <w:rPr>
                <w:rFonts w:ascii="宋体" w:hAnsi="宋体"/>
                <w:color w:val="000000"/>
              </w:rPr>
            </w:r>
            <w:r/>
          </w:p>
          <w:p>
            <w:pPr>
              <w:pStyle w:val="734"/>
              <w:jc w:val="left"/>
              <w:spacing w:line="220" w:lineRule="exact"/>
              <w:rPr>
                <w:rFonts w:ascii="宋体" w:hAnsi="宋体"/>
                <w:color w:val="000000"/>
              </w:rPr>
            </w:pPr>
            <w:r>
              <w:rPr>
                <w:rFonts w:ascii="宋体" w:hAnsi="宋体" w:cs="黑体"/>
                <w:color w:val="000000"/>
              </w:rPr>
              <w:t xml:space="preserve">4)支持日志信息导出和记录删除功能；</w:t>
            </w:r>
            <w:r>
              <w:rPr>
                <w:rFonts w:ascii="宋体" w:hAnsi="宋体"/>
                <w:color w:val="000000"/>
              </w:rPr>
            </w:r>
            <w:r/>
          </w:p>
          <w:p>
            <w:pPr>
              <w:pStyle w:val="734"/>
              <w:jc w:val="left"/>
              <w:spacing w:line="220" w:lineRule="exact"/>
              <w:rPr>
                <w:rFonts w:ascii="宋体" w:hAnsi="宋体"/>
                <w:color w:val="000000"/>
              </w:rPr>
            </w:pPr>
            <w:r>
              <w:rPr>
                <w:rFonts w:ascii="宋体" w:hAnsi="宋体" w:cs="黑体"/>
                <w:color w:val="000000"/>
              </w:rPr>
              <w:t xml:space="preserve">5)支持通过管理接口向外输出准确的报警信息功能；</w:t>
            </w:r>
            <w:r>
              <w:rPr>
                <w:rFonts w:ascii="宋体" w:hAnsi="宋体"/>
                <w:color w:val="000000"/>
              </w:rPr>
            </w:r>
            <w:r/>
          </w:p>
          <w:p>
            <w:pPr>
              <w:pStyle w:val="734"/>
              <w:jc w:val="left"/>
              <w:spacing w:line="220" w:lineRule="exact"/>
              <w:rPr>
                <w:rFonts w:ascii="宋体" w:hAnsi="宋体"/>
                <w:color w:val="000000"/>
              </w:rPr>
            </w:pPr>
            <w:r>
              <w:rPr>
                <w:rFonts w:ascii="宋体" w:hAnsi="宋体" w:cs="黑体"/>
                <w:color w:val="000000"/>
              </w:rPr>
              <w:t xml:space="preserve">6)设备的BMC管理软件应能够按报</w:t>
            </w:r>
            <w:r>
              <w:rPr>
                <w:rFonts w:ascii="宋体" w:hAnsi="宋体"/>
                <w:color w:val="000000"/>
              </w:rPr>
            </w:r>
            <w:r/>
          </w:p>
          <w:p>
            <w:pPr>
              <w:pStyle w:val="734"/>
              <w:jc w:val="left"/>
              <w:spacing w:line="220" w:lineRule="exact"/>
              <w:rPr>
                <w:rFonts w:ascii="宋体" w:hAnsi="宋体"/>
                <w:color w:val="000000"/>
              </w:rPr>
            </w:pPr>
            <w:r>
              <w:rPr>
                <w:rFonts w:ascii="宋体" w:hAnsi="宋体" w:cs="黑体"/>
                <w:color w:val="000000"/>
              </w:rPr>
              <w:t xml:space="preserve">警的严重程度进行区分；</w:t>
            </w:r>
            <w:r>
              <w:rPr>
                <w:rFonts w:ascii="宋体" w:hAnsi="宋体"/>
                <w:color w:val="000000"/>
              </w:rPr>
            </w:r>
            <w:r/>
          </w:p>
          <w:p>
            <w:pPr>
              <w:pStyle w:val="734"/>
              <w:jc w:val="left"/>
              <w:spacing w:line="220" w:lineRule="exact"/>
              <w:rPr>
                <w:rFonts w:ascii="宋体" w:hAnsi="宋体"/>
                <w:color w:val="000000"/>
              </w:rPr>
            </w:pPr>
            <w:r>
              <w:rPr>
                <w:rFonts w:ascii="宋体" w:hAnsi="宋体" w:cs="黑体"/>
                <w:color w:val="000000"/>
              </w:rPr>
              <w:t xml:space="preserve">7)支持IPMI2.0、SNMP或Redfish 等接口功能；</w:t>
            </w:r>
            <w:r>
              <w:rPr>
                <w:rFonts w:ascii="宋体" w:hAnsi="宋体"/>
                <w:color w:val="000000"/>
              </w:rPr>
            </w:r>
            <w:r/>
          </w:p>
          <w:p>
            <w:pPr>
              <w:pStyle w:val="734"/>
              <w:jc w:val="left"/>
              <w:spacing w:line="220" w:lineRule="exact"/>
              <w:rPr>
                <w:rFonts w:ascii="宋体" w:hAnsi="宋体"/>
                <w:color w:val="000000"/>
              </w:rPr>
            </w:pPr>
            <w:r>
              <w:rPr>
                <w:rFonts w:ascii="宋体" w:hAnsi="宋体" w:cs="黑体"/>
                <w:color w:val="000000"/>
              </w:rPr>
              <w:t xml:space="preserve">8)支持键盘、鼠标和视频的重定向、文本控制台的重定向、远程虚拟媒体、高可靠的硬件监控和管理功能；</w:t>
            </w:r>
            <w:r>
              <w:rPr>
                <w:rFonts w:ascii="宋体" w:hAnsi="宋体"/>
                <w:color w:val="000000"/>
              </w:rPr>
            </w:r>
            <w:r/>
          </w:p>
          <w:p>
            <w:pPr>
              <w:pStyle w:val="734"/>
              <w:jc w:val="left"/>
              <w:spacing w:line="220" w:lineRule="exact"/>
              <w:rPr>
                <w:rFonts w:ascii="宋体" w:hAnsi="宋体"/>
                <w:color w:val="000000"/>
              </w:rPr>
            </w:pPr>
            <w:r>
              <w:rPr>
                <w:rFonts w:ascii="宋体" w:hAnsi="宋体" w:cs="黑体"/>
                <w:color w:val="000000"/>
              </w:rPr>
              <w:t xml:space="preserve">9)支持基于网络开启、关闭和重启设备的功能，并查询当前设备开机运行状态；</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10)支持故障提示功能，并可通过接口读取服务器故障信息；</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65</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BMC固件增强功能</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66</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ind w:right="19"/>
              <w:spacing w:line="220" w:lineRule="exact"/>
              <w:rPr>
                <w:rFonts w:ascii="宋体" w:hAnsi="宋体"/>
                <w:color w:val="000000"/>
              </w:rPr>
            </w:pPr>
            <w:r>
              <w:rPr>
                <w:rFonts w:ascii="宋体" w:hAnsi="宋体" w:cs="黑体"/>
                <w:color w:val="000000"/>
              </w:rPr>
              <w:t xml:space="preserve">*BIOS固件基础功能</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67</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*远程控制</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支持远程关机和重新启动功能</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68</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80" w:type="dxa"/>
            <w:vAlign w:val="center"/>
            <w:textDirection w:val="lrTb"/>
            <w:noWrap w:val="false"/>
          </w:tcPr>
          <w:p>
            <w:pPr>
              <w:pStyle w:val="734"/>
              <w:ind w:left="5" w:right="80"/>
              <w:spacing w:line="220" w:lineRule="exact"/>
              <w:rPr>
                <w:rFonts w:ascii="宋体" w:hAnsi="宋体"/>
                <w:color w:val="000000"/>
              </w:rPr>
            </w:pPr>
            <w:r>
              <w:rPr>
                <w:rFonts w:ascii="宋体" w:hAnsi="宋体" w:cs="黑体"/>
                <w:color w:val="000000"/>
              </w:rPr>
              <w:t xml:space="preserve">*操作系统及驱动功能</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*操作系统及驱动的升级</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spacing w:line="220" w:lineRule="exact"/>
              <w:rPr>
                <w:rFonts w:ascii="宋体" w:hAnsi="宋体"/>
                <w:color w:val="000000"/>
              </w:rPr>
            </w:pPr>
            <w:r>
              <w:rPr>
                <w:rFonts w:hint="eastAsia" w:ascii="宋体" w:hAnsi="宋体"/>
                <w:color w:val="000000"/>
              </w:rPr>
              <w:t xml:space="preserve">配置</w:t>
            </w:r>
            <w:r>
              <w:rPr>
                <w:rFonts w:ascii="宋体" w:hAnsi="宋体"/>
                <w:color w:val="000000"/>
              </w:rPr>
              <w:t xml:space="preserve">正版国产化商用操作系统</w:t>
            </w:r>
            <w:r>
              <w:rPr>
                <w:rFonts w:hint="eastAsia" w:ascii="宋体" w:hAnsi="宋体"/>
                <w:color w:val="000000"/>
              </w:rPr>
              <w:t xml:space="preserve">,</w:t>
            </w:r>
            <w:r>
              <w:rPr>
                <w:rFonts w:ascii="宋体" w:hAnsi="宋体" w:cs="黑体"/>
                <w:color w:val="000000"/>
              </w:rPr>
              <w:t xml:space="preserve">支持通过网络、闪存盘对操作系统、驱动进行升级</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69</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操作系统及驱动的备份还原</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支持操作系统备份及还原功能</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70</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*操作系统功能</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right="91" w:firstLine="360"/>
              <w:spacing w:line="220" w:lineRule="exact"/>
              <w:rPr>
                <w:rFonts w:ascii="宋体" w:hAnsi="宋体"/>
                <w:color w:val="000000"/>
              </w:rPr>
            </w:pPr>
            <w:r>
              <w:rPr>
                <w:rFonts w:ascii="宋体" w:hAnsi="宋体" w:cs="黑体"/>
                <w:color w:val="000000"/>
              </w:rPr>
              <w:t xml:space="preserve">a) 支持访问控制、安全审计、网络接入鉴别等功能； b) 操作系统其他功能应满足操作系统政府采购需求标准中加*的指标要求</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71</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80"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*中文信息处理功能</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*中文信息处理</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符合GB 18030的有关规定</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72</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80" w:type="dxa"/>
            <w:vAlign w:val="center"/>
            <w:textDirection w:val="lrTb"/>
            <w:noWrap w:val="false"/>
          </w:tcPr>
          <w:p>
            <w:pPr>
              <w:pStyle w:val="734"/>
              <w:ind w:firstLine="360"/>
              <w:jc w:val="center"/>
              <w:spacing w:line="220" w:lineRule="exact"/>
              <w:rPr>
                <w:rFonts w:ascii="宋体" w:hAnsi="宋体"/>
                <w:color w:val="000000"/>
              </w:rPr>
            </w:pPr>
            <w:r>
              <w:rPr>
                <w:rFonts w:ascii="宋体" w:hAnsi="宋体" w:cs="黑体"/>
                <w:color w:val="000000"/>
              </w:rPr>
              <w:t xml:space="preserve">机柜功能</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机柜管理功能</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hint="eastAsia" w:ascii="宋体" w:hAnsi="宋体"/>
                <w:color w:val="000000"/>
              </w:rPr>
              <w:t xml:space="preserve">不涉及</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73</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机柜通信方式</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hint="eastAsia" w:ascii="宋体" w:hAnsi="宋体"/>
                <w:color w:val="000000"/>
              </w:rPr>
              <w:t xml:space="preserve">不涉及</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74</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多集群作业管理</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hint="eastAsia" w:ascii="宋体" w:hAnsi="宋体"/>
                <w:color w:val="000000"/>
              </w:rPr>
              <w:t xml:space="preserve">不涉及</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75</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80"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*关键部件安全要求</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*关键部件安全要求</w:t>
            </w:r>
            <w:r>
              <w:rPr>
                <w:rFonts w:ascii="宋体" w:hAnsi="宋体" w:cs="黑体"/>
                <w:color w:val="000000"/>
                <w:vertAlign w:val="superscript"/>
              </w:rPr>
              <w:t xml:space="preserve">3</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CPU和操作系统等关键部件应当符合安全可靠测评要求</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76</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80"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*固件安全要求</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*故障检测</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支持故障检测功能，可以检测到具体的FRU（内存、硬盘等）的故障并发出告警</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77</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内存故障智能预测和自愈修复</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支持内存故障智能预测和自愈修复，提前自动硬隔离，避免内存故障引起的非预期宕机以及内存寿命的降低</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78</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硬盘故障智能预测</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支持硬盘故障智能预测，基于故障模型预测出硬盘的故障</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79</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PCIe链路故障智能诊断</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支持PCIe链路故障智能诊断，判断出现故障的PCIe链路</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80</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内存故障隔离</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支持内存故障隔离，在内存产生CE 故障时，内存地址被隔离成功，服务器正常运行，业务系统不中断</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81</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内存、PCIe 卡的故障精准告警功能</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支持内存、PCIe卡的故障精准告警功能，触发告警并明确指示具体的故障位置</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82</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异常下电关键数据保护</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支持异常下电关键数据保护，支持数据备份恢复机制，防止系统异常掉电导致的数据文件丢失</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83</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BMC/BIOS 固件双镜像保护</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支持BMC/BIOS固件双镜像保护，运行异常时自动切换到备份镜像运行，提升系统稳定性</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84</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CPU核重启隔离</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支持CPU核发生不可纠正故障后，重启后由BIOS隔离该故障核，OS 不可见，防止OS再次使用导致系统异常，核0除外</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85</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内存地址隔离</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在硬件支持的情况下，支持故障内存地址重启后隔离</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86</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内存存储阵列替换</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在硬件支持的情况下，支持故障内存存储阵列替换</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87</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安全启动</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支持执行环境要求在整个系统启动的过程中，系统应提供一个机制来保护平台的完整性</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88</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80" w:type="dxa"/>
            <w:vAlign w:val="center"/>
            <w:textDirection w:val="lrTb"/>
            <w:noWrap w:val="false"/>
          </w:tcPr>
          <w:p>
            <w:pPr>
              <w:pStyle w:val="734"/>
              <w:ind w:left="4"/>
              <w:spacing w:line="220" w:lineRule="exact"/>
              <w:rPr>
                <w:rFonts w:ascii="宋体" w:hAnsi="宋体"/>
                <w:color w:val="000000"/>
              </w:rPr>
            </w:pPr>
            <w:r>
              <w:rPr>
                <w:rFonts w:ascii="宋体" w:hAnsi="宋体" w:cs="黑体"/>
                <w:color w:val="000000"/>
              </w:rPr>
              <w:t xml:space="preserve">*系统安全要求</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syslog双</w:t>
            </w:r>
            <w:r>
              <w:rPr>
                <w:rFonts w:ascii="宋体" w:hAnsi="宋体"/>
                <w:color w:val="000000"/>
              </w:rPr>
            </w:r>
            <w:r/>
          </w:p>
          <w:p>
            <w:pPr>
              <w:pStyle w:val="734"/>
              <w:spacing w:line="220" w:lineRule="exact"/>
              <w:rPr>
                <w:rFonts w:ascii="宋体" w:hAnsi="宋体"/>
                <w:color w:val="000000"/>
              </w:rPr>
            </w:pPr>
            <w:r>
              <w:rPr>
                <w:rFonts w:ascii="宋体" w:hAnsi="宋体" w:cs="黑体"/>
                <w:color w:val="000000"/>
              </w:rPr>
              <w:t xml:space="preserve">向鉴别</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支持系统日志双向鉴别，对服务器根证书和客户端根证书进行鉴别</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89</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*弱口令字典检查</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支持弱口令字典检查功能，出现在弱口令字典中的字符串不能被设置为用户口令</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90</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80"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*白名单访问控制</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支持基于时间、IP或MAC白名单访问控制</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91</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ind w:right="19"/>
              <w:spacing w:line="220" w:lineRule="exact"/>
              <w:rPr>
                <w:rFonts w:ascii="宋体" w:hAnsi="宋体"/>
                <w:color w:val="000000"/>
              </w:rPr>
            </w:pPr>
            <w:r>
              <w:rPr>
                <w:rFonts w:ascii="宋体" w:hAnsi="宋体" w:cs="黑体"/>
                <w:color w:val="000000"/>
              </w:rPr>
              <w:t xml:space="preserve">双因素鉴别</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支持使用客户端证书和证书密码的双因素鉴别方式登录管理系统</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92</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*二次鉴别</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支持二次鉴别功能。对于用户配置、权限配置、公钥导入等重要的管理操作，已登录用户应通过二次鉴别后，才能执行操作</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93</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匿名化用户告警接收邮箱</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支持带外管理系统中的用户告警接收邮箱进行匿名化处理</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94</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*密码证书安全加密存储</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支持对带外管理系统中的用户口令和证书等敏感信息进行加密存储，禁止使用私有的和业界已知不安全的密码算法</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95</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*敏感信息安全加密传输</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支持使用安全的传输加密协议（如SSH或HTTPS等）传输用户的敏感信息</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96</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80" w:type="dxa"/>
            <w:vAlign w:val="center"/>
            <w:textDirection w:val="lrTb"/>
            <w:noWrap w:val="false"/>
          </w:tcPr>
          <w:p>
            <w:pPr>
              <w:pStyle w:val="734"/>
              <w:ind w:left="4"/>
              <w:spacing w:line="220" w:lineRule="exact"/>
              <w:rPr>
                <w:rFonts w:ascii="宋体" w:hAnsi="宋体"/>
                <w:color w:val="000000"/>
              </w:rPr>
            </w:pPr>
            <w:r>
              <w:rPr>
                <w:rFonts w:ascii="宋体" w:hAnsi="宋体" w:cs="黑体"/>
                <w:color w:val="000000"/>
              </w:rPr>
              <w:t xml:space="preserve">*信息安全要求</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*研发过程安全</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供应商承诺，生产商已建立从需求、设计、开发、测试、维护端到端的开发流程管理机制，输出和保存开发流程中每个阶段的产品需求清单、设计文档、开发文档、测试记录等材料，保证各个流程可追溯</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97</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漏洞管理</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供应商承诺，生产商已建立漏洞全量视图，保证产品版本涉及到的所有漏洞(如驱动程序、BMC软件等) 都可以查看</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98</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网络关键设备服务器要求</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作为网络关键设备的服务器应符合GB 40050的相关规定</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99</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hint="eastAsia" w:ascii="宋体" w:hAnsi="宋体"/>
                <w:color w:val="000000"/>
              </w:rPr>
            </w:pPr>
            <w:r>
              <w:rPr>
                <w:rFonts w:ascii="宋体" w:hAnsi="宋体" w:cs="黑体"/>
                <w:color w:val="000000"/>
              </w:rPr>
              <w:t xml:space="preserve">增强要求</w:t>
            </w:r>
            <w:r>
              <w:rPr>
                <w:rFonts w:hint="eastAsia"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numPr>
                <w:ilvl w:val="0"/>
                <w:numId w:val="39"/>
              </w:numPr>
              <w:jc w:val="left"/>
              <w:spacing w:line="220" w:lineRule="exact"/>
              <w:widowControl/>
              <w:rPr>
                <w:rFonts w:ascii="宋体" w:hAnsi="宋体"/>
                <w:color w:val="000000"/>
              </w:rPr>
            </w:pPr>
            <w:r>
              <w:rPr>
                <w:rFonts w:ascii="宋体" w:hAnsi="宋体" w:cs="黑体"/>
                <w:color w:val="000000"/>
              </w:rPr>
              <w:t xml:space="preserve">嵌入物理可信根，实现设备的信任链构建；</w:t>
            </w:r>
            <w:r>
              <w:rPr>
                <w:rFonts w:ascii="宋体" w:hAnsi="宋体"/>
                <w:color w:val="000000"/>
              </w:rPr>
            </w:r>
            <w:r/>
          </w:p>
          <w:p>
            <w:pPr>
              <w:pStyle w:val="734"/>
              <w:numPr>
                <w:ilvl w:val="0"/>
                <w:numId w:val="39"/>
              </w:numPr>
              <w:jc w:val="left"/>
              <w:spacing w:after="5" w:line="220" w:lineRule="exact"/>
              <w:widowControl/>
              <w:rPr>
                <w:rFonts w:ascii="宋体" w:hAnsi="宋体"/>
                <w:color w:val="000000"/>
              </w:rPr>
            </w:pPr>
            <w:r>
              <w:rPr>
                <w:rFonts w:ascii="宋体" w:hAnsi="宋体" w:cs="黑体"/>
                <w:color w:val="000000"/>
              </w:rPr>
              <w:t xml:space="preserve">支持可信平台控制模块(TPCM)；</w:t>
            </w:r>
            <w:r>
              <w:rPr>
                <w:rFonts w:ascii="宋体" w:hAnsi="宋体"/>
                <w:color w:val="000000"/>
              </w:rPr>
            </w:r>
            <w:r/>
          </w:p>
          <w:p>
            <w:pPr>
              <w:pStyle w:val="734"/>
              <w:numPr>
                <w:ilvl w:val="0"/>
                <w:numId w:val="39"/>
              </w:numPr>
              <w:jc w:val="left"/>
              <w:spacing w:line="220" w:lineRule="exact"/>
              <w:widowControl/>
              <w:rPr>
                <w:rFonts w:ascii="宋体" w:hAnsi="宋体"/>
                <w:color w:val="000000"/>
              </w:rPr>
            </w:pPr>
            <w:r>
              <w:rPr>
                <w:rFonts w:ascii="宋体" w:hAnsi="宋体" w:cs="黑体"/>
                <w:color w:val="000000"/>
              </w:rPr>
              <w:t xml:space="preserve">支持在固件系统（BMC、BIOS）启动前实现对固件度量的功能，支持物理可信根对BMC固件或BIOS固件进行完整性检测、更新和恢复；</w:t>
            </w:r>
            <w:r>
              <w:rPr>
                <w:rFonts w:ascii="宋体" w:hAnsi="宋体"/>
                <w:color w:val="000000"/>
              </w:rPr>
            </w:r>
            <w:r/>
          </w:p>
          <w:p>
            <w:pPr>
              <w:pStyle w:val="734"/>
              <w:numPr>
                <w:ilvl w:val="0"/>
                <w:numId w:val="39"/>
              </w:numPr>
              <w:jc w:val="left"/>
              <w:spacing w:line="220" w:lineRule="exact"/>
              <w:widowControl/>
              <w:rPr>
                <w:rFonts w:ascii="宋体" w:hAnsi="宋体"/>
                <w:color w:val="000000"/>
              </w:rPr>
            </w:pPr>
            <w:r>
              <w:rPr>
                <w:rFonts w:ascii="宋体" w:hAnsi="宋体" w:cs="黑体"/>
                <w:color w:val="000000"/>
              </w:rPr>
              <w:t xml:space="preserve">支持对CPU、网络控制器等关键处理器进行身份识别与度量的功能；</w:t>
            </w:r>
            <w:r>
              <w:rPr>
                <w:rFonts w:ascii="宋体" w:hAnsi="宋体"/>
                <w:color w:val="000000"/>
              </w:rPr>
            </w:r>
            <w:r/>
          </w:p>
          <w:p>
            <w:pPr>
              <w:pStyle w:val="734"/>
              <w:numPr>
                <w:ilvl w:val="0"/>
                <w:numId w:val="39"/>
              </w:numPr>
              <w:jc w:val="left"/>
              <w:spacing w:line="220" w:lineRule="exact"/>
              <w:widowControl/>
              <w:rPr>
                <w:rFonts w:ascii="宋体" w:hAnsi="宋体"/>
                <w:color w:val="000000"/>
              </w:rPr>
            </w:pPr>
            <w:r>
              <w:rPr>
                <w:rFonts w:ascii="宋体" w:hAnsi="宋体" w:cs="黑体"/>
                <w:color w:val="000000"/>
              </w:rPr>
              <w:t xml:space="preserve">支持基于处理器或可信计算模块度量的功能；</w:t>
            </w:r>
            <w:r>
              <w:rPr>
                <w:rFonts w:ascii="宋体" w:hAnsi="宋体"/>
                <w:color w:val="000000"/>
              </w:rPr>
            </w:r>
            <w:r/>
          </w:p>
          <w:p>
            <w:pPr>
              <w:pStyle w:val="734"/>
              <w:numPr>
                <w:ilvl w:val="0"/>
                <w:numId w:val="39"/>
              </w:numPr>
              <w:jc w:val="left"/>
              <w:spacing w:line="220" w:lineRule="exact"/>
              <w:widowControl/>
              <w:rPr>
                <w:rFonts w:ascii="宋体" w:hAnsi="宋体"/>
                <w:color w:val="000000"/>
              </w:rPr>
            </w:pPr>
            <w:r>
              <w:rPr>
                <w:rFonts w:ascii="宋体" w:hAnsi="宋体" w:cs="黑体"/>
                <w:color w:val="000000"/>
              </w:rPr>
              <w:t xml:space="preserve">所采用的可信密码模块接口应符合GM/T 0012的相关规定；</w:t>
            </w:r>
            <w:r>
              <w:rPr>
                <w:rFonts w:ascii="宋体" w:hAnsi="宋体"/>
                <w:color w:val="000000"/>
              </w:rPr>
            </w:r>
            <w:r/>
          </w:p>
          <w:p>
            <w:pPr>
              <w:pStyle w:val="734"/>
              <w:numPr>
                <w:ilvl w:val="0"/>
                <w:numId w:val="39"/>
              </w:numPr>
              <w:jc w:val="left"/>
              <w:spacing w:line="220" w:lineRule="exact"/>
              <w:widowControl/>
              <w:rPr>
                <w:rFonts w:ascii="宋体" w:hAnsi="宋体"/>
                <w:color w:val="000000"/>
              </w:rPr>
            </w:pPr>
            <w:r>
              <w:rPr>
                <w:rFonts w:ascii="宋体" w:hAnsi="宋体" w:cs="黑体"/>
                <w:color w:val="000000"/>
              </w:rPr>
              <w:t xml:space="preserve">可信安全管理模块、处理器等硬件载体应通过国家相关部门的认证和许可</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100</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80"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*物理安全</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*物理安全</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安全要求应符合GB 4943.1的规定</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101</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80"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*限用物质的限量要求</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*限用物质的限量要求</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限用物质的限量应符合GB/T 26572 的要求</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102</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性能要求</w:t>
            </w:r>
            <w:r>
              <w:rPr>
                <w:rFonts w:ascii="宋体" w:hAnsi="宋体"/>
                <w:color w:val="000000"/>
              </w:rPr>
            </w:r>
            <w:r/>
          </w:p>
        </w:tc>
        <w:tc>
          <w:tcPr>
            <w:tcW w:w="1280"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*CPU 性能</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*CPU主频</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≥2.6GHz</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103</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性能要求</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*单CPU核数</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≥32</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104</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性能要求</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*单CPU末级缓存容量</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≥8MB</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105</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性能要求</w:t>
            </w:r>
            <w:r>
              <w:rPr>
                <w:rFonts w:ascii="宋体" w:hAnsi="宋体"/>
                <w:color w:val="000000"/>
              </w:rPr>
            </w:r>
            <w:r/>
          </w:p>
        </w:tc>
        <w:tc>
          <w:tcPr>
            <w:tcW w:w="1280"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*内存性能</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单内存模块容量</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≥32GB</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106</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性能要求</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*内存速率</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≥2933MT</w:t>
            </w:r>
            <w:r>
              <w:rPr>
                <w:rFonts w:hint="eastAsia" w:ascii="宋体" w:hAnsi="宋体" w:cs="黑体"/>
                <w:color w:val="000000"/>
              </w:rPr>
              <w:t xml:space="preserve">/</w:t>
            </w:r>
            <w:r>
              <w:rPr>
                <w:rFonts w:ascii="宋体" w:hAnsi="宋体" w:cs="黑体"/>
                <w:color w:val="000000"/>
              </w:rPr>
              <w:t xml:space="preserve">s</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107</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性能要求</w:t>
            </w:r>
            <w:r>
              <w:rPr>
                <w:rFonts w:ascii="宋体" w:hAnsi="宋体"/>
                <w:color w:val="000000"/>
              </w:rPr>
            </w:r>
            <w:r/>
          </w:p>
        </w:tc>
        <w:tc>
          <w:tcPr>
            <w:tcW w:w="1280"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存储性能</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硬盘转速</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安装的</w:t>
            </w:r>
            <w:r>
              <w:rPr>
                <w:rFonts w:hint="eastAsia" w:ascii="宋体" w:hAnsi="宋体" w:cs="黑体"/>
                <w:color w:val="000000"/>
              </w:rPr>
              <w:t xml:space="preserve">6</w:t>
            </w:r>
            <w:r>
              <w:rPr>
                <w:rFonts w:ascii="宋体" w:hAnsi="宋体" w:cs="黑体"/>
                <w:color w:val="000000"/>
              </w:rPr>
              <w:t xml:space="preserve">00GB硬磁盘转速不小于10</w:t>
            </w:r>
            <w:r>
              <w:rPr>
                <w:rFonts w:hint="eastAsia" w:ascii="宋体" w:hAnsi="宋体" w:cs="黑体"/>
                <w:color w:val="000000"/>
              </w:rPr>
              <w:t xml:space="preserve">k</w:t>
            </w:r>
            <w:r>
              <w:rPr>
                <w:rFonts w:ascii="宋体" w:hAnsi="宋体" w:cs="黑体"/>
                <w:color w:val="000000"/>
              </w:rPr>
              <w:t xml:space="preserve">rpm</w:t>
            </w:r>
            <w:r>
              <w:rPr>
                <w:rFonts w:hint="eastAsia" w:ascii="宋体" w:hAnsi="宋体" w:cs="黑体"/>
                <w:color w:val="000000"/>
              </w:rPr>
              <w:t xml:space="preserve">，4</w:t>
            </w:r>
            <w:r>
              <w:rPr>
                <w:rFonts w:ascii="宋体" w:hAnsi="宋体" w:cs="黑体"/>
                <w:color w:val="000000"/>
              </w:rPr>
              <w:t xml:space="preserve">TB硬磁盘转速不小于</w:t>
            </w:r>
            <w:r>
              <w:rPr>
                <w:rFonts w:hint="eastAsia" w:ascii="宋体" w:hAnsi="宋体" w:cs="黑体"/>
                <w:color w:val="000000"/>
              </w:rPr>
              <w:t xml:space="preserve">7k</w:t>
            </w:r>
            <w:r>
              <w:rPr>
                <w:rFonts w:ascii="宋体" w:hAnsi="宋体" w:cs="黑体"/>
                <w:color w:val="000000"/>
              </w:rPr>
              <w:t xml:space="preserve">rpm</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108</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性能要求</w:t>
            </w:r>
            <w:r>
              <w:rPr>
                <w:rFonts w:ascii="宋体" w:hAnsi="宋体"/>
                <w:color w:val="000000"/>
              </w:rPr>
            </w:r>
            <w:r/>
          </w:p>
        </w:tc>
        <w:tc>
          <w:tcPr>
            <w:tcW w:w="1280"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RAID 卡性能</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RAID卡缓存容量大小</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若配备RAID卡且RAID卡有缓存容量，容量不少于1GB</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109</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性能要求</w:t>
            </w:r>
            <w:r>
              <w:rPr>
                <w:rFonts w:ascii="宋体" w:hAnsi="宋体"/>
                <w:color w:val="000000"/>
              </w:rPr>
            </w:r>
            <w:r/>
          </w:p>
        </w:tc>
        <w:tc>
          <w:tcPr>
            <w:tcW w:w="1280"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FC HBA 卡性能</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FC HBA卡</w:t>
            </w:r>
            <w:r>
              <w:rPr>
                <w:rFonts w:ascii="宋体" w:hAnsi="宋体"/>
                <w:color w:val="000000"/>
              </w:rPr>
            </w:r>
            <w:r/>
          </w:p>
          <w:p>
            <w:pPr>
              <w:pStyle w:val="734"/>
              <w:ind w:firstLine="360"/>
              <w:spacing w:line="220" w:lineRule="exact"/>
              <w:rPr>
                <w:rFonts w:ascii="宋体" w:hAnsi="宋体"/>
                <w:color w:val="000000"/>
              </w:rPr>
            </w:pPr>
            <w:r>
              <w:rPr>
                <w:rFonts w:ascii="宋体" w:hAnsi="宋体" w:cs="黑体"/>
                <w:color w:val="000000"/>
              </w:rPr>
              <w:t xml:space="preserve">速率</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hint="eastAsia" w:ascii="宋体" w:hAnsi="宋体"/>
                <w:color w:val="000000"/>
              </w:rPr>
              <w:t xml:space="preserve">不涉及</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110</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性能要求</w:t>
            </w:r>
            <w:r>
              <w:rPr>
                <w:rFonts w:ascii="宋体" w:hAnsi="宋体"/>
                <w:color w:val="000000"/>
              </w:rPr>
            </w:r>
            <w:r/>
          </w:p>
        </w:tc>
        <w:tc>
          <w:tcPr>
            <w:tcW w:w="1280"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网络性能</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独立网卡速率</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≥1GE</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111</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性能要求</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板载网卡速率</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≥1GE</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112</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性能要求</w:t>
            </w:r>
            <w:r>
              <w:rPr>
                <w:rFonts w:ascii="宋体" w:hAnsi="宋体"/>
                <w:color w:val="000000"/>
              </w:rPr>
            </w:r>
            <w:r/>
          </w:p>
        </w:tc>
        <w:tc>
          <w:tcPr>
            <w:tcW w:w="1280"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*电源能耗</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*电源能耗</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符合GB/T 9813.3的有关规定</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113</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兼容要求</w:t>
            </w:r>
            <w:r>
              <w:rPr>
                <w:rFonts w:ascii="宋体" w:hAnsi="宋体"/>
                <w:color w:val="000000"/>
              </w:rPr>
            </w:r>
            <w:r/>
          </w:p>
        </w:tc>
        <w:tc>
          <w:tcPr>
            <w:tcW w:w="1280"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*部件兼容性要求</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*内存兼容性</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适配3种及以上厂商的内存产品，且均不低于产品支持的内存规格</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114</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兼容要求</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*固态存储兼容性</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适配3种或以上厂商的固态存储产品，且均不低于产品支持的固态存储设备规格</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115</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兼容要求</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FC HBA卡</w:t>
            </w:r>
            <w:r>
              <w:rPr>
                <w:rFonts w:ascii="宋体" w:hAnsi="宋体"/>
                <w:color w:val="000000"/>
              </w:rPr>
            </w:r>
            <w:r/>
          </w:p>
          <w:p>
            <w:pPr>
              <w:pStyle w:val="734"/>
              <w:ind w:firstLine="360"/>
              <w:spacing w:line="220" w:lineRule="exact"/>
              <w:rPr>
                <w:rFonts w:ascii="宋体" w:hAnsi="宋体"/>
                <w:color w:val="000000"/>
              </w:rPr>
            </w:pPr>
            <w:r>
              <w:rPr>
                <w:rFonts w:ascii="宋体" w:hAnsi="宋体" w:cs="黑体"/>
                <w:color w:val="000000"/>
              </w:rPr>
              <w:t xml:space="preserve">兼容性</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FC HBA应适配两种或以上厂商产品</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116</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兼容要求</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RAID卡兼容性</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RAID卡应适配两种或以上厂商产品</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117</w:t>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兼容要求</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*网卡兼容性</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网卡应适配两种或以上厂商产品</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olor w:val="000000"/>
              </w:rPr>
            </w:pPr>
            <w:r>
              <w:rPr>
                <w:rFonts w:ascii="宋体" w:hAnsi="宋体" w:cs="黑体"/>
                <w:color w:val="000000"/>
              </w:rPr>
              <w:t xml:space="preserve">118</w:t>
            </w:r>
            <w:r>
              <w:rPr>
                <w:rFonts w:ascii="宋体" w:hAnsi="宋体"/>
                <w:color w:val="000000"/>
              </w:rPr>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兼容要求</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*功能卡兼容性</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内置或适配符合PCIe的功能卡，如：网络功能卡、存储功能卡及图形显示功能卡</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olor w:val="000000"/>
              </w:rPr>
            </w:pPr>
            <w:r>
              <w:rPr>
                <w:rFonts w:ascii="宋体" w:hAnsi="宋体" w:cs="黑体"/>
                <w:color w:val="000000"/>
              </w:rPr>
              <w:t xml:space="preserve">119</w:t>
            </w:r>
            <w:r>
              <w:rPr>
                <w:rFonts w:ascii="宋体" w:hAnsi="宋体"/>
                <w:color w:val="000000"/>
              </w:rPr>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兼容要求</w:t>
            </w:r>
            <w:r>
              <w:rPr>
                <w:rFonts w:ascii="宋体" w:hAnsi="宋体"/>
                <w:color w:val="000000"/>
              </w:rPr>
            </w:r>
            <w:r/>
          </w:p>
        </w:tc>
        <w:tc>
          <w:tcPr>
            <w:tcW w:w="1280" w:type="dxa"/>
            <w:vAlign w:val="center"/>
            <w:textDirection w:val="lrTb"/>
            <w:noWrap w:val="false"/>
          </w:tcPr>
          <w:p>
            <w:pPr>
              <w:pStyle w:val="734"/>
              <w:ind w:right="80"/>
              <w:spacing w:line="220" w:lineRule="exact"/>
              <w:rPr>
                <w:rFonts w:ascii="宋体" w:hAnsi="宋体"/>
                <w:color w:val="000000"/>
              </w:rPr>
            </w:pPr>
            <w:r>
              <w:rPr>
                <w:rFonts w:ascii="宋体" w:hAnsi="宋体" w:cs="黑体"/>
                <w:color w:val="000000"/>
              </w:rPr>
              <w:t xml:space="preserve">*外设兼容性</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*外设兼容性</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兼容多种主流生产商的外部设备，</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包括显示器、键盘、鼠标、闪存盘、</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移动硬盘、USB光驱及KVM等，要求使用不同厂商的外部设备时，系统均能正常识别和安装驱动</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olor w:val="000000"/>
              </w:rPr>
            </w:pPr>
            <w:r>
              <w:rPr>
                <w:rFonts w:ascii="宋体" w:hAnsi="宋体" w:cs="黑体"/>
                <w:color w:val="000000"/>
              </w:rPr>
              <w:t xml:space="preserve">120</w:t>
            </w:r>
            <w:r>
              <w:rPr>
                <w:rFonts w:ascii="宋体" w:hAnsi="宋体"/>
                <w:color w:val="000000"/>
              </w:rPr>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兼容要求</w:t>
            </w:r>
            <w:r>
              <w:rPr>
                <w:rFonts w:ascii="宋体" w:hAnsi="宋体"/>
                <w:color w:val="000000"/>
              </w:rPr>
            </w:r>
            <w:r/>
          </w:p>
        </w:tc>
        <w:tc>
          <w:tcPr>
            <w:tcW w:w="1280" w:type="dxa"/>
            <w:vAlign w:val="center"/>
            <w:textDirection w:val="lrTb"/>
            <w:noWrap w:val="false"/>
          </w:tcPr>
          <w:p>
            <w:pPr>
              <w:pStyle w:val="734"/>
              <w:ind w:right="80"/>
              <w:spacing w:line="220" w:lineRule="exact"/>
              <w:rPr>
                <w:rFonts w:ascii="宋体" w:hAnsi="宋体"/>
                <w:color w:val="000000"/>
              </w:rPr>
            </w:pPr>
            <w:r>
              <w:rPr>
                <w:rFonts w:ascii="宋体" w:hAnsi="宋体" w:cs="黑体"/>
                <w:color w:val="000000"/>
              </w:rPr>
              <w:t xml:space="preserve">*软件兼容性</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*数据库兼容</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兼容3个及以上厂商的数据库产品</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olor w:val="000000"/>
              </w:rPr>
            </w:pPr>
            <w:r>
              <w:rPr>
                <w:rFonts w:ascii="宋体" w:hAnsi="宋体" w:cs="黑体"/>
                <w:color w:val="000000"/>
              </w:rPr>
              <w:t xml:space="preserve">121</w:t>
            </w:r>
            <w:r>
              <w:rPr>
                <w:rFonts w:ascii="宋体" w:hAnsi="宋体"/>
                <w:color w:val="000000"/>
              </w:rPr>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兼容要求</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*中间件兼容</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兼容3个及以上厂商的中间件产品</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olor w:val="000000"/>
              </w:rPr>
            </w:pPr>
            <w:r>
              <w:rPr>
                <w:rFonts w:ascii="宋体" w:hAnsi="宋体" w:cs="黑体"/>
                <w:color w:val="000000"/>
              </w:rPr>
              <w:t xml:space="preserve">122</w:t>
            </w:r>
            <w:r>
              <w:rPr>
                <w:rFonts w:ascii="宋体" w:hAnsi="宋体"/>
                <w:color w:val="000000"/>
              </w:rPr>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兼容要求</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*平台软件兼容</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兼容3个及以上厂商的大数据平台</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olor w:val="000000"/>
              </w:rPr>
            </w:pPr>
            <w:r>
              <w:rPr>
                <w:rFonts w:ascii="宋体" w:hAnsi="宋体" w:cs="黑体"/>
                <w:color w:val="000000"/>
              </w:rPr>
              <w:t xml:space="preserve">123</w:t>
            </w:r>
            <w:r>
              <w:rPr>
                <w:rFonts w:ascii="宋体" w:hAnsi="宋体"/>
                <w:color w:val="000000"/>
              </w:rPr>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兼容要求</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虚拟化软件兼容</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兼容2款及以上虚拟化软件</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olor w:val="000000"/>
              </w:rPr>
            </w:pPr>
            <w:r>
              <w:rPr>
                <w:rFonts w:ascii="宋体" w:hAnsi="宋体" w:cs="黑体"/>
                <w:color w:val="000000"/>
              </w:rPr>
              <w:t xml:space="preserve">124</w:t>
            </w:r>
            <w:r>
              <w:rPr>
                <w:rFonts w:ascii="宋体" w:hAnsi="宋体"/>
                <w:color w:val="000000"/>
              </w:rPr>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可靠性要求</w:t>
            </w:r>
            <w:r>
              <w:rPr>
                <w:rFonts w:ascii="宋体" w:hAnsi="宋体"/>
                <w:color w:val="000000"/>
              </w:rPr>
            </w:r>
            <w:r/>
          </w:p>
        </w:tc>
        <w:tc>
          <w:tcPr>
            <w:tcW w:w="1280" w:type="dxa"/>
            <w:vAlign w:val="center"/>
            <w:textDirection w:val="lrTb"/>
            <w:noWrap w:val="false"/>
          </w:tcPr>
          <w:p>
            <w:pPr>
              <w:pStyle w:val="734"/>
              <w:ind w:right="80"/>
              <w:spacing w:line="220" w:lineRule="exact"/>
              <w:rPr>
                <w:rFonts w:ascii="宋体" w:hAnsi="宋体"/>
                <w:color w:val="000000"/>
              </w:rPr>
            </w:pPr>
            <w:r>
              <w:rPr>
                <w:rFonts w:ascii="宋体" w:hAnsi="宋体" w:cs="黑体"/>
                <w:color w:val="000000"/>
              </w:rPr>
              <w:t xml:space="preserve">存储可靠性要求</w:t>
            </w:r>
            <w:r>
              <w:rPr>
                <w:rFonts w:ascii="宋体" w:hAnsi="宋体"/>
                <w:color w:val="000000"/>
              </w:rPr>
            </w:r>
            <w:r/>
          </w:p>
        </w:tc>
        <w:tc>
          <w:tcPr>
            <w:tcW w:w="1134" w:type="dxa"/>
            <w:vAlign w:val="center"/>
            <w:textDirection w:val="lrTb"/>
            <w:noWrap w:val="false"/>
          </w:tcPr>
          <w:p>
            <w:pPr>
              <w:pStyle w:val="734"/>
              <w:spacing w:after="5" w:line="220" w:lineRule="exact"/>
              <w:rPr>
                <w:rFonts w:ascii="宋体" w:hAnsi="宋体"/>
                <w:color w:val="000000"/>
              </w:rPr>
            </w:pPr>
            <w:r>
              <w:rPr>
                <w:rFonts w:ascii="宋体" w:hAnsi="宋体" w:cs="黑体"/>
                <w:color w:val="000000"/>
              </w:rPr>
              <w:t xml:space="preserve">SATA SSD</w:t>
            </w:r>
            <w:r>
              <w:rPr>
                <w:rFonts w:ascii="宋体" w:hAnsi="宋体"/>
                <w:color w:val="000000"/>
              </w:rPr>
            </w:r>
            <w:r/>
          </w:p>
          <w:p>
            <w:pPr>
              <w:pStyle w:val="734"/>
              <w:spacing w:line="220" w:lineRule="exact"/>
              <w:rPr>
                <w:rFonts w:ascii="宋体" w:hAnsi="宋体"/>
                <w:color w:val="000000"/>
              </w:rPr>
            </w:pPr>
            <w:r>
              <w:rPr>
                <w:rFonts w:ascii="宋体" w:hAnsi="宋体" w:cs="黑体"/>
                <w:color w:val="000000"/>
              </w:rPr>
              <w:t xml:space="preserve">可靠性</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SSD的m1值（MTBF的不可接受值）不低于200000h</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olor w:val="000000"/>
              </w:rPr>
            </w:pPr>
            <w:r>
              <w:rPr>
                <w:rFonts w:ascii="宋体" w:hAnsi="宋体" w:cs="黑体"/>
                <w:color w:val="000000"/>
              </w:rPr>
              <w:t xml:space="preserve">125</w:t>
            </w:r>
            <w:r>
              <w:rPr>
                <w:rFonts w:ascii="宋体" w:hAnsi="宋体"/>
                <w:color w:val="000000"/>
              </w:rPr>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可靠性要求</w:t>
            </w:r>
            <w:r>
              <w:rPr>
                <w:rFonts w:ascii="宋体" w:hAnsi="宋体"/>
                <w:color w:val="000000"/>
              </w:rPr>
            </w:r>
            <w:r/>
          </w:p>
        </w:tc>
        <w:tc>
          <w:tcPr>
            <w:tcW w:w="1280" w:type="dxa"/>
            <w:vAlign w:val="center"/>
            <w:textDirection w:val="lrTb"/>
            <w:noWrap w:val="false"/>
          </w:tcPr>
          <w:p>
            <w:pPr>
              <w:pStyle w:val="734"/>
              <w:ind w:right="80"/>
              <w:spacing w:line="220" w:lineRule="exact"/>
              <w:rPr>
                <w:rFonts w:ascii="宋体" w:hAnsi="宋体"/>
                <w:color w:val="000000"/>
              </w:rPr>
            </w:pPr>
            <w:r>
              <w:rPr>
                <w:rFonts w:ascii="宋体" w:hAnsi="宋体" w:cs="黑体"/>
                <w:color w:val="000000"/>
              </w:rPr>
              <w:t xml:space="preserve">*整机可靠性要求</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*整机可靠性</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m1值（MTBF的不可接受值）不得低于30000h</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olor w:val="000000"/>
              </w:rPr>
            </w:pPr>
            <w:r>
              <w:rPr>
                <w:rFonts w:ascii="宋体" w:hAnsi="宋体" w:cs="黑体"/>
                <w:color w:val="000000"/>
              </w:rPr>
              <w:t xml:space="preserve">126</w:t>
            </w:r>
            <w:r>
              <w:rPr>
                <w:rFonts w:ascii="宋体" w:hAnsi="宋体"/>
                <w:color w:val="000000"/>
              </w:rPr>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可靠性要求</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*风扇可靠性</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风扇寿命应不低于40000h</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olor w:val="000000"/>
              </w:rPr>
            </w:pPr>
            <w:r>
              <w:rPr>
                <w:rFonts w:ascii="宋体" w:hAnsi="宋体" w:cs="黑体"/>
                <w:color w:val="000000"/>
              </w:rPr>
              <w:t xml:space="preserve">127</w:t>
            </w:r>
            <w:r>
              <w:rPr>
                <w:rFonts w:ascii="宋体" w:hAnsi="宋体"/>
                <w:color w:val="000000"/>
              </w:rPr>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可靠性要求</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*部件可靠性</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支持硬盘、电源、风扇热插拔(内置风扇除外)</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olor w:val="000000"/>
              </w:rPr>
            </w:pPr>
            <w:r>
              <w:rPr>
                <w:rFonts w:ascii="宋体" w:hAnsi="宋体" w:cs="黑体"/>
                <w:color w:val="000000"/>
              </w:rPr>
              <w:t xml:space="preserve">128</w:t>
            </w:r>
            <w:r>
              <w:rPr>
                <w:rFonts w:ascii="宋体" w:hAnsi="宋体"/>
                <w:color w:val="000000"/>
              </w:rPr>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包装及运输要求</w:t>
            </w:r>
            <w:r>
              <w:rPr>
                <w:rFonts w:ascii="宋体" w:hAnsi="宋体"/>
                <w:color w:val="000000"/>
              </w:rPr>
            </w:r>
            <w:r/>
          </w:p>
        </w:tc>
        <w:tc>
          <w:tcPr>
            <w:tcW w:w="1280" w:type="dxa"/>
            <w:vAlign w:val="center"/>
            <w:textDirection w:val="lrTb"/>
            <w:noWrap w:val="false"/>
          </w:tcPr>
          <w:p>
            <w:pPr>
              <w:pStyle w:val="734"/>
              <w:ind w:right="80"/>
              <w:spacing w:line="220" w:lineRule="exact"/>
              <w:rPr>
                <w:rFonts w:ascii="宋体" w:hAnsi="宋体"/>
                <w:color w:val="000000"/>
              </w:rPr>
            </w:pPr>
            <w:r>
              <w:rPr>
                <w:rFonts w:ascii="宋体" w:hAnsi="宋体" w:cs="黑体"/>
                <w:color w:val="000000"/>
              </w:rPr>
              <w:t xml:space="preserve">*包装及运输要求</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*标志、包装、运输和贮存</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符合GB/T 9813.3和商品包装政府采购需求标准的相关规定</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olor w:val="000000"/>
              </w:rPr>
            </w:pPr>
            <w:r>
              <w:rPr>
                <w:rFonts w:ascii="宋体" w:hAnsi="宋体" w:cs="黑体"/>
                <w:color w:val="000000"/>
              </w:rPr>
              <w:t xml:space="preserve">129</w:t>
            </w:r>
            <w:r>
              <w:rPr>
                <w:rFonts w:ascii="宋体" w:hAnsi="宋体"/>
                <w:color w:val="000000"/>
              </w:rPr>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80"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*服务响应</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*服务响应</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6" w:type="dxa"/>
            <w:vAlign w:val="center"/>
            <w:textDirection w:val="lrTb"/>
            <w:noWrap w:val="false"/>
          </w:tcPr>
          <w:p>
            <w:pPr>
              <w:pStyle w:val="734"/>
              <w:numPr>
                <w:ilvl w:val="0"/>
                <w:numId w:val="40"/>
              </w:numPr>
              <w:jc w:val="left"/>
              <w:spacing w:line="220" w:lineRule="exact"/>
              <w:widowControl/>
              <w:rPr>
                <w:rFonts w:ascii="宋体" w:hAnsi="宋体"/>
                <w:color w:val="000000"/>
              </w:rPr>
            </w:pPr>
            <w:r>
              <w:rPr>
                <w:rFonts w:ascii="宋体" w:hAnsi="宋体" w:cs="黑体"/>
                <w:color w:val="000000"/>
              </w:rPr>
              <w:t xml:space="preserve">提供电话、电子邮件、远程连接等多种形式服务；</w:t>
            </w:r>
            <w:r>
              <w:rPr>
                <w:rFonts w:ascii="宋体" w:hAnsi="宋体"/>
                <w:color w:val="000000"/>
              </w:rPr>
            </w:r>
            <w:r/>
          </w:p>
          <w:p>
            <w:pPr>
              <w:pStyle w:val="734"/>
              <w:numPr>
                <w:ilvl w:val="0"/>
                <w:numId w:val="40"/>
              </w:numPr>
              <w:jc w:val="left"/>
              <w:spacing w:line="220" w:lineRule="exact"/>
              <w:widowControl/>
              <w:rPr>
                <w:rFonts w:ascii="宋体" w:hAnsi="宋体"/>
                <w:color w:val="000000"/>
              </w:rPr>
            </w:pPr>
            <w:r>
              <w:rPr>
                <w:rFonts w:ascii="宋体" w:hAnsi="宋体" w:cs="黑体"/>
                <w:color w:val="000000"/>
              </w:rPr>
              <w:t xml:space="preserve">提供同城4h、异地12h技术响应服务，2个工作日解决问题，对于未能解决的问题和故障应提供可行的升级方案，并提供周转设备； c) 建立全国技术服务体系和服务团体，符合专业服务体系标准要求，提供原厂中文服务； d) 服务周期内提供产品的维修、换件和升级服务</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olor w:val="000000"/>
              </w:rPr>
            </w:pPr>
            <w:r>
              <w:rPr>
                <w:rFonts w:ascii="宋体" w:hAnsi="宋体" w:cs="黑体"/>
                <w:color w:val="000000"/>
              </w:rPr>
              <w:t xml:space="preserve">130</w:t>
            </w:r>
            <w:r>
              <w:rPr>
                <w:rFonts w:ascii="宋体" w:hAnsi="宋体"/>
                <w:color w:val="000000"/>
              </w:rPr>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*培训服务</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供应商提供培训材料、产品手册、培训视频等培训相关内容</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olor w:val="000000"/>
              </w:rPr>
            </w:pPr>
            <w:r>
              <w:rPr>
                <w:rFonts w:ascii="宋体" w:hAnsi="宋体" w:cs="黑体"/>
                <w:color w:val="000000"/>
              </w:rPr>
              <w:t xml:space="preserve">131</w:t>
            </w:r>
            <w:r>
              <w:rPr>
                <w:rFonts w:ascii="宋体" w:hAnsi="宋体"/>
                <w:color w:val="000000"/>
              </w:rPr>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80"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*服务周期</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*服务周期</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6" w:type="dxa"/>
            <w:vAlign w:val="center"/>
            <w:textDirection w:val="lrTb"/>
            <w:noWrap w:val="false"/>
          </w:tcPr>
          <w:p>
            <w:pPr>
              <w:pStyle w:val="734"/>
              <w:ind w:left="1" w:right="91" w:firstLine="360"/>
              <w:spacing w:line="220" w:lineRule="exact"/>
              <w:rPr>
                <w:rFonts w:ascii="宋体" w:hAnsi="宋体"/>
                <w:color w:val="000000"/>
              </w:rPr>
            </w:pPr>
            <w:r>
              <w:rPr>
                <w:rFonts w:ascii="宋体" w:hAnsi="宋体" w:cs="黑体"/>
                <w:color w:val="000000"/>
              </w:rPr>
              <w:t xml:space="preserve">a) 产品免费服务周期（含换件和维修）应不小于5年</w:t>
            </w:r>
            <w:r>
              <w:rPr>
                <w:rFonts w:hint="eastAsia" w:ascii="宋体" w:hAnsi="宋体" w:cs="黑体"/>
                <w:color w:val="000000"/>
              </w:rPr>
              <w:t xml:space="preserve">，提供介质保留服务不小于5年</w:t>
            </w:r>
            <w:r>
              <w:rPr>
                <w:rFonts w:ascii="宋体" w:hAnsi="宋体" w:cs="黑体"/>
                <w:color w:val="000000"/>
              </w:rPr>
              <w:t xml:space="preserve">； b) 设备停产后继续提供质量保障服务（含备品备件），服务终止时间与最后一批设备交付时间间隔不低于6年； c) 产品停止服务时间应提前1年告知客户；</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d) 产品发布日期需在随机文件中明确</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olor w:val="000000"/>
              </w:rPr>
            </w:pPr>
            <w:r>
              <w:rPr>
                <w:rFonts w:ascii="宋体" w:hAnsi="宋体" w:cs="黑体"/>
                <w:color w:val="000000"/>
              </w:rPr>
              <w:t xml:space="preserve">132</w:t>
            </w:r>
            <w:r>
              <w:rPr>
                <w:rFonts w:ascii="宋体" w:hAnsi="宋体"/>
                <w:color w:val="000000"/>
              </w:rPr>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80" w:type="dxa"/>
            <w:vAlign w:val="center"/>
            <w:textDirection w:val="lrTb"/>
            <w:noWrap w:val="false"/>
          </w:tcPr>
          <w:p>
            <w:pPr>
              <w:pStyle w:val="734"/>
              <w:ind w:left="4"/>
              <w:spacing w:line="220" w:lineRule="exact"/>
              <w:rPr>
                <w:rFonts w:ascii="宋体" w:hAnsi="宋体"/>
                <w:color w:val="000000"/>
              </w:rPr>
            </w:pPr>
            <w:r>
              <w:rPr>
                <w:rFonts w:ascii="宋体" w:hAnsi="宋体" w:cs="黑体"/>
                <w:color w:val="000000"/>
              </w:rPr>
              <w:t xml:space="preserve">*服务工具要求</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*工具要求</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供应商提供设置服务器硬件、辅助操作系统安装等功能的辅助工具和管理软件。且随附软件应具有合法授权或版权</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olor w:val="000000"/>
              </w:rPr>
            </w:pPr>
            <w:r>
              <w:rPr>
                <w:rFonts w:ascii="宋体" w:hAnsi="宋体" w:cs="黑体"/>
                <w:color w:val="000000"/>
              </w:rPr>
              <w:t xml:space="preserve">133</w:t>
            </w:r>
            <w:r>
              <w:rPr>
                <w:rFonts w:ascii="宋体" w:hAnsi="宋体"/>
                <w:color w:val="000000"/>
              </w:rPr>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辅助工具</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支持如下功能</w:t>
            </w:r>
            <w:r>
              <w:rPr>
                <w:rFonts w:ascii="宋体" w:hAnsi="宋体"/>
                <w:color w:val="000000"/>
              </w:rPr>
            </w:r>
            <w:r/>
          </w:p>
          <w:p>
            <w:pPr>
              <w:pStyle w:val="734"/>
              <w:numPr>
                <w:ilvl w:val="0"/>
                <w:numId w:val="41"/>
              </w:numPr>
              <w:ind w:right="124"/>
              <w:jc w:val="left"/>
              <w:spacing w:after="5" w:line="220" w:lineRule="exact"/>
              <w:widowControl/>
              <w:rPr>
                <w:rFonts w:ascii="宋体" w:hAnsi="宋体"/>
                <w:color w:val="000000"/>
              </w:rPr>
            </w:pPr>
            <w:r>
              <w:rPr>
                <w:rFonts w:ascii="宋体" w:hAnsi="宋体" w:cs="黑体"/>
                <w:color w:val="000000"/>
              </w:rPr>
              <w:t xml:space="preserve">本地的数据备份和还原功能；</w:t>
            </w:r>
            <w:r>
              <w:rPr>
                <w:rFonts w:ascii="宋体" w:hAnsi="宋体"/>
                <w:color w:val="000000"/>
              </w:rPr>
            </w:r>
            <w:r/>
          </w:p>
          <w:p>
            <w:pPr>
              <w:pStyle w:val="734"/>
              <w:numPr>
                <w:ilvl w:val="0"/>
                <w:numId w:val="41"/>
              </w:numPr>
              <w:ind w:right="124"/>
              <w:jc w:val="left"/>
              <w:spacing w:line="220" w:lineRule="exact"/>
              <w:widowControl/>
              <w:rPr>
                <w:rFonts w:ascii="宋体" w:hAnsi="宋体"/>
                <w:color w:val="000000"/>
              </w:rPr>
            </w:pPr>
            <w:r>
              <w:rPr>
                <w:rFonts w:ascii="宋体" w:hAnsi="宋体" w:cs="黑体"/>
                <w:color w:val="000000"/>
              </w:rPr>
              <w:t xml:space="preserve">网络的数据备份和还原功能； c) 服务器操作系统的自动安装功能； d) 服务器所配硬件需要的驱动程序和系统补丁</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olor w:val="000000"/>
              </w:rPr>
            </w:pPr>
            <w:r>
              <w:rPr>
                <w:rFonts w:ascii="宋体" w:hAnsi="宋体" w:cs="黑体"/>
                <w:color w:val="000000"/>
              </w:rPr>
              <w:t xml:space="preserve">134</w:t>
            </w:r>
            <w:r>
              <w:rPr>
                <w:rFonts w:ascii="宋体" w:hAnsi="宋体"/>
                <w:color w:val="000000"/>
              </w:rPr>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*驱动安装升级指引</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供应商提供出厂安装的配件所需的驱动程序，形式包括但不限于驱动光盘、驱动下载链接等。其他配件应提供指引</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olor w:val="000000"/>
              </w:rPr>
            </w:pPr>
            <w:r>
              <w:rPr>
                <w:rFonts w:ascii="宋体" w:hAnsi="宋体" w:cs="黑体"/>
                <w:color w:val="000000"/>
              </w:rPr>
              <w:t xml:space="preserve">135</w:t>
            </w:r>
            <w:r>
              <w:rPr>
                <w:rFonts w:ascii="宋体" w:hAnsi="宋体"/>
                <w:color w:val="000000"/>
              </w:rPr>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随机附开盖工具</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随服务器打包提供开机箱工具</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olor w:val="000000"/>
              </w:rPr>
            </w:pPr>
            <w:r>
              <w:rPr>
                <w:rFonts w:ascii="宋体" w:hAnsi="宋体" w:cs="黑体"/>
                <w:color w:val="000000"/>
              </w:rPr>
              <w:t xml:space="preserve">136</w:t>
            </w:r>
            <w:r>
              <w:rPr>
                <w:rFonts w:ascii="宋体" w:hAnsi="宋体"/>
                <w:color w:val="000000"/>
              </w:rPr>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代码迁移工具</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供应商提供从其他CPU架构到当前服务器CPU架构的软件迁移工具产品，支持软件包迁移评估，对满足产品重构要求的软件包，能重构为当前服务器CPU架构的软件包。提</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供源码迁移功能，检查分析</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C/C++/Fortran/Go/解释型语言/汇编等源码文件，基于产品功能给出迁移指导</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olor w:val="000000"/>
              </w:rPr>
            </w:pPr>
            <w:r>
              <w:rPr>
                <w:rFonts w:ascii="宋体" w:hAnsi="宋体" w:cs="黑体"/>
                <w:color w:val="000000"/>
              </w:rPr>
              <w:t xml:space="preserve">137</w:t>
            </w:r>
            <w:r>
              <w:rPr>
                <w:rFonts w:ascii="宋体" w:hAnsi="宋体"/>
                <w:color w:val="000000"/>
              </w:rPr>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性能分析工具</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供应商提供支持当前服务器CPU架构的性能分析工具产品，支持系统性能分析、Java性能分析和系统诊断，可分析系统或应用在CPU、内存、</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IO、网络等方面的性能，并给出优化建议</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olor w:val="000000"/>
              </w:rPr>
            </w:pPr>
            <w:r>
              <w:rPr>
                <w:rFonts w:ascii="宋体" w:hAnsi="宋体" w:cs="黑体"/>
                <w:color w:val="000000"/>
              </w:rPr>
              <w:t xml:space="preserve">138</w:t>
            </w:r>
            <w:r>
              <w:rPr>
                <w:rFonts w:ascii="宋体" w:hAnsi="宋体"/>
                <w:color w:val="000000"/>
              </w:rPr>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ind w:right="19" w:firstLine="360"/>
              <w:spacing w:line="220" w:lineRule="exact"/>
              <w:rPr>
                <w:rFonts w:ascii="宋体" w:hAnsi="宋体"/>
                <w:color w:val="000000"/>
              </w:rPr>
            </w:pPr>
            <w:r>
              <w:rPr>
                <w:rFonts w:ascii="宋体" w:hAnsi="宋体" w:cs="黑体"/>
                <w:color w:val="000000"/>
              </w:rPr>
              <w:t xml:space="preserve">跨架构平台应用兼容</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跨CPU架构平台应用兼容工具，可兼容一种或者一种以上不同架构平台的应用</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olor w:val="000000"/>
              </w:rPr>
            </w:pPr>
            <w:r>
              <w:rPr>
                <w:rFonts w:ascii="宋体" w:hAnsi="宋体" w:cs="黑体"/>
                <w:color w:val="000000"/>
              </w:rPr>
              <w:t xml:space="preserve">139</w:t>
            </w:r>
            <w:r>
              <w:rPr>
                <w:rFonts w:ascii="宋体" w:hAnsi="宋体"/>
                <w:color w:val="000000"/>
              </w:rPr>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*管理软件</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具备资源管理、系统管理、性能监控、健康监控、基于网络控制、报警设置功能</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olor w:val="000000"/>
              </w:rPr>
            </w:pPr>
            <w:r>
              <w:rPr>
                <w:rFonts w:ascii="宋体" w:hAnsi="宋体" w:cs="黑体"/>
                <w:color w:val="000000"/>
              </w:rPr>
              <w:t xml:space="preserve">140</w:t>
            </w:r>
            <w:r>
              <w:rPr>
                <w:rFonts w:ascii="宋体" w:hAnsi="宋体"/>
                <w:color w:val="000000"/>
              </w:rPr>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80" w:type="dxa"/>
            <w:vAlign w:val="center"/>
            <w:textDirection w:val="lrTb"/>
            <w:noWrap w:val="false"/>
          </w:tcPr>
          <w:p>
            <w:pPr>
              <w:pStyle w:val="734"/>
              <w:ind w:firstLine="360"/>
              <w:jc w:val="center"/>
              <w:spacing w:line="220" w:lineRule="exact"/>
              <w:rPr>
                <w:rFonts w:ascii="宋体" w:hAnsi="宋体"/>
                <w:color w:val="000000"/>
              </w:rPr>
            </w:pPr>
            <w:r>
              <w:rPr>
                <w:rFonts w:ascii="宋体" w:hAnsi="宋体" w:cs="黑体"/>
                <w:color w:val="000000"/>
              </w:rPr>
              <w:t xml:space="preserve">*增值服务</w:t>
            </w:r>
            <w:r>
              <w:rPr>
                <w:rFonts w:ascii="宋体" w:hAnsi="宋体"/>
                <w:color w:val="000000"/>
              </w:rPr>
            </w:r>
            <w:r/>
          </w:p>
        </w:tc>
        <w:tc>
          <w:tcPr>
            <w:tcW w:w="1134" w:type="dxa"/>
            <w:vAlign w:val="center"/>
            <w:textDirection w:val="lrTb"/>
            <w:noWrap w:val="false"/>
          </w:tcPr>
          <w:p>
            <w:pPr>
              <w:pStyle w:val="734"/>
              <w:ind w:right="19" w:firstLine="360"/>
              <w:spacing w:line="220" w:lineRule="exact"/>
              <w:rPr>
                <w:rFonts w:ascii="宋体" w:hAnsi="宋体"/>
                <w:color w:val="000000"/>
              </w:rPr>
            </w:pPr>
            <w:r>
              <w:rPr>
                <w:rFonts w:ascii="宋体" w:hAnsi="宋体" w:cs="黑体"/>
                <w:color w:val="000000"/>
              </w:rPr>
              <w:t xml:space="preserve">*厂家升级产品软件与扩容服务</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供应商提供原厂级的部件/软件产品升级和扩容能力</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olor w:val="000000"/>
              </w:rPr>
            </w:pPr>
            <w:r>
              <w:rPr>
                <w:rFonts w:ascii="宋体" w:hAnsi="宋体" w:cs="黑体"/>
                <w:color w:val="000000"/>
              </w:rPr>
              <w:t xml:space="preserve">141</w:t>
            </w:r>
            <w:r>
              <w:rPr>
                <w:rFonts w:ascii="宋体" w:hAnsi="宋体"/>
                <w:color w:val="000000"/>
              </w:rPr>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服务保障升级</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供应商有偿提供远程技术支持、软件授权服务、备件更换服务、现场支承服务</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olor w:val="000000"/>
              </w:rPr>
            </w:pPr>
            <w:r>
              <w:rPr>
                <w:rFonts w:ascii="宋体" w:hAnsi="宋体" w:cs="黑体"/>
                <w:color w:val="000000"/>
              </w:rPr>
              <w:t xml:space="preserve">142</w:t>
            </w:r>
            <w:r>
              <w:rPr>
                <w:rFonts w:ascii="宋体" w:hAnsi="宋体"/>
                <w:color w:val="000000"/>
              </w:rPr>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*提供上门服务</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供应商具备提供上门服务的能力</w:t>
            </w:r>
            <w:r>
              <w:rPr>
                <w:rFonts w:ascii="宋体" w:hAnsi="宋体"/>
                <w:color w:val="000000"/>
              </w:rPr>
            </w:r>
            <w:r/>
          </w:p>
        </w:tc>
      </w:tr>
      <w:tr>
        <w:trPr/>
        <w:tc>
          <w:tcPr>
            <w:tcW w:w="893" w:type="dxa"/>
            <w:vAlign w:val="center"/>
            <w:textDirection w:val="lrTb"/>
            <w:noWrap w:val="false"/>
          </w:tcPr>
          <w:p>
            <w:pPr>
              <w:pStyle w:val="734"/>
              <w:ind w:right="93"/>
              <w:jc w:val="center"/>
              <w:spacing w:line="220" w:lineRule="exact"/>
              <w:rPr>
                <w:rFonts w:ascii="宋体" w:hAnsi="宋体"/>
                <w:color w:val="000000"/>
              </w:rPr>
            </w:pPr>
            <w:r>
              <w:rPr>
                <w:rFonts w:ascii="宋体" w:hAnsi="宋体" w:cs="黑体"/>
                <w:color w:val="000000"/>
              </w:rPr>
              <w:t xml:space="preserve">143</w:t>
            </w:r>
            <w:r>
              <w:rPr>
                <w:rFonts w:ascii="宋体" w:hAnsi="宋体"/>
                <w:color w:val="000000"/>
              </w:rPr>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业务场景性能优化服务及整体架构升级服务</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供应商提供针对特定业务场景性能优化服务及整体架构升级服务</w:t>
            </w:r>
            <w:r>
              <w:rPr>
                <w:rFonts w:ascii="宋体" w:hAnsi="宋体"/>
                <w:color w:val="000000"/>
              </w:rPr>
            </w:r>
            <w:r/>
          </w:p>
        </w:tc>
      </w:tr>
      <w:tr>
        <w:trPr/>
        <w:tc>
          <w:tcPr>
            <w:tcW w:w="893" w:type="dxa"/>
            <w:vAlign w:val="center"/>
            <w:textDirection w:val="lrTb"/>
            <w:noWrap w:val="false"/>
          </w:tcPr>
          <w:p>
            <w:pPr>
              <w:pStyle w:val="734"/>
              <w:ind w:right="4"/>
              <w:jc w:val="center"/>
              <w:spacing w:line="220" w:lineRule="exact"/>
              <w:rPr>
                <w:rFonts w:ascii="宋体" w:hAnsi="宋体"/>
                <w:color w:val="000000"/>
              </w:rPr>
            </w:pPr>
            <w:r>
              <w:rPr>
                <w:rFonts w:ascii="宋体" w:hAnsi="宋体" w:cs="黑体"/>
                <w:color w:val="000000"/>
              </w:rPr>
              <w:t xml:space="preserve">144</w:t>
            </w:r>
            <w:r>
              <w:rPr>
                <w:rFonts w:ascii="宋体" w:hAnsi="宋体"/>
                <w:color w:val="000000"/>
              </w:rPr>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供保要求</w:t>
            </w:r>
            <w:r>
              <w:rPr>
                <w:rFonts w:ascii="宋体" w:hAnsi="宋体"/>
                <w:color w:val="000000"/>
              </w:rPr>
            </w:r>
            <w:r/>
          </w:p>
        </w:tc>
        <w:tc>
          <w:tcPr>
            <w:tcW w:w="1280" w:type="dxa"/>
            <w:vAlign w:val="center"/>
            <w:textDirection w:val="lrTb"/>
            <w:noWrap w:val="false"/>
          </w:tcPr>
          <w:p>
            <w:pPr>
              <w:pStyle w:val="734"/>
              <w:ind w:firstLine="360"/>
              <w:jc w:val="center"/>
              <w:spacing w:line="220" w:lineRule="exact"/>
              <w:rPr>
                <w:rFonts w:ascii="宋体" w:hAnsi="宋体"/>
                <w:color w:val="000000"/>
              </w:rPr>
            </w:pPr>
            <w:r>
              <w:rPr>
                <w:rFonts w:ascii="宋体" w:hAnsi="宋体" w:cs="黑体"/>
                <w:color w:val="000000"/>
              </w:rPr>
              <w:t xml:space="preserve">*供应链质量</w:t>
            </w:r>
            <w:r>
              <w:rPr>
                <w:rFonts w:ascii="宋体" w:hAnsi="宋体"/>
                <w:color w:val="000000"/>
              </w:rPr>
            </w:r>
            <w:r/>
          </w:p>
        </w:tc>
        <w:tc>
          <w:tcPr>
            <w:tcW w:w="1134"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*抗干扰性</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当产品部件出现供应风险时，应通知客户并提供风险应对方案确保产品的服务保障，必要时应停止相关受影响产品的销售</w:t>
            </w:r>
            <w:r>
              <w:rPr>
                <w:rFonts w:ascii="宋体" w:hAnsi="宋体"/>
                <w:color w:val="000000"/>
              </w:rPr>
            </w:r>
            <w:r/>
          </w:p>
        </w:tc>
      </w:tr>
      <w:tr>
        <w:trPr/>
        <w:tc>
          <w:tcPr>
            <w:tcW w:w="893" w:type="dxa"/>
            <w:vAlign w:val="center"/>
            <w:textDirection w:val="lrTb"/>
            <w:noWrap w:val="false"/>
          </w:tcPr>
          <w:p>
            <w:pPr>
              <w:pStyle w:val="734"/>
              <w:ind w:right="4"/>
              <w:jc w:val="center"/>
              <w:spacing w:line="220" w:lineRule="exact"/>
              <w:rPr>
                <w:rFonts w:ascii="宋体" w:hAnsi="宋体"/>
                <w:color w:val="000000"/>
              </w:rPr>
            </w:pPr>
            <w:r>
              <w:rPr>
                <w:rFonts w:ascii="宋体" w:hAnsi="宋体" w:cs="黑体"/>
                <w:color w:val="000000"/>
              </w:rPr>
              <w:t xml:space="preserve">145</w:t>
            </w:r>
            <w:r>
              <w:rPr>
                <w:rFonts w:ascii="宋体" w:hAnsi="宋体"/>
                <w:color w:val="000000"/>
              </w:rPr>
            </w:r>
            <w:r/>
          </w:p>
        </w:tc>
        <w:tc>
          <w:tcPr>
            <w:tcW w:w="1395"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供保要求</w:t>
            </w:r>
            <w:r>
              <w:rPr>
                <w:rFonts w:ascii="宋体" w:hAnsi="宋体"/>
                <w:color w:val="000000"/>
              </w:rPr>
            </w:r>
            <w:r/>
          </w:p>
        </w:tc>
        <w:tc>
          <w:tcPr>
            <w:tcW w:w="1280"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4"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*供应能力证明</w:t>
            </w:r>
            <w:r>
              <w:rPr>
                <w:rFonts w:ascii="宋体" w:hAnsi="宋体"/>
                <w:color w:val="000000"/>
              </w:rPr>
            </w:r>
            <w:r/>
          </w:p>
        </w:tc>
        <w:tc>
          <w:tcPr>
            <w:tcW w:w="1134"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61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供应商提供供应链稳定承诺书，确保产品的部件在产品服务周期内稳定供货</w:t>
            </w:r>
            <w:r>
              <w:rPr>
                <w:rFonts w:ascii="宋体" w:hAnsi="宋体"/>
                <w:color w:val="000000"/>
              </w:rPr>
            </w:r>
            <w:r/>
          </w:p>
        </w:tc>
      </w:tr>
    </w:tbl>
    <w:p>
      <w:pPr>
        <w:pStyle w:val="734"/>
        <w:rPr>
          <w:rFonts w:hint="eastAsia"/>
          <w:color w:val="000000"/>
          <w:sz w:val="24"/>
          <w:szCs w:val="24"/>
        </w:rPr>
      </w:pPr>
      <w:r>
        <w:rPr>
          <w:rFonts w:hint="eastAsia"/>
          <w:color w:val="000000"/>
          <w:sz w:val="24"/>
          <w:szCs w:val="24"/>
        </w:rPr>
      </w:r>
      <w:r/>
    </w:p>
    <w:p>
      <w:pPr>
        <w:pStyle w:val="738"/>
        <w:rPr>
          <w:rFonts w:ascii="宋体" w:hAnsi="宋体" w:eastAsia="宋体"/>
          <w:color w:val="000000"/>
          <w:sz w:val="24"/>
          <w:szCs w:val="24"/>
        </w:rPr>
      </w:pPr>
      <w:r>
        <w:rPr>
          <w:rFonts w:hint="eastAsia" w:ascii="宋体" w:hAnsi="宋体" w:eastAsia="宋体"/>
          <w:color w:val="000000"/>
          <w:sz w:val="24"/>
          <w:szCs w:val="24"/>
        </w:rPr>
        <w:t xml:space="preserve">4.4 前置服务器 </w:t>
      </w:r>
      <w:r>
        <w:rPr>
          <w:rFonts w:ascii="宋体" w:hAnsi="宋体" w:eastAsia="宋体"/>
          <w:color w:val="000000"/>
          <w:sz w:val="24"/>
          <w:szCs w:val="24"/>
        </w:rPr>
        <w:t xml:space="preserve">4</w:t>
      </w:r>
      <w:r>
        <w:rPr>
          <w:rFonts w:hint="eastAsia" w:ascii="宋体" w:hAnsi="宋体" w:eastAsia="宋体"/>
          <w:color w:val="000000"/>
          <w:sz w:val="24"/>
          <w:szCs w:val="24"/>
        </w:rPr>
        <w:t xml:space="preserve">台</w:t>
      </w:r>
      <w:r>
        <w:rPr>
          <w:rFonts w:ascii="宋体" w:hAnsi="宋体" w:eastAsia="宋体"/>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7" w:type="dxa"/>
          <w:top w:w="42" w:type="dxa"/>
          <w:right w:w="108" w:type="dxa"/>
          <w:bottom w:w="0" w:type="dxa"/>
        </w:tblCellMar>
        <w:tblLook w:val="04A0" w:firstRow="1" w:lastRow="0" w:firstColumn="1" w:lastColumn="0" w:noHBand="0" w:noVBand="1"/>
      </w:tblPr>
      <w:tblGrid>
        <w:gridCol w:w="1005"/>
        <w:gridCol w:w="1376"/>
        <w:gridCol w:w="1278"/>
        <w:gridCol w:w="1133"/>
        <w:gridCol w:w="1135"/>
        <w:gridCol w:w="3708"/>
      </w:tblGrid>
      <w:tr>
        <w:trPr/>
        <w:tc>
          <w:tcPr>
            <w:tcW w:w="1005" w:type="dxa"/>
            <w:vAlign w:val="center"/>
            <w:textDirection w:val="lrTb"/>
            <w:noWrap w:val="false"/>
          </w:tcPr>
          <w:p>
            <w:pPr>
              <w:pStyle w:val="734"/>
              <w:ind w:left="70"/>
              <w:jc w:val="center"/>
              <w:spacing w:line="220" w:lineRule="exact"/>
              <w:rPr>
                <w:rFonts w:ascii="宋体" w:hAnsi="宋体"/>
                <w:b/>
                <w:color w:val="000000"/>
              </w:rPr>
            </w:pPr>
            <w:r>
              <w:rPr>
                <w:rFonts w:ascii="宋体" w:hAnsi="宋体" w:cs="黑体"/>
                <w:b/>
                <w:color w:val="000000"/>
              </w:rPr>
              <w:t xml:space="preserve">序号</w:t>
            </w:r>
            <w:r>
              <w:rPr>
                <w:rFonts w:ascii="宋体" w:hAnsi="宋体"/>
                <w:b/>
                <w:color w:val="000000"/>
              </w:rPr>
            </w:r>
            <w:r/>
          </w:p>
        </w:tc>
        <w:tc>
          <w:tcPr>
            <w:tcW w:w="1376" w:type="dxa"/>
            <w:vAlign w:val="center"/>
            <w:textDirection w:val="lrTb"/>
            <w:noWrap w:val="false"/>
          </w:tcPr>
          <w:p>
            <w:pPr>
              <w:pStyle w:val="734"/>
              <w:jc w:val="center"/>
              <w:spacing w:line="220" w:lineRule="exact"/>
              <w:rPr>
                <w:rFonts w:ascii="宋体" w:hAnsi="宋体"/>
                <w:b/>
                <w:color w:val="000000"/>
              </w:rPr>
            </w:pPr>
            <w:r>
              <w:rPr>
                <w:rFonts w:ascii="宋体" w:hAnsi="宋体" w:cs="黑体"/>
                <w:b/>
                <w:color w:val="000000"/>
              </w:rPr>
              <w:t xml:space="preserve">指标分类</w:t>
            </w:r>
            <w:r>
              <w:rPr>
                <w:rFonts w:ascii="宋体" w:hAnsi="宋体"/>
                <w:b/>
                <w:color w:val="000000"/>
              </w:rPr>
            </w:r>
            <w:r/>
          </w:p>
        </w:tc>
        <w:tc>
          <w:tcPr>
            <w:tcW w:w="1278" w:type="dxa"/>
            <w:vAlign w:val="center"/>
            <w:textDirection w:val="lrTb"/>
            <w:noWrap w:val="false"/>
          </w:tcPr>
          <w:p>
            <w:pPr>
              <w:pStyle w:val="734"/>
              <w:jc w:val="center"/>
              <w:spacing w:line="220" w:lineRule="exact"/>
              <w:rPr>
                <w:rFonts w:ascii="宋体" w:hAnsi="宋体"/>
                <w:b/>
                <w:color w:val="000000"/>
              </w:rPr>
            </w:pPr>
            <w:r>
              <w:rPr>
                <w:rFonts w:ascii="宋体" w:hAnsi="宋体" w:cs="黑体"/>
                <w:b/>
                <w:color w:val="000000"/>
              </w:rPr>
              <w:t xml:space="preserve">一级指标</w:t>
            </w:r>
            <w:r>
              <w:rPr>
                <w:rFonts w:ascii="宋体" w:hAnsi="宋体"/>
                <w:b/>
                <w:color w:val="000000"/>
              </w:rPr>
            </w:r>
            <w:r/>
          </w:p>
        </w:tc>
        <w:tc>
          <w:tcPr>
            <w:tcW w:w="1133" w:type="dxa"/>
            <w:vAlign w:val="center"/>
            <w:textDirection w:val="lrTb"/>
            <w:noWrap w:val="false"/>
          </w:tcPr>
          <w:p>
            <w:pPr>
              <w:pStyle w:val="734"/>
              <w:jc w:val="center"/>
              <w:spacing w:line="220" w:lineRule="exact"/>
              <w:rPr>
                <w:rFonts w:ascii="宋体" w:hAnsi="宋体"/>
                <w:b/>
                <w:color w:val="000000"/>
              </w:rPr>
            </w:pPr>
            <w:r>
              <w:rPr>
                <w:rFonts w:ascii="宋体" w:hAnsi="宋体" w:cs="黑体"/>
                <w:b/>
                <w:color w:val="000000"/>
              </w:rPr>
              <w:t xml:space="preserve">二级指标</w:t>
            </w:r>
            <w:r>
              <w:rPr>
                <w:rFonts w:ascii="宋体" w:hAnsi="宋体"/>
                <w:b/>
                <w:color w:val="000000"/>
              </w:rPr>
            </w:r>
            <w:r/>
          </w:p>
        </w:tc>
        <w:tc>
          <w:tcPr>
            <w:tcW w:w="1135" w:type="dxa"/>
            <w:vAlign w:val="center"/>
            <w:textDirection w:val="lrTb"/>
            <w:noWrap w:val="false"/>
          </w:tcPr>
          <w:p>
            <w:pPr>
              <w:pStyle w:val="734"/>
              <w:jc w:val="center"/>
              <w:spacing w:line="220" w:lineRule="exact"/>
              <w:rPr>
                <w:rFonts w:ascii="宋体" w:hAnsi="宋体"/>
                <w:b/>
                <w:color w:val="000000"/>
              </w:rPr>
            </w:pPr>
            <w:r>
              <w:rPr>
                <w:rFonts w:ascii="宋体" w:hAnsi="宋体" w:cs="黑体"/>
                <w:b/>
                <w:color w:val="000000"/>
              </w:rPr>
              <w:t xml:space="preserve">是否可以作为评分因素</w:t>
            </w:r>
            <w:r>
              <w:rPr>
                <w:rFonts w:ascii="宋体" w:hAnsi="宋体"/>
                <w:b/>
                <w:color w:val="000000"/>
              </w:rPr>
            </w:r>
            <w:r/>
          </w:p>
        </w:tc>
        <w:tc>
          <w:tcPr>
            <w:tcW w:w="3708" w:type="dxa"/>
            <w:vAlign w:val="center"/>
            <w:textDirection w:val="lrTb"/>
            <w:noWrap w:val="false"/>
          </w:tcPr>
          <w:p>
            <w:pPr>
              <w:pStyle w:val="734"/>
              <w:ind w:left="2" w:firstLine="360"/>
              <w:jc w:val="center"/>
              <w:spacing w:line="220" w:lineRule="exact"/>
              <w:rPr>
                <w:rFonts w:ascii="宋体" w:hAnsi="宋体"/>
                <w:b/>
                <w:color w:val="000000"/>
              </w:rPr>
            </w:pPr>
            <w:r>
              <w:rPr>
                <w:rFonts w:ascii="宋体" w:hAnsi="宋体" w:cs="黑体"/>
                <w:b/>
                <w:color w:val="000000"/>
              </w:rPr>
              <w:t xml:space="preserve">指标要求</w:t>
            </w:r>
            <w:r>
              <w:rPr>
                <w:rFonts w:ascii="宋体" w:hAnsi="宋体"/>
                <w:b/>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w:t>
            </w:r>
            <w:r/>
          </w:p>
        </w:tc>
        <w:tc>
          <w:tcPr>
            <w:tcW w:w="137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*CPU 规格</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*CPU信息</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spacing w:line="220" w:lineRule="exact"/>
              <w:rPr>
                <w:rFonts w:ascii="宋体" w:hAnsi="宋体"/>
                <w:color w:val="000000"/>
              </w:rPr>
            </w:pPr>
            <w:r>
              <w:rPr>
                <w:rFonts w:hint="eastAsia" w:ascii="宋体" w:hAnsi="宋体" w:cs="黑体"/>
                <w:color w:val="000000"/>
              </w:rPr>
              <w:t xml:space="preserve">配置2颗鲲鹏920处理器，主频≥2.6GHz（基准频率，非动态加速频率）；核数≥32个物理核/颗，非超线程数量；内存通道为4通道，最高速率2933</w:t>
            </w:r>
            <w:r>
              <w:rPr>
                <w:rFonts w:ascii="宋体" w:hAnsi="宋体" w:cs="黑体"/>
                <w:color w:val="000000"/>
              </w:rPr>
              <w:t xml:space="preserve">MH</w:t>
            </w:r>
            <w:r>
              <w:rPr>
                <w:rFonts w:hint="eastAsia" w:ascii="宋体" w:hAnsi="宋体" w:cs="黑体"/>
                <w:color w:val="000000"/>
              </w:rPr>
              <w:t xml:space="preserve">z，位宽64位，功耗1</w:t>
            </w:r>
            <w:r>
              <w:rPr>
                <w:rFonts w:ascii="宋体" w:hAnsi="宋体" w:cs="黑体"/>
                <w:color w:val="000000"/>
              </w:rPr>
              <w:t xml:space="preserve">15</w:t>
            </w:r>
            <w:r>
              <w:rPr>
                <w:rFonts w:hint="eastAsia" w:ascii="宋体" w:hAnsi="宋体" w:cs="黑体"/>
                <w:color w:val="000000"/>
              </w:rPr>
              <w:t xml:space="preserve">w</w:t>
            </w:r>
            <w:r>
              <w:rPr>
                <w:rFonts w:ascii="宋体" w:hAnsi="宋体"/>
                <w:color w:val="000000"/>
              </w:rPr>
            </w:r>
            <w:r/>
          </w:p>
        </w:tc>
      </w:tr>
      <w:tr>
        <w:trPr>
          <w:cantSplit/>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2</w:t>
            </w:r>
            <w:r/>
          </w:p>
        </w:tc>
        <w:tc>
          <w:tcPr>
            <w:tcW w:w="137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vMerge w:val="restart"/>
            <w:textDirection w:val="lrTb"/>
            <w:noWrap w:val="false"/>
          </w:tcPr>
          <w:p>
            <w:pPr>
              <w:pStyle w:val="734"/>
              <w:spacing w:line="220" w:lineRule="exact"/>
              <w:rPr>
                <w:rFonts w:ascii="宋体" w:hAnsi="宋体"/>
                <w:color w:val="000000"/>
              </w:rPr>
            </w:pPr>
            <w:r>
              <w:rPr>
                <w:rFonts w:ascii="宋体" w:hAnsi="宋体" w:cs="黑体"/>
                <w:color w:val="000000"/>
              </w:rPr>
              <w:t xml:space="preserve">*主板规格</w:t>
            </w:r>
            <w:r>
              <w:rPr>
                <w:rFonts w:ascii="宋体" w:hAnsi="宋体"/>
                <w:color w:val="000000"/>
              </w:rPr>
            </w:r>
            <w:r/>
          </w:p>
        </w:tc>
        <w:tc>
          <w:tcPr>
            <w:tcW w:w="1133" w:type="dxa"/>
            <w:vAlign w:val="center"/>
            <w:textDirection w:val="lrTb"/>
            <w:noWrap w:val="false"/>
          </w:tcPr>
          <w:p>
            <w:pPr>
              <w:pStyle w:val="734"/>
              <w:ind w:left="1"/>
              <w:spacing w:line="220" w:lineRule="exact"/>
              <w:rPr>
                <w:rFonts w:ascii="宋体" w:hAnsi="宋体"/>
                <w:color w:val="000000"/>
              </w:rPr>
            </w:pPr>
            <w:r>
              <w:rPr>
                <w:rFonts w:ascii="宋体" w:hAnsi="宋体" w:cs="黑体"/>
                <w:color w:val="000000"/>
              </w:rPr>
              <w:t xml:space="preserve">*主板支持的CPU和内存情况</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spacing w:line="220" w:lineRule="exact"/>
              <w:rPr>
                <w:rFonts w:ascii="宋体" w:hAnsi="宋体" w:cs="黑体"/>
                <w:color w:val="000000"/>
              </w:rPr>
            </w:pPr>
            <w:r>
              <w:rPr>
                <w:rFonts w:hint="eastAsia" w:ascii="宋体" w:hAnsi="宋体" w:cs="黑体"/>
                <w:color w:val="000000"/>
              </w:rPr>
              <w:t xml:space="preserve">支持鲲鹏9</w:t>
            </w:r>
            <w:r>
              <w:rPr>
                <w:rFonts w:ascii="宋体" w:hAnsi="宋体" w:cs="黑体"/>
                <w:color w:val="000000"/>
              </w:rPr>
              <w:t xml:space="preserve">20</w:t>
            </w:r>
            <w:r>
              <w:rPr>
                <w:rFonts w:hint="eastAsia" w:ascii="宋体" w:hAnsi="宋体" w:cs="黑体"/>
                <w:color w:val="000000"/>
              </w:rPr>
              <w:t xml:space="preserve">系列C</w:t>
            </w:r>
            <w:r>
              <w:rPr>
                <w:rFonts w:ascii="宋体" w:hAnsi="宋体" w:cs="黑体"/>
                <w:color w:val="000000"/>
              </w:rPr>
              <w:t xml:space="preserve">PU</w:t>
            </w:r>
            <w:r>
              <w:rPr>
                <w:rFonts w:hint="eastAsia" w:ascii="宋体" w:hAnsi="宋体" w:cs="黑体"/>
                <w:color w:val="000000"/>
              </w:rPr>
              <w:t xml:space="preserve"> </w:t>
            </w:r>
            <w:r>
              <w:rPr>
                <w:rFonts w:ascii="宋体" w:hAnsi="宋体" w:cs="黑体"/>
                <w:color w:val="000000"/>
              </w:rPr>
              <w:t xml:space="preserve">2</w:t>
            </w:r>
            <w:r>
              <w:rPr>
                <w:rFonts w:hint="eastAsia" w:ascii="宋体" w:hAnsi="宋体" w:cs="黑体"/>
                <w:color w:val="000000"/>
              </w:rPr>
              <w:t xml:space="preserve">颗，支持D</w:t>
            </w:r>
            <w:r>
              <w:rPr>
                <w:rFonts w:ascii="宋体" w:hAnsi="宋体" w:cs="黑体"/>
                <w:color w:val="000000"/>
              </w:rPr>
              <w:t xml:space="preserve">DR4</w:t>
            </w:r>
            <w:r>
              <w:rPr>
                <w:rFonts w:hint="eastAsia" w:ascii="宋体" w:hAnsi="宋体" w:cs="黑体"/>
                <w:color w:val="000000"/>
              </w:rPr>
              <w:t xml:space="preserve"> </w:t>
            </w:r>
            <w:r>
              <w:rPr>
                <w:rFonts w:ascii="宋体" w:hAnsi="宋体" w:cs="黑体"/>
                <w:color w:val="000000"/>
              </w:rPr>
              <w:t xml:space="preserve">2933MH</w:t>
            </w:r>
            <w:r>
              <w:rPr>
                <w:rFonts w:hint="eastAsia" w:ascii="宋体" w:hAnsi="宋体" w:cs="黑体"/>
                <w:color w:val="000000"/>
              </w:rPr>
              <w:t xml:space="preserve">z频率内存 </w:t>
            </w:r>
            <w:r>
              <w:rPr>
                <w:rFonts w:ascii="宋体" w:hAnsi="宋体" w:cs="黑体"/>
                <w:color w:val="000000"/>
              </w:rPr>
              <w:t xml:space="preserve">16</w:t>
            </w:r>
            <w:r>
              <w:rPr>
                <w:rFonts w:hint="eastAsia" w:ascii="宋体" w:hAnsi="宋体" w:cs="黑体"/>
                <w:color w:val="000000"/>
              </w:rPr>
              <w:t xml:space="preserve">根</w:t>
            </w:r>
            <w:r>
              <w:rPr>
                <w:rFonts w:ascii="宋体" w:hAnsi="宋体" w:cs="黑体"/>
                <w:color w:val="000000"/>
              </w:rPr>
            </w:r>
            <w:r/>
          </w:p>
        </w:tc>
      </w:tr>
      <w:tr>
        <w:trPr>
          <w:cantSplit/>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3</w:t>
            </w:r>
            <w:r/>
          </w:p>
        </w:tc>
        <w:tc>
          <w:tcPr>
            <w:tcW w:w="137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vMerge w:val="continue"/>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left="1"/>
              <w:spacing w:line="220" w:lineRule="exact"/>
              <w:rPr>
                <w:rFonts w:ascii="宋体" w:hAnsi="宋体"/>
                <w:color w:val="000000"/>
              </w:rPr>
            </w:pPr>
            <w:r>
              <w:rPr>
                <w:rFonts w:ascii="宋体" w:hAnsi="宋体" w:cs="黑体"/>
                <w:color w:val="000000"/>
              </w:rPr>
              <w:t xml:space="preserve">*主板内存槽数量</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非板载内存的可扩展插槽</w:t>
            </w:r>
            <w:r>
              <w:rPr>
                <w:rFonts w:hint="eastAsia" w:ascii="宋体" w:hAnsi="宋体" w:cs="黑体"/>
                <w:color w:val="000000"/>
              </w:rPr>
              <w:t xml:space="preserve">数量≥1</w:t>
            </w:r>
            <w:r>
              <w:rPr>
                <w:rFonts w:ascii="宋体" w:hAnsi="宋体" w:cs="黑体"/>
                <w:color w:val="000000"/>
              </w:rPr>
              <w:t xml:space="preserve">6个</w:t>
            </w:r>
            <w:r>
              <w:rPr>
                <w:rFonts w:ascii="宋体" w:hAnsi="宋体"/>
                <w:color w:val="000000"/>
              </w:rPr>
            </w:r>
            <w:r/>
          </w:p>
        </w:tc>
      </w:tr>
      <w:tr>
        <w:trPr>
          <w:cantSplit/>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4</w:t>
            </w:r>
            <w:r/>
          </w:p>
        </w:tc>
        <w:tc>
          <w:tcPr>
            <w:tcW w:w="137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vMerge w:val="continue"/>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left="1"/>
              <w:spacing w:line="220" w:lineRule="exact"/>
              <w:rPr>
                <w:rFonts w:ascii="宋体" w:hAnsi="宋体"/>
                <w:color w:val="000000"/>
              </w:rPr>
            </w:pPr>
            <w:r>
              <w:rPr>
                <w:rFonts w:ascii="宋体" w:hAnsi="宋体" w:cs="黑体"/>
                <w:color w:val="000000"/>
              </w:rPr>
              <w:t xml:space="preserve">*主板存储接口</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支持SATA、SAS等存储接口</w:t>
            </w:r>
            <w:r>
              <w:rPr>
                <w:rFonts w:ascii="宋体" w:hAnsi="宋体"/>
                <w:color w:val="000000"/>
              </w:rPr>
            </w:r>
            <w:r/>
          </w:p>
        </w:tc>
      </w:tr>
      <w:tr>
        <w:trPr>
          <w:cantSplit/>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5</w:t>
            </w:r>
            <w:r/>
          </w:p>
        </w:tc>
        <w:tc>
          <w:tcPr>
            <w:tcW w:w="137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vMerge w:val="continue"/>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left="1"/>
              <w:spacing w:line="220" w:lineRule="exact"/>
              <w:rPr>
                <w:rFonts w:ascii="宋体" w:hAnsi="宋体"/>
                <w:color w:val="000000"/>
              </w:rPr>
            </w:pPr>
            <w:r>
              <w:rPr>
                <w:rFonts w:ascii="宋体" w:hAnsi="宋体" w:cs="黑体"/>
                <w:color w:val="000000"/>
              </w:rPr>
              <w:t xml:space="preserve">*PCIe插槽</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接口</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符合PCIe3.0或以上的高速串行计算机扩展总线标准，PCIe的接口速率与位宽向下兼容</w:t>
            </w:r>
            <w:r>
              <w:rPr>
                <w:rFonts w:ascii="宋体" w:hAnsi="宋体"/>
                <w:color w:val="000000"/>
              </w:rPr>
            </w:r>
            <w:r/>
          </w:p>
        </w:tc>
      </w:tr>
      <w:tr>
        <w:trPr>
          <w:cantSplit/>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6</w:t>
            </w:r>
            <w:r/>
          </w:p>
        </w:tc>
        <w:tc>
          <w:tcPr>
            <w:tcW w:w="137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vMerge w:val="continue"/>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left="1"/>
              <w:spacing w:line="220" w:lineRule="exact"/>
              <w:rPr>
                <w:rFonts w:ascii="宋体" w:hAnsi="宋体"/>
                <w:color w:val="000000"/>
              </w:rPr>
            </w:pPr>
            <w:r>
              <w:rPr>
                <w:rFonts w:ascii="宋体" w:hAnsi="宋体" w:cs="黑体"/>
                <w:color w:val="000000"/>
              </w:rPr>
              <w:t xml:space="preserve">*主板PCIe 插槽数量及规格</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服务器PCIe插槽或接口</w:t>
            </w:r>
            <w:r>
              <w:rPr>
                <w:rFonts w:hint="eastAsia" w:ascii="宋体" w:hAnsi="宋体" w:cs="黑体"/>
                <w:color w:val="000000"/>
              </w:rPr>
              <w:t xml:space="preserve">数量≥</w:t>
            </w:r>
            <w:r>
              <w:rPr>
                <w:rFonts w:ascii="宋体" w:hAnsi="宋体" w:cs="黑体"/>
                <w:color w:val="000000"/>
              </w:rPr>
              <w:t xml:space="preserve">5个</w:t>
            </w:r>
            <w:r>
              <w:rPr>
                <w:rFonts w:ascii="宋体" w:hAnsi="宋体"/>
                <w:color w:val="000000"/>
              </w:rPr>
            </w:r>
            <w:r/>
          </w:p>
        </w:tc>
      </w:tr>
      <w:tr>
        <w:trPr>
          <w:cantSplit/>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7</w:t>
            </w:r>
            <w:r/>
          </w:p>
        </w:tc>
        <w:tc>
          <w:tcPr>
            <w:tcW w:w="1376" w:type="dxa"/>
            <w:vAlign w:val="center"/>
            <w:textDirection w:val="lrTb"/>
            <w:noWrap w:val="false"/>
          </w:tcPr>
          <w:p>
            <w:pPr>
              <w:pStyle w:val="734"/>
              <w:ind w:left="49"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vMerge w:val="continue"/>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left="1"/>
              <w:spacing w:line="220" w:lineRule="exact"/>
              <w:rPr>
                <w:rFonts w:ascii="宋体" w:hAnsi="宋体"/>
                <w:color w:val="000000"/>
              </w:rPr>
            </w:pPr>
            <w:r>
              <w:rPr>
                <w:rFonts w:ascii="宋体" w:hAnsi="宋体" w:cs="黑体"/>
                <w:color w:val="000000"/>
              </w:rPr>
              <w:t xml:space="preserve">特殊孔位及接口</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a)服务器机箱内主板可根据用户实际使用需求支持安装多功能导入装置板卡，机箱内预留多功能导入装置板卡安装位置，容量不小于</w:t>
            </w:r>
            <w:r>
              <w:rPr>
                <w:rFonts w:ascii="宋体" w:hAnsi="宋体"/>
                <w:color w:val="000000"/>
              </w:rPr>
            </w:r>
            <w:r/>
          </w:p>
          <w:p>
            <w:pPr>
              <w:pStyle w:val="734"/>
              <w:ind w:firstLine="360"/>
              <w:spacing w:line="220" w:lineRule="exact"/>
              <w:rPr>
                <w:rFonts w:ascii="宋体" w:hAnsi="宋体"/>
                <w:color w:val="000000"/>
              </w:rPr>
            </w:pPr>
            <w:r>
              <w:rPr>
                <w:rFonts w:ascii="宋体" w:hAnsi="宋体" w:cs="黑体"/>
                <w:color w:val="000000"/>
              </w:rPr>
              <w:t xml:space="preserve">55mm×45mm×15mm（长×宽×高，单位毫米）；</w:t>
            </w:r>
            <w:r>
              <w:rPr>
                <w:rFonts w:ascii="宋体" w:hAnsi="宋体"/>
                <w:color w:val="000000"/>
              </w:rPr>
            </w:r>
            <w:r/>
          </w:p>
          <w:p>
            <w:pPr>
              <w:pStyle w:val="734"/>
              <w:ind w:firstLine="360"/>
              <w:spacing w:line="220" w:lineRule="exact"/>
              <w:rPr>
                <w:rFonts w:ascii="宋体" w:hAnsi="宋体"/>
                <w:color w:val="000000"/>
              </w:rPr>
            </w:pPr>
            <w:r>
              <w:rPr>
                <w:rFonts w:ascii="宋体" w:hAnsi="宋体" w:cs="黑体"/>
                <w:color w:val="000000"/>
              </w:rPr>
              <w:t xml:space="preserve">b)服务器主板可根据用户实际使用需求预留满足USB3.0数据传输规范的接口，工作电压5V</w:t>
            </w:r>
            <w:r>
              <w:rPr>
                <w:rFonts w:ascii="宋体" w:hAnsi="宋体"/>
                <w:color w:val="000000"/>
              </w:rPr>
            </w:r>
            <w:r/>
          </w:p>
        </w:tc>
      </w:tr>
      <w:tr>
        <w:trPr>
          <w:cantSplit/>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8</w:t>
            </w:r>
            <w:r/>
          </w:p>
        </w:tc>
        <w:tc>
          <w:tcPr>
            <w:tcW w:w="1376" w:type="dxa"/>
            <w:vAlign w:val="center"/>
            <w:textDirection w:val="lrTb"/>
            <w:noWrap w:val="false"/>
          </w:tcPr>
          <w:p>
            <w:pPr>
              <w:pStyle w:val="734"/>
              <w:ind w:left="49"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vMerge w:val="continue"/>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left="1"/>
              <w:spacing w:line="220" w:lineRule="exact"/>
              <w:rPr>
                <w:rFonts w:ascii="宋体" w:hAnsi="宋体"/>
                <w:color w:val="000000"/>
              </w:rPr>
            </w:pPr>
            <w:r>
              <w:rPr>
                <w:rFonts w:ascii="宋体" w:hAnsi="宋体" w:cs="黑体"/>
                <w:color w:val="000000"/>
              </w:rPr>
              <w:t xml:space="preserve">板载网络接口</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板载网络接口</w:t>
            </w:r>
            <w:r>
              <w:rPr>
                <w:rFonts w:hint="eastAsia" w:ascii="宋体" w:hAnsi="宋体" w:cs="黑体"/>
                <w:color w:val="000000"/>
              </w:rPr>
              <w:t xml:space="preserve">≥</w:t>
            </w:r>
            <w:r>
              <w:rPr>
                <w:rFonts w:ascii="宋体" w:hAnsi="宋体" w:cs="黑体"/>
                <w:color w:val="000000"/>
              </w:rPr>
              <w:t xml:space="preserve">1个1GE网口</w:t>
            </w:r>
            <w:r>
              <w:rPr>
                <w:rFonts w:ascii="宋体" w:hAnsi="宋体"/>
                <w:color w:val="000000"/>
              </w:rPr>
            </w:r>
            <w:r/>
          </w:p>
        </w:tc>
      </w:tr>
      <w:tr>
        <w:trPr>
          <w:cantSplit/>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9</w:t>
            </w:r>
            <w:r/>
          </w:p>
        </w:tc>
        <w:tc>
          <w:tcPr>
            <w:tcW w:w="1376" w:type="dxa"/>
            <w:vAlign w:val="center"/>
            <w:textDirection w:val="lrTb"/>
            <w:noWrap w:val="false"/>
          </w:tcPr>
          <w:p>
            <w:pPr>
              <w:pStyle w:val="734"/>
              <w:ind w:left="49"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vMerge w:val="continue"/>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left="1"/>
              <w:spacing w:line="220" w:lineRule="exact"/>
              <w:rPr>
                <w:rFonts w:ascii="宋体" w:hAnsi="宋体"/>
                <w:color w:val="000000"/>
              </w:rPr>
            </w:pPr>
            <w:r>
              <w:rPr>
                <w:rFonts w:ascii="宋体" w:hAnsi="宋体" w:cs="黑体"/>
                <w:color w:val="000000"/>
              </w:rPr>
              <w:t xml:space="preserve">主板OCP插槽数量</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支持OCP2.0及以上插槽的数量</w:t>
            </w:r>
            <w:r>
              <w:rPr>
                <w:rFonts w:hint="eastAsia" w:ascii="宋体" w:hAnsi="宋体" w:cs="黑体"/>
                <w:color w:val="000000"/>
              </w:rPr>
              <w:t xml:space="preserve">≥</w:t>
            </w:r>
            <w:r>
              <w:rPr>
                <w:rFonts w:ascii="宋体" w:hAnsi="宋体" w:cs="黑体"/>
                <w:color w:val="000000"/>
              </w:rPr>
              <w:t xml:space="preserve">1个</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10</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*内存规格</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*内存数量</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8</w:t>
            </w:r>
            <w:r>
              <w:rPr>
                <w:rFonts w:hint="eastAsia" w:ascii="宋体" w:hAnsi="宋体" w:cs="黑体"/>
                <w:color w:val="000000"/>
              </w:rPr>
              <w:t xml:space="preserve">根</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11</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*内存规格</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DDR4 32GB</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12</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*内存通道</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支持多个内存接口通道，每个通道可支持2DPC，印制电路板上应具备插槽的序号标识，具体通道数应在随机文件中明确</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13</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*存储规格</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硬盘类型</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hint="eastAsia" w:ascii="宋体" w:hAnsi="宋体"/>
                <w:color w:val="000000"/>
              </w:rPr>
              <w:t xml:space="preserve">支持S</w:t>
            </w:r>
            <w:r>
              <w:rPr>
                <w:rFonts w:ascii="宋体" w:hAnsi="宋体"/>
                <w:color w:val="000000"/>
              </w:rPr>
              <w:t xml:space="preserve">ATA</w:t>
            </w:r>
            <w:r>
              <w:rPr>
                <w:rFonts w:hint="eastAsia" w:ascii="宋体" w:hAnsi="宋体"/>
                <w:color w:val="000000"/>
              </w:rPr>
              <w:t xml:space="preserve">、S</w:t>
            </w:r>
            <w:r>
              <w:rPr>
                <w:rFonts w:ascii="宋体" w:hAnsi="宋体"/>
                <w:color w:val="000000"/>
              </w:rPr>
              <w:t xml:space="preserve">AS</w:t>
            </w:r>
            <w:r>
              <w:rPr>
                <w:rFonts w:hint="eastAsia" w:ascii="宋体" w:hAnsi="宋体"/>
                <w:color w:val="000000"/>
              </w:rPr>
              <w:t xml:space="preserve">、S</w:t>
            </w:r>
            <w:r>
              <w:rPr>
                <w:rFonts w:ascii="宋体" w:hAnsi="宋体"/>
                <w:color w:val="000000"/>
              </w:rPr>
              <w:t xml:space="preserve">SD</w:t>
            </w:r>
            <w:r>
              <w:rPr>
                <w:rFonts w:hint="eastAsia" w:ascii="宋体" w:hAnsi="宋体"/>
                <w:color w:val="000000"/>
              </w:rPr>
              <w:t xml:space="preserve">硬盘</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14</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*硬磁盘实配容量</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hint="eastAsia" w:ascii="宋体" w:hAnsi="宋体"/>
                <w:color w:val="000000"/>
              </w:rPr>
              <w:t xml:space="preserve">配置</w:t>
            </w:r>
            <w:r>
              <w:rPr>
                <w:rFonts w:ascii="宋体" w:hAnsi="宋体"/>
                <w:color w:val="000000"/>
              </w:rPr>
              <w:t xml:space="preserve">1.2TB</w:t>
            </w:r>
            <w:r>
              <w:rPr>
                <w:rFonts w:hint="eastAsia" w:ascii="宋体" w:hAnsi="宋体"/>
                <w:color w:val="000000"/>
              </w:rPr>
              <w:t xml:space="preserve">容量硬盘</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15</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硬盘接口类型</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配备硬磁盘，应提供SAS 3.0接口</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16</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*硬盘实配数量</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实配1.2TB硬磁盘数量</w:t>
            </w:r>
            <w:r>
              <w:rPr>
                <w:rFonts w:hint="eastAsia" w:ascii="宋体" w:hAnsi="宋体" w:cs="黑体"/>
                <w:color w:val="000000"/>
              </w:rPr>
              <w:t xml:space="preserve">8</w:t>
            </w:r>
            <w:r>
              <w:rPr>
                <w:rFonts w:ascii="宋体" w:hAnsi="宋体" w:cs="黑体"/>
                <w:color w:val="000000"/>
              </w:rPr>
              <w:t xml:space="preserve">块</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17</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*硬盘插槽数量及规格</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widowControl/>
              <w:rPr>
                <w:rFonts w:ascii="宋体" w:hAnsi="宋体"/>
                <w:color w:val="000000"/>
              </w:rPr>
            </w:pPr>
            <w:r>
              <w:rPr>
                <w:rFonts w:ascii="宋体" w:hAnsi="宋体" w:cs="黑体"/>
                <w:color w:val="000000"/>
              </w:rPr>
              <w:t xml:space="preserve">配置的硬盘尺寸</w:t>
            </w:r>
            <w:r>
              <w:rPr>
                <w:rFonts w:hint="eastAsia" w:ascii="宋体" w:hAnsi="宋体" w:cs="黑体"/>
                <w:color w:val="000000"/>
              </w:rPr>
              <w:t xml:space="preserve">为</w:t>
            </w:r>
            <w:r>
              <w:rPr>
                <w:rFonts w:ascii="宋体" w:hAnsi="宋体" w:cs="黑体"/>
                <w:color w:val="000000"/>
              </w:rPr>
              <w:t xml:space="preserve">2.5英寸硬磁盘；</w:t>
            </w:r>
            <w:r>
              <w:rPr>
                <w:rFonts w:ascii="宋体" w:hAnsi="宋体"/>
                <w:color w:val="000000"/>
              </w:rPr>
            </w:r>
            <w:r/>
          </w:p>
          <w:p>
            <w:pPr>
              <w:pStyle w:val="734"/>
              <w:ind w:left="1" w:firstLine="360"/>
              <w:spacing w:line="220" w:lineRule="exact"/>
              <w:widowControl/>
              <w:rPr>
                <w:rFonts w:ascii="宋体" w:hAnsi="宋体"/>
                <w:color w:val="000000"/>
              </w:rPr>
            </w:pPr>
            <w:r>
              <w:rPr>
                <w:rFonts w:ascii="宋体" w:hAnsi="宋体" w:cs="黑体"/>
                <w:color w:val="000000"/>
              </w:rPr>
              <w:t xml:space="preserve">服务器可支持的硬盘数量应不少于</w:t>
            </w:r>
            <w:r>
              <w:rPr>
                <w:rFonts w:hint="eastAsia" w:ascii="宋体" w:hAnsi="宋体" w:cs="黑体"/>
                <w:color w:val="000000"/>
              </w:rPr>
              <w:t xml:space="preserve">8</w:t>
            </w:r>
            <w:r>
              <w:rPr>
                <w:rFonts w:ascii="宋体" w:hAnsi="宋体" w:cs="黑体"/>
                <w:color w:val="000000"/>
              </w:rPr>
              <w:t xml:space="preserve">块。</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18</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硬盘其他参数要求</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机械硬盘准备时间应</w:t>
            </w:r>
            <w:r>
              <w:rPr>
                <w:rFonts w:hint="eastAsia" w:ascii="宋体" w:hAnsi="宋体" w:cs="黑体"/>
                <w:color w:val="000000"/>
              </w:rPr>
              <w:t xml:space="preserve">小于</w:t>
            </w:r>
            <w:r>
              <w:rPr>
                <w:rFonts w:ascii="宋体" w:hAnsi="宋体" w:cs="黑体"/>
                <w:color w:val="000000"/>
              </w:rPr>
              <w:t xml:space="preserve">30s；侧面固定螺丝孔数量可为4孔或6 孔；工作状态环境温度应满足5℃~55℃，其它参数符合GB/T12628 的相关规定；</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19</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jc w:val="center"/>
              <w:spacing w:line="220" w:lineRule="exact"/>
              <w:rPr>
                <w:rFonts w:ascii="宋体" w:hAnsi="宋体"/>
                <w:color w:val="000000"/>
              </w:rPr>
            </w:pPr>
            <w:r>
              <w:rPr>
                <w:rFonts w:ascii="宋体" w:hAnsi="宋体" w:cs="黑体"/>
                <w:color w:val="000000"/>
              </w:rPr>
              <w:t xml:space="preserve">RAID 卡规格（若支持 RAID 卡）</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RAID卡支持的SAS接口数</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≥8</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20</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SAS直通卡规格 (若支持SAS 直通卡)</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SAS直通卡SAS接口数量</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≥0</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21</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HBA卡规格 (若支持HBA 直通卡)</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HBA卡端口数量</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≥0</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22</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*网络规格</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*网口速率和数量</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hint="eastAsia" w:ascii="宋体" w:hAnsi="宋体" w:cs="黑体"/>
                <w:color w:val="000000"/>
              </w:rPr>
              <w:t xml:space="preserve">提供</w:t>
            </w:r>
            <w:r>
              <w:rPr>
                <w:rFonts w:ascii="宋体" w:hAnsi="宋体" w:cs="黑体"/>
                <w:color w:val="000000"/>
              </w:rPr>
              <w:t xml:space="preserve">2</w:t>
            </w:r>
            <w:r>
              <w:rPr>
                <w:rFonts w:hint="eastAsia" w:ascii="宋体" w:hAnsi="宋体" w:cs="黑体"/>
                <w:color w:val="000000"/>
              </w:rPr>
              <w:t xml:space="preserve">个万兆光口和4个千兆电口，配置</w:t>
            </w:r>
            <w:r>
              <w:rPr>
                <w:rFonts w:ascii="宋体" w:hAnsi="宋体" w:cs="黑体"/>
                <w:color w:val="000000"/>
              </w:rPr>
              <w:t xml:space="preserve">2</w:t>
            </w:r>
            <w:r>
              <w:rPr>
                <w:rFonts w:hint="eastAsia" w:ascii="宋体" w:hAnsi="宋体" w:cs="黑体"/>
                <w:color w:val="000000"/>
              </w:rPr>
              <w:t xml:space="preserve">*光模块10G多模模块</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23</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存储型服务器网口速率和数量</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24</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独立网卡网口数量</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独立网卡网口数量≥1</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25</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独立网卡接口类型</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支持RJ45/SFP等</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26</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板载网卡接口类型</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支持RJ45</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27</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*外部接口规格</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*显示接口</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显示接口类型</w:t>
            </w:r>
            <w:r>
              <w:rPr>
                <w:rFonts w:hint="eastAsia" w:ascii="宋体" w:hAnsi="宋体" w:cs="黑体"/>
                <w:color w:val="000000"/>
              </w:rPr>
              <w:t xml:space="preserve">为</w:t>
            </w:r>
            <w:r>
              <w:rPr>
                <w:rFonts w:ascii="宋体" w:hAnsi="宋体" w:cs="黑体"/>
                <w:color w:val="000000"/>
              </w:rPr>
              <w:t xml:space="preserve">VGA</w:t>
            </w:r>
            <w:r>
              <w:rPr>
                <w:rFonts w:ascii="宋体" w:hAnsi="宋体"/>
                <w:color w:val="000000"/>
              </w:rPr>
              <w:t xml:space="preserve"> </w:t>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28</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*USB接口</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配备USB接口USB3.0</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29</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特殊接口及孔位</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前面板预留1个专用USB母座接口孔位</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30</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其他接口</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s="黑体"/>
                <w:color w:val="000000"/>
              </w:rPr>
            </w:pPr>
            <w:r>
              <w:rPr>
                <w:rFonts w:ascii="宋体" w:hAnsi="宋体" w:cs="黑体"/>
                <w:color w:val="000000"/>
              </w:rPr>
              <w:t xml:space="preserve">串口数量1个，并可实现GB/T 6107或GB/T 26803.2的相关功能； </w:t>
            </w:r>
            <w:r/>
          </w:p>
          <w:p>
            <w:pPr>
              <w:pStyle w:val="734"/>
              <w:ind w:left="1" w:firstLine="360"/>
              <w:spacing w:line="220" w:lineRule="exact"/>
              <w:rPr>
                <w:rFonts w:ascii="宋体" w:hAnsi="宋体"/>
                <w:color w:val="000000"/>
              </w:rPr>
            </w:pPr>
            <w:r>
              <w:rPr>
                <w:rFonts w:ascii="宋体" w:hAnsi="宋体" w:cs="黑体"/>
                <w:color w:val="000000"/>
              </w:rPr>
              <w:t xml:space="preserve">服务器主机前面板可根据用户实际使用需求预留1个专用USB母座接口孔位</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31</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*电源规格</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电源冗余模式</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整机电源模块按1+1冗余配置</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32</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*电源模块数量</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hint="eastAsia" w:ascii="宋体" w:hAnsi="宋体"/>
                <w:color w:val="000000"/>
              </w:rPr>
              <w:t xml:space="preserve">2个</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33</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*电源功率</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hint="eastAsia" w:ascii="宋体" w:hAnsi="宋体"/>
                <w:color w:val="000000"/>
              </w:rPr>
              <w:t xml:space="preserve">≥</w:t>
            </w:r>
            <w:r>
              <w:rPr>
                <w:rFonts w:ascii="宋体" w:hAnsi="宋体"/>
                <w:color w:val="000000"/>
              </w:rPr>
              <w:t xml:space="preserve">900W</w:t>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34</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right="19"/>
              <w:spacing w:line="220" w:lineRule="exact"/>
              <w:rPr>
                <w:rFonts w:ascii="宋体" w:hAnsi="宋体"/>
                <w:color w:val="000000"/>
              </w:rPr>
            </w:pPr>
            <w:r>
              <w:rPr>
                <w:rFonts w:ascii="宋体" w:hAnsi="宋体" w:cs="黑体"/>
                <w:color w:val="000000"/>
              </w:rPr>
              <w:t xml:space="preserve">电源指示灯</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配备电源指示灯，指示待机、工作异常等状态</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35</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*整机规格</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*外观和结构</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a)服务器的零部件应紧固无松动，可插拔部件应可靠连接，开关、按钮和其它控制部件应灵活可靠，布局应方便使用； b) 产品表面不应有明显的凹痕、划伤、裂缝、变形和污染等。表面涂层均匀，不应起泡、龟裂、脱落和磨损，金属零部件无锈蚀及其它机械损伤； c) 产品表面说明功能的文字、符号和标志应清晰、端正且牢固； d) 服务器尺寸具体要求在随机文件中明确</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36</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*尺寸（高</w:t>
            </w:r>
            <w:r>
              <w:rPr>
                <w:rFonts w:ascii="宋体" w:hAnsi="宋体"/>
                <w:color w:val="000000"/>
              </w:rPr>
            </w:r>
            <w:r/>
          </w:p>
          <w:p>
            <w:pPr>
              <w:pStyle w:val="734"/>
              <w:ind w:firstLine="360"/>
              <w:spacing w:line="220" w:lineRule="exact"/>
              <w:rPr>
                <w:rFonts w:ascii="宋体" w:hAnsi="宋体"/>
                <w:color w:val="000000"/>
              </w:rPr>
            </w:pPr>
            <w:r>
              <w:rPr>
                <w:rFonts w:ascii="宋体" w:hAnsi="宋体" w:cs="黑体"/>
                <w:color w:val="000000"/>
              </w:rPr>
              <w:t xml:space="preserve">×宽×深）</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供应商给出产品尺寸；设计应遵循标准化、系列化的要求；机箱的内部结构符合通用部件的安装需要</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37</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right="19"/>
              <w:spacing w:line="220" w:lineRule="exact"/>
              <w:rPr>
                <w:rFonts w:ascii="宋体" w:hAnsi="宋体"/>
                <w:color w:val="000000"/>
              </w:rPr>
            </w:pPr>
            <w:r>
              <w:rPr>
                <w:rFonts w:ascii="宋体" w:hAnsi="宋体" w:cs="黑体"/>
                <w:color w:val="000000"/>
              </w:rPr>
              <w:t xml:space="preserve">服务器导轨</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供应商给出导轨尺寸、安装方式等信息</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38</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CPU个数与机柜高度单位(U) 比</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hint="eastAsia" w:ascii="宋体" w:hAnsi="宋体" w:cs="黑体"/>
                <w:color w:val="000000"/>
              </w:rPr>
              <w:t xml:space="preserve">1（C</w:t>
            </w:r>
            <w:r>
              <w:rPr>
                <w:rFonts w:ascii="宋体" w:hAnsi="宋体" w:cs="黑体"/>
                <w:color w:val="000000"/>
              </w:rPr>
              <w:t xml:space="preserve">PU</w:t>
            </w:r>
            <w:r>
              <w:rPr>
                <w:rFonts w:hint="eastAsia" w:ascii="宋体" w:hAnsi="宋体" w:cs="黑体"/>
                <w:color w:val="000000"/>
              </w:rPr>
              <w:t xml:space="preserve">）：1（U高度）</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39</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*环境适应性</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气候环境适应性应符合GB/T</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9813.3的有关规定，工作温度10～ 35℃，贮存运输温度-40～55℃；工作相对湿度35%～80%，贮存运输相对湿度20％～93%（40℃）；大气压</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86～106kPa</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40</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right="19"/>
              <w:spacing w:line="220" w:lineRule="exact"/>
              <w:rPr>
                <w:rFonts w:ascii="宋体" w:hAnsi="宋体"/>
                <w:color w:val="000000"/>
              </w:rPr>
            </w:pPr>
            <w:r>
              <w:rPr>
                <w:rFonts w:ascii="宋体" w:hAnsi="宋体" w:cs="黑体"/>
                <w:color w:val="000000"/>
              </w:rPr>
              <w:t xml:space="preserve">特殊机型环境适应性</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边缘应用服务器，工作环境温度宜为0～45℃，短期工作可承受环境温度宜为-5～55℃，液冷服务器贮存运输温度宜为-30～55℃</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41</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*机械环境适应性</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机械环境适应性应符合GB/T</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9813.3的有关规定</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42</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*噪声</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符合GB/T 9813.3的有关规定，在产品说明中给出具体测试值</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塔式服务器噪声在空闲状态下不大于50dB</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43</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right="80"/>
              <w:spacing w:line="220" w:lineRule="exact"/>
              <w:rPr>
                <w:rFonts w:ascii="宋体" w:hAnsi="宋体"/>
                <w:color w:val="000000"/>
              </w:rPr>
            </w:pPr>
            <w:r>
              <w:rPr>
                <w:rFonts w:ascii="宋体" w:hAnsi="宋体" w:cs="黑体"/>
                <w:color w:val="000000"/>
              </w:rPr>
              <w:t xml:space="preserve">AI计算单元规格</w:t>
            </w:r>
            <w:r>
              <w:rPr>
                <w:rFonts w:ascii="宋体" w:hAnsi="宋体"/>
                <w:color w:val="000000"/>
              </w:rPr>
            </w:r>
            <w:r/>
          </w:p>
        </w:tc>
        <w:tc>
          <w:tcPr>
            <w:tcW w:w="1133"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AI计算单元</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若配备AI计算单元应符合如下要求：</w:t>
            </w:r>
            <w:r>
              <w:rPr>
                <w:rFonts w:ascii="宋体" w:hAnsi="宋体"/>
                <w:color w:val="000000"/>
              </w:rPr>
            </w:r>
            <w:r/>
          </w:p>
          <w:p>
            <w:pPr>
              <w:pStyle w:val="734"/>
              <w:numPr>
                <w:ilvl w:val="0"/>
                <w:numId w:val="37"/>
              </w:numPr>
              <w:jc w:val="left"/>
              <w:spacing w:line="220" w:lineRule="exact"/>
              <w:widowControl/>
              <w:rPr>
                <w:rFonts w:ascii="宋体" w:hAnsi="宋体"/>
                <w:color w:val="000000"/>
              </w:rPr>
            </w:pPr>
            <w:r>
              <w:rPr>
                <w:rFonts w:ascii="宋体" w:hAnsi="宋体" w:cs="黑体"/>
                <w:color w:val="000000"/>
              </w:rPr>
              <w:t xml:space="preserve">具备人工智能加速处理器，计算精度至少支持FP16、BF16、FP32、 FP64、INT8和INT16等中的1种；</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单推理卡或模块，具备视频解析、文本识别、语音分析等推理能力；在视觉场景下配备可直接调用的接口实现视觉计算加速，路数不小于64（1080P 30FPS）</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44</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right="19"/>
              <w:spacing w:line="220" w:lineRule="exact"/>
              <w:rPr>
                <w:rFonts w:ascii="宋体" w:hAnsi="宋体"/>
                <w:color w:val="000000"/>
              </w:rPr>
            </w:pPr>
            <w:r>
              <w:rPr>
                <w:rFonts w:ascii="宋体" w:hAnsi="宋体" w:cs="黑体"/>
                <w:color w:val="000000"/>
              </w:rPr>
              <w:t xml:space="preserve">一键式迁移</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若服务器配备AI计算单元，提供训练脚本迁移工具</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45</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机柜规格</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*机柜尺寸</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供应商给出长度、高度和深度</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46</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right="19"/>
              <w:spacing w:line="220" w:lineRule="exact"/>
              <w:rPr>
                <w:rFonts w:ascii="宋体" w:hAnsi="宋体"/>
                <w:color w:val="000000"/>
              </w:rPr>
            </w:pPr>
            <w:r>
              <w:rPr>
                <w:rFonts w:ascii="宋体" w:hAnsi="宋体" w:cs="黑体"/>
                <w:color w:val="000000"/>
              </w:rPr>
              <w:t xml:space="preserve">机柜管理板</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 //</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47</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机柜电源规格</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right="91" w:firstLine="360"/>
              <w:spacing w:line="220" w:lineRule="exact"/>
              <w:rPr>
                <w:rFonts w:ascii="宋体" w:hAnsi="宋体"/>
                <w:color w:val="000000"/>
              </w:rPr>
            </w:pPr>
            <w:r>
              <w:rPr>
                <w:rFonts w:ascii="宋体" w:hAnsi="宋体" w:cs="黑体"/>
                <w:color w:val="000000"/>
              </w:rPr>
              <w:t xml:space="preserve">a) 机柜电源支持集中供电，电源输入不少于2路且支持自动切换； b) 机柜电源模块支持N+1冗余配置，电源模块可独立更换</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48</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*主板功能</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*主板外部接口种类</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支持USB、显示、管理等接口，如：VGA、DP、HDMI、USB3.0、PS/2接口、</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BMC管理端口</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49</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主板防烧板设计</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支持主板防烧板设计，保证电源故障后不扩散</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50</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扩展功能</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实现至少一种扩展功能，如存储功能卡、显示功能卡、运算加速功能卡及网络功能卡等扩展功能</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51</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*网络功能</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*网络功能</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支持网络连接、网络访问、数据交换和网络管控功能</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52</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*CPU 功能</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*计算处理</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支持通用计算及虚拟化功能。处理器需集成整型计算单元、浮点计算单元、内存控制器、I/O模块等，处理器与存储部件、网络部件、I/O 部件等组成计算系统，提供数据处理、网络接入等计算相关功能</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53</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*密码算法实现</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CPU芯片应符合GM/T0008的相关规定，或芯片密码模块应符合GB/T</w:t>
            </w:r>
            <w:r>
              <w:rPr>
                <w:rFonts w:hint="eastAsia" w:ascii="宋体" w:hAnsi="宋体"/>
                <w:color w:val="000000"/>
              </w:rPr>
              <w:t xml:space="preserve"> </w:t>
            </w:r>
            <w:r>
              <w:rPr>
                <w:rFonts w:ascii="宋体" w:hAnsi="宋体" w:cs="黑体"/>
                <w:color w:val="000000"/>
              </w:rPr>
              <w:t xml:space="preserve">37092或GM/T 0028的相关规定</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54</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存储功能</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内存校验</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支持内存校验或内存增强型纠错功能</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55</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SATA SSD NAND健康状态上报</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支持关键外部存储器（硬磁盘、SSD 等）的健康状态上报并进行故障诊断</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56</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SATA SSD 单die故障隔离</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支持SSD关键外部存储器中单存储晶元故障隔离</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57</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RAID 卡功能（若支持 RAID 卡）</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RAID卡 RAID级别支持</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RAID模式支持RAID 0/1/10/5，存储型支持RAID 0/1/5/6/10/50/60</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58</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RAID卡</w:t>
            </w:r>
            <w:r>
              <w:rPr>
                <w:rFonts w:ascii="宋体" w:hAnsi="宋体"/>
                <w:color w:val="000000"/>
              </w:rPr>
            </w:r>
            <w:r/>
          </w:p>
          <w:p>
            <w:pPr>
              <w:pStyle w:val="734"/>
              <w:spacing w:line="220" w:lineRule="exact"/>
              <w:rPr>
                <w:rFonts w:ascii="宋体" w:hAnsi="宋体"/>
                <w:color w:val="000000"/>
              </w:rPr>
            </w:pPr>
            <w:r>
              <w:rPr>
                <w:rFonts w:ascii="宋体" w:hAnsi="宋体" w:cs="黑体"/>
                <w:color w:val="000000"/>
              </w:rPr>
              <w:t xml:space="preserve">BBU单元</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RAID卡支持电池或电容备份单元</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59</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光驱功能</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光驱类型（是否支持RW，以及光盘类型CD/DVD）</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hint="eastAsia" w:ascii="宋体" w:hAnsi="宋体"/>
                <w:color w:val="000000"/>
              </w:rPr>
              <w:t xml:space="preserve">不涉及</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60</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*电源功能</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*电源热插拔</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整机电源模块应具备热插拔功能</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61</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*电源过流保护</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支持过流及短路保护的功能</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62</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*整机功能</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*散热方式</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支持风冷散热方式</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63</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其他功能</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jc w:val="left"/>
              <w:spacing w:line="220" w:lineRule="exact"/>
              <w:widowControl/>
              <w:rPr>
                <w:rFonts w:ascii="宋体" w:hAnsi="宋体"/>
                <w:color w:val="000000"/>
              </w:rPr>
            </w:pPr>
            <w:r>
              <w:rPr>
                <w:rFonts w:ascii="宋体" w:hAnsi="宋体" w:cs="黑体"/>
                <w:color w:val="000000"/>
              </w:rPr>
              <w:t xml:space="preserve">支持关键部件冗余（包括电源、风扇等）；</w:t>
            </w:r>
            <w:r>
              <w:rPr>
                <w:rFonts w:ascii="宋体" w:hAnsi="宋体"/>
                <w:color w:val="000000"/>
              </w:rPr>
            </w:r>
            <w:r/>
          </w:p>
          <w:p>
            <w:pPr>
              <w:pStyle w:val="734"/>
              <w:ind w:left="1"/>
              <w:jc w:val="left"/>
              <w:spacing w:line="220" w:lineRule="exact"/>
              <w:widowControl/>
              <w:rPr>
                <w:rFonts w:ascii="宋体" w:hAnsi="宋体"/>
                <w:color w:val="000000"/>
              </w:rPr>
            </w:pPr>
            <w:r>
              <w:rPr>
                <w:rFonts w:ascii="宋体" w:hAnsi="宋体" w:cs="黑体"/>
                <w:color w:val="000000"/>
              </w:rPr>
              <w:t xml:space="preserve">支持熔断保护与恢复功能</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64</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ind w:left="4"/>
              <w:spacing w:line="220" w:lineRule="exact"/>
              <w:rPr>
                <w:rFonts w:ascii="宋体" w:hAnsi="宋体"/>
                <w:color w:val="000000"/>
              </w:rPr>
            </w:pPr>
            <w:r>
              <w:rPr>
                <w:rFonts w:ascii="宋体" w:hAnsi="宋体" w:cs="黑体"/>
                <w:color w:val="000000"/>
              </w:rPr>
              <w:t xml:space="preserve">*管理系统功能</w:t>
            </w:r>
            <w:r>
              <w:rPr>
                <w:rFonts w:ascii="宋体" w:hAnsi="宋体"/>
                <w:color w:val="000000"/>
              </w:rPr>
            </w:r>
            <w:r/>
          </w:p>
        </w:tc>
        <w:tc>
          <w:tcPr>
            <w:tcW w:w="1133"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*BMC固件基础功能</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jc w:val="left"/>
              <w:spacing w:line="220" w:lineRule="exact"/>
              <w:rPr>
                <w:rFonts w:ascii="宋体" w:hAnsi="宋体"/>
                <w:color w:val="000000"/>
              </w:rPr>
            </w:pPr>
            <w:r>
              <w:rPr>
                <w:rFonts w:ascii="宋体" w:hAnsi="宋体" w:cs="黑体"/>
                <w:color w:val="000000"/>
              </w:rPr>
              <w:t xml:space="preserve">1)支持DHCP设置网络功能；</w:t>
            </w:r>
            <w:r>
              <w:rPr>
                <w:rFonts w:ascii="宋体" w:hAnsi="宋体"/>
                <w:color w:val="000000"/>
              </w:rPr>
            </w:r>
            <w:r/>
          </w:p>
          <w:p>
            <w:pPr>
              <w:pStyle w:val="734"/>
              <w:jc w:val="left"/>
              <w:spacing w:line="220" w:lineRule="exact"/>
              <w:rPr>
                <w:rFonts w:ascii="宋体" w:hAnsi="宋体"/>
                <w:color w:val="000000"/>
              </w:rPr>
            </w:pPr>
            <w:r>
              <w:rPr>
                <w:rFonts w:ascii="宋体" w:hAnsi="宋体" w:cs="黑体"/>
                <w:color w:val="000000"/>
              </w:rPr>
              <w:t xml:space="preserve">2)支持静态IP设置网络功能；</w:t>
            </w:r>
            <w:r>
              <w:rPr>
                <w:rFonts w:ascii="宋体" w:hAnsi="宋体"/>
                <w:color w:val="000000"/>
              </w:rPr>
            </w:r>
            <w:r/>
          </w:p>
          <w:p>
            <w:pPr>
              <w:pStyle w:val="734"/>
              <w:jc w:val="left"/>
              <w:spacing w:line="220" w:lineRule="exact"/>
              <w:rPr>
                <w:rFonts w:ascii="宋体" w:hAnsi="宋体"/>
                <w:color w:val="000000"/>
              </w:rPr>
            </w:pPr>
            <w:r>
              <w:rPr>
                <w:rFonts w:ascii="宋体" w:hAnsi="宋体" w:cs="黑体"/>
                <w:color w:val="000000"/>
              </w:rPr>
              <w:t xml:space="preserve">3)支持设备日志记录，包括但不限于登录日志、操作日志和报警日志等功能；</w:t>
            </w:r>
            <w:r>
              <w:rPr>
                <w:rFonts w:ascii="宋体" w:hAnsi="宋体"/>
                <w:color w:val="000000"/>
              </w:rPr>
            </w:r>
            <w:r/>
          </w:p>
          <w:p>
            <w:pPr>
              <w:pStyle w:val="734"/>
              <w:jc w:val="left"/>
              <w:spacing w:line="220" w:lineRule="exact"/>
              <w:rPr>
                <w:rFonts w:ascii="宋体" w:hAnsi="宋体"/>
                <w:color w:val="000000"/>
              </w:rPr>
            </w:pPr>
            <w:r>
              <w:rPr>
                <w:rFonts w:ascii="宋体" w:hAnsi="宋体" w:cs="黑体"/>
                <w:color w:val="000000"/>
              </w:rPr>
              <w:t xml:space="preserve">4)支持日志信息导出和记录删除功能；</w:t>
            </w:r>
            <w:r>
              <w:rPr>
                <w:rFonts w:ascii="宋体" w:hAnsi="宋体"/>
                <w:color w:val="000000"/>
              </w:rPr>
            </w:r>
            <w:r/>
          </w:p>
          <w:p>
            <w:pPr>
              <w:pStyle w:val="734"/>
              <w:jc w:val="left"/>
              <w:spacing w:line="220" w:lineRule="exact"/>
              <w:rPr>
                <w:rFonts w:ascii="宋体" w:hAnsi="宋体"/>
                <w:color w:val="000000"/>
              </w:rPr>
            </w:pPr>
            <w:r>
              <w:rPr>
                <w:rFonts w:ascii="宋体" w:hAnsi="宋体" w:cs="黑体"/>
                <w:color w:val="000000"/>
              </w:rPr>
              <w:t xml:space="preserve">5)支持通过管理接口向外输出准确的报警信息功能；</w:t>
            </w:r>
            <w:r>
              <w:rPr>
                <w:rFonts w:ascii="宋体" w:hAnsi="宋体"/>
                <w:color w:val="000000"/>
              </w:rPr>
            </w:r>
            <w:r/>
          </w:p>
          <w:p>
            <w:pPr>
              <w:pStyle w:val="734"/>
              <w:jc w:val="left"/>
              <w:spacing w:line="220" w:lineRule="exact"/>
              <w:rPr>
                <w:rFonts w:ascii="宋体" w:hAnsi="宋体"/>
                <w:color w:val="000000"/>
              </w:rPr>
            </w:pPr>
            <w:r>
              <w:rPr>
                <w:rFonts w:ascii="宋体" w:hAnsi="宋体" w:cs="黑体"/>
                <w:color w:val="000000"/>
              </w:rPr>
              <w:t xml:space="preserve">6)设备的BMC管理软件应能够按报</w:t>
            </w:r>
            <w:r>
              <w:rPr>
                <w:rFonts w:ascii="宋体" w:hAnsi="宋体"/>
                <w:color w:val="000000"/>
              </w:rPr>
            </w:r>
            <w:r/>
          </w:p>
          <w:p>
            <w:pPr>
              <w:pStyle w:val="734"/>
              <w:jc w:val="left"/>
              <w:spacing w:line="220" w:lineRule="exact"/>
              <w:rPr>
                <w:rFonts w:ascii="宋体" w:hAnsi="宋体"/>
                <w:color w:val="000000"/>
              </w:rPr>
            </w:pPr>
            <w:r>
              <w:rPr>
                <w:rFonts w:ascii="宋体" w:hAnsi="宋体" w:cs="黑体"/>
                <w:color w:val="000000"/>
              </w:rPr>
              <w:t xml:space="preserve">警的严重程度进行区分；</w:t>
            </w:r>
            <w:r>
              <w:rPr>
                <w:rFonts w:ascii="宋体" w:hAnsi="宋体"/>
                <w:color w:val="000000"/>
              </w:rPr>
            </w:r>
            <w:r/>
          </w:p>
          <w:p>
            <w:pPr>
              <w:pStyle w:val="734"/>
              <w:jc w:val="left"/>
              <w:spacing w:line="220" w:lineRule="exact"/>
              <w:rPr>
                <w:rFonts w:ascii="宋体" w:hAnsi="宋体"/>
                <w:color w:val="000000"/>
              </w:rPr>
            </w:pPr>
            <w:r>
              <w:rPr>
                <w:rFonts w:ascii="宋体" w:hAnsi="宋体" w:cs="黑体"/>
                <w:color w:val="000000"/>
              </w:rPr>
              <w:t xml:space="preserve">7)支持IPMI2.0、SNMP或Redfish 等接口功能；</w:t>
            </w:r>
            <w:r>
              <w:rPr>
                <w:rFonts w:ascii="宋体" w:hAnsi="宋体"/>
                <w:color w:val="000000"/>
              </w:rPr>
            </w:r>
            <w:r/>
          </w:p>
          <w:p>
            <w:pPr>
              <w:pStyle w:val="734"/>
              <w:jc w:val="left"/>
              <w:spacing w:line="220" w:lineRule="exact"/>
              <w:rPr>
                <w:rFonts w:ascii="宋体" w:hAnsi="宋体"/>
                <w:color w:val="000000"/>
              </w:rPr>
            </w:pPr>
            <w:r>
              <w:rPr>
                <w:rFonts w:ascii="宋体" w:hAnsi="宋体" w:cs="黑体"/>
                <w:color w:val="000000"/>
              </w:rPr>
              <w:t xml:space="preserve">8)支持键盘、鼠标和视频的重定向、文本控制台的重定向、远程虚拟媒体、高可靠的硬件监控和管理功能；</w:t>
            </w:r>
            <w:r>
              <w:rPr>
                <w:rFonts w:ascii="宋体" w:hAnsi="宋体"/>
                <w:color w:val="000000"/>
              </w:rPr>
            </w:r>
            <w:r/>
          </w:p>
          <w:p>
            <w:pPr>
              <w:pStyle w:val="734"/>
              <w:jc w:val="left"/>
              <w:spacing w:line="220" w:lineRule="exact"/>
              <w:rPr>
                <w:rFonts w:ascii="宋体" w:hAnsi="宋体"/>
                <w:color w:val="000000"/>
              </w:rPr>
            </w:pPr>
            <w:r>
              <w:rPr>
                <w:rFonts w:ascii="宋体" w:hAnsi="宋体" w:cs="黑体"/>
                <w:color w:val="000000"/>
              </w:rPr>
              <w:t xml:space="preserve">9)支持基于网络开启、关闭和重启设备的功能，并查询当前设备开机运行状态；</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10)支持故障提示功能，并可通过接口读取服务器故障信息；</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65</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BMC固件增强功能</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66</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right="19"/>
              <w:spacing w:line="220" w:lineRule="exact"/>
              <w:rPr>
                <w:rFonts w:ascii="宋体" w:hAnsi="宋体"/>
                <w:color w:val="000000"/>
              </w:rPr>
            </w:pPr>
            <w:r>
              <w:rPr>
                <w:rFonts w:ascii="宋体" w:hAnsi="宋体" w:cs="黑体"/>
                <w:color w:val="000000"/>
              </w:rPr>
              <w:t xml:space="preserve">*BIOS固件基础功能</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67</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*远程控制</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支持远程关机和重新启动功能</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68</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ind w:left="5" w:right="80"/>
              <w:spacing w:line="220" w:lineRule="exact"/>
              <w:rPr>
                <w:rFonts w:ascii="宋体" w:hAnsi="宋体"/>
                <w:color w:val="000000"/>
              </w:rPr>
            </w:pPr>
            <w:r>
              <w:rPr>
                <w:rFonts w:ascii="宋体" w:hAnsi="宋体" w:cs="黑体"/>
                <w:color w:val="000000"/>
              </w:rPr>
              <w:t xml:space="preserve">*操作系统及驱动功能</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*操作系统及驱动的升级</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spacing w:line="220" w:lineRule="exact"/>
              <w:rPr>
                <w:rFonts w:ascii="宋体" w:hAnsi="宋体"/>
                <w:color w:val="000000"/>
              </w:rPr>
            </w:pPr>
            <w:r>
              <w:rPr>
                <w:rFonts w:hint="eastAsia" w:ascii="宋体" w:hAnsi="宋体"/>
                <w:color w:val="000000"/>
              </w:rPr>
              <w:t xml:space="preserve">配置</w:t>
            </w:r>
            <w:r>
              <w:rPr>
                <w:rFonts w:ascii="宋体" w:hAnsi="宋体"/>
                <w:color w:val="000000"/>
              </w:rPr>
              <w:t xml:space="preserve">正版国产化商用操作系统</w:t>
            </w:r>
            <w:r>
              <w:rPr>
                <w:rFonts w:hint="eastAsia" w:ascii="宋体" w:hAnsi="宋体"/>
                <w:color w:val="000000"/>
              </w:rPr>
              <w:t xml:space="preserve">，</w:t>
            </w:r>
            <w:r>
              <w:rPr>
                <w:rFonts w:ascii="宋体" w:hAnsi="宋体" w:cs="黑体"/>
                <w:color w:val="000000"/>
              </w:rPr>
              <w:t xml:space="preserve">支持通过网络、闪存盘对操作系统、驱动进行升级</w:t>
            </w:r>
            <w:r>
              <w:rPr>
                <w:rFonts w:hint="eastAsia" w:ascii="宋体" w:hAnsi="宋体" w:cs="黑体"/>
                <w:color w:val="000000"/>
              </w:rPr>
              <w:t xml:space="preserve">,</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69</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操作系统及驱动的备份还原</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支持操作系统备份及还原功能</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70</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*操作系统功能</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right="91" w:firstLine="360"/>
              <w:spacing w:line="220" w:lineRule="exact"/>
              <w:rPr>
                <w:rFonts w:ascii="宋体" w:hAnsi="宋体"/>
                <w:color w:val="000000"/>
              </w:rPr>
            </w:pPr>
            <w:r>
              <w:rPr>
                <w:rFonts w:ascii="宋体" w:hAnsi="宋体" w:cs="黑体"/>
                <w:color w:val="000000"/>
              </w:rPr>
              <w:t xml:space="preserve">a) 支持访问控制、安全审计、网络接入鉴别等功能； b) 操作系统其他功能应满足操作系统政府采购需求标准中加*的指标要求</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71</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ind w:left="11"/>
              <w:spacing w:line="220" w:lineRule="exact"/>
              <w:rPr>
                <w:rFonts w:ascii="宋体" w:hAnsi="宋体"/>
                <w:color w:val="000000"/>
              </w:rPr>
            </w:pPr>
            <w:r>
              <w:rPr>
                <w:rFonts w:ascii="宋体" w:hAnsi="宋体" w:cs="黑体"/>
                <w:color w:val="000000"/>
              </w:rPr>
              <w:t xml:space="preserve">*中文信息处理功能</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*中文信息处理</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符合GB 18030的有关规定</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72</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机柜功能</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机柜管理功能</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hint="eastAsia" w:ascii="宋体" w:hAnsi="宋体"/>
                <w:color w:val="000000"/>
              </w:rPr>
              <w:t xml:space="preserve">不涉及</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73</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机柜通信方式</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hint="eastAsia" w:ascii="宋体" w:hAnsi="宋体"/>
                <w:color w:val="000000"/>
              </w:rPr>
              <w:t xml:space="preserve">不涉及</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74</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多集群作业管理</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hint="eastAsia" w:ascii="宋体" w:hAnsi="宋体"/>
                <w:color w:val="000000"/>
              </w:rPr>
              <w:t xml:space="preserve">不涉及</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75</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*关键部件安全要求</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*关键部件安全要求</w:t>
            </w:r>
            <w:r>
              <w:rPr>
                <w:rFonts w:ascii="宋体" w:hAnsi="宋体" w:cs="黑体"/>
                <w:color w:val="000000"/>
                <w:vertAlign w:val="superscript"/>
              </w:rPr>
              <w:t xml:space="preserve">3</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CPU和操作系统等关键部件应当符合安全可靠测评要求</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76</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left="4"/>
              <w:spacing w:line="220" w:lineRule="exact"/>
              <w:rPr>
                <w:rFonts w:ascii="宋体" w:hAnsi="宋体"/>
                <w:color w:val="000000"/>
              </w:rPr>
            </w:pPr>
            <w:r>
              <w:rPr>
                <w:rFonts w:ascii="宋体" w:hAnsi="宋体" w:cs="黑体"/>
                <w:color w:val="000000"/>
              </w:rPr>
              <w:t xml:space="preserve">*固件安全要求</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*故障检测</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支持故障检测功能，可以检测到具体的FRU（内存、硬盘等）的故障并发出告警</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77</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内存故障智能预测和自愈修复</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支持内存故障智能预测和自愈修复，提前自动硬隔离，避免内存故障引起的非预期宕机以及内存寿命的降低</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78</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硬盘故障智能预测</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支持硬盘故障智能预测，基于故障模型预测出硬盘的故障</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79</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PCIe链路故障智能诊断</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支持PCIe链路故障智能诊断，判断出现故障的PCIe链路</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80</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内存故障隔离</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支持内存故障隔离，在内存产生CE 故障时，内存地址被隔离成功，服务器正常运行，业务系统不中断</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81</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内存、PCIe 卡的故障精准告警功能</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支持内存、PCIe卡的故障精准告警功能，触发告警并明确指示具体的故障位置</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82</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异常下电关键数据保护</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支持异常下电关键数据保护，支持数据备份恢复机制，防止系统异常掉电导致的数据文件丢失</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83</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BMC/BIOS 固件双镜像保护</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支持BMC/BIOS固件双镜像保护，运行异常时自动切换到备份镜像运行，提升系统稳定性</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84</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CPU核重启隔离</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支持CPU核发生不可纠正故障后，重启后由BIOS隔离该故障核，OS 不可见，防止OS再次使用导致系统异常，核0除外</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85</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内存地址隔离</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在硬件支持的情况下，支持故障内存地址重启后隔离</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86</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内存存储阵列替换</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在硬件支持的情况下，支持故障内存存储阵列替换</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87</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安全启动</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支持执行环境要求在整个系统启动的过程中，系统应提供一个机制来保护平台的完整性</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88</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left="4"/>
              <w:spacing w:line="220" w:lineRule="exact"/>
              <w:rPr>
                <w:rFonts w:ascii="宋体" w:hAnsi="宋体"/>
                <w:color w:val="000000"/>
              </w:rPr>
            </w:pPr>
            <w:r>
              <w:rPr>
                <w:rFonts w:ascii="宋体" w:hAnsi="宋体" w:cs="黑体"/>
                <w:color w:val="000000"/>
              </w:rPr>
              <w:t xml:space="preserve">*系统安全要求</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syslog双向鉴别</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支持系统日志双向鉴别，对服务器根证书和客户端根证书进行鉴别</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89</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*弱口令字典检查</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支持弱口令字典检查功能，出现在弱口令字典中的字符串不能被设置为用户口令</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90</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*白名单访问控制</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支持基于时间、IP或MAC白名单访问控制</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91</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right="19"/>
              <w:spacing w:line="220" w:lineRule="exact"/>
              <w:rPr>
                <w:rFonts w:ascii="宋体" w:hAnsi="宋体"/>
                <w:color w:val="000000"/>
              </w:rPr>
            </w:pPr>
            <w:r>
              <w:rPr>
                <w:rFonts w:ascii="宋体" w:hAnsi="宋体" w:cs="黑体"/>
                <w:color w:val="000000"/>
              </w:rPr>
              <w:t xml:space="preserve">双因素鉴别</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支持使用客户端证书和证书密码的双因素鉴别方式登录管理系统</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92</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*二次鉴别</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支持二次鉴别功能。对于用户配置、权限配置、公钥导入等重要的管理操作，已登录用户应通过二次鉴别后，才能执行操作</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93</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匿名化用户告警接收邮箱</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支持带外管理系统中的用户告警接收邮箱进行匿名化处理</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94</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*密码证书安全加密存储</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支持对带外管理系统中的用户口令和证书等敏感信息进行加密存储，禁止使用私有的和业界已知不安全的密码算法</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95</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*敏感信息安全加密传输</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支持使用安全的传输加密协议（如SSH或HTTPS等）传输用户的敏感信息</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96</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left="4"/>
              <w:spacing w:line="220" w:lineRule="exact"/>
              <w:rPr>
                <w:rFonts w:ascii="宋体" w:hAnsi="宋体"/>
                <w:color w:val="000000"/>
              </w:rPr>
            </w:pPr>
            <w:r>
              <w:rPr>
                <w:rFonts w:ascii="宋体" w:hAnsi="宋体" w:cs="黑体"/>
                <w:color w:val="000000"/>
              </w:rPr>
              <w:t xml:space="preserve">*信息安全要求</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*研发过程安全</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供应商承诺，生产商已建立从需求、设计、开发、测试、维护端到端的开发流程管理机制，输出和保存开发流程中每个阶段的产品需求清单、设计文档、开发文档、测试记录等材料，保证各个流程可追溯</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97</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漏洞管理</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供应商承诺，生产商已建立漏洞全量视图，保证产品版本涉及到的所有漏洞(如驱动程序、BMC软件等) 都可以查看</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98</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网络关键设备服务器要求</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作为网络关键设备的服务器应符合GB 40050的相关规定</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99</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增强要求</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numPr>
                <w:ilvl w:val="0"/>
                <w:numId w:val="39"/>
              </w:numPr>
              <w:jc w:val="left"/>
              <w:spacing w:line="220" w:lineRule="exact"/>
              <w:widowControl/>
              <w:rPr>
                <w:rFonts w:ascii="宋体" w:hAnsi="宋体"/>
                <w:color w:val="000000"/>
              </w:rPr>
            </w:pPr>
            <w:r>
              <w:rPr>
                <w:rFonts w:ascii="宋体" w:hAnsi="宋体" w:cs="黑体"/>
                <w:color w:val="000000"/>
              </w:rPr>
              <w:t xml:space="preserve">嵌入物理可信根，实现设备的信任链构建；</w:t>
            </w:r>
            <w:r>
              <w:rPr>
                <w:rFonts w:ascii="宋体" w:hAnsi="宋体"/>
                <w:color w:val="000000"/>
              </w:rPr>
            </w:r>
            <w:r/>
          </w:p>
          <w:p>
            <w:pPr>
              <w:pStyle w:val="734"/>
              <w:numPr>
                <w:ilvl w:val="0"/>
                <w:numId w:val="39"/>
              </w:numPr>
              <w:jc w:val="left"/>
              <w:spacing w:line="220" w:lineRule="exact"/>
              <w:widowControl/>
              <w:rPr>
                <w:rFonts w:ascii="宋体" w:hAnsi="宋体"/>
                <w:color w:val="000000"/>
              </w:rPr>
            </w:pPr>
            <w:r>
              <w:rPr>
                <w:rFonts w:ascii="宋体" w:hAnsi="宋体" w:cs="黑体"/>
                <w:color w:val="000000"/>
              </w:rPr>
              <w:t xml:space="preserve">支持可信平台控制模块(TPCM)；</w:t>
            </w:r>
            <w:r>
              <w:rPr>
                <w:rFonts w:ascii="宋体" w:hAnsi="宋体"/>
                <w:color w:val="000000"/>
              </w:rPr>
            </w:r>
            <w:r/>
          </w:p>
          <w:p>
            <w:pPr>
              <w:pStyle w:val="734"/>
              <w:numPr>
                <w:ilvl w:val="0"/>
                <w:numId w:val="39"/>
              </w:numPr>
              <w:jc w:val="left"/>
              <w:spacing w:line="220" w:lineRule="exact"/>
              <w:widowControl/>
              <w:rPr>
                <w:rFonts w:ascii="宋体" w:hAnsi="宋体"/>
                <w:color w:val="000000"/>
              </w:rPr>
            </w:pPr>
            <w:r>
              <w:rPr>
                <w:rFonts w:ascii="宋体" w:hAnsi="宋体" w:cs="黑体"/>
                <w:color w:val="000000"/>
              </w:rPr>
              <w:t xml:space="preserve">支持在固件系统（BMC、BIOS）启动前实现对固件度量的功能，支持物理可信根对BMC固件或BIOS固件进行完整性检测、更新和恢复；</w:t>
            </w:r>
            <w:r>
              <w:rPr>
                <w:rFonts w:ascii="宋体" w:hAnsi="宋体"/>
                <w:color w:val="000000"/>
              </w:rPr>
            </w:r>
            <w:r/>
          </w:p>
          <w:p>
            <w:pPr>
              <w:pStyle w:val="734"/>
              <w:numPr>
                <w:ilvl w:val="0"/>
                <w:numId w:val="39"/>
              </w:numPr>
              <w:jc w:val="left"/>
              <w:spacing w:line="220" w:lineRule="exact"/>
              <w:widowControl/>
              <w:rPr>
                <w:rFonts w:ascii="宋体" w:hAnsi="宋体"/>
                <w:color w:val="000000"/>
              </w:rPr>
            </w:pPr>
            <w:r>
              <w:rPr>
                <w:rFonts w:ascii="宋体" w:hAnsi="宋体" w:cs="黑体"/>
                <w:color w:val="000000"/>
              </w:rPr>
              <w:t xml:space="preserve">支持对CPU、网络控制器等关键处理器进行身份识别与度量的功能；</w:t>
            </w:r>
            <w:r>
              <w:rPr>
                <w:rFonts w:ascii="宋体" w:hAnsi="宋体"/>
                <w:color w:val="000000"/>
              </w:rPr>
            </w:r>
            <w:r/>
          </w:p>
          <w:p>
            <w:pPr>
              <w:pStyle w:val="734"/>
              <w:numPr>
                <w:ilvl w:val="0"/>
                <w:numId w:val="39"/>
              </w:numPr>
              <w:jc w:val="left"/>
              <w:spacing w:line="220" w:lineRule="exact"/>
              <w:widowControl/>
              <w:rPr>
                <w:rFonts w:ascii="宋体" w:hAnsi="宋体"/>
                <w:color w:val="000000"/>
              </w:rPr>
            </w:pPr>
            <w:r>
              <w:rPr>
                <w:rFonts w:ascii="宋体" w:hAnsi="宋体" w:cs="黑体"/>
                <w:color w:val="000000"/>
              </w:rPr>
              <w:t xml:space="preserve">支持基于处理器或可信计算模块度量的功能；</w:t>
            </w:r>
            <w:r>
              <w:rPr>
                <w:rFonts w:ascii="宋体" w:hAnsi="宋体"/>
                <w:color w:val="000000"/>
              </w:rPr>
            </w:r>
            <w:r/>
          </w:p>
          <w:p>
            <w:pPr>
              <w:pStyle w:val="734"/>
              <w:numPr>
                <w:ilvl w:val="0"/>
                <w:numId w:val="39"/>
              </w:numPr>
              <w:jc w:val="left"/>
              <w:spacing w:line="220" w:lineRule="exact"/>
              <w:widowControl/>
              <w:rPr>
                <w:rFonts w:ascii="宋体" w:hAnsi="宋体"/>
                <w:color w:val="000000"/>
              </w:rPr>
            </w:pPr>
            <w:r>
              <w:rPr>
                <w:rFonts w:ascii="宋体" w:hAnsi="宋体" w:cs="黑体"/>
                <w:color w:val="000000"/>
              </w:rPr>
              <w:t xml:space="preserve">所采用的可信密码模块接口应符合GM/T 0012的相关规定；</w:t>
            </w:r>
            <w:r>
              <w:rPr>
                <w:rFonts w:ascii="宋体" w:hAnsi="宋体"/>
                <w:color w:val="000000"/>
              </w:rPr>
            </w:r>
            <w:r/>
          </w:p>
          <w:p>
            <w:pPr>
              <w:pStyle w:val="734"/>
              <w:numPr>
                <w:ilvl w:val="0"/>
                <w:numId w:val="39"/>
              </w:numPr>
              <w:jc w:val="left"/>
              <w:spacing w:line="220" w:lineRule="exact"/>
              <w:widowControl/>
              <w:rPr>
                <w:rFonts w:ascii="宋体" w:hAnsi="宋体"/>
                <w:color w:val="000000"/>
              </w:rPr>
            </w:pPr>
            <w:r>
              <w:rPr>
                <w:rFonts w:ascii="宋体" w:hAnsi="宋体" w:cs="黑体"/>
                <w:color w:val="000000"/>
              </w:rPr>
              <w:t xml:space="preserve">可信安全管理模块、处理器等硬件载体应通过国家相关部门的认证和许可</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100</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*物理安全</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*物理安全</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安全要求应符合GB 4943.1的规定</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101</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left="5"/>
              <w:spacing w:line="220" w:lineRule="exact"/>
              <w:rPr>
                <w:rFonts w:ascii="宋体" w:hAnsi="宋体"/>
                <w:color w:val="000000"/>
              </w:rPr>
            </w:pPr>
            <w:r>
              <w:rPr>
                <w:rFonts w:ascii="宋体" w:hAnsi="宋体" w:cs="黑体"/>
                <w:color w:val="000000"/>
              </w:rPr>
              <w:t xml:space="preserve">*限用物质的限量要求</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*限用物质的限量要求</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限用物质的限量应符合GB/T 26572 的要求</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102</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性能要求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*CPU 性能</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*CPU主频</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≥2.6GHz</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103</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性能要求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*单CPU核数</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≥32</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104</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性能要求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*单CPU末级缓存容量</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≥8MB</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105</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性能要求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*内存性能</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单内存模块容量</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≥32GB</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106</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性能要求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*内存速率</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≥2933MT</w:t>
            </w:r>
            <w:r>
              <w:rPr>
                <w:rFonts w:hint="eastAsia" w:ascii="宋体" w:hAnsi="宋体" w:cs="黑体"/>
                <w:color w:val="000000"/>
              </w:rPr>
              <w:t xml:space="preserve">/</w:t>
            </w:r>
            <w:r>
              <w:rPr>
                <w:rFonts w:ascii="宋体" w:hAnsi="宋体" w:cs="黑体"/>
                <w:color w:val="000000"/>
              </w:rPr>
              <w:t xml:space="preserve">s</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107</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性能要求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存储性能</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硬盘转速</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安装的1.2TB硬磁盘转速不小于10</w:t>
            </w:r>
            <w:r>
              <w:rPr>
                <w:rFonts w:hint="eastAsia" w:ascii="宋体" w:hAnsi="宋体" w:cs="黑体"/>
                <w:color w:val="000000"/>
              </w:rPr>
              <w:t xml:space="preserve">k</w:t>
            </w:r>
            <w:r>
              <w:rPr>
                <w:rFonts w:ascii="宋体" w:hAnsi="宋体" w:cs="黑体"/>
                <w:color w:val="000000"/>
              </w:rPr>
              <w:t xml:space="preserve">rpm</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108</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性能要求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RAID 卡性能</w:t>
            </w:r>
            <w:r>
              <w:rPr>
                <w:rFonts w:ascii="宋体" w:hAnsi="宋体"/>
                <w:color w:val="000000"/>
              </w:rPr>
            </w:r>
            <w:r/>
          </w:p>
        </w:tc>
        <w:tc>
          <w:tcPr>
            <w:tcW w:w="1133"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RAID卡缓存容量大小</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若配备RAID卡且RAID卡有缓存容量，容量不少于1GB</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109</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性能要求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FC HBA 卡性能</w:t>
            </w:r>
            <w:r>
              <w:rPr>
                <w:rFonts w:ascii="宋体" w:hAnsi="宋体"/>
                <w:color w:val="000000"/>
              </w:rPr>
            </w:r>
            <w:r/>
          </w:p>
        </w:tc>
        <w:tc>
          <w:tcPr>
            <w:tcW w:w="1133"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FC HBA卡</w:t>
            </w:r>
            <w:r>
              <w:rPr>
                <w:rFonts w:ascii="宋体" w:hAnsi="宋体"/>
                <w:color w:val="000000"/>
              </w:rPr>
            </w:r>
            <w:r/>
          </w:p>
          <w:p>
            <w:pPr>
              <w:pStyle w:val="734"/>
              <w:ind w:firstLine="360"/>
              <w:spacing w:line="220" w:lineRule="exact"/>
              <w:rPr>
                <w:rFonts w:ascii="宋体" w:hAnsi="宋体"/>
                <w:color w:val="000000"/>
              </w:rPr>
            </w:pPr>
            <w:r>
              <w:rPr>
                <w:rFonts w:ascii="宋体" w:hAnsi="宋体" w:cs="黑体"/>
                <w:color w:val="000000"/>
              </w:rPr>
              <w:t xml:space="preserve">速率</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hint="eastAsia" w:ascii="宋体" w:hAnsi="宋体"/>
                <w:color w:val="000000"/>
              </w:rPr>
              <w:t xml:space="preserve">不涉及</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110</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性能要求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网络性能</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独立网卡速率</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≥1GE</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111</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性能要求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板载网卡速率</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≥1GE</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112</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性能要求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*电源能耗</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*电源能耗</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符合GB/T 9813.3的有关规定</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113</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兼容要求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*部件兼容性要求</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*内存兼容性</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适配3种及以上厂商的内存产品，且均不低于产品支持的内存规格</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114</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兼容要求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*固态存储兼容性</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适配3种或以上厂商的固态存储产品，且均不低于产品支持的固态存储设备规格</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115</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兼容要求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FC HBA卡</w:t>
            </w:r>
            <w:r>
              <w:rPr>
                <w:rFonts w:ascii="宋体" w:hAnsi="宋体"/>
                <w:color w:val="000000"/>
              </w:rPr>
            </w:r>
            <w:r/>
          </w:p>
          <w:p>
            <w:pPr>
              <w:pStyle w:val="734"/>
              <w:ind w:firstLine="360"/>
              <w:spacing w:line="220" w:lineRule="exact"/>
              <w:rPr>
                <w:rFonts w:ascii="宋体" w:hAnsi="宋体"/>
                <w:color w:val="000000"/>
              </w:rPr>
            </w:pPr>
            <w:r>
              <w:rPr>
                <w:rFonts w:ascii="宋体" w:hAnsi="宋体" w:cs="黑体"/>
                <w:color w:val="000000"/>
              </w:rPr>
              <w:t xml:space="preserve">兼容性</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FC HBA应适配两种或以上厂商产品</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116</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兼容要求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RAID卡兼容性</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RAID卡应适配两种或以上厂商产品</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117</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兼容要求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*网卡兼容性</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网卡应适配两种或以上厂商产品</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118</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兼容要求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*功能卡兼容性</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内置或适配符合PCIe的功能卡，如：网络功能卡、存储功能卡及图形显示功能卡</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119</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兼容要求</w:t>
            </w:r>
            <w:r>
              <w:rPr>
                <w:rFonts w:ascii="宋体" w:hAnsi="宋体"/>
                <w:color w:val="000000"/>
              </w:rPr>
            </w:r>
            <w:r/>
          </w:p>
        </w:tc>
        <w:tc>
          <w:tcPr>
            <w:tcW w:w="1278" w:type="dxa"/>
            <w:vAlign w:val="center"/>
            <w:textDirection w:val="lrTb"/>
            <w:noWrap w:val="false"/>
          </w:tcPr>
          <w:p>
            <w:pPr>
              <w:pStyle w:val="734"/>
              <w:ind w:right="80"/>
              <w:spacing w:line="220" w:lineRule="exact"/>
              <w:rPr>
                <w:rFonts w:ascii="宋体" w:hAnsi="宋体"/>
                <w:color w:val="000000"/>
              </w:rPr>
            </w:pPr>
            <w:r>
              <w:rPr>
                <w:rFonts w:ascii="宋体" w:hAnsi="宋体" w:cs="黑体"/>
                <w:color w:val="000000"/>
              </w:rPr>
              <w:t xml:space="preserve">*外设兼容性</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*外设兼容性</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兼容多种主流生产商的外部设备，</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包括显示器、键盘、鼠标、闪存盘、</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移动硬盘、USB光驱及KVM等，要求使用不同厂商的外部设备时，系统均能正常识别和安装驱动</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120</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兼容要求</w:t>
            </w:r>
            <w:r>
              <w:rPr>
                <w:rFonts w:ascii="宋体" w:hAnsi="宋体"/>
                <w:color w:val="000000"/>
              </w:rPr>
            </w:r>
            <w:r/>
          </w:p>
        </w:tc>
        <w:tc>
          <w:tcPr>
            <w:tcW w:w="1278" w:type="dxa"/>
            <w:vAlign w:val="center"/>
            <w:textDirection w:val="lrTb"/>
            <w:noWrap w:val="false"/>
          </w:tcPr>
          <w:p>
            <w:pPr>
              <w:pStyle w:val="734"/>
              <w:ind w:right="80"/>
              <w:spacing w:line="220" w:lineRule="exact"/>
              <w:rPr>
                <w:rFonts w:ascii="宋体" w:hAnsi="宋体"/>
                <w:color w:val="000000"/>
              </w:rPr>
            </w:pPr>
            <w:r>
              <w:rPr>
                <w:rFonts w:ascii="宋体" w:hAnsi="宋体" w:cs="黑体"/>
                <w:color w:val="000000"/>
              </w:rPr>
              <w:t xml:space="preserve">*软件兼容性</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*数据库兼容</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兼容3个及以上厂商的数据库产品</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121</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兼容要求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*中间件兼容</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兼容3个及以上厂商的中间件产品</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122</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兼容要求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*平台软件兼容</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兼容3个及以上厂商的大数据平台</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123</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兼容要求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虚拟化软件兼容</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兼容2款及以上虚拟化软件</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124</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可靠性要求</w:t>
            </w:r>
            <w:r>
              <w:rPr>
                <w:rFonts w:ascii="宋体" w:hAnsi="宋体"/>
                <w:color w:val="000000"/>
              </w:rPr>
            </w:r>
            <w:r/>
          </w:p>
        </w:tc>
        <w:tc>
          <w:tcPr>
            <w:tcW w:w="1278" w:type="dxa"/>
            <w:vAlign w:val="center"/>
            <w:textDirection w:val="lrTb"/>
            <w:noWrap w:val="false"/>
          </w:tcPr>
          <w:p>
            <w:pPr>
              <w:pStyle w:val="734"/>
              <w:ind w:right="80"/>
              <w:spacing w:line="220" w:lineRule="exact"/>
              <w:rPr>
                <w:rFonts w:ascii="宋体" w:hAnsi="宋体"/>
                <w:color w:val="000000"/>
              </w:rPr>
            </w:pPr>
            <w:r>
              <w:rPr>
                <w:rFonts w:ascii="宋体" w:hAnsi="宋体" w:cs="黑体"/>
                <w:color w:val="000000"/>
              </w:rPr>
              <w:t xml:space="preserve">存储可靠性要求</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SATA SSD</w:t>
            </w:r>
            <w:r>
              <w:rPr>
                <w:rFonts w:ascii="宋体" w:hAnsi="宋体"/>
                <w:color w:val="000000"/>
              </w:rPr>
            </w:r>
            <w:r/>
          </w:p>
          <w:p>
            <w:pPr>
              <w:pStyle w:val="734"/>
              <w:ind w:firstLine="360"/>
              <w:spacing w:line="220" w:lineRule="exact"/>
              <w:rPr>
                <w:rFonts w:ascii="宋体" w:hAnsi="宋体"/>
                <w:color w:val="000000"/>
              </w:rPr>
            </w:pPr>
            <w:r>
              <w:rPr>
                <w:rFonts w:ascii="宋体" w:hAnsi="宋体" w:cs="黑体"/>
                <w:color w:val="000000"/>
              </w:rPr>
              <w:t xml:space="preserve">可靠性</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SSD的m1值（MTBF的不可接受值）不低于200000h</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125</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可靠性要求</w:t>
            </w:r>
            <w:r>
              <w:rPr>
                <w:rFonts w:ascii="宋体" w:hAnsi="宋体"/>
                <w:color w:val="000000"/>
              </w:rPr>
            </w:r>
            <w:r/>
          </w:p>
        </w:tc>
        <w:tc>
          <w:tcPr>
            <w:tcW w:w="1278" w:type="dxa"/>
            <w:vAlign w:val="center"/>
            <w:textDirection w:val="lrTb"/>
            <w:noWrap w:val="false"/>
          </w:tcPr>
          <w:p>
            <w:pPr>
              <w:pStyle w:val="734"/>
              <w:ind w:right="80"/>
              <w:spacing w:line="220" w:lineRule="exact"/>
              <w:rPr>
                <w:rFonts w:ascii="宋体" w:hAnsi="宋体"/>
                <w:color w:val="000000"/>
              </w:rPr>
            </w:pPr>
            <w:r>
              <w:rPr>
                <w:rFonts w:ascii="宋体" w:hAnsi="宋体" w:cs="黑体"/>
                <w:color w:val="000000"/>
              </w:rPr>
              <w:t xml:space="preserve">*整机可靠性要求</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*整机可靠性</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m1值（MTBF的不可接受值）不得低于30000h</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126</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可靠性要求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*风扇可靠性</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风扇寿命应不低于40000h</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127</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可靠性要求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*部件可靠性</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支持硬盘、电源、风扇热插拔(内置风扇除外)</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128</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包装及运输要求</w:t>
            </w:r>
            <w:r>
              <w:rPr>
                <w:rFonts w:ascii="宋体" w:hAnsi="宋体"/>
                <w:color w:val="000000"/>
              </w:rPr>
            </w:r>
            <w:r/>
          </w:p>
        </w:tc>
        <w:tc>
          <w:tcPr>
            <w:tcW w:w="1278" w:type="dxa"/>
            <w:vAlign w:val="center"/>
            <w:textDirection w:val="lrTb"/>
            <w:noWrap w:val="false"/>
          </w:tcPr>
          <w:p>
            <w:pPr>
              <w:pStyle w:val="734"/>
              <w:ind w:right="80"/>
              <w:spacing w:line="220" w:lineRule="exact"/>
              <w:rPr>
                <w:rFonts w:ascii="宋体" w:hAnsi="宋体"/>
                <w:color w:val="000000"/>
              </w:rPr>
            </w:pPr>
            <w:r>
              <w:rPr>
                <w:rFonts w:ascii="宋体" w:hAnsi="宋体" w:cs="黑体"/>
                <w:color w:val="000000"/>
              </w:rPr>
              <w:t xml:space="preserve">*包装及运输要求</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*标志、包装、运输和贮存</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符合GB/T 9813.3和商品包装政府采购需求标准的相关规定</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129</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*服务响应</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*服务响应</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numPr>
                <w:ilvl w:val="0"/>
                <w:numId w:val="40"/>
              </w:numPr>
              <w:jc w:val="left"/>
              <w:spacing w:line="220" w:lineRule="exact"/>
              <w:widowControl/>
              <w:rPr>
                <w:rFonts w:ascii="宋体" w:hAnsi="宋体"/>
                <w:color w:val="000000"/>
              </w:rPr>
            </w:pPr>
            <w:r>
              <w:rPr>
                <w:rFonts w:ascii="宋体" w:hAnsi="宋体" w:cs="黑体"/>
                <w:color w:val="000000"/>
              </w:rPr>
              <w:t xml:space="preserve">提供电话、电子邮件、远程连接等多种形式服务；</w:t>
            </w:r>
            <w:r>
              <w:rPr>
                <w:rFonts w:ascii="宋体" w:hAnsi="宋体"/>
                <w:color w:val="000000"/>
              </w:rPr>
            </w:r>
            <w:r/>
          </w:p>
          <w:p>
            <w:pPr>
              <w:pStyle w:val="734"/>
              <w:numPr>
                <w:ilvl w:val="0"/>
                <w:numId w:val="40"/>
              </w:numPr>
              <w:jc w:val="left"/>
              <w:spacing w:line="220" w:lineRule="exact"/>
              <w:widowControl/>
              <w:rPr>
                <w:rFonts w:ascii="宋体" w:hAnsi="宋体"/>
                <w:color w:val="000000"/>
              </w:rPr>
            </w:pPr>
            <w:r>
              <w:rPr>
                <w:rFonts w:ascii="宋体" w:hAnsi="宋体" w:cs="黑体"/>
                <w:color w:val="000000"/>
              </w:rPr>
              <w:t xml:space="preserve">提供同城4h、异地12h技术响应服务，2个工作日解决问题，对于未能解决的问题和故障应提供可行的升级方案，并提供周转设备； c) 建立全国技术服务体系和服务团体，符合专业服务体系标准要求，提供原厂中文服务； d) 服务周期内提供产品的维修、换件和升级服务</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130</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*培训服务</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供应商提供培训材料、产品手册、培训视频等培训相关内容</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131</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*服务周期</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*服务周期</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right="91" w:firstLine="360"/>
              <w:spacing w:line="220" w:lineRule="exact"/>
              <w:rPr>
                <w:rFonts w:ascii="宋体" w:hAnsi="宋体"/>
                <w:color w:val="000000"/>
              </w:rPr>
            </w:pPr>
            <w:r>
              <w:rPr>
                <w:rFonts w:ascii="宋体" w:hAnsi="宋体" w:cs="黑体"/>
                <w:color w:val="000000"/>
              </w:rPr>
              <w:t xml:space="preserve">a) 产品免费服务周期（含换件和维修）应不小于5年</w:t>
            </w:r>
            <w:r>
              <w:rPr>
                <w:rFonts w:hint="eastAsia" w:ascii="宋体" w:hAnsi="宋体" w:cs="黑体"/>
                <w:color w:val="000000"/>
              </w:rPr>
              <w:t xml:space="preserve">，提供介质保留服务不小于5年</w:t>
            </w:r>
            <w:r>
              <w:rPr>
                <w:rFonts w:ascii="宋体" w:hAnsi="宋体" w:cs="黑体"/>
                <w:color w:val="000000"/>
              </w:rPr>
              <w:t xml:space="preserve">； b) 设备停产后继续提供质量保障服务（含备品备件），服务终止时间与最后一批设备交付时间间隔不低于6年； c) 产品停止服务时间应提前1年告知客户；</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d) 产品发布日期需在随机文件中明确</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132</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78" w:type="dxa"/>
            <w:vAlign w:val="center"/>
            <w:textDirection w:val="lrTb"/>
            <w:noWrap w:val="false"/>
          </w:tcPr>
          <w:p>
            <w:pPr>
              <w:pStyle w:val="734"/>
              <w:ind w:left="4"/>
              <w:spacing w:line="220" w:lineRule="exact"/>
              <w:rPr>
                <w:rFonts w:ascii="宋体" w:hAnsi="宋体"/>
                <w:color w:val="000000"/>
              </w:rPr>
            </w:pPr>
            <w:r>
              <w:rPr>
                <w:rFonts w:ascii="宋体" w:hAnsi="宋体" w:cs="黑体"/>
                <w:color w:val="000000"/>
              </w:rPr>
              <w:t xml:space="preserve">*服务工具要求</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*工具要求</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供应商提供设置服务器硬件、辅助操作系统安装等功能的辅助工具和管理软件。且随附软件应具有合法授权或版权</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133</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辅助工具</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支持如下功能</w:t>
            </w:r>
            <w:r>
              <w:rPr>
                <w:rFonts w:ascii="宋体" w:hAnsi="宋体"/>
                <w:color w:val="000000"/>
              </w:rPr>
            </w:r>
            <w:r/>
          </w:p>
          <w:p>
            <w:pPr>
              <w:pStyle w:val="734"/>
              <w:numPr>
                <w:ilvl w:val="0"/>
                <w:numId w:val="41"/>
              </w:numPr>
              <w:ind w:right="124"/>
              <w:jc w:val="left"/>
              <w:spacing w:line="220" w:lineRule="exact"/>
              <w:widowControl/>
              <w:rPr>
                <w:rFonts w:ascii="宋体" w:hAnsi="宋体"/>
                <w:color w:val="000000"/>
              </w:rPr>
            </w:pPr>
            <w:r>
              <w:rPr>
                <w:rFonts w:ascii="宋体" w:hAnsi="宋体" w:cs="黑体"/>
                <w:color w:val="000000"/>
              </w:rPr>
              <w:t xml:space="preserve">本地的数据备份和还原功能；</w:t>
            </w:r>
            <w:r>
              <w:rPr>
                <w:rFonts w:ascii="宋体" w:hAnsi="宋体"/>
                <w:color w:val="000000"/>
              </w:rPr>
            </w:r>
            <w:r/>
          </w:p>
          <w:p>
            <w:pPr>
              <w:pStyle w:val="734"/>
              <w:numPr>
                <w:ilvl w:val="0"/>
                <w:numId w:val="41"/>
              </w:numPr>
              <w:ind w:right="124"/>
              <w:jc w:val="left"/>
              <w:spacing w:line="220" w:lineRule="exact"/>
              <w:widowControl/>
              <w:rPr>
                <w:rFonts w:ascii="宋体" w:hAnsi="宋体"/>
                <w:color w:val="000000"/>
              </w:rPr>
            </w:pPr>
            <w:r>
              <w:rPr>
                <w:rFonts w:ascii="宋体" w:hAnsi="宋体" w:cs="黑体"/>
                <w:color w:val="000000"/>
              </w:rPr>
              <w:t xml:space="preserve">网络的数据备份和还原功能； c) 服务器操作系统的自动安装功能； d) 服务器所配硬件需要的驱动程序和系统补丁</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134</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*驱动安装升级指引</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供应商提供出厂安装的配件所需的驱动程序，形式包括但不限于驱动光盘、驱动下载链接等。其他配件应提供指引</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135</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随机附开盖工具</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随服务器打包提供开机箱工具</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136</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代码迁移工具</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供应商提供从其他CPU架构到当前服务器CPU架构的软件迁移工具产品，支持软件包迁移评估，对满足产品重构要求的软件包，能重构为当前服务器CPU架构的软件包。提</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供源码迁移功能，检查分析</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C/C++/Fortran/Go/解释型语言/汇编等源码文件，基于产品功能给出迁移指导</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137</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性能分析工具</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供应商提供支持当前服务器CPU架构的性能分析工具产品，支持系统性能分析、Java性能分析和系统诊断，可分析系统或应用在CPU、内存、</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IO、网络等方面的性能，并给出优化建议</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138</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right="19"/>
              <w:spacing w:line="220" w:lineRule="exact"/>
              <w:rPr>
                <w:rFonts w:ascii="宋体" w:hAnsi="宋体"/>
                <w:color w:val="000000"/>
              </w:rPr>
            </w:pPr>
            <w:r>
              <w:rPr>
                <w:rFonts w:ascii="宋体" w:hAnsi="宋体" w:cs="黑体"/>
                <w:color w:val="000000"/>
              </w:rPr>
              <w:t xml:space="preserve">跨架构平台应用兼容</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跨CPU架构平台应用兼容工具，可兼容一种或者一种以上不同架构平台的应用</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139</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*管理软件</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具备资源管理、系统管理、性能监控、健康监控、基于网络控制、报警设置功能</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140</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*增值服务</w:t>
            </w:r>
            <w:r>
              <w:rPr>
                <w:rFonts w:ascii="宋体" w:hAnsi="宋体"/>
                <w:color w:val="000000"/>
              </w:rPr>
            </w:r>
            <w:r/>
          </w:p>
        </w:tc>
        <w:tc>
          <w:tcPr>
            <w:tcW w:w="1133" w:type="dxa"/>
            <w:vAlign w:val="center"/>
            <w:textDirection w:val="lrTb"/>
            <w:noWrap w:val="false"/>
          </w:tcPr>
          <w:p>
            <w:pPr>
              <w:pStyle w:val="734"/>
              <w:ind w:right="19"/>
              <w:spacing w:line="220" w:lineRule="exact"/>
              <w:rPr>
                <w:rFonts w:ascii="宋体" w:hAnsi="宋体"/>
                <w:color w:val="000000"/>
              </w:rPr>
            </w:pPr>
            <w:r>
              <w:rPr>
                <w:rFonts w:ascii="宋体" w:hAnsi="宋体" w:cs="黑体"/>
                <w:color w:val="000000"/>
              </w:rPr>
              <w:t xml:space="preserve">*厂家升级产品软件与扩容服务</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供应商提供原厂级的部件/软件产品升级和扩容能力</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141</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服务保障升级</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供应商有偿提供远程技术支持、软件授权服务、备件更换服务、现场支承服务</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142</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*提供上门服务</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供应商具备提供上门服务的能力</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143</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业务场景性能优化服务及整体架构升级服务</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供应商提供针对特定业务场景性能优化服务及整体架构升级服务</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144</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供保要求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*供应链质量</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*抗干扰性</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当产品部件出现供应风险时，应通知客户并提供风险应对方案确保产品的服务保障，必要时应停止相关受影响产品的销售</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145</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供保要求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*供应能力证明</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供应商提供供应链稳定承诺书，确保产品的部件在产品服务周期内稳定供货</w:t>
            </w:r>
            <w:r>
              <w:rPr>
                <w:rFonts w:ascii="宋体" w:hAnsi="宋体"/>
                <w:color w:val="000000"/>
              </w:rPr>
            </w:r>
            <w:r/>
          </w:p>
        </w:tc>
      </w:tr>
    </w:tbl>
    <w:p>
      <w:pPr>
        <w:pStyle w:val="734"/>
        <w:ind w:left="-5"/>
        <w:rPr>
          <w:color w:val="000000"/>
          <w:sz w:val="24"/>
          <w:szCs w:val="24"/>
        </w:rPr>
      </w:pPr>
      <w:r>
        <w:rPr>
          <w:color w:val="000000"/>
          <w:sz w:val="24"/>
          <w:szCs w:val="24"/>
        </w:rPr>
      </w:r>
      <w:r/>
    </w:p>
    <w:p>
      <w:pPr>
        <w:pStyle w:val="738"/>
        <w:rPr>
          <w:rFonts w:ascii="宋体" w:hAnsi="宋体" w:eastAsia="宋体"/>
          <w:color w:val="000000"/>
          <w:sz w:val="24"/>
          <w:szCs w:val="24"/>
        </w:rPr>
      </w:pPr>
      <w:r>
        <w:rPr>
          <w:rFonts w:hint="eastAsia" w:ascii="宋体" w:hAnsi="宋体" w:eastAsia="宋体"/>
          <w:color w:val="000000"/>
          <w:sz w:val="24"/>
          <w:szCs w:val="24"/>
        </w:rPr>
        <w:t xml:space="preserve">4.5 G</w:t>
      </w:r>
      <w:r>
        <w:rPr>
          <w:rFonts w:ascii="宋体" w:hAnsi="宋体" w:eastAsia="宋体"/>
          <w:color w:val="000000"/>
          <w:sz w:val="24"/>
          <w:szCs w:val="24"/>
        </w:rPr>
        <w:t xml:space="preserve">PU</w:t>
      </w:r>
      <w:r>
        <w:rPr>
          <w:rFonts w:hint="eastAsia" w:ascii="宋体" w:hAnsi="宋体" w:eastAsia="宋体"/>
          <w:color w:val="000000"/>
          <w:sz w:val="24"/>
          <w:szCs w:val="24"/>
        </w:rPr>
        <w:t xml:space="preserve">服务器 </w:t>
      </w:r>
      <w:r>
        <w:rPr>
          <w:rFonts w:ascii="宋体" w:hAnsi="宋体" w:eastAsia="宋体"/>
          <w:color w:val="000000"/>
          <w:sz w:val="24"/>
          <w:szCs w:val="24"/>
        </w:rPr>
        <w:t xml:space="preserve">2</w:t>
      </w:r>
      <w:r>
        <w:rPr>
          <w:rFonts w:hint="eastAsia" w:ascii="宋体" w:hAnsi="宋体" w:eastAsia="宋体"/>
          <w:color w:val="000000"/>
          <w:sz w:val="24"/>
          <w:szCs w:val="24"/>
        </w:rPr>
        <w:t xml:space="preserve">台</w:t>
      </w:r>
      <w:r>
        <w:rPr>
          <w:rFonts w:ascii="宋体" w:hAnsi="宋体" w:eastAsia="宋体"/>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7" w:type="dxa"/>
          <w:top w:w="42" w:type="dxa"/>
          <w:right w:w="108" w:type="dxa"/>
          <w:bottom w:w="0" w:type="dxa"/>
        </w:tblCellMar>
        <w:tblLook w:val="04A0" w:firstRow="1" w:lastRow="0" w:firstColumn="1" w:lastColumn="0" w:noHBand="0" w:noVBand="1"/>
      </w:tblPr>
      <w:tblGrid>
        <w:gridCol w:w="1005"/>
        <w:gridCol w:w="1376"/>
        <w:gridCol w:w="1278"/>
        <w:gridCol w:w="1133"/>
        <w:gridCol w:w="1135"/>
        <w:gridCol w:w="3708"/>
      </w:tblGrid>
      <w:tr>
        <w:trPr/>
        <w:tc>
          <w:tcPr>
            <w:tcW w:w="1005" w:type="dxa"/>
            <w:vAlign w:val="center"/>
            <w:textDirection w:val="lrTb"/>
            <w:noWrap w:val="false"/>
          </w:tcPr>
          <w:p>
            <w:pPr>
              <w:pStyle w:val="734"/>
              <w:jc w:val="center"/>
              <w:spacing w:line="220" w:lineRule="exact"/>
              <w:rPr>
                <w:rFonts w:ascii="宋体" w:hAnsi="宋体"/>
                <w:b/>
                <w:color w:val="000000"/>
              </w:rPr>
            </w:pPr>
            <w:r>
              <w:rPr>
                <w:rFonts w:ascii="宋体" w:hAnsi="宋体" w:cs="黑体"/>
                <w:b/>
                <w:color w:val="000000"/>
              </w:rPr>
              <w:t xml:space="preserve">序号</w:t>
            </w:r>
            <w:r>
              <w:rPr>
                <w:rFonts w:ascii="宋体" w:hAnsi="宋体"/>
                <w:b/>
                <w:color w:val="000000"/>
              </w:rPr>
            </w:r>
            <w:r/>
          </w:p>
        </w:tc>
        <w:tc>
          <w:tcPr>
            <w:tcW w:w="1376" w:type="dxa"/>
            <w:vAlign w:val="center"/>
            <w:textDirection w:val="lrTb"/>
            <w:noWrap w:val="false"/>
          </w:tcPr>
          <w:p>
            <w:pPr>
              <w:pStyle w:val="734"/>
              <w:jc w:val="center"/>
              <w:spacing w:line="220" w:lineRule="exact"/>
              <w:rPr>
                <w:rFonts w:ascii="宋体" w:hAnsi="宋体"/>
                <w:b/>
                <w:color w:val="000000"/>
              </w:rPr>
            </w:pPr>
            <w:r>
              <w:rPr>
                <w:rFonts w:ascii="宋体" w:hAnsi="宋体" w:cs="黑体"/>
                <w:b/>
                <w:color w:val="000000"/>
              </w:rPr>
              <w:t xml:space="preserve">指标分类</w:t>
            </w:r>
            <w:r>
              <w:rPr>
                <w:rFonts w:ascii="宋体" w:hAnsi="宋体"/>
                <w:b/>
                <w:color w:val="000000"/>
              </w:rPr>
            </w:r>
            <w:r/>
          </w:p>
        </w:tc>
        <w:tc>
          <w:tcPr>
            <w:tcW w:w="1278" w:type="dxa"/>
            <w:vAlign w:val="center"/>
            <w:textDirection w:val="lrTb"/>
            <w:noWrap w:val="false"/>
          </w:tcPr>
          <w:p>
            <w:pPr>
              <w:pStyle w:val="734"/>
              <w:jc w:val="center"/>
              <w:spacing w:line="220" w:lineRule="exact"/>
              <w:rPr>
                <w:rFonts w:ascii="宋体" w:hAnsi="宋体"/>
                <w:b/>
                <w:color w:val="000000"/>
              </w:rPr>
            </w:pPr>
            <w:r>
              <w:rPr>
                <w:rFonts w:ascii="宋体" w:hAnsi="宋体" w:cs="黑体"/>
                <w:b/>
                <w:color w:val="000000"/>
              </w:rPr>
              <w:t xml:space="preserve">一级指标</w:t>
            </w:r>
            <w:r>
              <w:rPr>
                <w:rFonts w:ascii="宋体" w:hAnsi="宋体"/>
                <w:b/>
                <w:color w:val="000000"/>
              </w:rPr>
            </w:r>
            <w:r/>
          </w:p>
        </w:tc>
        <w:tc>
          <w:tcPr>
            <w:tcW w:w="1133" w:type="dxa"/>
            <w:vAlign w:val="center"/>
            <w:textDirection w:val="lrTb"/>
            <w:noWrap w:val="false"/>
          </w:tcPr>
          <w:p>
            <w:pPr>
              <w:pStyle w:val="734"/>
              <w:jc w:val="center"/>
              <w:spacing w:line="220" w:lineRule="exact"/>
              <w:rPr>
                <w:rFonts w:ascii="宋体" w:hAnsi="宋体"/>
                <w:b/>
                <w:color w:val="000000"/>
              </w:rPr>
            </w:pPr>
            <w:r>
              <w:rPr>
                <w:rFonts w:ascii="宋体" w:hAnsi="宋体" w:cs="黑体"/>
                <w:b/>
                <w:color w:val="000000"/>
              </w:rPr>
              <w:t xml:space="preserve">二级指标</w:t>
            </w:r>
            <w:r>
              <w:rPr>
                <w:rFonts w:ascii="宋体" w:hAnsi="宋体"/>
                <w:b/>
                <w:color w:val="000000"/>
              </w:rPr>
            </w:r>
            <w:r/>
          </w:p>
        </w:tc>
        <w:tc>
          <w:tcPr>
            <w:tcW w:w="1135" w:type="dxa"/>
            <w:vAlign w:val="center"/>
            <w:textDirection w:val="lrTb"/>
            <w:noWrap w:val="false"/>
          </w:tcPr>
          <w:p>
            <w:pPr>
              <w:pStyle w:val="734"/>
              <w:jc w:val="center"/>
              <w:spacing w:line="220" w:lineRule="exact"/>
              <w:rPr>
                <w:rFonts w:ascii="宋体" w:hAnsi="宋体"/>
                <w:b/>
                <w:color w:val="000000"/>
              </w:rPr>
            </w:pPr>
            <w:r>
              <w:rPr>
                <w:rFonts w:ascii="宋体" w:hAnsi="宋体" w:cs="黑体"/>
                <w:b/>
                <w:color w:val="000000"/>
              </w:rPr>
              <w:t xml:space="preserve">是否可以作为评分因素</w:t>
            </w:r>
            <w:r>
              <w:rPr>
                <w:rFonts w:ascii="宋体" w:hAnsi="宋体"/>
                <w:b/>
                <w:color w:val="000000"/>
              </w:rPr>
            </w:r>
            <w:r/>
          </w:p>
        </w:tc>
        <w:tc>
          <w:tcPr>
            <w:tcW w:w="3708" w:type="dxa"/>
            <w:vAlign w:val="center"/>
            <w:textDirection w:val="lrTb"/>
            <w:noWrap w:val="false"/>
          </w:tcPr>
          <w:p>
            <w:pPr>
              <w:pStyle w:val="734"/>
              <w:ind w:left="2" w:firstLine="360"/>
              <w:jc w:val="center"/>
              <w:spacing w:line="220" w:lineRule="exact"/>
              <w:rPr>
                <w:rFonts w:ascii="宋体" w:hAnsi="宋体"/>
                <w:b/>
                <w:color w:val="000000"/>
              </w:rPr>
            </w:pPr>
            <w:r>
              <w:rPr>
                <w:rFonts w:ascii="宋体" w:hAnsi="宋体" w:cs="黑体"/>
                <w:b/>
                <w:color w:val="000000"/>
              </w:rPr>
              <w:t xml:space="preserve">指标要求</w:t>
            </w:r>
            <w:r>
              <w:rPr>
                <w:rFonts w:ascii="宋体" w:hAnsi="宋体"/>
                <w:b/>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w:t>
            </w:r>
            <w:r/>
          </w:p>
        </w:tc>
        <w:tc>
          <w:tcPr>
            <w:tcW w:w="137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jc w:val="center"/>
              <w:spacing w:line="220" w:lineRule="exact"/>
              <w:rPr>
                <w:rFonts w:ascii="宋体" w:hAnsi="宋体"/>
                <w:color w:val="000000"/>
              </w:rPr>
            </w:pPr>
            <w:r>
              <w:rPr>
                <w:rFonts w:ascii="宋体" w:hAnsi="宋体" w:cs="黑体"/>
                <w:color w:val="000000"/>
              </w:rPr>
              <w:t xml:space="preserve">*CPU 规格</w:t>
            </w:r>
            <w:r>
              <w:rPr>
                <w:rFonts w:ascii="宋体" w:hAnsi="宋体"/>
                <w:color w:val="000000"/>
              </w:rPr>
            </w:r>
            <w:r/>
          </w:p>
        </w:tc>
        <w:tc>
          <w:tcPr>
            <w:tcW w:w="1133"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*CPU信息</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firstLine="360"/>
              <w:spacing w:line="220" w:lineRule="exact"/>
              <w:rPr>
                <w:rFonts w:ascii="宋体" w:hAnsi="宋体"/>
                <w:color w:val="000000"/>
              </w:rPr>
            </w:pPr>
            <w:r>
              <w:rPr>
                <w:rFonts w:hint="eastAsia" w:ascii="宋体" w:hAnsi="宋体" w:cs="黑体"/>
                <w:color w:val="000000"/>
              </w:rPr>
              <w:t xml:space="preserve">配置2颗鲲鹏920处理器，主频≥2.6GHz（基准频率，非动态加速频率）；核数≥32个物理核/颗，非超线程数量；内存通道为4通道，最高速率2933</w:t>
            </w:r>
            <w:r>
              <w:rPr>
                <w:rFonts w:ascii="宋体" w:hAnsi="宋体" w:cs="黑体"/>
                <w:color w:val="000000"/>
              </w:rPr>
              <w:t xml:space="preserve">MH</w:t>
            </w:r>
            <w:r>
              <w:rPr>
                <w:rFonts w:hint="eastAsia" w:ascii="宋体" w:hAnsi="宋体" w:cs="黑体"/>
                <w:color w:val="000000"/>
              </w:rPr>
              <w:t xml:space="preserve">z，位宽64位，功耗1</w:t>
            </w:r>
            <w:r>
              <w:rPr>
                <w:rFonts w:ascii="宋体" w:hAnsi="宋体" w:cs="黑体"/>
                <w:color w:val="000000"/>
              </w:rPr>
              <w:t xml:space="preserve">15</w:t>
            </w:r>
            <w:r>
              <w:rPr>
                <w:rFonts w:hint="eastAsia" w:ascii="宋体" w:hAnsi="宋体" w:cs="黑体"/>
                <w:color w:val="000000"/>
              </w:rPr>
              <w:t xml:space="preserve">w</w:t>
            </w:r>
            <w:r>
              <w:rPr>
                <w:rFonts w:ascii="宋体" w:hAnsi="宋体"/>
                <w:color w:val="000000"/>
              </w:rPr>
            </w:r>
            <w:r/>
          </w:p>
        </w:tc>
      </w:tr>
      <w:tr>
        <w:trPr>
          <w:cantSplit/>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2</w:t>
            </w:r>
            <w:r/>
          </w:p>
        </w:tc>
        <w:tc>
          <w:tcPr>
            <w:tcW w:w="137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vMerge w:val="restart"/>
            <w:textDirection w:val="lrTb"/>
            <w:noWrap w:val="false"/>
          </w:tcPr>
          <w:p>
            <w:pPr>
              <w:pStyle w:val="734"/>
              <w:spacing w:line="220" w:lineRule="exact"/>
              <w:rPr>
                <w:rFonts w:ascii="宋体" w:hAnsi="宋体"/>
                <w:color w:val="000000"/>
              </w:rPr>
            </w:pPr>
            <w:r>
              <w:rPr>
                <w:rFonts w:ascii="宋体" w:hAnsi="宋体" w:cs="黑体"/>
                <w:color w:val="000000"/>
              </w:rPr>
              <w:t xml:space="preserve">*主板规格</w:t>
            </w:r>
            <w:r>
              <w:rPr>
                <w:rFonts w:ascii="宋体" w:hAnsi="宋体"/>
                <w:color w:val="000000"/>
              </w:rPr>
            </w:r>
            <w:r/>
          </w:p>
        </w:tc>
        <w:tc>
          <w:tcPr>
            <w:tcW w:w="1133" w:type="dxa"/>
            <w:vAlign w:val="center"/>
            <w:textDirection w:val="lrTb"/>
            <w:noWrap w:val="false"/>
          </w:tcPr>
          <w:p>
            <w:pPr>
              <w:pStyle w:val="734"/>
              <w:ind w:left="1"/>
              <w:spacing w:line="220" w:lineRule="exact"/>
              <w:rPr>
                <w:rFonts w:ascii="宋体" w:hAnsi="宋体"/>
                <w:color w:val="000000"/>
              </w:rPr>
            </w:pPr>
            <w:r>
              <w:rPr>
                <w:rFonts w:ascii="宋体" w:hAnsi="宋体" w:cs="黑体"/>
                <w:color w:val="000000"/>
              </w:rPr>
              <w:t xml:space="preserve">*主板支持的CPU和内存情况</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firstLine="360"/>
              <w:spacing w:line="220" w:lineRule="exact"/>
              <w:rPr>
                <w:rFonts w:ascii="宋体" w:hAnsi="宋体" w:cs="黑体"/>
                <w:color w:val="000000"/>
              </w:rPr>
            </w:pPr>
            <w:r>
              <w:rPr>
                <w:rFonts w:hint="eastAsia" w:ascii="宋体" w:hAnsi="宋体" w:cs="黑体"/>
                <w:color w:val="000000"/>
              </w:rPr>
              <w:t xml:space="preserve">支持鲲鹏9</w:t>
            </w:r>
            <w:r>
              <w:rPr>
                <w:rFonts w:ascii="宋体" w:hAnsi="宋体" w:cs="黑体"/>
                <w:color w:val="000000"/>
              </w:rPr>
              <w:t xml:space="preserve">20</w:t>
            </w:r>
            <w:r>
              <w:rPr>
                <w:rFonts w:hint="eastAsia" w:ascii="宋体" w:hAnsi="宋体" w:cs="黑体"/>
                <w:color w:val="000000"/>
              </w:rPr>
              <w:t xml:space="preserve">系列C</w:t>
            </w:r>
            <w:r>
              <w:rPr>
                <w:rFonts w:ascii="宋体" w:hAnsi="宋体" w:cs="黑体"/>
                <w:color w:val="000000"/>
              </w:rPr>
              <w:t xml:space="preserve">PU</w:t>
            </w:r>
            <w:r>
              <w:rPr>
                <w:rFonts w:hint="eastAsia" w:ascii="宋体" w:hAnsi="宋体" w:cs="黑体"/>
                <w:color w:val="000000"/>
              </w:rPr>
              <w:t xml:space="preserve"> </w:t>
            </w:r>
            <w:r>
              <w:rPr>
                <w:rFonts w:ascii="宋体" w:hAnsi="宋体" w:cs="黑体"/>
                <w:color w:val="000000"/>
              </w:rPr>
              <w:t xml:space="preserve">2</w:t>
            </w:r>
            <w:r>
              <w:rPr>
                <w:rFonts w:hint="eastAsia" w:ascii="宋体" w:hAnsi="宋体" w:cs="黑体"/>
                <w:color w:val="000000"/>
              </w:rPr>
              <w:t xml:space="preserve">颗，支持D</w:t>
            </w:r>
            <w:r>
              <w:rPr>
                <w:rFonts w:ascii="宋体" w:hAnsi="宋体" w:cs="黑体"/>
                <w:color w:val="000000"/>
              </w:rPr>
              <w:t xml:space="preserve">DR4</w:t>
            </w:r>
            <w:r>
              <w:rPr>
                <w:rFonts w:hint="eastAsia" w:ascii="宋体" w:hAnsi="宋体" w:cs="黑体"/>
                <w:color w:val="000000"/>
              </w:rPr>
              <w:t xml:space="preserve"> </w:t>
            </w:r>
            <w:r>
              <w:rPr>
                <w:rFonts w:ascii="宋体" w:hAnsi="宋体" w:cs="黑体"/>
                <w:color w:val="000000"/>
              </w:rPr>
              <w:t xml:space="preserve">2933MH</w:t>
            </w:r>
            <w:r>
              <w:rPr>
                <w:rFonts w:hint="eastAsia" w:ascii="宋体" w:hAnsi="宋体" w:cs="黑体"/>
                <w:color w:val="000000"/>
              </w:rPr>
              <w:t xml:space="preserve">z频率内存 </w:t>
            </w:r>
            <w:r>
              <w:rPr>
                <w:rFonts w:ascii="宋体" w:hAnsi="宋体" w:cs="黑体"/>
                <w:color w:val="000000"/>
              </w:rPr>
              <w:t xml:space="preserve">16</w:t>
            </w:r>
            <w:r>
              <w:rPr>
                <w:rFonts w:hint="eastAsia" w:ascii="宋体" w:hAnsi="宋体" w:cs="黑体"/>
                <w:color w:val="000000"/>
              </w:rPr>
              <w:t xml:space="preserve">根</w:t>
            </w:r>
            <w:r>
              <w:rPr>
                <w:rFonts w:ascii="宋体" w:hAnsi="宋体" w:cs="黑体"/>
                <w:color w:val="000000"/>
              </w:rPr>
            </w:r>
            <w:r/>
          </w:p>
        </w:tc>
      </w:tr>
      <w:tr>
        <w:trPr>
          <w:cantSplit/>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3</w:t>
            </w:r>
            <w:r/>
          </w:p>
        </w:tc>
        <w:tc>
          <w:tcPr>
            <w:tcW w:w="137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vMerge w:val="continue"/>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left="1"/>
              <w:spacing w:line="220" w:lineRule="exact"/>
              <w:rPr>
                <w:rFonts w:ascii="宋体" w:hAnsi="宋体"/>
                <w:color w:val="000000"/>
              </w:rPr>
            </w:pPr>
            <w:r>
              <w:rPr>
                <w:rFonts w:ascii="宋体" w:hAnsi="宋体" w:cs="黑体"/>
                <w:color w:val="000000"/>
              </w:rPr>
              <w:t xml:space="preserve">*主板内存槽数量</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非板载内存的可扩展插槽</w:t>
            </w:r>
            <w:r>
              <w:rPr>
                <w:rFonts w:hint="eastAsia" w:ascii="宋体" w:hAnsi="宋体" w:cs="黑体"/>
                <w:color w:val="000000"/>
              </w:rPr>
              <w:t xml:space="preserve">数量≥1</w:t>
            </w:r>
            <w:r>
              <w:rPr>
                <w:rFonts w:ascii="宋体" w:hAnsi="宋体" w:cs="黑体"/>
                <w:color w:val="000000"/>
              </w:rPr>
              <w:t xml:space="preserve">6个</w:t>
            </w:r>
            <w:r>
              <w:rPr>
                <w:rFonts w:ascii="宋体" w:hAnsi="宋体"/>
                <w:color w:val="000000"/>
              </w:rPr>
            </w:r>
            <w:r/>
          </w:p>
        </w:tc>
      </w:tr>
      <w:tr>
        <w:trPr>
          <w:cantSplit/>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4</w:t>
            </w:r>
            <w:r/>
          </w:p>
        </w:tc>
        <w:tc>
          <w:tcPr>
            <w:tcW w:w="137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vMerge w:val="continue"/>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left="1"/>
              <w:spacing w:line="220" w:lineRule="exact"/>
              <w:rPr>
                <w:rFonts w:ascii="宋体" w:hAnsi="宋体"/>
                <w:color w:val="000000"/>
              </w:rPr>
            </w:pPr>
            <w:r>
              <w:rPr>
                <w:rFonts w:ascii="宋体" w:hAnsi="宋体" w:cs="黑体"/>
                <w:color w:val="000000"/>
              </w:rPr>
              <w:t xml:space="preserve">*主板存储接口</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支持SATA、SAS等存储接口</w:t>
            </w:r>
            <w:r>
              <w:rPr>
                <w:rFonts w:ascii="宋体" w:hAnsi="宋体"/>
                <w:color w:val="000000"/>
              </w:rPr>
            </w:r>
            <w:r/>
          </w:p>
        </w:tc>
      </w:tr>
      <w:tr>
        <w:trPr>
          <w:cantSplit/>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5</w:t>
            </w:r>
            <w:r/>
          </w:p>
        </w:tc>
        <w:tc>
          <w:tcPr>
            <w:tcW w:w="137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vMerge w:val="continue"/>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left="1"/>
              <w:spacing w:line="220" w:lineRule="exact"/>
              <w:rPr>
                <w:rFonts w:ascii="宋体" w:hAnsi="宋体"/>
                <w:color w:val="000000"/>
              </w:rPr>
            </w:pPr>
            <w:r>
              <w:rPr>
                <w:rFonts w:ascii="宋体" w:hAnsi="宋体" w:cs="黑体"/>
                <w:color w:val="000000"/>
              </w:rPr>
              <w:t xml:space="preserve">*PCIe插槽</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接口</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符合PCIe3.0或以上的高速串行计算机扩展总线标准，PCIe的接口速率与位宽向下兼容</w:t>
            </w:r>
            <w:r>
              <w:rPr>
                <w:rFonts w:ascii="宋体" w:hAnsi="宋体"/>
                <w:color w:val="000000"/>
              </w:rPr>
            </w:r>
            <w:r/>
          </w:p>
        </w:tc>
      </w:tr>
      <w:tr>
        <w:trPr>
          <w:cantSplit/>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6</w:t>
            </w:r>
            <w:r/>
          </w:p>
        </w:tc>
        <w:tc>
          <w:tcPr>
            <w:tcW w:w="1376"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vMerge w:val="continue"/>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left="1"/>
              <w:spacing w:line="220" w:lineRule="exact"/>
              <w:rPr>
                <w:rFonts w:ascii="宋体" w:hAnsi="宋体"/>
                <w:color w:val="000000"/>
              </w:rPr>
            </w:pPr>
            <w:r>
              <w:rPr>
                <w:rFonts w:ascii="宋体" w:hAnsi="宋体" w:cs="黑体"/>
                <w:color w:val="000000"/>
              </w:rPr>
              <w:t xml:space="preserve">*主板PCIe 插槽数量及规格</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服务器PCIe插槽或接口</w:t>
            </w:r>
            <w:r>
              <w:rPr>
                <w:rFonts w:hint="eastAsia" w:ascii="宋体" w:hAnsi="宋体" w:cs="黑体"/>
                <w:color w:val="000000"/>
              </w:rPr>
              <w:t xml:space="preserve">数量≥</w:t>
            </w:r>
            <w:r>
              <w:rPr>
                <w:rFonts w:ascii="宋体" w:hAnsi="宋体" w:cs="黑体"/>
                <w:color w:val="000000"/>
              </w:rPr>
              <w:t xml:space="preserve">5个</w:t>
            </w:r>
            <w:r>
              <w:rPr>
                <w:rFonts w:ascii="宋体" w:hAnsi="宋体"/>
                <w:color w:val="000000"/>
              </w:rPr>
            </w:r>
            <w:r/>
          </w:p>
        </w:tc>
      </w:tr>
      <w:tr>
        <w:trPr>
          <w:cantSplit/>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7</w:t>
            </w:r>
            <w:r/>
          </w:p>
        </w:tc>
        <w:tc>
          <w:tcPr>
            <w:tcW w:w="1376" w:type="dxa"/>
            <w:vAlign w:val="center"/>
            <w:textDirection w:val="lrTb"/>
            <w:noWrap w:val="false"/>
          </w:tcPr>
          <w:p>
            <w:pPr>
              <w:pStyle w:val="734"/>
              <w:ind w:left="49"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vMerge w:val="continue"/>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left="1"/>
              <w:spacing w:line="220" w:lineRule="exact"/>
              <w:rPr>
                <w:rFonts w:ascii="宋体" w:hAnsi="宋体"/>
                <w:color w:val="000000"/>
              </w:rPr>
            </w:pPr>
            <w:r>
              <w:rPr>
                <w:rFonts w:ascii="宋体" w:hAnsi="宋体" w:cs="黑体"/>
                <w:color w:val="000000"/>
              </w:rPr>
              <w:t xml:space="preserve">特殊孔位及接口</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a)服务器机箱内主板可根据用户实际使用需求支持安装多功能导入装置板卡，机箱内预留多功能导入装置板卡安装位置，容量不小于</w:t>
            </w:r>
            <w:r>
              <w:rPr>
                <w:rFonts w:ascii="宋体" w:hAnsi="宋体"/>
                <w:color w:val="000000"/>
              </w:rPr>
            </w:r>
            <w:r/>
          </w:p>
          <w:p>
            <w:pPr>
              <w:pStyle w:val="734"/>
              <w:ind w:firstLine="360"/>
              <w:spacing w:line="220" w:lineRule="exact"/>
              <w:rPr>
                <w:rFonts w:ascii="宋体" w:hAnsi="宋体"/>
                <w:color w:val="000000"/>
              </w:rPr>
            </w:pPr>
            <w:r>
              <w:rPr>
                <w:rFonts w:ascii="宋体" w:hAnsi="宋体" w:cs="黑体"/>
                <w:color w:val="000000"/>
              </w:rPr>
              <w:t xml:space="preserve">55mm×45mm×15mm（长×宽×高，单位毫米）；</w:t>
            </w:r>
            <w:r>
              <w:rPr>
                <w:rFonts w:ascii="宋体" w:hAnsi="宋体"/>
                <w:color w:val="000000"/>
              </w:rPr>
            </w:r>
            <w:r/>
          </w:p>
          <w:p>
            <w:pPr>
              <w:pStyle w:val="734"/>
              <w:ind w:firstLine="360"/>
              <w:spacing w:line="220" w:lineRule="exact"/>
              <w:rPr>
                <w:rFonts w:ascii="宋体" w:hAnsi="宋体"/>
                <w:color w:val="000000"/>
              </w:rPr>
            </w:pPr>
            <w:r>
              <w:rPr>
                <w:rFonts w:ascii="宋体" w:hAnsi="宋体" w:cs="黑体"/>
                <w:color w:val="000000"/>
              </w:rPr>
              <w:t xml:space="preserve">b)服务器主板可根据用户实际使用需求预留满足USB3.0数据传输规范的接口，工作电压5V</w:t>
            </w:r>
            <w:r>
              <w:rPr>
                <w:rFonts w:ascii="宋体" w:hAnsi="宋体"/>
                <w:color w:val="000000"/>
              </w:rPr>
            </w:r>
            <w:r/>
          </w:p>
        </w:tc>
      </w:tr>
      <w:tr>
        <w:trPr>
          <w:cantSplit/>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8</w:t>
            </w:r>
            <w:r/>
          </w:p>
        </w:tc>
        <w:tc>
          <w:tcPr>
            <w:tcW w:w="1376" w:type="dxa"/>
            <w:vAlign w:val="center"/>
            <w:textDirection w:val="lrTb"/>
            <w:noWrap w:val="false"/>
          </w:tcPr>
          <w:p>
            <w:pPr>
              <w:pStyle w:val="734"/>
              <w:ind w:left="49"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vMerge w:val="continue"/>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left="1"/>
              <w:spacing w:line="220" w:lineRule="exact"/>
              <w:rPr>
                <w:rFonts w:ascii="宋体" w:hAnsi="宋体"/>
                <w:color w:val="000000"/>
              </w:rPr>
            </w:pPr>
            <w:r>
              <w:rPr>
                <w:rFonts w:ascii="宋体" w:hAnsi="宋体" w:cs="黑体"/>
                <w:color w:val="000000"/>
              </w:rPr>
              <w:t xml:space="preserve">板载网络接口</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板载网络接口</w:t>
            </w:r>
            <w:r>
              <w:rPr>
                <w:rFonts w:hint="eastAsia" w:ascii="宋体" w:hAnsi="宋体" w:cs="黑体"/>
                <w:color w:val="000000"/>
              </w:rPr>
              <w:t xml:space="preserve">≥</w:t>
            </w:r>
            <w:r>
              <w:rPr>
                <w:rFonts w:ascii="宋体" w:hAnsi="宋体" w:cs="黑体"/>
                <w:color w:val="000000"/>
              </w:rPr>
              <w:t xml:space="preserve">1个1GE网口</w:t>
            </w:r>
            <w:r>
              <w:rPr>
                <w:rFonts w:ascii="宋体" w:hAnsi="宋体"/>
                <w:color w:val="000000"/>
              </w:rPr>
            </w:r>
            <w:r/>
          </w:p>
        </w:tc>
      </w:tr>
      <w:tr>
        <w:trPr>
          <w:cantSplit/>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9</w:t>
            </w:r>
            <w:r/>
          </w:p>
        </w:tc>
        <w:tc>
          <w:tcPr>
            <w:tcW w:w="1376" w:type="dxa"/>
            <w:vAlign w:val="center"/>
            <w:textDirection w:val="lrTb"/>
            <w:noWrap w:val="false"/>
          </w:tcPr>
          <w:p>
            <w:pPr>
              <w:pStyle w:val="734"/>
              <w:ind w:left="49"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vMerge w:val="continue"/>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left="1"/>
              <w:spacing w:line="220" w:lineRule="exact"/>
              <w:rPr>
                <w:rFonts w:ascii="宋体" w:hAnsi="宋体"/>
                <w:color w:val="000000"/>
              </w:rPr>
            </w:pPr>
            <w:r>
              <w:rPr>
                <w:rFonts w:ascii="宋体" w:hAnsi="宋体" w:cs="黑体"/>
                <w:color w:val="000000"/>
              </w:rPr>
              <w:t xml:space="preserve">主板OCP插槽数量</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支持OCP2.0及以上插槽的数量</w:t>
            </w:r>
            <w:r>
              <w:rPr>
                <w:rFonts w:hint="eastAsia" w:ascii="宋体" w:hAnsi="宋体" w:cs="黑体"/>
                <w:color w:val="000000"/>
              </w:rPr>
              <w:t xml:space="preserve">≥</w:t>
            </w:r>
            <w:r>
              <w:rPr>
                <w:rFonts w:ascii="宋体" w:hAnsi="宋体" w:cs="黑体"/>
                <w:color w:val="000000"/>
              </w:rPr>
              <w:t xml:space="preserve">1个</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10</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*内存规格</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*内存数量</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hint="eastAsia" w:ascii="宋体" w:hAnsi="宋体" w:cs="黑体"/>
                <w:color w:val="000000"/>
              </w:rPr>
              <w:t xml:space="preserve">8根</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11</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*内存规格</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DDR4 32GB</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12</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*内存通道</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支持多个内存接口通道，每个通道可支持2DPC，印制电路板上应具备插槽的序号标识，具体通道数应在随机文件中明确</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13</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*存储规格</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硬盘类型</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hint="eastAsia" w:ascii="宋体" w:hAnsi="宋体"/>
                <w:color w:val="000000"/>
              </w:rPr>
              <w:t xml:space="preserve">支持S</w:t>
            </w:r>
            <w:r>
              <w:rPr>
                <w:rFonts w:ascii="宋体" w:hAnsi="宋体"/>
                <w:color w:val="000000"/>
              </w:rPr>
              <w:t xml:space="preserve">ATA</w:t>
            </w:r>
            <w:r>
              <w:rPr>
                <w:rFonts w:hint="eastAsia" w:ascii="宋体" w:hAnsi="宋体"/>
                <w:color w:val="000000"/>
              </w:rPr>
              <w:t xml:space="preserve">、S</w:t>
            </w:r>
            <w:r>
              <w:rPr>
                <w:rFonts w:ascii="宋体" w:hAnsi="宋体"/>
                <w:color w:val="000000"/>
              </w:rPr>
              <w:t xml:space="preserve">AS</w:t>
            </w:r>
            <w:r>
              <w:rPr>
                <w:rFonts w:hint="eastAsia" w:ascii="宋体" w:hAnsi="宋体"/>
                <w:color w:val="000000"/>
              </w:rPr>
              <w:t xml:space="preserve">、S</w:t>
            </w:r>
            <w:r>
              <w:rPr>
                <w:rFonts w:ascii="宋体" w:hAnsi="宋体"/>
                <w:color w:val="000000"/>
              </w:rPr>
              <w:t xml:space="preserve">SD</w:t>
            </w:r>
            <w:r>
              <w:rPr>
                <w:rFonts w:hint="eastAsia" w:ascii="宋体" w:hAnsi="宋体"/>
                <w:color w:val="000000"/>
              </w:rPr>
              <w:t xml:space="preserve">硬盘</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14</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*硬磁盘实配容量</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hint="eastAsia" w:ascii="宋体" w:hAnsi="宋体"/>
                <w:color w:val="000000"/>
              </w:rPr>
              <w:t xml:space="preserve">配置6</w:t>
            </w:r>
            <w:r>
              <w:rPr>
                <w:rFonts w:ascii="宋体" w:hAnsi="宋体"/>
                <w:color w:val="000000"/>
              </w:rPr>
              <w:t xml:space="preserve">00GB</w:t>
            </w:r>
            <w:r>
              <w:rPr>
                <w:rFonts w:hint="eastAsia" w:ascii="宋体" w:hAnsi="宋体"/>
                <w:color w:val="000000"/>
              </w:rPr>
              <w:t xml:space="preserve">容量硬盘</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15</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硬盘接口类型</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配备硬磁盘，应提供SAS 3.0接口</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16</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*硬盘实配数量</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实配</w:t>
            </w:r>
            <w:r>
              <w:rPr>
                <w:rFonts w:hint="eastAsia" w:ascii="宋体" w:hAnsi="宋体" w:cs="黑体"/>
                <w:color w:val="000000"/>
              </w:rPr>
              <w:t xml:space="preserve">6</w:t>
            </w:r>
            <w:r>
              <w:rPr>
                <w:rFonts w:ascii="宋体" w:hAnsi="宋体" w:cs="黑体"/>
                <w:color w:val="000000"/>
              </w:rPr>
              <w:t xml:space="preserve">00GB硬磁盘数量</w:t>
            </w:r>
            <w:r>
              <w:rPr>
                <w:rFonts w:hint="eastAsia" w:ascii="宋体" w:hAnsi="宋体" w:cs="黑体"/>
                <w:color w:val="000000"/>
              </w:rPr>
              <w:t xml:space="preserve">4</w:t>
            </w:r>
            <w:r>
              <w:rPr>
                <w:rFonts w:ascii="宋体" w:hAnsi="宋体" w:cs="黑体"/>
                <w:color w:val="000000"/>
              </w:rPr>
              <w:t xml:space="preserve">块</w:t>
            </w:r>
            <w:r>
              <w:rPr>
                <w:rFonts w:ascii="宋体" w:hAnsi="宋体"/>
                <w:color w:val="000000"/>
              </w:rPr>
              <w:t xml:space="preserve"> </w:t>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17</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*硬盘插槽数量及规格</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widowControl/>
              <w:rPr>
                <w:rFonts w:ascii="宋体" w:hAnsi="宋体"/>
                <w:color w:val="000000"/>
              </w:rPr>
            </w:pPr>
            <w:r>
              <w:rPr>
                <w:rFonts w:ascii="宋体" w:hAnsi="宋体" w:cs="黑体"/>
                <w:color w:val="000000"/>
              </w:rPr>
              <w:t xml:space="preserve">配置的硬盘尺寸</w:t>
            </w:r>
            <w:r>
              <w:rPr>
                <w:rFonts w:hint="eastAsia" w:ascii="宋体" w:hAnsi="宋体" w:cs="黑体"/>
                <w:color w:val="000000"/>
              </w:rPr>
              <w:t xml:space="preserve">为</w:t>
            </w:r>
            <w:r>
              <w:rPr>
                <w:rFonts w:ascii="宋体" w:hAnsi="宋体" w:cs="黑体"/>
                <w:color w:val="000000"/>
              </w:rPr>
              <w:t xml:space="preserve">2.5英寸硬磁盘；</w:t>
            </w:r>
            <w:r>
              <w:rPr>
                <w:rFonts w:ascii="宋体" w:hAnsi="宋体"/>
                <w:color w:val="000000"/>
              </w:rPr>
            </w:r>
            <w:r/>
          </w:p>
          <w:p>
            <w:pPr>
              <w:pStyle w:val="734"/>
              <w:ind w:left="1" w:firstLine="360"/>
              <w:spacing w:line="220" w:lineRule="exact"/>
              <w:widowControl/>
              <w:rPr>
                <w:rFonts w:ascii="宋体" w:hAnsi="宋体"/>
                <w:color w:val="000000"/>
              </w:rPr>
            </w:pPr>
            <w:r>
              <w:rPr>
                <w:rFonts w:ascii="宋体" w:hAnsi="宋体" w:cs="黑体"/>
                <w:color w:val="000000"/>
              </w:rPr>
              <w:t xml:space="preserve">服务器可支持的硬盘数量应不少于</w:t>
            </w:r>
            <w:r>
              <w:rPr>
                <w:rFonts w:hint="eastAsia" w:ascii="宋体" w:hAnsi="宋体" w:cs="黑体"/>
                <w:color w:val="000000"/>
              </w:rPr>
              <w:t xml:space="preserve">4</w:t>
            </w:r>
            <w:r>
              <w:rPr>
                <w:rFonts w:ascii="宋体" w:hAnsi="宋体" w:cs="黑体"/>
                <w:color w:val="000000"/>
              </w:rPr>
              <w:t xml:space="preserve">块。</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18</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硬盘其他参数要求</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机械硬盘准备时间应</w:t>
            </w:r>
            <w:r>
              <w:rPr>
                <w:rFonts w:hint="eastAsia" w:ascii="宋体" w:hAnsi="宋体" w:cs="黑体"/>
                <w:color w:val="000000"/>
              </w:rPr>
              <w:t xml:space="preserve">小于</w:t>
            </w:r>
            <w:r>
              <w:rPr>
                <w:rFonts w:ascii="宋体" w:hAnsi="宋体" w:cs="黑体"/>
                <w:color w:val="000000"/>
              </w:rPr>
              <w:t xml:space="preserve">30s；侧面固定螺丝孔数量可为4孔或6 孔；工作状态环境温度应满足5℃~55℃，其它参数符合GB/T12628 的相关规定；</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19</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jc w:val="center"/>
              <w:spacing w:line="220" w:lineRule="exact"/>
              <w:rPr>
                <w:rFonts w:ascii="宋体" w:hAnsi="宋体"/>
                <w:color w:val="000000"/>
              </w:rPr>
            </w:pPr>
            <w:r>
              <w:rPr>
                <w:rFonts w:ascii="宋体" w:hAnsi="宋体" w:cs="黑体"/>
                <w:color w:val="000000"/>
              </w:rPr>
              <w:t xml:space="preserve">RAID 卡规格（若支持 RAID 卡）</w:t>
            </w:r>
            <w:r>
              <w:rPr>
                <w:rFonts w:ascii="宋体" w:hAnsi="宋体"/>
                <w:color w:val="000000"/>
              </w:rPr>
            </w:r>
            <w:r/>
          </w:p>
        </w:tc>
        <w:tc>
          <w:tcPr>
            <w:tcW w:w="1133"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RAID卡支持的SAS接口数</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≥8</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20</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SAS直通卡规格 (若支持SAS 直通卡)</w:t>
            </w:r>
            <w:r>
              <w:rPr>
                <w:rFonts w:ascii="宋体" w:hAnsi="宋体"/>
                <w:color w:val="000000"/>
              </w:rPr>
            </w:r>
            <w:r/>
          </w:p>
        </w:tc>
        <w:tc>
          <w:tcPr>
            <w:tcW w:w="1133"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SAS直通卡SAS接口数量</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≥0</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21</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HBA卡规格 (若支持HBA 直通卡)</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HBA卡端口数量</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≥1</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22</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*网络规格</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*网口速率和数量</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spacing w:line="220" w:lineRule="exact"/>
              <w:rPr>
                <w:rFonts w:ascii="宋体" w:hAnsi="宋体" w:cs="黑体"/>
                <w:color w:val="000000"/>
              </w:rPr>
            </w:pPr>
            <w:r>
              <w:rPr>
                <w:rFonts w:hint="eastAsia" w:ascii="宋体" w:hAnsi="宋体" w:cs="黑体"/>
                <w:color w:val="000000"/>
              </w:rPr>
              <w:t xml:space="preserve">提供</w:t>
            </w:r>
            <w:r>
              <w:rPr>
                <w:rFonts w:ascii="宋体" w:hAnsi="宋体" w:cs="黑体"/>
                <w:color w:val="000000"/>
              </w:rPr>
              <w:t xml:space="preserve">2</w:t>
            </w:r>
            <w:r>
              <w:rPr>
                <w:rFonts w:hint="eastAsia" w:ascii="宋体" w:hAnsi="宋体" w:cs="黑体"/>
                <w:color w:val="000000"/>
              </w:rPr>
              <w:t xml:space="preserve">个万兆光口和4个千兆电口，配置</w:t>
            </w:r>
            <w:r>
              <w:rPr>
                <w:rFonts w:ascii="宋体" w:hAnsi="宋体" w:cs="黑体"/>
                <w:color w:val="000000"/>
              </w:rPr>
              <w:t xml:space="preserve">2</w:t>
            </w:r>
            <w:r>
              <w:rPr>
                <w:rFonts w:hint="eastAsia" w:ascii="宋体" w:hAnsi="宋体" w:cs="黑体"/>
                <w:color w:val="000000"/>
              </w:rPr>
              <w:t xml:space="preserve">*光模块10G多模模块，</w:t>
            </w:r>
            <w:r>
              <w:rPr>
                <w:rFonts w:ascii="宋体" w:hAnsi="宋体" w:cs="黑体"/>
                <w:color w:val="000000"/>
              </w:rPr>
            </w:r>
            <w:r/>
          </w:p>
          <w:p>
            <w:pPr>
              <w:pStyle w:val="734"/>
              <w:spacing w:line="220" w:lineRule="exact"/>
              <w:rPr>
                <w:rFonts w:ascii="宋体" w:hAnsi="宋体" w:cs="黑体"/>
                <w:color w:val="000000"/>
              </w:rPr>
            </w:pPr>
            <w:r>
              <w:rPr>
                <w:rFonts w:hint="eastAsia" w:ascii="宋体" w:hAnsi="宋体" w:cs="黑体"/>
                <w:color w:val="000000"/>
              </w:rPr>
              <w:t xml:space="preserve">配备H</w:t>
            </w:r>
            <w:r>
              <w:rPr>
                <w:rFonts w:ascii="宋体" w:hAnsi="宋体" w:cs="黑体"/>
                <w:color w:val="000000"/>
              </w:rPr>
              <w:t xml:space="preserve">BA</w:t>
            </w:r>
            <w:r>
              <w:rPr>
                <w:rFonts w:hint="eastAsia" w:ascii="宋体" w:hAnsi="宋体" w:cs="黑体"/>
                <w:color w:val="000000"/>
              </w:rPr>
              <w:t xml:space="preserve">卡数量不少于1个，且网口速率不小于1</w:t>
            </w:r>
            <w:r>
              <w:rPr>
                <w:rFonts w:ascii="宋体" w:hAnsi="宋体" w:cs="黑体"/>
                <w:color w:val="000000"/>
              </w:rPr>
              <w:t xml:space="preserve">6GB</w:t>
            </w:r>
            <w:r>
              <w:rPr>
                <w:rFonts w:hint="eastAsia" w:ascii="宋体" w:hAnsi="宋体" w:cs="黑体"/>
                <w:color w:val="000000"/>
              </w:rPr>
              <w:t xml:space="preserve">（含</w:t>
            </w:r>
            <w:r>
              <w:rPr>
                <w:rFonts w:ascii="宋体" w:hAnsi="宋体" w:cs="黑体"/>
                <w:color w:val="000000"/>
              </w:rPr>
              <w:t xml:space="preserve">模块</w:t>
            </w:r>
            <w:r>
              <w:rPr>
                <w:rFonts w:hint="eastAsia" w:ascii="宋体" w:hAnsi="宋体" w:cs="黑体"/>
                <w:color w:val="000000"/>
              </w:rPr>
              <w:t xml:space="preserve">）</w:t>
            </w:r>
            <w:r>
              <w:rPr>
                <w:rFonts w:ascii="宋体" w:hAnsi="宋体" w:cs="黑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23</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存储型服务器网口速率和数量</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服务器1GE网口数量</w:t>
            </w:r>
            <w:r>
              <w:rPr>
                <w:rFonts w:hint="eastAsia" w:ascii="宋体" w:hAnsi="宋体" w:cs="黑体"/>
                <w:color w:val="000000"/>
              </w:rPr>
              <w:t xml:space="preserve">不少于4</w:t>
            </w:r>
            <w:r>
              <w:rPr>
                <w:rFonts w:ascii="宋体" w:hAnsi="宋体" w:cs="黑体"/>
                <w:color w:val="000000"/>
              </w:rPr>
              <w:t xml:space="preserve">个</w:t>
            </w:r>
            <w:r>
              <w:rPr>
                <w:rFonts w:hint="eastAsia" w:ascii="宋体" w:hAnsi="宋体" w:cs="黑体"/>
                <w:color w:val="000000"/>
              </w:rPr>
              <w:t xml:space="preserve">,</w:t>
            </w:r>
            <w:r>
              <w:rPr>
                <w:rFonts w:ascii="宋体" w:hAnsi="宋体" w:cs="黑体"/>
                <w:color w:val="000000"/>
              </w:rPr>
              <w:t xml:space="preserve">10GE</w:t>
            </w:r>
            <w:r>
              <w:rPr>
                <w:rFonts w:hint="eastAsia" w:ascii="宋体" w:hAnsi="宋体" w:cs="黑体"/>
                <w:color w:val="000000"/>
              </w:rPr>
              <w:t xml:space="preserve">网口数量不少于2个，1</w:t>
            </w:r>
            <w:r>
              <w:rPr>
                <w:rFonts w:ascii="宋体" w:hAnsi="宋体" w:cs="黑体"/>
                <w:color w:val="000000"/>
              </w:rPr>
              <w:t xml:space="preserve">6GB</w:t>
            </w:r>
            <w:r>
              <w:rPr>
                <w:rFonts w:hint="eastAsia" w:ascii="宋体" w:hAnsi="宋体" w:cs="黑体"/>
                <w:color w:val="000000"/>
              </w:rPr>
              <w:t xml:space="preserve">网口数量不少于2个</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24</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独立网卡网口数量</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独立网卡网口数量≥1</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25</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独立网卡接口类型</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支持RJ45/SFP等</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26</w:t>
            </w:r>
            <w:r/>
          </w:p>
        </w:tc>
        <w:tc>
          <w:tcPr>
            <w:tcW w:w="1376" w:type="dxa"/>
            <w:vAlign w:val="center"/>
            <w:textDirection w:val="lrTb"/>
            <w:noWrap w:val="false"/>
          </w:tcPr>
          <w:p>
            <w:pPr>
              <w:pStyle w:val="734"/>
              <w:ind w:firstLine="360"/>
              <w:spacing w:before="312"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before="312"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before="312" w:line="220" w:lineRule="exact"/>
              <w:rPr>
                <w:rFonts w:ascii="宋体" w:hAnsi="宋体"/>
                <w:color w:val="000000"/>
              </w:rPr>
            </w:pPr>
            <w:r>
              <w:rPr>
                <w:rFonts w:ascii="宋体" w:hAnsi="宋体" w:cs="黑体"/>
                <w:color w:val="000000"/>
              </w:rPr>
              <w:t xml:space="preserve">板载网卡接口类型</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before="312" w:line="220" w:lineRule="exact"/>
              <w:rPr>
                <w:rFonts w:ascii="宋体" w:hAnsi="宋体"/>
                <w:color w:val="000000"/>
              </w:rPr>
            </w:pPr>
            <w:r>
              <w:rPr>
                <w:rFonts w:ascii="宋体" w:hAnsi="宋体" w:cs="黑体"/>
                <w:color w:val="000000"/>
              </w:rPr>
              <w:t xml:space="preserve">支持RJ45</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27</w:t>
            </w:r>
            <w:r/>
          </w:p>
        </w:tc>
        <w:tc>
          <w:tcPr>
            <w:tcW w:w="1376" w:type="dxa"/>
            <w:vAlign w:val="center"/>
            <w:textDirection w:val="lrTb"/>
            <w:noWrap w:val="false"/>
          </w:tcPr>
          <w:p>
            <w:pPr>
              <w:pStyle w:val="734"/>
              <w:ind w:firstLine="360"/>
              <w:spacing w:before="312"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left="4"/>
              <w:spacing w:before="312" w:line="220" w:lineRule="exact"/>
              <w:rPr>
                <w:rFonts w:ascii="宋体" w:hAnsi="宋体"/>
                <w:color w:val="000000"/>
              </w:rPr>
            </w:pPr>
            <w:r>
              <w:rPr>
                <w:rFonts w:ascii="宋体" w:hAnsi="宋体" w:cs="黑体"/>
                <w:color w:val="000000"/>
              </w:rPr>
              <w:t xml:space="preserve">*外部接口规格</w:t>
            </w:r>
            <w:r>
              <w:rPr>
                <w:rFonts w:ascii="宋体" w:hAnsi="宋体"/>
                <w:color w:val="000000"/>
              </w:rPr>
            </w:r>
            <w:r/>
          </w:p>
        </w:tc>
        <w:tc>
          <w:tcPr>
            <w:tcW w:w="1133" w:type="dxa"/>
            <w:vAlign w:val="center"/>
            <w:textDirection w:val="lrTb"/>
            <w:noWrap w:val="false"/>
          </w:tcPr>
          <w:p>
            <w:pPr>
              <w:pStyle w:val="734"/>
              <w:spacing w:before="312" w:line="220" w:lineRule="exact"/>
              <w:rPr>
                <w:rFonts w:ascii="宋体" w:hAnsi="宋体"/>
                <w:color w:val="000000"/>
              </w:rPr>
            </w:pPr>
            <w:r>
              <w:rPr>
                <w:rFonts w:ascii="宋体" w:hAnsi="宋体" w:cs="黑体"/>
                <w:color w:val="000000"/>
              </w:rPr>
              <w:t xml:space="preserve">*显示接口</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显示接口类型</w:t>
            </w:r>
            <w:r>
              <w:rPr>
                <w:rFonts w:hint="eastAsia" w:ascii="宋体" w:hAnsi="宋体" w:cs="黑体"/>
                <w:color w:val="000000"/>
              </w:rPr>
              <w:t xml:space="preserve">为</w:t>
            </w:r>
            <w:r>
              <w:rPr>
                <w:rFonts w:ascii="宋体" w:hAnsi="宋体" w:cs="黑体"/>
                <w:color w:val="000000"/>
              </w:rPr>
              <w:t xml:space="preserve">VGA</w:t>
            </w:r>
            <w:r>
              <w:rPr>
                <w:rFonts w:ascii="宋体" w:hAnsi="宋体"/>
                <w:color w:val="000000"/>
              </w:rPr>
              <w:t xml:space="preserve"> </w:t>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28</w:t>
            </w:r>
            <w:r/>
          </w:p>
        </w:tc>
        <w:tc>
          <w:tcPr>
            <w:tcW w:w="1376" w:type="dxa"/>
            <w:vAlign w:val="center"/>
            <w:textDirection w:val="lrTb"/>
            <w:noWrap w:val="false"/>
          </w:tcPr>
          <w:p>
            <w:pPr>
              <w:pStyle w:val="734"/>
              <w:ind w:firstLine="360"/>
              <w:spacing w:before="312"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before="312"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before="312" w:line="220" w:lineRule="exact"/>
              <w:rPr>
                <w:rFonts w:ascii="宋体" w:hAnsi="宋体"/>
                <w:color w:val="000000"/>
              </w:rPr>
            </w:pPr>
            <w:r>
              <w:rPr>
                <w:rFonts w:ascii="宋体" w:hAnsi="宋体" w:cs="黑体"/>
                <w:color w:val="000000"/>
              </w:rPr>
              <w:t xml:space="preserve">*USB接口</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配备USB接口USB3.0</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29</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特殊接口及孔位</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前面板预留1个专用USB母座接口孔位</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30</w:t>
            </w:r>
            <w:r/>
          </w:p>
        </w:tc>
        <w:tc>
          <w:tcPr>
            <w:tcW w:w="1376"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其他接口</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after="5" w:line="220" w:lineRule="exact"/>
              <w:rPr>
                <w:rFonts w:ascii="宋体" w:hAnsi="宋体" w:cs="黑体"/>
                <w:color w:val="000000"/>
              </w:rPr>
            </w:pPr>
            <w:r>
              <w:rPr>
                <w:rFonts w:ascii="宋体" w:hAnsi="宋体" w:cs="黑体"/>
                <w:color w:val="000000"/>
              </w:rPr>
              <w:t xml:space="preserve">串口数量1个，并可实现GB/T 6107或GB/T 26803.2的相关功能； </w:t>
            </w:r>
            <w:r/>
          </w:p>
          <w:p>
            <w:pPr>
              <w:pStyle w:val="734"/>
              <w:ind w:left="1" w:firstLine="360"/>
              <w:spacing w:after="5" w:line="220" w:lineRule="exact"/>
              <w:rPr>
                <w:rFonts w:ascii="宋体" w:hAnsi="宋体"/>
                <w:color w:val="000000"/>
              </w:rPr>
            </w:pPr>
            <w:r>
              <w:rPr>
                <w:rFonts w:ascii="宋体" w:hAnsi="宋体" w:cs="黑体"/>
                <w:color w:val="000000"/>
              </w:rPr>
              <w:t xml:space="preserve">服务器主机前面板可根据用户实际使用需求预留1个专用USB母座接口孔位</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31</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*电源规格</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电源冗余模式</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整机电源模块按1+1冗余配置</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32</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*电源模块数量</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hint="eastAsia" w:ascii="宋体" w:hAnsi="宋体"/>
                <w:color w:val="000000"/>
              </w:rPr>
              <w:t xml:space="preserve">2个</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33</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*电源功率</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hint="eastAsia" w:ascii="宋体" w:hAnsi="宋体"/>
                <w:color w:val="000000"/>
              </w:rPr>
              <w:t xml:space="preserve">≥</w:t>
            </w:r>
            <w:r>
              <w:rPr>
                <w:rFonts w:ascii="宋体" w:hAnsi="宋体"/>
                <w:color w:val="000000"/>
              </w:rPr>
              <w:t xml:space="preserve">900W</w:t>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34</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right="19"/>
              <w:spacing w:line="220" w:lineRule="exact"/>
              <w:rPr>
                <w:rFonts w:ascii="宋体" w:hAnsi="宋体"/>
                <w:color w:val="000000"/>
              </w:rPr>
            </w:pPr>
            <w:r>
              <w:rPr>
                <w:rFonts w:ascii="宋体" w:hAnsi="宋体" w:cs="黑体"/>
                <w:color w:val="000000"/>
              </w:rPr>
              <w:t xml:space="preserve">电源指示灯</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配备电源指示灯，指示待机、工作异常等状态</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35</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*整机规格</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*外观和结构</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s="黑体"/>
                <w:color w:val="000000"/>
              </w:rPr>
            </w:pPr>
            <w:r>
              <w:rPr>
                <w:rFonts w:ascii="宋体" w:hAnsi="宋体" w:cs="黑体"/>
                <w:color w:val="000000"/>
              </w:rPr>
              <w:t xml:space="preserve">a)服务器的零部件应紧固无松动，可插拔部件应可靠连接，开关、按钮和其它控制部件应灵活可靠，布局应方便使用； b) 产品表面不应有明显的凹痕、划伤、裂缝、变形和污染等。表面涂层均匀，不应起泡、龟裂、脱落和磨损，金属零部件无锈蚀及其它机械损伤； c) 产品表面说明功能的文字、符号和标志应清晰、端正且牢固； d) 服务器尺寸具体要求在随机文件中明确</w:t>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36</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*尺寸（高</w:t>
            </w:r>
            <w:r>
              <w:rPr>
                <w:rFonts w:ascii="宋体" w:hAnsi="宋体"/>
                <w:color w:val="000000"/>
              </w:rPr>
            </w:r>
            <w:r/>
          </w:p>
          <w:p>
            <w:pPr>
              <w:pStyle w:val="734"/>
              <w:spacing w:line="220" w:lineRule="exact"/>
              <w:rPr>
                <w:rFonts w:ascii="宋体" w:hAnsi="宋体"/>
                <w:color w:val="000000"/>
              </w:rPr>
            </w:pPr>
            <w:r>
              <w:rPr>
                <w:rFonts w:ascii="宋体" w:hAnsi="宋体" w:cs="黑体"/>
                <w:color w:val="000000"/>
              </w:rPr>
              <w:t xml:space="preserve">×宽×深）</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供应商给出产品尺寸；设计应遵循标准化、系列化的要求；机箱的内部结构符合通用部件的安装需要</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37</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right="19"/>
              <w:spacing w:line="220" w:lineRule="exact"/>
              <w:rPr>
                <w:rFonts w:ascii="宋体" w:hAnsi="宋体"/>
                <w:color w:val="000000"/>
              </w:rPr>
            </w:pPr>
            <w:r>
              <w:rPr>
                <w:rFonts w:ascii="宋体" w:hAnsi="宋体" w:cs="黑体"/>
                <w:color w:val="000000"/>
              </w:rPr>
              <w:t xml:space="preserve">服务器导轨</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供应商给出导轨尺寸、安装方式等信息</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38</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CPU个数与机柜高</w:t>
            </w:r>
            <w:r>
              <w:rPr>
                <w:rFonts w:ascii="宋体" w:hAnsi="宋体"/>
                <w:color w:val="000000"/>
              </w:rPr>
            </w:r>
            <w:r/>
          </w:p>
          <w:p>
            <w:pPr>
              <w:pStyle w:val="734"/>
              <w:ind w:firstLine="360"/>
              <w:spacing w:line="220" w:lineRule="exact"/>
              <w:rPr>
                <w:rFonts w:ascii="宋体" w:hAnsi="宋体"/>
                <w:color w:val="000000"/>
              </w:rPr>
            </w:pPr>
            <w:r>
              <w:rPr>
                <w:rFonts w:ascii="宋体" w:hAnsi="宋体" w:cs="黑体"/>
                <w:color w:val="000000"/>
              </w:rPr>
              <w:t xml:space="preserve">度单位(U) 比</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hint="eastAsia" w:ascii="宋体" w:hAnsi="宋体" w:cs="黑体"/>
                <w:color w:val="000000"/>
              </w:rPr>
              <w:t xml:space="preserve">1（C</w:t>
            </w:r>
            <w:r>
              <w:rPr>
                <w:rFonts w:ascii="宋体" w:hAnsi="宋体" w:cs="黑体"/>
                <w:color w:val="000000"/>
              </w:rPr>
              <w:t xml:space="preserve">PU</w:t>
            </w:r>
            <w:r>
              <w:rPr>
                <w:rFonts w:hint="eastAsia" w:ascii="宋体" w:hAnsi="宋体" w:cs="黑体"/>
                <w:color w:val="000000"/>
              </w:rPr>
              <w:t xml:space="preserve">）：1（U高度）</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39</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*环境适应性</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气候环境适应性应符合GB/T</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9813.3的有关规定，工作温度10～ 35℃，贮存运输温度-40～55℃；工作相对湿度35%～80%，贮存运输相对湿度20％～93%（40℃）；大气压</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86～106kPa</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40</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right="19" w:firstLine="360"/>
              <w:spacing w:line="220" w:lineRule="exact"/>
              <w:rPr>
                <w:rFonts w:ascii="宋体" w:hAnsi="宋体"/>
                <w:color w:val="000000"/>
              </w:rPr>
            </w:pPr>
            <w:r>
              <w:rPr>
                <w:rFonts w:ascii="宋体" w:hAnsi="宋体" w:cs="黑体"/>
                <w:color w:val="000000"/>
              </w:rPr>
              <w:t xml:space="preserve">特殊机型环境适应性</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边缘应用服务器，工作环境温度宜为0～45℃，短期工作可承受环境温度宜为-5～55℃，液冷服务器贮存运输温度宜为-30～55℃</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41</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*机械环境适应性</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机械环境适应性应符合GB/T</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9813.3的有关规定</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42</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*噪声</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符合GB/T 9813.3的有关规定，在产品说明中给出具体测试值</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塔式服务器噪声在空闲状态下不大于50dB</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43</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right="80"/>
              <w:spacing w:line="220" w:lineRule="exact"/>
              <w:rPr>
                <w:rFonts w:ascii="宋体" w:hAnsi="宋体"/>
                <w:color w:val="000000"/>
              </w:rPr>
            </w:pPr>
            <w:r>
              <w:rPr>
                <w:rFonts w:ascii="宋体" w:hAnsi="宋体" w:cs="黑体"/>
                <w:color w:val="000000"/>
              </w:rPr>
              <w:t xml:space="preserve">AI计算单元规格</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AI计算单元</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配备</w:t>
            </w:r>
            <w:r>
              <w:rPr>
                <w:rFonts w:hint="eastAsia" w:ascii="宋体" w:hAnsi="宋体" w:cs="黑体"/>
                <w:color w:val="000000"/>
              </w:rPr>
              <w:t xml:space="preserve">1张不小于1</w:t>
            </w:r>
            <w:r>
              <w:rPr>
                <w:rFonts w:ascii="宋体" w:hAnsi="宋体" w:cs="黑体"/>
                <w:color w:val="000000"/>
              </w:rPr>
              <w:t xml:space="preserve">6GB</w:t>
            </w:r>
            <w:r>
              <w:rPr>
                <w:rFonts w:hint="eastAsia" w:ascii="宋体" w:hAnsi="宋体" w:cs="黑体"/>
                <w:color w:val="000000"/>
              </w:rPr>
              <w:t xml:space="preserve">显存</w:t>
            </w:r>
            <w:r>
              <w:rPr>
                <w:rFonts w:ascii="宋体" w:hAnsi="宋体" w:cs="黑体"/>
                <w:color w:val="000000"/>
              </w:rPr>
              <w:t xml:space="preserve">AI计算单元</w:t>
            </w:r>
            <w:r>
              <w:rPr>
                <w:rFonts w:hint="eastAsia" w:ascii="宋体" w:hAnsi="宋体" w:cs="黑体"/>
                <w:color w:val="000000"/>
              </w:rPr>
              <w:t xml:space="preserve">，</w:t>
            </w:r>
            <w:r>
              <w:rPr>
                <w:rFonts w:ascii="宋体" w:hAnsi="宋体" w:cs="黑体"/>
                <w:color w:val="000000"/>
              </w:rPr>
              <w:t xml:space="preserve">符合如下要求：</w:t>
            </w:r>
            <w:r>
              <w:rPr>
                <w:rFonts w:ascii="宋体" w:hAnsi="宋体"/>
                <w:color w:val="000000"/>
              </w:rPr>
            </w:r>
            <w:r/>
          </w:p>
          <w:p>
            <w:pPr>
              <w:pStyle w:val="734"/>
              <w:numPr>
                <w:ilvl w:val="0"/>
                <w:numId w:val="37"/>
              </w:numPr>
              <w:jc w:val="left"/>
              <w:spacing w:line="220" w:lineRule="exact"/>
              <w:widowControl/>
              <w:rPr>
                <w:rFonts w:ascii="宋体" w:hAnsi="宋体"/>
                <w:color w:val="000000"/>
              </w:rPr>
            </w:pPr>
            <w:r>
              <w:rPr>
                <w:rFonts w:ascii="宋体" w:hAnsi="宋体" w:cs="黑体"/>
                <w:color w:val="000000"/>
              </w:rPr>
              <w:t xml:space="preserve">具备人工智能加速处理器，计算精度至少支持FP16、BF16、FP32、 FP64、INT8和INT16等中的1种；</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单推理卡或模块，具备视频解析、文本识别、语音分析等推理能力；在视觉场景下配备可直接调用的接口实现视觉计算加速，路数不小于64（1080P 30FPS）</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44</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right="19"/>
              <w:spacing w:line="220" w:lineRule="exact"/>
              <w:rPr>
                <w:rFonts w:ascii="宋体" w:hAnsi="宋体"/>
                <w:color w:val="000000"/>
              </w:rPr>
            </w:pPr>
            <w:r>
              <w:rPr>
                <w:rFonts w:ascii="宋体" w:hAnsi="宋体" w:cs="黑体"/>
                <w:color w:val="000000"/>
              </w:rPr>
              <w:t xml:space="preserve">一键式迁移</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若服务器配备AI计算单元，提供训练脚本迁移工具</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45</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机柜规格</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*机柜尺寸</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供应商给出长度、高度和深度</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46</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right="19"/>
              <w:spacing w:line="220" w:lineRule="exact"/>
              <w:rPr>
                <w:rFonts w:ascii="宋体" w:hAnsi="宋体"/>
                <w:color w:val="000000"/>
              </w:rPr>
            </w:pPr>
            <w:r>
              <w:rPr>
                <w:rFonts w:ascii="宋体" w:hAnsi="宋体" w:cs="黑体"/>
                <w:color w:val="000000"/>
              </w:rPr>
              <w:t xml:space="preserve">机柜管理板</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 //</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47</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产品规格</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机柜电源规格</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right="91" w:firstLine="360"/>
              <w:spacing w:line="220" w:lineRule="exact"/>
              <w:rPr>
                <w:rFonts w:ascii="宋体" w:hAnsi="宋体"/>
                <w:color w:val="000000"/>
              </w:rPr>
            </w:pPr>
            <w:r>
              <w:rPr>
                <w:rFonts w:ascii="宋体" w:hAnsi="宋体" w:cs="黑体"/>
                <w:color w:val="000000"/>
              </w:rPr>
              <w:t xml:space="preserve">a) 机柜电源支持集中供电，电源输入不少于2路且支持自动切换； b) 机柜电源模块支持N+1冗余配置，电源模块可独立更换</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48</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ind w:left="32"/>
              <w:spacing w:line="220" w:lineRule="exact"/>
              <w:rPr>
                <w:rFonts w:ascii="宋体" w:hAnsi="宋体"/>
                <w:color w:val="000000"/>
              </w:rPr>
            </w:pPr>
            <w:r>
              <w:rPr>
                <w:rFonts w:ascii="宋体" w:hAnsi="宋体" w:cs="黑体"/>
                <w:color w:val="000000"/>
              </w:rPr>
              <w:t xml:space="preserve">*主板功能</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*主板外部接口种类</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支持USB、显示、管理等接口，如：VGA、DP、HDMI、USB3.0、PS/2接口、</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BMC管理端口</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49</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主板防烧板设计</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支持主板防烧板设计，保证电源故障后不扩散</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50</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扩展功能</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实现至少一种扩展功能，如存储功能卡、显示功能卡、运算加速功能卡及网络功能卡等扩展功能</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51</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*网络功能</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*网络功能</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支持网络连接、网络访问、数据交换和网络管控功能</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52</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*CPU 功能</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*计算处理</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支持通用计算及虚拟化功能。处理器需集成整型计算单元、浮点计算单元、内存控制器、I/O模块等，处理器与存储部件、网络部件、I/O 部件等组成计算系统，提供数据处理、网络接入等计算相关功能</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53</w:t>
            </w:r>
            <w:r/>
          </w:p>
        </w:tc>
        <w:tc>
          <w:tcPr>
            <w:tcW w:w="1376" w:type="dxa"/>
            <w:vAlign w:val="center"/>
            <w:textDirection w:val="lrTb"/>
            <w:noWrap w:val="false"/>
          </w:tcPr>
          <w:p>
            <w:pPr>
              <w:pStyle w:val="734"/>
              <w:ind w:firstLine="360"/>
              <w:spacing w:before="312"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ind w:firstLine="360"/>
              <w:spacing w:before="312"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before="312" w:line="220" w:lineRule="exact"/>
              <w:rPr>
                <w:rFonts w:ascii="宋体" w:hAnsi="宋体"/>
                <w:color w:val="000000"/>
              </w:rPr>
            </w:pPr>
            <w:r>
              <w:rPr>
                <w:rFonts w:ascii="宋体" w:hAnsi="宋体" w:cs="黑体"/>
                <w:color w:val="000000"/>
              </w:rPr>
              <w:t xml:space="preserve">*密码算法实现</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CPU芯片应符合GM/T0008的相关规定，或芯片密码模块应符合GB/T</w:t>
            </w:r>
            <w:r>
              <w:rPr>
                <w:rFonts w:hint="eastAsia" w:ascii="宋体" w:hAnsi="宋体"/>
                <w:color w:val="000000"/>
              </w:rPr>
              <w:t xml:space="preserve"> </w:t>
            </w:r>
            <w:r>
              <w:rPr>
                <w:rFonts w:ascii="宋体" w:hAnsi="宋体" w:cs="黑体"/>
                <w:color w:val="000000"/>
              </w:rPr>
              <w:t xml:space="preserve">37092或GM/T 0028的相关规定</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54</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存储功能</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内存校验</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支持内存校验或内存增强型纠错功能</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55</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SATA SSD NAND健康状态上报</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支持关键外部存储器（硬磁盘、SSD 等）的健康状态上报并进行故障诊断</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56</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SATA SSD 单die故障隔离</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支持SSD关键外部存储器中单存储晶元故障隔离</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57</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RAID 卡功能（若支持 RAID 卡）</w:t>
            </w:r>
            <w:r>
              <w:rPr>
                <w:rFonts w:ascii="宋体" w:hAnsi="宋体"/>
                <w:color w:val="000000"/>
              </w:rPr>
            </w:r>
            <w:r/>
          </w:p>
        </w:tc>
        <w:tc>
          <w:tcPr>
            <w:tcW w:w="1133"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RAID卡 RAID级别支持</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RAID模式支持RAID 0/1/10/5，存储型支持RAID 0/1/5/6/10/50/60</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58</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RAID卡BBU单元</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RAID卡支持电池或电容备份单元</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59</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光驱功能</w:t>
            </w:r>
            <w:r>
              <w:rPr>
                <w:rFonts w:ascii="宋体" w:hAnsi="宋体"/>
                <w:color w:val="000000"/>
              </w:rPr>
            </w:r>
            <w:r/>
          </w:p>
        </w:tc>
        <w:tc>
          <w:tcPr>
            <w:tcW w:w="1133"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光驱类型（是否支持RW，以及光盘类型CD/DVD）</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hint="eastAsia" w:ascii="宋体" w:hAnsi="宋体"/>
                <w:color w:val="000000"/>
              </w:rPr>
              <w:t xml:space="preserve">不涉及</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60</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*电源功能</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*电源热插拔</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整机电源模块应具备热插拔功能</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61</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*电源过流保护</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支持过流及短路保护的功能</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62</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*整机功能</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*散热方式</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支持风冷散热方式</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63</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其他功能</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numPr>
                <w:ilvl w:val="0"/>
                <w:numId w:val="38"/>
              </w:numPr>
              <w:jc w:val="left"/>
              <w:spacing w:line="220" w:lineRule="exact"/>
              <w:widowControl/>
              <w:rPr>
                <w:rFonts w:ascii="宋体" w:hAnsi="宋体"/>
                <w:color w:val="000000"/>
              </w:rPr>
            </w:pPr>
            <w:r>
              <w:rPr>
                <w:rFonts w:ascii="宋体" w:hAnsi="宋体" w:cs="黑体"/>
                <w:color w:val="000000"/>
              </w:rPr>
              <w:t xml:space="preserve">支持关键部件冗余（包括电源、风扇等）；</w:t>
            </w:r>
            <w:r>
              <w:rPr>
                <w:rFonts w:ascii="宋体" w:hAnsi="宋体"/>
                <w:color w:val="000000"/>
              </w:rPr>
            </w:r>
            <w:r/>
          </w:p>
          <w:p>
            <w:pPr>
              <w:pStyle w:val="734"/>
              <w:numPr>
                <w:ilvl w:val="0"/>
                <w:numId w:val="38"/>
              </w:numPr>
              <w:jc w:val="left"/>
              <w:spacing w:line="220" w:lineRule="exact"/>
              <w:widowControl/>
              <w:rPr>
                <w:rFonts w:ascii="宋体" w:hAnsi="宋体"/>
                <w:color w:val="000000"/>
              </w:rPr>
            </w:pPr>
            <w:r>
              <w:rPr>
                <w:rFonts w:ascii="宋体" w:hAnsi="宋体" w:cs="黑体"/>
                <w:color w:val="000000"/>
              </w:rPr>
              <w:t xml:space="preserve">支持熔断保护与恢复功能</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64</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*管理系统功能</w:t>
            </w:r>
            <w:r>
              <w:rPr>
                <w:rFonts w:ascii="宋体" w:hAnsi="宋体"/>
                <w:color w:val="000000"/>
              </w:rPr>
            </w:r>
            <w:r/>
          </w:p>
        </w:tc>
        <w:tc>
          <w:tcPr>
            <w:tcW w:w="1133"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*BMC固件基础功能</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jc w:val="left"/>
              <w:spacing w:line="220" w:lineRule="exact"/>
              <w:rPr>
                <w:rFonts w:ascii="宋体" w:hAnsi="宋体"/>
                <w:color w:val="000000"/>
              </w:rPr>
            </w:pPr>
            <w:r>
              <w:rPr>
                <w:rFonts w:ascii="宋体" w:hAnsi="宋体" w:cs="黑体"/>
                <w:color w:val="000000"/>
              </w:rPr>
              <w:t xml:space="preserve">1)支持DHCP设置网络功能；</w:t>
            </w:r>
            <w:r>
              <w:rPr>
                <w:rFonts w:ascii="宋体" w:hAnsi="宋体"/>
                <w:color w:val="000000"/>
              </w:rPr>
            </w:r>
            <w:r/>
          </w:p>
          <w:p>
            <w:pPr>
              <w:pStyle w:val="734"/>
              <w:jc w:val="left"/>
              <w:spacing w:line="220" w:lineRule="exact"/>
              <w:rPr>
                <w:rFonts w:ascii="宋体" w:hAnsi="宋体"/>
                <w:color w:val="000000"/>
              </w:rPr>
            </w:pPr>
            <w:r>
              <w:rPr>
                <w:rFonts w:ascii="宋体" w:hAnsi="宋体" w:cs="黑体"/>
                <w:color w:val="000000"/>
              </w:rPr>
              <w:t xml:space="preserve">2)支持静态IP设置网络功能；</w:t>
            </w:r>
            <w:r>
              <w:rPr>
                <w:rFonts w:ascii="宋体" w:hAnsi="宋体"/>
                <w:color w:val="000000"/>
              </w:rPr>
            </w:r>
            <w:r/>
          </w:p>
          <w:p>
            <w:pPr>
              <w:pStyle w:val="734"/>
              <w:jc w:val="left"/>
              <w:spacing w:line="220" w:lineRule="exact"/>
              <w:rPr>
                <w:rFonts w:ascii="宋体" w:hAnsi="宋体"/>
                <w:color w:val="000000"/>
              </w:rPr>
            </w:pPr>
            <w:r>
              <w:rPr>
                <w:rFonts w:ascii="宋体" w:hAnsi="宋体" w:cs="黑体"/>
                <w:color w:val="000000"/>
              </w:rPr>
              <w:t xml:space="preserve">3)支持设备日志记录，包括但不限于登录日志、操作日志和报警日志等功能；</w:t>
            </w:r>
            <w:r>
              <w:rPr>
                <w:rFonts w:ascii="宋体" w:hAnsi="宋体"/>
                <w:color w:val="000000"/>
              </w:rPr>
            </w:r>
            <w:r/>
          </w:p>
          <w:p>
            <w:pPr>
              <w:pStyle w:val="734"/>
              <w:jc w:val="left"/>
              <w:spacing w:line="220" w:lineRule="exact"/>
              <w:rPr>
                <w:rFonts w:ascii="宋体" w:hAnsi="宋体"/>
                <w:color w:val="000000"/>
              </w:rPr>
            </w:pPr>
            <w:r>
              <w:rPr>
                <w:rFonts w:ascii="宋体" w:hAnsi="宋体" w:cs="黑体"/>
                <w:color w:val="000000"/>
              </w:rPr>
              <w:t xml:space="preserve">4)支持日志信息导出和记录删除功能；</w:t>
            </w:r>
            <w:r>
              <w:rPr>
                <w:rFonts w:ascii="宋体" w:hAnsi="宋体"/>
                <w:color w:val="000000"/>
              </w:rPr>
            </w:r>
            <w:r/>
          </w:p>
          <w:p>
            <w:pPr>
              <w:pStyle w:val="734"/>
              <w:jc w:val="left"/>
              <w:spacing w:line="220" w:lineRule="exact"/>
              <w:rPr>
                <w:rFonts w:ascii="宋体" w:hAnsi="宋体"/>
                <w:color w:val="000000"/>
              </w:rPr>
            </w:pPr>
            <w:r>
              <w:rPr>
                <w:rFonts w:ascii="宋体" w:hAnsi="宋体" w:cs="黑体"/>
                <w:color w:val="000000"/>
              </w:rPr>
              <w:t xml:space="preserve">5)支持通过管理接口向外输出准确的报警信息功能；</w:t>
            </w:r>
            <w:r>
              <w:rPr>
                <w:rFonts w:ascii="宋体" w:hAnsi="宋体"/>
                <w:color w:val="000000"/>
              </w:rPr>
            </w:r>
            <w:r/>
          </w:p>
          <w:p>
            <w:pPr>
              <w:pStyle w:val="734"/>
              <w:jc w:val="left"/>
              <w:spacing w:line="220" w:lineRule="exact"/>
              <w:rPr>
                <w:rFonts w:ascii="宋体" w:hAnsi="宋体"/>
                <w:color w:val="000000"/>
              </w:rPr>
            </w:pPr>
            <w:r>
              <w:rPr>
                <w:rFonts w:ascii="宋体" w:hAnsi="宋体" w:cs="黑体"/>
                <w:color w:val="000000"/>
              </w:rPr>
              <w:t xml:space="preserve">6)设备的BMC管理软件应能够按报</w:t>
            </w:r>
            <w:r>
              <w:rPr>
                <w:rFonts w:ascii="宋体" w:hAnsi="宋体"/>
                <w:color w:val="000000"/>
              </w:rPr>
            </w:r>
            <w:r/>
          </w:p>
          <w:p>
            <w:pPr>
              <w:pStyle w:val="734"/>
              <w:jc w:val="left"/>
              <w:spacing w:line="220" w:lineRule="exact"/>
              <w:rPr>
                <w:rFonts w:ascii="宋体" w:hAnsi="宋体"/>
                <w:color w:val="000000"/>
              </w:rPr>
            </w:pPr>
            <w:r>
              <w:rPr>
                <w:rFonts w:ascii="宋体" w:hAnsi="宋体" w:cs="黑体"/>
                <w:color w:val="000000"/>
              </w:rPr>
              <w:t xml:space="preserve">警的严重程度进行区分；</w:t>
            </w:r>
            <w:r>
              <w:rPr>
                <w:rFonts w:ascii="宋体" w:hAnsi="宋体"/>
                <w:color w:val="000000"/>
              </w:rPr>
            </w:r>
            <w:r/>
          </w:p>
          <w:p>
            <w:pPr>
              <w:pStyle w:val="734"/>
              <w:jc w:val="left"/>
              <w:spacing w:line="220" w:lineRule="exact"/>
              <w:rPr>
                <w:rFonts w:ascii="宋体" w:hAnsi="宋体"/>
                <w:color w:val="000000"/>
              </w:rPr>
            </w:pPr>
            <w:r>
              <w:rPr>
                <w:rFonts w:ascii="宋体" w:hAnsi="宋体" w:cs="黑体"/>
                <w:color w:val="000000"/>
              </w:rPr>
              <w:t xml:space="preserve">7)支持IPMI2.0、SNMP或Redfish 等接口功能；</w:t>
            </w:r>
            <w:r>
              <w:rPr>
                <w:rFonts w:ascii="宋体" w:hAnsi="宋体"/>
                <w:color w:val="000000"/>
              </w:rPr>
            </w:r>
            <w:r/>
          </w:p>
          <w:p>
            <w:pPr>
              <w:pStyle w:val="734"/>
              <w:jc w:val="left"/>
              <w:spacing w:line="220" w:lineRule="exact"/>
              <w:rPr>
                <w:rFonts w:ascii="宋体" w:hAnsi="宋体"/>
                <w:color w:val="000000"/>
              </w:rPr>
            </w:pPr>
            <w:r>
              <w:rPr>
                <w:rFonts w:ascii="宋体" w:hAnsi="宋体" w:cs="黑体"/>
                <w:color w:val="000000"/>
              </w:rPr>
              <w:t xml:space="preserve">8)支持键盘、鼠标和视频的重定向、文本控制台的重定向、远程虚拟媒体、高可靠的硬件监控和管理功能；</w:t>
            </w:r>
            <w:r>
              <w:rPr>
                <w:rFonts w:ascii="宋体" w:hAnsi="宋体"/>
                <w:color w:val="000000"/>
              </w:rPr>
            </w:r>
            <w:r/>
          </w:p>
          <w:p>
            <w:pPr>
              <w:pStyle w:val="734"/>
              <w:jc w:val="left"/>
              <w:spacing w:line="220" w:lineRule="exact"/>
              <w:rPr>
                <w:rFonts w:ascii="宋体" w:hAnsi="宋体"/>
                <w:color w:val="000000"/>
              </w:rPr>
            </w:pPr>
            <w:r>
              <w:rPr>
                <w:rFonts w:ascii="宋体" w:hAnsi="宋体" w:cs="黑体"/>
                <w:color w:val="000000"/>
              </w:rPr>
              <w:t xml:space="preserve">9)支持基于网络开启、关闭和重启设备的功能，并查询当前设备开机运行状态；</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10)支持故障提示功能，并可通过接口读取服务器故障信息；</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65</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BMC固件增强功能</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a）网络控制、安装提供图形访问界面网络； b）设备的BMC管理软件界面显示报警信息，且能够按报警的严重程度进行区分；c）Web GUI采用BMC端口直连，平均响应时间为不大于1s</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66</w:t>
            </w:r>
            <w:r/>
          </w:p>
        </w:tc>
        <w:tc>
          <w:tcPr>
            <w:tcW w:w="1376" w:type="dxa"/>
            <w:vAlign w:val="center"/>
            <w:textDirection w:val="lrTb"/>
            <w:noWrap w:val="false"/>
          </w:tcPr>
          <w:p>
            <w:pPr>
              <w:pStyle w:val="734"/>
              <w:ind w:firstLine="42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right="19"/>
              <w:spacing w:line="220" w:lineRule="exact"/>
              <w:rPr>
                <w:rFonts w:ascii="宋体" w:hAnsi="宋体"/>
                <w:color w:val="000000"/>
              </w:rPr>
            </w:pPr>
            <w:r>
              <w:rPr>
                <w:rFonts w:ascii="宋体" w:hAnsi="宋体" w:cs="黑体"/>
                <w:color w:val="000000"/>
              </w:rPr>
              <w:t xml:space="preserve">*BIOS固件基础功能</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w:t>
            </w:r>
            <w:r>
              <w:rPr>
                <w:rFonts w:ascii="宋体" w:hAnsi="宋体"/>
                <w:color w:val="000000"/>
              </w:rPr>
            </w:r>
            <w:r/>
          </w:p>
          <w:p>
            <w:pPr>
              <w:pStyle w:val="734"/>
              <w:ind w:left="1" w:firstLine="360"/>
              <w:spacing w:line="220" w:lineRule="exact"/>
              <w:rPr>
                <w:rFonts w:hint="eastAsia" w:ascii="宋体" w:hAnsi="宋体"/>
                <w:color w:val="000000"/>
              </w:rPr>
            </w:pPr>
            <w:r>
              <w:rPr>
                <w:rFonts w:hint="eastAsia"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67</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*远程控制</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支持远程关机和重新启动功能</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68</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ind w:left="5" w:right="80"/>
              <w:spacing w:line="220" w:lineRule="exact"/>
              <w:rPr>
                <w:rFonts w:ascii="宋体" w:hAnsi="宋体"/>
                <w:color w:val="000000"/>
              </w:rPr>
            </w:pPr>
            <w:r>
              <w:rPr>
                <w:rFonts w:ascii="宋体" w:hAnsi="宋体" w:cs="黑体"/>
                <w:color w:val="000000"/>
              </w:rPr>
              <w:t xml:space="preserve">*操作系统及驱动功能</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*操作系统及驱动的升级</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hint="eastAsia" w:ascii="宋体" w:hAnsi="宋体"/>
                <w:color w:val="000000"/>
              </w:rPr>
              <w:t xml:space="preserve">配置</w:t>
            </w:r>
            <w:r>
              <w:rPr>
                <w:rFonts w:ascii="宋体" w:hAnsi="宋体"/>
                <w:color w:val="000000"/>
              </w:rPr>
              <w:t xml:space="preserve">正版国产化商用操作系统</w:t>
            </w:r>
            <w:r>
              <w:rPr>
                <w:rFonts w:hint="eastAsia" w:ascii="宋体" w:hAnsi="宋体"/>
                <w:color w:val="000000"/>
              </w:rPr>
              <w:t xml:space="preserve">，</w:t>
            </w:r>
            <w:r>
              <w:rPr>
                <w:rFonts w:ascii="宋体" w:hAnsi="宋体" w:cs="黑体"/>
                <w:color w:val="000000"/>
              </w:rPr>
              <w:t xml:space="preserve">支持通过网络、闪存盘对操作系统、驱动进行升级</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69</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操作系统及驱动的备份还原</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支持操作系统备份及还原功能</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70</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*操作系统功能</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right="91" w:firstLine="360"/>
              <w:spacing w:line="220" w:lineRule="exact"/>
              <w:rPr>
                <w:rFonts w:ascii="宋体" w:hAnsi="宋体"/>
                <w:color w:val="000000"/>
              </w:rPr>
            </w:pPr>
            <w:r>
              <w:rPr>
                <w:rFonts w:ascii="宋体" w:hAnsi="宋体" w:cs="黑体"/>
                <w:color w:val="000000"/>
              </w:rPr>
              <w:t xml:space="preserve">a) 支持访问控制、安全审计、网络接入鉴别等功能； b) 操作系统其他功能应满足操作系统政府采购需求标准中加*的指标要求</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71</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*中文信息处理功能</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*中文信息处理</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符合GB 18030的有关规定</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72</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机柜功能</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机柜管理功能</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hint="eastAsia" w:ascii="宋体" w:hAnsi="宋体"/>
                <w:color w:val="000000"/>
              </w:rPr>
              <w:t xml:space="preserve">不涉及</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73</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机柜通信方式</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hint="eastAsia" w:ascii="宋体" w:hAnsi="宋体"/>
                <w:color w:val="000000"/>
              </w:rPr>
              <w:t xml:space="preserve">不涉及</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74</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功能要求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多集群作业管理</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hint="eastAsia" w:ascii="宋体" w:hAnsi="宋体"/>
                <w:color w:val="000000"/>
              </w:rPr>
              <w:t xml:space="preserve">不涉及</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75</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left="1"/>
              <w:spacing w:line="220" w:lineRule="exact"/>
              <w:rPr>
                <w:rFonts w:ascii="宋体" w:hAnsi="宋体"/>
                <w:color w:val="000000"/>
              </w:rPr>
            </w:pPr>
            <w:r>
              <w:rPr>
                <w:rFonts w:ascii="宋体" w:hAnsi="宋体" w:cs="黑体"/>
                <w:color w:val="000000"/>
              </w:rPr>
              <w:t xml:space="preserve">*关键部件安全要求</w:t>
            </w:r>
            <w:r>
              <w:rPr>
                <w:rFonts w:ascii="宋体" w:hAnsi="宋体"/>
                <w:color w:val="000000"/>
              </w:rPr>
            </w:r>
            <w:r/>
          </w:p>
        </w:tc>
        <w:tc>
          <w:tcPr>
            <w:tcW w:w="1133"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*关键部件安全要求</w:t>
            </w:r>
            <w:r>
              <w:rPr>
                <w:rFonts w:ascii="宋体" w:hAnsi="宋体" w:cs="黑体"/>
                <w:color w:val="000000"/>
                <w:vertAlign w:val="superscript"/>
              </w:rPr>
              <w:t xml:space="preserve">3</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CPU和操作系统等关键部件应当符合安全可靠测评要求</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76</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left="4"/>
              <w:spacing w:line="220" w:lineRule="exact"/>
              <w:rPr>
                <w:rFonts w:ascii="宋体" w:hAnsi="宋体"/>
                <w:color w:val="000000"/>
              </w:rPr>
            </w:pPr>
            <w:r>
              <w:rPr>
                <w:rFonts w:ascii="宋体" w:hAnsi="宋体" w:cs="黑体"/>
                <w:color w:val="000000"/>
              </w:rPr>
              <w:t xml:space="preserve">*固件安全要求</w:t>
            </w:r>
            <w:r>
              <w:rPr>
                <w:rFonts w:ascii="宋体" w:hAnsi="宋体"/>
                <w:color w:val="000000"/>
              </w:rPr>
            </w:r>
            <w:r/>
          </w:p>
        </w:tc>
        <w:tc>
          <w:tcPr>
            <w:tcW w:w="1133"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*故障检测</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支持故障检测功能，可以检测到具体的FRU（内存、硬盘等）的故障并发出告警</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77</w:t>
            </w:r>
            <w:r/>
          </w:p>
        </w:tc>
        <w:tc>
          <w:tcPr>
            <w:tcW w:w="1376" w:type="dxa"/>
            <w:vAlign w:val="center"/>
            <w:textDirection w:val="lrTb"/>
            <w:noWrap w:val="false"/>
          </w:tcPr>
          <w:p>
            <w:pPr>
              <w:pStyle w:val="734"/>
              <w:ind w:firstLine="357"/>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57"/>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firstLine="357"/>
              <w:spacing w:line="220" w:lineRule="exact"/>
              <w:rPr>
                <w:rFonts w:ascii="宋体" w:hAnsi="宋体"/>
                <w:color w:val="000000"/>
              </w:rPr>
            </w:pPr>
            <w:r>
              <w:rPr>
                <w:rFonts w:ascii="宋体" w:hAnsi="宋体" w:cs="黑体"/>
                <w:color w:val="000000"/>
              </w:rPr>
              <w:t xml:space="preserve">内存故障智能预测和自愈修复</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57"/>
              <w:spacing w:line="220" w:lineRule="exact"/>
              <w:rPr>
                <w:rFonts w:ascii="宋体" w:hAnsi="宋体"/>
                <w:color w:val="000000"/>
              </w:rPr>
            </w:pPr>
            <w:r>
              <w:rPr>
                <w:rFonts w:ascii="宋体" w:hAnsi="宋体" w:cs="黑体"/>
                <w:color w:val="000000"/>
              </w:rPr>
              <w:t xml:space="preserve">支持内存故障智能预测和自愈修复，提前自动硬隔离，避免内存故障引起的非预期宕机以及内存寿命的降低</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78</w:t>
            </w:r>
            <w:r/>
          </w:p>
        </w:tc>
        <w:tc>
          <w:tcPr>
            <w:tcW w:w="1376" w:type="dxa"/>
            <w:vAlign w:val="center"/>
            <w:textDirection w:val="lrTb"/>
            <w:noWrap w:val="false"/>
          </w:tcPr>
          <w:p>
            <w:pPr>
              <w:pStyle w:val="734"/>
              <w:ind w:firstLine="357"/>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57"/>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firstLine="357"/>
              <w:spacing w:line="220" w:lineRule="exact"/>
              <w:rPr>
                <w:rFonts w:ascii="宋体" w:hAnsi="宋体"/>
                <w:color w:val="000000"/>
              </w:rPr>
            </w:pPr>
            <w:r>
              <w:rPr>
                <w:rFonts w:ascii="宋体" w:hAnsi="宋体" w:cs="黑体"/>
                <w:color w:val="000000"/>
              </w:rPr>
              <w:t xml:space="preserve">硬盘故障智能预测</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57"/>
              <w:spacing w:line="220" w:lineRule="exact"/>
              <w:rPr>
                <w:rFonts w:ascii="宋体" w:hAnsi="宋体"/>
                <w:color w:val="000000"/>
              </w:rPr>
            </w:pPr>
            <w:r>
              <w:rPr>
                <w:rFonts w:ascii="宋体" w:hAnsi="宋体" w:cs="黑体"/>
                <w:color w:val="000000"/>
              </w:rPr>
              <w:t xml:space="preserve">支持硬盘故障智能预测，基于故障模型预测出硬盘的故障</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79</w:t>
            </w:r>
            <w:r/>
          </w:p>
        </w:tc>
        <w:tc>
          <w:tcPr>
            <w:tcW w:w="1376" w:type="dxa"/>
            <w:vAlign w:val="center"/>
            <w:textDirection w:val="lrTb"/>
            <w:noWrap w:val="false"/>
          </w:tcPr>
          <w:p>
            <w:pPr>
              <w:pStyle w:val="734"/>
              <w:ind w:firstLine="357"/>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57"/>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firstLine="357"/>
              <w:spacing w:line="220" w:lineRule="exact"/>
              <w:rPr>
                <w:rFonts w:ascii="宋体" w:hAnsi="宋体"/>
                <w:color w:val="000000"/>
              </w:rPr>
            </w:pPr>
            <w:r>
              <w:rPr>
                <w:rFonts w:ascii="宋体" w:hAnsi="宋体" w:cs="黑体"/>
                <w:color w:val="000000"/>
              </w:rPr>
              <w:t xml:space="preserve">PCIe链路故障智能诊断</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57"/>
              <w:spacing w:line="220" w:lineRule="exact"/>
              <w:rPr>
                <w:rFonts w:ascii="宋体" w:hAnsi="宋体"/>
                <w:color w:val="000000"/>
              </w:rPr>
            </w:pPr>
            <w:r>
              <w:rPr>
                <w:rFonts w:ascii="宋体" w:hAnsi="宋体" w:cs="黑体"/>
                <w:color w:val="000000"/>
              </w:rPr>
              <w:t xml:space="preserve">支持PCIe链路故障智能诊断，判断出现故障的PCIe链路</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80</w:t>
            </w:r>
            <w:r/>
          </w:p>
        </w:tc>
        <w:tc>
          <w:tcPr>
            <w:tcW w:w="1376" w:type="dxa"/>
            <w:vAlign w:val="center"/>
            <w:textDirection w:val="lrTb"/>
            <w:noWrap w:val="false"/>
          </w:tcPr>
          <w:p>
            <w:pPr>
              <w:pStyle w:val="734"/>
              <w:ind w:firstLine="357"/>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57"/>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firstLine="357"/>
              <w:spacing w:line="220" w:lineRule="exact"/>
              <w:rPr>
                <w:rFonts w:ascii="宋体" w:hAnsi="宋体"/>
                <w:color w:val="000000"/>
              </w:rPr>
            </w:pPr>
            <w:r>
              <w:rPr>
                <w:rFonts w:ascii="宋体" w:hAnsi="宋体" w:cs="黑体"/>
                <w:color w:val="000000"/>
              </w:rPr>
              <w:t xml:space="preserve">内存故障隔离</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57"/>
              <w:spacing w:line="220" w:lineRule="exact"/>
              <w:rPr>
                <w:rFonts w:ascii="宋体" w:hAnsi="宋体"/>
                <w:color w:val="000000"/>
              </w:rPr>
            </w:pPr>
            <w:r>
              <w:rPr>
                <w:rFonts w:ascii="宋体" w:hAnsi="宋体" w:cs="黑体"/>
                <w:color w:val="000000"/>
              </w:rPr>
              <w:t xml:space="preserve">支持内存故障隔离，在内存产生CE 故障时，内存地址被隔离成功，服务器正常运行，业务系统不中断</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81</w:t>
            </w:r>
            <w:r/>
          </w:p>
        </w:tc>
        <w:tc>
          <w:tcPr>
            <w:tcW w:w="1376" w:type="dxa"/>
            <w:vAlign w:val="center"/>
            <w:textDirection w:val="lrTb"/>
            <w:noWrap w:val="false"/>
          </w:tcPr>
          <w:p>
            <w:pPr>
              <w:pStyle w:val="734"/>
              <w:ind w:firstLine="357"/>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57"/>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firstLine="357"/>
              <w:spacing w:line="220" w:lineRule="exact"/>
              <w:rPr>
                <w:rFonts w:ascii="宋体" w:hAnsi="宋体"/>
                <w:color w:val="000000"/>
              </w:rPr>
            </w:pPr>
            <w:r>
              <w:rPr>
                <w:rFonts w:ascii="宋体" w:hAnsi="宋体" w:cs="黑体"/>
                <w:color w:val="000000"/>
              </w:rPr>
              <w:t xml:space="preserve">内存、PCIe 卡的故障精准告警功能</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57"/>
              <w:spacing w:line="220" w:lineRule="exact"/>
              <w:rPr>
                <w:rFonts w:ascii="宋体" w:hAnsi="宋体"/>
                <w:color w:val="000000"/>
              </w:rPr>
            </w:pPr>
            <w:r>
              <w:rPr>
                <w:rFonts w:ascii="宋体" w:hAnsi="宋体" w:cs="黑体"/>
                <w:color w:val="000000"/>
              </w:rPr>
              <w:t xml:space="preserve">支持内存、PCIe卡的故障精准告警功能，触发告警并明确指示具体的故障位置</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82</w:t>
            </w:r>
            <w:r/>
          </w:p>
        </w:tc>
        <w:tc>
          <w:tcPr>
            <w:tcW w:w="1376" w:type="dxa"/>
            <w:vAlign w:val="center"/>
            <w:textDirection w:val="lrTb"/>
            <w:noWrap w:val="false"/>
          </w:tcPr>
          <w:p>
            <w:pPr>
              <w:pStyle w:val="734"/>
              <w:ind w:firstLine="357"/>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57"/>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firstLine="357"/>
              <w:spacing w:line="220" w:lineRule="exact"/>
              <w:rPr>
                <w:rFonts w:ascii="宋体" w:hAnsi="宋体"/>
                <w:color w:val="000000"/>
              </w:rPr>
            </w:pPr>
            <w:r>
              <w:rPr>
                <w:rFonts w:ascii="宋体" w:hAnsi="宋体" w:cs="黑体"/>
                <w:color w:val="000000"/>
              </w:rPr>
              <w:t xml:space="preserve">异常下电关键数据保护</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57"/>
              <w:spacing w:line="220" w:lineRule="exact"/>
              <w:rPr>
                <w:rFonts w:ascii="宋体" w:hAnsi="宋体"/>
                <w:color w:val="000000"/>
              </w:rPr>
            </w:pPr>
            <w:r>
              <w:rPr>
                <w:rFonts w:ascii="宋体" w:hAnsi="宋体" w:cs="黑体"/>
                <w:color w:val="000000"/>
              </w:rPr>
              <w:t xml:space="preserve">支持异常下电关键数据保护，支持数据备份恢复机制，防止系统异常掉电导致的数据文件丢失</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83</w:t>
            </w:r>
            <w:r/>
          </w:p>
        </w:tc>
        <w:tc>
          <w:tcPr>
            <w:tcW w:w="1376" w:type="dxa"/>
            <w:vAlign w:val="center"/>
            <w:textDirection w:val="lrTb"/>
            <w:noWrap w:val="false"/>
          </w:tcPr>
          <w:p>
            <w:pPr>
              <w:pStyle w:val="734"/>
              <w:ind w:firstLine="360"/>
              <w:spacing w:before="312"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before="312"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firstLine="360"/>
              <w:spacing w:before="312" w:line="220" w:lineRule="exact"/>
              <w:rPr>
                <w:rFonts w:ascii="宋体" w:hAnsi="宋体"/>
                <w:color w:val="000000"/>
              </w:rPr>
            </w:pPr>
            <w:r>
              <w:rPr>
                <w:rFonts w:ascii="宋体" w:hAnsi="宋体" w:cs="黑体"/>
                <w:color w:val="000000"/>
              </w:rPr>
              <w:t xml:space="preserve">BMC/BIOS 固件双镜像保护</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before="312" w:line="220" w:lineRule="exact"/>
              <w:rPr>
                <w:rFonts w:ascii="宋体" w:hAnsi="宋体"/>
                <w:color w:val="000000"/>
              </w:rPr>
            </w:pPr>
            <w:r>
              <w:rPr>
                <w:rFonts w:ascii="宋体" w:hAnsi="宋体" w:cs="黑体"/>
                <w:color w:val="000000"/>
              </w:rPr>
              <w:t xml:space="preserve">支持BMC/BIOS固件双镜像保护，运行异常时自动切换到备份镜像运行，提升系统稳定性</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84</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CPU核重启隔离</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支持CPU核发生不可纠正故障后，重启后由BIOS隔离该故障核，OS 不可见，防止OS再次使用导致系统异常，核0除外</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85</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内存地址隔离</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在硬件支持的情况下，支持故障内存地址重启后隔离</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86</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内存存储阵列替换</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在硬件支持的情况下，支持故障内存存储阵列替换</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87</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安全启动</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支持执行环境要求在整个系统启动的过程中，系统应提供一个机制来保护平台的完整性</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88</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left="4"/>
              <w:spacing w:line="220" w:lineRule="exact"/>
              <w:rPr>
                <w:rFonts w:ascii="宋体" w:hAnsi="宋体"/>
                <w:color w:val="000000"/>
              </w:rPr>
            </w:pPr>
            <w:r>
              <w:rPr>
                <w:rFonts w:ascii="宋体" w:hAnsi="宋体" w:cs="黑体"/>
                <w:color w:val="000000"/>
              </w:rPr>
              <w:t xml:space="preserve">*系统安全要求</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syslog双</w:t>
            </w:r>
            <w:r>
              <w:rPr>
                <w:rFonts w:ascii="宋体" w:hAnsi="宋体"/>
                <w:color w:val="000000"/>
              </w:rPr>
            </w:r>
            <w:r/>
          </w:p>
          <w:p>
            <w:pPr>
              <w:pStyle w:val="734"/>
              <w:spacing w:line="220" w:lineRule="exact"/>
              <w:rPr>
                <w:rFonts w:ascii="宋体" w:hAnsi="宋体"/>
                <w:color w:val="000000"/>
              </w:rPr>
            </w:pPr>
            <w:r>
              <w:rPr>
                <w:rFonts w:ascii="宋体" w:hAnsi="宋体" w:cs="黑体"/>
                <w:color w:val="000000"/>
              </w:rPr>
              <w:t xml:space="preserve">向鉴别</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支持系统日志双向鉴别，对服务器根证书和客户端根证书进行鉴别</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89</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*弱口令字典检查</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支持弱口令字典检查功能，出现在弱口令字典中的字符串不能被设置为用户口令</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90</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*白名单访问控制</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支持基于时间、IP或MAC白名单访问控制</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91</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right="19"/>
              <w:spacing w:line="220" w:lineRule="exact"/>
              <w:rPr>
                <w:rFonts w:ascii="宋体" w:hAnsi="宋体"/>
                <w:color w:val="000000"/>
              </w:rPr>
            </w:pPr>
            <w:r>
              <w:rPr>
                <w:rFonts w:ascii="宋体" w:hAnsi="宋体" w:cs="黑体"/>
                <w:color w:val="000000"/>
              </w:rPr>
              <w:t xml:space="preserve">双因素鉴别</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支持使用客户端证书和证书密码的双因素鉴别方式登录管理系统</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92</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*二次鉴别</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支持二次鉴别功能。对于用户配置、权限配置、公钥导入等重要的管理操作，已登录用户应通过二次鉴别后，才能执行操作</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93</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匿名化用户告警接收邮箱</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支持带外管理系统中的用户告警接收邮箱进行匿名化处理</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94</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*密码证书安全加密存储</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支持对带外管理系统中的用户口令和证书等敏感信息进行加密存储，禁止使用私有的和业界已知不安全的密码算法</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95</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*敏感信息安全加密传输</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支持使用安全的传输加密协议（如SSH或HTTPS等）传输用户的敏感信息</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96</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left="4"/>
              <w:spacing w:line="220" w:lineRule="exact"/>
              <w:rPr>
                <w:rFonts w:ascii="宋体" w:hAnsi="宋体"/>
                <w:color w:val="000000"/>
              </w:rPr>
            </w:pPr>
            <w:r>
              <w:rPr>
                <w:rFonts w:ascii="宋体" w:hAnsi="宋体" w:cs="黑体"/>
                <w:color w:val="000000"/>
              </w:rPr>
              <w:t xml:space="preserve">*信息安全要求</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*研发过程安全</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供应商承诺，生产商已建立从需求、设计、开发、测试、维护端到端的开发流程管理机制，输出和保存开发流程中每个阶段的产品需求清单、设计文档、开发文档、测试记录等材料，保证各个流程可追溯</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97</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漏洞管理</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供应商承诺，生产商已建立漏洞全量视图，保证产品版本涉及到的所有漏洞(如驱动程序、BMC软件等) 都可以查看</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98</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网络关键设备服务器要求</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作为网络关键设备的服务器应符合GB 40050的相关规定</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99</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增强要求</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numPr>
                <w:ilvl w:val="0"/>
                <w:numId w:val="39"/>
              </w:numPr>
              <w:jc w:val="left"/>
              <w:spacing w:line="220" w:lineRule="exact"/>
              <w:widowControl/>
              <w:rPr>
                <w:rFonts w:ascii="宋体" w:hAnsi="宋体"/>
                <w:color w:val="000000"/>
              </w:rPr>
            </w:pPr>
            <w:r>
              <w:rPr>
                <w:rFonts w:ascii="宋体" w:hAnsi="宋体" w:cs="黑体"/>
                <w:color w:val="000000"/>
              </w:rPr>
              <w:t xml:space="preserve">嵌入物理可信根，实现设备的信任链构建；</w:t>
            </w:r>
            <w:r>
              <w:rPr>
                <w:rFonts w:ascii="宋体" w:hAnsi="宋体"/>
                <w:color w:val="000000"/>
              </w:rPr>
            </w:r>
            <w:r/>
          </w:p>
          <w:p>
            <w:pPr>
              <w:pStyle w:val="734"/>
              <w:numPr>
                <w:ilvl w:val="0"/>
                <w:numId w:val="39"/>
              </w:numPr>
              <w:jc w:val="left"/>
              <w:spacing w:after="5" w:line="220" w:lineRule="exact"/>
              <w:widowControl/>
              <w:rPr>
                <w:rFonts w:ascii="宋体" w:hAnsi="宋体"/>
                <w:color w:val="000000"/>
              </w:rPr>
            </w:pPr>
            <w:r>
              <w:rPr>
                <w:rFonts w:ascii="宋体" w:hAnsi="宋体" w:cs="黑体"/>
                <w:color w:val="000000"/>
              </w:rPr>
              <w:t xml:space="preserve">支持可信平台控制模块(TPCM)；</w:t>
            </w:r>
            <w:r>
              <w:rPr>
                <w:rFonts w:ascii="宋体" w:hAnsi="宋体"/>
                <w:color w:val="000000"/>
              </w:rPr>
            </w:r>
            <w:r/>
          </w:p>
          <w:p>
            <w:pPr>
              <w:pStyle w:val="734"/>
              <w:numPr>
                <w:ilvl w:val="0"/>
                <w:numId w:val="39"/>
              </w:numPr>
              <w:jc w:val="left"/>
              <w:spacing w:line="220" w:lineRule="exact"/>
              <w:widowControl/>
              <w:rPr>
                <w:rFonts w:ascii="宋体" w:hAnsi="宋体"/>
                <w:color w:val="000000"/>
              </w:rPr>
            </w:pPr>
            <w:r>
              <w:rPr>
                <w:rFonts w:ascii="宋体" w:hAnsi="宋体" w:cs="黑体"/>
                <w:color w:val="000000"/>
              </w:rPr>
              <w:t xml:space="preserve">支持在固件系统（BMC、BIOS）启动前实现对固件度量的功能，支持物理可信根对BMC固件或BIOS固件进行完整性检测、更新和恢复；</w:t>
            </w:r>
            <w:r>
              <w:rPr>
                <w:rFonts w:ascii="宋体" w:hAnsi="宋体"/>
                <w:color w:val="000000"/>
              </w:rPr>
            </w:r>
            <w:r/>
          </w:p>
          <w:p>
            <w:pPr>
              <w:pStyle w:val="734"/>
              <w:numPr>
                <w:ilvl w:val="0"/>
                <w:numId w:val="39"/>
              </w:numPr>
              <w:jc w:val="left"/>
              <w:spacing w:line="220" w:lineRule="exact"/>
              <w:widowControl/>
              <w:rPr>
                <w:rFonts w:ascii="宋体" w:hAnsi="宋体"/>
                <w:color w:val="000000"/>
              </w:rPr>
            </w:pPr>
            <w:r>
              <w:rPr>
                <w:rFonts w:ascii="宋体" w:hAnsi="宋体" w:cs="黑体"/>
                <w:color w:val="000000"/>
              </w:rPr>
              <w:t xml:space="preserve">支持对CPU、网络控制器等关键处理器进行身份识别与度量的功能；</w:t>
            </w:r>
            <w:r>
              <w:rPr>
                <w:rFonts w:ascii="宋体" w:hAnsi="宋体"/>
                <w:color w:val="000000"/>
              </w:rPr>
            </w:r>
            <w:r/>
          </w:p>
          <w:p>
            <w:pPr>
              <w:pStyle w:val="734"/>
              <w:numPr>
                <w:ilvl w:val="0"/>
                <w:numId w:val="39"/>
              </w:numPr>
              <w:jc w:val="left"/>
              <w:spacing w:line="220" w:lineRule="exact"/>
              <w:widowControl/>
              <w:rPr>
                <w:rFonts w:ascii="宋体" w:hAnsi="宋体"/>
                <w:color w:val="000000"/>
              </w:rPr>
            </w:pPr>
            <w:r>
              <w:rPr>
                <w:rFonts w:ascii="宋体" w:hAnsi="宋体" w:cs="黑体"/>
                <w:color w:val="000000"/>
              </w:rPr>
              <w:t xml:space="preserve">支持基于处理器或可信计算模块度量的功能；</w:t>
            </w:r>
            <w:r>
              <w:rPr>
                <w:rFonts w:ascii="宋体" w:hAnsi="宋体"/>
                <w:color w:val="000000"/>
              </w:rPr>
            </w:r>
            <w:r/>
          </w:p>
          <w:p>
            <w:pPr>
              <w:pStyle w:val="734"/>
              <w:numPr>
                <w:ilvl w:val="0"/>
                <w:numId w:val="39"/>
              </w:numPr>
              <w:jc w:val="left"/>
              <w:spacing w:line="220" w:lineRule="exact"/>
              <w:widowControl/>
              <w:rPr>
                <w:rFonts w:ascii="宋体" w:hAnsi="宋体"/>
                <w:color w:val="000000"/>
              </w:rPr>
            </w:pPr>
            <w:r>
              <w:rPr>
                <w:rFonts w:ascii="宋体" w:hAnsi="宋体" w:cs="黑体"/>
                <w:color w:val="000000"/>
              </w:rPr>
              <w:t xml:space="preserve">所采用的可信密码模块接口应符合GM/T 0012的相关规定；</w:t>
            </w:r>
            <w:r>
              <w:rPr>
                <w:rFonts w:ascii="宋体" w:hAnsi="宋体"/>
                <w:color w:val="000000"/>
              </w:rPr>
            </w:r>
            <w:r/>
          </w:p>
          <w:p>
            <w:pPr>
              <w:pStyle w:val="734"/>
              <w:numPr>
                <w:ilvl w:val="0"/>
                <w:numId w:val="39"/>
              </w:numPr>
              <w:jc w:val="left"/>
              <w:spacing w:line="220" w:lineRule="exact"/>
              <w:widowControl/>
              <w:rPr>
                <w:rFonts w:ascii="宋体" w:hAnsi="宋体"/>
                <w:color w:val="000000"/>
              </w:rPr>
            </w:pPr>
            <w:r>
              <w:rPr>
                <w:rFonts w:ascii="宋体" w:hAnsi="宋体" w:cs="黑体"/>
                <w:color w:val="000000"/>
              </w:rPr>
              <w:t xml:space="preserve">可信安全管理模块、处理器等硬件载体应通过国家相关部门的认证和许可</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100</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*物理安全</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*物理安全</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安全要求应符合GB 4943.1的规定</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101</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安全要求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*限用物质的限量要求</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*限用物质的限量要求</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限用物质的限量应符合GB/T 26572 的要求</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102</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性能要求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*CPU 性能</w:t>
            </w:r>
            <w:r>
              <w:rPr>
                <w:rFonts w:ascii="宋体" w:hAnsi="宋体"/>
                <w:color w:val="000000"/>
              </w:rPr>
            </w:r>
            <w:r/>
          </w:p>
        </w:tc>
        <w:tc>
          <w:tcPr>
            <w:tcW w:w="1133"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*CPU主频</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≥2.6GHz</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103</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性能要求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*单CPU核数</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≥32</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104</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性能要求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*单CPU末级缓存容量</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≥8MB</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105</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性能要求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*内存性能</w:t>
            </w:r>
            <w:r>
              <w:rPr>
                <w:rFonts w:ascii="宋体" w:hAnsi="宋体"/>
                <w:color w:val="000000"/>
              </w:rPr>
            </w:r>
            <w:r/>
          </w:p>
        </w:tc>
        <w:tc>
          <w:tcPr>
            <w:tcW w:w="1133"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单内存模块容量</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≥32GB</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106</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性能要求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*内存速率</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≥2933MT</w:t>
            </w:r>
            <w:r>
              <w:rPr>
                <w:rFonts w:hint="eastAsia" w:ascii="宋体" w:hAnsi="宋体" w:cs="黑体"/>
                <w:color w:val="000000"/>
              </w:rPr>
              <w:t xml:space="preserve">/</w:t>
            </w:r>
            <w:r>
              <w:rPr>
                <w:rFonts w:ascii="宋体" w:hAnsi="宋体" w:cs="黑体"/>
                <w:color w:val="000000"/>
              </w:rPr>
              <w:t xml:space="preserve">s</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107</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性能要求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存储性能</w:t>
            </w:r>
            <w:r>
              <w:rPr>
                <w:rFonts w:ascii="宋体" w:hAnsi="宋体"/>
                <w:color w:val="000000"/>
              </w:rPr>
            </w:r>
            <w:r/>
          </w:p>
        </w:tc>
        <w:tc>
          <w:tcPr>
            <w:tcW w:w="1133"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硬盘转速</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安装的硬磁盘转速不小于10krpm</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108</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性能要求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RAID 卡性能</w:t>
            </w:r>
            <w:r>
              <w:rPr>
                <w:rFonts w:ascii="宋体" w:hAnsi="宋体"/>
                <w:color w:val="000000"/>
              </w:rPr>
            </w:r>
            <w:r/>
          </w:p>
        </w:tc>
        <w:tc>
          <w:tcPr>
            <w:tcW w:w="1133"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RAID卡缓存容量大小</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若配备RAID卡且RAID卡有缓存容量，容量不少于1GB</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109</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性能要求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FC HBA 卡性能</w:t>
            </w:r>
            <w:r>
              <w:rPr>
                <w:rFonts w:ascii="宋体" w:hAnsi="宋体"/>
                <w:color w:val="000000"/>
              </w:rPr>
            </w:r>
            <w:r/>
          </w:p>
        </w:tc>
        <w:tc>
          <w:tcPr>
            <w:tcW w:w="1133"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FC HBA卡</w:t>
            </w:r>
            <w:r>
              <w:rPr>
                <w:rFonts w:ascii="宋体" w:hAnsi="宋体"/>
                <w:color w:val="000000"/>
              </w:rPr>
            </w:r>
            <w:r/>
          </w:p>
          <w:p>
            <w:pPr>
              <w:pStyle w:val="734"/>
              <w:ind w:firstLine="360"/>
              <w:spacing w:line="220" w:lineRule="exact"/>
              <w:rPr>
                <w:rFonts w:ascii="宋体" w:hAnsi="宋体"/>
                <w:color w:val="000000"/>
              </w:rPr>
            </w:pPr>
            <w:r>
              <w:rPr>
                <w:rFonts w:ascii="宋体" w:hAnsi="宋体" w:cs="黑体"/>
                <w:color w:val="000000"/>
              </w:rPr>
              <w:t xml:space="preserve">速率</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hint="eastAsia" w:ascii="宋体" w:hAnsi="宋体"/>
                <w:color w:val="000000"/>
              </w:rPr>
              <w:t xml:space="preserve">不涉及</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110</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性能要求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网络性能</w:t>
            </w:r>
            <w:r>
              <w:rPr>
                <w:rFonts w:ascii="宋体" w:hAnsi="宋体"/>
                <w:color w:val="000000"/>
              </w:rPr>
            </w:r>
            <w:r/>
          </w:p>
        </w:tc>
        <w:tc>
          <w:tcPr>
            <w:tcW w:w="1133"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独立网卡速率</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≥1GE</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111</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性能要求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板载网卡速率</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≥1GE</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112</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性能要求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*电源能耗</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*电源能耗</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符合GB/T 9813.3的有关规定</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113</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兼容要求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*部件兼容性要求</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*内存兼容性</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适配3种及以上厂商的内存产品，且均不低于产品支持的内存规格</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114</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兼容要求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*固态存储兼容性</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适配3种或以上厂商的固态存储产品，且均不低于产品支持的固态存储设备规格</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115</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兼容要求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FC HBA卡</w:t>
            </w:r>
            <w:r>
              <w:rPr>
                <w:rFonts w:ascii="宋体" w:hAnsi="宋体"/>
                <w:color w:val="000000"/>
              </w:rPr>
            </w:r>
            <w:r/>
          </w:p>
          <w:p>
            <w:pPr>
              <w:pStyle w:val="734"/>
              <w:ind w:firstLine="360"/>
              <w:spacing w:line="220" w:lineRule="exact"/>
              <w:rPr>
                <w:rFonts w:ascii="宋体" w:hAnsi="宋体"/>
                <w:color w:val="000000"/>
              </w:rPr>
            </w:pPr>
            <w:r>
              <w:rPr>
                <w:rFonts w:ascii="宋体" w:hAnsi="宋体" w:cs="黑体"/>
                <w:color w:val="000000"/>
              </w:rPr>
              <w:t xml:space="preserve">兼容性</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FC HBA应适配两种或以上厂商产品</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116</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兼容要求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RAID卡兼容性</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RAID卡应适配两种或以上厂商产品</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117</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兼容要求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*网卡兼容性</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网卡应适配两种或以上厂商产品</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118</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兼容要求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*功能卡兼容性</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内置或适配符合PCIe的功能卡，如：网络功能卡、存储功能卡及图形显示功能卡</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119</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兼容要求</w:t>
            </w:r>
            <w:r>
              <w:rPr>
                <w:rFonts w:ascii="宋体" w:hAnsi="宋体"/>
                <w:color w:val="000000"/>
              </w:rPr>
            </w:r>
            <w:r/>
          </w:p>
        </w:tc>
        <w:tc>
          <w:tcPr>
            <w:tcW w:w="1278" w:type="dxa"/>
            <w:vAlign w:val="center"/>
            <w:textDirection w:val="lrTb"/>
            <w:noWrap w:val="false"/>
          </w:tcPr>
          <w:p>
            <w:pPr>
              <w:pStyle w:val="734"/>
              <w:ind w:right="80"/>
              <w:spacing w:line="220" w:lineRule="exact"/>
              <w:rPr>
                <w:rFonts w:ascii="宋体" w:hAnsi="宋体"/>
                <w:color w:val="000000"/>
              </w:rPr>
            </w:pPr>
            <w:r>
              <w:rPr>
                <w:rFonts w:ascii="宋体" w:hAnsi="宋体" w:cs="黑体"/>
                <w:color w:val="000000"/>
              </w:rPr>
              <w:t xml:space="preserve">*外设兼容性</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*外设兼容性</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兼容多种主流生产商的外部设备，</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包括显示器、键盘、鼠标、闪存盘、</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移动硬盘、USB光驱及KVM等，要求使用不同厂商的外部设备时，系统均能正常识别和安装驱动</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120</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兼容要求</w:t>
            </w:r>
            <w:r>
              <w:rPr>
                <w:rFonts w:ascii="宋体" w:hAnsi="宋体"/>
                <w:color w:val="000000"/>
              </w:rPr>
            </w:r>
            <w:r/>
          </w:p>
        </w:tc>
        <w:tc>
          <w:tcPr>
            <w:tcW w:w="1278" w:type="dxa"/>
            <w:vAlign w:val="center"/>
            <w:textDirection w:val="lrTb"/>
            <w:noWrap w:val="false"/>
          </w:tcPr>
          <w:p>
            <w:pPr>
              <w:pStyle w:val="734"/>
              <w:ind w:right="80" w:firstLine="360"/>
              <w:spacing w:line="220" w:lineRule="exact"/>
              <w:rPr>
                <w:rFonts w:ascii="宋体" w:hAnsi="宋体"/>
                <w:color w:val="000000"/>
              </w:rPr>
            </w:pPr>
            <w:r>
              <w:rPr>
                <w:rFonts w:ascii="宋体" w:hAnsi="宋体" w:cs="黑体"/>
                <w:color w:val="000000"/>
              </w:rPr>
              <w:t xml:space="preserve">*软件兼容性</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*数据库兼容</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兼容3个及以上厂商的数据库产品</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121</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兼容要求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*中间件兼容</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兼容3个及以上厂商的中间件产品</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122</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兼容要求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*平台软件兼容</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兼容3个及以上厂商的大数据平台</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123</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兼容要求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虚拟化软件兼容</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兼容2款及以上虚拟化软件</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124</w:t>
            </w:r>
            <w:r/>
          </w:p>
        </w:tc>
        <w:tc>
          <w:tcPr>
            <w:tcW w:w="1376"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可靠性要求</w:t>
            </w:r>
            <w:r>
              <w:rPr>
                <w:rFonts w:ascii="宋体" w:hAnsi="宋体"/>
                <w:color w:val="000000"/>
              </w:rPr>
            </w:r>
            <w:r/>
          </w:p>
        </w:tc>
        <w:tc>
          <w:tcPr>
            <w:tcW w:w="1278" w:type="dxa"/>
            <w:vAlign w:val="center"/>
            <w:textDirection w:val="lrTb"/>
            <w:noWrap w:val="false"/>
          </w:tcPr>
          <w:p>
            <w:pPr>
              <w:pStyle w:val="734"/>
              <w:ind w:right="80" w:firstLine="360"/>
              <w:spacing w:line="220" w:lineRule="exact"/>
              <w:rPr>
                <w:rFonts w:ascii="宋体" w:hAnsi="宋体"/>
                <w:color w:val="000000"/>
              </w:rPr>
            </w:pPr>
            <w:r>
              <w:rPr>
                <w:rFonts w:ascii="宋体" w:hAnsi="宋体" w:cs="黑体"/>
                <w:color w:val="000000"/>
              </w:rPr>
              <w:t xml:space="preserve">存储可靠性要求</w:t>
            </w:r>
            <w:r>
              <w:rPr>
                <w:rFonts w:ascii="宋体" w:hAnsi="宋体"/>
                <w:color w:val="000000"/>
              </w:rPr>
            </w:r>
            <w:r/>
          </w:p>
        </w:tc>
        <w:tc>
          <w:tcPr>
            <w:tcW w:w="1133" w:type="dxa"/>
            <w:vAlign w:val="center"/>
            <w:textDirection w:val="lrTb"/>
            <w:noWrap w:val="false"/>
          </w:tcPr>
          <w:p>
            <w:pPr>
              <w:pStyle w:val="734"/>
              <w:spacing w:after="5" w:line="220" w:lineRule="exact"/>
              <w:rPr>
                <w:rFonts w:ascii="宋体" w:hAnsi="宋体"/>
                <w:color w:val="000000"/>
              </w:rPr>
            </w:pPr>
            <w:r>
              <w:rPr>
                <w:rFonts w:ascii="宋体" w:hAnsi="宋体" w:cs="黑体"/>
                <w:color w:val="000000"/>
              </w:rPr>
              <w:t xml:space="preserve">SATA SSD</w:t>
            </w:r>
            <w:r>
              <w:rPr>
                <w:rFonts w:ascii="宋体" w:hAnsi="宋体"/>
                <w:color w:val="000000"/>
              </w:rPr>
            </w:r>
            <w:r/>
          </w:p>
          <w:p>
            <w:pPr>
              <w:pStyle w:val="734"/>
              <w:ind w:firstLine="360"/>
              <w:spacing w:line="220" w:lineRule="exact"/>
              <w:rPr>
                <w:rFonts w:ascii="宋体" w:hAnsi="宋体"/>
                <w:color w:val="000000"/>
              </w:rPr>
            </w:pPr>
            <w:r>
              <w:rPr>
                <w:rFonts w:ascii="宋体" w:hAnsi="宋体" w:cs="黑体"/>
                <w:color w:val="000000"/>
              </w:rPr>
              <w:t xml:space="preserve">可靠性</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SSD的m1值（MTBF的不可接受值）不低于200000h</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125</w:t>
            </w:r>
            <w:r/>
          </w:p>
        </w:tc>
        <w:tc>
          <w:tcPr>
            <w:tcW w:w="1376"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可靠性要求</w:t>
            </w:r>
            <w:r>
              <w:rPr>
                <w:rFonts w:ascii="宋体" w:hAnsi="宋体"/>
                <w:color w:val="000000"/>
              </w:rPr>
            </w:r>
            <w:r/>
          </w:p>
        </w:tc>
        <w:tc>
          <w:tcPr>
            <w:tcW w:w="1278" w:type="dxa"/>
            <w:vAlign w:val="center"/>
            <w:textDirection w:val="lrTb"/>
            <w:noWrap w:val="false"/>
          </w:tcPr>
          <w:p>
            <w:pPr>
              <w:pStyle w:val="734"/>
              <w:ind w:right="80"/>
              <w:spacing w:line="220" w:lineRule="exact"/>
              <w:rPr>
                <w:rFonts w:ascii="宋体" w:hAnsi="宋体"/>
                <w:color w:val="000000"/>
              </w:rPr>
            </w:pPr>
            <w:r>
              <w:rPr>
                <w:rFonts w:ascii="宋体" w:hAnsi="宋体" w:cs="黑体"/>
                <w:color w:val="000000"/>
              </w:rPr>
              <w:t xml:space="preserve">*整机可靠性要求</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*整机可靠性</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m1值（MTBF的不可接受值）不得低于30000h</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126</w:t>
            </w:r>
            <w:r/>
          </w:p>
        </w:tc>
        <w:tc>
          <w:tcPr>
            <w:tcW w:w="1376"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可靠性要求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*风扇可靠性</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风扇寿命应不低于40000h</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127</w:t>
            </w:r>
            <w:r/>
          </w:p>
        </w:tc>
        <w:tc>
          <w:tcPr>
            <w:tcW w:w="1376"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可靠性要求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*部件可靠性</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支持硬盘、电源、风扇热插拔(内置风扇除外)</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128</w:t>
            </w:r>
            <w:r/>
          </w:p>
        </w:tc>
        <w:tc>
          <w:tcPr>
            <w:tcW w:w="1376"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包装及运输要求</w:t>
            </w:r>
            <w:r>
              <w:rPr>
                <w:rFonts w:ascii="宋体" w:hAnsi="宋体"/>
                <w:color w:val="000000"/>
              </w:rPr>
            </w:r>
            <w:r/>
          </w:p>
        </w:tc>
        <w:tc>
          <w:tcPr>
            <w:tcW w:w="1278" w:type="dxa"/>
            <w:vAlign w:val="center"/>
            <w:textDirection w:val="lrTb"/>
            <w:noWrap w:val="false"/>
          </w:tcPr>
          <w:p>
            <w:pPr>
              <w:pStyle w:val="734"/>
              <w:ind w:right="80"/>
              <w:spacing w:line="220" w:lineRule="exact"/>
              <w:rPr>
                <w:rFonts w:ascii="宋体" w:hAnsi="宋体"/>
                <w:color w:val="000000"/>
              </w:rPr>
            </w:pPr>
            <w:r>
              <w:rPr>
                <w:rFonts w:ascii="宋体" w:hAnsi="宋体" w:cs="黑体"/>
                <w:color w:val="000000"/>
              </w:rPr>
              <w:t xml:space="preserve">*包装及运输要求</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*标志、包装、运输和贮存</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符合GB/T 9813.3和商品包装政府采购需求标准的相关规定</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129</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*服务响应</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*服务响应</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numPr>
                <w:ilvl w:val="0"/>
                <w:numId w:val="40"/>
              </w:numPr>
              <w:jc w:val="left"/>
              <w:spacing w:line="220" w:lineRule="exact"/>
              <w:widowControl/>
              <w:rPr>
                <w:rFonts w:ascii="宋体" w:hAnsi="宋体"/>
                <w:color w:val="000000"/>
              </w:rPr>
            </w:pPr>
            <w:r>
              <w:rPr>
                <w:rFonts w:ascii="宋体" w:hAnsi="宋体" w:cs="黑体"/>
                <w:color w:val="000000"/>
              </w:rPr>
              <w:t xml:space="preserve">提供电话、电子邮件、远程连接等多种形式服务；</w:t>
            </w:r>
            <w:r>
              <w:rPr>
                <w:rFonts w:ascii="宋体" w:hAnsi="宋体"/>
                <w:color w:val="000000"/>
              </w:rPr>
            </w:r>
            <w:r/>
          </w:p>
          <w:p>
            <w:pPr>
              <w:pStyle w:val="734"/>
              <w:numPr>
                <w:ilvl w:val="0"/>
                <w:numId w:val="40"/>
              </w:numPr>
              <w:jc w:val="left"/>
              <w:spacing w:line="220" w:lineRule="exact"/>
              <w:widowControl/>
              <w:rPr>
                <w:rFonts w:ascii="宋体" w:hAnsi="宋体"/>
                <w:color w:val="000000"/>
              </w:rPr>
            </w:pPr>
            <w:r>
              <w:rPr>
                <w:rFonts w:ascii="宋体" w:hAnsi="宋体" w:cs="黑体"/>
                <w:color w:val="000000"/>
              </w:rPr>
              <w:t xml:space="preserve">提供同城4h、异地12h技术响应服务，2个工作日解决问题，对于未能解决的问题和故障应提供可行的升级方案，并提供周转设备； c) 建立全国技术服务体系和服务团体，符合专业服务体系标准要求，提供原厂中文服务； d) 服务周期内提供产品的维修、换件和升级服务</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130</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*培训服务</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供应商提供培训材料、产品手册、培训视频等培训相关内容</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131</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*服务周期</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*服务周期</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right="91" w:firstLine="360"/>
              <w:spacing w:line="220" w:lineRule="exact"/>
              <w:rPr>
                <w:rFonts w:ascii="宋体" w:hAnsi="宋体"/>
                <w:color w:val="000000"/>
              </w:rPr>
            </w:pPr>
            <w:r>
              <w:rPr>
                <w:rFonts w:ascii="宋体" w:hAnsi="宋体" w:cs="黑体"/>
                <w:color w:val="000000"/>
              </w:rPr>
              <w:t xml:space="preserve">a) 产品免费服务周期（含换件和维修）应不小于5年</w:t>
            </w:r>
            <w:r>
              <w:rPr>
                <w:rFonts w:hint="eastAsia" w:ascii="宋体" w:hAnsi="宋体" w:cs="黑体"/>
                <w:color w:val="000000"/>
              </w:rPr>
              <w:t xml:space="preserve">，提供介质保留服务不小于5年</w:t>
            </w:r>
            <w:r>
              <w:rPr>
                <w:rFonts w:ascii="宋体" w:hAnsi="宋体" w:cs="黑体"/>
                <w:color w:val="000000"/>
              </w:rPr>
              <w:t xml:space="preserve">； b) 设备停产后继续提供质量保障服务（含备品备件），服务终止时间与最后一批设备交付时间间隔不低于6年； c) 产品停止服务时间应提前1年告知客户；</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d) 产品发布日期需在随机文件中明确</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132</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78" w:type="dxa"/>
            <w:vAlign w:val="center"/>
            <w:textDirection w:val="lrTb"/>
            <w:noWrap w:val="false"/>
          </w:tcPr>
          <w:p>
            <w:pPr>
              <w:pStyle w:val="734"/>
              <w:ind w:left="4"/>
              <w:spacing w:line="220" w:lineRule="exact"/>
              <w:rPr>
                <w:rFonts w:ascii="宋体" w:hAnsi="宋体"/>
                <w:color w:val="000000"/>
              </w:rPr>
            </w:pPr>
            <w:r>
              <w:rPr>
                <w:rFonts w:ascii="宋体" w:hAnsi="宋体" w:cs="黑体"/>
                <w:color w:val="000000"/>
              </w:rPr>
              <w:t xml:space="preserve">*服务工具要求</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*工具要求</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供应商提供设置服务器硬件、辅助操作系统安装等功能的辅助工具和管理软件。且随附软件应具有合法授权或版权</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133</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辅助工具</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支持如下功能</w:t>
            </w:r>
            <w:r>
              <w:rPr>
                <w:rFonts w:ascii="宋体" w:hAnsi="宋体"/>
                <w:color w:val="000000"/>
              </w:rPr>
            </w:r>
            <w:r/>
          </w:p>
          <w:p>
            <w:pPr>
              <w:pStyle w:val="734"/>
              <w:numPr>
                <w:ilvl w:val="0"/>
                <w:numId w:val="41"/>
              </w:numPr>
              <w:ind w:right="124"/>
              <w:jc w:val="left"/>
              <w:spacing w:after="5" w:line="220" w:lineRule="exact"/>
              <w:widowControl/>
              <w:rPr>
                <w:rFonts w:ascii="宋体" w:hAnsi="宋体"/>
                <w:color w:val="000000"/>
              </w:rPr>
            </w:pPr>
            <w:r>
              <w:rPr>
                <w:rFonts w:ascii="宋体" w:hAnsi="宋体" w:cs="黑体"/>
                <w:color w:val="000000"/>
              </w:rPr>
              <w:t xml:space="preserve">本地的数据备份和还原功能；</w:t>
            </w:r>
            <w:r>
              <w:rPr>
                <w:rFonts w:ascii="宋体" w:hAnsi="宋体"/>
                <w:color w:val="000000"/>
              </w:rPr>
            </w:r>
            <w:r/>
          </w:p>
          <w:p>
            <w:pPr>
              <w:pStyle w:val="734"/>
              <w:numPr>
                <w:ilvl w:val="0"/>
                <w:numId w:val="41"/>
              </w:numPr>
              <w:ind w:right="124"/>
              <w:jc w:val="left"/>
              <w:spacing w:line="220" w:lineRule="exact"/>
              <w:widowControl/>
              <w:rPr>
                <w:rFonts w:ascii="宋体" w:hAnsi="宋体"/>
                <w:color w:val="000000"/>
              </w:rPr>
            </w:pPr>
            <w:r>
              <w:rPr>
                <w:rFonts w:ascii="宋体" w:hAnsi="宋体" w:cs="黑体"/>
                <w:color w:val="000000"/>
              </w:rPr>
              <w:t xml:space="preserve">网络的数据备份和还原功能； c) 服务器操作系统的自动安装功能； d) 服务器所配硬件需要的驱动程序和系统补丁</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134</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*驱动安装升级指引</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供应商提供出厂安装的配件所需的驱动程序，形式包括但不限于驱动光盘、驱动下载链接等。其他配件应提供指引</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135</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随机附开盖工具</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随服务器打包提供开机箱工具</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136</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代码迁移工具</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供应商提供从其他CPU架构到当前服务器CPU架构的软件迁移工具产品，支持软件包迁移评估，对满足产品重构要求的软件包，能重构为当前服务器CPU架构的软件包。提</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供源码迁移功能，检查分析</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C/C++/Fortran/Go/解释型语言/汇编等源码文件，基于产品功能给出迁移指导</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137</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性能分析工具</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供应商提供支持当前服务器CPU架构的性能分析工具产品，支持系统性能分析、Java性能分析和系统诊断，可分析系统或应用在CPU、内存、</w:t>
            </w:r>
            <w:r>
              <w:rPr>
                <w:rFonts w:ascii="宋体" w:hAnsi="宋体"/>
                <w:color w:val="000000"/>
              </w:rPr>
            </w:r>
            <w:r/>
          </w:p>
          <w:p>
            <w:pPr>
              <w:pStyle w:val="734"/>
              <w:ind w:left="1" w:firstLine="360"/>
              <w:spacing w:line="220" w:lineRule="exact"/>
              <w:rPr>
                <w:rFonts w:ascii="宋体" w:hAnsi="宋体"/>
                <w:color w:val="000000"/>
              </w:rPr>
            </w:pPr>
            <w:r>
              <w:rPr>
                <w:rFonts w:ascii="宋体" w:hAnsi="宋体" w:cs="黑体"/>
                <w:color w:val="000000"/>
              </w:rPr>
              <w:t xml:space="preserve">IO、网络等方面的性能，并给出优化建议</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138</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ind w:right="19"/>
              <w:spacing w:line="220" w:lineRule="exact"/>
              <w:rPr>
                <w:rFonts w:ascii="宋体" w:hAnsi="宋体"/>
                <w:color w:val="000000"/>
              </w:rPr>
            </w:pPr>
            <w:r>
              <w:rPr>
                <w:rFonts w:ascii="宋体" w:hAnsi="宋体" w:cs="黑体"/>
                <w:color w:val="000000"/>
              </w:rPr>
              <w:t xml:space="preserve">跨架构平台应用兼容</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跨CPU架构平台应用兼容工具，可兼容一种或者一种以上不同架构平台的应用</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139</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*管理软件</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具备资源管理、系统管理、性能监控、健康监控、基于网络控制、报警设置功能</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140</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*增值服务</w:t>
            </w:r>
            <w:r>
              <w:rPr>
                <w:rFonts w:ascii="宋体" w:hAnsi="宋体"/>
                <w:color w:val="000000"/>
              </w:rPr>
            </w:r>
            <w:r/>
          </w:p>
        </w:tc>
        <w:tc>
          <w:tcPr>
            <w:tcW w:w="1133" w:type="dxa"/>
            <w:vAlign w:val="center"/>
            <w:textDirection w:val="lrTb"/>
            <w:noWrap w:val="false"/>
          </w:tcPr>
          <w:p>
            <w:pPr>
              <w:pStyle w:val="734"/>
              <w:ind w:right="19"/>
              <w:spacing w:line="220" w:lineRule="exact"/>
              <w:rPr>
                <w:rFonts w:ascii="宋体" w:hAnsi="宋体"/>
                <w:color w:val="000000"/>
              </w:rPr>
            </w:pPr>
            <w:r>
              <w:rPr>
                <w:rFonts w:ascii="宋体" w:hAnsi="宋体" w:cs="黑体"/>
                <w:color w:val="000000"/>
              </w:rPr>
              <w:t xml:space="preserve">*厂家升级产品软件与扩容服务</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供应商提供原厂级的部件/软件产品升级和扩容能力</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141</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服务保障升级</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供应商有偿提供远程技术支持、软件授权服务、备件更换服务、现场支承服务</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142</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*提供上门服务</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是</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供应商具备提供上门服务的能力( )</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143</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服务要求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业务场景性能优化服务及整体架构升级服务</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供应商提供针对特定业务场景性能优化服务及整体架构升级服务</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144</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供保要求</w:t>
            </w:r>
            <w:r>
              <w:rPr>
                <w:rFonts w:ascii="宋体" w:hAnsi="宋体"/>
                <w:color w:val="000000"/>
              </w:rPr>
            </w:r>
            <w:r/>
          </w:p>
        </w:tc>
        <w:tc>
          <w:tcPr>
            <w:tcW w:w="1278"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*供应链质量</w:t>
            </w: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*抗干扰性</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当产品部件出现供应风险时，应通知客户并提供风险应对方案确保产品的服务保障，必要时应停止相关受影响产品的销售</w:t>
            </w:r>
            <w:r>
              <w:rPr>
                <w:rFonts w:ascii="宋体" w:hAnsi="宋体"/>
                <w:color w:val="000000"/>
              </w:rPr>
            </w:r>
            <w:r/>
          </w:p>
        </w:tc>
      </w:tr>
      <w:tr>
        <w:trPr/>
        <w:tc>
          <w:tcPr>
            <w:tcW w:w="1005" w:type="dxa"/>
            <w:vAlign w:val="center"/>
            <w:textDirection w:val="lrTb"/>
            <w:noWrap w:val="false"/>
          </w:tcPr>
          <w:p>
            <w:pPr>
              <w:pStyle w:val="734"/>
              <w:ind w:right="93"/>
              <w:jc w:val="center"/>
              <w:spacing w:line="220" w:lineRule="exact"/>
              <w:rPr>
                <w:rFonts w:ascii="宋体" w:hAnsi="宋体" w:cs="黑体"/>
                <w:color w:val="000000"/>
              </w:rPr>
            </w:pPr>
            <w:r>
              <w:rPr>
                <w:rFonts w:ascii="宋体" w:hAnsi="宋体" w:cs="黑体"/>
                <w:color w:val="000000"/>
              </w:rPr>
              <w:t xml:space="preserve">145</w:t>
            </w:r>
            <w:r/>
          </w:p>
        </w:tc>
        <w:tc>
          <w:tcPr>
            <w:tcW w:w="1376" w:type="dxa"/>
            <w:vAlign w:val="center"/>
            <w:textDirection w:val="lrTb"/>
            <w:noWrap w:val="false"/>
          </w:tcPr>
          <w:p>
            <w:pPr>
              <w:pStyle w:val="734"/>
              <w:ind w:firstLine="360"/>
              <w:spacing w:line="220" w:lineRule="exact"/>
              <w:rPr>
                <w:rFonts w:ascii="宋体" w:hAnsi="宋体"/>
                <w:color w:val="000000"/>
              </w:rPr>
            </w:pPr>
            <w:r>
              <w:rPr>
                <w:rFonts w:ascii="宋体" w:hAnsi="宋体" w:cs="黑体"/>
                <w:color w:val="000000"/>
              </w:rPr>
              <w:t xml:space="preserve">供保要求</w:t>
            </w:r>
            <w:r>
              <w:rPr>
                <w:rFonts w:ascii="宋体" w:hAnsi="宋体"/>
                <w:color w:val="000000"/>
              </w:rPr>
            </w:r>
            <w:r/>
          </w:p>
        </w:tc>
        <w:tc>
          <w:tcPr>
            <w:tcW w:w="1278" w:type="dxa"/>
            <w:vAlign w:val="center"/>
            <w:textDirection w:val="lrTb"/>
            <w:noWrap w:val="false"/>
          </w:tcPr>
          <w:p>
            <w:pPr>
              <w:pStyle w:val="734"/>
              <w:ind w:firstLine="360"/>
              <w:spacing w:after="160" w:line="220" w:lineRule="exact"/>
              <w:rPr>
                <w:rFonts w:ascii="宋体" w:hAnsi="宋体"/>
                <w:color w:val="000000"/>
              </w:rPr>
            </w:pPr>
            <w:r>
              <w:rPr>
                <w:rFonts w:ascii="宋体" w:hAnsi="宋体"/>
                <w:color w:val="000000"/>
              </w:rPr>
            </w:r>
            <w:r/>
          </w:p>
        </w:tc>
        <w:tc>
          <w:tcPr>
            <w:tcW w:w="1133" w:type="dxa"/>
            <w:vAlign w:val="center"/>
            <w:textDirection w:val="lrTb"/>
            <w:noWrap w:val="false"/>
          </w:tcPr>
          <w:p>
            <w:pPr>
              <w:pStyle w:val="734"/>
              <w:spacing w:line="220" w:lineRule="exact"/>
              <w:rPr>
                <w:rFonts w:ascii="宋体" w:hAnsi="宋体"/>
                <w:color w:val="000000"/>
              </w:rPr>
            </w:pPr>
            <w:r>
              <w:rPr>
                <w:rFonts w:ascii="宋体" w:hAnsi="宋体" w:cs="黑体"/>
                <w:color w:val="000000"/>
              </w:rPr>
              <w:t xml:space="preserve">*供应能力证明</w:t>
            </w:r>
            <w:r>
              <w:rPr>
                <w:rFonts w:ascii="宋体" w:hAnsi="宋体"/>
                <w:color w:val="000000"/>
              </w:rPr>
            </w:r>
            <w:r/>
          </w:p>
        </w:tc>
        <w:tc>
          <w:tcPr>
            <w:tcW w:w="1135" w:type="dxa"/>
            <w:vAlign w:val="center"/>
            <w:textDirection w:val="lrTb"/>
            <w:noWrap w:val="false"/>
          </w:tcPr>
          <w:p>
            <w:pPr>
              <w:pStyle w:val="734"/>
              <w:spacing w:line="220" w:lineRule="exact"/>
              <w:rPr>
                <w:rFonts w:ascii="宋体" w:hAnsi="宋体"/>
                <w:color w:val="000000"/>
              </w:rPr>
            </w:pPr>
            <w:r>
              <w:rPr>
                <w:rFonts w:ascii="宋体" w:hAnsi="宋体"/>
                <w:color w:val="000000"/>
              </w:rPr>
              <w:t xml:space="preserve">否</w:t>
            </w:r>
            <w:r/>
          </w:p>
        </w:tc>
        <w:tc>
          <w:tcPr>
            <w:tcW w:w="3708" w:type="dxa"/>
            <w:vAlign w:val="center"/>
            <w:textDirection w:val="lrTb"/>
            <w:noWrap w:val="false"/>
          </w:tcPr>
          <w:p>
            <w:pPr>
              <w:pStyle w:val="734"/>
              <w:ind w:left="1" w:firstLine="360"/>
              <w:spacing w:line="220" w:lineRule="exact"/>
              <w:rPr>
                <w:rFonts w:ascii="宋体" w:hAnsi="宋体"/>
                <w:color w:val="000000"/>
              </w:rPr>
            </w:pPr>
            <w:r>
              <w:rPr>
                <w:rFonts w:ascii="宋体" w:hAnsi="宋体" w:cs="黑体"/>
                <w:color w:val="000000"/>
              </w:rPr>
              <w:t xml:space="preserve">供应商提供供应链稳定承诺书，确保产品的部件在产品服务周期内稳定供货</w:t>
            </w:r>
            <w:r>
              <w:rPr>
                <w:rFonts w:ascii="宋体" w:hAnsi="宋体"/>
                <w:color w:val="000000"/>
              </w:rPr>
            </w:r>
            <w:r/>
          </w:p>
        </w:tc>
      </w:tr>
    </w:tbl>
    <w:p>
      <w:pPr>
        <w:pStyle w:val="734"/>
        <w:ind w:left="-5"/>
        <w:rPr>
          <w:color w:val="000000"/>
          <w:sz w:val="24"/>
          <w:szCs w:val="24"/>
        </w:rPr>
      </w:pPr>
      <w:r>
        <w:rPr>
          <w:color w:val="000000"/>
          <w:sz w:val="24"/>
          <w:szCs w:val="24"/>
        </w:rPr>
      </w:r>
      <w:r/>
    </w:p>
    <w:p>
      <w:pPr>
        <w:pStyle w:val="738"/>
        <w:rPr>
          <w:rFonts w:ascii="宋体" w:hAnsi="宋体" w:eastAsia="宋体"/>
          <w:color w:val="000000"/>
          <w:sz w:val="24"/>
          <w:szCs w:val="24"/>
        </w:rPr>
      </w:pPr>
      <w:r>
        <w:rPr>
          <w:rFonts w:hint="eastAsia" w:ascii="宋体" w:hAnsi="宋体" w:eastAsia="宋体"/>
          <w:color w:val="000000"/>
          <w:sz w:val="24"/>
          <w:szCs w:val="24"/>
        </w:rPr>
        <w:t xml:space="preserve">4.6 内存条</w:t>
      </w:r>
      <w:r>
        <w:rPr>
          <w:rFonts w:ascii="宋体" w:hAnsi="宋体" w:eastAsia="宋体"/>
          <w:color w:val="000000"/>
          <w:sz w:val="24"/>
          <w:szCs w:val="24"/>
        </w:rPr>
        <w:t xml:space="preserve"> 120</w:t>
      </w:r>
      <w:r>
        <w:rPr>
          <w:rFonts w:hint="eastAsia" w:ascii="宋体" w:hAnsi="宋体" w:eastAsia="宋体"/>
          <w:color w:val="000000"/>
          <w:sz w:val="24"/>
          <w:szCs w:val="24"/>
        </w:rPr>
        <w:t xml:space="preserve">根</w:t>
      </w:r>
      <w:r>
        <w:rPr>
          <w:rFonts w:ascii="宋体" w:hAnsi="宋体" w:eastAsia="宋体"/>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7" w:type="dxa"/>
          <w:top w:w="42" w:type="dxa"/>
          <w:right w:w="108" w:type="dxa"/>
          <w:bottom w:w="0" w:type="dxa"/>
        </w:tblCellMar>
        <w:tblLook w:val="04A0" w:firstRow="1" w:lastRow="0" w:firstColumn="1" w:lastColumn="0" w:noHBand="0" w:noVBand="1"/>
      </w:tblPr>
      <w:tblGrid>
        <w:gridCol w:w="796"/>
        <w:gridCol w:w="1214"/>
        <w:gridCol w:w="1154"/>
        <w:gridCol w:w="1261"/>
        <w:gridCol w:w="2488"/>
        <w:gridCol w:w="2146"/>
      </w:tblGrid>
      <w:tr>
        <w:trPr>
          <w:trHeight w:val="567"/>
        </w:trPr>
        <w:tc>
          <w:tcPr>
            <w:tcW w:w="796" w:type="dxa"/>
            <w:vAlign w:val="center"/>
            <w:textDirection w:val="lrTb"/>
            <w:noWrap w:val="false"/>
          </w:tcPr>
          <w:p>
            <w:pPr>
              <w:pStyle w:val="734"/>
              <w:ind w:left="70"/>
              <w:rPr>
                <w:rFonts w:ascii="宋体" w:hAnsi="宋体"/>
                <w:b/>
                <w:color w:val="000000"/>
              </w:rPr>
            </w:pPr>
            <w:r>
              <w:rPr>
                <w:rFonts w:ascii="宋体" w:hAnsi="宋体" w:cs="黑体"/>
                <w:b/>
                <w:color w:val="000000"/>
              </w:rPr>
              <w:t xml:space="preserve">序号</w:t>
            </w:r>
            <w:r>
              <w:rPr>
                <w:rFonts w:ascii="宋体" w:hAnsi="宋体"/>
                <w:b/>
                <w:color w:val="000000"/>
              </w:rPr>
            </w:r>
            <w:r/>
          </w:p>
        </w:tc>
        <w:tc>
          <w:tcPr>
            <w:tcW w:w="1214" w:type="dxa"/>
            <w:vAlign w:val="center"/>
            <w:textDirection w:val="lrTb"/>
            <w:noWrap w:val="false"/>
          </w:tcPr>
          <w:p>
            <w:pPr>
              <w:pStyle w:val="734"/>
              <w:ind w:left="49"/>
              <w:rPr>
                <w:rFonts w:ascii="宋体" w:hAnsi="宋体"/>
                <w:b/>
                <w:color w:val="000000"/>
              </w:rPr>
            </w:pPr>
            <w:r>
              <w:rPr>
                <w:rFonts w:ascii="宋体" w:hAnsi="宋体" w:cs="黑体"/>
                <w:b/>
                <w:color w:val="000000"/>
              </w:rPr>
              <w:t xml:space="preserve">指标分类</w:t>
            </w:r>
            <w:r>
              <w:rPr>
                <w:rFonts w:ascii="宋体" w:hAnsi="宋体"/>
                <w:b/>
                <w:color w:val="000000"/>
              </w:rPr>
            </w:r>
            <w:r/>
          </w:p>
        </w:tc>
        <w:tc>
          <w:tcPr>
            <w:tcW w:w="1154" w:type="dxa"/>
            <w:vAlign w:val="center"/>
            <w:textDirection w:val="lrTb"/>
            <w:noWrap w:val="false"/>
          </w:tcPr>
          <w:p>
            <w:pPr>
              <w:pStyle w:val="734"/>
              <w:rPr>
                <w:rFonts w:ascii="宋体" w:hAnsi="宋体"/>
                <w:b/>
                <w:color w:val="000000"/>
              </w:rPr>
            </w:pPr>
            <w:r>
              <w:rPr>
                <w:rFonts w:ascii="宋体" w:hAnsi="宋体" w:cs="黑体"/>
                <w:b/>
                <w:color w:val="000000"/>
              </w:rPr>
              <w:t xml:space="preserve">一级指标</w:t>
            </w:r>
            <w:r>
              <w:rPr>
                <w:rFonts w:ascii="宋体" w:hAnsi="宋体"/>
                <w:b/>
                <w:color w:val="000000"/>
              </w:rPr>
            </w:r>
            <w:r/>
          </w:p>
        </w:tc>
        <w:tc>
          <w:tcPr>
            <w:tcW w:w="1261" w:type="dxa"/>
            <w:vAlign w:val="center"/>
            <w:textDirection w:val="lrTb"/>
            <w:noWrap w:val="false"/>
          </w:tcPr>
          <w:p>
            <w:pPr>
              <w:pStyle w:val="734"/>
              <w:ind w:left="39"/>
              <w:rPr>
                <w:rFonts w:ascii="宋体" w:hAnsi="宋体"/>
                <w:b/>
                <w:color w:val="000000"/>
              </w:rPr>
            </w:pPr>
            <w:r>
              <w:rPr>
                <w:rFonts w:ascii="宋体" w:hAnsi="宋体" w:cs="黑体"/>
                <w:b/>
                <w:color w:val="000000"/>
              </w:rPr>
              <w:t xml:space="preserve">二级指标 </w:t>
            </w:r>
            <w:r>
              <w:rPr>
                <w:rFonts w:ascii="宋体" w:hAnsi="宋体"/>
                <w:b/>
                <w:color w:val="000000"/>
              </w:rPr>
            </w:r>
            <w:r/>
          </w:p>
        </w:tc>
        <w:tc>
          <w:tcPr>
            <w:tcW w:w="2488" w:type="dxa"/>
            <w:vAlign w:val="center"/>
            <w:textDirection w:val="lrTb"/>
            <w:noWrap w:val="false"/>
          </w:tcPr>
          <w:p>
            <w:pPr>
              <w:pStyle w:val="734"/>
              <w:rPr>
                <w:rFonts w:ascii="宋体" w:hAnsi="宋体" w:cs="黑体"/>
                <w:b/>
                <w:color w:val="000000"/>
              </w:rPr>
            </w:pPr>
            <w:r>
              <w:rPr>
                <w:rFonts w:ascii="宋体" w:hAnsi="宋体" w:cs="黑体"/>
                <w:b/>
                <w:color w:val="000000"/>
              </w:rPr>
              <w:t xml:space="preserve">是否可以作为评分因素</w:t>
            </w:r>
            <w:r/>
          </w:p>
        </w:tc>
        <w:tc>
          <w:tcPr>
            <w:tcW w:w="2146" w:type="dxa"/>
            <w:vAlign w:val="center"/>
            <w:textDirection w:val="lrTb"/>
            <w:noWrap w:val="false"/>
          </w:tcPr>
          <w:p>
            <w:pPr>
              <w:pStyle w:val="734"/>
              <w:ind w:left="2" w:firstLine="360"/>
              <w:jc w:val="center"/>
              <w:rPr>
                <w:rFonts w:ascii="宋体" w:hAnsi="宋体"/>
                <w:b/>
                <w:color w:val="000000"/>
              </w:rPr>
            </w:pPr>
            <w:r>
              <w:rPr>
                <w:rFonts w:ascii="宋体" w:hAnsi="宋体" w:cs="黑体"/>
                <w:b/>
                <w:color w:val="000000"/>
              </w:rPr>
              <w:t xml:space="preserve">指标要求</w:t>
            </w:r>
            <w:r>
              <w:rPr>
                <w:rFonts w:ascii="宋体" w:hAnsi="宋体"/>
                <w:b/>
                <w:color w:val="000000"/>
              </w:rPr>
            </w:r>
            <w:r/>
          </w:p>
        </w:tc>
      </w:tr>
      <w:tr>
        <w:trPr>
          <w:trHeight w:val="567"/>
        </w:trPr>
        <w:tc>
          <w:tcPr>
            <w:tcW w:w="796" w:type="dxa"/>
            <w:vAlign w:val="center"/>
            <w:textDirection w:val="lrTb"/>
            <w:noWrap w:val="false"/>
          </w:tcPr>
          <w:p>
            <w:pPr>
              <w:pStyle w:val="734"/>
              <w:ind w:right="69" w:firstLine="360"/>
              <w:jc w:val="center"/>
              <w:rPr>
                <w:rFonts w:ascii="宋体" w:hAnsi="宋体"/>
                <w:color w:val="000000"/>
              </w:rPr>
            </w:pPr>
            <w:r>
              <w:rPr>
                <w:rFonts w:ascii="宋体" w:hAnsi="宋体" w:cs="黑体"/>
                <w:color w:val="000000"/>
              </w:rPr>
              <w:t xml:space="preserve">1</w:t>
            </w:r>
            <w:r>
              <w:rPr>
                <w:rFonts w:ascii="宋体" w:hAnsi="宋体"/>
                <w:color w:val="000000"/>
              </w:rPr>
            </w:r>
            <w:r/>
          </w:p>
        </w:tc>
        <w:tc>
          <w:tcPr>
            <w:tcW w:w="1214" w:type="dxa"/>
            <w:vAlign w:val="center"/>
            <w:textDirection w:val="lrTb"/>
            <w:noWrap w:val="false"/>
          </w:tcPr>
          <w:p>
            <w:pPr>
              <w:pStyle w:val="734"/>
              <w:jc w:val="center"/>
              <w:rPr>
                <w:rFonts w:ascii="宋体" w:hAnsi="宋体"/>
                <w:color w:val="000000"/>
              </w:rPr>
            </w:pPr>
            <w:r>
              <w:rPr>
                <w:rFonts w:ascii="宋体" w:hAnsi="宋体" w:cs="黑体"/>
                <w:color w:val="000000"/>
              </w:rPr>
              <w:t xml:space="preserve">产品规格</w:t>
            </w:r>
            <w:r>
              <w:rPr>
                <w:rFonts w:ascii="宋体" w:hAnsi="宋体"/>
                <w:color w:val="000000"/>
              </w:rPr>
            </w:r>
            <w:r/>
          </w:p>
        </w:tc>
        <w:tc>
          <w:tcPr>
            <w:tcW w:w="1154" w:type="dxa"/>
            <w:vAlign w:val="center"/>
            <w:textDirection w:val="lrTb"/>
            <w:noWrap w:val="false"/>
          </w:tcPr>
          <w:p>
            <w:pPr>
              <w:pStyle w:val="734"/>
              <w:jc w:val="center"/>
              <w:rPr>
                <w:rFonts w:ascii="宋体" w:hAnsi="宋体"/>
                <w:color w:val="000000"/>
              </w:rPr>
            </w:pPr>
            <w:r>
              <w:rPr>
                <w:rFonts w:ascii="宋体" w:hAnsi="宋体" w:cs="黑体"/>
                <w:color w:val="000000"/>
              </w:rPr>
              <w:t xml:space="preserve">内存规格</w:t>
            </w:r>
            <w:r>
              <w:rPr>
                <w:rFonts w:ascii="宋体" w:hAnsi="宋体"/>
                <w:color w:val="000000"/>
              </w:rPr>
            </w:r>
            <w:r/>
          </w:p>
        </w:tc>
        <w:tc>
          <w:tcPr>
            <w:tcW w:w="1261" w:type="dxa"/>
            <w:vAlign w:val="center"/>
            <w:textDirection w:val="lrTb"/>
            <w:noWrap w:val="false"/>
          </w:tcPr>
          <w:p>
            <w:pPr>
              <w:pStyle w:val="734"/>
              <w:jc w:val="center"/>
              <w:rPr>
                <w:rFonts w:ascii="宋体" w:hAnsi="宋体"/>
                <w:color w:val="000000"/>
              </w:rPr>
            </w:pPr>
            <w:r>
              <w:rPr>
                <w:rFonts w:ascii="宋体" w:hAnsi="宋体" w:cs="黑体"/>
                <w:color w:val="000000"/>
              </w:rPr>
              <w:t xml:space="preserve">*内存数量</w:t>
            </w:r>
            <w:r>
              <w:rPr>
                <w:rFonts w:ascii="宋体" w:hAnsi="宋体"/>
                <w:color w:val="000000"/>
              </w:rPr>
            </w:r>
            <w:r/>
          </w:p>
        </w:tc>
        <w:tc>
          <w:tcPr>
            <w:tcW w:w="2488" w:type="dxa"/>
            <w:vAlign w:val="center"/>
            <w:textDirection w:val="lrTb"/>
            <w:noWrap w:val="false"/>
          </w:tcPr>
          <w:p>
            <w:pPr>
              <w:pStyle w:val="734"/>
              <w:ind w:right="68" w:firstLine="360"/>
              <w:jc w:val="left"/>
              <w:rPr>
                <w:rFonts w:ascii="宋体" w:hAnsi="宋体"/>
                <w:color w:val="000000"/>
              </w:rPr>
            </w:pPr>
            <w:r>
              <w:rPr>
                <w:rFonts w:ascii="宋体" w:hAnsi="宋体" w:cs="黑体"/>
                <w:color w:val="000000"/>
              </w:rPr>
              <w:t xml:space="preserve">否</w:t>
            </w:r>
            <w:r>
              <w:rPr>
                <w:rFonts w:ascii="宋体" w:hAnsi="宋体"/>
                <w:color w:val="000000"/>
              </w:rPr>
            </w:r>
            <w:r/>
          </w:p>
        </w:tc>
        <w:tc>
          <w:tcPr>
            <w:tcW w:w="2146" w:type="dxa"/>
            <w:vAlign w:val="center"/>
            <w:textDirection w:val="lrTb"/>
            <w:noWrap w:val="false"/>
          </w:tcPr>
          <w:p>
            <w:pPr>
              <w:pStyle w:val="734"/>
              <w:ind w:left="1" w:firstLine="360"/>
              <w:jc w:val="center"/>
              <w:rPr>
                <w:rFonts w:ascii="宋体" w:hAnsi="宋体"/>
                <w:color w:val="000000"/>
              </w:rPr>
            </w:pPr>
            <w:r>
              <w:rPr>
                <w:rFonts w:hint="eastAsia" w:ascii="宋体" w:hAnsi="宋体" w:cs="黑体"/>
                <w:color w:val="000000"/>
              </w:rPr>
              <w:t xml:space="preserve">1</w:t>
            </w:r>
            <w:r>
              <w:rPr>
                <w:rFonts w:ascii="宋体" w:hAnsi="宋体" w:cs="黑体"/>
                <w:color w:val="000000"/>
              </w:rPr>
              <w:t xml:space="preserve">20</w:t>
            </w:r>
            <w:r>
              <w:rPr>
                <w:rFonts w:hint="eastAsia" w:ascii="宋体" w:hAnsi="宋体" w:cs="黑体"/>
                <w:color w:val="000000"/>
              </w:rPr>
              <w:t xml:space="preserve">根</w:t>
            </w:r>
            <w:r>
              <w:rPr>
                <w:rFonts w:ascii="宋体" w:hAnsi="宋体"/>
                <w:color w:val="000000"/>
              </w:rPr>
            </w:r>
            <w:r/>
          </w:p>
        </w:tc>
      </w:tr>
      <w:tr>
        <w:trPr>
          <w:trHeight w:val="567"/>
        </w:trPr>
        <w:tc>
          <w:tcPr>
            <w:tcW w:w="796" w:type="dxa"/>
            <w:vAlign w:val="center"/>
            <w:textDirection w:val="lrTb"/>
            <w:noWrap w:val="false"/>
          </w:tcPr>
          <w:p>
            <w:pPr>
              <w:pStyle w:val="734"/>
              <w:ind w:right="69" w:firstLine="360"/>
              <w:jc w:val="center"/>
              <w:rPr>
                <w:rFonts w:ascii="宋体" w:hAnsi="宋体"/>
                <w:color w:val="000000"/>
              </w:rPr>
            </w:pPr>
            <w:r>
              <w:rPr>
                <w:rFonts w:hint="eastAsia" w:ascii="宋体" w:hAnsi="宋体"/>
                <w:color w:val="000000"/>
              </w:rPr>
              <w:t xml:space="preserve">2</w:t>
            </w:r>
            <w:r>
              <w:rPr>
                <w:rFonts w:ascii="宋体" w:hAnsi="宋体"/>
                <w:color w:val="000000"/>
              </w:rPr>
            </w:r>
            <w:r/>
          </w:p>
        </w:tc>
        <w:tc>
          <w:tcPr>
            <w:tcW w:w="1214" w:type="dxa"/>
            <w:vAlign w:val="center"/>
            <w:textDirection w:val="lrTb"/>
            <w:noWrap w:val="false"/>
          </w:tcPr>
          <w:p>
            <w:pPr>
              <w:pStyle w:val="734"/>
              <w:jc w:val="center"/>
              <w:rPr>
                <w:rFonts w:ascii="宋体" w:hAnsi="宋体"/>
                <w:color w:val="000000"/>
              </w:rPr>
            </w:pPr>
            <w:r>
              <w:rPr>
                <w:rFonts w:ascii="宋体" w:hAnsi="宋体" w:cs="黑体"/>
                <w:color w:val="000000"/>
              </w:rPr>
              <w:t xml:space="preserve">产品规格</w:t>
            </w:r>
            <w:r>
              <w:rPr>
                <w:rFonts w:ascii="宋体" w:hAnsi="宋体"/>
                <w:color w:val="000000"/>
              </w:rPr>
            </w:r>
            <w:r/>
          </w:p>
        </w:tc>
        <w:tc>
          <w:tcPr>
            <w:tcW w:w="1154" w:type="dxa"/>
            <w:vAlign w:val="center"/>
            <w:textDirection w:val="lrTb"/>
            <w:noWrap w:val="false"/>
          </w:tcPr>
          <w:p>
            <w:pPr>
              <w:pStyle w:val="734"/>
              <w:ind w:firstLine="360"/>
              <w:jc w:val="center"/>
              <w:spacing w:after="160"/>
              <w:rPr>
                <w:rFonts w:ascii="宋体" w:hAnsi="宋体"/>
                <w:color w:val="000000"/>
              </w:rPr>
            </w:pPr>
            <w:r>
              <w:rPr>
                <w:rFonts w:ascii="宋体" w:hAnsi="宋体"/>
                <w:color w:val="000000"/>
              </w:rPr>
            </w:r>
            <w:r/>
          </w:p>
        </w:tc>
        <w:tc>
          <w:tcPr>
            <w:tcW w:w="1261" w:type="dxa"/>
            <w:vAlign w:val="center"/>
            <w:textDirection w:val="lrTb"/>
            <w:noWrap w:val="false"/>
          </w:tcPr>
          <w:p>
            <w:pPr>
              <w:pStyle w:val="734"/>
              <w:jc w:val="center"/>
              <w:rPr>
                <w:rFonts w:ascii="宋体" w:hAnsi="宋体"/>
                <w:color w:val="000000"/>
              </w:rPr>
            </w:pPr>
            <w:r>
              <w:rPr>
                <w:rFonts w:ascii="宋体" w:hAnsi="宋体" w:cs="黑体"/>
                <w:color w:val="000000"/>
              </w:rPr>
              <w:t xml:space="preserve">*内存规格</w:t>
            </w:r>
            <w:r>
              <w:rPr>
                <w:rFonts w:ascii="宋体" w:hAnsi="宋体"/>
                <w:color w:val="000000"/>
              </w:rPr>
            </w:r>
            <w:r/>
          </w:p>
        </w:tc>
        <w:tc>
          <w:tcPr>
            <w:tcW w:w="2488" w:type="dxa"/>
            <w:vAlign w:val="center"/>
            <w:textDirection w:val="lrTb"/>
            <w:noWrap w:val="false"/>
          </w:tcPr>
          <w:p>
            <w:pPr>
              <w:pStyle w:val="734"/>
              <w:ind w:right="68" w:firstLine="360"/>
              <w:jc w:val="left"/>
              <w:rPr>
                <w:rFonts w:ascii="宋体" w:hAnsi="宋体"/>
                <w:color w:val="000000"/>
              </w:rPr>
            </w:pPr>
            <w:r>
              <w:rPr>
                <w:rFonts w:ascii="宋体" w:hAnsi="宋体" w:cs="黑体"/>
                <w:color w:val="000000"/>
              </w:rPr>
              <w:t xml:space="preserve">否</w:t>
            </w:r>
            <w:r>
              <w:rPr>
                <w:rFonts w:ascii="宋体" w:hAnsi="宋体"/>
                <w:color w:val="000000"/>
              </w:rPr>
            </w:r>
            <w:r/>
          </w:p>
        </w:tc>
        <w:tc>
          <w:tcPr>
            <w:tcW w:w="2146" w:type="dxa"/>
            <w:vAlign w:val="center"/>
            <w:textDirection w:val="lrTb"/>
            <w:noWrap w:val="false"/>
          </w:tcPr>
          <w:p>
            <w:pPr>
              <w:pStyle w:val="734"/>
              <w:ind w:firstLine="360"/>
              <w:jc w:val="center"/>
              <w:rPr>
                <w:rFonts w:ascii="宋体" w:hAnsi="宋体"/>
                <w:color w:val="000000"/>
              </w:rPr>
            </w:pPr>
            <w:r>
              <w:rPr>
                <w:rFonts w:ascii="宋体" w:hAnsi="宋体" w:cs="黑体"/>
                <w:color w:val="000000"/>
              </w:rPr>
              <w:t xml:space="preserve">DDR4 32GB 2933GH</w:t>
            </w:r>
            <w:r>
              <w:rPr>
                <w:rFonts w:hint="eastAsia" w:ascii="宋体" w:hAnsi="宋体" w:cs="黑体"/>
                <w:color w:val="000000"/>
              </w:rPr>
              <w:t xml:space="preserve">z</w:t>
            </w:r>
            <w:r>
              <w:rPr>
                <w:rFonts w:ascii="宋体" w:hAnsi="宋体"/>
                <w:color w:val="000000"/>
              </w:rPr>
            </w:r>
            <w:r/>
          </w:p>
        </w:tc>
      </w:tr>
    </w:tbl>
    <w:p>
      <w:pPr>
        <w:pStyle w:val="734"/>
        <w:ind w:left="-5"/>
        <w:jc w:val="center"/>
        <w:rPr>
          <w:color w:val="000000"/>
          <w:sz w:val="24"/>
          <w:szCs w:val="24"/>
        </w:rPr>
      </w:pPr>
      <w:r>
        <w:rPr>
          <w:color w:val="000000"/>
          <w:sz w:val="24"/>
          <w:szCs w:val="24"/>
        </w:rPr>
      </w:r>
      <w:r/>
    </w:p>
    <w:p>
      <w:pPr>
        <w:pStyle w:val="734"/>
        <w:rPr>
          <w:rFonts w:ascii="宋体" w:hAnsi="宋体"/>
          <w:b/>
          <w:bCs/>
          <w:color w:val="000000"/>
          <w:sz w:val="24"/>
          <w:szCs w:val="24"/>
        </w:rPr>
      </w:pPr>
      <w:r>
        <w:rPr>
          <w:rFonts w:ascii="宋体" w:hAnsi="宋体"/>
          <w:b/>
          <w:bCs/>
          <w:color w:val="000000"/>
          <w:sz w:val="24"/>
          <w:szCs w:val="24"/>
        </w:rPr>
      </w:r>
      <w:r/>
    </w:p>
    <w:p>
      <w:pPr>
        <w:pStyle w:val="734"/>
        <w:rPr>
          <w:rFonts w:ascii="宋体" w:hAnsi="宋体"/>
          <w:b/>
          <w:bCs/>
          <w:color w:val="000000"/>
          <w:sz w:val="24"/>
          <w:szCs w:val="24"/>
        </w:rPr>
      </w:pPr>
      <w:r>
        <w:rPr>
          <w:rFonts w:hint="eastAsia" w:ascii="宋体" w:hAnsi="宋体"/>
          <w:b/>
          <w:bCs/>
          <w:color w:val="000000"/>
          <w:sz w:val="24"/>
          <w:szCs w:val="24"/>
        </w:rPr>
        <w:t xml:space="preserve">相关服务</w:t>
      </w:r>
      <w:r>
        <w:rPr>
          <w:rFonts w:ascii="宋体" w:hAnsi="宋体"/>
          <w:b/>
          <w:bCs/>
          <w:color w:val="000000"/>
          <w:sz w:val="24"/>
          <w:szCs w:val="24"/>
        </w:rPr>
      </w:r>
      <w:r/>
    </w:p>
    <w:p>
      <w:pPr>
        <w:pStyle w:val="734"/>
        <w:rPr>
          <w:rFonts w:ascii="宋体" w:hAnsi="宋体"/>
          <w:b/>
          <w:bCs/>
          <w:color w:val="000000"/>
          <w:sz w:val="24"/>
          <w:szCs w:val="24"/>
        </w:rPr>
      </w:pPr>
      <w:r>
        <w:rPr>
          <w:rFonts w:hint="eastAsia" w:ascii="宋体" w:hAnsi="宋体"/>
          <w:b/>
          <w:bCs/>
          <w:color w:val="000000"/>
          <w:sz w:val="24"/>
          <w:szCs w:val="24"/>
        </w:rPr>
        <w:t xml:space="preserve">1.设备采购、</w:t>
      </w:r>
      <w:r>
        <w:rPr>
          <w:rFonts w:ascii="宋体" w:hAnsi="宋体"/>
          <w:b/>
          <w:bCs/>
          <w:color w:val="000000"/>
          <w:sz w:val="24"/>
          <w:szCs w:val="24"/>
        </w:rPr>
        <w:t xml:space="preserve">安装调试</w:t>
      </w:r>
      <w:r>
        <w:rPr>
          <w:rFonts w:hint="eastAsia" w:ascii="宋体" w:hAnsi="宋体"/>
          <w:b/>
          <w:bCs/>
          <w:color w:val="000000"/>
          <w:sz w:val="24"/>
          <w:szCs w:val="24"/>
        </w:rPr>
        <w:t xml:space="preserve">服务</w:t>
      </w:r>
      <w:r>
        <w:rPr>
          <w:rFonts w:ascii="宋体" w:hAnsi="宋体"/>
          <w:b/>
          <w:bCs/>
          <w:color w:val="000000"/>
          <w:sz w:val="24"/>
          <w:szCs w:val="24"/>
        </w:rPr>
      </w:r>
      <w:r/>
    </w:p>
    <w:p>
      <w:pPr>
        <w:pStyle w:val="734"/>
        <w:ind w:firstLine="482"/>
        <w:spacing w:line="440" w:lineRule="exact"/>
        <w:rPr>
          <w:rFonts w:ascii="宋体" w:hAnsi="宋体"/>
          <w:color w:val="000000"/>
          <w:sz w:val="24"/>
          <w:szCs w:val="24"/>
        </w:rPr>
      </w:pPr>
      <w:r>
        <w:rPr>
          <w:rFonts w:hint="eastAsia" w:ascii="宋体" w:hAnsi="宋体"/>
          <w:color w:val="000000"/>
          <w:sz w:val="24"/>
          <w:szCs w:val="24"/>
        </w:rPr>
        <w:t xml:space="preserve">本次采购是对采购人现有硬件资源池进行扩容改造，实施过程中有义务配合采购人部署调试相关系统，对采购人在安全、稳定、兼容等方面的关注予以充分理解。供应商必须满足本项目要求的所有功能，有义务保证采购人系统的完整性。</w:t>
      </w:r>
      <w:r>
        <w:rPr>
          <w:rFonts w:ascii="宋体" w:hAnsi="宋体"/>
          <w:color w:val="000000"/>
          <w:sz w:val="24"/>
          <w:szCs w:val="24"/>
        </w:rPr>
      </w:r>
      <w:r/>
    </w:p>
    <w:p>
      <w:pPr>
        <w:pStyle w:val="734"/>
        <w:ind w:firstLine="482"/>
        <w:spacing w:line="440" w:lineRule="exact"/>
        <w:rPr>
          <w:rFonts w:ascii="宋体" w:hAnsi="宋体"/>
          <w:color w:val="000000"/>
          <w:sz w:val="24"/>
          <w:szCs w:val="24"/>
        </w:rPr>
      </w:pPr>
      <w:r>
        <w:rPr>
          <w:rFonts w:hint="eastAsia" w:ascii="宋体" w:hAnsi="宋体"/>
          <w:color w:val="000000"/>
          <w:sz w:val="24"/>
          <w:szCs w:val="24"/>
        </w:rPr>
        <w:t xml:space="preserve">中标人须在按照本招标文件要求时限内完成软硬件到采购人指定地点的供货及所有安装服务并投入运行。中标人须确保产品的数量、产品的完整性、实用性，保证全部系统及时投入正常运行。若出现因中标人提供的产品的数量不足、性能不满足要求、不合理，或者其所提供的技术支持和服务不全面，而导致系统无法实现或不能完全实现的状况，中标人负全部责任并按合同进行违约赔偿。</w:t>
      </w:r>
      <w:r>
        <w:rPr>
          <w:rFonts w:ascii="宋体" w:hAnsi="宋体"/>
          <w:color w:val="000000"/>
          <w:sz w:val="24"/>
          <w:szCs w:val="24"/>
        </w:rPr>
      </w:r>
      <w:r/>
    </w:p>
    <w:p>
      <w:pPr>
        <w:pStyle w:val="734"/>
        <w:ind w:firstLine="482"/>
        <w:spacing w:line="440" w:lineRule="exact"/>
        <w:rPr>
          <w:rFonts w:ascii="宋体" w:hAnsi="宋体"/>
          <w:color w:val="000000"/>
          <w:sz w:val="24"/>
          <w:szCs w:val="24"/>
        </w:rPr>
      </w:pPr>
      <w:r>
        <w:rPr>
          <w:rFonts w:hint="eastAsia" w:ascii="宋体" w:hAnsi="宋体"/>
          <w:color w:val="000000"/>
          <w:sz w:val="24"/>
          <w:szCs w:val="24"/>
        </w:rPr>
        <w:t xml:space="preserve"> 中标人须根据采购人的需要，在规定的时间内，保证质量完成软硬件的安装、调试及投入运行。中标人须在施工前提供详细的施工方案，并提交采购人认可。软硬件安装、调试所需的工具、仪表及安装材料应由中标人自行解决。中标人须向采购人提交测试内容和方法。测试计划和技术内容由中标人拟定，经采购人确认。</w:t>
      </w:r>
      <w:r>
        <w:rPr>
          <w:rFonts w:ascii="宋体" w:hAnsi="宋体"/>
          <w:color w:val="000000"/>
          <w:sz w:val="24"/>
          <w:szCs w:val="24"/>
        </w:rPr>
      </w:r>
      <w:r/>
    </w:p>
    <w:p>
      <w:pPr>
        <w:pStyle w:val="734"/>
        <w:ind w:firstLine="482"/>
        <w:spacing w:line="440" w:lineRule="exact"/>
        <w:rPr>
          <w:rFonts w:ascii="宋体" w:hAnsi="宋体"/>
          <w:color w:val="000000"/>
          <w:sz w:val="24"/>
          <w:szCs w:val="24"/>
        </w:rPr>
      </w:pPr>
      <w:r>
        <w:rPr>
          <w:rFonts w:hint="eastAsia" w:ascii="宋体" w:hAnsi="宋体"/>
          <w:color w:val="000000"/>
          <w:sz w:val="24"/>
          <w:szCs w:val="24"/>
        </w:rPr>
        <w:t xml:space="preserve">到货后，采购人与中标人共同配合有关部门（监理单位）对所有产品进行开箱检查，出现损坏、数量不全或产品不对等问题时，由中标人负责解决。根据招标文件要求对本次所有软硬件的型号、规格、数量、包装及资料、文件（如装箱单、保修单、随箱介质等）进行验收。产品安装完成，由中标人制定测试方案并经采购人确认后，对产品的性能和配置进行测试检查，并形成测试报告。测试过程中出现产品性能指标或功能上不符合招标文件要求时，采购人有拒收的权利。</w:t>
      </w:r>
      <w:r>
        <w:rPr>
          <w:rFonts w:ascii="宋体" w:hAnsi="宋体"/>
          <w:color w:val="000000"/>
          <w:sz w:val="24"/>
          <w:szCs w:val="24"/>
        </w:rPr>
      </w:r>
      <w:r/>
    </w:p>
    <w:p>
      <w:pPr>
        <w:pStyle w:val="734"/>
        <w:ind w:firstLine="482"/>
        <w:spacing w:line="440" w:lineRule="exact"/>
        <w:rPr>
          <w:rFonts w:ascii="宋体" w:hAnsi="宋体"/>
          <w:color w:val="000000"/>
          <w:sz w:val="24"/>
          <w:szCs w:val="24"/>
        </w:rPr>
      </w:pPr>
      <w:r>
        <w:rPr>
          <w:rFonts w:hint="eastAsia" w:ascii="宋体" w:hAnsi="宋体"/>
          <w:color w:val="000000"/>
          <w:sz w:val="24"/>
          <w:szCs w:val="24"/>
        </w:rPr>
        <w:t xml:space="preserve">中标人必须在对其所提供的软硬件进行安装、测试、验收过程中提供和准备的技术文档。技术文件：中标人须向采购人提供产品的安装、运行、使用、测试、诊断和维修的技术文件。</w:t>
      </w:r>
      <w:r>
        <w:rPr>
          <w:rFonts w:ascii="宋体" w:hAnsi="宋体"/>
          <w:color w:val="000000"/>
          <w:sz w:val="24"/>
          <w:szCs w:val="24"/>
        </w:rPr>
      </w:r>
      <w:r/>
    </w:p>
    <w:p>
      <w:pPr>
        <w:pStyle w:val="734"/>
        <w:rPr>
          <w:rFonts w:ascii="宋体" w:hAnsi="宋体"/>
          <w:b/>
          <w:bCs/>
          <w:color w:val="000000"/>
          <w:sz w:val="24"/>
          <w:szCs w:val="24"/>
        </w:rPr>
      </w:pPr>
      <w:r>
        <w:rPr>
          <w:rFonts w:ascii="宋体" w:hAnsi="宋体"/>
          <w:b/>
          <w:bCs/>
          <w:color w:val="000000"/>
          <w:sz w:val="24"/>
          <w:szCs w:val="24"/>
        </w:rPr>
      </w:r>
      <w:r/>
    </w:p>
    <w:p>
      <w:pPr>
        <w:pStyle w:val="734"/>
        <w:rPr>
          <w:rFonts w:ascii="宋体" w:hAnsi="宋体"/>
          <w:b/>
          <w:bCs/>
          <w:color w:val="000000"/>
          <w:sz w:val="24"/>
          <w:szCs w:val="24"/>
        </w:rPr>
      </w:pPr>
      <w:r>
        <w:rPr>
          <w:rFonts w:hint="eastAsia" w:ascii="宋体" w:hAnsi="宋体"/>
          <w:b/>
          <w:bCs/>
          <w:color w:val="000000"/>
          <w:sz w:val="24"/>
          <w:szCs w:val="24"/>
        </w:rPr>
        <w:t xml:space="preserve">2.售后服务</w:t>
      </w:r>
      <w:r>
        <w:rPr>
          <w:rFonts w:ascii="宋体" w:hAnsi="宋体"/>
          <w:b/>
          <w:bCs/>
          <w:color w:val="000000"/>
          <w:sz w:val="24"/>
          <w:szCs w:val="24"/>
        </w:rPr>
      </w:r>
      <w:r/>
    </w:p>
    <w:p>
      <w:pPr>
        <w:pStyle w:val="734"/>
        <w:ind w:firstLine="482"/>
        <w:spacing w:line="440" w:lineRule="exact"/>
        <w:rPr>
          <w:rFonts w:ascii="宋体" w:hAnsi="宋体"/>
          <w:color w:val="000000"/>
          <w:sz w:val="24"/>
          <w:szCs w:val="24"/>
        </w:rPr>
      </w:pPr>
      <w:r>
        <w:rPr>
          <w:rFonts w:hint="eastAsia" w:ascii="宋体" w:hAnsi="宋体"/>
          <w:color w:val="000000"/>
          <w:sz w:val="24"/>
          <w:szCs w:val="24"/>
        </w:rPr>
        <w:t xml:space="preserve">（1）在本项目竣工验收后3个月内，每月提供不少于1次巡检服务，服务范围包括但不限于现场健康检查、性能调优和配置调整，并提供相关报告。</w:t>
      </w:r>
      <w:r>
        <w:rPr>
          <w:rFonts w:ascii="宋体" w:hAnsi="宋体"/>
          <w:color w:val="000000"/>
          <w:sz w:val="24"/>
          <w:szCs w:val="24"/>
        </w:rPr>
      </w:r>
      <w:r/>
    </w:p>
    <w:p>
      <w:pPr>
        <w:pStyle w:val="734"/>
        <w:ind w:firstLine="482"/>
        <w:spacing w:line="440" w:lineRule="exact"/>
        <w:rPr>
          <w:rFonts w:ascii="宋体" w:hAnsi="宋体"/>
          <w:color w:val="000000"/>
          <w:sz w:val="24"/>
          <w:szCs w:val="24"/>
        </w:rPr>
      </w:pPr>
      <w:r>
        <w:rPr>
          <w:rFonts w:hint="eastAsia" w:ascii="宋体" w:hAnsi="宋体"/>
          <w:color w:val="000000"/>
          <w:sz w:val="24"/>
          <w:szCs w:val="24"/>
        </w:rPr>
        <w:t xml:space="preserve">（2）项目质保期间须指定专人或专门小组负责应对用户的技术咨询和服务，实现7*24小时电话技术支持咨询服务。发生故障时，供应商应在30分钟内响应，2小时内赶到故障现场进行维护服务；</w:t>
      </w:r>
      <w:r>
        <w:rPr>
          <w:rFonts w:ascii="宋体" w:hAnsi="宋体"/>
          <w:color w:val="000000"/>
          <w:sz w:val="24"/>
          <w:szCs w:val="24"/>
        </w:rPr>
      </w:r>
      <w:r/>
    </w:p>
    <w:p>
      <w:pPr>
        <w:pStyle w:val="734"/>
        <w:ind w:firstLine="480"/>
        <w:spacing w:line="360" w:lineRule="auto"/>
        <w:rPr>
          <w:rFonts w:hint="eastAsia" w:ascii="宋体" w:hAnsi="宋体"/>
          <w:bCs/>
          <w:color w:val="000000"/>
          <w:sz w:val="24"/>
          <w:szCs w:val="24"/>
        </w:rPr>
      </w:pPr>
      <w:r>
        <w:rPr>
          <w:rFonts w:hint="eastAsia" w:ascii="宋体" w:hAnsi="宋体"/>
          <w:color w:val="000000"/>
          <w:sz w:val="24"/>
          <w:szCs w:val="24"/>
        </w:rPr>
        <w:t xml:space="preserve">（3）定期与采购人交流系统使用、系统维护方面的经验，及时提供采购人有关系统运行的状态报告和运行建议。</w:t>
      </w:r>
      <w:r>
        <w:rPr>
          <w:rFonts w:hint="eastAsia" w:ascii="宋体" w:hAnsi="宋体"/>
          <w:bCs/>
          <w:color w:val="000000"/>
          <w:sz w:val="24"/>
          <w:szCs w:val="24"/>
        </w:rPr>
      </w:r>
      <w:r/>
    </w:p>
    <w:p>
      <w:pPr>
        <w:pStyle w:val="734"/>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734"/>
        <w:ind w:firstLine="480"/>
        <w:spacing w:line="360" w:lineRule="auto"/>
        <w:rPr>
          <w:rFonts w:ascii="宋体" w:hAnsi="宋体"/>
          <w:b/>
          <w:color w:val="000000"/>
          <w:sz w:val="30"/>
          <w:szCs w:val="30"/>
        </w:rPr>
      </w:pPr>
      <w:r>
        <w:rPr>
          <w:rFonts w:ascii="宋体" w:hAnsi="宋体"/>
          <w:bCs/>
          <w:color w:val="000000"/>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734"/>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投标总报价包括满足本项目要求的所有产品及其配件、包装、运杂、安装调试及售后服务等从项目中标起到项目正式交付以及质保期内所发生的一切费用。</w:t>
      </w:r>
      <w:r>
        <w:rPr>
          <w:rFonts w:ascii="宋体"/>
          <w:bCs/>
          <w:color w:val="000000"/>
          <w:sz w:val="24"/>
          <w:szCs w:val="24"/>
        </w:rPr>
      </w:r>
      <w:r/>
    </w:p>
    <w:p>
      <w:pPr>
        <w:pStyle w:val="734"/>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rPr>
          <w:rFonts w:ascii="宋体"/>
          <w:bCs/>
          <w:color w:val="000000"/>
          <w:sz w:val="24"/>
          <w:szCs w:val="24"/>
        </w:rPr>
      </w:r>
      <w:r/>
    </w:p>
    <w:p>
      <w:pPr>
        <w:pStyle w:val="734"/>
        <w:numPr>
          <w:ilvl w:val="1"/>
          <w:numId w:val="7"/>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pStyle w:val="734"/>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734"/>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交货期</w:t>
      </w:r>
      <w:r>
        <w:rPr>
          <w:rFonts w:hint="eastAsia" w:ascii="宋体" w:hAnsi="宋体"/>
          <w:bCs/>
          <w:color w:val="000000"/>
          <w:sz w:val="24"/>
          <w:szCs w:val="24"/>
        </w:rPr>
        <w:t xml:space="preserve">：</w:t>
      </w:r>
      <w:r>
        <w:rPr>
          <w:rFonts w:hint="eastAsia" w:ascii="宋体" w:hAnsi="宋体"/>
          <w:bCs/>
          <w:color w:val="000000"/>
          <w:sz w:val="24"/>
          <w:szCs w:val="24"/>
        </w:rPr>
        <w:t xml:space="preserve">合同签订生效之日起60个日历天。</w:t>
      </w:r>
      <w:r>
        <w:rPr>
          <w:rFonts w:ascii="宋体"/>
          <w:bCs/>
          <w:color w:val="000000"/>
          <w:sz w:val="24"/>
          <w:szCs w:val="24"/>
        </w:rPr>
      </w:r>
      <w:r/>
    </w:p>
    <w:p>
      <w:pPr>
        <w:pStyle w:val="734"/>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bCs/>
          <w:color w:val="000000"/>
          <w:sz w:val="24"/>
          <w:szCs w:val="24"/>
        </w:rPr>
        <w:t xml:space="preserve">项目整体质保期：</w:t>
      </w:r>
      <w:r>
        <w:rPr>
          <w:rFonts w:hint="eastAsia" w:ascii="宋体"/>
          <w:bCs/>
          <w:color w:val="000000"/>
          <w:sz w:val="24"/>
          <w:szCs w:val="24"/>
        </w:rPr>
        <w:t xml:space="preserve">5年。</w:t>
      </w:r>
      <w:r>
        <w:rPr>
          <w:rFonts w:ascii="宋体"/>
          <w:bCs/>
          <w:color w:val="000000"/>
          <w:sz w:val="24"/>
          <w:szCs w:val="24"/>
        </w:rPr>
      </w:r>
      <w:r/>
    </w:p>
    <w:p>
      <w:pPr>
        <w:pStyle w:val="734"/>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bCs/>
          <w:color w:val="000000"/>
          <w:sz w:val="24"/>
          <w:szCs w:val="24"/>
        </w:rPr>
        <w:t xml:space="preserve">付款方式：</w:t>
      </w:r>
      <w:r>
        <w:rPr>
          <w:rFonts w:hint="eastAsia" w:ascii="宋体"/>
          <w:bCs/>
          <w:color w:val="000000"/>
          <w:sz w:val="24"/>
          <w:szCs w:val="24"/>
        </w:rPr>
        <w:t xml:space="preserve">合同签订生效后支付合同金额的30%（预付款）；设备到货安装</w:t>
      </w:r>
      <w:r>
        <w:rPr>
          <w:rFonts w:ascii="宋体"/>
          <w:bCs/>
          <w:color w:val="000000"/>
          <w:sz w:val="24"/>
          <w:szCs w:val="24"/>
        </w:rPr>
        <w:t xml:space="preserve">调试完毕</w:t>
      </w:r>
      <w:r>
        <w:rPr>
          <w:rFonts w:hint="eastAsia" w:ascii="宋体"/>
          <w:bCs/>
          <w:color w:val="000000"/>
          <w:sz w:val="24"/>
          <w:szCs w:val="24"/>
        </w:rPr>
        <w:t xml:space="preserve">通过初验后支付合同金额的40%；项目终验并完成审计后支付至审计金额的9</w:t>
      </w:r>
      <w:r>
        <w:rPr>
          <w:rFonts w:ascii="宋体"/>
          <w:bCs/>
          <w:color w:val="000000"/>
          <w:sz w:val="24"/>
          <w:szCs w:val="24"/>
        </w:rPr>
        <w:t xml:space="preserve">5%</w:t>
      </w:r>
      <w:r>
        <w:rPr>
          <w:rFonts w:hint="eastAsia" w:ascii="宋体"/>
          <w:bCs/>
          <w:color w:val="000000"/>
          <w:sz w:val="24"/>
          <w:szCs w:val="24"/>
        </w:rPr>
        <w:t xml:space="preserve">；余款质保期满后在一个月内支付。</w:t>
      </w:r>
      <w:r>
        <w:rPr>
          <w:rFonts w:ascii="宋体"/>
          <w:bCs/>
          <w:color w:val="000000"/>
          <w:sz w:val="24"/>
          <w:szCs w:val="24"/>
        </w:rPr>
      </w:r>
      <w:r/>
    </w:p>
    <w:p>
      <w:pPr>
        <w:pStyle w:val="734"/>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中标（成交）供应商以履约保函（保险）形式按签约合同价的</w:t>
      </w:r>
      <w:r>
        <w:rPr>
          <w:rFonts w:hint="eastAsia" w:ascii="宋体"/>
          <w:bCs/>
          <w:color w:val="000000"/>
          <w:sz w:val="24"/>
          <w:szCs w:val="24"/>
        </w:rPr>
        <w:t xml:space="preserve">5</w:t>
      </w:r>
      <w:r>
        <w:rPr>
          <w:rFonts w:hint="eastAsia" w:ascii="宋体"/>
          <w:bCs/>
          <w:color w:val="000000"/>
          <w:sz w:val="24"/>
          <w:szCs w:val="24"/>
        </w:rPr>
        <w:t xml:space="preserve">%提供履约担保。中标（成交）供应商可采用电子履约保函（保险）形式,具体操作可登录江苏政府采购网的保险保函模块进行办理。</w:t>
      </w:r>
      <w:r/>
    </w:p>
    <w:p>
      <w:pPr>
        <w:pStyle w:val="734"/>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w:t>
      </w:r>
      <w:r>
        <w:rPr>
          <w:rFonts w:hint="eastAsia" w:ascii="宋体" w:hAnsi="宋体"/>
          <w:bCs/>
          <w:color w:val="000000"/>
          <w:sz w:val="24"/>
          <w:szCs w:val="24"/>
        </w:rPr>
        <w:t xml:space="preserve">无锡市</w:t>
      </w:r>
      <w:r>
        <w:rPr>
          <w:rFonts w:hint="eastAsia" w:ascii="宋体" w:hAnsi="宋体"/>
          <w:bCs/>
          <w:color w:val="000000"/>
          <w:sz w:val="24"/>
          <w:szCs w:val="24"/>
        </w:rPr>
        <w:t xml:space="preserve">，具体地点以合同书约定为准。中标方必须按采购人要求将本项目中货物送到指定地点</w:t>
      </w:r>
      <w:r>
        <w:rPr>
          <w:rFonts w:ascii="宋体" w:hAnsi="宋体"/>
          <w:bCs/>
          <w:color w:val="000000"/>
          <w:sz w:val="24"/>
          <w:szCs w:val="24"/>
        </w:rPr>
        <w:t xml:space="preserve">(</w:t>
      </w:r>
      <w:r>
        <w:rPr>
          <w:rFonts w:hint="eastAsia" w:ascii="宋体" w:hAnsi="宋体"/>
          <w:bCs/>
          <w:color w:val="000000"/>
          <w:sz w:val="24"/>
          <w:szCs w:val="24"/>
        </w:rPr>
        <w:t xml:space="preserve">包括可能的分布范围</w:t>
      </w:r>
      <w:r>
        <w:rPr>
          <w:rFonts w:ascii="宋体" w:hAnsi="宋体"/>
          <w:bCs/>
          <w:color w:val="000000"/>
          <w:sz w:val="24"/>
          <w:szCs w:val="24"/>
        </w:rPr>
        <w:t xml:space="preserve">)</w:t>
      </w:r>
      <w:r>
        <w:rPr>
          <w:rFonts w:hint="eastAsia" w:ascii="宋体" w:hAnsi="宋体"/>
          <w:bCs/>
          <w:color w:val="000000"/>
          <w:sz w:val="24"/>
          <w:szCs w:val="24"/>
        </w:rPr>
        <w:t xml:space="preserve">，并分地实施安装调试。</w:t>
      </w:r>
      <w:r>
        <w:rPr>
          <w:rFonts w:ascii="宋体"/>
          <w:bCs/>
          <w:color w:val="000000"/>
          <w:sz w:val="24"/>
          <w:szCs w:val="24"/>
        </w:rPr>
      </w:r>
      <w:r/>
    </w:p>
    <w:p>
      <w:pPr>
        <w:pStyle w:val="734"/>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w:t>
      </w:r>
      <w:r>
        <w:rPr>
          <w:rFonts w:hint="eastAsia"/>
          <w:color w:val="000000"/>
          <w:sz w:val="24"/>
          <w:szCs w:val="24"/>
        </w:rPr>
        <w:t xml:space="preserve">涉及</w:t>
      </w:r>
      <w:r>
        <w:rPr>
          <w:rFonts w:hint="eastAsia"/>
          <w:color w:val="000000"/>
          <w:sz w:val="24"/>
          <w:szCs w:val="24"/>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color w:val="000000"/>
          <w:sz w:val="24"/>
          <w:szCs w:val="24"/>
        </w:rPr>
      </w:r>
      <w:r/>
    </w:p>
    <w:p>
      <w:pPr>
        <w:pStyle w:val="734"/>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hAnsi="宋体"/>
          <w:bCs/>
          <w:color w:val="000000"/>
          <w:sz w:val="24"/>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color w:val="000000"/>
          <w:sz w:val="24"/>
        </w:rPr>
        <w:t xml:space="preserve">《中华人民共和国政府采购法》</w:t>
      </w:r>
      <w:r>
        <w:rPr>
          <w:rFonts w:hint="eastAsia" w:ascii="宋体" w:hAnsi="宋体"/>
          <w:bCs/>
          <w:color w:val="000000"/>
          <w:sz w:val="24"/>
        </w:rPr>
        <w:t xml:space="preserve">第七十七条第一款的规定追究法律责任。</w:t>
      </w:r>
      <w:r>
        <w:rPr>
          <w:rFonts w:hint="eastAsia" w:ascii="宋体"/>
          <w:bCs/>
          <w:color w:val="000000"/>
          <w:sz w:val="24"/>
          <w:szCs w:val="24"/>
        </w:rPr>
      </w:r>
      <w:r/>
    </w:p>
    <w:p>
      <w:pPr>
        <w:pStyle w:val="734"/>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734"/>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rPr>
      </w:r>
      <w:r/>
    </w:p>
    <w:p>
      <w:pPr>
        <w:pStyle w:val="734"/>
        <w:spacing w:line="360" w:lineRule="auto"/>
        <w:rPr>
          <w:rFonts w:ascii="宋体"/>
          <w:bCs/>
          <w:color w:val="000000"/>
          <w:sz w:val="24"/>
          <w:szCs w:val="24"/>
        </w:rPr>
      </w:pPr>
      <w:r>
        <w:rPr>
          <w:rFonts w:ascii="宋体"/>
          <w:bCs/>
          <w:color w:val="000000"/>
          <w:sz w:val="24"/>
          <w:szCs w:val="24"/>
        </w:rPr>
        <w:t xml:space="preserve"> </w:t>
      </w:r>
      <w:r>
        <w:rPr>
          <w:rFonts w:ascii="宋体"/>
          <w:bCs/>
          <w:color w:val="000000"/>
          <w:sz w:val="24"/>
          <w:szCs w:val="24"/>
        </w:rPr>
      </w:r>
      <w:r/>
    </w:p>
    <w:p>
      <w:pPr>
        <w:pStyle w:val="734"/>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rPr>
      </w:pPr>
      <w:r>
        <w:rPr>
          <w:rFonts w:hint="eastAsia" w:ascii="宋体" w:hAnsi="宋体"/>
          <w:bCs/>
          <w:color w:val="000000"/>
          <w:sz w:val="24"/>
        </w:rPr>
        <w:br w:type="page" w:clear="all"/>
      </w:r>
      <w:r>
        <w:rPr>
          <w:rFonts w:hint="eastAsia" w:ascii="宋体" w:hAnsi="宋体"/>
          <w:b/>
          <w:color w:val="000000"/>
          <w:sz w:val="30"/>
          <w:szCs w:val="30"/>
        </w:rPr>
        <w:t xml:space="preserve">第三部分  政府采购政策（包括但不限于下列具体政策要求）</w:t>
      </w:r>
      <w:r>
        <w:rPr>
          <w:rFonts w:hint="eastAsia" w:ascii="宋体" w:hAnsi="宋体"/>
          <w:b/>
          <w:bCs/>
          <w:color w:val="000000"/>
          <w:sz w:val="30"/>
          <w:szCs w:val="30"/>
        </w:rPr>
      </w:r>
      <w:r/>
    </w:p>
    <w:p>
      <w:pPr>
        <w:pStyle w:val="734"/>
        <w:numPr>
          <w:ilvl w:val="1"/>
          <w:numId w:val="8"/>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w:t>
      </w:r>
      <w:r>
        <w:rPr>
          <w:rFonts w:hint="eastAsia" w:ascii="宋体"/>
          <w:bCs/>
          <w:color w:val="000000"/>
          <w:sz w:val="24"/>
          <w:szCs w:val="24"/>
        </w:rPr>
        <w:t xml:space="preserve">涉及</w:t>
      </w:r>
      <w:r>
        <w:rPr>
          <w:rFonts w:hint="eastAsia" w:ascii="宋体"/>
          <w:bCs/>
          <w:color w:val="000000"/>
          <w:sz w:val="24"/>
          <w:szCs w:val="24"/>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734"/>
        <w:numPr>
          <w:ilvl w:val="1"/>
          <w:numId w:val="8"/>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pStyle w:val="73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73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认证机构详见市场监管总局发布的《参与实施政府采购节能产品认证机构名录》和《参与实施政府采购环境标志产品认证机构名录》。</w:t>
      </w:r>
      <w:r/>
    </w:p>
    <w:p>
      <w:pPr>
        <w:pStyle w:val="734"/>
        <w:numPr>
          <w:ilvl w:val="1"/>
          <w:numId w:val="8"/>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color w:val="000000"/>
          <w:sz w:val="24"/>
          <w:szCs w:val="24"/>
        </w:rPr>
        <w:t xml:space="preserve">本项目中如有</w:t>
      </w:r>
      <w:r>
        <w:rPr>
          <w:rFonts w:hint="eastAsia"/>
          <w:color w:val="000000"/>
          <w:sz w:val="24"/>
          <w:szCs w:val="24"/>
        </w:rPr>
        <w:t xml:space="preserve">涉及</w:t>
      </w:r>
      <w:r>
        <w:rPr>
          <w:rFonts w:hint="eastAsia"/>
          <w:color w:val="000000"/>
          <w:sz w:val="24"/>
          <w:szCs w:val="24"/>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rPr>
      </w:r>
      <w:r/>
    </w:p>
    <w:p>
      <w:pPr>
        <w:pStyle w:val="734"/>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有关中小企业政策，如</w:t>
      </w:r>
      <w:r>
        <w:rPr>
          <w:rFonts w:hint="eastAsia" w:ascii="宋体" w:hAnsi="宋体"/>
          <w:color w:val="000000"/>
          <w:sz w:val="24"/>
          <w:szCs w:val="24"/>
        </w:rPr>
        <w:t xml:space="preserve">落实政府采购政策需满足的资格要求以及落实政府采购政策的价格调整的相关内容可详见本文件其他章节。</w:t>
      </w:r>
      <w:r>
        <w:rPr>
          <w:rFonts w:hint="eastAsia" w:ascii="宋体" w:hAnsi="宋体" w:cs="宋体"/>
          <w:color w:val="000000"/>
          <w:sz w:val="24"/>
          <w:szCs w:val="24"/>
        </w:rPr>
      </w:r>
      <w:r/>
    </w:p>
    <w:p>
      <w:pPr>
        <w:pStyle w:val="734"/>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中标、成交供应商可采用合同融资形式，中标人可凭政府采购合同办理融资贷款，详见政府采购网“政采贷”专栏。</w:t>
      </w:r>
      <w:r>
        <w:rPr>
          <w:rFonts w:hint="eastAsia" w:ascii="宋体" w:hAnsi="宋体" w:cs="宋体"/>
          <w:color w:val="000000"/>
          <w:sz w:val="24"/>
          <w:szCs w:val="24"/>
        </w:rPr>
      </w:r>
      <w:r/>
    </w:p>
    <w:p>
      <w:pPr>
        <w:pStyle w:val="734"/>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000000"/>
          <w:sz w:val="24"/>
          <w:szCs w:val="24"/>
        </w:rPr>
      </w:r>
      <w:r/>
    </w:p>
    <w:p>
      <w:pPr>
        <w:pStyle w:val="73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color w:val="000000"/>
          <w:sz w:val="24"/>
          <w:szCs w:val="24"/>
        </w:rPr>
      </w:r>
      <w:r/>
    </w:p>
    <w:p>
      <w:pPr>
        <w:pStyle w:val="734"/>
        <w:numPr>
          <w:ilvl w:val="1"/>
          <w:numId w:val="8"/>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hAnsi="宋体" w:cs="宋体"/>
          <w:color w:val="000000"/>
          <w:sz w:val="24"/>
          <w:szCs w:val="24"/>
        </w:rPr>
        <w:t xml:space="preserve">本项目中如有</w:t>
      </w:r>
      <w:r>
        <w:rPr>
          <w:rFonts w:hint="eastAsia" w:ascii="宋体" w:hAnsi="宋体" w:cs="宋体"/>
          <w:color w:val="000000"/>
          <w:sz w:val="24"/>
          <w:szCs w:val="24"/>
        </w:rPr>
        <w:t xml:space="preserve">涉及</w:t>
      </w:r>
      <w:r>
        <w:rPr>
          <w:rFonts w:hint="eastAsia" w:ascii="宋体" w:hAnsi="宋体" w:cs="宋体"/>
          <w:color w:val="000000"/>
          <w:sz w:val="24"/>
          <w:szCs w:val="24"/>
        </w:rPr>
        <w:t xml:space="preserve">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w:t>
      </w:r>
      <w:r>
        <w:rPr>
          <w:rFonts w:hint="eastAsia" w:ascii="宋体" w:hAnsi="宋体" w:cs="宋体"/>
          <w:color w:val="000000"/>
          <w:sz w:val="24"/>
          <w:szCs w:val="24"/>
        </w:rPr>
        <w:t xml:space="preserve">在满足《需求标准》的</w:t>
      </w:r>
      <w:r>
        <w:rPr>
          <w:rFonts w:hint="eastAsia" w:ascii="宋体" w:hAnsi="宋体" w:cs="宋体"/>
          <w:color w:val="000000"/>
          <w:sz w:val="24"/>
          <w:szCs w:val="24"/>
        </w:rPr>
        <w:t xml:space="preserve">前提</w:t>
      </w:r>
      <w:r>
        <w:rPr>
          <w:rFonts w:hint="eastAsia" w:ascii="宋体" w:hAnsi="宋体" w:cs="宋体"/>
          <w:color w:val="000000"/>
          <w:sz w:val="24"/>
          <w:szCs w:val="24"/>
        </w:rPr>
        <w:t xml:space="preserve">下，如招标文件中有其他要求的，投标人应</w:t>
      </w:r>
      <w:r>
        <w:rPr>
          <w:rFonts w:hint="eastAsia" w:ascii="宋体" w:hAnsi="宋体" w:cs="宋体"/>
          <w:color w:val="000000"/>
          <w:sz w:val="24"/>
          <w:szCs w:val="24"/>
        </w:rPr>
        <w:t xml:space="preserve">满足</w:t>
      </w:r>
      <w:r>
        <w:rPr>
          <w:rFonts w:hint="eastAsia" w:ascii="宋体" w:hAnsi="宋体" w:cs="宋体"/>
          <w:color w:val="000000"/>
          <w:sz w:val="24"/>
          <w:szCs w:val="24"/>
        </w:rPr>
        <w:t xml:space="preserve">招标文件要求。</w:t>
      </w:r>
      <w:r>
        <w:rPr>
          <w:rFonts w:hint="eastAsia" w:ascii="宋体"/>
          <w:bCs/>
          <w:color w:val="000000"/>
          <w:sz w:val="24"/>
          <w:szCs w:val="24"/>
        </w:rPr>
        <w:t xml:space="preserve">采购人可在合同中约定</w:t>
      </w:r>
      <w:r>
        <w:rPr>
          <w:rFonts w:hint="eastAsia" w:ascii="宋体"/>
          <w:bCs/>
          <w:color w:val="000000"/>
          <w:sz w:val="24"/>
          <w:szCs w:val="24"/>
        </w:rPr>
        <w:t xml:space="preserve">，</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w:t>
      </w:r>
      <w:r>
        <w:rPr>
          <w:rFonts w:hint="eastAsia" w:ascii="宋体"/>
          <w:bCs/>
          <w:color w:val="000000"/>
          <w:sz w:val="24"/>
          <w:szCs w:val="24"/>
        </w:rPr>
        <w:t xml:space="preserve">可</w:t>
      </w:r>
      <w:r>
        <w:rPr>
          <w:rFonts w:hint="eastAsia" w:ascii="宋体"/>
          <w:bCs/>
          <w:color w:val="000000"/>
          <w:sz w:val="24"/>
          <w:szCs w:val="24"/>
        </w:rPr>
        <w:t xml:space="preserve">对所提供的七种软硬件进行验收，必要时</w:t>
      </w:r>
      <w:r>
        <w:rPr>
          <w:rFonts w:hint="eastAsia" w:ascii="宋体"/>
          <w:bCs/>
          <w:color w:val="000000"/>
          <w:sz w:val="24"/>
          <w:szCs w:val="24"/>
        </w:rPr>
        <w:t xml:space="preserve">可以</w:t>
      </w:r>
      <w:r>
        <w:rPr>
          <w:rFonts w:hint="eastAsia" w:ascii="宋体"/>
          <w:bCs/>
          <w:color w:val="000000"/>
          <w:sz w:val="24"/>
          <w:szCs w:val="24"/>
        </w:rPr>
        <w:t xml:space="preserve">委托依法取得检测、认证资质的机构进行检测、认证。</w:t>
      </w:r>
      <w:r>
        <w:rPr>
          <w:rFonts w:hint="eastAsia" w:ascii="宋体"/>
          <w:bCs/>
          <w:color w:val="000000"/>
          <w:sz w:val="24"/>
          <w:szCs w:val="24"/>
        </w:rPr>
      </w:r>
      <w:r/>
    </w:p>
    <w:p>
      <w:pPr>
        <w:pStyle w:val="734"/>
        <w:numPr>
          <w:ilvl w:val="1"/>
          <w:numId w:val="8"/>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根据</w:t>
      </w:r>
      <w:r>
        <w:rPr>
          <w:rFonts w:hint="eastAsia" w:ascii="宋体"/>
          <w:bCs/>
          <w:color w:val="000000"/>
          <w:sz w:val="24"/>
          <w:szCs w:val="24"/>
        </w:rPr>
        <w:t xml:space="preserve">苏财办购〔2024〕1号</w:t>
      </w:r>
      <w:r>
        <w:rPr>
          <w:rFonts w:hint="eastAsia" w:ascii="宋体"/>
          <w:bCs/>
          <w:color w:val="000000"/>
          <w:sz w:val="24"/>
          <w:szCs w:val="24"/>
        </w:rPr>
        <w:t xml:space="preserve">相关</w:t>
      </w:r>
      <w:r>
        <w:rPr>
          <w:rFonts w:hint="eastAsia" w:ascii="宋体"/>
          <w:bCs/>
          <w:color w:val="000000"/>
          <w:sz w:val="24"/>
          <w:szCs w:val="24"/>
        </w:rPr>
        <w:t xml:space="preserve">要求</w:t>
      </w:r>
      <w:r>
        <w:rPr>
          <w:rFonts w:hint="eastAsia" w:ascii="宋体"/>
          <w:bCs/>
          <w:color w:val="000000"/>
          <w:sz w:val="24"/>
          <w:szCs w:val="24"/>
        </w:rPr>
        <w:t xml:space="preserve">，采购人应当严格按照政府采购法有关规定，在中标、成交通知书发出之日起30日内，按照采购文件确定的事项与中标、成交供应商签订政府采购合同</w:t>
      </w:r>
      <w:r>
        <w:rPr>
          <w:rFonts w:hint="eastAsia" w:ascii="宋体"/>
          <w:bCs/>
          <w:color w:val="000000"/>
          <w:sz w:val="24"/>
          <w:szCs w:val="24"/>
        </w:rPr>
        <w:t xml:space="preserve">。采购人因不可抗力原因迟延签订合同的，应当自不可抗力事由消除之日起7日内完成合同签订事宜。</w:t>
      </w:r>
      <w:r>
        <w:rPr>
          <w:rFonts w:hint="eastAsia" w:ascii="宋体"/>
          <w:bCs/>
          <w:color w:val="000000"/>
          <w:sz w:val="24"/>
          <w:szCs w:val="24"/>
        </w:rPr>
      </w:r>
      <w:r/>
    </w:p>
    <w:p>
      <w:pPr>
        <w:pStyle w:val="73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73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采购人原则上应当自收到发票后10</w:t>
      </w:r>
      <w:r>
        <w:rPr>
          <w:rFonts w:hint="eastAsia" w:ascii="宋体"/>
          <w:bCs/>
          <w:color w:val="000000"/>
          <w:sz w:val="24"/>
          <w:szCs w:val="24"/>
          <w:lang w:val="en"/>
        </w:rPr>
        <w:t xml:space="preserve">个工作日内将资金支付到合同约定的供应商账户</w:t>
      </w:r>
      <w:r>
        <w:rPr>
          <w:rFonts w:hint="eastAsia" w:ascii="宋体"/>
          <w:bCs/>
          <w:color w:val="000000"/>
          <w:sz w:val="24"/>
          <w:szCs w:val="24"/>
          <w:lang w:val="en"/>
        </w:rPr>
        <w:t xml:space="preserve">。</w:t>
      </w:r>
      <w:r>
        <w:rPr>
          <w:rFonts w:hint="eastAsia" w:ascii="宋体"/>
          <w:bCs/>
          <w:color w:val="000000"/>
          <w:sz w:val="24"/>
          <w:szCs w:val="24"/>
          <w:lang w:val="en"/>
        </w:rPr>
      </w:r>
      <w:r/>
    </w:p>
    <w:p>
      <w:pPr>
        <w:pStyle w:val="734"/>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sz w:val="36"/>
          <w:szCs w:val="36"/>
        </w:rPr>
      </w:pPr>
      <w:r>
        <w:rPr>
          <w:rFonts w:ascii="宋体"/>
          <w:bCs/>
          <w:color w:val="000000"/>
          <w:sz w:val="24"/>
          <w:szCs w:val="24"/>
        </w:rPr>
        <w:br w:type="page" w:clear="all"/>
      </w:r>
      <w:bookmarkStart w:id="193" w:name="_Toc120614281"/>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 xml:space="preserve">评标方法与评标标准</w:t>
      </w:r>
      <w:r>
        <w:rPr>
          <w:rFonts w:hint="eastAsia" w:ascii="黑体" w:hAnsi="黑体" w:eastAsia="黑体"/>
          <w:bCs/>
          <w:color w:val="000000"/>
          <w:sz w:val="36"/>
          <w:szCs w:val="36"/>
        </w:rPr>
      </w:r>
      <w:r/>
    </w:p>
    <w:p>
      <w:pPr>
        <w:pStyle w:val="822"/>
        <w:ind w:firstLine="602"/>
        <w:spacing w:before="0" w:after="0" w:line="500" w:lineRule="exact"/>
        <w:rPr>
          <w:rFonts w:hint="eastAsia" w:cs="Arial"/>
          <w:b/>
          <w:color w:val="000000"/>
          <w:sz w:val="30"/>
          <w:szCs w:val="30"/>
        </w:rPr>
      </w:pPr>
      <w:r>
        <w:rPr>
          <w:rFonts w:hint="eastAsia" w:cs="Arial"/>
          <w:b/>
          <w:color w:val="000000"/>
          <w:sz w:val="30"/>
          <w:szCs w:val="30"/>
        </w:rPr>
        <w:t xml:space="preserve">第一部分  评标方法</w:t>
      </w:r>
      <w:r/>
    </w:p>
    <w:p>
      <w:pPr>
        <w:pStyle w:val="822"/>
        <w:spacing w:before="0" w:after="0" w:line="500" w:lineRule="exact"/>
        <w:rPr>
          <w:rFonts w:hint="eastAsia" w:cs="Arial"/>
          <w:color w:val="000000"/>
        </w:rPr>
      </w:pPr>
      <w:r>
        <w:rPr>
          <w:rFonts w:hint="eastAsia" w:cs="Arial"/>
          <w:color w:val="000000"/>
        </w:rPr>
        <w:t xml:space="preserve">投标人通过初审的，方可进入比较与评价程序。</w:t>
      </w:r>
      <w:r/>
    </w:p>
    <w:p>
      <w:pPr>
        <w:pStyle w:val="822"/>
        <w:spacing w:before="0" w:after="0" w:line="500" w:lineRule="exact"/>
        <w:rPr>
          <w:rFonts w:hint="eastAsia" w:cs="Arial"/>
          <w:color w:val="000000"/>
        </w:rPr>
      </w:pPr>
      <w:r>
        <w:rPr>
          <w:rFonts w:hint="eastAsia" w:cs="Arial"/>
          <w:color w:val="000000"/>
        </w:rPr>
        <w:t xml:space="preserve">比较与评价采用综合评分法。</w:t>
      </w:r>
      <w:r/>
    </w:p>
    <w:p>
      <w:pPr>
        <w:pStyle w:val="822"/>
        <w:spacing w:before="0" w:after="0" w:line="500" w:lineRule="exact"/>
        <w:rPr>
          <w:rFonts w:hint="eastAsia" w:ascii="宋体" w:hAnsi="宋体"/>
          <w:bCs/>
          <w:color w:val="000000"/>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color w:val="000000"/>
        </w:rPr>
        <w:t xml:space="preserve">得分相同且投标</w:t>
      </w:r>
      <w:r>
        <w:rPr>
          <w:rFonts w:hint="eastAsia" w:ascii="宋体" w:hAnsi="宋体"/>
          <w:bCs/>
          <w:color w:val="000000"/>
        </w:rPr>
        <w:t xml:space="preserve">报价相同的并列。投标文件满足招标文件全部实质性要求，且按照评审因素的量化指标评审得分最高的投标人排名第一，以此类推，按排名先后顺序选取3名中标候选人。</w:t>
      </w:r>
      <w:r>
        <w:rPr>
          <w:rFonts w:hint="eastAsia" w:ascii="宋体" w:hAnsi="宋体"/>
          <w:bCs/>
          <w:color w:val="000000"/>
        </w:rPr>
      </w:r>
      <w:r/>
    </w:p>
    <w:p>
      <w:pPr>
        <w:pStyle w:val="822"/>
        <w:spacing w:before="0" w:after="0" w:line="500" w:lineRule="exact"/>
        <w:rPr>
          <w:rFonts w:hint="eastAsia" w:ascii="宋体" w:hAnsi="宋体"/>
          <w:bCs/>
          <w:color w:val="000000"/>
        </w:rPr>
      </w:pPr>
      <w:r>
        <w:rPr>
          <w:rFonts w:hint="eastAsia" w:ascii="宋体" w:hAnsi="宋体"/>
          <w:bCs/>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822"/>
        <w:spacing w:before="0" w:after="0" w:line="500" w:lineRule="exact"/>
        <w:rPr>
          <w:rFonts w:hint="eastAsia" w:ascii="宋体" w:hAnsi="宋体" w:cs="Arial"/>
          <w:color w:val="000000"/>
        </w:rPr>
      </w:pPr>
      <w:r>
        <w:rPr>
          <w:rFonts w:hint="eastAsia" w:ascii="宋体" w:hAnsi="宋体" w:cs="Arial"/>
          <w:color w:val="000000"/>
        </w:rPr>
      </w:r>
      <w:r/>
    </w:p>
    <w:p>
      <w:pPr>
        <w:pStyle w:val="822"/>
        <w:spacing w:before="0" w:after="0" w:line="500" w:lineRule="exact"/>
        <w:rPr>
          <w:rFonts w:hint="eastAsia" w:cs="Arial"/>
          <w:b/>
          <w:color w:val="000000"/>
          <w:sz w:val="30"/>
          <w:szCs w:val="30"/>
        </w:rPr>
      </w:pPr>
      <w:r>
        <w:rPr>
          <w:rFonts w:cs="Arial"/>
          <w:color w:val="000000"/>
          <w:shd w:val="clear" w:color="ffffff" w:fill="d9d9d9"/>
        </w:rPr>
        <w:br w:type="page" w:clear="all"/>
      </w:r>
      <w:r>
        <w:rPr>
          <w:rFonts w:hint="eastAsia" w:cs="Arial"/>
          <w:b/>
          <w:color w:val="000000"/>
          <w:sz w:val="30"/>
          <w:szCs w:val="30"/>
        </w:rPr>
        <w:t xml:space="preserve">第二部分  评标标准</w:t>
      </w:r>
      <w:r/>
    </w:p>
    <w:p>
      <w:pPr>
        <w:pStyle w:val="822"/>
        <w:ind w:firstLine="56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一、落实政府采购政策的价格调整</w:t>
      </w:r>
      <w:r/>
    </w:p>
    <w:p>
      <w:pPr>
        <w:pStyle w:val="734"/>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小微型企业价格扣除：专门面向中小/小微企业的项目不做价格扣除。</w:t>
      </w:r>
      <w:r/>
    </w:p>
    <w:p>
      <w:pPr>
        <w:pStyle w:val="734"/>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rPr>
          <w:rFonts w:ascii="宋体" w:hAnsi="宋体"/>
          <w:bCs/>
          <w:color w:val="000000"/>
          <w:sz w:val="24"/>
          <w:szCs w:val="24"/>
        </w:rPr>
      </w:r>
      <w:r/>
    </w:p>
    <w:p>
      <w:pPr>
        <w:pStyle w:val="734"/>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sz w:val="24"/>
          <w:szCs w:val="24"/>
        </w:rPr>
      </w:r>
      <w:r/>
    </w:p>
    <w:p>
      <w:pPr>
        <w:pStyle w:val="734"/>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rPr>
      </w:r>
      <w:r/>
    </w:p>
    <w:p>
      <w:pPr>
        <w:pStyle w:val="734"/>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pStyle w:val="734"/>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rPr>
          <w:rFonts w:ascii="宋体" w:hAnsi="宋体"/>
          <w:bCs/>
          <w:color w:val="000000"/>
          <w:sz w:val="24"/>
          <w:szCs w:val="24"/>
        </w:rPr>
      </w:r>
      <w:r/>
    </w:p>
    <w:p>
      <w:pPr>
        <w:pStyle w:val="734"/>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rPr>
          <w:rFonts w:ascii="宋体" w:hAnsi="宋体"/>
          <w:bCs/>
          <w:color w:val="000000"/>
          <w:sz w:val="24"/>
          <w:szCs w:val="24"/>
        </w:rPr>
      </w:r>
      <w:r/>
    </w:p>
    <w:p>
      <w:pPr>
        <w:pStyle w:val="734"/>
        <w:ind w:firstLine="480"/>
        <w:jc w:val="left"/>
        <w:spacing w:line="500" w:lineRule="exact"/>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rPr>
          <w:color w:val="000000"/>
        </w:rPr>
      </w:r>
      <w:r/>
    </w:p>
    <w:p>
      <w:pPr>
        <w:pStyle w:val="822"/>
        <w:ind w:firstLine="360"/>
        <w:spacing w:before="0" w:after="0" w:line="500" w:lineRule="exact"/>
        <w:rPr>
          <w:rFonts w:hint="eastAsia" w:ascii="宋体" w:hAnsi="宋体"/>
          <w:color w:val="000000"/>
          <w:shd w:val="clear" w:color="ffffff" w:fill="d9d9d9"/>
        </w:rPr>
      </w:pPr>
      <w:r>
        <w:rPr>
          <w:rFonts w:ascii="宋体" w:hAnsi="宋体"/>
          <w:color w:val="000000"/>
          <w:shd w:val="clear" w:color="ffffff" w:fill="d9d9d9"/>
        </w:rPr>
        <w:br w:type="page" w:clear="all"/>
      </w:r>
      <w:r>
        <w:rPr>
          <w:rFonts w:hint="eastAsia" w:ascii="宋体" w:hAnsi="宋体"/>
          <w:b/>
          <w:color w:val="000000"/>
          <w:sz w:val="28"/>
          <w:szCs w:val="28"/>
        </w:rPr>
        <w:t xml:space="preserve">二、评分标准</w:t>
      </w:r>
      <w:r>
        <w:rPr>
          <w:rFonts w:hint="eastAsia" w:ascii="宋体" w:hAnsi="宋体"/>
          <w:color w:val="000000"/>
          <w:shd w:val="clear" w:color="ffffff" w:fill="d9d9d9"/>
        </w:rPr>
      </w:r>
      <w:r/>
    </w:p>
    <w:p>
      <w:pPr>
        <w:pStyle w:val="734"/>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rPr>
        <w:t xml:space="preserve">35</w:t>
      </w:r>
      <w:r>
        <w:rPr>
          <w:rFonts w:hint="eastAsia" w:ascii="宋体" w:hAnsi="宋体"/>
          <w:b/>
          <w:bCs/>
          <w:color w:val="000000"/>
          <w:sz w:val="24"/>
          <w:szCs w:val="24"/>
        </w:rPr>
        <w:t xml:space="preserve">分）：</w:t>
      </w:r>
      <w:r>
        <w:rPr>
          <w:rFonts w:ascii="宋体" w:hAnsi="宋体"/>
          <w:b/>
          <w:bCs/>
          <w:color w:val="000000"/>
          <w:sz w:val="24"/>
          <w:szCs w:val="24"/>
        </w:rPr>
      </w:r>
      <w:r/>
    </w:p>
    <w:p>
      <w:pPr>
        <w:pStyle w:val="734"/>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734"/>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734"/>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p>
    <w:p>
      <w:pPr>
        <w:pStyle w:val="734"/>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rPr>
        <w:t xml:space="preserve">4</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rPr>
      </w:r>
      <w:r/>
    </w:p>
    <w:p>
      <w:pPr>
        <w:pStyle w:val="734"/>
        <w:ind w:firstLine="480"/>
        <w:spacing w:line="500" w:lineRule="exact"/>
        <w:rPr>
          <w:rFonts w:ascii="宋体" w:hAnsi="宋体"/>
          <w:color w:val="000000"/>
          <w:sz w:val="24"/>
        </w:rPr>
      </w:pPr>
      <w:r>
        <w:rPr>
          <w:rFonts w:hint="eastAsia" w:ascii="宋体" w:hAnsi="宋体"/>
          <w:color w:val="000000"/>
          <w:sz w:val="24"/>
        </w:rPr>
        <w:t xml:space="preserve">2.1  </w:t>
      </w:r>
      <w:r>
        <w:rPr>
          <w:rFonts w:hint="eastAsia" w:ascii="宋体" w:hAnsi="宋体"/>
          <w:color w:val="000000"/>
          <w:sz w:val="24"/>
        </w:rPr>
        <w:t xml:space="preserve">项目负责人（</w:t>
      </w:r>
      <w:r>
        <w:rPr>
          <w:rFonts w:ascii="宋体" w:hAnsi="宋体"/>
          <w:color w:val="000000"/>
          <w:sz w:val="24"/>
        </w:rPr>
        <w:t xml:space="preserve">2</w:t>
      </w:r>
      <w:r>
        <w:rPr>
          <w:rFonts w:hint="eastAsia" w:ascii="宋体" w:hAnsi="宋体"/>
          <w:color w:val="000000"/>
          <w:sz w:val="24"/>
        </w:rPr>
        <w:t xml:space="preserve">分）：项目负责人具有高级信息系统项目管理师证书、ITSS IT服务项目服务经理证书的，每有一个得</w:t>
      </w:r>
      <w:r>
        <w:rPr>
          <w:rFonts w:ascii="宋体" w:hAnsi="宋体"/>
          <w:color w:val="000000"/>
          <w:sz w:val="24"/>
        </w:rPr>
        <w:t xml:space="preserve">1</w:t>
      </w:r>
      <w:r>
        <w:rPr>
          <w:rFonts w:hint="eastAsia" w:ascii="宋体" w:hAnsi="宋体"/>
          <w:color w:val="000000"/>
          <w:sz w:val="24"/>
        </w:rPr>
        <w:t xml:space="preserve">分，最高得2分。以提供证书复印件为准。</w:t>
      </w:r>
      <w:r>
        <w:rPr>
          <w:rFonts w:ascii="宋体" w:hAnsi="宋体"/>
          <w:color w:val="000000"/>
          <w:sz w:val="24"/>
        </w:rPr>
      </w:r>
      <w:r/>
    </w:p>
    <w:p>
      <w:pPr>
        <w:pStyle w:val="734"/>
        <w:ind w:firstLine="480"/>
        <w:spacing w:line="500" w:lineRule="exact"/>
        <w:rPr>
          <w:rFonts w:ascii="宋体" w:hAnsi="宋体"/>
          <w:color w:val="000000"/>
          <w:sz w:val="24"/>
        </w:rPr>
      </w:pPr>
      <w:r>
        <w:rPr>
          <w:rFonts w:hint="eastAsia" w:ascii="宋体" w:hAnsi="宋体"/>
          <w:color w:val="000000"/>
          <w:sz w:val="24"/>
        </w:rPr>
        <w:t xml:space="preserve">2.2  </w:t>
      </w:r>
      <w:r>
        <w:rPr>
          <w:rFonts w:hint="eastAsia" w:ascii="宋体" w:hAnsi="宋体"/>
          <w:color w:val="000000"/>
          <w:sz w:val="24"/>
        </w:rPr>
        <w:t xml:space="preserve">项目组成员（</w:t>
      </w:r>
      <w:r>
        <w:rPr>
          <w:rFonts w:ascii="宋体" w:hAnsi="宋体"/>
          <w:color w:val="000000"/>
          <w:sz w:val="24"/>
        </w:rPr>
        <w:t xml:space="preserve">2</w:t>
      </w:r>
      <w:r>
        <w:rPr>
          <w:rFonts w:hint="eastAsia" w:ascii="宋体" w:hAnsi="宋体"/>
          <w:color w:val="000000"/>
          <w:sz w:val="24"/>
        </w:rPr>
        <w:t xml:space="preserve">分）：项目组其他成员（除项目经理外）具备高级</w:t>
      </w:r>
      <w:r>
        <w:rPr>
          <w:rFonts w:hint="eastAsia" w:ascii="宋体" w:hAnsi="宋体"/>
          <w:color w:val="000000"/>
          <w:sz w:val="24"/>
          <w:lang w:val="zh-CN"/>
        </w:rPr>
        <w:t xml:space="preserve">系统集成项目管理工程师</w:t>
      </w:r>
      <w:r>
        <w:rPr>
          <w:rFonts w:hint="eastAsia" w:ascii="宋体" w:hAnsi="宋体"/>
          <w:color w:val="000000"/>
          <w:sz w:val="24"/>
        </w:rPr>
        <w:t xml:space="preserve">、高级IT运维工程师、ITSS IT服务工程师，每种证书得</w:t>
      </w:r>
      <w:r>
        <w:rPr>
          <w:rFonts w:ascii="宋体" w:hAnsi="宋体"/>
          <w:color w:val="000000"/>
          <w:sz w:val="24"/>
        </w:rPr>
        <w:t xml:space="preserve">1</w:t>
      </w:r>
      <w:r>
        <w:rPr>
          <w:rFonts w:hint="eastAsia" w:ascii="宋体" w:hAnsi="宋体"/>
          <w:color w:val="000000"/>
          <w:sz w:val="24"/>
        </w:rPr>
        <w:t xml:space="preserve">分，最高得</w:t>
      </w:r>
      <w:r>
        <w:rPr>
          <w:rFonts w:ascii="宋体" w:hAnsi="宋体"/>
          <w:color w:val="000000"/>
          <w:sz w:val="24"/>
        </w:rPr>
        <w:t xml:space="preserve">2</w:t>
      </w:r>
      <w:r>
        <w:rPr>
          <w:rFonts w:hint="eastAsia" w:ascii="宋体" w:hAnsi="宋体"/>
          <w:color w:val="000000"/>
          <w:sz w:val="24"/>
        </w:rPr>
        <w:t xml:space="preserve">分，同一人具有多项证书的不得重复计算。以提供证书复印件为准。</w:t>
      </w:r>
      <w:r>
        <w:rPr>
          <w:rFonts w:ascii="宋体" w:hAnsi="宋体"/>
          <w:color w:val="000000"/>
          <w:sz w:val="24"/>
        </w:rPr>
      </w:r>
      <w:r/>
    </w:p>
    <w:p>
      <w:pPr>
        <w:pStyle w:val="734"/>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rPr>
        <w:t xml:space="preserve">5</w:t>
      </w:r>
      <w:r>
        <w:rPr>
          <w:rFonts w:hint="eastAsia" w:ascii="宋体" w:hAnsi="宋体"/>
          <w:b/>
          <w:bCs/>
          <w:color w:val="000000"/>
          <w:sz w:val="24"/>
          <w:szCs w:val="24"/>
        </w:rPr>
        <w:t xml:space="preserve">分）：</w:t>
      </w:r>
      <w:r>
        <w:rPr>
          <w:rFonts w:ascii="宋体" w:hAnsi="宋体"/>
          <w:b/>
          <w:bCs/>
          <w:color w:val="000000"/>
          <w:sz w:val="24"/>
          <w:szCs w:val="24"/>
        </w:rPr>
      </w:r>
      <w:r/>
    </w:p>
    <w:p>
      <w:pPr>
        <w:pStyle w:val="734"/>
        <w:ind w:firstLine="480"/>
        <w:spacing w:line="500" w:lineRule="exact"/>
        <w:rPr>
          <w:rFonts w:ascii="宋体" w:hAnsi="宋体"/>
          <w:color w:val="000000"/>
          <w:sz w:val="24"/>
        </w:rPr>
      </w:pPr>
      <w:r>
        <w:rPr>
          <w:rFonts w:hint="eastAsia" w:ascii="宋体" w:hAnsi="宋体"/>
          <w:color w:val="000000"/>
          <w:sz w:val="24"/>
        </w:rPr>
        <w:t xml:space="preserve">3.1  </w:t>
      </w:r>
      <w:r>
        <w:rPr>
          <w:rFonts w:hint="eastAsia" w:ascii="宋体" w:hAnsi="宋体"/>
          <w:color w:val="000000"/>
          <w:sz w:val="24"/>
        </w:rPr>
        <w:t xml:space="preserve">业绩（3分）：投标人2021年1月1日以来承担过类似项目成功案例的，每提供1份有效合同复印件加盖公章得1分，最高得3分。</w:t>
      </w:r>
      <w:r>
        <w:rPr>
          <w:rFonts w:ascii="宋体" w:hAnsi="宋体"/>
          <w:color w:val="000000"/>
          <w:sz w:val="24"/>
        </w:rPr>
      </w:r>
      <w:r/>
    </w:p>
    <w:p>
      <w:pPr>
        <w:pStyle w:val="734"/>
        <w:ind w:firstLine="480"/>
        <w:spacing w:line="500" w:lineRule="exact"/>
        <w:rPr>
          <w:rFonts w:ascii="宋体" w:hAnsi="宋体"/>
          <w:color w:val="000000"/>
          <w:sz w:val="24"/>
        </w:rPr>
      </w:pPr>
      <w:r>
        <w:rPr>
          <w:rFonts w:hint="eastAsia" w:ascii="宋体" w:hAnsi="宋体"/>
          <w:color w:val="000000"/>
          <w:sz w:val="24"/>
        </w:rPr>
        <w:t xml:space="preserve">3.2  </w:t>
      </w:r>
      <w:r>
        <w:rPr>
          <w:rFonts w:hint="eastAsia" w:ascii="宋体" w:hAnsi="宋体"/>
          <w:color w:val="000000"/>
          <w:sz w:val="24"/>
        </w:rPr>
        <w:t xml:space="preserve">认证体系（2分）：投标人具有有效期内的信息技术服务管理体系认证证书、质量管理体系认证证书，每提供1个得1分，最高得2分。</w:t>
      </w:r>
      <w:r>
        <w:rPr>
          <w:rFonts w:ascii="宋体" w:hAnsi="宋体"/>
          <w:bCs/>
          <w:color w:val="000000"/>
          <w:sz w:val="24"/>
          <w:szCs w:val="24"/>
        </w:rPr>
        <w:t xml:space="preserve">（投标</w:t>
      </w:r>
      <w:r>
        <w:rPr>
          <w:rFonts w:hint="eastAsia" w:ascii="宋体" w:hAnsi="宋体"/>
          <w:bCs/>
          <w:color w:val="000000"/>
          <w:sz w:val="24"/>
          <w:szCs w:val="24"/>
        </w:rPr>
        <w:t xml:space="preserve">文件中</w:t>
      </w:r>
      <w:r>
        <w:rPr>
          <w:rFonts w:ascii="宋体" w:hAnsi="宋体"/>
          <w:bCs/>
          <w:color w:val="000000"/>
          <w:sz w:val="24"/>
          <w:szCs w:val="24"/>
        </w:rPr>
        <w:t xml:space="preserve">须提供</w:t>
      </w:r>
      <w:r>
        <w:rPr>
          <w:rFonts w:hint="eastAsia" w:ascii="宋体" w:hAnsi="宋体"/>
          <w:bCs/>
          <w:color w:val="000000"/>
          <w:sz w:val="24"/>
          <w:szCs w:val="24"/>
        </w:rPr>
        <w:t xml:space="preserve">相应</w:t>
      </w:r>
      <w:r>
        <w:rPr>
          <w:rFonts w:ascii="宋体" w:hAnsi="宋体"/>
          <w:bCs/>
          <w:color w:val="000000"/>
          <w:sz w:val="24"/>
          <w:szCs w:val="24"/>
        </w:rPr>
        <w:t xml:space="preserve">证书扫描件</w:t>
      </w:r>
      <w:r>
        <w:rPr>
          <w:rFonts w:hint="eastAsia" w:ascii="宋体" w:hAnsi="宋体"/>
          <w:bCs/>
          <w:color w:val="000000"/>
          <w:sz w:val="24"/>
          <w:szCs w:val="24"/>
        </w:rPr>
        <w:t xml:space="preserve">和相应证书在“国家市场监督管理总局-全国认证认可信息公共服务平台”网站查询到的有效认证截图，并</w:t>
      </w:r>
      <w:r>
        <w:rPr>
          <w:rFonts w:ascii="宋体" w:hAnsi="宋体"/>
          <w:bCs/>
          <w:color w:val="000000"/>
          <w:sz w:val="24"/>
          <w:szCs w:val="24"/>
        </w:rPr>
        <w:t xml:space="preserve">加盖投标人公章，否则不得分）</w:t>
      </w:r>
      <w:r>
        <w:rPr>
          <w:rFonts w:ascii="宋体" w:hAnsi="宋体"/>
          <w:color w:val="000000"/>
          <w:sz w:val="24"/>
        </w:rPr>
      </w:r>
      <w:r/>
    </w:p>
    <w:p>
      <w:pPr>
        <w:pStyle w:val="734"/>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rPr>
        <w:t xml:space="preserve">产品技术</w:t>
      </w:r>
      <w:r>
        <w:rPr>
          <w:rFonts w:hint="eastAsia" w:ascii="宋体" w:hAnsi="宋体"/>
          <w:b/>
          <w:bCs/>
          <w:color w:val="000000"/>
          <w:sz w:val="24"/>
          <w:szCs w:val="24"/>
        </w:rPr>
        <w:t xml:space="preserve">（</w:t>
      </w:r>
      <w:r>
        <w:rPr>
          <w:rFonts w:hint="eastAsia" w:ascii="宋体" w:hAnsi="宋体"/>
          <w:b/>
          <w:bCs/>
          <w:color w:val="000000"/>
          <w:sz w:val="24"/>
          <w:szCs w:val="24"/>
        </w:rPr>
        <w:t xml:space="preserve">1</w:t>
      </w:r>
      <w:r>
        <w:rPr>
          <w:rFonts w:hint="eastAsia" w:ascii="宋体" w:hAnsi="宋体"/>
          <w:b/>
          <w:bCs/>
          <w:color w:val="000000"/>
          <w:sz w:val="24"/>
          <w:szCs w:val="24"/>
        </w:rPr>
        <w:t xml:space="preserve">0</w:t>
      </w:r>
      <w:r>
        <w:rPr>
          <w:rFonts w:hint="eastAsia" w:ascii="宋体" w:hAnsi="宋体"/>
          <w:b/>
          <w:bCs/>
          <w:color w:val="000000"/>
          <w:sz w:val="24"/>
          <w:szCs w:val="24"/>
        </w:rPr>
        <w:t xml:space="preserve">分）</w:t>
      </w:r>
      <w:r>
        <w:rPr>
          <w:rFonts w:hint="eastAsia" w:ascii="宋体" w:hAnsi="宋体"/>
          <w:b/>
          <w:bCs/>
          <w:color w:val="000000"/>
          <w:sz w:val="24"/>
          <w:szCs w:val="24"/>
        </w:rPr>
        <w:t xml:space="preserve">：</w:t>
      </w:r>
      <w:r>
        <w:rPr>
          <w:rFonts w:ascii="宋体" w:hAnsi="宋体"/>
          <w:b/>
          <w:bCs/>
          <w:color w:val="000000"/>
          <w:sz w:val="24"/>
          <w:szCs w:val="24"/>
        </w:rPr>
        <w:t xml:space="preserve"> </w:t>
      </w:r>
      <w:r>
        <w:rPr>
          <w:rFonts w:ascii="宋体" w:hAnsi="宋体"/>
          <w:b/>
          <w:bCs/>
          <w:color w:val="000000"/>
          <w:sz w:val="24"/>
          <w:szCs w:val="24"/>
        </w:rPr>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4.1 </w:t>
      </w:r>
      <w:r>
        <w:rPr>
          <w:rFonts w:hint="eastAsia" w:ascii="宋体" w:hAnsi="宋体"/>
          <w:color w:val="000000"/>
          <w:sz w:val="24"/>
        </w:rPr>
        <w:t xml:space="preserve">所投数据库服务器、大数据节点服务器、前置服务器和GPU服务器预装的国产化操作系统</w:t>
      </w:r>
      <w:r>
        <w:rPr>
          <w:rFonts w:hint="eastAsia" w:ascii="宋体" w:hAnsi="宋体"/>
          <w:color w:val="000000"/>
          <w:sz w:val="24"/>
        </w:rPr>
        <w:t xml:space="preserve">（3分）</w:t>
      </w:r>
      <w:r>
        <w:rPr>
          <w:rFonts w:hint="eastAsia" w:ascii="宋体" w:hAnsi="宋体"/>
          <w:color w:val="000000"/>
          <w:sz w:val="24"/>
        </w:rPr>
        <w:t xml:space="preserve">：</w:t>
      </w:r>
      <w:r>
        <w:rPr>
          <w:rFonts w:hint="eastAsia" w:ascii="宋体" w:hAnsi="宋体"/>
          <w:color w:val="000000"/>
          <w:sz w:val="24"/>
        </w:rPr>
      </w:r>
      <w:r/>
    </w:p>
    <w:p>
      <w:pPr>
        <w:pStyle w:val="734"/>
        <w:ind w:firstLine="480"/>
        <w:spacing w:line="440" w:lineRule="exact"/>
        <w:rPr>
          <w:rFonts w:hint="eastAsia" w:ascii="宋体" w:hAnsi="宋体"/>
          <w:color w:val="000000"/>
          <w:sz w:val="24"/>
        </w:rPr>
      </w:pPr>
      <w:r>
        <w:rPr>
          <w:rFonts w:hint="eastAsia" w:ascii="宋体" w:hAnsi="宋体"/>
          <w:color w:val="000000"/>
          <w:sz w:val="24"/>
        </w:rPr>
        <w:t xml:space="preserve">①支持自研内核统一访问控制安全框架安全管控，内置式一体化安全体系，支持多策略融合的强制访问控制机制，可提供安全增强组件得</w:t>
      </w:r>
      <w:r>
        <w:rPr>
          <w:rFonts w:hint="eastAsia" w:ascii="宋体" w:hAnsi="宋体"/>
          <w:color w:val="000000"/>
          <w:sz w:val="24"/>
        </w:rPr>
        <w:t xml:space="preserve">1</w:t>
      </w:r>
      <w:r>
        <w:rPr>
          <w:rFonts w:hint="eastAsia" w:ascii="宋体" w:hAnsi="宋体"/>
          <w:color w:val="000000"/>
          <w:sz w:val="24"/>
        </w:rPr>
        <w:t xml:space="preserve">分；</w:t>
      </w:r>
      <w:r/>
    </w:p>
    <w:p>
      <w:pPr>
        <w:pStyle w:val="734"/>
        <w:ind w:firstLine="480"/>
        <w:spacing w:line="440" w:lineRule="exact"/>
        <w:rPr>
          <w:rFonts w:hint="eastAsia" w:ascii="宋体" w:hAnsi="宋体"/>
          <w:color w:val="000000"/>
          <w:sz w:val="24"/>
        </w:rPr>
      </w:pPr>
      <w:r>
        <w:rPr>
          <w:rFonts w:hint="eastAsia" w:ascii="宋体" w:hAnsi="宋体"/>
          <w:color w:val="000000"/>
          <w:sz w:val="24"/>
        </w:rPr>
        <w:t xml:space="preserve">②系统可支持强制访问控制，并可提供多种强制访问控制联合加载，包括SELINUX、APPARMOR等得</w:t>
      </w:r>
      <w:r>
        <w:rPr>
          <w:rFonts w:hint="eastAsia" w:ascii="宋体" w:hAnsi="宋体"/>
          <w:color w:val="000000"/>
          <w:sz w:val="24"/>
        </w:rPr>
        <w:t xml:space="preserve">1</w:t>
      </w:r>
      <w:r>
        <w:rPr>
          <w:rFonts w:hint="eastAsia" w:ascii="宋体" w:hAnsi="宋体"/>
          <w:color w:val="000000"/>
          <w:sz w:val="24"/>
        </w:rPr>
        <w:t xml:space="preserve">分；</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③</w:t>
      </w:r>
      <w:r>
        <w:rPr>
          <w:rFonts w:hint="eastAsia" w:ascii="宋体" w:hAnsi="宋体"/>
          <w:color w:val="000000"/>
          <w:sz w:val="24"/>
        </w:rPr>
        <w:t xml:space="preserve">支</w:t>
      </w:r>
      <w:r>
        <w:rPr>
          <w:rFonts w:hint="eastAsia" w:ascii="宋体" w:hAnsi="宋体"/>
          <w:color w:val="000000"/>
          <w:sz w:val="24"/>
        </w:rPr>
        <w:t xml:space="preserve">持RPM软件包管理工具DNF，提供自主研发的rpm到deb软件包格式转换工具和模块，提供软著复印件和系统截图证明材料并加盖原厂公章得</w:t>
      </w:r>
      <w:r>
        <w:rPr>
          <w:rFonts w:hint="eastAsia" w:ascii="宋体" w:hAnsi="宋体"/>
          <w:color w:val="000000"/>
          <w:sz w:val="24"/>
        </w:rPr>
        <w:t xml:space="preserve">1</w:t>
      </w:r>
      <w:r>
        <w:rPr>
          <w:rFonts w:hint="eastAsia" w:ascii="宋体" w:hAnsi="宋体"/>
          <w:color w:val="000000"/>
          <w:sz w:val="24"/>
        </w:rPr>
        <w:t xml:space="preserve">分。</w:t>
      </w:r>
      <w:r>
        <w:rPr>
          <w:rFonts w:hint="eastAsia" w:ascii="宋体" w:hAnsi="宋体"/>
          <w:color w:val="000000"/>
          <w:sz w:val="24"/>
        </w:rPr>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4.</w:t>
      </w:r>
      <w:r>
        <w:rPr>
          <w:rFonts w:hint="eastAsia" w:ascii="宋体" w:hAnsi="宋体"/>
          <w:color w:val="000000"/>
          <w:sz w:val="24"/>
        </w:rPr>
        <w:t xml:space="preserve">2</w:t>
      </w:r>
      <w:r>
        <w:rPr>
          <w:rFonts w:hint="eastAsia" w:ascii="宋体" w:hAnsi="宋体"/>
          <w:color w:val="000000"/>
          <w:sz w:val="24"/>
        </w:rPr>
        <w:t xml:space="preserve">  所投数据库服务器、大数据节点服务器、前置服务器和G</w:t>
      </w:r>
      <w:r>
        <w:rPr>
          <w:rFonts w:ascii="宋体" w:hAnsi="宋体"/>
          <w:color w:val="000000"/>
          <w:sz w:val="24"/>
        </w:rPr>
        <w:t xml:space="preserve">PU</w:t>
      </w:r>
      <w:r>
        <w:rPr>
          <w:rFonts w:hint="eastAsia" w:ascii="宋体" w:hAnsi="宋体"/>
          <w:color w:val="000000"/>
          <w:sz w:val="24"/>
        </w:rPr>
        <w:t xml:space="preserve">服务器预装的国产化操作系统内置国密算法，内核kernel 4.19稳定版本及以上，支持基于国密算法的加解密应用，支持可信计算，提供产品白皮书截图并加盖原厂公章，满足得1分，不满足不得分；</w:t>
      </w:r>
      <w:r/>
    </w:p>
    <w:p>
      <w:pPr>
        <w:pStyle w:val="734"/>
        <w:ind w:firstLine="480"/>
        <w:spacing w:line="440" w:lineRule="exact"/>
        <w:rPr>
          <w:rFonts w:hint="eastAsia" w:ascii="宋体" w:hAnsi="宋体"/>
          <w:color w:val="000000"/>
          <w:sz w:val="24"/>
        </w:rPr>
      </w:pPr>
      <w:r>
        <w:rPr>
          <w:rFonts w:hint="eastAsia" w:ascii="宋体" w:hAnsi="宋体"/>
          <w:color w:val="000000"/>
          <w:sz w:val="24"/>
        </w:rPr>
        <w:t xml:space="preserve">4.</w:t>
      </w:r>
      <w:r>
        <w:rPr>
          <w:rFonts w:hint="eastAsia" w:ascii="宋体" w:hAnsi="宋体"/>
          <w:color w:val="000000"/>
          <w:sz w:val="24"/>
        </w:rPr>
        <w:t xml:space="preserve">3</w:t>
      </w:r>
      <w:r>
        <w:rPr>
          <w:rFonts w:hint="eastAsia" w:ascii="宋体" w:hAnsi="宋体"/>
          <w:color w:val="000000"/>
          <w:sz w:val="24"/>
        </w:rPr>
        <w:t xml:space="preserve">  所投GPU服务器支持备份功能</w:t>
      </w:r>
      <w:r>
        <w:rPr>
          <w:rFonts w:hint="eastAsia" w:ascii="宋体" w:hAnsi="宋体"/>
          <w:color w:val="000000"/>
          <w:sz w:val="24"/>
        </w:rPr>
        <w:t xml:space="preserve">（3分）</w:t>
      </w:r>
      <w:r>
        <w:rPr>
          <w:rFonts w:hint="eastAsia" w:ascii="宋体" w:hAnsi="宋体"/>
          <w:color w:val="000000"/>
          <w:sz w:val="24"/>
        </w:rPr>
        <w:t xml:space="preserve">：</w:t>
      </w:r>
      <w:r/>
    </w:p>
    <w:p>
      <w:pPr>
        <w:pStyle w:val="734"/>
        <w:ind w:firstLine="480"/>
        <w:spacing w:line="440" w:lineRule="exact"/>
        <w:rPr>
          <w:rFonts w:hint="eastAsia" w:ascii="宋体" w:hAnsi="宋体"/>
          <w:color w:val="000000"/>
          <w:sz w:val="24"/>
        </w:rPr>
      </w:pPr>
      <w:r>
        <w:rPr>
          <w:rFonts w:hint="eastAsia" w:ascii="宋体" w:hAnsi="宋体"/>
          <w:color w:val="000000"/>
          <w:sz w:val="24"/>
        </w:rPr>
        <w:t xml:space="preserve">①支持主流国产化操作系统及数据库备份得1分。</w:t>
      </w:r>
      <w:r/>
    </w:p>
    <w:p>
      <w:pPr>
        <w:pStyle w:val="734"/>
        <w:ind w:firstLine="480"/>
        <w:spacing w:line="440" w:lineRule="exact"/>
        <w:rPr>
          <w:rFonts w:hint="eastAsia" w:ascii="宋体" w:hAnsi="宋体"/>
          <w:color w:val="000000"/>
          <w:sz w:val="24"/>
        </w:rPr>
      </w:pPr>
      <w:r>
        <w:rPr>
          <w:rFonts w:hint="eastAsia" w:ascii="宋体" w:hAnsi="宋体"/>
          <w:color w:val="000000"/>
          <w:sz w:val="24"/>
        </w:rPr>
        <w:t xml:space="preserve">②支持普通和三权分立多种运维访问管理模式得1分。</w:t>
      </w:r>
      <w:r/>
    </w:p>
    <w:p>
      <w:pPr>
        <w:pStyle w:val="734"/>
        <w:ind w:firstLine="480"/>
        <w:spacing w:line="440" w:lineRule="exact"/>
        <w:rPr>
          <w:rFonts w:hint="eastAsia" w:ascii="宋体" w:hAnsi="宋体"/>
          <w:color w:val="000000"/>
          <w:sz w:val="24"/>
        </w:rPr>
      </w:pPr>
      <w:r>
        <w:rPr>
          <w:rFonts w:hint="eastAsia" w:ascii="宋体" w:hAnsi="宋体"/>
          <w:color w:val="000000"/>
          <w:sz w:val="24"/>
        </w:rPr>
        <w:t xml:space="preserve">③具备数据安全隔离模式，提供功能截图并加盖原厂公章得1分。</w:t>
      </w:r>
      <w:r/>
    </w:p>
    <w:p>
      <w:pPr>
        <w:pStyle w:val="734"/>
        <w:ind w:firstLine="480"/>
        <w:spacing w:line="440" w:lineRule="exact"/>
        <w:rPr>
          <w:rFonts w:ascii="宋体" w:hAnsi="宋体"/>
          <w:color w:val="000000"/>
          <w:sz w:val="24"/>
        </w:rPr>
      </w:pPr>
      <w:r>
        <w:rPr>
          <w:rFonts w:hint="eastAsia" w:ascii="宋体" w:hAnsi="宋体"/>
          <w:color w:val="000000"/>
          <w:sz w:val="24"/>
        </w:rPr>
        <w:t xml:space="preserve">4.4  </w:t>
      </w:r>
      <w:r>
        <w:rPr>
          <w:rFonts w:hint="eastAsia" w:ascii="宋体" w:hAnsi="宋体"/>
          <w:color w:val="000000"/>
          <w:sz w:val="24"/>
        </w:rPr>
        <w:t xml:space="preserve">所投数据库服务器、大数据节点服务器、前置服务器和G</w:t>
      </w:r>
      <w:r>
        <w:rPr>
          <w:rFonts w:ascii="宋体" w:hAnsi="宋体"/>
          <w:color w:val="000000"/>
          <w:sz w:val="24"/>
        </w:rPr>
        <w:t xml:space="preserve">PU</w:t>
      </w:r>
      <w:r>
        <w:rPr>
          <w:rFonts w:hint="eastAsia" w:ascii="宋体" w:hAnsi="宋体"/>
          <w:color w:val="000000"/>
          <w:sz w:val="24"/>
        </w:rPr>
        <w:t xml:space="preserve">服务器支持</w:t>
      </w:r>
      <w:r>
        <w:rPr>
          <w:rFonts w:hint="eastAsia" w:ascii="宋体" w:hAnsi="宋体"/>
          <w:color w:val="000000"/>
          <w:sz w:val="24"/>
        </w:rPr>
        <w:t xml:space="preserve">（3分）</w:t>
      </w:r>
      <w:r>
        <w:rPr>
          <w:rFonts w:ascii="宋体" w:hAnsi="宋体"/>
          <w:color w:val="000000"/>
          <w:sz w:val="24"/>
        </w:rPr>
        <w:t xml:space="preserve">：</w:t>
      </w:r>
      <w:r/>
    </w:p>
    <w:p>
      <w:pPr>
        <w:pStyle w:val="734"/>
        <w:ind w:firstLine="480"/>
        <w:spacing w:line="440" w:lineRule="exact"/>
        <w:rPr>
          <w:rFonts w:ascii="宋体" w:hAnsi="宋体"/>
          <w:color w:val="000000"/>
          <w:sz w:val="24"/>
        </w:rPr>
      </w:pPr>
      <w:r>
        <w:rPr>
          <w:rFonts w:ascii="宋体" w:hAnsi="宋体"/>
          <w:color w:val="000000"/>
          <w:sz w:val="24"/>
        </w:rPr>
        <w:fldChar w:fldCharType="begin"/>
      </w:r>
      <w:r>
        <w:rPr>
          <w:rFonts w:ascii="宋体" w:hAnsi="宋体"/>
          <w:color w:val="000000"/>
          <w:sz w:val="24"/>
        </w:rPr>
        <w:instrText xml:space="preserve"> </w:instrText>
      </w:r>
      <w:r>
        <w:rPr>
          <w:rFonts w:hint="eastAsia" w:ascii="宋体" w:hAnsi="宋体"/>
          <w:color w:val="000000"/>
          <w:sz w:val="24"/>
        </w:rPr>
        <w:instrText xml:space="preserve">= 1 \* GB3</w:instrText>
      </w:r>
      <w:r>
        <w:rPr>
          <w:rFonts w:ascii="宋体" w:hAnsi="宋体"/>
          <w:color w:val="000000"/>
          <w:sz w:val="24"/>
        </w:rPr>
        <w:instrText xml:space="preserve"> </w:instrText>
      </w:r>
      <w:r>
        <w:rPr>
          <w:rFonts w:ascii="宋体" w:hAnsi="宋体"/>
          <w:color w:val="000000"/>
          <w:sz w:val="24"/>
        </w:rPr>
        <w:fldChar w:fldCharType="separate"/>
      </w:r>
      <w:r>
        <w:rPr>
          <w:rFonts w:hint="eastAsia" w:ascii="宋体" w:hAnsi="宋体"/>
          <w:color w:val="000000"/>
          <w:sz w:val="24"/>
        </w:rPr>
        <w:t xml:space="preserve">①</w:t>
      </w:r>
      <w:r>
        <w:rPr>
          <w:rFonts w:ascii="宋体" w:hAnsi="宋体"/>
          <w:color w:val="000000"/>
          <w:sz w:val="24"/>
        </w:rPr>
        <w:fldChar w:fldCharType="end"/>
      </w:r>
      <w:r>
        <w:rPr>
          <w:rFonts w:hint="eastAsia" w:ascii="宋体" w:hAnsi="宋体"/>
          <w:color w:val="000000"/>
          <w:sz w:val="24"/>
        </w:rPr>
        <w:t xml:space="preserve">预装的国产化操作系统内置国密算法；</w:t>
      </w:r>
      <w:r>
        <w:rPr>
          <w:rFonts w:ascii="宋体" w:hAnsi="宋体"/>
          <w:color w:val="000000"/>
          <w:sz w:val="24"/>
        </w:rPr>
      </w:r>
      <w:r/>
    </w:p>
    <w:p>
      <w:pPr>
        <w:pStyle w:val="734"/>
        <w:ind w:firstLine="480"/>
        <w:spacing w:line="440" w:lineRule="exact"/>
        <w:rPr>
          <w:rFonts w:ascii="宋体" w:hAnsi="宋体"/>
          <w:color w:val="000000"/>
          <w:sz w:val="24"/>
        </w:rPr>
      </w:pPr>
      <w:r>
        <w:rPr>
          <w:rFonts w:ascii="宋体" w:hAnsi="宋体"/>
          <w:color w:val="000000"/>
          <w:sz w:val="24"/>
        </w:rPr>
        <w:fldChar w:fldCharType="begin"/>
      </w:r>
      <w:r>
        <w:rPr>
          <w:rFonts w:ascii="宋体" w:hAnsi="宋体"/>
          <w:color w:val="000000"/>
          <w:sz w:val="24"/>
        </w:rPr>
        <w:instrText xml:space="preserve"> </w:instrText>
      </w:r>
      <w:r>
        <w:rPr>
          <w:rFonts w:hint="eastAsia" w:ascii="宋体" w:hAnsi="宋体"/>
          <w:color w:val="000000"/>
          <w:sz w:val="24"/>
        </w:rPr>
        <w:instrText xml:space="preserve">= 2 \* GB3</w:instrText>
      </w:r>
      <w:r>
        <w:rPr>
          <w:rFonts w:ascii="宋体" w:hAnsi="宋体"/>
          <w:color w:val="000000"/>
          <w:sz w:val="24"/>
        </w:rPr>
        <w:instrText xml:space="preserve"> </w:instrText>
      </w:r>
      <w:r>
        <w:rPr>
          <w:rFonts w:ascii="宋体" w:hAnsi="宋体"/>
          <w:color w:val="000000"/>
          <w:sz w:val="24"/>
        </w:rPr>
        <w:fldChar w:fldCharType="separate"/>
      </w:r>
      <w:r>
        <w:rPr>
          <w:rFonts w:hint="eastAsia" w:ascii="宋体" w:hAnsi="宋体"/>
          <w:color w:val="000000"/>
          <w:sz w:val="24"/>
        </w:rPr>
        <w:t xml:space="preserve">②</w:t>
      </w:r>
      <w:r>
        <w:rPr>
          <w:rFonts w:ascii="宋体" w:hAnsi="宋体"/>
          <w:color w:val="000000"/>
          <w:sz w:val="24"/>
        </w:rPr>
        <w:fldChar w:fldCharType="end"/>
      </w:r>
      <w:r>
        <w:rPr>
          <w:rFonts w:hint="eastAsia" w:ascii="宋体" w:hAnsi="宋体"/>
          <w:color w:val="000000"/>
          <w:sz w:val="24"/>
        </w:rPr>
        <w:t xml:space="preserve">内核kernel 4.19稳定版本及以上；</w:t>
      </w:r>
      <w:r>
        <w:rPr>
          <w:rFonts w:ascii="宋体" w:hAnsi="宋体"/>
          <w:color w:val="000000"/>
          <w:sz w:val="24"/>
        </w:rPr>
      </w:r>
      <w:r/>
    </w:p>
    <w:p>
      <w:pPr>
        <w:pStyle w:val="734"/>
        <w:ind w:firstLine="480"/>
        <w:spacing w:line="440" w:lineRule="exact"/>
        <w:rPr>
          <w:rFonts w:hint="eastAsia" w:ascii="宋体" w:hAnsi="宋体"/>
          <w:color w:val="000000"/>
          <w:sz w:val="24"/>
        </w:rPr>
      </w:pPr>
      <w:r>
        <w:rPr>
          <w:rFonts w:ascii="宋体" w:hAnsi="宋体"/>
          <w:color w:val="000000"/>
          <w:sz w:val="24"/>
        </w:rPr>
        <w:fldChar w:fldCharType="begin"/>
      </w:r>
      <w:r>
        <w:rPr>
          <w:rFonts w:ascii="宋体" w:hAnsi="宋体"/>
          <w:color w:val="000000"/>
          <w:sz w:val="24"/>
        </w:rPr>
        <w:instrText xml:space="preserve"> </w:instrText>
      </w:r>
      <w:r>
        <w:rPr>
          <w:rFonts w:hint="eastAsia" w:ascii="宋体" w:hAnsi="宋体"/>
          <w:color w:val="000000"/>
          <w:sz w:val="24"/>
        </w:rPr>
        <w:instrText xml:space="preserve">= 3 \* GB3</w:instrText>
      </w:r>
      <w:r>
        <w:rPr>
          <w:rFonts w:ascii="宋体" w:hAnsi="宋体"/>
          <w:color w:val="000000"/>
          <w:sz w:val="24"/>
        </w:rPr>
        <w:instrText xml:space="preserve"> </w:instrText>
      </w:r>
      <w:r>
        <w:rPr>
          <w:rFonts w:ascii="宋体" w:hAnsi="宋体"/>
          <w:color w:val="000000"/>
          <w:sz w:val="24"/>
        </w:rPr>
        <w:fldChar w:fldCharType="separate"/>
      </w:r>
      <w:r>
        <w:rPr>
          <w:rFonts w:hint="eastAsia" w:ascii="宋体" w:hAnsi="宋体"/>
          <w:color w:val="000000"/>
          <w:sz w:val="24"/>
        </w:rPr>
        <w:t xml:space="preserve">③</w:t>
      </w:r>
      <w:r>
        <w:rPr>
          <w:rFonts w:ascii="宋体" w:hAnsi="宋体"/>
          <w:color w:val="000000"/>
          <w:sz w:val="24"/>
        </w:rPr>
        <w:fldChar w:fldCharType="end"/>
      </w:r>
      <w:r>
        <w:rPr>
          <w:rFonts w:hint="eastAsia" w:ascii="宋体" w:hAnsi="宋体"/>
          <w:color w:val="000000"/>
          <w:sz w:val="24"/>
        </w:rPr>
        <w:t xml:space="preserve">支持基于国密算法的加解密应用，支持可信计算，提供产品白皮书截图并加盖原厂公章。每满足1项得</w:t>
      </w:r>
      <w:r>
        <w:rPr>
          <w:rFonts w:ascii="宋体" w:hAnsi="宋体"/>
          <w:color w:val="000000"/>
          <w:sz w:val="24"/>
        </w:rPr>
        <w:t xml:space="preserve">1</w:t>
      </w:r>
      <w:r>
        <w:rPr>
          <w:rFonts w:hint="eastAsia" w:ascii="宋体" w:hAnsi="宋体"/>
          <w:color w:val="000000"/>
          <w:sz w:val="24"/>
        </w:rPr>
        <w:t xml:space="preserve">分，满分</w:t>
      </w:r>
      <w:r>
        <w:rPr>
          <w:rFonts w:ascii="宋体" w:hAnsi="宋体"/>
          <w:color w:val="000000"/>
          <w:sz w:val="24"/>
        </w:rPr>
        <w:t xml:space="preserve">3</w:t>
      </w:r>
      <w:r>
        <w:rPr>
          <w:rFonts w:hint="eastAsia" w:ascii="宋体" w:hAnsi="宋体"/>
          <w:color w:val="000000"/>
          <w:sz w:val="24"/>
        </w:rPr>
        <w:t xml:space="preserve">分，不满足不得分；</w:t>
      </w:r>
      <w:r/>
    </w:p>
    <w:p>
      <w:pPr>
        <w:pStyle w:val="734"/>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rPr>
        <w:t xml:space="preserve">（</w:t>
      </w:r>
      <w:r>
        <w:rPr>
          <w:rFonts w:hint="eastAsia" w:ascii="宋体" w:hAnsi="宋体"/>
          <w:b/>
          <w:bCs/>
          <w:color w:val="000000"/>
          <w:sz w:val="24"/>
          <w:szCs w:val="24"/>
        </w:rPr>
        <w:t xml:space="preserve">44</w:t>
      </w:r>
      <w:r>
        <w:rPr>
          <w:rFonts w:hint="eastAsia" w:ascii="宋体" w:hAnsi="宋体"/>
          <w:b/>
          <w:bCs/>
          <w:color w:val="000000"/>
          <w:sz w:val="24"/>
          <w:szCs w:val="24"/>
        </w:rPr>
        <w:t xml:space="preserve">分）：</w:t>
      </w:r>
      <w:r>
        <w:rPr>
          <w:rFonts w:hint="eastAsia" w:ascii="宋体" w:hAnsi="宋体"/>
          <w:b/>
          <w:bCs/>
          <w:color w:val="000000"/>
          <w:sz w:val="24"/>
          <w:szCs w:val="24"/>
        </w:rPr>
        <w:t xml:space="preserve">无方案不得分</w:t>
      </w:r>
      <w:r>
        <w:rPr>
          <w:rFonts w:ascii="宋体" w:hAnsi="宋体"/>
          <w:b/>
          <w:bCs/>
          <w:color w:val="000000"/>
          <w:sz w:val="24"/>
          <w:szCs w:val="24"/>
        </w:rPr>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5.1  </w:t>
      </w:r>
      <w:r>
        <w:rPr>
          <w:rFonts w:hint="eastAsia" w:ascii="宋体" w:hAnsi="宋体"/>
          <w:color w:val="000000"/>
          <w:sz w:val="24"/>
        </w:rPr>
        <w:t xml:space="preserve">项目理解与技术方案（</w:t>
      </w:r>
      <w:r>
        <w:rPr>
          <w:rFonts w:hint="eastAsia" w:ascii="宋体" w:hAnsi="宋体"/>
          <w:color w:val="000000"/>
          <w:sz w:val="24"/>
        </w:rPr>
        <w:t xml:space="preserve">12</w:t>
      </w:r>
      <w:r>
        <w:rPr>
          <w:rFonts w:hint="eastAsia" w:ascii="宋体" w:hAnsi="宋体"/>
          <w:color w:val="000000"/>
          <w:sz w:val="24"/>
        </w:rPr>
        <w:t xml:space="preserve">分）：针对投标人提供的技术方案，评委根据项目理解程度、技术方案内容合理性等因素进行酌情打分：</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方案完整详实、合理、可行性强且符合实际要求的最多得</w:t>
      </w:r>
      <w:r>
        <w:rPr>
          <w:rFonts w:hint="eastAsia" w:ascii="宋体" w:hAnsi="宋体"/>
          <w:color w:val="000000"/>
          <w:sz w:val="24"/>
        </w:rPr>
        <w:t xml:space="preserve">12</w:t>
      </w:r>
      <w:r>
        <w:rPr>
          <w:rFonts w:hint="eastAsia" w:ascii="宋体" w:hAnsi="宋体"/>
          <w:color w:val="000000"/>
          <w:sz w:val="24"/>
        </w:rPr>
        <w:t xml:space="preserve">分。</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方案可行性较好、合理、较为符合实际情况的得</w:t>
      </w:r>
      <w:r>
        <w:rPr>
          <w:rFonts w:hint="eastAsia" w:ascii="宋体" w:hAnsi="宋体"/>
          <w:color w:val="000000"/>
          <w:sz w:val="24"/>
        </w:rPr>
        <w:t xml:space="preserve">9</w:t>
      </w:r>
      <w:r>
        <w:rPr>
          <w:rFonts w:hint="eastAsia" w:ascii="宋体" w:hAnsi="宋体"/>
          <w:color w:val="000000"/>
          <w:sz w:val="24"/>
        </w:rPr>
        <w:t xml:space="preserve">分。</w:t>
      </w:r>
      <w:r/>
    </w:p>
    <w:p>
      <w:pPr>
        <w:pStyle w:val="734"/>
        <w:ind w:firstLine="480"/>
        <w:spacing w:line="500" w:lineRule="exact"/>
        <w:rPr>
          <w:rFonts w:ascii="宋体" w:hAnsi="宋体"/>
          <w:color w:val="000000"/>
          <w:sz w:val="24"/>
        </w:rPr>
      </w:pPr>
      <w:r>
        <w:rPr>
          <w:rFonts w:hint="eastAsia" w:ascii="宋体" w:hAnsi="宋体"/>
          <w:color w:val="000000"/>
          <w:sz w:val="24"/>
        </w:rPr>
        <w:t xml:space="preserve">方案基本可行、基本合理且满足招标文件基本要求的得</w:t>
      </w:r>
      <w:r>
        <w:rPr>
          <w:rFonts w:hint="eastAsia" w:ascii="宋体" w:hAnsi="宋体"/>
          <w:color w:val="000000"/>
          <w:sz w:val="24"/>
        </w:rPr>
        <w:t xml:space="preserve">6</w:t>
      </w:r>
      <w:r>
        <w:rPr>
          <w:rFonts w:hint="eastAsia" w:ascii="宋体" w:hAnsi="宋体"/>
          <w:color w:val="000000"/>
          <w:sz w:val="24"/>
        </w:rPr>
        <w:t xml:space="preserve">分。</w:t>
      </w:r>
      <w:r>
        <w:rPr>
          <w:rFonts w:ascii="宋体" w:hAnsi="宋体"/>
          <w:color w:val="000000"/>
          <w:sz w:val="24"/>
        </w:rPr>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5.2  </w:t>
      </w:r>
      <w:r>
        <w:rPr>
          <w:rFonts w:hint="eastAsia" w:ascii="宋体" w:hAnsi="宋体"/>
          <w:color w:val="000000"/>
          <w:sz w:val="24"/>
        </w:rPr>
        <w:t xml:space="preserve">安装调试方案（</w:t>
      </w:r>
      <w:r>
        <w:rPr>
          <w:rFonts w:hint="eastAsia" w:ascii="宋体" w:hAnsi="宋体"/>
          <w:color w:val="000000"/>
          <w:sz w:val="24"/>
        </w:rPr>
        <w:t xml:space="preserve">12</w:t>
      </w:r>
      <w:r>
        <w:rPr>
          <w:rFonts w:hint="eastAsia" w:ascii="宋体" w:hAnsi="宋体"/>
          <w:color w:val="000000"/>
          <w:sz w:val="24"/>
        </w:rPr>
        <w:t xml:space="preserve">分）：针对投标人提供的安装调试方案，评委根据安装调试方案的合理性、可行性，包括各类系统安装方案、安装管理（组织、进度计划、技术力量安排等）、技术支撑保障等内容进行酌情打分；</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方案完整详实、合理、可行性强且符合实际要求的最多得</w:t>
      </w:r>
      <w:r>
        <w:rPr>
          <w:rFonts w:hint="eastAsia" w:ascii="宋体" w:hAnsi="宋体"/>
          <w:color w:val="000000"/>
          <w:sz w:val="24"/>
        </w:rPr>
        <w:t xml:space="preserve">12</w:t>
      </w:r>
      <w:r>
        <w:rPr>
          <w:rFonts w:hint="eastAsia" w:ascii="宋体" w:hAnsi="宋体"/>
          <w:color w:val="000000"/>
          <w:sz w:val="24"/>
        </w:rPr>
        <w:t xml:space="preserve">分。</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方案可行性较好、合理、较为符合实际情况的得</w:t>
      </w:r>
      <w:r>
        <w:rPr>
          <w:rFonts w:hint="eastAsia" w:ascii="宋体" w:hAnsi="宋体"/>
          <w:color w:val="000000"/>
          <w:sz w:val="24"/>
        </w:rPr>
        <w:t xml:space="preserve">9</w:t>
      </w:r>
      <w:r>
        <w:rPr>
          <w:rFonts w:hint="eastAsia" w:ascii="宋体" w:hAnsi="宋体"/>
          <w:color w:val="000000"/>
          <w:sz w:val="24"/>
        </w:rPr>
        <w:t xml:space="preserve">分。</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方案基本可行、基本合理且满足招标文件基本要求的得</w:t>
      </w:r>
      <w:r>
        <w:rPr>
          <w:rFonts w:hint="eastAsia" w:ascii="宋体" w:hAnsi="宋体"/>
          <w:color w:val="000000"/>
          <w:sz w:val="24"/>
        </w:rPr>
        <w:t xml:space="preserve">6</w:t>
      </w:r>
      <w:r>
        <w:rPr>
          <w:rFonts w:hint="eastAsia" w:ascii="宋体" w:hAnsi="宋体"/>
          <w:color w:val="000000"/>
          <w:sz w:val="24"/>
        </w:rPr>
        <w:t xml:space="preserve">分。</w:t>
      </w:r>
      <w:r>
        <w:rPr>
          <w:rFonts w:hint="eastAsia" w:ascii="宋体" w:hAnsi="宋体"/>
          <w:color w:val="000000"/>
          <w:sz w:val="24"/>
        </w:rPr>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5.3  售后服务方案 (</w:t>
      </w:r>
      <w:r>
        <w:rPr>
          <w:rFonts w:hint="eastAsia" w:ascii="宋体" w:hAnsi="宋体"/>
          <w:color w:val="000000"/>
          <w:sz w:val="24"/>
        </w:rPr>
        <w:t xml:space="preserve">10</w:t>
      </w:r>
      <w:r>
        <w:rPr>
          <w:rFonts w:hint="eastAsia" w:ascii="宋体" w:hAnsi="宋体"/>
          <w:color w:val="000000"/>
          <w:sz w:val="24"/>
        </w:rPr>
        <w:t xml:space="preserve">分)：针对投标人提供的售后服务方案，评委根据方案描述的设备日常维护、功能维护、简单故障排除方法、系统升级实施方法等内容进行酌情打分；</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方案完整详实、合理、可行性强且符合实际要求的最多得</w:t>
      </w:r>
      <w:r>
        <w:rPr>
          <w:rFonts w:hint="eastAsia" w:ascii="宋体" w:hAnsi="宋体"/>
          <w:color w:val="000000"/>
          <w:sz w:val="24"/>
        </w:rPr>
        <w:t xml:space="preserve">10</w:t>
      </w:r>
      <w:r>
        <w:rPr>
          <w:rFonts w:hint="eastAsia" w:ascii="宋体" w:hAnsi="宋体"/>
          <w:color w:val="000000"/>
          <w:sz w:val="24"/>
        </w:rPr>
        <w:t xml:space="preserve">分。</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方案可行性较好、合理、较为符合实际情况的得</w:t>
      </w:r>
      <w:r>
        <w:rPr>
          <w:rFonts w:hint="eastAsia" w:ascii="宋体" w:hAnsi="宋体"/>
          <w:color w:val="000000"/>
          <w:sz w:val="24"/>
        </w:rPr>
        <w:t xml:space="preserve">8</w:t>
      </w:r>
      <w:r>
        <w:rPr>
          <w:rFonts w:hint="eastAsia" w:ascii="宋体" w:hAnsi="宋体"/>
          <w:color w:val="000000"/>
          <w:sz w:val="24"/>
        </w:rPr>
        <w:t xml:space="preserve">分。</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方案基本可行、基本合理且满足招标文件基本要求的得</w:t>
      </w:r>
      <w:r>
        <w:rPr>
          <w:rFonts w:hint="eastAsia" w:ascii="宋体" w:hAnsi="宋体"/>
          <w:color w:val="000000"/>
          <w:sz w:val="24"/>
        </w:rPr>
        <w:t xml:space="preserve">5</w:t>
      </w:r>
      <w:r>
        <w:rPr>
          <w:rFonts w:hint="eastAsia" w:ascii="宋体" w:hAnsi="宋体"/>
          <w:color w:val="000000"/>
          <w:sz w:val="24"/>
        </w:rPr>
        <w:t xml:space="preserve">分。</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5.4  培训方案（</w:t>
      </w:r>
      <w:r>
        <w:rPr>
          <w:rFonts w:hint="eastAsia" w:ascii="宋体" w:hAnsi="宋体"/>
          <w:color w:val="000000"/>
          <w:sz w:val="24"/>
        </w:rPr>
        <w:t xml:space="preserve">10</w:t>
      </w:r>
      <w:r>
        <w:rPr>
          <w:rFonts w:hint="eastAsia" w:ascii="宋体" w:hAnsi="宋体"/>
          <w:color w:val="000000"/>
          <w:sz w:val="24"/>
        </w:rPr>
        <w:t xml:space="preserve">分）：针对投标人提供的培训服务方案，评委根据培训内容、培训方案合理程度、培训方式、场地安排、时间安排等因素进行酌情打分；</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方案完整详实、合理、可行性强且符合实际要求的最多得</w:t>
      </w:r>
      <w:r>
        <w:rPr>
          <w:rFonts w:hint="eastAsia" w:ascii="宋体" w:hAnsi="宋体"/>
          <w:color w:val="000000"/>
          <w:sz w:val="24"/>
        </w:rPr>
        <w:t xml:space="preserve">10</w:t>
      </w:r>
      <w:r>
        <w:rPr>
          <w:rFonts w:hint="eastAsia" w:ascii="宋体" w:hAnsi="宋体"/>
          <w:color w:val="000000"/>
          <w:sz w:val="24"/>
        </w:rPr>
        <w:t xml:space="preserve">分。</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方案可行性较好、合理、较为符合实际情况的得</w:t>
      </w:r>
      <w:r>
        <w:rPr>
          <w:rFonts w:hint="eastAsia" w:ascii="宋体" w:hAnsi="宋体"/>
          <w:color w:val="000000"/>
          <w:sz w:val="24"/>
        </w:rPr>
        <w:t xml:space="preserve">8</w:t>
      </w:r>
      <w:r>
        <w:rPr>
          <w:rFonts w:hint="eastAsia" w:ascii="宋体" w:hAnsi="宋体"/>
          <w:color w:val="000000"/>
          <w:sz w:val="24"/>
        </w:rPr>
        <w:t xml:space="preserve">分。</w:t>
      </w:r>
      <w:r/>
    </w:p>
    <w:p>
      <w:pPr>
        <w:pStyle w:val="734"/>
        <w:ind w:firstLine="480"/>
        <w:spacing w:line="500" w:lineRule="exact"/>
        <w:rPr>
          <w:rFonts w:ascii="宋体" w:hAnsi="宋体"/>
          <w:color w:val="000000"/>
          <w:sz w:val="24"/>
        </w:rPr>
      </w:pPr>
      <w:r>
        <w:rPr>
          <w:rFonts w:hint="eastAsia" w:ascii="宋体" w:hAnsi="宋体"/>
          <w:color w:val="000000"/>
          <w:sz w:val="24"/>
        </w:rPr>
        <w:t xml:space="preserve">方案基本可行、基本合理且满足招标文件基本要求的得</w:t>
      </w:r>
      <w:r>
        <w:rPr>
          <w:rFonts w:hint="eastAsia" w:ascii="宋体" w:hAnsi="宋体"/>
          <w:color w:val="000000"/>
          <w:sz w:val="24"/>
        </w:rPr>
        <w:t xml:space="preserve">5</w:t>
      </w:r>
      <w:r>
        <w:rPr>
          <w:rFonts w:hint="eastAsia" w:ascii="宋体" w:hAnsi="宋体"/>
          <w:color w:val="000000"/>
          <w:sz w:val="24"/>
        </w:rPr>
        <w:t xml:space="preserve">分。</w:t>
      </w:r>
      <w:r>
        <w:rPr>
          <w:rFonts w:ascii="宋体" w:hAnsi="宋体"/>
          <w:color w:val="000000"/>
          <w:sz w:val="24"/>
        </w:rPr>
      </w:r>
      <w:r/>
    </w:p>
    <w:p>
      <w:pPr>
        <w:pStyle w:val="734"/>
        <w:ind w:firstLine="472"/>
        <w:spacing w:line="500" w:lineRule="exact"/>
        <w:tabs>
          <w:tab w:val="left" w:pos="945" w:leader="none"/>
          <w:tab w:val="left" w:pos="1155" w:leader="none"/>
          <w:tab w:val="left" w:pos="3823" w:leader="none"/>
        </w:tabs>
        <w:rPr>
          <w:rFonts w:hint="eastAsia" w:ascii="黑体" w:eastAsia="黑体"/>
          <w:bCs/>
          <w:color w:val="000000"/>
          <w:sz w:val="36"/>
          <w:szCs w:val="36"/>
        </w:rPr>
      </w:pPr>
      <w:r>
        <w:rPr>
          <w:rFonts w:hint="eastAsia" w:ascii="宋体" w:hAnsi="宋体"/>
          <w:b/>
          <w:bCs/>
          <w:color w:val="000000"/>
          <w:sz w:val="24"/>
          <w:szCs w:val="24"/>
        </w:rPr>
        <w:t xml:space="preserve">6.  </w:t>
      </w:r>
      <w:r>
        <w:rPr>
          <w:rFonts w:hint="eastAsia" w:ascii="宋体" w:hAnsi="宋体"/>
          <w:b/>
          <w:bCs/>
          <w:color w:val="000000"/>
          <w:sz w:val="24"/>
          <w:szCs w:val="24"/>
        </w:rPr>
        <w:t xml:space="preserve">节能</w:t>
      </w:r>
      <w:r>
        <w:rPr>
          <w:rFonts w:hint="eastAsia" w:ascii="宋体" w:hAnsi="宋体"/>
          <w:b/>
          <w:bCs/>
          <w:color w:val="000000"/>
          <w:sz w:val="24"/>
          <w:szCs w:val="24"/>
        </w:rPr>
        <w:t xml:space="preserve">、</w:t>
      </w:r>
      <w:r>
        <w:rPr>
          <w:rFonts w:hint="eastAsia" w:ascii="宋体" w:hAnsi="宋体"/>
          <w:b/>
          <w:bCs/>
          <w:color w:val="000000"/>
          <w:sz w:val="24"/>
          <w:szCs w:val="24"/>
        </w:rPr>
        <w:t xml:space="preserve">环保产品</w:t>
      </w:r>
      <w:r>
        <w:rPr>
          <w:rFonts w:ascii="宋体" w:hAnsi="宋体"/>
          <w:b/>
          <w:bCs/>
          <w:color w:val="000000"/>
          <w:sz w:val="24"/>
          <w:szCs w:val="24"/>
        </w:rPr>
        <w:t xml:space="preserve">（</w:t>
      </w:r>
      <w:r>
        <w:rPr>
          <w:rFonts w:hint="eastAsia" w:ascii="宋体" w:hAnsi="宋体"/>
          <w:b/>
          <w:bCs/>
          <w:color w:val="000000"/>
          <w:sz w:val="24"/>
          <w:szCs w:val="24"/>
        </w:rPr>
        <w:t xml:space="preserve">2</w:t>
      </w:r>
      <w:r>
        <w:rPr>
          <w:rFonts w:ascii="宋体" w:hAnsi="宋体"/>
          <w:b/>
          <w:bCs/>
          <w:color w:val="000000"/>
          <w:sz w:val="24"/>
          <w:szCs w:val="24"/>
        </w:rPr>
        <w:t xml:space="preserve">分）</w:t>
      </w:r>
      <w:r>
        <w:rPr>
          <w:rFonts w:hint="eastAsia" w:ascii="宋体" w:hAnsi="宋体"/>
          <w:b/>
          <w:bCs/>
          <w:color w:val="000000"/>
          <w:sz w:val="24"/>
          <w:szCs w:val="24"/>
        </w:rPr>
        <w:t xml:space="preserve">：</w:t>
      </w:r>
      <w:r>
        <w:rPr>
          <w:rFonts w:hint="eastAsia" w:ascii="宋体" w:hAnsi="宋体"/>
          <w:color w:val="000000"/>
          <w:sz w:val="24"/>
        </w:rPr>
        <w:t xml:space="preserve">依据财政部、发展改革委发布的《节能产品政府采购品目清单》和财政部、生态环境部发布的《</w:t>
      </w:r>
      <w:r>
        <w:rPr>
          <w:rFonts w:ascii="宋体" w:hAnsi="宋体"/>
          <w:color w:val="000000"/>
          <w:sz w:val="24"/>
        </w:rPr>
        <w:t xml:space="preserve">环境标志产品政府采购品目清单</w:t>
      </w:r>
      <w:r>
        <w:rPr>
          <w:rFonts w:hint="eastAsia" w:ascii="宋体" w:hAnsi="宋体"/>
          <w:color w:val="000000"/>
          <w:sz w:val="24"/>
        </w:rPr>
        <w:t xml:space="preserve">》，</w:t>
      </w:r>
      <w:r>
        <w:rPr>
          <w:rFonts w:hint="eastAsia" w:ascii="宋体" w:hAnsi="宋体"/>
          <w:color w:val="000000"/>
          <w:sz w:val="24"/>
        </w:rPr>
        <w:t xml:space="preserve">投标人能够提供所投</w:t>
      </w:r>
      <w:r>
        <w:rPr>
          <w:rFonts w:hint="eastAsia" w:ascii="宋体" w:hAnsi="宋体"/>
          <w:color w:val="000000"/>
          <w:sz w:val="24"/>
        </w:rPr>
        <w:t xml:space="preserve">产品为政府采购节能（政府强制采购节能产品除外）</w:t>
      </w:r>
      <w:r>
        <w:rPr>
          <w:rFonts w:hint="eastAsia" w:ascii="宋体" w:hAnsi="宋体"/>
          <w:color w:val="000000"/>
          <w:sz w:val="24"/>
        </w:rPr>
        <w:t xml:space="preserve">产品的得1分</w:t>
      </w:r>
      <w:r>
        <w:rPr>
          <w:rFonts w:hint="eastAsia" w:ascii="宋体" w:hAnsi="宋体"/>
          <w:color w:val="000000"/>
          <w:sz w:val="24"/>
        </w:rPr>
        <w:t xml:space="preserve">、</w:t>
      </w:r>
      <w:r>
        <w:rPr>
          <w:rFonts w:hint="eastAsia" w:ascii="宋体" w:hAnsi="宋体"/>
          <w:color w:val="000000"/>
          <w:sz w:val="24"/>
        </w:rPr>
        <w:t xml:space="preserve">能够提供所投产品为</w:t>
      </w:r>
      <w:r>
        <w:rPr>
          <w:rFonts w:hint="eastAsia" w:ascii="宋体" w:hAnsi="宋体"/>
          <w:color w:val="000000"/>
          <w:sz w:val="24"/>
        </w:rPr>
        <w:t xml:space="preserve">环保产品</w:t>
      </w:r>
      <w:r>
        <w:rPr>
          <w:rFonts w:hint="eastAsia" w:ascii="宋体" w:hAnsi="宋体"/>
          <w:color w:val="000000"/>
          <w:sz w:val="24"/>
        </w:rPr>
        <w:t xml:space="preserve">的得1</w:t>
      </w:r>
      <w:r>
        <w:rPr>
          <w:rFonts w:hint="eastAsia" w:ascii="宋体" w:hAnsi="宋体"/>
          <w:color w:val="000000"/>
          <w:sz w:val="24"/>
        </w:rPr>
        <w:t xml:space="preserve">分（投标时须提供所投产品由国家确定的认证机构出具的、处于有效期之内的节能产品认证证书复印件、环境标志产品认证证书复印件，否则不得分</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br w:type="page" w:clear="all"/>
      </w:r>
      <w:r>
        <w:rPr>
          <w:rFonts w:hint="eastAsia" w:ascii="黑体" w:eastAsia="黑体"/>
          <w:bCs/>
          <w:color w:val="000000"/>
          <w:sz w:val="36"/>
          <w:szCs w:val="36"/>
        </w:rPr>
        <w:t xml:space="preserve">第六章  </w:t>
      </w:r>
      <w:bookmarkEnd w:id="191"/>
      <w:r/>
      <w:bookmarkEnd w:id="192"/>
      <w:r/>
      <w:bookmarkEnd w:id="193"/>
      <w:r>
        <w:rPr>
          <w:rFonts w:hint="eastAsia" w:ascii="黑体" w:eastAsia="黑体"/>
          <w:bCs/>
          <w:color w:val="000000"/>
          <w:sz w:val="36"/>
          <w:szCs w:val="36"/>
        </w:rPr>
        <w:t xml:space="preserve">投标文件内容与格式</w:t>
      </w:r>
      <w:r/>
    </w:p>
    <w:p>
      <w:pPr>
        <w:pStyle w:val="822"/>
        <w:ind w:firstLine="602"/>
        <w:spacing w:before="0" w:after="0" w:line="500" w:lineRule="exact"/>
        <w:rPr>
          <w:rFonts w:hint="eastAsia" w:cs="Arial"/>
          <w:b/>
          <w:color w:val="000000"/>
          <w:sz w:val="30"/>
          <w:szCs w:val="30"/>
        </w:rPr>
      </w:pPr>
      <w:r/>
      <w:bookmarkStart w:id="194" w:name="_Hlt26955039"/>
      <w:r/>
      <w:bookmarkEnd w:id="194"/>
      <w:r/>
      <w:bookmarkStart w:id="195" w:name="_Toc49090576"/>
      <w:r/>
      <w:bookmarkStart w:id="196" w:name="_Toc120614282"/>
      <w:r/>
      <w:bookmarkStart w:id="197" w:name="_Toc26554094"/>
      <w:r/>
      <w:bookmarkStart w:id="198" w:name="_Hlt26671244"/>
      <w:r/>
      <w:bookmarkEnd w:id="198"/>
      <w:r>
        <w:rPr>
          <w:rFonts w:hint="eastAsia" w:cs="Arial"/>
          <w:b/>
          <w:color w:val="000000"/>
          <w:sz w:val="30"/>
          <w:szCs w:val="30"/>
        </w:rPr>
        <w:t xml:space="preserve">第一部分  投标文件内容</w:t>
      </w:r>
      <w:r/>
    </w:p>
    <w:p>
      <w:pPr>
        <w:pStyle w:val="822"/>
        <w:ind w:firstLine="0"/>
        <w:spacing w:before="0" w:after="0" w:line="500" w:lineRule="exact"/>
        <w:rPr>
          <w:rFonts w:hint="eastAsia" w:cs="Arial"/>
          <w:b/>
          <w:color w:val="000000"/>
          <w:sz w:val="28"/>
          <w:szCs w:val="28"/>
        </w:rPr>
      </w:pPr>
      <w:r>
        <w:rPr>
          <w:b/>
          <w:color w:val="000000"/>
          <w:sz w:val="28"/>
          <w:szCs w:val="28"/>
        </w:rPr>
        <w:t xml:space="preserve">一、</w:t>
      </w:r>
      <w:r>
        <w:rPr>
          <w:rFonts w:hint="eastAsia"/>
          <w:b/>
          <w:color w:val="000000"/>
          <w:sz w:val="28"/>
          <w:szCs w:val="28"/>
        </w:rPr>
        <w:t xml:space="preserve">资格证明文件</w:t>
      </w:r>
      <w:r>
        <w:rPr>
          <w:rFonts w:hint="eastAsia" w:cs="Arial"/>
          <w:b/>
          <w:color w:val="000000"/>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822"/>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序号</w:t>
            </w:r>
            <w:r/>
          </w:p>
        </w:tc>
        <w:tc>
          <w:tcPr>
            <w:tcW w:w="6104" w:type="dxa"/>
            <w:vAlign w:val="center"/>
            <w:textDirection w:val="lrTb"/>
            <w:noWrap w:val="false"/>
          </w:tcPr>
          <w:p>
            <w:pPr>
              <w:pStyle w:val="822"/>
              <w:jc w:val="center"/>
              <w:spacing w:before="0" w:after="0" w:line="240" w:lineRule="auto"/>
              <w:rPr>
                <w:rFonts w:hint="eastAsia" w:ascii="宋体" w:hAnsi="宋体" w:cs="宋体"/>
                <w:b/>
                <w:color w:val="000000"/>
              </w:rPr>
            </w:pPr>
            <w:r>
              <w:rPr>
                <w:rFonts w:hint="eastAsia" w:ascii="宋体" w:hAnsi="宋体" w:cs="宋体"/>
                <w:b/>
                <w:color w:val="000000"/>
              </w:rPr>
              <w:t xml:space="preserve">评审项目及评审</w:t>
            </w:r>
            <w:r>
              <w:rPr>
                <w:rFonts w:hint="eastAsia" w:ascii="宋体" w:hAnsi="宋体" w:cs="宋体"/>
                <w:b/>
                <w:color w:val="000000"/>
              </w:rPr>
              <w:t xml:space="preserve">要求</w:t>
            </w:r>
            <w:r/>
          </w:p>
        </w:tc>
        <w:tc>
          <w:tcPr>
            <w:tcW w:w="2449" w:type="dxa"/>
            <w:vAlign w:val="center"/>
            <w:textDirection w:val="lrTb"/>
            <w:noWrap w:val="false"/>
          </w:tcPr>
          <w:p>
            <w:pPr>
              <w:pStyle w:val="822"/>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审查因素</w:t>
            </w:r>
            <w:r/>
          </w:p>
        </w:tc>
      </w:tr>
      <w:tr>
        <w:trPr>
          <w:cantSplit/>
          <w:trHeight w:val="1335"/>
        </w:trPr>
        <w:tc>
          <w:tcPr>
            <w:tcW w:w="719" w:type="dxa"/>
            <w:vAlign w:val="center"/>
            <w:textDirection w:val="lrTb"/>
            <w:noWrap w:val="false"/>
          </w:tcPr>
          <w:p>
            <w:pPr>
              <w:pStyle w:val="822"/>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1</w:t>
            </w:r>
            <w:r/>
          </w:p>
        </w:tc>
        <w:tc>
          <w:tcPr>
            <w:tcW w:w="6104" w:type="dxa"/>
            <w:vAlign w:val="center"/>
            <w:textDirection w:val="lrTb"/>
            <w:noWrap w:val="false"/>
          </w:tcPr>
          <w:p>
            <w:pPr>
              <w:pStyle w:val="822"/>
              <w:ind w:firstLine="0"/>
              <w:jc w:val="both"/>
              <w:spacing w:before="0" w:after="0" w:line="240" w:lineRule="auto"/>
              <w:rPr>
                <w:rFonts w:hint="eastAsia" w:ascii="宋体" w:hAnsi="宋体" w:cs="宋体"/>
                <w:color w:val="000000"/>
              </w:rPr>
            </w:pPr>
            <w:r>
              <w:rPr>
                <w:rFonts w:hint="eastAsia" w:ascii="宋体" w:hAnsi="宋体" w:cs="宋体"/>
                <w:color w:val="000000"/>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822"/>
              <w:ind w:firstLine="0"/>
              <w:spacing w:before="0" w:after="0" w:line="240" w:lineRule="auto"/>
              <w:rPr>
                <w:rFonts w:hint="eastAsia" w:ascii="宋体" w:hAnsi="宋体" w:cs="宋体"/>
                <w:color w:val="000000"/>
              </w:rPr>
            </w:pPr>
            <w:r>
              <w:rPr>
                <w:rFonts w:hint="eastAsia" w:ascii="宋体" w:hAnsi="宋体" w:cs="宋体"/>
                <w:color w:val="000000"/>
              </w:rPr>
              <w:t xml:space="preserve">满足《中华人民共和国政府采购法》第二十二条规定</w:t>
            </w:r>
            <w:r>
              <w:rPr>
                <w:rFonts w:hint="eastAsia" w:ascii="宋体" w:hAnsi="宋体" w:cs="宋体"/>
                <w:color w:val="000000"/>
              </w:rPr>
            </w:r>
            <w:r/>
          </w:p>
        </w:tc>
      </w:tr>
      <w:tr>
        <w:trPr>
          <w:cantSplit/>
          <w:trHeight w:val="812"/>
        </w:trPr>
        <w:tc>
          <w:tcPr>
            <w:tcW w:w="719" w:type="dxa"/>
            <w:vAlign w:val="center"/>
            <w:textDirection w:val="lrTb"/>
            <w:noWrap w:val="false"/>
          </w:tcPr>
          <w:p>
            <w:pPr>
              <w:pStyle w:val="822"/>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2</w:t>
            </w:r>
            <w:r/>
          </w:p>
        </w:tc>
        <w:tc>
          <w:tcPr>
            <w:tcW w:w="6104" w:type="dxa"/>
            <w:vAlign w:val="center"/>
            <w:textDirection w:val="lrTb"/>
            <w:noWrap w:val="false"/>
          </w:tcPr>
          <w:p>
            <w:pPr>
              <w:pStyle w:val="822"/>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《授权委托书》（给定格式；投标人如是自然人情形的，可不提供）。</w:t>
            </w:r>
            <w:r/>
          </w:p>
        </w:tc>
        <w:tc>
          <w:tcPr>
            <w:tcW w:w="2449" w:type="dxa"/>
            <w:vAlign w:val="center"/>
            <w:vMerge w:val="continue"/>
            <w:textDirection w:val="lrTb"/>
            <w:noWrap w:val="false"/>
          </w:tcPr>
          <w:p>
            <w:pPr>
              <w:pStyle w:val="822"/>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684"/>
        </w:trPr>
        <w:tc>
          <w:tcPr>
            <w:tcW w:w="719" w:type="dxa"/>
            <w:vAlign w:val="center"/>
            <w:textDirection w:val="lrTb"/>
            <w:noWrap w:val="false"/>
          </w:tcPr>
          <w:p>
            <w:pPr>
              <w:pStyle w:val="822"/>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3</w:t>
            </w:r>
            <w:r/>
          </w:p>
        </w:tc>
        <w:tc>
          <w:tcPr>
            <w:tcW w:w="6104" w:type="dxa"/>
            <w:vAlign w:val="center"/>
            <w:textDirection w:val="lrTb"/>
            <w:noWrap w:val="false"/>
          </w:tcPr>
          <w:p>
            <w:pPr>
              <w:pStyle w:val="822"/>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811"/>
                <w:rFonts w:hint="eastAsia" w:ascii="宋体" w:hAnsi="宋体" w:cs="宋体"/>
                <w:color w:val="000000"/>
                <w:sz w:val="24"/>
                <w:szCs w:val="24"/>
              </w:rPr>
              <w:t xml:space="preserve">。</w:t>
            </w:r>
            <w:r>
              <w:rPr>
                <w:rFonts w:hint="eastAsia" w:ascii="宋体" w:hAnsi="宋体" w:cs="宋体"/>
                <w:color w:val="000000"/>
              </w:rPr>
            </w:r>
            <w:r/>
          </w:p>
        </w:tc>
        <w:tc>
          <w:tcPr>
            <w:tcW w:w="2449" w:type="dxa"/>
            <w:vAlign w:val="center"/>
            <w:vMerge w:val="continue"/>
            <w:textDirection w:val="lrTb"/>
            <w:noWrap w:val="false"/>
          </w:tcPr>
          <w:p>
            <w:pPr>
              <w:pStyle w:val="822"/>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963"/>
        </w:trPr>
        <w:tc>
          <w:tcPr>
            <w:tcW w:w="719" w:type="dxa"/>
            <w:vAlign w:val="center"/>
            <w:textDirection w:val="lrTb"/>
            <w:noWrap w:val="false"/>
          </w:tcPr>
          <w:p>
            <w:pPr>
              <w:pStyle w:val="822"/>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4</w:t>
            </w:r>
            <w:r/>
          </w:p>
        </w:tc>
        <w:tc>
          <w:tcPr>
            <w:tcW w:w="6104" w:type="dxa"/>
            <w:vAlign w:val="center"/>
            <w:textDirection w:val="lrTb"/>
            <w:noWrap w:val="false"/>
          </w:tcPr>
          <w:p>
            <w:pPr>
              <w:pStyle w:val="822"/>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822"/>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023"/>
        </w:trPr>
        <w:tc>
          <w:tcPr>
            <w:tcW w:w="719" w:type="dxa"/>
            <w:vAlign w:val="center"/>
            <w:textDirection w:val="lrTb"/>
            <w:noWrap w:val="false"/>
          </w:tcPr>
          <w:p>
            <w:pPr>
              <w:pStyle w:val="822"/>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5</w:t>
            </w:r>
            <w:r/>
          </w:p>
        </w:tc>
        <w:tc>
          <w:tcPr>
            <w:tcW w:w="6104" w:type="dxa"/>
            <w:vAlign w:val="center"/>
            <w:textDirection w:val="lrTb"/>
            <w:noWrap w:val="false"/>
          </w:tcPr>
          <w:p>
            <w:pPr>
              <w:pStyle w:val="822"/>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822"/>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705"/>
        </w:trPr>
        <w:tc>
          <w:tcPr>
            <w:tcBorders>
              <w:bottom w:val="single" w:color="000000" w:sz="4" w:space="0"/>
            </w:tcBorders>
            <w:tcW w:w="719" w:type="dxa"/>
            <w:vAlign w:val="center"/>
            <w:textDirection w:val="lrTb"/>
            <w:noWrap w:val="false"/>
          </w:tcPr>
          <w:p>
            <w:pPr>
              <w:pStyle w:val="822"/>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6</w:t>
            </w:r>
            <w:r/>
          </w:p>
        </w:tc>
        <w:tc>
          <w:tcPr>
            <w:tcBorders>
              <w:bottom w:val="single" w:color="000000" w:sz="4" w:space="0"/>
            </w:tcBorders>
            <w:tcW w:w="6104" w:type="dxa"/>
            <w:vAlign w:val="center"/>
            <w:textDirection w:val="lrTb"/>
            <w:noWrap w:val="false"/>
          </w:tcPr>
          <w:p>
            <w:pPr>
              <w:pStyle w:val="822"/>
              <w:ind w:firstLine="0"/>
              <w:jc w:val="both"/>
              <w:spacing w:before="0" w:after="0" w:line="240" w:lineRule="auto"/>
              <w:rPr>
                <w:rFonts w:hint="eastAsia" w:ascii="宋体" w:hAnsi="宋体" w:cs="宋体"/>
                <w:color w:val="000000"/>
              </w:rPr>
            </w:pPr>
            <w:r>
              <w:rPr>
                <w:rFonts w:hint="eastAsia" w:ascii="宋体" w:hAnsi="宋体" w:cs="宋体"/>
                <w:color w:val="000000"/>
              </w:rPr>
              <w:t xml:space="preserve">《资格声明函》（给定格式）。</w:t>
            </w:r>
            <w:r/>
          </w:p>
        </w:tc>
        <w:tc>
          <w:tcPr>
            <w:tcW w:w="2449" w:type="dxa"/>
            <w:vAlign w:val="center"/>
            <w:vMerge w:val="continue"/>
            <w:textDirection w:val="lrTb"/>
            <w:noWrap w:val="false"/>
          </w:tcPr>
          <w:p>
            <w:pPr>
              <w:pStyle w:val="822"/>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700"/>
        </w:trPr>
        <w:tc>
          <w:tcPr>
            <w:tcW w:w="719" w:type="dxa"/>
            <w:vAlign w:val="center"/>
            <w:textDirection w:val="lrTb"/>
            <w:noWrap w:val="false"/>
          </w:tcPr>
          <w:p>
            <w:pPr>
              <w:pStyle w:val="822"/>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7</w:t>
            </w:r>
            <w:r/>
          </w:p>
        </w:tc>
        <w:tc>
          <w:tcPr>
            <w:tcW w:w="6104" w:type="dxa"/>
            <w:vAlign w:val="center"/>
            <w:textDirection w:val="lrTb"/>
            <w:noWrap w:val="false"/>
          </w:tcPr>
          <w:p>
            <w:pPr>
              <w:pStyle w:val="822"/>
              <w:ind w:firstLine="0"/>
              <w:spacing w:before="0" w:after="0" w:line="240" w:lineRule="auto"/>
              <w:rPr>
                <w:rFonts w:hint="eastAsia" w:ascii="宋体" w:hAnsi="宋体" w:cs="宋体"/>
                <w:color w:val="000000"/>
              </w:rPr>
            </w:pPr>
            <w:r>
              <w:rPr>
                <w:rFonts w:hint="eastAsia" w:ascii="宋体" w:hAnsi="宋体" w:cs="宋体"/>
                <w:color w:val="000000"/>
              </w:rPr>
              <w:t xml:space="preserve">满足</w:t>
            </w:r>
            <w:r>
              <w:rPr>
                <w:rFonts w:hint="eastAsia" w:ascii="宋体" w:hAnsi="宋体" w:cs="宋体"/>
                <w:color w:val="000000"/>
              </w:rPr>
              <w:t xml:space="preserve">中小企业政策</w:t>
            </w:r>
            <w:r>
              <w:rPr>
                <w:rFonts w:hint="eastAsia" w:ascii="宋体" w:hAnsi="宋体" w:cs="宋体"/>
                <w:color w:val="000000"/>
              </w:rPr>
              <w:t xml:space="preserve">的</w:t>
            </w:r>
            <w:r>
              <w:rPr>
                <w:rFonts w:hint="eastAsia" w:ascii="宋体" w:hAnsi="宋体" w:cs="宋体"/>
                <w:color w:val="000000"/>
              </w:rPr>
              <w:t xml:space="preserve">证明文件</w:t>
            </w:r>
            <w:r>
              <w:rPr>
                <w:rFonts w:hint="eastAsia" w:ascii="宋体" w:hAnsi="宋体" w:cs="宋体"/>
                <w:color w:val="000000"/>
              </w:rPr>
              <w:t xml:space="preserve">（如有</w:t>
            </w:r>
            <w:r>
              <w:rPr>
                <w:rFonts w:hint="eastAsia" w:ascii="宋体" w:hAnsi="宋体" w:cs="宋体"/>
                <w:color w:val="000000"/>
              </w:rPr>
              <w:t xml:space="preserve">中小企业政策</w:t>
            </w:r>
            <w:r>
              <w:rPr>
                <w:rFonts w:hint="eastAsia" w:ascii="宋体" w:hAnsi="宋体" w:cs="宋体"/>
                <w:color w:val="000000"/>
              </w:rPr>
              <w:t xml:space="preserve">要求</w:t>
            </w:r>
            <w:r>
              <w:rPr>
                <w:rFonts w:hint="eastAsia" w:ascii="宋体" w:hAnsi="宋体" w:cs="宋体"/>
                <w:color w:val="000000"/>
              </w:rPr>
              <w:t xml:space="preserve">的</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color w:val="000000"/>
              </w:rPr>
            </w:r>
            <w:r/>
          </w:p>
        </w:tc>
        <w:tc>
          <w:tcPr>
            <w:tcW w:w="2449" w:type="dxa"/>
            <w:vAlign w:val="center"/>
            <w:textDirection w:val="lrTb"/>
            <w:noWrap w:val="false"/>
          </w:tcPr>
          <w:p>
            <w:pPr>
              <w:pStyle w:val="822"/>
              <w:ind w:firstLine="0"/>
              <w:spacing w:before="0" w:after="0" w:line="240" w:lineRule="auto"/>
              <w:rPr>
                <w:rFonts w:ascii="宋体" w:hAnsi="宋体" w:cs="宋体"/>
                <w:color w:val="000000"/>
              </w:rPr>
            </w:pPr>
            <w:r>
              <w:rPr>
                <w:rFonts w:hint="eastAsia" w:ascii="宋体" w:hAnsi="宋体" w:cs="宋体"/>
                <w:color w:val="000000"/>
              </w:rPr>
              <w:t xml:space="preserve">落实政府采购政策需满足的资格要求，详见第一章《投标邀请》</w:t>
            </w:r>
            <w:r>
              <w:rPr>
                <w:rFonts w:ascii="宋体" w:hAnsi="宋体" w:cs="宋体"/>
                <w:color w:val="000000"/>
              </w:rPr>
            </w:r>
            <w:r/>
          </w:p>
        </w:tc>
      </w:tr>
      <w:tr>
        <w:trPr>
          <w:trHeight w:val="726"/>
        </w:trPr>
        <w:tc>
          <w:tcPr>
            <w:tcW w:w="719" w:type="dxa"/>
            <w:vAlign w:val="center"/>
            <w:textDirection w:val="lrTb"/>
            <w:noWrap w:val="false"/>
          </w:tcPr>
          <w:p>
            <w:pPr>
              <w:pStyle w:val="822"/>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8</w:t>
            </w:r>
            <w:r>
              <w:rPr>
                <w:rFonts w:hint="eastAsia" w:ascii="宋体" w:hAnsi="宋体" w:cs="宋体"/>
                <w:bCs/>
                <w:color w:val="000000"/>
              </w:rPr>
            </w:r>
            <w:r/>
          </w:p>
        </w:tc>
        <w:tc>
          <w:tcPr>
            <w:tcW w:w="6104" w:type="dxa"/>
            <w:vAlign w:val="center"/>
            <w:textDirection w:val="lrTb"/>
            <w:noWrap w:val="false"/>
          </w:tcPr>
          <w:p>
            <w:pPr>
              <w:pStyle w:val="822"/>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本项目要求的特定资格证明</w:t>
            </w:r>
            <w:r>
              <w:rPr>
                <w:rFonts w:hint="eastAsia" w:ascii="宋体" w:hAnsi="宋体" w:cs="宋体"/>
                <w:color w:val="000000"/>
              </w:rPr>
              <w:t xml:space="preserve">文件（</w:t>
            </w:r>
            <w:r>
              <w:rPr>
                <w:rFonts w:hint="eastAsia" w:ascii="宋体" w:hAnsi="宋体" w:cs="宋体"/>
                <w:bCs/>
                <w:color w:val="000000"/>
              </w:rPr>
              <w:t xml:space="preserve">如有</w:t>
            </w:r>
            <w:r>
              <w:rPr>
                <w:rFonts w:hint="eastAsia" w:ascii="宋体" w:hAnsi="宋体" w:cs="宋体"/>
                <w:color w:val="000000"/>
              </w:rPr>
              <w:t xml:space="preserve">特定资格要求的</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bCs/>
                <w:color w:val="000000"/>
              </w:rPr>
            </w:r>
            <w:r/>
          </w:p>
        </w:tc>
        <w:tc>
          <w:tcPr>
            <w:tcW w:w="2449" w:type="dxa"/>
            <w:vAlign w:val="center"/>
            <w:textDirection w:val="lrTb"/>
            <w:noWrap w:val="false"/>
          </w:tcPr>
          <w:p>
            <w:pPr>
              <w:pStyle w:val="822"/>
              <w:ind w:firstLine="0"/>
              <w:spacing w:before="0" w:after="0" w:line="240" w:lineRule="auto"/>
              <w:rPr>
                <w:rFonts w:hint="eastAsia" w:ascii="宋体" w:hAnsi="宋体" w:cs="宋体"/>
                <w:bCs/>
                <w:color w:val="000000"/>
              </w:rPr>
            </w:pPr>
            <w:r>
              <w:rPr>
                <w:rFonts w:hint="eastAsia" w:ascii="宋体" w:hAnsi="宋体" w:cs="宋体"/>
                <w:color w:val="000000"/>
              </w:rPr>
              <w:t xml:space="preserve">特定资格要求</w:t>
            </w:r>
            <w:r>
              <w:rPr>
                <w:rFonts w:hint="eastAsia" w:ascii="宋体" w:hAnsi="宋体" w:cs="宋体"/>
                <w:color w:val="000000"/>
              </w:rPr>
              <w:t xml:space="preserve">，</w:t>
            </w:r>
            <w:r>
              <w:rPr>
                <w:rFonts w:hint="eastAsia" w:ascii="宋体" w:hAnsi="宋体" w:cs="宋体"/>
                <w:color w:val="000000"/>
              </w:rPr>
              <w:t xml:space="preserve">详见第一章《投标邀请》</w:t>
            </w:r>
            <w:r>
              <w:rPr>
                <w:rFonts w:hint="eastAsia" w:ascii="宋体" w:hAnsi="宋体" w:cs="宋体"/>
                <w:bCs/>
                <w:color w:val="000000"/>
              </w:rPr>
            </w:r>
            <w:r/>
          </w:p>
        </w:tc>
      </w:tr>
      <w:tr>
        <w:trPr>
          <w:trHeight w:val="632"/>
        </w:trPr>
        <w:tc>
          <w:tcPr>
            <w:tcW w:w="719" w:type="dxa"/>
            <w:vAlign w:val="center"/>
            <w:textDirection w:val="lrTb"/>
            <w:noWrap w:val="false"/>
          </w:tcPr>
          <w:p>
            <w:pPr>
              <w:pStyle w:val="822"/>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9</w:t>
            </w:r>
            <w:r/>
          </w:p>
        </w:tc>
        <w:tc>
          <w:tcPr>
            <w:gridSpan w:val="2"/>
            <w:tcW w:w="8553" w:type="dxa"/>
            <w:vAlign w:val="center"/>
            <w:textDirection w:val="lrTb"/>
            <w:noWrap w:val="false"/>
          </w:tcPr>
          <w:p>
            <w:pPr>
              <w:pStyle w:val="822"/>
              <w:ind w:firstLine="0"/>
              <w:spacing w:before="0" w:after="0" w:line="240" w:lineRule="auto"/>
              <w:rPr>
                <w:rFonts w:hint="eastAsia" w:ascii="宋体" w:hAnsi="宋体" w:cs="宋体"/>
                <w:color w:val="000000"/>
              </w:rPr>
            </w:pPr>
            <w:r>
              <w:rPr>
                <w:rFonts w:hint="eastAsia" w:ascii="宋体" w:hAnsi="宋体" w:cs="宋体"/>
                <w:bCs/>
                <w:color w:val="000000"/>
              </w:rPr>
              <w:t xml:space="preserve">《联合体协议》（</w:t>
            </w:r>
            <w:r>
              <w:rPr>
                <w:rFonts w:hint="eastAsia" w:ascii="宋体" w:hAnsi="宋体"/>
                <w:color w:val="000000"/>
              </w:rPr>
              <w:t xml:space="preserve">如接受联合体投标且投标人为联合体时须提供</w:t>
            </w:r>
            <w:r>
              <w:rPr>
                <w:rFonts w:hint="eastAsia" w:ascii="宋体" w:hAnsi="宋体" w:cs="宋体"/>
                <w:bCs/>
                <w:color w:val="000000"/>
              </w:rPr>
              <w:t xml:space="preserve">，格式自拟）。</w:t>
            </w:r>
            <w:r>
              <w:rPr>
                <w:rFonts w:hint="eastAsia" w:ascii="宋体" w:hAnsi="宋体" w:cs="宋体"/>
                <w:color w:val="000000"/>
              </w:rPr>
            </w:r>
            <w:r/>
          </w:p>
        </w:tc>
      </w:tr>
    </w:tbl>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734"/>
        <w:numPr>
          <w:ilvl w:val="0"/>
          <w:numId w:val="10"/>
        </w:numPr>
        <w:ind w:firstLine="480"/>
        <w:spacing w:line="500" w:lineRule="exact"/>
        <w:rPr>
          <w:rFonts w:hint="eastAsia"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1～6项必须全部按要求提供（有给定格式的，必须按给定格式的要求正确填报并提供，相应格式见本章第二部分），否则投标文件无效。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rPr>
          <w:rFonts w:hint="eastAsia" w:ascii="宋体" w:hAnsi="宋体"/>
          <w:color w:val="000000"/>
          <w:sz w:val="24"/>
          <w:szCs w:val="24"/>
        </w:rPr>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734"/>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7项，如本项目</w:t>
      </w:r>
      <w:r>
        <w:rPr>
          <w:rFonts w:hint="eastAsia" w:ascii="宋体" w:hAnsi="宋体"/>
          <w:color w:val="000000"/>
          <w:sz w:val="24"/>
          <w:szCs w:val="24"/>
        </w:rPr>
        <w:t xml:space="preserve">落实政府采购政策需满足的资格要求中</w:t>
      </w:r>
      <w:r>
        <w:rPr>
          <w:rFonts w:hint="eastAsia" w:ascii="宋体" w:hAnsi="宋体"/>
          <w:color w:val="000000"/>
          <w:sz w:val="24"/>
          <w:szCs w:val="24"/>
        </w:rPr>
        <w:t xml:space="preserve">有</w:t>
      </w:r>
      <w:r>
        <w:rPr>
          <w:rFonts w:hint="eastAsia" w:ascii="宋体" w:hAnsi="宋体"/>
          <w:color w:val="000000"/>
          <w:sz w:val="24"/>
          <w:szCs w:val="24"/>
        </w:rPr>
        <w:t xml:space="preserve">中小企业政策</w:t>
      </w:r>
      <w:r>
        <w:rPr>
          <w:rFonts w:hint="eastAsia" w:ascii="宋体" w:hAnsi="宋体"/>
          <w:color w:val="000000"/>
          <w:sz w:val="24"/>
          <w:szCs w:val="24"/>
        </w:rPr>
        <w:t xml:space="preserve">要求</w:t>
      </w:r>
      <w:r>
        <w:rPr>
          <w:rFonts w:hint="eastAsia" w:ascii="宋体" w:hAnsi="宋体"/>
          <w:color w:val="000000"/>
          <w:sz w:val="24"/>
          <w:szCs w:val="24"/>
        </w:rPr>
        <w:t xml:space="preserve">的（详见第一章《投标邀请》），必须提供相应证明文件，否则投标文件无效。</w:t>
      </w:r>
      <w:r/>
    </w:p>
    <w:p>
      <w:pPr>
        <w:pStyle w:val="734"/>
        <w:ind w:firstLine="480"/>
        <w:spacing w:line="500" w:lineRule="exact"/>
        <w:rPr>
          <w:rFonts w:hint="eastAsia"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w:t>
      </w:r>
      <w:r>
        <w:rPr>
          <w:rFonts w:hint="eastAsia" w:ascii="宋体" w:hAnsi="宋体"/>
          <w:color w:val="000000"/>
          <w:sz w:val="24"/>
          <w:szCs w:val="24"/>
        </w:rPr>
        <w:t xml:space="preserve">是指</w:t>
      </w:r>
      <w:r>
        <w:rPr>
          <w:rFonts w:hint="eastAsia" w:ascii="宋体" w:hAnsi="宋体"/>
          <w:color w:val="000000"/>
          <w:sz w:val="24"/>
          <w:szCs w:val="24"/>
        </w:rPr>
        <w:t xml:space="preserve">专门面向</w:t>
      </w:r>
      <w:r>
        <w:rPr>
          <w:rFonts w:hint="eastAsia" w:ascii="宋体" w:hAnsi="宋体"/>
          <w:color w:val="000000"/>
          <w:sz w:val="24"/>
          <w:szCs w:val="24"/>
        </w:rPr>
        <w:t xml:space="preserve">中</w:t>
      </w:r>
      <w:r>
        <w:rPr>
          <w:rFonts w:hint="eastAsia" w:ascii="宋体" w:hAnsi="宋体"/>
          <w:color w:val="000000"/>
          <w:sz w:val="24"/>
          <w:szCs w:val="24"/>
        </w:rPr>
        <w:t xml:space="preserve">型、</w:t>
      </w:r>
      <w:r>
        <w:rPr>
          <w:rFonts w:hint="eastAsia" w:ascii="宋体" w:hAnsi="宋体"/>
          <w:color w:val="000000"/>
          <w:sz w:val="24"/>
          <w:szCs w:val="24"/>
        </w:rPr>
        <w:t xml:space="preserve">小</w:t>
      </w:r>
      <w:r>
        <w:rPr>
          <w:rFonts w:hint="eastAsia" w:ascii="宋体" w:hAnsi="宋体"/>
          <w:color w:val="000000"/>
          <w:sz w:val="24"/>
          <w:szCs w:val="24"/>
        </w:rPr>
        <w:t xml:space="preserve">型、</w:t>
      </w:r>
      <w:r>
        <w:rPr>
          <w:rFonts w:hint="eastAsia" w:ascii="宋体" w:hAnsi="宋体"/>
          <w:color w:val="000000"/>
          <w:sz w:val="24"/>
          <w:szCs w:val="24"/>
        </w:rPr>
        <w:t xml:space="preserve">微</w:t>
      </w:r>
      <w:r>
        <w:rPr>
          <w:rFonts w:hint="eastAsia" w:ascii="宋体" w:hAnsi="宋体"/>
          <w:color w:val="000000"/>
          <w:sz w:val="24"/>
          <w:szCs w:val="24"/>
        </w:rPr>
        <w:t xml:space="preserve">型</w:t>
      </w:r>
      <w:r>
        <w:rPr>
          <w:rFonts w:hint="eastAsia" w:ascii="宋体" w:hAnsi="宋体"/>
          <w:color w:val="000000"/>
          <w:sz w:val="24"/>
          <w:szCs w:val="24"/>
        </w:rPr>
        <w:t xml:space="preserve">企业、监狱企业或残疾人福利性单位；专门面向小微企业，</w:t>
      </w:r>
      <w:r>
        <w:rPr>
          <w:rFonts w:hint="eastAsia" w:ascii="宋体" w:hAnsi="宋体"/>
          <w:color w:val="000000"/>
          <w:sz w:val="24"/>
          <w:szCs w:val="24"/>
        </w:rPr>
        <w:t xml:space="preserve">是指</w:t>
      </w:r>
      <w:r>
        <w:rPr>
          <w:rFonts w:hint="eastAsia" w:ascii="宋体" w:hAnsi="宋体"/>
          <w:color w:val="000000"/>
          <w:sz w:val="24"/>
          <w:szCs w:val="24"/>
        </w:rPr>
        <w:t xml:space="preserve">专门面向小型、微型企业</w:t>
      </w:r>
      <w:r>
        <w:rPr>
          <w:rFonts w:hint="eastAsia" w:ascii="宋体" w:hAnsi="宋体"/>
          <w:color w:val="000000"/>
          <w:sz w:val="24"/>
          <w:szCs w:val="24"/>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sz w:val="24"/>
          <w:szCs w:val="24"/>
        </w:rPr>
      </w:r>
      <w:r/>
    </w:p>
    <w:p>
      <w:pPr>
        <w:pStyle w:val="734"/>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8</w:t>
      </w:r>
      <w:r>
        <w:rPr>
          <w:rFonts w:hint="eastAsia" w:ascii="宋体" w:hAnsi="宋体"/>
          <w:color w:val="000000"/>
          <w:sz w:val="24"/>
          <w:szCs w:val="24"/>
        </w:rPr>
        <w:t xml:space="preserve">项，如本项目有特定资格要求的（详见第一章《投标邀请》），须提供相应的特定资格证明文件。</w:t>
      </w:r>
      <w:r/>
    </w:p>
    <w:p>
      <w:pPr>
        <w:pStyle w:val="734"/>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中：第2、6项可由联合体主体单位（即联合体牵头人）代表联合体提供；第1、3、4、5、7</w:t>
      </w:r>
      <w:r>
        <w:rPr>
          <w:rFonts w:hint="eastAsia" w:ascii="宋体" w:hAnsi="宋体"/>
          <w:color w:val="000000"/>
          <w:sz w:val="24"/>
          <w:szCs w:val="24"/>
        </w:rPr>
        <w:t xml:space="preserve">（如有</w:t>
      </w:r>
      <w:r>
        <w:rPr>
          <w:rFonts w:hint="eastAsia" w:ascii="宋体" w:hAnsi="宋体"/>
          <w:color w:val="000000"/>
          <w:sz w:val="24"/>
          <w:szCs w:val="24"/>
        </w:rPr>
        <w:t xml:space="preserve">要求</w:t>
      </w:r>
      <w:r>
        <w:rPr>
          <w:rFonts w:hint="eastAsia" w:ascii="宋体" w:hAnsi="宋体"/>
          <w:color w:val="000000"/>
          <w:sz w:val="24"/>
          <w:szCs w:val="24"/>
        </w:rPr>
        <w:t xml:space="preserve">）</w:t>
      </w:r>
      <w:r>
        <w:rPr>
          <w:rFonts w:hint="eastAsia" w:ascii="宋体" w:hAnsi="宋体"/>
          <w:color w:val="000000"/>
          <w:sz w:val="24"/>
          <w:szCs w:val="24"/>
        </w:rPr>
        <w:t xml:space="preserve">、</w:t>
      </w:r>
      <w:r>
        <w:rPr>
          <w:rFonts w:hint="eastAsia" w:ascii="宋体" w:hAnsi="宋体"/>
          <w:color w:val="000000"/>
          <w:sz w:val="24"/>
          <w:szCs w:val="24"/>
        </w:rPr>
        <w:t xml:space="preserve">8</w:t>
      </w:r>
      <w:r>
        <w:rPr>
          <w:rFonts w:hint="eastAsia" w:ascii="宋体" w:hAnsi="宋体"/>
          <w:color w:val="000000"/>
          <w:sz w:val="24"/>
          <w:szCs w:val="24"/>
        </w:rPr>
        <w:t xml:space="preserve">（</w:t>
      </w:r>
      <w:r>
        <w:rPr>
          <w:rFonts w:hint="eastAsia" w:ascii="宋体" w:hAnsi="宋体"/>
          <w:color w:val="000000"/>
          <w:sz w:val="24"/>
          <w:szCs w:val="24"/>
        </w:rPr>
        <w:t xml:space="preserve">如有要求</w:t>
      </w:r>
      <w:r>
        <w:rPr>
          <w:rFonts w:hint="eastAsia" w:ascii="宋体" w:hAnsi="宋体"/>
          <w:color w:val="000000"/>
          <w:sz w:val="24"/>
          <w:szCs w:val="24"/>
        </w:rPr>
        <w:t xml:space="preserve">）</w:t>
      </w:r>
      <w:r>
        <w:rPr>
          <w:rFonts w:hint="eastAsia" w:ascii="宋体" w:hAnsi="宋体"/>
          <w:color w:val="000000"/>
          <w:sz w:val="24"/>
          <w:szCs w:val="24"/>
        </w:rPr>
        <w:t xml:space="preserve">项，联合体各方均须提供。</w:t>
      </w:r>
      <w:r/>
    </w:p>
    <w:p>
      <w:pPr>
        <w:pStyle w:val="734"/>
        <w:rPr>
          <w:rFonts w:hint="eastAsia"/>
          <w:b/>
          <w:color w:val="000000"/>
          <w:sz w:val="28"/>
          <w:szCs w:val="28"/>
        </w:rPr>
      </w:pPr>
      <w:r>
        <w:rPr>
          <w:rFonts w:hint="eastAsia" w:ascii="宋体" w:hAnsi="宋体"/>
          <w:color w:val="000000"/>
        </w:rPr>
        <w:br w:type="page" w:clear="all"/>
      </w:r>
      <w:r>
        <w:rPr>
          <w:rFonts w:hint="eastAsia"/>
          <w:b/>
          <w:color w:val="000000"/>
          <w:sz w:val="28"/>
          <w:szCs w:val="28"/>
        </w:rPr>
        <w:t xml:space="preserve">二、符合性证明文件</w:t>
      </w:r>
      <w:r>
        <w:rPr>
          <w:rFonts w:hint="eastAsia"/>
          <w:b/>
          <w:color w:val="000000"/>
          <w:sz w:val="28"/>
          <w:szCs w:val="28"/>
        </w:rPr>
        <w:t xml:space="preserve">及其他证明文件</w:t>
      </w:r>
      <w:r>
        <w:rPr>
          <w:rFonts w:hint="eastAsia"/>
          <w:b/>
          <w:color w:val="000000"/>
          <w:sz w:val="28"/>
          <w:szCs w:val="28"/>
        </w:rPr>
      </w:r>
      <w:r/>
    </w:p>
    <w:p>
      <w:pPr>
        <w:pStyle w:val="734"/>
        <w:rPr>
          <w:b/>
          <w:color w:val="000000"/>
          <w:sz w:val="28"/>
          <w:szCs w:val="28"/>
        </w:rPr>
      </w:pPr>
      <w:r>
        <w:rPr>
          <w:rFonts w:hint="eastAsia"/>
          <w:b/>
          <w:color w:val="000000"/>
          <w:sz w:val="28"/>
          <w:szCs w:val="28"/>
        </w:rPr>
        <w:t xml:space="preserve">（一）符合性证明文件</w:t>
      </w:r>
      <w:r>
        <w:rPr>
          <w:b/>
          <w:color w:val="000000"/>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822"/>
              <w:ind w:firstLine="0"/>
              <w:jc w:val="center"/>
              <w:spacing w:before="0" w:after="0" w:line="240" w:lineRule="auto"/>
              <w:rPr>
                <w:rFonts w:hint="eastAsia" w:cs="Arial"/>
                <w:b/>
                <w:color w:val="000000"/>
              </w:rPr>
            </w:pPr>
            <w:r>
              <w:rPr>
                <w:rFonts w:hint="eastAsia" w:cs="Arial"/>
                <w:b/>
                <w:color w:val="000000"/>
              </w:rPr>
              <w:t xml:space="preserve">序号</w:t>
            </w:r>
            <w:r/>
          </w:p>
        </w:tc>
        <w:tc>
          <w:tcPr>
            <w:tcW w:w="6095" w:type="dxa"/>
            <w:vAlign w:val="center"/>
            <w:textDirection w:val="lrTb"/>
            <w:noWrap w:val="false"/>
          </w:tcPr>
          <w:p>
            <w:pPr>
              <w:pStyle w:val="822"/>
              <w:ind w:firstLine="0"/>
              <w:jc w:val="center"/>
              <w:spacing w:before="0" w:after="0" w:line="240" w:lineRule="auto"/>
              <w:rPr>
                <w:rFonts w:hint="eastAsia" w:cs="Arial"/>
                <w:b/>
                <w:color w:val="000000"/>
              </w:rPr>
            </w:pPr>
            <w:r>
              <w:rPr>
                <w:rFonts w:hint="eastAsia" w:ascii="宋体" w:hAnsi="宋体" w:cs="宋体"/>
                <w:b/>
                <w:color w:val="000000"/>
              </w:rPr>
              <w:t xml:space="preserve">评审项目及评审</w:t>
            </w:r>
            <w:r>
              <w:rPr>
                <w:rFonts w:hint="eastAsia" w:ascii="宋体" w:hAnsi="宋体" w:cs="宋体"/>
                <w:b/>
                <w:color w:val="000000"/>
              </w:rPr>
              <w:t xml:space="preserve">要求</w:t>
            </w:r>
            <w:r>
              <w:rPr>
                <w:rFonts w:hint="eastAsia" w:cs="Arial"/>
                <w:b/>
                <w:color w:val="000000"/>
              </w:rPr>
            </w:r>
            <w:r/>
          </w:p>
        </w:tc>
        <w:tc>
          <w:tcPr>
            <w:tcW w:w="1979" w:type="dxa"/>
            <w:vAlign w:val="center"/>
            <w:textDirection w:val="lrTb"/>
            <w:noWrap w:val="false"/>
          </w:tcPr>
          <w:p>
            <w:pPr>
              <w:pStyle w:val="822"/>
              <w:ind w:firstLine="0"/>
              <w:jc w:val="center"/>
              <w:spacing w:before="0" w:after="0" w:line="240" w:lineRule="auto"/>
              <w:rPr>
                <w:rFonts w:hint="eastAsia" w:cs="Arial"/>
                <w:b/>
                <w:color w:val="000000"/>
              </w:rPr>
            </w:pPr>
            <w:r>
              <w:rPr>
                <w:rFonts w:hint="eastAsia" w:cs="Arial"/>
                <w:b/>
                <w:color w:val="000000"/>
              </w:rPr>
              <w:t xml:space="preserve">审查因素</w:t>
            </w:r>
            <w:r/>
          </w:p>
        </w:tc>
      </w:tr>
      <w:tr>
        <w:trPr>
          <w:cantSplit/>
          <w:trHeight w:val="567"/>
        </w:trPr>
        <w:tc>
          <w:tcPr>
            <w:tcW w:w="823" w:type="dxa"/>
            <w:vAlign w:val="center"/>
            <w:textDirection w:val="lrTb"/>
            <w:noWrap w:val="false"/>
          </w:tcPr>
          <w:p>
            <w:pPr>
              <w:pStyle w:val="822"/>
              <w:ind w:firstLine="0"/>
              <w:jc w:val="center"/>
              <w:spacing w:before="0" w:after="0" w:line="240" w:lineRule="auto"/>
              <w:rPr>
                <w:rFonts w:hint="eastAsia" w:ascii="宋体" w:hAnsi="宋体" w:cs="Arial"/>
                <w:color w:val="000000"/>
              </w:rPr>
            </w:pPr>
            <w:r>
              <w:rPr>
                <w:rFonts w:hint="eastAsia" w:ascii="宋体" w:hAnsi="宋体" w:cs="Arial"/>
                <w:color w:val="000000"/>
              </w:rPr>
              <w:t xml:space="preserve">1</w:t>
            </w:r>
            <w:r/>
          </w:p>
        </w:tc>
        <w:tc>
          <w:tcPr>
            <w:tcW w:w="6095" w:type="dxa"/>
            <w:vAlign w:val="center"/>
            <w:textDirection w:val="lrTb"/>
            <w:noWrap w:val="false"/>
          </w:tcPr>
          <w:p>
            <w:pPr>
              <w:pStyle w:val="822"/>
              <w:ind w:firstLine="0"/>
              <w:jc w:val="both"/>
              <w:spacing w:before="0" w:after="0" w:line="240" w:lineRule="auto"/>
              <w:rPr>
                <w:rFonts w:hint="eastAsia" w:ascii="宋体" w:hAnsi="宋体" w:cs="Arial"/>
                <w:color w:val="000000"/>
              </w:rPr>
            </w:pPr>
            <w:r>
              <w:rPr>
                <w:rFonts w:hint="eastAsia" w:ascii="宋体" w:hAnsi="宋体" w:cs="Arial"/>
                <w:color w:val="000000"/>
              </w:rPr>
              <w:t xml:space="preserve">投标函（给定格式）</w:t>
            </w:r>
            <w:r/>
          </w:p>
        </w:tc>
        <w:tc>
          <w:tcPr>
            <w:tcW w:w="1979" w:type="dxa"/>
            <w:vAlign w:val="center"/>
            <w:vMerge w:val="restart"/>
            <w:textDirection w:val="lrTb"/>
            <w:noWrap w:val="false"/>
          </w:tcPr>
          <w:p>
            <w:pPr>
              <w:pStyle w:val="822"/>
              <w:ind w:firstLine="0"/>
              <w:jc w:val="center"/>
              <w:spacing w:before="0" w:after="0" w:line="240" w:lineRule="auto"/>
              <w:rPr>
                <w:rFonts w:hint="eastAsia" w:cs="Arial"/>
                <w:color w:val="000000"/>
              </w:rPr>
            </w:pPr>
            <w:r>
              <w:rPr>
                <w:rFonts w:hint="eastAsia" w:cs="Arial"/>
                <w:color w:val="000000"/>
              </w:rPr>
              <w:t xml:space="preserve">商务符合性</w:t>
            </w:r>
            <w:r/>
          </w:p>
        </w:tc>
      </w:tr>
      <w:tr>
        <w:trPr>
          <w:cantSplit/>
          <w:trHeight w:val="567"/>
        </w:trPr>
        <w:tc>
          <w:tcPr>
            <w:tcW w:w="823" w:type="dxa"/>
            <w:vAlign w:val="center"/>
            <w:textDirection w:val="lrTb"/>
            <w:noWrap w:val="false"/>
          </w:tcPr>
          <w:p>
            <w:pPr>
              <w:pStyle w:val="822"/>
              <w:ind w:firstLine="0"/>
              <w:jc w:val="center"/>
              <w:spacing w:before="0" w:after="0" w:line="240" w:lineRule="auto"/>
              <w:rPr>
                <w:rFonts w:hint="eastAsia" w:ascii="宋体" w:hAnsi="宋体" w:cs="Arial"/>
                <w:color w:val="000000"/>
              </w:rPr>
            </w:pPr>
            <w:r>
              <w:rPr>
                <w:rFonts w:hint="eastAsia" w:ascii="宋体" w:hAnsi="宋体" w:cs="Arial"/>
                <w:color w:val="000000"/>
              </w:rPr>
              <w:t xml:space="preserve">2</w:t>
            </w:r>
            <w:r/>
          </w:p>
        </w:tc>
        <w:tc>
          <w:tcPr>
            <w:tcW w:w="6095" w:type="dxa"/>
            <w:vAlign w:val="center"/>
            <w:textDirection w:val="lrTb"/>
            <w:noWrap w:val="false"/>
          </w:tcPr>
          <w:p>
            <w:pPr>
              <w:pStyle w:val="822"/>
              <w:ind w:firstLine="0"/>
              <w:jc w:val="both"/>
              <w:spacing w:before="0" w:after="0" w:line="240" w:lineRule="auto"/>
              <w:rPr>
                <w:rFonts w:hint="eastAsia" w:ascii="宋体" w:hAnsi="宋体" w:cs="Arial"/>
                <w:color w:val="000000"/>
              </w:rPr>
            </w:pPr>
            <w:r>
              <w:rPr>
                <w:rFonts w:hint="eastAsia" w:ascii="宋体" w:hAnsi="宋体" w:cs="Arial"/>
                <w:color w:val="000000"/>
              </w:rPr>
              <w:t xml:space="preserve">承诺书（给定格式）</w:t>
            </w:r>
            <w:r/>
          </w:p>
        </w:tc>
        <w:tc>
          <w:tcPr>
            <w:tcW w:w="1979" w:type="dxa"/>
            <w:vAlign w:val="center"/>
            <w:vMerge w:val="continue"/>
            <w:textDirection w:val="lrTb"/>
            <w:noWrap w:val="false"/>
          </w:tcPr>
          <w:p>
            <w:pPr>
              <w:pStyle w:val="822"/>
              <w:ind w:firstLine="0"/>
              <w:jc w:val="center"/>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822"/>
              <w:ind w:firstLine="0"/>
              <w:jc w:val="center"/>
              <w:spacing w:before="0" w:after="0" w:line="240" w:lineRule="auto"/>
              <w:rPr>
                <w:rFonts w:hint="eastAsia" w:ascii="宋体" w:hAnsi="宋体"/>
                <w:color w:val="000000"/>
              </w:rPr>
            </w:pPr>
            <w:r>
              <w:rPr>
                <w:rFonts w:hint="eastAsia" w:ascii="宋体" w:hAnsi="宋体"/>
                <w:color w:val="000000"/>
              </w:rPr>
              <w:t xml:space="preserve">3</w:t>
            </w:r>
            <w:r/>
          </w:p>
        </w:tc>
        <w:tc>
          <w:tcPr>
            <w:tcW w:w="6095" w:type="dxa"/>
            <w:vAlign w:val="center"/>
            <w:textDirection w:val="lrTb"/>
            <w:noWrap w:val="false"/>
          </w:tcPr>
          <w:p>
            <w:pPr>
              <w:pStyle w:val="822"/>
              <w:ind w:firstLine="0"/>
              <w:jc w:val="both"/>
              <w:spacing w:before="0" w:after="0" w:line="240" w:lineRule="auto"/>
              <w:rPr>
                <w:rFonts w:hint="eastAsia" w:ascii="宋体" w:hAnsi="宋体" w:cs="Arial"/>
                <w:color w:val="000000"/>
              </w:rPr>
            </w:pPr>
            <w:r>
              <w:rPr>
                <w:rFonts w:hint="eastAsia" w:ascii="宋体" w:hAnsi="宋体"/>
                <w:color w:val="000000"/>
              </w:rPr>
              <w:t xml:space="preserve">开标一览表（</w:t>
            </w:r>
            <w:r>
              <w:rPr>
                <w:rFonts w:hint="eastAsia" w:ascii="宋体" w:hAnsi="宋体"/>
                <w:color w:val="000000"/>
              </w:rPr>
              <w:t xml:space="preserve">“苏采云”系统中</w:t>
            </w:r>
            <w:r>
              <w:rPr>
                <w:rFonts w:hint="eastAsia" w:ascii="宋体" w:hAnsi="宋体"/>
                <w:color w:val="000000"/>
              </w:rPr>
              <w:t xml:space="preserve">给定格式</w:t>
            </w:r>
            <w:r>
              <w:rPr>
                <w:rFonts w:hint="eastAsia" w:ascii="宋体" w:hAnsi="宋体"/>
                <w:color w:val="000000"/>
              </w:rPr>
              <w:t xml:space="preserve">）</w:t>
            </w:r>
            <w:r>
              <w:rPr>
                <w:rFonts w:hint="eastAsia" w:ascii="宋体" w:hAnsi="宋体" w:cs="Arial"/>
                <w:color w:val="000000"/>
              </w:rPr>
            </w:r>
            <w:r/>
          </w:p>
        </w:tc>
        <w:tc>
          <w:tcPr>
            <w:tcW w:w="1979" w:type="dxa"/>
            <w:vAlign w:val="center"/>
            <w:vMerge w:val="restart"/>
            <w:textDirection w:val="lrTb"/>
            <w:noWrap w:val="false"/>
          </w:tcPr>
          <w:p>
            <w:pPr>
              <w:pStyle w:val="822"/>
              <w:ind w:firstLine="0"/>
              <w:jc w:val="center"/>
              <w:spacing w:before="0" w:after="0" w:line="240" w:lineRule="auto"/>
              <w:rPr>
                <w:rFonts w:hint="eastAsia" w:cs="Arial"/>
                <w:color w:val="000000"/>
              </w:rPr>
            </w:pPr>
            <w:r>
              <w:rPr>
                <w:rFonts w:hint="eastAsia" w:cs="Arial"/>
                <w:color w:val="000000"/>
              </w:rPr>
              <w:t xml:space="preserve">报价符合性</w:t>
            </w:r>
            <w:r/>
          </w:p>
        </w:tc>
      </w:tr>
      <w:tr>
        <w:trPr>
          <w:cantSplit/>
          <w:trHeight w:val="567"/>
        </w:trPr>
        <w:tc>
          <w:tcPr>
            <w:tcW w:w="823" w:type="dxa"/>
            <w:vAlign w:val="center"/>
            <w:textDirection w:val="lrTb"/>
            <w:noWrap w:val="false"/>
          </w:tcPr>
          <w:p>
            <w:pPr>
              <w:pStyle w:val="822"/>
              <w:ind w:firstLine="0"/>
              <w:jc w:val="center"/>
              <w:spacing w:before="0" w:after="0" w:line="240" w:lineRule="auto"/>
              <w:rPr>
                <w:rFonts w:hint="eastAsia" w:ascii="宋体" w:hAnsi="宋体"/>
                <w:color w:val="000000"/>
              </w:rPr>
            </w:pPr>
            <w:r>
              <w:rPr>
                <w:rFonts w:hint="eastAsia" w:ascii="宋体" w:hAnsi="宋体"/>
                <w:color w:val="000000"/>
              </w:rPr>
              <w:t xml:space="preserve">4</w:t>
            </w:r>
            <w:r/>
          </w:p>
        </w:tc>
        <w:tc>
          <w:tcPr>
            <w:tcW w:w="6095" w:type="dxa"/>
            <w:vAlign w:val="center"/>
            <w:textDirection w:val="lrTb"/>
            <w:noWrap w:val="false"/>
          </w:tcPr>
          <w:p>
            <w:pPr>
              <w:pStyle w:val="822"/>
              <w:ind w:firstLine="0"/>
              <w:jc w:val="both"/>
              <w:spacing w:before="0" w:after="0" w:line="240" w:lineRule="auto"/>
              <w:rPr>
                <w:rFonts w:hint="eastAsia" w:ascii="宋体" w:hAnsi="宋体" w:cs="Arial"/>
                <w:color w:val="000000"/>
              </w:rPr>
            </w:pPr>
            <w:r>
              <w:rPr>
                <w:rFonts w:hint="eastAsia" w:ascii="宋体" w:hAnsi="宋体"/>
                <w:color w:val="000000"/>
              </w:rPr>
              <w:t xml:space="preserve">分项报价表（给定格式）</w:t>
            </w:r>
            <w:r>
              <w:rPr>
                <w:rFonts w:hint="eastAsia" w:ascii="宋体" w:hAnsi="宋体" w:cs="Arial"/>
                <w:color w:val="000000"/>
              </w:rPr>
            </w:r>
            <w:r/>
          </w:p>
        </w:tc>
        <w:tc>
          <w:tcPr>
            <w:tcW w:w="1979" w:type="dxa"/>
            <w:vAlign w:val="center"/>
            <w:vMerge w:val="continue"/>
            <w:textDirection w:val="lrTb"/>
            <w:noWrap w:val="false"/>
          </w:tcPr>
          <w:p>
            <w:pPr>
              <w:pStyle w:val="822"/>
              <w:ind w:firstLine="0"/>
              <w:jc w:val="center"/>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822"/>
              <w:ind w:firstLine="0"/>
              <w:jc w:val="center"/>
              <w:spacing w:before="0" w:after="0" w:line="240" w:lineRule="auto"/>
              <w:rPr>
                <w:rFonts w:hint="eastAsia" w:ascii="宋体" w:hAnsi="宋体"/>
                <w:color w:val="000000"/>
              </w:rPr>
            </w:pPr>
            <w:r>
              <w:rPr>
                <w:rFonts w:hint="eastAsia" w:ascii="宋体" w:hAnsi="宋体"/>
                <w:color w:val="000000"/>
              </w:rPr>
              <w:t xml:space="preserve">5</w:t>
            </w:r>
            <w:r/>
          </w:p>
        </w:tc>
        <w:tc>
          <w:tcPr>
            <w:tcW w:w="6095" w:type="dxa"/>
            <w:vAlign w:val="center"/>
            <w:textDirection w:val="lrTb"/>
            <w:noWrap w:val="false"/>
          </w:tcPr>
          <w:p>
            <w:pPr>
              <w:pStyle w:val="822"/>
              <w:ind w:firstLine="0"/>
              <w:jc w:val="both"/>
              <w:spacing w:before="0" w:after="0" w:line="240" w:lineRule="auto"/>
              <w:rPr>
                <w:rFonts w:ascii="宋体" w:hAnsi="宋体" w:cs="Arial"/>
                <w:color w:val="000000"/>
              </w:rPr>
            </w:pPr>
            <w:r>
              <w:rPr>
                <w:rFonts w:hint="eastAsia" w:ascii="宋体" w:hAnsi="宋体"/>
                <w:color w:val="000000"/>
              </w:rPr>
              <w:t xml:space="preserve">投标偏离表（给定格式）</w:t>
            </w:r>
            <w:r>
              <w:rPr>
                <w:rFonts w:ascii="宋体" w:hAnsi="宋体" w:cs="Arial"/>
                <w:color w:val="000000"/>
              </w:rPr>
            </w:r>
            <w:r/>
          </w:p>
        </w:tc>
        <w:tc>
          <w:tcPr>
            <w:tcW w:w="1979" w:type="dxa"/>
            <w:vAlign w:val="center"/>
            <w:vMerge w:val="restart"/>
            <w:textDirection w:val="lrTb"/>
            <w:noWrap w:val="false"/>
          </w:tcPr>
          <w:p>
            <w:pPr>
              <w:pStyle w:val="822"/>
              <w:ind w:firstLine="0"/>
              <w:jc w:val="center"/>
              <w:spacing w:before="0" w:after="0" w:line="240" w:lineRule="auto"/>
              <w:rPr>
                <w:rFonts w:hint="eastAsia" w:cs="Arial"/>
                <w:color w:val="000000"/>
              </w:rPr>
            </w:pPr>
            <w:r>
              <w:rPr>
                <w:rFonts w:hint="eastAsia" w:cs="Arial"/>
                <w:color w:val="000000"/>
              </w:rPr>
              <w:t xml:space="preserve">技术符合性</w:t>
            </w:r>
            <w:r/>
          </w:p>
        </w:tc>
      </w:tr>
      <w:tr>
        <w:trPr>
          <w:cantSplit/>
          <w:trHeight w:val="567"/>
        </w:trPr>
        <w:tc>
          <w:tcPr>
            <w:tcW w:w="823" w:type="dxa"/>
            <w:vAlign w:val="center"/>
            <w:textDirection w:val="lrTb"/>
            <w:noWrap w:val="false"/>
          </w:tcPr>
          <w:p>
            <w:pPr>
              <w:pStyle w:val="822"/>
              <w:ind w:firstLine="0"/>
              <w:jc w:val="center"/>
              <w:spacing w:before="0" w:after="0" w:line="240" w:lineRule="auto"/>
              <w:rPr>
                <w:rFonts w:hint="eastAsia" w:ascii="宋体" w:hAnsi="宋体"/>
                <w:color w:val="000000"/>
              </w:rPr>
            </w:pPr>
            <w:r>
              <w:rPr>
                <w:rFonts w:hint="eastAsia" w:ascii="宋体" w:hAnsi="宋体"/>
                <w:color w:val="000000"/>
              </w:rPr>
              <w:t xml:space="preserve">6</w:t>
            </w:r>
            <w:r/>
          </w:p>
        </w:tc>
        <w:tc>
          <w:tcPr>
            <w:tcW w:w="6095" w:type="dxa"/>
            <w:vAlign w:val="center"/>
            <w:textDirection w:val="lrTb"/>
            <w:noWrap w:val="false"/>
          </w:tcPr>
          <w:p>
            <w:pPr>
              <w:pStyle w:val="822"/>
              <w:ind w:firstLine="0"/>
              <w:jc w:val="both"/>
              <w:spacing w:before="0" w:after="0" w:line="240" w:lineRule="auto"/>
              <w:rPr>
                <w:rFonts w:hint="eastAsia" w:ascii="宋体" w:hAnsi="宋体"/>
                <w:color w:val="000000"/>
              </w:rPr>
            </w:pPr>
            <w:r>
              <w:rPr>
                <w:rFonts w:hint="eastAsia" w:ascii="宋体" w:hAnsi="宋体"/>
                <w:color w:val="000000"/>
              </w:rPr>
              <w:t xml:space="preserve">《采购需求》中要求提供的证明材料（如有）</w:t>
            </w:r>
            <w:r/>
          </w:p>
        </w:tc>
        <w:tc>
          <w:tcPr>
            <w:tcW w:w="1979" w:type="dxa"/>
            <w:vAlign w:val="center"/>
            <w:vMerge w:val="continue"/>
            <w:textDirection w:val="lrTb"/>
            <w:noWrap w:val="false"/>
          </w:tcPr>
          <w:p>
            <w:pPr>
              <w:pStyle w:val="822"/>
              <w:ind w:firstLine="0"/>
              <w:jc w:val="center"/>
              <w:spacing w:before="0" w:after="0" w:line="240" w:lineRule="auto"/>
              <w:rPr>
                <w:rFonts w:hint="eastAsia" w:cs="Arial"/>
                <w:color w:val="000000"/>
              </w:rPr>
            </w:pPr>
            <w:r>
              <w:rPr>
                <w:rFonts w:hint="eastAsia" w:cs="Arial"/>
                <w:color w:val="000000"/>
              </w:rPr>
            </w:r>
            <w:r/>
          </w:p>
        </w:tc>
      </w:tr>
    </w:tbl>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734"/>
        <w:numPr>
          <w:ilvl w:val="0"/>
          <w:numId w:val="11"/>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w:t>
      </w:r>
      <w:r>
        <w:rPr>
          <w:rFonts w:hint="eastAsia" w:cs="Arial"/>
          <w:color w:val="000000"/>
          <w:sz w:val="24"/>
          <w:szCs w:val="24"/>
        </w:rPr>
        <w:t xml:space="preserve">第</w:t>
      </w:r>
      <w:r>
        <w:rPr>
          <w:rFonts w:hint="eastAsia" w:ascii="宋体" w:hAnsi="宋体"/>
          <w:color w:val="000000"/>
          <w:sz w:val="24"/>
          <w:szCs w:val="24"/>
        </w:rPr>
        <w:t xml:space="preserve">1～</w:t>
      </w:r>
      <w:r>
        <w:rPr>
          <w:rFonts w:hint="eastAsia" w:ascii="宋体" w:hAnsi="宋体"/>
          <w:color w:val="000000"/>
          <w:sz w:val="24"/>
          <w:szCs w:val="24"/>
        </w:rPr>
        <w:t xml:space="preserve">5</w:t>
      </w:r>
      <w:r>
        <w:rPr>
          <w:rFonts w:hint="eastAsia" w:ascii="宋体" w:hAnsi="宋体"/>
          <w:color w:val="000000"/>
          <w:sz w:val="24"/>
          <w:szCs w:val="24"/>
        </w:rPr>
        <w:t xml:space="preserve">项必须按要求全部提供（有给定格式的，必须按给定格式的要求正确填报并提供，相应格式见本章第二部分），否则投标文件无效。</w:t>
      </w:r>
      <w:r/>
    </w:p>
    <w:p>
      <w:pPr>
        <w:pStyle w:val="734"/>
        <w:numPr>
          <w:ilvl w:val="0"/>
          <w:numId w:val="11"/>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ascii="宋体" w:hAnsi="宋体" w:cs="Arial"/>
          <w:color w:val="000000"/>
          <w:sz w:val="24"/>
          <w:szCs w:val="24"/>
        </w:rPr>
        <w:t xml:space="preserve">符合性证明文件第6项，《采购需求》中如有要求提供证明材料</w:t>
      </w:r>
      <w:r>
        <w:rPr>
          <w:rFonts w:hint="eastAsia" w:ascii="宋体" w:hAnsi="宋体" w:cs="Arial"/>
          <w:color w:val="000000"/>
          <w:sz w:val="24"/>
          <w:szCs w:val="24"/>
        </w:rPr>
        <w:t xml:space="preserve">的</w:t>
      </w:r>
      <w:r>
        <w:rPr>
          <w:rFonts w:hint="eastAsia" w:ascii="宋体" w:hAnsi="宋体" w:cs="Arial"/>
          <w:color w:val="000000"/>
          <w:sz w:val="24"/>
          <w:szCs w:val="24"/>
        </w:rPr>
        <w:t xml:space="preserve">，须按要求提供，否则投标文件无效。</w:t>
      </w:r>
      <w:r>
        <w:rPr>
          <w:rFonts w:hint="eastAsia" w:ascii="宋体" w:hAnsi="宋体"/>
          <w:color w:val="000000"/>
          <w:sz w:val="24"/>
          <w:szCs w:val="24"/>
        </w:rPr>
      </w:r>
      <w:r/>
    </w:p>
    <w:p>
      <w:pPr>
        <w:pStyle w:val="734"/>
        <w:numPr>
          <w:ilvl w:val="0"/>
          <w:numId w:val="11"/>
        </w:num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w:t>
      </w:r>
      <w:r>
        <w:rPr>
          <w:rFonts w:hint="eastAsia" w:ascii="宋体" w:hAnsi="宋体" w:cs="宋体"/>
          <w:color w:val="000000"/>
          <w:sz w:val="24"/>
          <w:szCs w:val="24"/>
        </w:rPr>
        <w:t xml:space="preserve">第1～5项可由联合体主体单位（即联合体牵头人）代表联合体提供。</w:t>
      </w:r>
      <w:r>
        <w:rPr>
          <w:rFonts w:hint="eastAsia" w:ascii="宋体" w:hAnsi="宋体" w:cs="宋体"/>
          <w:color w:val="000000"/>
          <w:sz w:val="24"/>
          <w:szCs w:val="24"/>
        </w:rPr>
        <w:t xml:space="preserve">第6项按《采购需求》中的相应要求</w:t>
      </w:r>
      <w:r>
        <w:rPr>
          <w:rFonts w:hint="eastAsia" w:ascii="宋体" w:hAnsi="宋体" w:cs="宋体"/>
          <w:color w:val="000000"/>
          <w:sz w:val="24"/>
          <w:szCs w:val="24"/>
        </w:rPr>
        <w:t xml:space="preserve">（如有）进行</w:t>
      </w:r>
      <w:r>
        <w:rPr>
          <w:rFonts w:hint="eastAsia" w:ascii="宋体" w:hAnsi="宋体" w:cs="宋体"/>
          <w:color w:val="000000"/>
          <w:sz w:val="24"/>
          <w:szCs w:val="24"/>
        </w:rPr>
        <w:t xml:space="preserve">提供。</w:t>
      </w:r>
      <w:r>
        <w:rPr>
          <w:rFonts w:hint="eastAsia" w:ascii="宋体" w:hAnsi="宋体" w:cs="宋体"/>
          <w:color w:val="000000"/>
          <w:sz w:val="24"/>
          <w:szCs w:val="24"/>
        </w:rPr>
      </w:r>
      <w:r/>
    </w:p>
    <w:p>
      <w:pPr>
        <w:pStyle w:val="734"/>
        <w:rPr>
          <w:rFonts w:hint="eastAsia"/>
          <w:b/>
          <w:color w:val="000000"/>
          <w:sz w:val="28"/>
          <w:szCs w:val="28"/>
        </w:rPr>
      </w:pPr>
      <w:r>
        <w:rPr>
          <w:rFonts w:hint="eastAsia"/>
          <w:b/>
          <w:color w:val="000000"/>
          <w:sz w:val="28"/>
          <w:szCs w:val="28"/>
        </w:rPr>
      </w:r>
      <w:r/>
    </w:p>
    <w:p>
      <w:pPr>
        <w:pStyle w:val="734"/>
        <w:rPr>
          <w:rFonts w:hint="eastAsia"/>
          <w:b/>
          <w:color w:val="000000"/>
          <w:sz w:val="28"/>
          <w:szCs w:val="28"/>
        </w:rPr>
      </w:pPr>
      <w:r>
        <w:rPr>
          <w:rFonts w:hint="eastAsia"/>
          <w:b/>
          <w:color w:val="000000"/>
          <w:sz w:val="28"/>
          <w:szCs w:val="28"/>
        </w:rPr>
        <w:t xml:space="preserve">（二）其他证明文件</w:t>
      </w:r>
      <w:r>
        <w:rPr>
          <w:rFonts w:hint="eastAsia"/>
          <w:b/>
          <w:color w:val="000000"/>
          <w:sz w:val="28"/>
          <w:szCs w:val="28"/>
        </w:rPr>
      </w:r>
      <w:r/>
    </w:p>
    <w:p>
      <w:pPr>
        <w:pStyle w:val="734"/>
        <w:ind w:left="480"/>
        <w:spacing w:line="500" w:lineRule="exact"/>
        <w:rPr>
          <w:rFonts w:hint="eastAsia" w:ascii="宋体" w:hAnsi="宋体"/>
          <w:color w:val="000000"/>
          <w:sz w:val="24"/>
          <w:szCs w:val="24"/>
        </w:rPr>
      </w:pPr>
      <w:r>
        <w:rPr>
          <w:rFonts w:hint="eastAsia" w:ascii="宋体" w:hAnsi="宋体"/>
          <w:color w:val="000000"/>
          <w:sz w:val="24"/>
          <w:szCs w:val="24"/>
        </w:rPr>
        <w:t xml:space="preserve">1.《评标方法与评标标准》中涉及的证明文件。</w:t>
      </w:r>
      <w:r/>
    </w:p>
    <w:p>
      <w:pPr>
        <w:pStyle w:val="734"/>
        <w:ind w:left="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2.投标人认为如有其他应附的文件可自拟并自行添加。</w:t>
      </w:r>
      <w:r/>
    </w:p>
    <w:p>
      <w:pPr>
        <w:pStyle w:val="734"/>
        <w:rPr>
          <w:rFonts w:hint="eastAsia"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 xml:space="preserve">第二部分  投标文件格式</w:t>
      </w:r>
      <w:r/>
    </w:p>
    <w:p>
      <w:pPr>
        <w:pStyle w:val="822"/>
        <w:ind w:firstLine="0"/>
        <w:spacing w:before="0" w:after="0"/>
        <w:rPr>
          <w:rFonts w:cs="Arial"/>
          <w:b/>
          <w:color w:val="000000"/>
          <w:sz w:val="28"/>
          <w:szCs w:val="28"/>
        </w:rPr>
      </w:pPr>
      <w:r>
        <w:rPr>
          <w:rFonts w:hint="eastAsia" w:cs="Arial"/>
          <w:b/>
          <w:color w:val="000000"/>
          <w:sz w:val="28"/>
          <w:szCs w:val="28"/>
        </w:rPr>
        <w:t xml:space="preserve">一、封面格式</w:t>
      </w:r>
      <w:r>
        <w:rPr>
          <w:rFonts w:hint="eastAsia" w:cs="Arial"/>
          <w:b/>
          <w:color w:val="000000"/>
          <w:sz w:val="28"/>
          <w:szCs w:val="28"/>
        </w:rPr>
        <w:t xml:space="preserve">（参考格式）</w:t>
      </w:r>
      <w:r>
        <w:rPr>
          <w:rFonts w:hint="eastAsia" w:cs="Arial"/>
          <w:b/>
          <w:color w:val="000000"/>
          <w:sz w:val="28"/>
          <w:szCs w:val="28"/>
        </w:rPr>
        <w:t xml:space="preserve">：</w:t>
      </w:r>
      <w:r>
        <w:rPr>
          <w:rFonts w:cs="Arial"/>
          <w:b/>
          <w:color w:val="000000"/>
          <w:sz w:val="28"/>
          <w:szCs w:val="28"/>
        </w:rPr>
      </w:r>
      <w:r/>
    </w:p>
    <w:p>
      <w:pPr>
        <w:pStyle w:val="734"/>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34"/>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34"/>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p>
    <w:p>
      <w:pPr>
        <w:pStyle w:val="734"/>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34"/>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34"/>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34"/>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34"/>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rPr>
        <w:t xml:space="preserve">JSZC-320200-JZCG-G2024-0201</w:t>
      </w:r>
      <w:r>
        <w:rPr>
          <w:rFonts w:ascii="黑体" w:hAnsi="华文中宋" w:eastAsia="黑体"/>
          <w:bCs/>
          <w:color w:val="000000"/>
          <w:sz w:val="30"/>
          <w:szCs w:val="30"/>
        </w:rPr>
      </w:r>
      <w:r/>
    </w:p>
    <w:p>
      <w:pPr>
        <w:pStyle w:val="734"/>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rPr>
        <w:t xml:space="preserve">信息化服务器硬件支撑</w:t>
      </w:r>
      <w:r>
        <w:rPr>
          <w:rFonts w:hint="eastAsia" w:ascii="黑体" w:hAnsi="华文中宋" w:eastAsia="黑体"/>
          <w:bCs/>
          <w:color w:val="000000"/>
          <w:sz w:val="30"/>
          <w:szCs w:val="30"/>
        </w:rPr>
      </w:r>
      <w:r/>
    </w:p>
    <w:p>
      <w:pPr>
        <w:pStyle w:val="734"/>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pStyle w:val="734"/>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734"/>
        <w:spacing w:line="440" w:lineRule="exact"/>
        <w:rPr>
          <w:rFonts w:hint="eastAsia"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rPr>
          <w:rFonts w:hint="eastAsia" w:ascii="Arial" w:hAnsi="Arial"/>
          <w:b/>
          <w:color w:val="000000"/>
          <w:sz w:val="28"/>
          <w:szCs w:val="28"/>
        </w:rPr>
      </w:r>
      <w:r/>
    </w:p>
    <w:p>
      <w:pPr>
        <w:pStyle w:val="734"/>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rPr>
          <w:rFonts w:ascii="宋体" w:hAnsi="宋体"/>
          <w:color w:val="000000"/>
          <w:sz w:val="24"/>
          <w:shd w:val="clear" w:color="ffffff" w:fill="d9d9d9"/>
        </w:rPr>
      </w:r>
      <w:r/>
    </w:p>
    <w:p>
      <w:pPr>
        <w:pStyle w:val="820"/>
        <w:ind w:firstLine="480"/>
        <w:rPr>
          <w:rFonts w:hint="eastAsia"/>
          <w:color w:val="000000"/>
          <w:sz w:val="24"/>
          <w:szCs w:val="24"/>
        </w:rPr>
      </w:pPr>
      <w:r>
        <w:rPr>
          <w:rFonts w:hint="eastAsia"/>
          <w:color w:val="000000"/>
          <w:sz w:val="24"/>
          <w:szCs w:val="24"/>
        </w:rPr>
        <w:t xml:space="preserve">我公司（单位</w:t>
      </w:r>
      <w:r>
        <w:rPr>
          <w:rFonts w:hint="eastAsia"/>
          <w:color w:val="000000"/>
          <w:sz w:val="24"/>
          <w:szCs w:val="24"/>
        </w:rPr>
        <w:t xml:space="preserve">、联合体</w:t>
      </w:r>
      <w:r>
        <w:rPr>
          <w:rFonts w:hint="eastAsia"/>
          <w:color w:val="000000"/>
          <w:sz w:val="24"/>
          <w:szCs w:val="24"/>
        </w:rPr>
        <w:t xml:space="preserve">）针对</w:t>
      </w:r>
      <w:r>
        <w:rPr>
          <w:rFonts w:hint="eastAsia" w:ascii="宋体" w:hAnsi="宋体"/>
          <w:bCs/>
          <w:color w:val="000000"/>
          <w:sz w:val="24"/>
          <w:szCs w:val="24"/>
        </w:rPr>
        <w:t xml:space="preserve">JSZC-320200-JZCG-G2024-0201</w:t>
      </w:r>
      <w:r>
        <w:rPr>
          <w:rFonts w:hint="eastAsia" w:ascii="宋体" w:hAnsi="宋体"/>
          <w:bCs/>
          <w:color w:val="000000"/>
          <w:sz w:val="24"/>
          <w:szCs w:val="24"/>
        </w:rPr>
        <w:t xml:space="preserve">项目，兹授权：</w:t>
      </w:r>
      <w:r>
        <w:rPr>
          <w:rFonts w:hint="eastAsia"/>
          <w:color w:val="000000"/>
          <w:sz w:val="24"/>
          <w:szCs w:val="24"/>
        </w:rPr>
      </w:r>
      <w:r/>
    </w:p>
    <w:p>
      <w:pPr>
        <w:pStyle w:val="820"/>
        <w:ind w:firstLine="480"/>
        <w:rPr>
          <w:rFonts w:hint="eastAsia"/>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p>
    <w:p>
      <w:pPr>
        <w:pStyle w:val="820"/>
        <w:ind w:firstLine="480"/>
        <w:rPr>
          <w:rFonts w:hint="eastAsia"/>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p>
    <w:p>
      <w:pPr>
        <w:pStyle w:val="820"/>
        <w:ind w:firstLine="480"/>
        <w:rPr>
          <w:rFonts w:hint="eastAsia"/>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p>
    <w:p>
      <w:pPr>
        <w:pStyle w:val="820"/>
        <w:ind w:firstLine="480"/>
        <w:rPr>
          <w:rFonts w:hint="eastAsia"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820"/>
        <w:ind w:firstLine="480"/>
        <w:rPr>
          <w:rFonts w:hint="eastAsia"/>
          <w:color w:val="000000"/>
          <w:sz w:val="24"/>
          <w:szCs w:val="24"/>
        </w:rPr>
      </w:pPr>
      <w:r>
        <w:rPr>
          <w:rFonts w:hint="eastAsia"/>
          <w:color w:val="000000"/>
          <w:sz w:val="24"/>
          <w:szCs w:val="24"/>
        </w:rPr>
        <w:t xml:space="preserve">特此授权委托。</w:t>
      </w:r>
      <w:r/>
    </w:p>
    <w:p>
      <w:pPr>
        <w:pStyle w:val="820"/>
        <w:ind w:firstLine="0"/>
        <w:rPr>
          <w:rFonts w:hint="eastAsia"/>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rPr>
          <w:rFonts w:hint="eastAsia"/>
          <w:color w:val="000000"/>
          <w:sz w:val="24"/>
          <w:szCs w:val="24"/>
          <w:u w:val="single"/>
        </w:rPr>
      </w:r>
      <w:r/>
    </w:p>
    <w:p>
      <w:pPr>
        <w:pStyle w:val="820"/>
        <w:ind w:firstLine="0"/>
        <w:rPr>
          <w:rFonts w:hint="eastAsia"/>
          <w:color w:val="000000"/>
          <w:sz w:val="24"/>
          <w:szCs w:val="24"/>
        </w:rPr>
      </w:pPr>
      <w:r>
        <w:rPr>
          <w:rFonts w:hint="eastAsia"/>
          <w:color w:val="000000"/>
          <w:sz w:val="24"/>
          <w:szCs w:val="24"/>
        </w:rPr>
        <w:t xml:space="preserve">法定代表人签字</w:t>
      </w:r>
      <w:r>
        <w:rPr>
          <w:rFonts w:hint="eastAsia"/>
          <w:color w:val="000000"/>
          <w:sz w:val="24"/>
          <w:szCs w:val="24"/>
        </w:rPr>
        <w:t xml:space="preserve">或盖章</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t xml:space="preserve">             被授权人签字</w:t>
      </w:r>
      <w:r>
        <w:rPr>
          <w:rFonts w:hint="eastAsia"/>
          <w:color w:val="000000"/>
          <w:sz w:val="24"/>
          <w:szCs w:val="24"/>
        </w:rPr>
        <w:t xml:space="preserve">或盖章</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r>
      <w:r/>
    </w:p>
    <w:p>
      <w:pPr>
        <w:pStyle w:val="820"/>
        <w:ind w:firstLine="0"/>
        <w:rPr>
          <w:rFonts w:hint="eastAsia"/>
          <w:color w:val="000000"/>
          <w:sz w:val="24"/>
          <w:szCs w:val="24"/>
        </w:rPr>
      </w:pPr>
      <w:r>
        <w:rPr>
          <w:rFonts w:hint="eastAsia" w:ascii="宋体" w:hAnsi="宋体" w:cs="宋体"/>
          <w:b/>
          <w:color w:val="000000"/>
          <w:sz w:val="30"/>
        </w:rPr>
        <w:t xml:space="preserve">(被授权人身份证原件扫描件附后)</w:t>
      </w:r>
      <w:r>
        <w:rPr>
          <w:rFonts w:hint="eastAsia"/>
          <w:color w:val="000000"/>
          <w:sz w:val="24"/>
          <w:szCs w:val="24"/>
        </w:rPr>
      </w:r>
      <w:r/>
    </w:p>
    <w:p>
      <w:pPr>
        <w:pStyle w:val="820"/>
        <w:ind w:firstLine="0"/>
        <w:rPr>
          <w:rFonts w:hint="eastAsia"/>
          <w:color w:val="000000"/>
          <w:sz w:val="24"/>
          <w:szCs w:val="24"/>
        </w:rPr>
      </w:pPr>
      <w:r>
        <w:rPr>
          <w:rFonts w:hint="eastAsia"/>
          <w:color w:val="000000"/>
          <w:sz w:val="24"/>
          <w:szCs w:val="24"/>
        </w:rPr>
        <w:t xml:space="preserve">说明：</w:t>
      </w:r>
      <w:r/>
    </w:p>
    <w:p>
      <w:pPr>
        <w:pStyle w:val="820"/>
        <w:numPr>
          <w:ilvl w:val="0"/>
          <w:numId w:val="12"/>
        </w:numPr>
        <w:ind w:firstLine="480"/>
        <w:rPr>
          <w:rFonts w:hint="eastAsia"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p>
    <w:p>
      <w:pPr>
        <w:pStyle w:val="820"/>
        <w:numPr>
          <w:ilvl w:val="0"/>
          <w:numId w:val="12"/>
        </w:numPr>
        <w:ind w:firstLine="480"/>
        <w:rPr>
          <w:rFonts w:hint="eastAsia"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w:t>
      </w:r>
      <w:r>
        <w:rPr>
          <w:rFonts w:hint="eastAsia"/>
          <w:color w:val="000000"/>
          <w:sz w:val="24"/>
          <w:szCs w:val="24"/>
        </w:rPr>
        <w:t xml:space="preserve">或盖章</w:t>
      </w:r>
      <w:r>
        <w:rPr>
          <w:rFonts w:hint="eastAsia" w:ascii="宋体" w:hAnsi="宋体"/>
          <w:color w:val="000000"/>
          <w:sz w:val="24"/>
          <w:szCs w:val="20"/>
        </w:rPr>
        <w:t xml:space="preserve">即可。</w:t>
      </w:r>
      <w:r/>
    </w:p>
    <w:p>
      <w:pPr>
        <w:pStyle w:val="820"/>
        <w:numPr>
          <w:ilvl w:val="0"/>
          <w:numId w:val="12"/>
        </w:numPr>
        <w:ind w:firstLine="480"/>
        <w:rPr>
          <w:rFonts w:hint="eastAsia"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pStyle w:val="820"/>
        <w:numPr>
          <w:ilvl w:val="0"/>
          <w:numId w:val="12"/>
        </w:numPr>
        <w:ind w:firstLine="480"/>
        <w:rPr>
          <w:rFonts w:hint="eastAsia"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color w:val="000000"/>
          <w:sz w:val="24"/>
          <w:szCs w:val="20"/>
        </w:rPr>
      </w:r>
      <w:r/>
    </w:p>
    <w:p>
      <w:pPr>
        <w:pStyle w:val="820"/>
        <w:ind w:firstLine="0"/>
        <w:rPr>
          <w:rFonts w:hint="eastAsia"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p>
    <w:p>
      <w:pPr>
        <w:pStyle w:val="734"/>
        <w:jc w:val="center"/>
        <w:rPr>
          <w:rFonts w:ascii="黑体" w:eastAsia="黑体"/>
          <w:bCs/>
          <w:color w:val="000000"/>
          <w:sz w:val="28"/>
          <w:szCs w:val="28"/>
        </w:rPr>
        <w:outlineLvl w:val="0"/>
      </w:pPr>
      <w:r/>
      <w:bookmarkStart w:id="199" w:name="报价方关于资格的声明函（格式）"/>
      <w:r/>
      <w:bookmarkEnd w:id="199"/>
      <w:r>
        <w:rPr>
          <w:rFonts w:hint="eastAsia" w:ascii="黑体" w:eastAsia="黑体"/>
          <w:bCs/>
          <w:color w:val="000000"/>
          <w:sz w:val="28"/>
          <w:szCs w:val="28"/>
        </w:rPr>
        <w:t xml:space="preserve">资格声明函</w:t>
      </w:r>
      <w:r>
        <w:rPr>
          <w:rFonts w:ascii="黑体" w:eastAsia="黑体"/>
          <w:bCs/>
          <w:color w:val="000000"/>
          <w:sz w:val="28"/>
          <w:szCs w:val="28"/>
        </w:rPr>
      </w:r>
      <w:r/>
    </w:p>
    <w:p>
      <w:pPr>
        <w:pStyle w:val="734"/>
        <w:jc w:val="center"/>
        <w:spacing w:line="480" w:lineRule="auto"/>
        <w:rPr>
          <w:rFonts w:ascii="宋体"/>
          <w:bCs/>
          <w:color w:val="000000"/>
          <w:sz w:val="24"/>
          <w:szCs w:val="24"/>
        </w:rPr>
      </w:pPr>
      <w:r>
        <w:rPr>
          <w:rFonts w:ascii="宋体"/>
          <w:bCs/>
          <w:color w:val="000000"/>
          <w:sz w:val="24"/>
          <w:szCs w:val="24"/>
        </w:rPr>
      </w:r>
      <w:r/>
    </w:p>
    <w:p>
      <w:pPr>
        <w:pStyle w:val="734"/>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734"/>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w:t>
      </w:r>
      <w:r>
        <w:rPr>
          <w:rFonts w:hint="eastAsia" w:ascii="宋体" w:hAnsi="宋体"/>
          <w:bCs/>
          <w:color w:val="000000"/>
          <w:sz w:val="24"/>
          <w:szCs w:val="24"/>
        </w:rPr>
        <w:t xml:space="preserve">JSZC-320200-JZCG-G2024-0201</w:t>
      </w:r>
      <w:r>
        <w:rPr>
          <w:rFonts w:hint="eastAsia" w:ascii="宋体" w:hAnsi="宋体"/>
          <w:bCs/>
          <w:color w:val="000000"/>
          <w:sz w:val="24"/>
          <w:szCs w:val="24"/>
        </w:rPr>
        <w:t xml:space="preserve">进行投标，并作如下声明</w:t>
      </w:r>
      <w:r>
        <w:rPr>
          <w:rFonts w:ascii="宋体" w:hAnsi="宋体"/>
          <w:bCs/>
          <w:color w:val="000000"/>
          <w:sz w:val="24"/>
          <w:szCs w:val="24"/>
        </w:rPr>
      </w:r>
      <w:r/>
    </w:p>
    <w:p>
      <w:pPr>
        <w:pStyle w:val="734"/>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）参加本次项目政府采购活动前三年内，在经营活动中没有重大违法（因违法经营受到刑事处罚或者责令停产停业、吊销许可证或者执照、较大数额罚款等行政处罚）记录。</w:t>
      </w:r>
      <w:r/>
    </w:p>
    <w:p>
      <w:pPr>
        <w:pStyle w:val="734"/>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）具备本次项目履行合同所必需的设备和专业技术能力。</w:t>
      </w:r>
      <w:r/>
    </w:p>
    <w:p>
      <w:pPr>
        <w:pStyle w:val="734"/>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734"/>
        <w:ind w:firstLine="480"/>
        <w:spacing w:line="480" w:lineRule="auto"/>
        <w:rPr>
          <w:rFonts w:asci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）针对本次项目的上述声明以及投标文件中所有关于投标资格的文件、证明、陈述均是真实的、准确的。若有违背，我公司（单位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）愿意承担由此而产生的一切后果。</w:t>
      </w:r>
      <w:r>
        <w:rPr>
          <w:rFonts w:ascii="宋体"/>
          <w:bCs/>
          <w:color w:val="000000"/>
          <w:sz w:val="24"/>
          <w:szCs w:val="24"/>
        </w:rPr>
      </w:r>
      <w:r/>
    </w:p>
    <w:p>
      <w:pPr>
        <w:pStyle w:val="734"/>
        <w:spacing w:line="480" w:lineRule="auto"/>
        <w:rPr>
          <w:rFonts w:ascii="宋体"/>
          <w:bCs/>
          <w:color w:val="000000"/>
          <w:sz w:val="24"/>
          <w:szCs w:val="24"/>
        </w:rPr>
      </w:pPr>
      <w:r>
        <w:rPr>
          <w:rFonts w:ascii="宋体"/>
          <w:bCs/>
          <w:color w:val="000000"/>
          <w:sz w:val="24"/>
          <w:szCs w:val="24"/>
        </w:rPr>
      </w:r>
      <w:r/>
    </w:p>
    <w:p>
      <w:pPr>
        <w:pStyle w:val="734"/>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734"/>
        <w:spacing w:line="440" w:lineRule="exact"/>
        <w:rPr>
          <w:rFonts w:hint="eastAsia"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rPr>
          <w:rFonts w:hint="eastAsia" w:ascii="宋体" w:hAnsi="宋体" w:cs="宋体"/>
          <w:b/>
          <w:color w:val="000000"/>
          <w:sz w:val="28"/>
          <w:szCs w:val="28"/>
        </w:rPr>
        <w:t xml:space="preserve"> </w:t>
      </w:r>
      <w:r>
        <w:rPr>
          <w:rFonts w:hint="eastAsia" w:ascii="宋体" w:hAnsi="宋体" w:cs="宋体"/>
          <w:b/>
          <w:color w:val="000000"/>
          <w:sz w:val="28"/>
          <w:szCs w:val="28"/>
        </w:rPr>
      </w:r>
      <w:r/>
    </w:p>
    <w:p>
      <w:pPr>
        <w:pStyle w:val="734"/>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中小企业声明函（货物）</w:t>
      </w:r>
      <w:r/>
    </w:p>
    <w:p>
      <w:pPr>
        <w:pStyle w:val="734"/>
        <w:ind w:firstLine="480"/>
        <w:spacing w:line="360" w:lineRule="auto"/>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（联合体）参加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采购活动，提供的货物全部由符合政策要求的中小企业制造。相关企业 （含联合体中的中小企业、签订分包意向协议的中小企业）的具体情况如下：</w:t>
      </w:r>
      <w:r/>
    </w:p>
    <w:p>
      <w:pPr>
        <w:pStyle w:val="734"/>
        <w:ind w:firstLine="480"/>
        <w:spacing w:line="360" w:lineRule="auto"/>
        <w:rPr>
          <w:rFonts w:ascii="宋体" w:hAnsi="宋体"/>
          <w:bCs/>
          <w:color w:val="000000"/>
          <w:sz w:val="24"/>
          <w:szCs w:val="24"/>
        </w:rPr>
      </w:pPr>
      <w:r>
        <w:rPr>
          <w:rFonts w:ascii="宋体" w:hAnsi="宋体"/>
          <w:bCs/>
          <w:color w:val="000000"/>
          <w:sz w:val="24"/>
          <w:szCs w:val="24"/>
        </w:rPr>
        <w:t xml:space="preserve">1. </w:t>
      </w:r>
      <w:r>
        <w:rPr>
          <w:rFonts w:ascii="宋体" w:hAnsi="宋体"/>
          <w:bCs/>
          <w:color w:val="000000"/>
          <w:sz w:val="24"/>
          <w:szCs w:val="24"/>
          <w:u w:val="single"/>
        </w:rPr>
        <w:t xml:space="preserve">（标的名称）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 行业</w:t>
      </w:r>
      <w:r>
        <w:rPr>
          <w:rFonts w:ascii="宋体" w:hAnsi="宋体"/>
          <w:bCs/>
          <w:color w:val="000000"/>
          <w:sz w:val="24"/>
          <w:szCs w:val="24"/>
        </w:rPr>
        <w:t xml:space="preserve">；制造商为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（中型企业、小 型企业、微型企业）</w:t>
      </w:r>
      <w:r>
        <w:rPr>
          <w:rFonts w:ascii="宋体" w:hAnsi="宋体"/>
          <w:bCs/>
          <w:color w:val="000000"/>
          <w:sz w:val="24"/>
          <w:szCs w:val="24"/>
        </w:rPr>
        <w:t xml:space="preserve">；</w:t>
      </w:r>
      <w:r/>
    </w:p>
    <w:p>
      <w:pPr>
        <w:pStyle w:val="734"/>
        <w:ind w:firstLine="480"/>
        <w:spacing w:line="360" w:lineRule="auto"/>
        <w:rPr>
          <w:rFonts w:ascii="宋体" w:hAnsi="宋体"/>
          <w:bCs/>
          <w:color w:val="000000"/>
          <w:sz w:val="24"/>
          <w:szCs w:val="24"/>
        </w:rPr>
      </w:pPr>
      <w:r>
        <w:rPr>
          <w:rFonts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 行业</w:t>
      </w:r>
      <w:r>
        <w:rPr>
          <w:rFonts w:ascii="宋体" w:hAnsi="宋体"/>
          <w:bCs/>
          <w:color w:val="000000"/>
          <w:sz w:val="24"/>
          <w:szCs w:val="24"/>
        </w:rPr>
        <w:t xml:space="preserve">；制造商为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（中型企业、小 型企业、微型企业）</w:t>
      </w:r>
      <w:r>
        <w:rPr>
          <w:rFonts w:ascii="宋体" w:hAnsi="宋体"/>
          <w:bCs/>
          <w:color w:val="000000"/>
          <w:sz w:val="24"/>
          <w:szCs w:val="24"/>
        </w:rPr>
        <w:t xml:space="preserve">；</w:t>
      </w:r>
      <w:r/>
    </w:p>
    <w:p>
      <w:pPr>
        <w:pStyle w:val="734"/>
        <w:ind w:firstLine="480"/>
        <w:spacing w:line="360" w:lineRule="auto"/>
        <w:rPr>
          <w:rFonts w:ascii="宋体" w:hAnsi="宋体"/>
          <w:bCs/>
          <w:color w:val="000000"/>
          <w:sz w:val="24"/>
          <w:szCs w:val="24"/>
        </w:rPr>
      </w:pPr>
      <w:r>
        <w:rPr>
          <w:rFonts w:ascii="宋体" w:hAnsi="宋体"/>
          <w:bCs/>
          <w:color w:val="000000"/>
          <w:sz w:val="24"/>
          <w:szCs w:val="24"/>
        </w:rPr>
        <w:t xml:space="preserve">……</w:t>
      </w:r>
      <w:r/>
    </w:p>
    <w:p>
      <w:pPr>
        <w:pStyle w:val="734"/>
        <w:ind w:firstLine="480"/>
        <w:spacing w:line="360" w:lineRule="auto"/>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pStyle w:val="734"/>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rPr>
          <w:rFonts w:ascii="宋体" w:hAnsi="宋体"/>
          <w:bCs/>
          <w:color w:val="000000"/>
          <w:sz w:val="24"/>
          <w:szCs w:val="24"/>
        </w:rPr>
      </w:r>
      <w:r/>
    </w:p>
    <w:p>
      <w:pPr>
        <w:pStyle w:val="734"/>
        <w:ind w:firstLine="4800"/>
        <w:spacing w:line="360" w:lineRule="auto"/>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734"/>
        <w:spacing w:line="360" w:lineRule="auto"/>
        <w:rPr>
          <w:rFonts w:ascii="宋体" w:hAnsi="宋体"/>
          <w:bCs/>
          <w:color w:val="000000"/>
          <w:sz w:val="24"/>
          <w:szCs w:val="24"/>
        </w:rPr>
      </w:pPr>
      <w:r>
        <w:rPr>
          <w:rFonts w:ascii="宋体" w:hAnsi="宋体"/>
          <w:bCs/>
          <w:color w:val="000000"/>
          <w:sz w:val="24"/>
          <w:szCs w:val="24"/>
        </w:rPr>
      </w:r>
      <w:r/>
    </w:p>
    <w:p>
      <w:pPr>
        <w:pStyle w:val="734"/>
        <w:ind w:firstLine="420"/>
        <w:spacing w:line="360" w:lineRule="auto"/>
        <w:rPr>
          <w:rFonts w:hint="eastAsia"/>
          <w:color w:val="000000"/>
        </w:rPr>
      </w:pPr>
      <w:r>
        <w:rPr>
          <w:rFonts w:hint="eastAsia"/>
          <w:color w:val="000000"/>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pStyle w:val="734"/>
        <w:ind w:firstLine="420"/>
        <w:spacing w:line="360" w:lineRule="auto"/>
        <w:rPr>
          <w:color w:val="000000"/>
        </w:rPr>
      </w:pPr>
      <w:r>
        <w:rPr>
          <w:rFonts w:hint="eastAsia"/>
          <w:color w:val="000000"/>
        </w:rPr>
        <w:t xml:space="preserve">（2）从业人员、营业收入、资产总额填报上一年度数据，无上一年度数据的新成立企业可不填报。</w:t>
      </w:r>
      <w:r>
        <w:rPr>
          <w:color w:val="000000"/>
        </w:rPr>
      </w:r>
      <w:r/>
    </w:p>
    <w:p>
      <w:pPr>
        <w:pStyle w:val="734"/>
        <w:ind w:firstLine="420"/>
        <w:spacing w:line="360" w:lineRule="auto"/>
        <w:rPr>
          <w:color w:val="000000"/>
        </w:rPr>
      </w:pPr>
      <w:r>
        <w:rPr>
          <w:rFonts w:hint="eastAsia"/>
          <w:color w:val="000000"/>
        </w:rPr>
        <w:t xml:space="preserve">（3）在货物采购项目中，供应商提供的货物既有中小企业制造货物，也有大型企业制造</w:t>
      </w:r>
      <w:r>
        <w:rPr>
          <w:rFonts w:hint="eastAsia"/>
          <w:color w:val="000000"/>
        </w:rPr>
        <w:t xml:space="preserve">货物</w:t>
      </w:r>
      <w:r>
        <w:rPr>
          <w:rFonts w:hint="eastAsia"/>
          <w:color w:val="000000"/>
        </w:rPr>
        <w:t xml:space="preserve">的，不享受本办法规定的中小企业扶持政策。</w:t>
      </w:r>
      <w:r>
        <w:rPr>
          <w:color w:val="000000"/>
        </w:rPr>
      </w:r>
      <w:r/>
    </w:p>
    <w:p>
      <w:pPr>
        <w:pStyle w:val="734"/>
        <w:ind w:firstLine="420"/>
        <w:spacing w:line="360" w:lineRule="auto"/>
        <w:rPr>
          <w:color w:val="000000"/>
        </w:rPr>
      </w:pPr>
      <w:r>
        <w:rPr>
          <w:rFonts w:hint="eastAsia"/>
          <w:color w:val="000000"/>
        </w:rPr>
        <w:t xml:space="preserve">（4）中标供应商的《</w:t>
      </w:r>
      <w:r>
        <w:rPr>
          <w:color w:val="000000"/>
        </w:rPr>
        <w:t xml:space="preserve">中小企业声明函</w:t>
      </w:r>
      <w:r>
        <w:rPr>
          <w:rFonts w:hint="eastAsia"/>
          <w:color w:val="000000"/>
        </w:rPr>
        <w:t xml:space="preserve">》将随中标公告进行公示。供应商按照本办法规定提供声明函内容不实的，属于提供虚假材料谋取中标、成交，依照《中华人民共和国政府采购法》等国家有关规定追究相应责任。</w:t>
      </w:r>
      <w:r>
        <w:rPr>
          <w:color w:val="000000"/>
        </w:rPr>
      </w:r>
      <w:r/>
    </w:p>
    <w:p>
      <w:pPr>
        <w:pStyle w:val="734"/>
        <w:spacing w:line="360" w:lineRule="auto"/>
        <w:rPr>
          <w:rFonts w:hint="eastAsia" w:ascii="宋体" w:hAnsi="宋体" w:cs="宋体"/>
          <w:b/>
          <w:color w:val="000000"/>
          <w:sz w:val="28"/>
          <w:szCs w:val="28"/>
        </w:rPr>
      </w:pPr>
      <w:r>
        <w:rPr>
          <w:color w:val="000000"/>
        </w:rPr>
        <w:br w:type="page" w:clear="all"/>
      </w:r>
      <w:r>
        <w:rPr>
          <w:rFonts w:hint="eastAsia"/>
          <w:b/>
          <w:color w:val="000000"/>
          <w:sz w:val="28"/>
          <w:szCs w:val="28"/>
        </w:rPr>
        <w:t xml:space="preserve">五</w:t>
      </w:r>
      <w:r>
        <w:rPr>
          <w:rFonts w:hint="eastAsia" w:ascii="宋体" w:hAnsi="宋体" w:cs="宋体"/>
          <w:b/>
          <w:color w:val="000000"/>
          <w:sz w:val="28"/>
          <w:szCs w:val="28"/>
        </w:rPr>
        <w:t xml:space="preserve">、残疾人福利性单位声明函（给定格式）：</w:t>
      </w:r>
      <w:r/>
    </w:p>
    <w:p>
      <w:pPr>
        <w:pStyle w:val="734"/>
        <w:ind w:firstLine="482"/>
        <w:spacing w:line="440" w:lineRule="exact"/>
        <w:rPr>
          <w:rFonts w:ascii="Arial" w:hAnsi="Arial"/>
          <w:b/>
          <w:color w:val="000000"/>
          <w:sz w:val="24"/>
        </w:rPr>
      </w:pPr>
      <w:r>
        <w:rPr>
          <w:rFonts w:ascii="Arial" w:hAnsi="Arial"/>
          <w:b/>
          <w:color w:val="000000"/>
          <w:sz w:val="24"/>
        </w:rPr>
      </w:r>
      <w:r/>
    </w:p>
    <w:p>
      <w:pPr>
        <w:pStyle w:val="734"/>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734"/>
        <w:jc w:val="center"/>
        <w:rPr>
          <w:rFonts w:ascii="黑体" w:eastAsia="黑体"/>
          <w:bCs/>
          <w:color w:val="000000"/>
          <w:sz w:val="28"/>
          <w:szCs w:val="28"/>
        </w:rPr>
      </w:pPr>
      <w:r>
        <w:rPr>
          <w:rFonts w:ascii="黑体" w:eastAsia="黑体"/>
          <w:bCs/>
          <w:color w:val="000000"/>
          <w:sz w:val="28"/>
          <w:szCs w:val="28"/>
        </w:rPr>
      </w:r>
      <w:r/>
    </w:p>
    <w:p>
      <w:pPr>
        <w:pStyle w:val="734"/>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734"/>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734"/>
        <w:ind w:firstLine="480"/>
        <w:spacing w:line="580" w:lineRule="exact"/>
        <w:rPr>
          <w:rFonts w:ascii="宋体" w:hAnsi="宋体"/>
          <w:bCs/>
          <w:color w:val="000000"/>
          <w:sz w:val="24"/>
          <w:szCs w:val="24"/>
        </w:rPr>
      </w:pPr>
      <w:r>
        <w:rPr>
          <w:rFonts w:ascii="宋体" w:hAnsi="宋体"/>
          <w:bCs/>
          <w:color w:val="000000"/>
          <w:sz w:val="24"/>
          <w:szCs w:val="24"/>
        </w:rPr>
      </w:r>
      <w:r/>
    </w:p>
    <w:p>
      <w:pPr>
        <w:pStyle w:val="734"/>
        <w:ind w:firstLine="480"/>
        <w:spacing w:line="580" w:lineRule="exact"/>
        <w:rPr>
          <w:rFonts w:ascii="宋体" w:hAnsi="宋体"/>
          <w:bCs/>
          <w:color w:val="000000"/>
          <w:sz w:val="24"/>
          <w:szCs w:val="24"/>
        </w:rPr>
      </w:pPr>
      <w:r>
        <w:rPr>
          <w:rFonts w:ascii="宋体" w:hAnsi="宋体"/>
          <w:bCs/>
          <w:color w:val="000000"/>
          <w:sz w:val="24"/>
          <w:szCs w:val="24"/>
        </w:rPr>
      </w:r>
      <w:r/>
    </w:p>
    <w:p>
      <w:pPr>
        <w:pStyle w:val="734"/>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734"/>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734"/>
        <w:spacing w:line="360" w:lineRule="auto"/>
        <w:rPr>
          <w:rFonts w:hint="eastAsia"/>
          <w:b/>
          <w:color w:val="000000"/>
          <w:sz w:val="28"/>
          <w:szCs w:val="28"/>
        </w:rPr>
      </w:pPr>
      <w:r>
        <w:rPr>
          <w:rFonts w:ascii="宋体" w:hAnsi="宋体"/>
          <w:bCs/>
          <w:color w:val="000000"/>
          <w:sz w:val="24"/>
          <w:szCs w:val="24"/>
        </w:rPr>
        <w:br w:type="page" w:clear="all"/>
      </w:r>
      <w:r>
        <w:rPr>
          <w:rFonts w:hint="eastAsia"/>
          <w:b/>
          <w:color w:val="000000"/>
          <w:sz w:val="28"/>
          <w:szCs w:val="28"/>
        </w:rPr>
        <w:t xml:space="preserve">六</w:t>
      </w:r>
      <w:r>
        <w:rPr>
          <w:b/>
          <w:color w:val="000000"/>
          <w:sz w:val="28"/>
          <w:szCs w:val="28"/>
        </w:rPr>
        <w:t xml:space="preserve">、投标函</w:t>
      </w:r>
      <w:r>
        <w:rPr>
          <w:rFonts w:hint="eastAsia"/>
          <w:b/>
          <w:color w:val="000000"/>
          <w:sz w:val="28"/>
          <w:szCs w:val="28"/>
        </w:rPr>
        <w:t xml:space="preserve">（给定格式）：</w:t>
      </w:r>
      <w:r/>
    </w:p>
    <w:p>
      <w:pPr>
        <w:pStyle w:val="734"/>
        <w:spacing w:line="360" w:lineRule="auto"/>
        <w:rPr>
          <w:rFonts w:hint="eastAsia"/>
          <w:b/>
          <w:color w:val="000000"/>
          <w:sz w:val="30"/>
          <w:szCs w:val="30"/>
        </w:rPr>
      </w:pPr>
      <w:r>
        <w:rPr>
          <w:rFonts w:hint="eastAsia"/>
          <w:b/>
          <w:color w:val="000000"/>
          <w:sz w:val="30"/>
          <w:szCs w:val="30"/>
        </w:rPr>
      </w:r>
      <w:r/>
    </w:p>
    <w:p>
      <w:pPr>
        <w:pStyle w:val="734"/>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734"/>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734"/>
        <w:ind w:firstLine="480"/>
        <w:spacing w:line="400" w:lineRule="exact"/>
        <w:rPr>
          <w:rFonts w:ascii="宋体"/>
          <w:bCs/>
          <w:color w:val="000000"/>
          <w:sz w:val="24"/>
          <w:szCs w:val="24"/>
        </w:rPr>
      </w:pPr>
      <w:r>
        <w:rPr>
          <w:rFonts w:ascii="宋体"/>
          <w:bCs/>
          <w:color w:val="000000"/>
          <w:sz w:val="24"/>
          <w:szCs w:val="24"/>
        </w:rPr>
      </w:r>
      <w:r/>
    </w:p>
    <w:p>
      <w:pPr>
        <w:pStyle w:val="734"/>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rPr>
        <w:t xml:space="preserve">JSZC-320200-JZCG-G2024-0201</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734"/>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734"/>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809"/>
          <w:bCs/>
          <w:color w:val="000000"/>
        </w:rPr>
      </w:pPr>
      <w:r>
        <w:rPr>
          <w:rFonts w:hint="eastAsia" w:ascii="宋体" w:hAnsi="宋体"/>
          <w:bCs/>
          <w:color w:val="000000"/>
          <w:sz w:val="24"/>
          <w:szCs w:val="24"/>
        </w:rPr>
        <w:t xml:space="preserve">我方愿意提供无锡市公共资源交易中心在招标文件中要求的文件、资料。</w:t>
      </w:r>
      <w:r>
        <w:rPr>
          <w:rStyle w:val="809"/>
          <w:bCs/>
          <w:color w:val="000000"/>
        </w:rPr>
      </w:r>
      <w:r/>
    </w:p>
    <w:p>
      <w:pPr>
        <w:pStyle w:val="734"/>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734"/>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734"/>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734"/>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w:t>
      </w:r>
      <w:r>
        <w:rPr>
          <w:rFonts w:hint="eastAsia" w:ascii="宋体" w:hAnsi="宋体"/>
          <w:bCs/>
          <w:color w:val="000000"/>
          <w:sz w:val="24"/>
          <w:szCs w:val="24"/>
        </w:rPr>
        <w:t xml:space="preserve">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734"/>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734"/>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rPr>
      </w:r>
      <w:r/>
    </w:p>
    <w:p>
      <w:pPr>
        <w:pStyle w:val="734"/>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如果我方被确定为中标供应商，我方愿意</w:t>
      </w:r>
      <w:r>
        <w:rPr>
          <w:rFonts w:hint="eastAsia" w:ascii="宋体" w:hAnsi="宋体"/>
          <w:bCs/>
          <w:color w:val="000000"/>
          <w:sz w:val="24"/>
          <w:szCs w:val="24"/>
        </w:rPr>
        <w:t xml:space="preserve">按采购人要求</w:t>
      </w:r>
      <w:r>
        <w:rPr>
          <w:rFonts w:hint="eastAsia" w:ascii="宋体" w:hAnsi="宋体"/>
          <w:bCs/>
          <w:color w:val="000000"/>
          <w:sz w:val="24"/>
          <w:szCs w:val="24"/>
        </w:rPr>
        <w:t xml:space="preserve">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rPr>
      </w:r>
      <w:r/>
    </w:p>
    <w:p>
      <w:pPr>
        <w:pStyle w:val="734"/>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734"/>
        <w:ind w:firstLine="720"/>
        <w:spacing w:line="400" w:lineRule="exact"/>
        <w:rPr>
          <w:rFonts w:ascii="宋体"/>
          <w:bCs/>
          <w:color w:val="000000"/>
          <w:sz w:val="24"/>
          <w:szCs w:val="24"/>
        </w:rPr>
      </w:pPr>
      <w:r>
        <w:rPr>
          <w:rFonts w:ascii="宋体"/>
          <w:bCs/>
          <w:color w:val="000000"/>
          <w:sz w:val="24"/>
          <w:szCs w:val="24"/>
        </w:rPr>
      </w:r>
      <w:r/>
    </w:p>
    <w:p>
      <w:pPr>
        <w:pStyle w:val="734"/>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734"/>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pStyle w:val="734"/>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pStyle w:val="734"/>
        <w:spacing w:line="360" w:lineRule="auto"/>
        <w:rPr>
          <w:rFonts w:hint="eastAsia"/>
          <w:b/>
          <w:color w:val="000000"/>
          <w:sz w:val="28"/>
          <w:szCs w:val="28"/>
        </w:rPr>
      </w:pPr>
      <w:r>
        <w:rPr>
          <w:rFonts w:hint="eastAsia" w:ascii="宋体" w:hAnsi="宋体"/>
          <w:bCs/>
          <w:color w:val="000000"/>
          <w:sz w:val="24"/>
          <w:szCs w:val="24"/>
        </w:rPr>
        <w:br w:type="page" w:clear="all"/>
      </w:r>
      <w:r>
        <w:rPr>
          <w:rFonts w:hint="eastAsia"/>
          <w:b/>
          <w:color w:val="000000"/>
          <w:sz w:val="28"/>
          <w:szCs w:val="28"/>
        </w:rPr>
        <w:t xml:space="preserve">七、承诺书（给定格式）：</w:t>
      </w:r>
      <w:r/>
    </w:p>
    <w:p>
      <w:pPr>
        <w:pStyle w:val="734"/>
        <w:jc w:val="center"/>
        <w:rPr>
          <w:rFonts w:hint="eastAsia" w:ascii="黑体" w:eastAsia="黑体"/>
          <w:bCs/>
          <w:color w:val="000000"/>
          <w:sz w:val="28"/>
          <w:szCs w:val="28"/>
        </w:rPr>
      </w:pPr>
      <w:r>
        <w:rPr>
          <w:rFonts w:hint="eastAsia" w:ascii="黑体" w:eastAsia="黑体"/>
          <w:bCs/>
          <w:color w:val="000000"/>
          <w:sz w:val="28"/>
          <w:szCs w:val="28"/>
        </w:rPr>
        <w:t xml:space="preserve">承诺书</w:t>
      </w:r>
      <w:r/>
    </w:p>
    <w:p>
      <w:pPr>
        <w:pStyle w:val="734"/>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rPr>
        <w:t xml:space="preserve">投标人</w:t>
      </w:r>
      <w:r>
        <w:rPr>
          <w:rFonts w:hint="eastAsia" w:ascii="宋体" w:hAnsi="宋体"/>
          <w:color w:val="000000"/>
          <w:sz w:val="24"/>
          <w:szCs w:val="24"/>
        </w:rPr>
        <w:t xml:space="preserve">名称）</w:t>
      </w:r>
      <w:r>
        <w:rPr>
          <w:rFonts w:hint="eastAsia" w:ascii="宋体" w:hAnsi="宋体"/>
          <w:color w:val="000000"/>
          <w:sz w:val="24"/>
          <w:szCs w:val="24"/>
        </w:rPr>
        <w:t xml:space="preserve">针对本项目</w:t>
      </w:r>
      <w:r>
        <w:rPr>
          <w:rFonts w:hint="eastAsia" w:ascii="宋体" w:hAnsi="宋体"/>
          <w:bCs/>
          <w:color w:val="000000"/>
          <w:sz w:val="24"/>
          <w:szCs w:val="24"/>
        </w:rPr>
        <w:t xml:space="preserve">JSZC-320200-JZCG-G2024-0201</w:t>
      </w:r>
      <w:r>
        <w:rPr>
          <w:rFonts w:hint="eastAsia" w:ascii="宋体" w:hAnsi="宋体"/>
          <w:color w:val="000000"/>
          <w:sz w:val="24"/>
          <w:szCs w:val="24"/>
        </w:rPr>
        <w:t xml:space="preserve">在此承诺：</w:t>
      </w:r>
      <w:r>
        <w:rPr>
          <w:rFonts w:ascii="宋体" w:hAnsi="宋体"/>
          <w:color w:val="000000"/>
          <w:sz w:val="24"/>
          <w:szCs w:val="24"/>
        </w:rPr>
      </w:r>
      <w:r/>
    </w:p>
    <w:p>
      <w:pPr>
        <w:pStyle w:val="734"/>
        <w:ind w:firstLine="480"/>
        <w:spacing w:line="480" w:lineRule="auto"/>
        <w:rPr>
          <w:rFonts w:ascii="宋体" w:hAnsi="宋体"/>
          <w:bCs/>
          <w:color w:val="000000"/>
          <w:sz w:val="24"/>
          <w:szCs w:val="24"/>
        </w:rPr>
      </w:pPr>
      <w:r>
        <w:rPr>
          <w:rFonts w:hint="eastAsia" w:ascii="宋体" w:hAnsi="宋体"/>
          <w:color w:val="000000"/>
          <w:sz w:val="24"/>
          <w:szCs w:val="24"/>
        </w:rPr>
        <w:t xml:space="preserve">1.本公司（单位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对本项目</w:t>
      </w:r>
      <w:r>
        <w:rPr>
          <w:rFonts w:hint="eastAsia" w:ascii="宋体" w:hAnsi="宋体"/>
          <w:bCs/>
          <w:color w:val="000000"/>
          <w:sz w:val="24"/>
          <w:szCs w:val="24"/>
        </w:rPr>
        <w:t xml:space="preserve">所提供的货物均为原厂全新合格品，提供的服务符合招标文件要求。</w:t>
      </w:r>
      <w:r>
        <w:rPr>
          <w:rFonts w:ascii="宋体" w:hAnsi="宋体"/>
          <w:bCs/>
          <w:color w:val="000000"/>
          <w:sz w:val="24"/>
          <w:szCs w:val="24"/>
        </w:rPr>
      </w:r>
      <w:r/>
    </w:p>
    <w:p>
      <w:pPr>
        <w:pStyle w:val="734"/>
        <w:ind w:firstLine="480"/>
        <w:spacing w:line="480" w:lineRule="auto"/>
        <w:rPr>
          <w:rFonts w:hint="eastAsia" w:ascii="宋体"/>
          <w:bCs/>
          <w:color w:val="000000"/>
          <w:sz w:val="24"/>
          <w:szCs w:val="24"/>
        </w:rPr>
      </w:pPr>
      <w:r>
        <w:rPr>
          <w:rFonts w:hint="eastAsia" w:ascii="宋体"/>
          <w:bCs/>
          <w:color w:val="000000"/>
          <w:sz w:val="24"/>
          <w:szCs w:val="24"/>
        </w:rPr>
        <w:t xml:space="preserve">2.本项目中如有</w:t>
      </w:r>
      <w:r>
        <w:rPr>
          <w:rFonts w:hint="eastAsia" w:ascii="宋体"/>
          <w:bCs/>
          <w:color w:val="000000"/>
          <w:sz w:val="24"/>
          <w:szCs w:val="24"/>
        </w:rPr>
        <w:t xml:space="preserve">涉及</w:t>
      </w:r>
      <w:r>
        <w:rPr>
          <w:rFonts w:hint="eastAsia" w:ascii="宋体"/>
          <w:bCs/>
          <w:color w:val="000000"/>
          <w:sz w:val="24"/>
          <w:szCs w:val="24"/>
        </w:rPr>
        <w:t xml:space="preserve">商品包装、快递包装要求的，本公司（单位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）对于中标产品的包装将严格按《关于印发〈商品包装政府采购需求标准（试行）〉、〈快递包装政府采购需求标准（试行）〉的通知》（财办库〔2020〕123号）文件执行。</w:t>
      </w:r>
      <w:r/>
    </w:p>
    <w:p>
      <w:pPr>
        <w:pStyle w:val="734"/>
        <w:ind w:firstLine="480"/>
        <w:spacing w:line="480" w:lineRule="auto"/>
        <w:rPr>
          <w:rFonts w:hint="eastAsia" w:ascii="宋体" w:hAnsi="宋体"/>
          <w:color w:val="000000"/>
          <w:sz w:val="24"/>
          <w:szCs w:val="24"/>
        </w:rPr>
      </w:pPr>
      <w:r>
        <w:rPr>
          <w:rFonts w:hint="eastAsia" w:ascii="宋体" w:hAnsi="宋体"/>
          <w:color w:val="000000"/>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734"/>
        <w:ind w:firstLine="480"/>
        <w:spacing w:line="480" w:lineRule="auto"/>
        <w:rPr>
          <w:rFonts w:ascii="宋体" w:hAnsi="宋体"/>
          <w:bCs/>
          <w:color w:val="000000"/>
          <w:sz w:val="24"/>
          <w:szCs w:val="24"/>
        </w:rPr>
      </w:pPr>
      <w:r>
        <w:rPr>
          <w:rFonts w:hint="eastAsia" w:ascii="宋体" w:hAnsi="宋体"/>
          <w:bCs/>
          <w:color w:val="000000"/>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将按规定执行国家和我省VOCs含量限制标准</w:t>
      </w:r>
      <w:r>
        <w:rPr>
          <w:rFonts w:hint="eastAsia" w:ascii="宋体" w:hAnsi="宋体"/>
          <w:bCs/>
          <w:color w:val="000000"/>
          <w:sz w:val="24"/>
          <w:szCs w:val="24"/>
        </w:rPr>
        <w:t xml:space="preserve">；</w:t>
      </w:r>
      <w:r>
        <w:rPr>
          <w:rFonts w:hint="eastAsia" w:ascii="宋体" w:hAnsi="宋体"/>
          <w:bCs/>
          <w:color w:val="000000"/>
          <w:sz w:val="24"/>
          <w:szCs w:val="24"/>
        </w:rPr>
        <w:t xml:space="preserve">如非强制性标准的，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w:t>
      </w:r>
      <w:r>
        <w:rPr>
          <w:rFonts w:hint="eastAsia" w:ascii="宋体" w:hAnsi="宋体"/>
          <w:bCs/>
          <w:color w:val="000000"/>
          <w:sz w:val="24"/>
          <w:szCs w:val="24"/>
        </w:rPr>
        <w:t xml:space="preserve">优先</w:t>
      </w:r>
      <w:r>
        <w:rPr>
          <w:rFonts w:hint="eastAsia" w:ascii="宋体" w:hAnsi="宋体"/>
          <w:bCs/>
          <w:color w:val="000000"/>
          <w:sz w:val="24"/>
          <w:szCs w:val="24"/>
        </w:rPr>
        <w:t xml:space="preserve">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rPr>
      </w:r>
      <w:r/>
    </w:p>
    <w:p>
      <w:pPr>
        <w:pStyle w:val="734"/>
        <w:ind w:firstLine="480"/>
        <w:spacing w:line="480" w:lineRule="auto"/>
        <w:rPr>
          <w:rFonts w:hint="eastAsia" w:ascii="宋体" w:hAnsi="宋体" w:cs="宋体"/>
          <w:color w:val="000000"/>
          <w:sz w:val="24"/>
          <w:szCs w:val="24"/>
        </w:rPr>
      </w:pPr>
      <w:r>
        <w:rPr>
          <w:rFonts w:hint="eastAsia" w:ascii="宋体"/>
          <w:bCs/>
          <w:color w:val="000000"/>
          <w:sz w:val="24"/>
          <w:szCs w:val="24"/>
        </w:rPr>
        <w:t xml:space="preserve">5</w:t>
      </w:r>
      <w:r>
        <w:rPr>
          <w:rFonts w:hint="eastAsia" w:ascii="宋体"/>
          <w:bCs/>
          <w:color w:val="000000"/>
          <w:sz w:val="24"/>
          <w:szCs w:val="24"/>
        </w:rPr>
        <w:t xml:space="preserve">.</w:t>
      </w:r>
      <w:r>
        <w:rPr>
          <w:rFonts w:hint="eastAsia" w:ascii="宋体" w:hAnsi="宋体" w:cs="宋体"/>
          <w:color w:val="000000"/>
          <w:sz w:val="24"/>
          <w:szCs w:val="24"/>
        </w:rPr>
        <w:t xml:space="preserve">根据财库〔2023〕29号、30号、31号、32号、33号、34号、35号</w:t>
      </w:r>
      <w:r>
        <w:rPr>
          <w:rFonts w:hint="eastAsia" w:ascii="宋体" w:hAnsi="宋体" w:cs="宋体"/>
          <w:color w:val="000000"/>
          <w:sz w:val="24"/>
          <w:szCs w:val="24"/>
        </w:rPr>
        <w:t xml:space="preserve">（简称《需求标准》）</w:t>
      </w:r>
      <w:r>
        <w:rPr>
          <w:rFonts w:hint="eastAsia" w:ascii="宋体" w:hAnsi="宋体" w:cs="宋体"/>
          <w:color w:val="000000"/>
          <w:sz w:val="24"/>
          <w:szCs w:val="24"/>
        </w:rPr>
        <w:t xml:space="preserve">规定，本项目中如有涉及数据库、操作系统、通用服务器、工作站、一体式计算机、便携式计算机、台式计算机等七种软硬件的，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）将所投产品符合相关要求和标准。在满足</w:t>
      </w:r>
      <w:r>
        <w:rPr>
          <w:rFonts w:hint="eastAsia" w:ascii="宋体" w:hAnsi="宋体" w:cs="宋体"/>
          <w:color w:val="000000"/>
          <w:sz w:val="24"/>
          <w:szCs w:val="24"/>
        </w:rPr>
        <w:t xml:space="preserve">《需求标准》的前提下，如招标文件中对七种软硬件有其他要求的，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）所投产品将</w:t>
      </w:r>
      <w:r>
        <w:rPr>
          <w:rFonts w:hint="eastAsia" w:ascii="宋体" w:hAnsi="宋体" w:cs="宋体"/>
          <w:color w:val="000000"/>
          <w:sz w:val="24"/>
          <w:szCs w:val="24"/>
        </w:rPr>
        <w:t xml:space="preserve">满足招标文件要求。如采购人在</w:t>
      </w:r>
      <w:r>
        <w:rPr>
          <w:rFonts w:hint="eastAsia" w:ascii="宋体"/>
          <w:bCs/>
          <w:color w:val="000000"/>
          <w:sz w:val="24"/>
          <w:szCs w:val="24"/>
        </w:rPr>
        <w:t xml:space="preserve">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履约验收管理时，对所提供的七种软硬件进行验收</w:t>
      </w:r>
      <w:r>
        <w:rPr>
          <w:rFonts w:hint="eastAsia" w:ascii="宋体"/>
          <w:bCs/>
          <w:color w:val="000000"/>
          <w:sz w:val="24"/>
          <w:szCs w:val="24"/>
        </w:rPr>
        <w:t xml:space="preserve">，</w:t>
      </w:r>
      <w:r>
        <w:rPr>
          <w:rFonts w:hint="eastAsia" w:ascii="宋体"/>
          <w:bCs/>
          <w:color w:val="000000"/>
          <w:sz w:val="24"/>
          <w:szCs w:val="24"/>
        </w:rPr>
        <w:t xml:space="preserve">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）将予以配合。</w:t>
      </w:r>
      <w:r>
        <w:rPr>
          <w:rFonts w:hint="eastAsia" w:ascii="宋体" w:hAnsi="宋体" w:cs="宋体"/>
          <w:color w:val="000000"/>
          <w:sz w:val="24"/>
          <w:szCs w:val="24"/>
        </w:rPr>
      </w:r>
      <w:r/>
    </w:p>
    <w:p>
      <w:pPr>
        <w:pStyle w:val="734"/>
        <w:ind w:firstLine="480"/>
        <w:spacing w:line="480" w:lineRule="auto"/>
        <w:rPr>
          <w:rFonts w:hint="eastAsia" w:ascii="宋体"/>
          <w:bCs/>
          <w:color w:val="000000"/>
          <w:sz w:val="24"/>
          <w:szCs w:val="24"/>
        </w:rPr>
      </w:pPr>
      <w:r>
        <w:rPr>
          <w:rFonts w:hint="eastAsia" w:ascii="宋体"/>
          <w:bCs/>
          <w:color w:val="000000"/>
          <w:sz w:val="24"/>
          <w:szCs w:val="24"/>
        </w:rPr>
      </w:r>
      <w:r/>
    </w:p>
    <w:p>
      <w:pPr>
        <w:pStyle w:val="734"/>
        <w:ind w:firstLine="480"/>
        <w:spacing w:line="480" w:lineRule="auto"/>
        <w:rPr>
          <w:rFonts w:hint="eastAsia" w:ascii="宋体"/>
          <w:bCs/>
          <w:color w:val="000000"/>
          <w:sz w:val="24"/>
          <w:szCs w:val="24"/>
        </w:rPr>
      </w:pPr>
      <w:r>
        <w:rPr>
          <w:rFonts w:ascii="宋体"/>
          <w:bCs/>
          <w:color w:val="000000"/>
          <w:sz w:val="24"/>
          <w:szCs w:val="24"/>
        </w:rPr>
        <w:t xml:space="preserve">……</w:t>
      </w:r>
      <w:r>
        <w:rPr>
          <w:rFonts w:hint="eastAsia" w:ascii="宋体"/>
          <w:bCs/>
          <w:color w:val="000000"/>
          <w:sz w:val="24"/>
          <w:szCs w:val="24"/>
        </w:rPr>
        <w:t xml:space="preserve">（投标人</w:t>
      </w:r>
      <w:r>
        <w:rPr>
          <w:rFonts w:hint="eastAsia" w:ascii="宋体"/>
          <w:bCs/>
          <w:color w:val="000000"/>
          <w:sz w:val="24"/>
          <w:szCs w:val="24"/>
        </w:rPr>
        <w:t xml:space="preserve">如</w:t>
      </w:r>
      <w:r>
        <w:rPr>
          <w:rFonts w:hint="eastAsia" w:ascii="宋体"/>
          <w:bCs/>
          <w:color w:val="000000"/>
          <w:sz w:val="24"/>
          <w:szCs w:val="24"/>
        </w:rPr>
        <w:t xml:space="preserve">有其他承诺的可在此处添加）</w:t>
      </w:r>
      <w:r>
        <w:rPr>
          <w:rFonts w:hint="eastAsia" w:ascii="宋体"/>
          <w:bCs/>
          <w:color w:val="000000"/>
          <w:sz w:val="24"/>
          <w:szCs w:val="24"/>
        </w:rPr>
      </w:r>
      <w:r/>
    </w:p>
    <w:p>
      <w:pPr>
        <w:pStyle w:val="734"/>
        <w:ind w:firstLine="480"/>
        <w:spacing w:line="480" w:lineRule="auto"/>
        <w:rPr>
          <w:rFonts w:hint="eastAsia" w:ascii="宋体"/>
          <w:bCs/>
          <w:color w:val="000000"/>
          <w:sz w:val="24"/>
          <w:szCs w:val="24"/>
        </w:rPr>
      </w:pPr>
      <w:r>
        <w:rPr>
          <w:rFonts w:hint="eastAsia" w:ascii="宋体"/>
          <w:bCs/>
          <w:color w:val="000000"/>
          <w:sz w:val="24"/>
          <w:szCs w:val="24"/>
        </w:rPr>
      </w:r>
      <w:r/>
    </w:p>
    <w:p>
      <w:pPr>
        <w:pStyle w:val="734"/>
        <w:ind w:firstLine="480"/>
        <w:spacing w:line="480" w:lineRule="auto"/>
        <w:rPr>
          <w:rFonts w:ascii="宋体" w:hAnsi="宋体"/>
          <w:color w:val="000000"/>
          <w:sz w:val="24"/>
          <w:szCs w:val="20"/>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ascii="宋体" w:hAnsi="宋体"/>
          <w:color w:val="000000"/>
          <w:sz w:val="24"/>
          <w:szCs w:val="20"/>
        </w:rPr>
      </w:r>
      <w:r/>
    </w:p>
    <w:p>
      <w:pPr>
        <w:pStyle w:val="734"/>
        <w:ind w:firstLine="5400"/>
        <w:spacing w:line="480" w:lineRule="auto"/>
        <w:rPr>
          <w:rFonts w:ascii="宋体" w:hAnsi="宋体"/>
          <w:bCs/>
          <w:color w:val="000000"/>
          <w:sz w:val="24"/>
          <w:szCs w:val="24"/>
        </w:rPr>
      </w:pPr>
      <w:r>
        <w:rPr>
          <w:rFonts w:ascii="宋体" w:hAnsi="宋体"/>
          <w:bCs/>
          <w:color w:val="000000"/>
          <w:sz w:val="24"/>
          <w:szCs w:val="24"/>
        </w:rPr>
      </w:r>
      <w:r/>
    </w:p>
    <w:p>
      <w:pPr>
        <w:pStyle w:val="734"/>
        <w:ind w:firstLine="3720"/>
        <w:spacing w:line="480" w:lineRule="auto"/>
        <w:rPr>
          <w:rFonts w:ascii="宋体" w:hAnsi="宋体"/>
          <w:bCs/>
          <w:color w:val="000000"/>
          <w:sz w:val="24"/>
          <w:szCs w:val="24"/>
        </w:rPr>
      </w:pPr>
      <w:r>
        <w:rPr>
          <w:rFonts w:hint="eastAsia" w:ascii="宋体" w:hAnsi="宋体"/>
          <w:bCs/>
          <w:color w:val="000000"/>
          <w:sz w:val="24"/>
          <w:szCs w:val="24"/>
        </w:rPr>
        <w:t xml:space="preserve">投标人名称（盖章）：</w:t>
      </w:r>
      <w:r>
        <w:rPr>
          <w:rFonts w:ascii="宋体" w:hAnsi="宋体"/>
          <w:bCs/>
          <w:color w:val="000000"/>
          <w:sz w:val="24"/>
          <w:szCs w:val="24"/>
        </w:rPr>
      </w:r>
      <w:r/>
    </w:p>
    <w:p>
      <w:pPr>
        <w:pStyle w:val="734"/>
        <w:rPr>
          <w:rFonts w:ascii="宋体"/>
          <w:bCs/>
          <w:color w:val="000000"/>
          <w:sz w:val="24"/>
          <w:szCs w:val="24"/>
        </w:rPr>
        <w:outlineLvl w:val="0"/>
      </w:pPr>
      <w:r>
        <w:rPr>
          <w:rFonts w:ascii="宋体"/>
          <w:bCs/>
          <w:color w:val="000000"/>
          <w:sz w:val="24"/>
          <w:szCs w:val="24"/>
        </w:rPr>
        <w:t xml:space="preserve"> </w:t>
      </w:r>
      <w:r/>
    </w:p>
    <w:p>
      <w:pPr>
        <w:pStyle w:val="734"/>
        <w:ind w:firstLine="480"/>
        <w:spacing w:line="480" w:lineRule="auto"/>
        <w:rPr>
          <w:rFonts w:ascii="宋体"/>
          <w:bCs/>
          <w:color w:val="000000"/>
          <w:sz w:val="24"/>
          <w:szCs w:val="24"/>
        </w:rPr>
      </w:pPr>
      <w:r>
        <w:rPr>
          <w:rFonts w:ascii="宋体"/>
          <w:bCs/>
          <w:color w:val="000000"/>
          <w:sz w:val="24"/>
          <w:szCs w:val="24"/>
        </w:rPr>
      </w:r>
      <w:r/>
    </w:p>
    <w:p>
      <w:pPr>
        <w:pStyle w:val="734"/>
        <w:spacing w:line="360" w:lineRule="auto"/>
        <w:rPr>
          <w:rFonts w:hint="eastAsia"/>
          <w:b/>
          <w:color w:val="000000"/>
          <w:sz w:val="28"/>
          <w:szCs w:val="28"/>
        </w:rPr>
      </w:pPr>
      <w:r>
        <w:rPr>
          <w:rFonts w:ascii="宋体" w:hAnsi="宋体"/>
          <w:bCs/>
          <w:color w:val="000000"/>
          <w:sz w:val="24"/>
          <w:szCs w:val="24"/>
        </w:rPr>
        <w:br w:type="page" w:clear="all"/>
      </w:r>
      <w:r>
        <w:rPr>
          <w:rFonts w:hint="eastAsia"/>
          <w:b/>
          <w:color w:val="000000"/>
          <w:sz w:val="28"/>
          <w:szCs w:val="28"/>
        </w:rPr>
        <w:t xml:space="preserve">八、开标一览表：</w:t>
      </w:r>
      <w:r/>
    </w:p>
    <w:p>
      <w:pPr>
        <w:pStyle w:val="734"/>
        <w:ind w:firstLine="482"/>
        <w:spacing w:line="440" w:lineRule="exact"/>
        <w:rPr>
          <w:rFonts w:hint="eastAsia" w:ascii="Arial" w:hAnsi="Arial"/>
          <w:b/>
          <w:color w:val="000000"/>
          <w:sz w:val="24"/>
        </w:rPr>
      </w:pPr>
      <w:r>
        <w:rPr>
          <w:rFonts w:hint="eastAsia" w:ascii="Arial" w:hAnsi="Arial"/>
          <w:b/>
          <w:color w:val="000000"/>
          <w:sz w:val="24"/>
        </w:rPr>
      </w:r>
      <w:r/>
    </w:p>
    <w:p>
      <w:pPr>
        <w:pStyle w:val="734"/>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734"/>
        <w:jc w:val="center"/>
        <w:rPr>
          <w:rFonts w:ascii="黑体" w:eastAsia="黑体"/>
          <w:bCs/>
          <w:color w:val="000000"/>
          <w:sz w:val="28"/>
          <w:szCs w:val="28"/>
        </w:rPr>
        <w:outlineLvl w:val="0"/>
      </w:pPr>
      <w:r>
        <w:rPr>
          <w:rFonts w:ascii="黑体" w:eastAsia="黑体"/>
          <w:bCs/>
          <w:color w:val="000000"/>
          <w:sz w:val="28"/>
          <w:szCs w:val="28"/>
        </w:rPr>
      </w:r>
      <w:r/>
    </w:p>
    <w:p>
      <w:pPr>
        <w:pStyle w:val="734"/>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734"/>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734"/>
        <w:spacing w:line="360" w:lineRule="auto"/>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JSZC-320200-JZCG-G2024-0201</w:t>
      </w:r>
      <w:r>
        <w:rPr>
          <w:rFonts w:ascii="黑体" w:eastAsia="黑体"/>
          <w:bCs/>
          <w:color w:val="000000"/>
          <w:sz w:val="24"/>
          <w:szCs w:val="24"/>
        </w:rPr>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734"/>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734"/>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848"/>
              <w:jc w:val="center"/>
              <w:spacing w:line="400" w:lineRule="exact"/>
              <w:rPr>
                <w:rFonts w:hAnsi="宋体"/>
                <w:bCs/>
                <w:color w:val="000000"/>
                <w:szCs w:val="24"/>
              </w:rPr>
            </w:pPr>
            <w:r>
              <w:rPr>
                <w:rFonts w:hint="eastAsia" w:hAnsi="宋体"/>
                <w:bCs/>
                <w:color w:val="000000"/>
                <w:szCs w:val="24"/>
              </w:rPr>
              <w:t xml:space="preserve">信息化服务器硬件支撑</w:t>
            </w:r>
            <w:r>
              <w:rPr>
                <w:rFonts w:hAnsi="宋体"/>
                <w:bCs/>
                <w:color w:val="000000"/>
                <w:szCs w:val="24"/>
              </w:rPr>
            </w:r>
            <w:r/>
          </w:p>
        </w:tc>
        <w:tc>
          <w:tcPr>
            <w:tcW w:w="3188" w:type="dxa"/>
            <w:vAlign w:val="center"/>
            <w:textDirection w:val="lrTb"/>
            <w:noWrap w:val="false"/>
          </w:tcPr>
          <w:p>
            <w:pPr>
              <w:pStyle w:val="848"/>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734"/>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color w:val="000000"/>
                <w:sz w:val="24"/>
                <w:szCs w:val="24"/>
              </w:rPr>
            </w:r>
            <w:r/>
          </w:p>
        </w:tc>
      </w:tr>
    </w:tbl>
    <w:p>
      <w:pPr>
        <w:pStyle w:val="734"/>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pStyle w:val="734"/>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734"/>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734"/>
        <w:spacing w:line="400" w:lineRule="exact"/>
        <w:rPr>
          <w:rFonts w:hint="eastAsia" w:ascii="黑体" w:eastAsia="黑体"/>
          <w:bCs/>
          <w:color w:val="000000"/>
          <w:sz w:val="24"/>
          <w:szCs w:val="24"/>
        </w:rPr>
      </w:pPr>
      <w:r>
        <w:rPr>
          <w:rFonts w:hint="eastAsia" w:ascii="黑体" w:eastAsia="黑体"/>
          <w:bCs/>
          <w:color w:val="000000"/>
          <w:sz w:val="24"/>
          <w:szCs w:val="24"/>
        </w:rPr>
        <w:t xml:space="preserve">注：</w:t>
      </w:r>
      <w:r>
        <w:rPr>
          <w:rFonts w:hint="eastAsia" w:ascii="黑体" w:eastAsia="黑体"/>
          <w:bCs/>
          <w:color w:val="000000"/>
          <w:sz w:val="24"/>
          <w:szCs w:val="24"/>
        </w:rPr>
        <w:t xml:space="preserve">因</w:t>
      </w:r>
      <w:r>
        <w:rPr>
          <w:rFonts w:hint="eastAsia" w:ascii="黑体" w:eastAsia="黑体"/>
          <w:bCs/>
          <w:color w:val="000000"/>
          <w:sz w:val="24"/>
          <w:szCs w:val="24"/>
        </w:rPr>
        <w:t xml:space="preserve">“苏采云”系统</w:t>
      </w:r>
      <w:r>
        <w:rPr>
          <w:rFonts w:hint="eastAsia" w:ascii="黑体" w:eastAsia="黑体"/>
          <w:bCs/>
          <w:color w:val="000000"/>
          <w:sz w:val="24"/>
          <w:szCs w:val="24"/>
        </w:rPr>
        <w:t xml:space="preserve">自带</w:t>
      </w:r>
      <w:r>
        <w:rPr>
          <w:rFonts w:hint="eastAsia" w:ascii="黑体" w:eastAsia="黑体"/>
          <w:bCs/>
          <w:color w:val="000000"/>
          <w:sz w:val="24"/>
          <w:szCs w:val="24"/>
        </w:rPr>
        <w:t xml:space="preserve">“开标一览表”模块，</w:t>
      </w:r>
      <w:r>
        <w:rPr>
          <w:rFonts w:hint="eastAsia" w:ascii="黑体" w:eastAsia="黑体"/>
          <w:bCs/>
          <w:color w:val="000000"/>
          <w:sz w:val="24"/>
          <w:szCs w:val="24"/>
        </w:rPr>
        <w:t xml:space="preserve">投标人</w:t>
      </w:r>
      <w:r>
        <w:rPr>
          <w:rFonts w:hint="eastAsia" w:ascii="黑体" w:eastAsia="黑体"/>
          <w:bCs/>
          <w:color w:val="000000"/>
          <w:sz w:val="24"/>
          <w:szCs w:val="24"/>
        </w:rPr>
        <w:t xml:space="preserve">须按“苏采云”系统中给定</w:t>
      </w:r>
      <w:r>
        <w:rPr>
          <w:rFonts w:hint="eastAsia" w:ascii="黑体" w:eastAsia="黑体"/>
          <w:bCs/>
          <w:color w:val="000000"/>
          <w:sz w:val="24"/>
          <w:szCs w:val="24"/>
        </w:rPr>
        <w:t xml:space="preserve">的</w:t>
      </w:r>
      <w:r>
        <w:rPr>
          <w:rFonts w:hint="eastAsia" w:ascii="黑体" w:eastAsia="黑体"/>
          <w:bCs/>
          <w:color w:val="000000"/>
          <w:sz w:val="24"/>
          <w:szCs w:val="24"/>
        </w:rPr>
        <w:t xml:space="preserve">模块</w:t>
      </w:r>
      <w:r>
        <w:rPr>
          <w:rFonts w:hint="eastAsia" w:ascii="黑体" w:eastAsia="黑体"/>
          <w:bCs/>
          <w:color w:val="000000"/>
          <w:sz w:val="24"/>
          <w:szCs w:val="24"/>
        </w:rPr>
        <w:t xml:space="preserve">格式</w:t>
      </w:r>
      <w:r>
        <w:rPr>
          <w:rFonts w:hint="eastAsia" w:ascii="黑体" w:eastAsia="黑体"/>
          <w:bCs/>
          <w:color w:val="000000"/>
          <w:sz w:val="24"/>
          <w:szCs w:val="24"/>
        </w:rPr>
        <w:t xml:space="preserve">，完整、正确地进行填报（具体位置为“基本目录”</w:t>
      </w:r>
      <w:r>
        <w:rPr>
          <w:rFonts w:hint="eastAsia" w:ascii="黑体" w:eastAsia="黑体"/>
          <w:bCs/>
          <w:color w:val="000000"/>
          <w:sz w:val="24"/>
          <w:szCs w:val="24"/>
        </w:rPr>
        <w:t xml:space="preserve">——“开标一览表”</w:t>
      </w:r>
      <w:r>
        <w:rPr>
          <w:rFonts w:hint="eastAsia" w:ascii="黑体" w:eastAsia="黑体"/>
          <w:bCs/>
          <w:color w:val="000000"/>
          <w:sz w:val="24"/>
          <w:szCs w:val="24"/>
        </w:rPr>
        <w:t xml:space="preserve">）</w:t>
      </w:r>
      <w:r>
        <w:rPr>
          <w:rFonts w:hint="eastAsia" w:ascii="黑体" w:eastAsia="黑体"/>
          <w:bCs/>
          <w:color w:val="000000"/>
          <w:sz w:val="24"/>
          <w:szCs w:val="24"/>
        </w:rPr>
        <w:t xml:space="preserve">，此处</w:t>
      </w:r>
      <w:r>
        <w:rPr>
          <w:rFonts w:hint="eastAsia" w:ascii="黑体" w:eastAsia="黑体"/>
          <w:bCs/>
          <w:color w:val="000000"/>
          <w:sz w:val="24"/>
          <w:szCs w:val="24"/>
        </w:rPr>
        <w:t xml:space="preserve">可不用再重复填报</w:t>
      </w:r>
      <w:r>
        <w:rPr>
          <w:rFonts w:hint="eastAsia" w:ascii="黑体" w:eastAsia="黑体"/>
          <w:bCs/>
          <w:color w:val="000000"/>
          <w:sz w:val="24"/>
          <w:szCs w:val="24"/>
        </w:rPr>
        <w:t xml:space="preserve">。投标人的“开标一览表”及</w:t>
      </w:r>
      <w:r>
        <w:rPr>
          <w:rFonts w:hint="eastAsia" w:ascii="黑体" w:eastAsia="黑体"/>
          <w:bCs/>
          <w:color w:val="000000"/>
          <w:sz w:val="24"/>
          <w:szCs w:val="24"/>
        </w:rPr>
        <w:t xml:space="preserve">表</w:t>
      </w:r>
      <w:r>
        <w:rPr>
          <w:rFonts w:hint="eastAsia" w:ascii="黑体" w:eastAsia="黑体"/>
          <w:bCs/>
          <w:color w:val="000000"/>
          <w:sz w:val="24"/>
          <w:szCs w:val="24"/>
        </w:rPr>
        <w:t xml:space="preserve">中所填</w:t>
      </w:r>
      <w:r>
        <w:rPr>
          <w:rFonts w:hint="eastAsia" w:ascii="黑体" w:eastAsia="黑体"/>
          <w:bCs/>
          <w:color w:val="000000"/>
          <w:sz w:val="24"/>
          <w:szCs w:val="24"/>
        </w:rPr>
        <w:t xml:space="preserve">的投标</w:t>
      </w:r>
      <w:r>
        <w:rPr>
          <w:rFonts w:hint="eastAsia" w:ascii="黑体" w:eastAsia="黑体"/>
          <w:bCs/>
          <w:color w:val="000000"/>
          <w:sz w:val="24"/>
          <w:szCs w:val="24"/>
        </w:rPr>
        <w:t xml:space="preserve">报价均将</w:t>
      </w:r>
      <w:r>
        <w:rPr>
          <w:rFonts w:hint="eastAsia" w:ascii="黑体" w:eastAsia="黑体"/>
          <w:bCs/>
          <w:color w:val="000000"/>
          <w:sz w:val="24"/>
          <w:szCs w:val="24"/>
        </w:rPr>
        <w:t xml:space="preserve">以</w:t>
      </w:r>
      <w:r>
        <w:rPr>
          <w:rFonts w:hint="eastAsia" w:ascii="黑体" w:eastAsia="黑体"/>
          <w:bCs/>
          <w:color w:val="000000"/>
          <w:sz w:val="24"/>
          <w:szCs w:val="24"/>
        </w:rPr>
        <w:t xml:space="preserve">投标人在“苏采云”系统</w:t>
      </w:r>
      <w:r>
        <w:rPr>
          <w:rFonts w:hint="eastAsia" w:ascii="黑体" w:eastAsia="黑体"/>
          <w:bCs/>
          <w:color w:val="000000"/>
          <w:sz w:val="24"/>
          <w:szCs w:val="24"/>
        </w:rPr>
        <w:t xml:space="preserve">自带的</w:t>
      </w:r>
      <w:r>
        <w:rPr>
          <w:rFonts w:hint="eastAsia" w:ascii="黑体" w:eastAsia="黑体"/>
          <w:bCs/>
          <w:color w:val="000000"/>
          <w:sz w:val="24"/>
          <w:szCs w:val="24"/>
        </w:rPr>
        <w:t xml:space="preserve">模块格式中填报的为准。</w:t>
      </w:r>
      <w:r>
        <w:rPr>
          <w:rFonts w:hint="eastAsia" w:ascii="黑体" w:eastAsia="黑体"/>
          <w:bCs/>
          <w:color w:val="000000"/>
          <w:sz w:val="24"/>
          <w:szCs w:val="24"/>
        </w:rPr>
      </w:r>
      <w:r/>
    </w:p>
    <w:p>
      <w:pPr>
        <w:pStyle w:val="734"/>
        <w:spacing w:line="360" w:lineRule="auto"/>
        <w:rPr>
          <w:rFonts w:hint="eastAsia"/>
          <w:b/>
          <w:color w:val="000000"/>
          <w:sz w:val="28"/>
          <w:szCs w:val="28"/>
        </w:rPr>
      </w:pPr>
      <w:r>
        <w:rPr>
          <w:rFonts w:hint="eastAsia" w:ascii="黑体" w:eastAsia="黑体"/>
          <w:bCs/>
          <w:color w:val="000000"/>
          <w:sz w:val="24"/>
          <w:szCs w:val="24"/>
        </w:rPr>
        <w:br w:type="page" w:clear="all"/>
      </w:r>
      <w:r>
        <w:rPr>
          <w:rFonts w:hint="eastAsia"/>
          <w:b/>
          <w:color w:val="000000"/>
          <w:sz w:val="28"/>
          <w:szCs w:val="28"/>
        </w:rPr>
        <w:t xml:space="preserve">九、分项</w:t>
      </w:r>
      <w:r>
        <w:rPr>
          <w:b/>
          <w:color w:val="000000"/>
          <w:sz w:val="28"/>
          <w:szCs w:val="28"/>
        </w:rPr>
        <w:t xml:space="preserve">报价表</w:t>
      </w:r>
      <w:r>
        <w:rPr>
          <w:rFonts w:hint="eastAsia"/>
          <w:b/>
          <w:color w:val="000000"/>
          <w:sz w:val="28"/>
          <w:szCs w:val="28"/>
        </w:rPr>
        <w:t xml:space="preserve">（给定格式）：</w:t>
      </w:r>
      <w:r/>
    </w:p>
    <w:p>
      <w:pPr>
        <w:pStyle w:val="734"/>
        <w:spacing w:line="360" w:lineRule="auto"/>
        <w:rPr>
          <w:rFonts w:hint="eastAsia"/>
          <w:b/>
          <w:color w:val="000000"/>
          <w:sz w:val="30"/>
          <w:szCs w:val="30"/>
        </w:rPr>
      </w:pPr>
      <w:r>
        <w:rPr>
          <w:rFonts w:hint="eastAsia"/>
          <w:b/>
          <w:color w:val="000000"/>
          <w:sz w:val="30"/>
          <w:szCs w:val="30"/>
        </w:rPr>
      </w:r>
      <w:r/>
    </w:p>
    <w:p>
      <w:pPr>
        <w:pStyle w:val="734"/>
        <w:jc w:val="center"/>
        <w:spacing w:line="400" w:lineRule="exact"/>
        <w:rPr>
          <w:rFonts w:ascii="黑体" w:eastAsia="黑体"/>
          <w:bCs/>
          <w:color w:val="000000"/>
          <w:sz w:val="28"/>
          <w:szCs w:val="28"/>
        </w:rPr>
        <w:outlineLvl w:val="0"/>
      </w:pPr>
      <w:r>
        <w:rPr>
          <w:rFonts w:hint="eastAsia" w:ascii="黑体" w:eastAsia="黑体"/>
          <w:bCs/>
          <w:color w:val="000000"/>
          <w:sz w:val="28"/>
          <w:szCs w:val="28"/>
        </w:rPr>
        <w:t xml:space="preserve">分项报价表</w:t>
      </w:r>
      <w:r>
        <w:rPr>
          <w:rFonts w:ascii="黑体" w:eastAsia="黑体"/>
          <w:bCs/>
          <w:color w:val="000000"/>
          <w:sz w:val="28"/>
          <w:szCs w:val="28"/>
        </w:rPr>
      </w:r>
      <w:r/>
    </w:p>
    <w:p>
      <w:pPr>
        <w:pStyle w:val="734"/>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JSZC-320200-JZCG-G2024-0201</w:t>
      </w:r>
      <w:r>
        <w:rPr>
          <w:rFonts w:ascii="黑体" w:eastAsia="黑体"/>
          <w:bCs/>
          <w:color w:val="000000"/>
          <w:sz w:val="24"/>
          <w:szCs w:val="24"/>
        </w:rPr>
      </w:r>
      <w:r/>
    </w:p>
    <w:tbl>
      <w:tblPr>
        <w:tblW w:w="997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95"/>
        </w:trPr>
        <w:tc>
          <w:tcPr>
            <w:tcMar>
              <w:left w:w="15" w:type="dxa"/>
              <w:top w:w="15" w:type="dxa"/>
              <w:right w:w="15" w:type="dxa"/>
              <w:bottom w:w="0" w:type="dxa"/>
            </w:tcMar>
            <w:tcW w:w="420" w:type="dxa"/>
            <w:vAlign w:val="center"/>
            <w:textDirection w:val="lrTb"/>
            <w:noWrap/>
          </w:tcPr>
          <w:p>
            <w:pPr>
              <w:pStyle w:val="734"/>
              <w:jc w:val="center"/>
              <w:spacing w:before="5"/>
              <w:rPr>
                <w:color w:val="000000"/>
                <w:sz w:val="18"/>
              </w:rPr>
            </w:pPr>
            <w:r>
              <w:rPr>
                <w:rFonts w:hint="eastAsia"/>
                <w:color w:val="000000"/>
                <w:sz w:val="18"/>
              </w:rPr>
              <w:t xml:space="preserve">序号</w:t>
            </w:r>
            <w:r>
              <w:rPr>
                <w:color w:val="000000"/>
                <w:sz w:val="18"/>
              </w:rPr>
            </w:r>
            <w:r/>
          </w:p>
        </w:tc>
        <w:tc>
          <w:tcPr>
            <w:tcMar>
              <w:left w:w="15" w:type="dxa"/>
              <w:top w:w="15" w:type="dxa"/>
              <w:right w:w="15" w:type="dxa"/>
              <w:bottom w:w="0" w:type="dxa"/>
            </w:tcMar>
            <w:tcW w:w="1050" w:type="dxa"/>
            <w:vAlign w:val="center"/>
            <w:textDirection w:val="lrTb"/>
            <w:noWrap/>
          </w:tcPr>
          <w:p>
            <w:pPr>
              <w:pStyle w:val="734"/>
              <w:jc w:val="center"/>
              <w:spacing w:before="5"/>
              <w:rPr>
                <w:color w:val="000000"/>
                <w:sz w:val="18"/>
              </w:rPr>
            </w:pPr>
            <w:r>
              <w:rPr>
                <w:rFonts w:hint="eastAsia"/>
                <w:color w:val="000000"/>
                <w:sz w:val="18"/>
              </w:rPr>
              <w:t xml:space="preserve">名称</w:t>
            </w:r>
            <w:r>
              <w:rPr>
                <w:color w:val="000000"/>
                <w:sz w:val="18"/>
              </w:rPr>
            </w:r>
            <w:r/>
          </w:p>
        </w:tc>
        <w:tc>
          <w:tcPr>
            <w:tcMar>
              <w:left w:w="15" w:type="dxa"/>
              <w:top w:w="15" w:type="dxa"/>
              <w:right w:w="15" w:type="dxa"/>
              <w:bottom w:w="0" w:type="dxa"/>
            </w:tcMar>
            <w:tcW w:w="945" w:type="dxa"/>
            <w:vAlign w:val="center"/>
            <w:textDirection w:val="lrTb"/>
            <w:noWrap/>
          </w:tcPr>
          <w:p>
            <w:pPr>
              <w:pStyle w:val="734"/>
              <w:jc w:val="center"/>
              <w:spacing w:before="5"/>
              <w:rPr>
                <w:color w:val="000000"/>
                <w:sz w:val="18"/>
              </w:rPr>
            </w:pPr>
            <w:r>
              <w:rPr>
                <w:rFonts w:hint="eastAsia"/>
                <w:color w:val="000000"/>
                <w:sz w:val="18"/>
              </w:rPr>
              <w:t xml:space="preserve">品牌型号</w:t>
            </w:r>
            <w:r>
              <w:rPr>
                <w:color w:val="000000"/>
                <w:sz w:val="18"/>
              </w:rPr>
            </w:r>
            <w:r/>
          </w:p>
        </w:tc>
        <w:tc>
          <w:tcPr>
            <w:tcMar>
              <w:left w:w="15" w:type="dxa"/>
              <w:top w:w="15" w:type="dxa"/>
              <w:right w:w="15" w:type="dxa"/>
              <w:bottom w:w="0" w:type="dxa"/>
            </w:tcMar>
            <w:tcW w:w="3045" w:type="dxa"/>
            <w:vAlign w:val="center"/>
            <w:textDirection w:val="lrTb"/>
            <w:noWrap/>
          </w:tcPr>
          <w:p>
            <w:pPr>
              <w:pStyle w:val="734"/>
              <w:jc w:val="center"/>
              <w:spacing w:before="5"/>
              <w:rPr>
                <w:color w:val="000000"/>
                <w:sz w:val="18"/>
              </w:rPr>
            </w:pPr>
            <w:r>
              <w:rPr>
                <w:rFonts w:hint="eastAsia"/>
                <w:color w:val="000000"/>
                <w:sz w:val="18"/>
              </w:rPr>
              <w:t xml:space="preserve">性能指标</w:t>
            </w:r>
            <w:r>
              <w:rPr>
                <w:color w:val="000000"/>
                <w:sz w:val="18"/>
              </w:rPr>
            </w:r>
            <w:r/>
          </w:p>
        </w:tc>
        <w:tc>
          <w:tcPr>
            <w:tcMar>
              <w:left w:w="15" w:type="dxa"/>
              <w:top w:w="15" w:type="dxa"/>
              <w:right w:w="15" w:type="dxa"/>
              <w:bottom w:w="0" w:type="dxa"/>
            </w:tcMar>
            <w:tcW w:w="599" w:type="dxa"/>
            <w:vAlign w:val="center"/>
            <w:textDirection w:val="lrTb"/>
            <w:noWrap w:val="false"/>
          </w:tcPr>
          <w:p>
            <w:pPr>
              <w:pStyle w:val="734"/>
              <w:jc w:val="center"/>
              <w:spacing w:before="5"/>
              <w:rPr>
                <w:color w:val="000000"/>
                <w:sz w:val="18"/>
              </w:rPr>
            </w:pPr>
            <w:r>
              <w:rPr>
                <w:rFonts w:hint="eastAsia"/>
                <w:color w:val="000000"/>
                <w:sz w:val="18"/>
              </w:rPr>
              <w:t xml:space="preserve">数量</w:t>
            </w:r>
            <w:r>
              <w:rPr>
                <w:color w:val="000000"/>
                <w:sz w:val="18"/>
              </w:rPr>
            </w:r>
            <w:r/>
          </w:p>
        </w:tc>
        <w:tc>
          <w:tcPr>
            <w:tcW w:w="1276" w:type="dxa"/>
            <w:vAlign w:val="center"/>
            <w:textDirection w:val="lrTb"/>
            <w:noWrap w:val="false"/>
          </w:tcPr>
          <w:p>
            <w:pPr>
              <w:pStyle w:val="734"/>
              <w:jc w:val="center"/>
              <w:spacing w:before="5"/>
              <w:rPr>
                <w:color w:val="000000"/>
                <w:sz w:val="18"/>
              </w:rPr>
            </w:pPr>
            <w:r>
              <w:rPr>
                <w:rFonts w:hint="eastAsia"/>
                <w:color w:val="000000"/>
                <w:sz w:val="18"/>
              </w:rPr>
              <w:t xml:space="preserve">产地</w:t>
            </w:r>
            <w:r>
              <w:rPr>
                <w:color w:val="000000"/>
                <w:sz w:val="18"/>
              </w:rPr>
            </w:r>
            <w:r/>
          </w:p>
        </w:tc>
        <w:tc>
          <w:tcPr>
            <w:tcMar>
              <w:left w:w="15" w:type="dxa"/>
              <w:top w:w="15" w:type="dxa"/>
              <w:right w:w="15" w:type="dxa"/>
              <w:bottom w:w="0" w:type="dxa"/>
            </w:tcMar>
            <w:tcW w:w="992" w:type="dxa"/>
            <w:vAlign w:val="center"/>
            <w:textDirection w:val="lrTb"/>
            <w:noWrap/>
          </w:tcPr>
          <w:p>
            <w:pPr>
              <w:pStyle w:val="734"/>
              <w:jc w:val="center"/>
              <w:spacing w:before="5"/>
              <w:rPr>
                <w:color w:val="000000"/>
                <w:sz w:val="18"/>
              </w:rPr>
            </w:pPr>
            <w:r>
              <w:rPr>
                <w:rFonts w:hint="eastAsia"/>
                <w:color w:val="000000"/>
                <w:sz w:val="18"/>
              </w:rPr>
              <w:t xml:space="preserve">质保期</w:t>
            </w:r>
            <w:r>
              <w:rPr>
                <w:color w:val="000000"/>
                <w:sz w:val="18"/>
              </w:rPr>
            </w:r>
            <w:r/>
          </w:p>
        </w:tc>
        <w:tc>
          <w:tcPr>
            <w:tcW w:w="709" w:type="dxa"/>
            <w:vAlign w:val="center"/>
            <w:textDirection w:val="lrTb"/>
            <w:noWrap w:val="false"/>
          </w:tcPr>
          <w:p>
            <w:pPr>
              <w:pStyle w:val="734"/>
              <w:jc w:val="center"/>
              <w:spacing w:before="5"/>
              <w:rPr>
                <w:color w:val="000000"/>
                <w:sz w:val="18"/>
              </w:rPr>
            </w:pPr>
            <w:r>
              <w:rPr>
                <w:rFonts w:hint="eastAsia"/>
                <w:color w:val="000000"/>
                <w:sz w:val="18"/>
              </w:rPr>
              <w:t xml:space="preserve">单报价</w:t>
            </w:r>
            <w:r>
              <w:rPr>
                <w:color w:val="000000"/>
                <w:sz w:val="18"/>
              </w:rPr>
            </w:r>
            <w:r/>
          </w:p>
        </w:tc>
        <w:tc>
          <w:tcPr>
            <w:tcW w:w="939" w:type="dxa"/>
            <w:vAlign w:val="center"/>
            <w:textDirection w:val="lrTb"/>
            <w:noWrap w:val="false"/>
          </w:tcPr>
          <w:p>
            <w:pPr>
              <w:pStyle w:val="734"/>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784"/>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1050" w:type="dxa"/>
            <w:vAlign w:val="center"/>
            <w:textDirection w:val="lrTb"/>
            <w:noWrap/>
          </w:tcPr>
          <w:p>
            <w:pPr>
              <w:pStyle w:val="784"/>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784"/>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pStyle w:val="734"/>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734"/>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734"/>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734"/>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734"/>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734"/>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734"/>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734"/>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784"/>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734"/>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734"/>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734"/>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734"/>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734"/>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734"/>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734"/>
              <w:jc w:val="center"/>
              <w:rPr>
                <w:rFonts w:ascii="宋体"/>
                <w:color w:val="000000"/>
                <w:sz w:val="18"/>
              </w:rPr>
            </w:pP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734"/>
              <w:jc w:val="center"/>
              <w:rPr>
                <w:rFonts w:ascii="宋体"/>
                <w:color w:val="000000"/>
              </w:rPr>
            </w:pPr>
            <w:r>
              <w:rPr>
                <w:rFonts w:ascii="宋体"/>
                <w:color w:val="000000"/>
              </w:rPr>
              <w:t xml:space="preserve">……</w:t>
            </w:r>
            <w:r/>
          </w:p>
        </w:tc>
        <w:tc>
          <w:tcPr>
            <w:tcMar>
              <w:left w:w="15" w:type="dxa"/>
              <w:top w:w="15" w:type="dxa"/>
              <w:right w:w="15" w:type="dxa"/>
              <w:bottom w:w="0" w:type="dxa"/>
            </w:tcMar>
            <w:tcW w:w="945" w:type="dxa"/>
            <w:vAlign w:val="center"/>
            <w:textDirection w:val="lrTb"/>
            <w:noWrap w:val="false"/>
          </w:tcPr>
          <w:p>
            <w:pPr>
              <w:pStyle w:val="784"/>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734"/>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734"/>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pStyle w:val="734"/>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734"/>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734"/>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734"/>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734"/>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734"/>
        <w:spacing w:line="400" w:lineRule="exact"/>
        <w:rPr>
          <w:rFonts w:hint="eastAsia" w:ascii="宋体" w:hAnsi="宋体"/>
          <w:b/>
          <w:color w:val="000000"/>
        </w:rPr>
        <w:outlineLvl w:val="0"/>
      </w:pPr>
      <w:r>
        <w:rPr>
          <w:rFonts w:hint="eastAsia" w:ascii="宋体" w:hAnsi="宋体"/>
          <w:b/>
          <w:color w:val="000000"/>
        </w:rPr>
      </w:r>
      <w:r/>
    </w:p>
    <w:p>
      <w:pPr>
        <w:pStyle w:val="734"/>
        <w:spacing w:line="400" w:lineRule="exact"/>
        <w:rPr>
          <w:rFonts w:ascii="宋体"/>
          <w:bCs/>
          <w:color w:val="000000"/>
        </w:rPr>
        <w:outlineLvl w:val="0"/>
      </w:pPr>
      <w:r>
        <w:rPr>
          <w:rFonts w:hint="eastAsia" w:ascii="宋体" w:hAnsi="宋体"/>
          <w:b/>
          <w:color w:val="000000"/>
        </w:rPr>
        <w:t xml:space="preserve">注：</w:t>
      </w:r>
      <w:r>
        <w:rPr>
          <w:rFonts w:hint="eastAsia" w:ascii="宋体" w:hAnsi="宋体"/>
          <w:bCs/>
          <w:color w:val="000000"/>
        </w:rPr>
        <w:t xml:space="preserve">（</w:t>
      </w:r>
      <w:r>
        <w:rPr>
          <w:rFonts w:ascii="宋体" w:hAnsi="宋体"/>
          <w:bCs/>
          <w:color w:val="000000"/>
        </w:rPr>
        <w:t xml:space="preserve">1</w:t>
      </w:r>
      <w:r>
        <w:rPr>
          <w:rFonts w:hint="eastAsia" w:ascii="宋体" w:hAnsi="宋体"/>
          <w:bCs/>
          <w:color w:val="000000"/>
        </w:rPr>
        <w:t xml:space="preserve">）</w:t>
      </w:r>
      <w:r>
        <w:rPr>
          <w:rFonts w:hint="eastAsia" w:ascii="宋体"/>
          <w:bCs/>
          <w:color w:val="000000"/>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color w:val="000000"/>
        </w:rPr>
      </w:r>
      <w:r/>
    </w:p>
    <w:p>
      <w:pPr>
        <w:pStyle w:val="734"/>
        <w:ind w:firstLine="315"/>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w:t>
      </w:r>
      <w:r>
        <w:rPr>
          <w:rFonts w:hint="eastAsia" w:ascii="宋体" w:hAnsi="宋体"/>
          <w:bCs/>
          <w:color w:val="000000"/>
        </w:rPr>
        <w:t xml:space="preserve">采购需求</w:t>
      </w:r>
      <w:r>
        <w:rPr>
          <w:rFonts w:hint="eastAsia" w:ascii="宋体" w:hAnsi="宋体"/>
          <w:bCs/>
          <w:color w:val="000000"/>
        </w:rPr>
        <w:t xml:space="preserve">”的内容在上表中详细填写；</w:t>
      </w:r>
      <w:r>
        <w:rPr>
          <w:rFonts w:ascii="宋体"/>
          <w:bCs/>
          <w:color w:val="000000"/>
        </w:rPr>
      </w:r>
      <w:r/>
    </w:p>
    <w:p>
      <w:pPr>
        <w:pStyle w:val="734"/>
        <w:ind w:firstLine="315"/>
        <w:spacing w:line="400" w:lineRule="exact"/>
        <w:rPr>
          <w:rFonts w:hint="eastAsia"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bookmarkEnd w:id="195"/>
      <w:r/>
      <w:bookmarkEnd w:id="196"/>
      <w:r/>
      <w:bookmarkEnd w:id="197"/>
      <w:r/>
      <w:bookmarkStart w:id="200" w:name="_Toc120614284"/>
      <w:r>
        <w:rPr>
          <w:rFonts w:hint="eastAsia" w:ascii="宋体" w:hAnsi="宋体"/>
          <w:bCs/>
          <w:color w:val="000000"/>
        </w:rPr>
      </w:r>
      <w:r/>
    </w:p>
    <w:p>
      <w:pPr>
        <w:pStyle w:val="734"/>
        <w:spacing w:line="400" w:lineRule="exact"/>
        <w:rPr>
          <w:rFonts w:ascii="宋体" w:hAnsi="宋体"/>
          <w:bCs/>
          <w:color w:val="000000"/>
        </w:rPr>
        <w:outlineLvl w:val="0"/>
      </w:pPr>
      <w:r>
        <w:rPr>
          <w:rFonts w:ascii="宋体" w:hAnsi="宋体"/>
          <w:bCs/>
          <w:color w:val="000000"/>
        </w:rPr>
        <w:t xml:space="preserve"> </w:t>
      </w:r>
      <w:r>
        <w:rPr>
          <w:rFonts w:ascii="宋体" w:hAnsi="宋体"/>
          <w:bCs/>
          <w:color w:val="000000"/>
        </w:rPr>
      </w:r>
      <w:r/>
    </w:p>
    <w:p>
      <w:pPr>
        <w:pStyle w:val="734"/>
        <w:spacing w:line="400" w:lineRule="exact"/>
        <w:rPr>
          <w:rFonts w:ascii="宋体" w:hAnsi="宋体" w:cs="宋体"/>
          <w:color w:val="000000"/>
          <w:lang w:val="zh-CN"/>
        </w:rPr>
        <w:outlineLvl w:val="0"/>
      </w:pPr>
      <w:r>
        <w:rPr>
          <w:rFonts w:ascii="宋体" w:hAnsi="宋体" w:cs="宋体"/>
          <w:color w:val="000000"/>
          <w:lang w:val="zh-CN"/>
        </w:rPr>
        <w:t xml:space="preserve"> </w:t>
      </w:r>
      <w:r>
        <w:rPr>
          <w:rFonts w:ascii="宋体" w:hAnsi="宋体" w:cs="宋体"/>
          <w:color w:val="000000"/>
          <w:lang w:val="zh-CN"/>
        </w:rPr>
      </w:r>
      <w:r/>
    </w:p>
    <w:p>
      <w:pPr>
        <w:pStyle w:val="734"/>
        <w:spacing w:line="360" w:lineRule="auto"/>
        <w:rPr>
          <w:rFonts w:hint="eastAsia"/>
          <w:b/>
          <w:color w:val="000000"/>
          <w:sz w:val="28"/>
          <w:szCs w:val="28"/>
        </w:rPr>
      </w:pPr>
      <w:r>
        <w:rPr>
          <w:rFonts w:hint="eastAsia" w:ascii="宋体" w:hAnsi="宋体"/>
          <w:bCs/>
          <w:color w:val="000000"/>
        </w:rPr>
        <w:br w:type="page" w:clear="all"/>
      </w:r>
      <w:r>
        <w:rPr>
          <w:rFonts w:hint="eastAsia"/>
          <w:b/>
          <w:color w:val="000000"/>
          <w:sz w:val="28"/>
          <w:szCs w:val="28"/>
        </w:rPr>
        <w:t xml:space="preserve">十</w:t>
      </w:r>
      <w:r>
        <w:rPr>
          <w:b/>
          <w:color w:val="000000"/>
          <w:sz w:val="28"/>
          <w:szCs w:val="28"/>
        </w:rPr>
        <w:t xml:space="preserve">、</w:t>
      </w:r>
      <w:r>
        <w:rPr>
          <w:rFonts w:hint="eastAsia"/>
          <w:b/>
          <w:color w:val="000000"/>
          <w:sz w:val="28"/>
          <w:szCs w:val="28"/>
        </w:rPr>
        <w:t xml:space="preserve">投标偏离表（给定格式）：</w:t>
      </w:r>
      <w:r/>
    </w:p>
    <w:p>
      <w:pPr>
        <w:pStyle w:val="734"/>
        <w:ind w:firstLine="490"/>
        <w:jc w:val="center"/>
        <w:rPr>
          <w:rFonts w:ascii="黑体" w:eastAsia="黑体"/>
          <w:bCs/>
          <w:color w:val="000000"/>
          <w:sz w:val="28"/>
          <w:szCs w:val="28"/>
        </w:rPr>
        <w:outlineLvl w:val="0"/>
      </w:pPr>
      <w:r>
        <w:rPr>
          <w:rFonts w:ascii="黑体" w:eastAsia="黑体"/>
          <w:bCs/>
          <w:color w:val="000000"/>
          <w:sz w:val="28"/>
          <w:szCs w:val="28"/>
        </w:rPr>
      </w:r>
      <w:r/>
    </w:p>
    <w:p>
      <w:pPr>
        <w:pStyle w:val="734"/>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734"/>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734"/>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734"/>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JSZC-320200-JZCG-G2024-0201</w:t>
      </w:r>
      <w:r>
        <w:rPr>
          <w:rFonts w:ascii="黑体" w:eastAsia="黑体"/>
          <w:bCs/>
          <w:color w:val="000000"/>
          <w:sz w:val="24"/>
          <w:szCs w:val="24"/>
        </w:rPr>
      </w: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34"/>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4"/>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4"/>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34"/>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34"/>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4"/>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4"/>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34"/>
              <w:jc w:val="center"/>
              <w:rPr>
                <w:rFonts w:ascii="宋体"/>
                <w:bCs/>
                <w:color w:val="000000"/>
              </w:rPr>
            </w:pPr>
            <w:r>
              <w:rPr>
                <w:rFonts w:ascii="宋体"/>
                <w:bCs/>
                <w:color w:val="000000"/>
              </w:rPr>
            </w:r>
            <w:r/>
          </w:p>
        </w:tc>
      </w:tr>
    </w:tbl>
    <w:p>
      <w:pPr>
        <w:pStyle w:val="734"/>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734"/>
        <w:rPr>
          <w:rFonts w:ascii="宋体"/>
          <w:bCs/>
          <w:color w:val="000000"/>
          <w:sz w:val="30"/>
        </w:rPr>
      </w:pPr>
      <w:r>
        <w:rPr>
          <w:rFonts w:ascii="宋体"/>
          <w:bCs/>
          <w:color w:val="000000"/>
          <w:sz w:val="30"/>
        </w:rPr>
      </w:r>
      <w:r/>
    </w:p>
    <w:p>
      <w:pPr>
        <w:pStyle w:val="734"/>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734"/>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734"/>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0"/>
      <w:r/>
      <w:bookmarkStart w:id="201" w:name="_Hlt26671374"/>
      <w:r/>
      <w:bookmarkEnd w:id="201"/>
      <w:r/>
      <w:bookmarkStart w:id="202" w:name="_格式2__法定代表人授权书"/>
      <w:r/>
      <w:bookmarkEnd w:id="202"/>
      <w:r/>
      <w:bookmarkStart w:id="203" w:name="_Hlt26955066"/>
      <w:r/>
      <w:bookmarkEnd w:id="203"/>
      <w:r/>
      <w:bookmarkStart w:id="204" w:name="_Hlt26609389"/>
      <w:r/>
      <w:bookmarkEnd w:id="204"/>
      <w:r>
        <w:rPr>
          <w:rFonts w:hint="eastAsia" w:ascii="宋体" w:hAnsi="宋体"/>
          <w:bCs/>
          <w:color w:val="000000"/>
          <w:sz w:val="24"/>
          <w:szCs w:val="24"/>
        </w:rPr>
      </w:r>
      <w:r/>
    </w:p>
    <w:p>
      <w:pPr>
        <w:pStyle w:val="734"/>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734"/>
        <w:ind w:firstLine="420"/>
        <w:rPr>
          <w:rFonts w:ascii="宋体" w:hAnsi="宋体"/>
          <w:bCs/>
          <w:color w:val="000000"/>
          <w:sz w:val="24"/>
          <w:szCs w:val="24"/>
        </w:rPr>
        <w:outlineLvl w:val="0"/>
      </w:pPr>
      <w:r>
        <w:rPr>
          <w:rFonts w:ascii="宋体" w:hAnsi="宋体"/>
          <w:bCs/>
          <w:color w:val="000000"/>
          <w:sz w:val="24"/>
          <w:szCs w:val="24"/>
        </w:rPr>
      </w:r>
      <w:r/>
    </w:p>
    <w:p>
      <w:pPr>
        <w:pStyle w:val="734"/>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十一</w:t>
      </w:r>
      <w:r>
        <w:rPr>
          <w:rFonts w:hint="eastAsia"/>
          <w:b/>
          <w:color w:val="000000"/>
          <w:sz w:val="28"/>
          <w:szCs w:val="28"/>
        </w:rPr>
        <w:t xml:space="preserve">、</w:t>
      </w:r>
      <w:r>
        <w:rPr>
          <w:rFonts w:hint="eastAsia"/>
          <w:b/>
          <w:color w:val="000000"/>
          <w:sz w:val="28"/>
          <w:szCs w:val="28"/>
        </w:rPr>
        <w:t xml:space="preserve">项目人员配置清单（格式）</w:t>
      </w:r>
      <w:r>
        <w:rPr>
          <w:b/>
          <w:color w:val="000000"/>
          <w:sz w:val="28"/>
          <w:szCs w:val="28"/>
        </w:rPr>
      </w:r>
      <w:r/>
    </w:p>
    <w:p>
      <w:pPr>
        <w:pStyle w:val="734"/>
        <w:spacing w:line="400" w:lineRule="exact"/>
        <w:rPr>
          <w:rFonts w:ascii="黑体" w:eastAsia="黑体"/>
          <w:bCs/>
          <w:color w:val="000000"/>
          <w:sz w:val="28"/>
          <w:szCs w:val="28"/>
        </w:rPr>
      </w:pPr>
      <w:r>
        <w:rPr>
          <w:rFonts w:ascii="黑体" w:eastAsia="黑体"/>
          <w:bCs/>
          <w:color w:val="000000"/>
          <w:sz w:val="28"/>
          <w:szCs w:val="28"/>
        </w:rPr>
      </w:r>
      <w:r/>
    </w:p>
    <w:p>
      <w:pPr>
        <w:pStyle w:val="734"/>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p>
    <w:p>
      <w:pPr>
        <w:pStyle w:val="734"/>
        <w:jc w:val="center"/>
        <w:spacing w:line="400" w:lineRule="exact"/>
        <w:rPr>
          <w:rFonts w:ascii="黑体" w:eastAsia="黑体"/>
          <w:bCs/>
          <w:color w:val="000000"/>
          <w:sz w:val="28"/>
          <w:szCs w:val="28"/>
        </w:rPr>
      </w:pPr>
      <w:r>
        <w:rPr>
          <w:rFonts w:ascii="黑体" w:eastAsia="黑体"/>
          <w:bCs/>
          <w:color w:val="000000"/>
          <w:sz w:val="28"/>
          <w:szCs w:val="28"/>
        </w:rPr>
      </w:r>
      <w:r/>
    </w:p>
    <w:p>
      <w:pPr>
        <w:pStyle w:val="734"/>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JSZC-320200-JZCG-G2024-0201</w:t>
      </w:r>
      <w:r>
        <w:rPr>
          <w:rFonts w:ascii="黑体" w:eastAsia="黑体"/>
          <w:bCs/>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734"/>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734"/>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734"/>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734"/>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734"/>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r>
    </w:tbl>
    <w:p>
      <w:pPr>
        <w:pStyle w:val="734"/>
        <w:rPr>
          <w:b/>
          <w:bCs/>
          <w:color w:val="000000"/>
          <w:sz w:val="24"/>
          <w:szCs w:val="24"/>
        </w:rPr>
      </w:pPr>
      <w:r>
        <w:rPr>
          <w:rFonts w:hint="eastAsia" w:ascii="黑体" w:eastAsia="黑体"/>
          <w:bCs/>
          <w:color w:val="000000"/>
          <w:sz w:val="24"/>
          <w:szCs w:val="24"/>
        </w:rPr>
        <w:t xml:space="preserve">投标人名称（盖章）</w:t>
      </w:r>
      <w:r>
        <w:rPr>
          <w:b/>
          <w:bCs/>
          <w:color w:val="000000"/>
          <w:sz w:val="24"/>
          <w:szCs w:val="24"/>
        </w:rPr>
      </w:r>
      <w:r/>
    </w:p>
    <w:p>
      <w:pPr>
        <w:pStyle w:val="734"/>
        <w:rPr>
          <w:rFonts w:hint="eastAsia" w:ascii="宋体" w:hAnsi="宋体"/>
          <w:bCs/>
          <w:color w:val="000000"/>
        </w:rPr>
      </w:pPr>
      <w:r>
        <w:rPr>
          <w:rFonts w:hint="eastAsia" w:ascii="宋体" w:hAnsi="宋体"/>
          <w:bCs/>
          <w:color w:val="000000"/>
        </w:rPr>
      </w:r>
      <w:r/>
    </w:p>
    <w:p>
      <w:pPr>
        <w:pStyle w:val="734"/>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734"/>
        <w:ind w:firstLine="420"/>
        <w:rPr>
          <w:color w:val="000000"/>
        </w:rPr>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000000"/>
        </w:rPr>
      </w:r>
      <w:r/>
    </w:p>
    <w:p>
      <w:pPr>
        <w:pStyle w:val="734"/>
        <w:rPr>
          <w:rFonts w:hint="eastAsia" w:ascii="宋体" w:hAnsi="宋体"/>
          <w:bCs/>
          <w:color w:val="000000"/>
        </w:rPr>
        <w:outlineLvl w:val="0"/>
      </w:pPr>
      <w:r>
        <w:rPr>
          <w:rFonts w:hint="eastAsia" w:ascii="宋体" w:hAnsi="宋体"/>
          <w:bCs/>
          <w:color w:val="000000"/>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等线">
    <w:panose1 w:val="02010600030101010101"/>
  </w:font>
  <w:font w:name="方正黑体_GBK">
    <w:panose1 w:val="020B0503020202020204"/>
  </w:font>
  <w:font w:name="方正仿宋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rPr>
        <w:rStyle w:val="807"/>
        <w:rFonts w:ascii="宋体" w:hAnsi="宋体"/>
      </w:rPr>
      <w:framePr w:wrap="around" w:vAnchor="text" w:hAnchor="margin" w:xAlign="center" w:y="1"/>
    </w:pPr>
    <w:r>
      <w:rPr>
        <w:rFonts w:ascii="宋体" w:hAnsi="宋体"/>
      </w:rPr>
      <w:fldChar w:fldCharType="begin"/>
    </w:r>
    <w:r>
      <w:rPr>
        <w:rStyle w:val="807"/>
        <w:rFonts w:ascii="宋体" w:hAnsi="宋体"/>
      </w:rPr>
      <w:instrText xml:space="preserve">PAGE  </w:instrText>
    </w:r>
    <w:r>
      <w:rPr>
        <w:rFonts w:ascii="宋体" w:hAnsi="宋体"/>
      </w:rPr>
      <w:fldChar w:fldCharType="separate"/>
    </w:r>
    <w:r>
      <w:rPr>
        <w:rStyle w:val="807"/>
        <w:rFonts w:ascii="宋体" w:hAnsi="宋体"/>
      </w:rPr>
      <w:t xml:space="preserve">１８</w:t>
    </w:r>
    <w:r>
      <w:rPr>
        <w:rFonts w:ascii="宋体" w:hAnsi="宋体"/>
      </w:rPr>
      <w:fldChar w:fldCharType="end"/>
    </w:r>
    <w:r>
      <w:rPr>
        <w:rStyle w:val="807"/>
        <w:rFonts w:ascii="宋体" w:hAnsi="宋体"/>
      </w:rPr>
    </w:r>
    <w:r/>
  </w:p>
  <w:p>
    <w:pPr>
      <w:pStyle w:val="782"/>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rPr>
        <w:rStyle w:val="807"/>
      </w:rPr>
      <w:framePr w:wrap="around" w:vAnchor="text" w:hAnchor="margin" w:xAlign="center" w:y="1"/>
    </w:pPr>
    <w:r>
      <w:fldChar w:fldCharType="begin"/>
    </w:r>
    <w:r>
      <w:rPr>
        <w:rStyle w:val="807"/>
      </w:rPr>
      <w:instrText xml:space="preserve">PAGE  </w:instrText>
    </w:r>
    <w:r>
      <w:fldChar w:fldCharType="separate"/>
    </w:r>
    <w:r>
      <w:rPr>
        <w:rStyle w:val="807"/>
      </w:rPr>
      <w:t xml:space="preserve">1</w:t>
    </w:r>
    <w:r>
      <w:fldChar w:fldCharType="end"/>
    </w:r>
    <w:r>
      <w:rPr>
        <w:rStyle w:val="807"/>
      </w:rPr>
    </w:r>
    <w:r/>
  </w:p>
  <w:p>
    <w:pPr>
      <w:pStyle w:val="7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734"/>
        <w:ind w:left="1080" w:hanging="1080"/>
        <w:tabs>
          <w:tab w:val="num" w:pos="1080" w:leader="none"/>
        </w:tabs>
      </w:pPr>
      <w:rPr>
        <w:rFonts w:hint="eastAsia" w:cs="Times New Roman"/>
      </w:rPr>
    </w:lvl>
    <w:lvl w:ilvl="1">
      <w:start w:val="1"/>
      <w:numFmt w:val="decimal"/>
      <w:isLgl w:val="false"/>
      <w:suff w:val="tab"/>
      <w:lvlText w:val="%2."/>
      <w:lvlJc w:val="left"/>
      <w:pPr>
        <w:pStyle w:val="734"/>
        <w:ind w:left="780" w:hanging="360"/>
        <w:tabs>
          <w:tab w:val="num" w:pos="780" w:leader="none"/>
        </w:tabs>
      </w:pPr>
      <w:rPr>
        <w:rFonts w:hint="eastAsia" w:cs="Times New Roman"/>
        <w:color w:val="000000"/>
      </w:rPr>
    </w:lvl>
    <w:lvl w:ilvl="2">
      <w:start w:val="1"/>
      <w:numFmt w:val="lowerRoman"/>
      <w:isLgl w:val="false"/>
      <w:suff w:val="tab"/>
      <w:lvlText w:val="%3."/>
      <w:lvlJc w:val="right"/>
      <w:pPr>
        <w:pStyle w:val="734"/>
        <w:ind w:left="1260" w:hanging="420"/>
        <w:tabs>
          <w:tab w:val="num" w:pos="1260" w:leader="none"/>
        </w:tabs>
      </w:pPr>
      <w:rPr>
        <w:rFonts w:cs="Times New Roman"/>
      </w:rPr>
    </w:lvl>
    <w:lvl w:ilvl="3">
      <w:start w:val="1"/>
      <w:numFmt w:val="decimal"/>
      <w:isLgl w:val="false"/>
      <w:suff w:val="tab"/>
      <w:lvlText w:val="%4."/>
      <w:lvlJc w:val="left"/>
      <w:pPr>
        <w:pStyle w:val="734"/>
        <w:ind w:left="1680" w:hanging="420"/>
        <w:tabs>
          <w:tab w:val="num" w:pos="1680" w:leader="none"/>
        </w:tabs>
      </w:pPr>
      <w:rPr>
        <w:rFonts w:cs="Times New Roman"/>
      </w:rPr>
    </w:lvl>
    <w:lvl w:ilvl="4">
      <w:start w:val="1"/>
      <w:numFmt w:val="lowerLetter"/>
      <w:isLgl w:val="false"/>
      <w:suff w:val="tab"/>
      <w:lvlText w:val="%5)"/>
      <w:lvlJc w:val="left"/>
      <w:pPr>
        <w:pStyle w:val="734"/>
        <w:ind w:left="2100" w:hanging="420"/>
        <w:tabs>
          <w:tab w:val="num" w:pos="2100" w:leader="none"/>
        </w:tabs>
      </w:pPr>
      <w:rPr>
        <w:rFonts w:cs="Times New Roman"/>
      </w:rPr>
    </w:lvl>
    <w:lvl w:ilvl="5">
      <w:start w:val="1"/>
      <w:numFmt w:val="lowerRoman"/>
      <w:isLgl w:val="false"/>
      <w:suff w:val="tab"/>
      <w:lvlText w:val="%6."/>
      <w:lvlJc w:val="right"/>
      <w:pPr>
        <w:pStyle w:val="734"/>
        <w:ind w:left="2520" w:hanging="420"/>
        <w:tabs>
          <w:tab w:val="num" w:pos="2520" w:leader="none"/>
        </w:tabs>
      </w:pPr>
      <w:rPr>
        <w:rFonts w:cs="Times New Roman"/>
      </w:rPr>
    </w:lvl>
    <w:lvl w:ilvl="6">
      <w:start w:val="1"/>
      <w:numFmt w:val="decimal"/>
      <w:isLgl w:val="false"/>
      <w:suff w:val="tab"/>
      <w:lvlText w:val="%7."/>
      <w:lvlJc w:val="left"/>
      <w:pPr>
        <w:pStyle w:val="734"/>
        <w:ind w:left="2940" w:hanging="420"/>
        <w:tabs>
          <w:tab w:val="num" w:pos="2940" w:leader="none"/>
        </w:tabs>
      </w:pPr>
      <w:rPr>
        <w:rFonts w:cs="Times New Roman"/>
      </w:rPr>
    </w:lvl>
    <w:lvl w:ilvl="7">
      <w:start w:val="1"/>
      <w:numFmt w:val="lowerLetter"/>
      <w:isLgl w:val="false"/>
      <w:suff w:val="tab"/>
      <w:lvlText w:val="%8)"/>
      <w:lvlJc w:val="left"/>
      <w:pPr>
        <w:pStyle w:val="734"/>
        <w:ind w:left="3360" w:hanging="420"/>
        <w:tabs>
          <w:tab w:val="num" w:pos="3360" w:leader="none"/>
        </w:tabs>
      </w:pPr>
      <w:rPr>
        <w:rFonts w:cs="Times New Roman"/>
      </w:rPr>
    </w:lvl>
    <w:lvl w:ilvl="8">
      <w:start w:val="1"/>
      <w:numFmt w:val="lowerRoman"/>
      <w:isLgl w:val="false"/>
      <w:suff w:val="tab"/>
      <w:lvlText w:val="%9."/>
      <w:lvlJc w:val="right"/>
      <w:pPr>
        <w:pStyle w:val="734"/>
        <w:ind w:left="3780" w:hanging="420"/>
        <w:tabs>
          <w:tab w:val="num" w:pos="3780" w:leader="none"/>
        </w:tabs>
      </w:pPr>
      <w:rPr>
        <w:rFonts w:cs="Times New Roman"/>
      </w:rPr>
    </w:lvl>
  </w:abstractNum>
  <w:abstractNum w:abstractNumId="2">
    <w:multiLevelType w:val="hybridMultilevel"/>
    <w:lvl w:ilvl="0">
      <w:start w:val="1"/>
      <w:numFmt w:val="chineseCounting"/>
      <w:isLgl w:val="false"/>
      <w:suff w:val="nothing"/>
      <w:lvlText w:val="%1、"/>
      <w:lvlJc w:val="left"/>
      <w:pPr>
        <w:pStyle w:val="7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734"/>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lowerLetter"/>
      <w:isLgl w:val="false"/>
      <w:suff w:val="tab"/>
      <w:lvlText w:val="%1)"/>
      <w:lvlJc w:val="left"/>
      <w:pPr>
        <w:pStyle w:val="734"/>
        <w:ind w:left="1"/>
      </w:pPr>
      <w:rPr>
        <w:rFonts w:ascii="黑体" w:hAnsi="黑体" w:eastAsia="黑体" w:cs="黑体"/>
        <w:b w:val="0"/>
        <w:i w:val="0"/>
        <w:strike w:val="0"/>
        <w:color w:val="000000"/>
        <w:sz w:val="18"/>
        <w:szCs w:val="18"/>
        <w:u w:val="none"/>
        <w:vertAlign w:val="baseline"/>
      </w:rPr>
    </w:lvl>
    <w:lvl w:ilvl="1">
      <w:start w:val="1"/>
      <w:numFmt w:val="lowerLetter"/>
      <w:isLgl w:val="false"/>
      <w:suff w:val="tab"/>
      <w:lvlText w:val="%2"/>
      <w:lvlJc w:val="left"/>
      <w:pPr>
        <w:pStyle w:val="734"/>
        <w:ind w:left="1189"/>
      </w:pPr>
      <w:rPr>
        <w:rFonts w:ascii="黑体" w:hAnsi="黑体" w:eastAsia="黑体" w:cs="黑体"/>
        <w:b w:val="0"/>
        <w:i w:val="0"/>
        <w:strike w:val="0"/>
        <w:color w:val="000000"/>
        <w:sz w:val="18"/>
        <w:szCs w:val="18"/>
        <w:u w:val="none"/>
        <w:vertAlign w:val="baseline"/>
      </w:rPr>
    </w:lvl>
    <w:lvl w:ilvl="2">
      <w:start w:val="1"/>
      <w:numFmt w:val="lowerRoman"/>
      <w:isLgl w:val="false"/>
      <w:suff w:val="tab"/>
      <w:lvlText w:val="%3"/>
      <w:lvlJc w:val="left"/>
      <w:pPr>
        <w:pStyle w:val="734"/>
        <w:ind w:left="1909"/>
      </w:pPr>
      <w:rPr>
        <w:rFonts w:ascii="黑体" w:hAnsi="黑体" w:eastAsia="黑体" w:cs="黑体"/>
        <w:b w:val="0"/>
        <w:i w:val="0"/>
        <w:strike w:val="0"/>
        <w:color w:val="000000"/>
        <w:sz w:val="18"/>
        <w:szCs w:val="18"/>
        <w:u w:val="none"/>
        <w:vertAlign w:val="baseline"/>
      </w:rPr>
    </w:lvl>
    <w:lvl w:ilvl="3">
      <w:start w:val="1"/>
      <w:numFmt w:val="decimal"/>
      <w:isLgl w:val="false"/>
      <w:suff w:val="tab"/>
      <w:lvlText w:val="%4"/>
      <w:lvlJc w:val="left"/>
      <w:pPr>
        <w:pStyle w:val="734"/>
        <w:ind w:left="2629"/>
      </w:pPr>
      <w:rPr>
        <w:rFonts w:ascii="黑体" w:hAnsi="黑体" w:eastAsia="黑体" w:cs="黑体"/>
        <w:b w:val="0"/>
        <w:i w:val="0"/>
        <w:strike w:val="0"/>
        <w:color w:val="000000"/>
        <w:sz w:val="18"/>
        <w:szCs w:val="18"/>
        <w:u w:val="none"/>
        <w:vertAlign w:val="baseline"/>
      </w:rPr>
    </w:lvl>
    <w:lvl w:ilvl="4">
      <w:start w:val="1"/>
      <w:numFmt w:val="lowerLetter"/>
      <w:isLgl w:val="false"/>
      <w:suff w:val="tab"/>
      <w:lvlText w:val="%5"/>
      <w:lvlJc w:val="left"/>
      <w:pPr>
        <w:pStyle w:val="734"/>
        <w:ind w:left="3349"/>
      </w:pPr>
      <w:rPr>
        <w:rFonts w:ascii="黑体" w:hAnsi="黑体" w:eastAsia="黑体" w:cs="黑体"/>
        <w:b w:val="0"/>
        <w:i w:val="0"/>
        <w:strike w:val="0"/>
        <w:color w:val="000000"/>
        <w:sz w:val="18"/>
        <w:szCs w:val="18"/>
        <w:u w:val="none"/>
        <w:vertAlign w:val="baseline"/>
      </w:rPr>
    </w:lvl>
    <w:lvl w:ilvl="5">
      <w:start w:val="1"/>
      <w:numFmt w:val="lowerRoman"/>
      <w:isLgl w:val="false"/>
      <w:suff w:val="tab"/>
      <w:lvlText w:val="%6"/>
      <w:lvlJc w:val="left"/>
      <w:pPr>
        <w:pStyle w:val="734"/>
        <w:ind w:left="4069"/>
      </w:pPr>
      <w:rPr>
        <w:rFonts w:ascii="黑体" w:hAnsi="黑体" w:eastAsia="黑体" w:cs="黑体"/>
        <w:b w:val="0"/>
        <w:i w:val="0"/>
        <w:strike w:val="0"/>
        <w:color w:val="000000"/>
        <w:sz w:val="18"/>
        <w:szCs w:val="18"/>
        <w:u w:val="none"/>
        <w:vertAlign w:val="baseline"/>
      </w:rPr>
    </w:lvl>
    <w:lvl w:ilvl="6">
      <w:start w:val="1"/>
      <w:numFmt w:val="decimal"/>
      <w:isLgl w:val="false"/>
      <w:suff w:val="tab"/>
      <w:lvlText w:val="%7"/>
      <w:lvlJc w:val="left"/>
      <w:pPr>
        <w:pStyle w:val="734"/>
        <w:ind w:left="4789"/>
      </w:pPr>
      <w:rPr>
        <w:rFonts w:ascii="黑体" w:hAnsi="黑体" w:eastAsia="黑体" w:cs="黑体"/>
        <w:b w:val="0"/>
        <w:i w:val="0"/>
        <w:strike w:val="0"/>
        <w:color w:val="000000"/>
        <w:sz w:val="18"/>
        <w:szCs w:val="18"/>
        <w:u w:val="none"/>
        <w:vertAlign w:val="baseline"/>
      </w:rPr>
    </w:lvl>
    <w:lvl w:ilvl="7">
      <w:start w:val="1"/>
      <w:numFmt w:val="lowerLetter"/>
      <w:isLgl w:val="false"/>
      <w:suff w:val="tab"/>
      <w:lvlText w:val="%8"/>
      <w:lvlJc w:val="left"/>
      <w:pPr>
        <w:pStyle w:val="734"/>
        <w:ind w:left="5509"/>
      </w:pPr>
      <w:rPr>
        <w:rFonts w:ascii="黑体" w:hAnsi="黑体" w:eastAsia="黑体" w:cs="黑体"/>
        <w:b w:val="0"/>
        <w:i w:val="0"/>
        <w:strike w:val="0"/>
        <w:color w:val="000000"/>
        <w:sz w:val="18"/>
        <w:szCs w:val="18"/>
        <w:u w:val="none"/>
        <w:vertAlign w:val="baseline"/>
      </w:rPr>
    </w:lvl>
    <w:lvl w:ilvl="8">
      <w:start w:val="1"/>
      <w:numFmt w:val="lowerRoman"/>
      <w:isLgl w:val="false"/>
      <w:suff w:val="tab"/>
      <w:lvlText w:val="%9"/>
      <w:lvlJc w:val="left"/>
      <w:pPr>
        <w:pStyle w:val="734"/>
        <w:ind w:left="6229"/>
      </w:pPr>
      <w:rPr>
        <w:rFonts w:ascii="黑体" w:hAnsi="黑体" w:eastAsia="黑体" w:cs="黑体"/>
        <w:b w:val="0"/>
        <w:i w:val="0"/>
        <w:strike w:val="0"/>
        <w:color w:val="000000"/>
        <w:sz w:val="18"/>
        <w:szCs w:val="18"/>
        <w:u w:val="none"/>
        <w:vertAlign w:val="baseline"/>
      </w:rPr>
    </w:lvl>
  </w:abstractNum>
  <w:abstractNum w:abstractNumId="6">
    <w:multiLevelType w:val="hybridMultilevel"/>
    <w:lvl w:ilvl="0">
      <w:start w:val="1"/>
      <w:numFmt w:val="upperLetter"/>
      <w:pStyle w:val="814"/>
      <w:isLgl w:val="false"/>
      <w:suff w:val="tab"/>
      <w:lvlText w:val="附录%1."/>
      <w:lvlJc w:val="left"/>
      <w:pPr>
        <w:pStyle w:val="73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pStyle w:val="734"/>
        <w:ind w:left="1080" w:hanging="1080"/>
        <w:tabs>
          <w:tab w:val="num" w:pos="1080" w:leader="none"/>
        </w:tabs>
      </w:pPr>
      <w:rPr>
        <w:rFonts w:hint="eastAsia" w:cs="Times New Roman"/>
      </w:rPr>
    </w:lvl>
    <w:lvl w:ilvl="1">
      <w:start w:val="1"/>
      <w:numFmt w:val="decimal"/>
      <w:isLgl w:val="false"/>
      <w:suff w:val="tab"/>
      <w:lvlText w:val="%2."/>
      <w:lvlJc w:val="left"/>
      <w:pPr>
        <w:pStyle w:val="734"/>
        <w:ind w:left="780" w:hanging="360"/>
        <w:tabs>
          <w:tab w:val="num" w:pos="780" w:leader="none"/>
        </w:tabs>
      </w:pPr>
      <w:rPr>
        <w:rFonts w:hint="eastAsia" w:cs="Times New Roman"/>
        <w:color w:val="000000"/>
      </w:rPr>
    </w:lvl>
    <w:lvl w:ilvl="2">
      <w:start w:val="1"/>
      <w:numFmt w:val="lowerRoman"/>
      <w:isLgl w:val="false"/>
      <w:suff w:val="tab"/>
      <w:lvlText w:val="%3."/>
      <w:lvlJc w:val="right"/>
      <w:pPr>
        <w:pStyle w:val="734"/>
        <w:ind w:left="1260" w:hanging="420"/>
        <w:tabs>
          <w:tab w:val="num" w:pos="1260" w:leader="none"/>
        </w:tabs>
      </w:pPr>
      <w:rPr>
        <w:rFonts w:cs="Times New Roman"/>
      </w:rPr>
    </w:lvl>
    <w:lvl w:ilvl="3">
      <w:start w:val="1"/>
      <w:numFmt w:val="decimal"/>
      <w:isLgl w:val="false"/>
      <w:suff w:val="tab"/>
      <w:lvlText w:val="%4."/>
      <w:lvlJc w:val="left"/>
      <w:pPr>
        <w:pStyle w:val="734"/>
        <w:ind w:left="1680" w:hanging="420"/>
        <w:tabs>
          <w:tab w:val="num" w:pos="1680" w:leader="none"/>
        </w:tabs>
      </w:pPr>
      <w:rPr>
        <w:rFonts w:cs="Times New Roman"/>
      </w:rPr>
    </w:lvl>
    <w:lvl w:ilvl="4">
      <w:start w:val="1"/>
      <w:numFmt w:val="lowerLetter"/>
      <w:isLgl w:val="false"/>
      <w:suff w:val="tab"/>
      <w:lvlText w:val="%5)"/>
      <w:lvlJc w:val="left"/>
      <w:pPr>
        <w:pStyle w:val="734"/>
        <w:ind w:left="2100" w:hanging="420"/>
        <w:tabs>
          <w:tab w:val="num" w:pos="2100" w:leader="none"/>
        </w:tabs>
      </w:pPr>
      <w:rPr>
        <w:rFonts w:cs="Times New Roman"/>
      </w:rPr>
    </w:lvl>
    <w:lvl w:ilvl="5">
      <w:start w:val="1"/>
      <w:numFmt w:val="lowerRoman"/>
      <w:isLgl w:val="false"/>
      <w:suff w:val="tab"/>
      <w:lvlText w:val="%6."/>
      <w:lvlJc w:val="right"/>
      <w:pPr>
        <w:pStyle w:val="734"/>
        <w:ind w:left="2520" w:hanging="420"/>
        <w:tabs>
          <w:tab w:val="num" w:pos="2520" w:leader="none"/>
        </w:tabs>
      </w:pPr>
      <w:rPr>
        <w:rFonts w:cs="Times New Roman"/>
      </w:rPr>
    </w:lvl>
    <w:lvl w:ilvl="6">
      <w:start w:val="1"/>
      <w:numFmt w:val="decimal"/>
      <w:isLgl w:val="false"/>
      <w:suff w:val="tab"/>
      <w:lvlText w:val="%7."/>
      <w:lvlJc w:val="left"/>
      <w:pPr>
        <w:pStyle w:val="734"/>
        <w:ind w:left="2940" w:hanging="420"/>
        <w:tabs>
          <w:tab w:val="num" w:pos="2940" w:leader="none"/>
        </w:tabs>
      </w:pPr>
      <w:rPr>
        <w:rFonts w:cs="Times New Roman"/>
      </w:rPr>
    </w:lvl>
    <w:lvl w:ilvl="7">
      <w:start w:val="1"/>
      <w:numFmt w:val="lowerLetter"/>
      <w:isLgl w:val="false"/>
      <w:suff w:val="tab"/>
      <w:lvlText w:val="%8)"/>
      <w:lvlJc w:val="left"/>
      <w:pPr>
        <w:pStyle w:val="734"/>
        <w:ind w:left="3360" w:hanging="420"/>
        <w:tabs>
          <w:tab w:val="num" w:pos="3360" w:leader="none"/>
        </w:tabs>
      </w:pPr>
      <w:rPr>
        <w:rFonts w:cs="Times New Roman"/>
      </w:rPr>
    </w:lvl>
    <w:lvl w:ilvl="8">
      <w:start w:val="1"/>
      <w:numFmt w:val="lowerRoman"/>
      <w:isLgl w:val="false"/>
      <w:suff w:val="tab"/>
      <w:lvlText w:val="%9."/>
      <w:lvlJc w:val="right"/>
      <w:pPr>
        <w:pStyle w:val="734"/>
        <w:ind w:left="3780" w:hanging="420"/>
        <w:tabs>
          <w:tab w:val="num" w:pos="3780" w:leader="none"/>
        </w:tabs>
      </w:pPr>
      <w:rPr>
        <w:rFonts w:cs="Times New Roman"/>
      </w:rPr>
    </w:lvl>
  </w:abstractNum>
  <w:abstractNum w:abstractNumId="8">
    <w:multiLevelType w:val="hybridMultilevel"/>
    <w:lvl w:ilvl="0">
      <w:start w:val="1"/>
      <w:numFmt w:val="chineseCounting"/>
      <w:isLgl w:val="false"/>
      <w:suff w:val="nothing"/>
      <w:lvlText w:val="%1、"/>
      <w:lvlJc w:val="left"/>
      <w:pPr>
        <w:pStyle w:val="734"/>
      </w:pPr>
      <w:rPr>
        <w:rFonts w:hint="eastAsia"/>
      </w:r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9">
    <w:multiLevelType w:val="hybridMultilevel"/>
    <w:lvl w:ilvl="0">
      <w:start w:val="1"/>
      <w:numFmt w:val="chineseCounting"/>
      <w:isLgl w:val="false"/>
      <w:suff w:val="nothing"/>
      <w:lvlText w:val="%1、"/>
      <w:lvlJc w:val="left"/>
      <w:pPr>
        <w:pStyle w:val="734"/>
        <w:ind w:left="0" w:firstLine="420"/>
      </w:pPr>
      <w:rPr>
        <w:rFonts w:hint="eastAsia"/>
      </w:r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pStyle w:val="734"/>
        <w:ind w:left="510" w:hanging="360"/>
        <w:tabs>
          <w:tab w:val="num" w:pos="510" w:leader="none"/>
        </w:tabs>
      </w:pPr>
      <w:rPr>
        <w:rFonts w:hint="eastAsia" w:cs="Times New Roman"/>
      </w:rPr>
    </w:lvl>
    <w:lvl w:ilvl="1">
      <w:start w:val="1"/>
      <w:numFmt w:val="decimal"/>
      <w:isLgl w:val="false"/>
      <w:suff w:val="tab"/>
      <w:lvlText w:val="%2．"/>
      <w:lvlJc w:val="left"/>
      <w:pPr>
        <w:pStyle w:val="734"/>
        <w:ind w:left="1290" w:hanging="720"/>
        <w:tabs>
          <w:tab w:val="num" w:pos="1290" w:leader="none"/>
        </w:tabs>
      </w:pPr>
      <w:rPr>
        <w:rFonts w:hint="eastAsia" w:cs="Times New Roman"/>
      </w:rPr>
    </w:lvl>
    <w:lvl w:ilvl="2">
      <w:start w:val="3"/>
      <w:numFmt w:val="decimal"/>
      <w:isLgl w:val="false"/>
      <w:suff w:val="tab"/>
      <w:lvlText w:val="（%3）"/>
      <w:lvlJc w:val="left"/>
      <w:pPr>
        <w:pStyle w:val="734"/>
        <w:ind w:left="1140" w:hanging="720"/>
        <w:tabs>
          <w:tab w:val="num" w:pos="1140" w:leader="none"/>
        </w:tabs>
      </w:pPr>
      <w:rPr>
        <w:rFonts w:hint="eastAsia" w:cs="Times New Roman"/>
      </w:rPr>
    </w:lvl>
    <w:lvl w:ilvl="3">
      <w:start w:val="1"/>
      <w:numFmt w:val="decimal"/>
      <w:isLgl w:val="false"/>
      <w:suff w:val="tab"/>
      <w:lvlText w:val="（%4）"/>
      <w:lvlJc w:val="left"/>
      <w:pPr>
        <w:pStyle w:val="73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34"/>
        <w:ind w:left="2250" w:hanging="420"/>
        <w:tabs>
          <w:tab w:val="num" w:pos="2250" w:leader="none"/>
        </w:tabs>
      </w:pPr>
      <w:rPr>
        <w:rFonts w:hint="eastAsia"/>
        <w:b/>
        <w:lang w:val="en-US"/>
      </w:rPr>
    </w:lvl>
    <w:lvl w:ilvl="5">
      <w:start w:val="10"/>
      <w:numFmt w:val="japaneseCounting"/>
      <w:isLgl w:val="false"/>
      <w:suff w:val="tab"/>
      <w:lvlText w:val="（%6）"/>
      <w:lvlJc w:val="left"/>
      <w:pPr>
        <w:pStyle w:val="734"/>
        <w:ind w:left="2970" w:hanging="720"/>
      </w:pPr>
      <w:rPr>
        <w:rFonts w:cs="Times New Roman"/>
      </w:rPr>
    </w:lvl>
    <w:lvl w:ilvl="6">
      <w:start w:val="1"/>
      <w:numFmt w:val="decimal"/>
      <w:isLgl w:val="false"/>
      <w:suff w:val="tab"/>
      <w:lvlText w:val="（%7）"/>
      <w:lvlJc w:val="left"/>
      <w:pPr>
        <w:pStyle w:val="734"/>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34"/>
        <w:ind w:left="3510" w:hanging="420"/>
        <w:tabs>
          <w:tab w:val="num" w:pos="3510" w:leader="none"/>
        </w:tabs>
      </w:pPr>
      <w:rPr>
        <w:rFonts w:cs="Times New Roman"/>
      </w:rPr>
    </w:lvl>
    <w:lvl w:ilvl="8">
      <w:start w:val="1"/>
      <w:numFmt w:val="lowerRoman"/>
      <w:isLgl w:val="false"/>
      <w:suff w:val="tab"/>
      <w:lvlText w:val="%9."/>
      <w:lvlJc w:val="right"/>
      <w:pPr>
        <w:pStyle w:val="734"/>
        <w:ind w:left="3930" w:hanging="420"/>
        <w:tabs>
          <w:tab w:val="num" w:pos="3930" w:leader="none"/>
        </w:tabs>
      </w:pPr>
      <w:rPr>
        <w:rFonts w:cs="Times New Roman"/>
      </w:rPr>
    </w:lvl>
  </w:abstractNum>
  <w:abstractNum w:abstractNumId="11">
    <w:multiLevelType w:val="hybridMultilevel"/>
    <w:lvl w:ilvl="0">
      <w:start w:val="1"/>
      <w:numFmt w:val="lowerLetter"/>
      <w:isLgl w:val="false"/>
      <w:suff w:val="tab"/>
      <w:lvlText w:val="%1)"/>
      <w:lvlJc w:val="left"/>
      <w:pPr>
        <w:pStyle w:val="734"/>
        <w:ind w:left="1"/>
      </w:pPr>
      <w:rPr>
        <w:rFonts w:ascii="宋体" w:hAnsi="宋体" w:eastAsia="宋体" w:cs="黑体"/>
        <w:b w:val="0"/>
        <w:i w:val="0"/>
        <w:strike w:val="0"/>
        <w:color w:val="000000"/>
        <w:sz w:val="18"/>
        <w:szCs w:val="18"/>
        <w:u w:val="none"/>
        <w:vertAlign w:val="baseline"/>
      </w:rPr>
    </w:lvl>
    <w:lvl w:ilvl="1">
      <w:start w:val="1"/>
      <w:numFmt w:val="lowerLetter"/>
      <w:isLgl w:val="false"/>
      <w:suff w:val="tab"/>
      <w:lvlText w:val="%2"/>
      <w:lvlJc w:val="left"/>
      <w:pPr>
        <w:pStyle w:val="734"/>
        <w:ind w:left="1189"/>
      </w:pPr>
      <w:rPr>
        <w:rFonts w:ascii="黑体" w:hAnsi="黑体" w:eastAsia="黑体" w:cs="黑体"/>
        <w:b w:val="0"/>
        <w:i w:val="0"/>
        <w:strike w:val="0"/>
        <w:color w:val="000000"/>
        <w:sz w:val="18"/>
        <w:szCs w:val="18"/>
        <w:u w:val="none"/>
        <w:vertAlign w:val="baseline"/>
      </w:rPr>
    </w:lvl>
    <w:lvl w:ilvl="2">
      <w:start w:val="1"/>
      <w:numFmt w:val="lowerRoman"/>
      <w:isLgl w:val="false"/>
      <w:suff w:val="tab"/>
      <w:lvlText w:val="%3"/>
      <w:lvlJc w:val="left"/>
      <w:pPr>
        <w:pStyle w:val="734"/>
        <w:ind w:left="1909"/>
      </w:pPr>
      <w:rPr>
        <w:rFonts w:ascii="黑体" w:hAnsi="黑体" w:eastAsia="黑体" w:cs="黑体"/>
        <w:b w:val="0"/>
        <w:i w:val="0"/>
        <w:strike w:val="0"/>
        <w:color w:val="000000"/>
        <w:sz w:val="18"/>
        <w:szCs w:val="18"/>
        <w:u w:val="none"/>
        <w:vertAlign w:val="baseline"/>
      </w:rPr>
    </w:lvl>
    <w:lvl w:ilvl="3">
      <w:start w:val="1"/>
      <w:numFmt w:val="decimal"/>
      <w:isLgl w:val="false"/>
      <w:suff w:val="tab"/>
      <w:lvlText w:val="%4"/>
      <w:lvlJc w:val="left"/>
      <w:pPr>
        <w:pStyle w:val="734"/>
        <w:ind w:left="2629"/>
      </w:pPr>
      <w:rPr>
        <w:rFonts w:ascii="黑体" w:hAnsi="黑体" w:eastAsia="黑体" w:cs="黑体"/>
        <w:b w:val="0"/>
        <w:i w:val="0"/>
        <w:strike w:val="0"/>
        <w:color w:val="000000"/>
        <w:sz w:val="18"/>
        <w:szCs w:val="18"/>
        <w:u w:val="none"/>
        <w:vertAlign w:val="baseline"/>
      </w:rPr>
    </w:lvl>
    <w:lvl w:ilvl="4">
      <w:start w:val="1"/>
      <w:numFmt w:val="lowerLetter"/>
      <w:isLgl w:val="false"/>
      <w:suff w:val="tab"/>
      <w:lvlText w:val="%5"/>
      <w:lvlJc w:val="left"/>
      <w:pPr>
        <w:pStyle w:val="734"/>
        <w:ind w:left="3349"/>
      </w:pPr>
      <w:rPr>
        <w:rFonts w:ascii="黑体" w:hAnsi="黑体" w:eastAsia="黑体" w:cs="黑体"/>
        <w:b w:val="0"/>
        <w:i w:val="0"/>
        <w:strike w:val="0"/>
        <w:color w:val="000000"/>
        <w:sz w:val="18"/>
        <w:szCs w:val="18"/>
        <w:u w:val="none"/>
        <w:vertAlign w:val="baseline"/>
      </w:rPr>
    </w:lvl>
    <w:lvl w:ilvl="5">
      <w:start w:val="1"/>
      <w:numFmt w:val="lowerRoman"/>
      <w:isLgl w:val="false"/>
      <w:suff w:val="tab"/>
      <w:lvlText w:val="%6"/>
      <w:lvlJc w:val="left"/>
      <w:pPr>
        <w:pStyle w:val="734"/>
        <w:ind w:left="4069"/>
      </w:pPr>
      <w:rPr>
        <w:rFonts w:ascii="黑体" w:hAnsi="黑体" w:eastAsia="黑体" w:cs="黑体"/>
        <w:b w:val="0"/>
        <w:i w:val="0"/>
        <w:strike w:val="0"/>
        <w:color w:val="000000"/>
        <w:sz w:val="18"/>
        <w:szCs w:val="18"/>
        <w:u w:val="none"/>
        <w:vertAlign w:val="baseline"/>
      </w:rPr>
    </w:lvl>
    <w:lvl w:ilvl="6">
      <w:start w:val="1"/>
      <w:numFmt w:val="decimal"/>
      <w:isLgl w:val="false"/>
      <w:suff w:val="tab"/>
      <w:lvlText w:val="%7"/>
      <w:lvlJc w:val="left"/>
      <w:pPr>
        <w:pStyle w:val="734"/>
        <w:ind w:left="4789"/>
      </w:pPr>
      <w:rPr>
        <w:rFonts w:ascii="黑体" w:hAnsi="黑体" w:eastAsia="黑体" w:cs="黑体"/>
        <w:b w:val="0"/>
        <w:i w:val="0"/>
        <w:strike w:val="0"/>
        <w:color w:val="000000"/>
        <w:sz w:val="18"/>
        <w:szCs w:val="18"/>
        <w:u w:val="none"/>
        <w:vertAlign w:val="baseline"/>
      </w:rPr>
    </w:lvl>
    <w:lvl w:ilvl="7">
      <w:start w:val="1"/>
      <w:numFmt w:val="lowerLetter"/>
      <w:isLgl w:val="false"/>
      <w:suff w:val="tab"/>
      <w:lvlText w:val="%8"/>
      <w:lvlJc w:val="left"/>
      <w:pPr>
        <w:pStyle w:val="734"/>
        <w:ind w:left="5509"/>
      </w:pPr>
      <w:rPr>
        <w:rFonts w:ascii="黑体" w:hAnsi="黑体" w:eastAsia="黑体" w:cs="黑体"/>
        <w:b w:val="0"/>
        <w:i w:val="0"/>
        <w:strike w:val="0"/>
        <w:color w:val="000000"/>
        <w:sz w:val="18"/>
        <w:szCs w:val="18"/>
        <w:u w:val="none"/>
        <w:vertAlign w:val="baseline"/>
      </w:rPr>
    </w:lvl>
    <w:lvl w:ilvl="8">
      <w:start w:val="1"/>
      <w:numFmt w:val="lowerRoman"/>
      <w:isLgl w:val="false"/>
      <w:suff w:val="tab"/>
      <w:lvlText w:val="%9"/>
      <w:lvlJc w:val="left"/>
      <w:pPr>
        <w:pStyle w:val="734"/>
        <w:ind w:left="6229"/>
      </w:pPr>
      <w:rPr>
        <w:rFonts w:ascii="黑体" w:hAnsi="黑体" w:eastAsia="黑体" w:cs="黑体"/>
        <w:b w:val="0"/>
        <w:i w:val="0"/>
        <w:strike w:val="0"/>
        <w:color w:val="000000"/>
        <w:sz w:val="18"/>
        <w:szCs w:val="18"/>
        <w:u w:val="none"/>
        <w:vertAlign w:val="baseline"/>
      </w:rPr>
    </w:lvl>
  </w:abstractNum>
  <w:abstractNum w:abstractNumId="12">
    <w:multiLevelType w:val="hybridMultilevel"/>
    <w:lvl w:ilvl="0">
      <w:start w:val="1"/>
      <w:numFmt w:val="decimal"/>
      <w:isLgl w:val="false"/>
      <w:suff w:val="tab"/>
      <w:lvlText w:val="%1."/>
      <w:lvlJc w:val="left"/>
      <w:pPr>
        <w:pStyle w:val="734"/>
        <w:ind w:left="510" w:hanging="360"/>
        <w:tabs>
          <w:tab w:val="num" w:pos="510" w:leader="none"/>
        </w:tabs>
      </w:pPr>
      <w:rPr>
        <w:rFonts w:hint="eastAsia" w:cs="Times New Roman"/>
      </w:rPr>
    </w:lvl>
    <w:lvl w:ilvl="1">
      <w:start w:val="1"/>
      <w:numFmt w:val="decimal"/>
      <w:isLgl w:val="false"/>
      <w:suff w:val="tab"/>
      <w:lvlText w:val="%2．"/>
      <w:lvlJc w:val="left"/>
      <w:pPr>
        <w:pStyle w:val="734"/>
        <w:ind w:left="1290" w:hanging="720"/>
        <w:tabs>
          <w:tab w:val="num" w:pos="1290" w:leader="none"/>
        </w:tabs>
      </w:pPr>
      <w:rPr>
        <w:rFonts w:hint="eastAsia" w:cs="Times New Roman"/>
      </w:rPr>
    </w:lvl>
    <w:lvl w:ilvl="2">
      <w:start w:val="3"/>
      <w:numFmt w:val="decimal"/>
      <w:isLgl w:val="false"/>
      <w:suff w:val="tab"/>
      <w:lvlText w:val="（%3）"/>
      <w:lvlJc w:val="left"/>
      <w:pPr>
        <w:pStyle w:val="734"/>
        <w:ind w:left="1140" w:hanging="720"/>
        <w:tabs>
          <w:tab w:val="num" w:pos="1140" w:leader="none"/>
        </w:tabs>
      </w:pPr>
      <w:rPr>
        <w:rFonts w:hint="eastAsia" w:cs="Times New Roman"/>
      </w:rPr>
    </w:lvl>
    <w:lvl w:ilvl="3">
      <w:start w:val="1"/>
      <w:numFmt w:val="decimal"/>
      <w:isLgl w:val="false"/>
      <w:suff w:val="tab"/>
      <w:lvlText w:val="（%4）"/>
      <w:lvlJc w:val="left"/>
      <w:pPr>
        <w:pStyle w:val="73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34"/>
        <w:ind w:left="2250" w:hanging="420"/>
        <w:tabs>
          <w:tab w:val="num" w:pos="2250" w:leader="none"/>
        </w:tabs>
      </w:pPr>
      <w:rPr>
        <w:rFonts w:hint="eastAsia"/>
        <w:b/>
        <w:lang w:val="en-US"/>
      </w:rPr>
    </w:lvl>
    <w:lvl w:ilvl="5">
      <w:start w:val="10"/>
      <w:numFmt w:val="japaneseCounting"/>
      <w:isLgl w:val="false"/>
      <w:suff w:val="tab"/>
      <w:lvlText w:val="（%6）"/>
      <w:lvlJc w:val="left"/>
      <w:pPr>
        <w:pStyle w:val="734"/>
        <w:ind w:left="2970" w:hanging="720"/>
      </w:pPr>
      <w:rPr>
        <w:rFonts w:cs="Times New Roman"/>
      </w:rPr>
    </w:lvl>
    <w:lvl w:ilvl="6">
      <w:start w:val="1"/>
      <w:numFmt w:val="decimal"/>
      <w:isLgl w:val="false"/>
      <w:suff w:val="tab"/>
      <w:lvlText w:val="（%7）"/>
      <w:lvlJc w:val="left"/>
      <w:pPr>
        <w:pStyle w:val="734"/>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34"/>
        <w:ind w:left="3510" w:hanging="420"/>
        <w:tabs>
          <w:tab w:val="num" w:pos="3510" w:leader="none"/>
        </w:tabs>
      </w:pPr>
      <w:rPr>
        <w:rFonts w:cs="Times New Roman"/>
      </w:rPr>
    </w:lvl>
    <w:lvl w:ilvl="8">
      <w:start w:val="1"/>
      <w:numFmt w:val="lowerRoman"/>
      <w:isLgl w:val="false"/>
      <w:suff w:val="tab"/>
      <w:lvlText w:val="%9."/>
      <w:lvlJc w:val="right"/>
      <w:pPr>
        <w:pStyle w:val="734"/>
        <w:ind w:left="3930" w:hanging="420"/>
        <w:tabs>
          <w:tab w:val="num" w:pos="3930" w:leader="none"/>
        </w:tabs>
      </w:pPr>
      <w:rPr>
        <w:rFonts w:cs="Times New Roman"/>
      </w:rPr>
    </w:lvl>
  </w:abstractNum>
  <w:abstractNum w:abstractNumId="13">
    <w:multiLevelType w:val="hybridMultilevel"/>
    <w:lvl w:ilvl="0">
      <w:start w:val="1"/>
      <w:numFmt w:val="lowerLetter"/>
      <w:isLgl w:val="false"/>
      <w:suff w:val="tab"/>
      <w:lvlText w:val="%1)"/>
      <w:lvlJc w:val="left"/>
      <w:pPr>
        <w:pStyle w:val="734"/>
        <w:ind w:left="1"/>
      </w:pPr>
      <w:rPr>
        <w:rFonts w:ascii="黑体" w:hAnsi="黑体" w:eastAsia="黑体" w:cs="黑体"/>
        <w:b w:val="0"/>
        <w:i w:val="0"/>
        <w:strike w:val="0"/>
        <w:color w:val="000000"/>
        <w:sz w:val="18"/>
        <w:szCs w:val="18"/>
        <w:u w:val="none"/>
        <w:shd w:val="clear" w:color="auto" w:fill="auto"/>
        <w:vertAlign w:val="baseline"/>
      </w:rPr>
    </w:lvl>
    <w:lvl w:ilvl="1">
      <w:start w:val="1"/>
      <w:numFmt w:val="lowerLetter"/>
      <w:isLgl w:val="false"/>
      <w:suff w:val="tab"/>
      <w:lvlText w:val="%2"/>
      <w:lvlJc w:val="left"/>
      <w:pPr>
        <w:pStyle w:val="734"/>
        <w:ind w:left="1189"/>
      </w:pPr>
      <w:rPr>
        <w:rFonts w:ascii="黑体" w:hAnsi="黑体" w:eastAsia="黑体" w:cs="黑体"/>
        <w:b w:val="0"/>
        <w:i w:val="0"/>
        <w:strike w:val="0"/>
        <w:color w:val="000000"/>
        <w:sz w:val="18"/>
        <w:szCs w:val="18"/>
        <w:u w:val="none"/>
        <w:shd w:val="clear" w:color="auto" w:fill="auto"/>
        <w:vertAlign w:val="baseline"/>
      </w:rPr>
    </w:lvl>
    <w:lvl w:ilvl="2">
      <w:start w:val="1"/>
      <w:numFmt w:val="lowerRoman"/>
      <w:isLgl w:val="false"/>
      <w:suff w:val="tab"/>
      <w:lvlText w:val="%3"/>
      <w:lvlJc w:val="left"/>
      <w:pPr>
        <w:pStyle w:val="734"/>
        <w:ind w:left="1909"/>
      </w:pPr>
      <w:rPr>
        <w:rFonts w:ascii="黑体" w:hAnsi="黑体" w:eastAsia="黑体" w:cs="黑体"/>
        <w:b w:val="0"/>
        <w:i w:val="0"/>
        <w:strike w:val="0"/>
        <w:color w:val="000000"/>
        <w:sz w:val="18"/>
        <w:szCs w:val="18"/>
        <w:u w:val="none"/>
        <w:shd w:val="clear" w:color="auto" w:fill="auto"/>
        <w:vertAlign w:val="baseline"/>
      </w:rPr>
    </w:lvl>
    <w:lvl w:ilvl="3">
      <w:start w:val="1"/>
      <w:numFmt w:val="decimal"/>
      <w:isLgl w:val="false"/>
      <w:suff w:val="tab"/>
      <w:lvlText w:val="%4"/>
      <w:lvlJc w:val="left"/>
      <w:pPr>
        <w:pStyle w:val="734"/>
        <w:ind w:left="2629"/>
      </w:pPr>
      <w:rPr>
        <w:rFonts w:ascii="黑体" w:hAnsi="黑体" w:eastAsia="黑体" w:cs="黑体"/>
        <w:b w:val="0"/>
        <w:i w:val="0"/>
        <w:strike w:val="0"/>
        <w:color w:val="000000"/>
        <w:sz w:val="18"/>
        <w:szCs w:val="18"/>
        <w:u w:val="none"/>
        <w:shd w:val="clear" w:color="auto" w:fill="auto"/>
        <w:vertAlign w:val="baseline"/>
      </w:rPr>
    </w:lvl>
    <w:lvl w:ilvl="4">
      <w:start w:val="1"/>
      <w:numFmt w:val="lowerLetter"/>
      <w:isLgl w:val="false"/>
      <w:suff w:val="tab"/>
      <w:lvlText w:val="%5"/>
      <w:lvlJc w:val="left"/>
      <w:pPr>
        <w:pStyle w:val="734"/>
        <w:ind w:left="3349"/>
      </w:pPr>
      <w:rPr>
        <w:rFonts w:ascii="黑体" w:hAnsi="黑体" w:eastAsia="黑体" w:cs="黑体"/>
        <w:b w:val="0"/>
        <w:i w:val="0"/>
        <w:strike w:val="0"/>
        <w:color w:val="000000"/>
        <w:sz w:val="18"/>
        <w:szCs w:val="18"/>
        <w:u w:val="none"/>
        <w:shd w:val="clear" w:color="auto" w:fill="auto"/>
        <w:vertAlign w:val="baseline"/>
      </w:rPr>
    </w:lvl>
    <w:lvl w:ilvl="5">
      <w:start w:val="1"/>
      <w:numFmt w:val="lowerRoman"/>
      <w:isLgl w:val="false"/>
      <w:suff w:val="tab"/>
      <w:lvlText w:val="%6"/>
      <w:lvlJc w:val="left"/>
      <w:pPr>
        <w:pStyle w:val="734"/>
        <w:ind w:left="4069"/>
      </w:pPr>
      <w:rPr>
        <w:rFonts w:ascii="黑体" w:hAnsi="黑体" w:eastAsia="黑体" w:cs="黑体"/>
        <w:b w:val="0"/>
        <w:i w:val="0"/>
        <w:strike w:val="0"/>
        <w:color w:val="000000"/>
        <w:sz w:val="18"/>
        <w:szCs w:val="18"/>
        <w:u w:val="none"/>
        <w:shd w:val="clear" w:color="auto" w:fill="auto"/>
        <w:vertAlign w:val="baseline"/>
      </w:rPr>
    </w:lvl>
    <w:lvl w:ilvl="6">
      <w:start w:val="1"/>
      <w:numFmt w:val="decimal"/>
      <w:isLgl w:val="false"/>
      <w:suff w:val="tab"/>
      <w:lvlText w:val="%7"/>
      <w:lvlJc w:val="left"/>
      <w:pPr>
        <w:pStyle w:val="734"/>
        <w:ind w:left="4789"/>
      </w:pPr>
      <w:rPr>
        <w:rFonts w:ascii="黑体" w:hAnsi="黑体" w:eastAsia="黑体" w:cs="黑体"/>
        <w:b w:val="0"/>
        <w:i w:val="0"/>
        <w:strike w:val="0"/>
        <w:color w:val="000000"/>
        <w:sz w:val="18"/>
        <w:szCs w:val="18"/>
        <w:u w:val="none"/>
        <w:shd w:val="clear" w:color="auto" w:fill="auto"/>
        <w:vertAlign w:val="baseline"/>
      </w:rPr>
    </w:lvl>
    <w:lvl w:ilvl="7">
      <w:start w:val="1"/>
      <w:numFmt w:val="lowerLetter"/>
      <w:isLgl w:val="false"/>
      <w:suff w:val="tab"/>
      <w:lvlText w:val="%8"/>
      <w:lvlJc w:val="left"/>
      <w:pPr>
        <w:pStyle w:val="734"/>
        <w:ind w:left="5509"/>
      </w:pPr>
      <w:rPr>
        <w:rFonts w:ascii="黑体" w:hAnsi="黑体" w:eastAsia="黑体" w:cs="黑体"/>
        <w:b w:val="0"/>
        <w:i w:val="0"/>
        <w:strike w:val="0"/>
        <w:color w:val="000000"/>
        <w:sz w:val="18"/>
        <w:szCs w:val="18"/>
        <w:u w:val="none"/>
        <w:shd w:val="clear" w:color="auto" w:fill="auto"/>
        <w:vertAlign w:val="baseline"/>
      </w:rPr>
    </w:lvl>
    <w:lvl w:ilvl="8">
      <w:start w:val="1"/>
      <w:numFmt w:val="lowerRoman"/>
      <w:isLgl w:val="false"/>
      <w:suff w:val="tab"/>
      <w:lvlText w:val="%9"/>
      <w:lvlJc w:val="left"/>
      <w:pPr>
        <w:pStyle w:val="734"/>
        <w:ind w:left="6229"/>
      </w:pPr>
      <w:rPr>
        <w:rFonts w:ascii="黑体" w:hAnsi="黑体" w:eastAsia="黑体" w:cs="黑体"/>
        <w:b w:val="0"/>
        <w:i w:val="0"/>
        <w:strike w:val="0"/>
        <w:color w:val="000000"/>
        <w:sz w:val="18"/>
        <w:szCs w:val="18"/>
        <w:u w:val="none"/>
        <w:shd w:val="clear" w:color="auto" w:fill="auto"/>
        <w:vertAlign w:val="baseline"/>
      </w:rPr>
    </w:lvl>
  </w:abstractNum>
  <w:abstractNum w:abstractNumId="14">
    <w:multiLevelType w:val="hybridMultilevel"/>
    <w:lvl w:ilvl="0">
      <w:start w:val="1"/>
      <w:numFmt w:val="decimal"/>
      <w:isLgl w:val="false"/>
      <w:suff w:val="nothing"/>
      <w:lvlText w:val="%1  "/>
      <w:lvlJc w:val="left"/>
      <w:pPr>
        <w:pStyle w:val="734"/>
        <w:ind w:left="0" w:firstLine="0"/>
      </w:pPr>
      <w:rPr>
        <w:rFonts w:ascii="Arial" w:hAnsi="Arial" w:eastAsia="黑体"/>
        <w:b w:val="0"/>
        <w:i w:val="0"/>
        <w:sz w:val="36"/>
        <w:szCs w:val="36"/>
      </w:rPr>
    </w:lvl>
    <w:lvl w:ilvl="1">
      <w:start w:val="1"/>
      <w:numFmt w:val="decimal"/>
      <w:isLgl w:val="false"/>
      <w:suff w:val="nothing"/>
      <w:lvlText w:val="%1.%2  "/>
      <w:lvlJc w:val="left"/>
      <w:pPr>
        <w:pStyle w:val="734"/>
        <w:ind w:left="0" w:firstLine="0"/>
      </w:pPr>
      <w:rPr>
        <w:rFonts w:ascii="Arial" w:hAnsi="Arial"/>
        <w:b w:val="0"/>
        <w:i w:val="0"/>
        <w:sz w:val="30"/>
        <w:szCs w:val="30"/>
      </w:rPr>
    </w:lvl>
    <w:lvl w:ilvl="2">
      <w:start w:val="1"/>
      <w:numFmt w:val="decimal"/>
      <w:isLgl w:val="false"/>
      <w:suff w:val="nothing"/>
      <w:lvlText w:val="%1.%2.%3  "/>
      <w:lvlJc w:val="left"/>
      <w:pPr>
        <w:pStyle w:val="734"/>
        <w:ind w:left="0" w:firstLine="0"/>
      </w:pPr>
      <w:rPr>
        <w:rFonts w:ascii="Arial" w:hAnsi="Arial"/>
        <w:b w:val="0"/>
        <w:i w:val="0"/>
        <w:sz w:val="24"/>
        <w:szCs w:val="24"/>
      </w:rPr>
    </w:lvl>
    <w:lvl w:ilvl="3">
      <w:start w:val="1"/>
      <w:numFmt w:val="decimal"/>
      <w:isLgl w:val="false"/>
      <w:suff w:val="nothing"/>
      <w:lvlText w:val="%1.%2.%3.%4  "/>
      <w:lvlJc w:val="left"/>
      <w:pPr>
        <w:pStyle w:val="734"/>
        <w:ind w:left="0" w:firstLine="0"/>
      </w:pPr>
      <w:rPr>
        <w:rFonts w:ascii="Arial" w:hAnsi="Arial"/>
        <w:b w:val="0"/>
        <w:i w:val="0"/>
        <w:sz w:val="21"/>
        <w:szCs w:val="21"/>
      </w:rPr>
    </w:lvl>
    <w:lvl w:ilvl="4">
      <w:start w:val="1"/>
      <w:numFmt w:val="decimal"/>
      <w:isLgl w:val="false"/>
      <w:suff w:val="tab"/>
      <w:lvlText w:val="%5."/>
      <w:lvlJc w:val="left"/>
      <w:pPr>
        <w:pStyle w:val="734"/>
        <w:ind w:left="1134" w:hanging="312"/>
        <w:tabs>
          <w:tab w:val="num" w:pos="1134" w:leader="none"/>
        </w:tabs>
      </w:pPr>
      <w:rPr>
        <w:rFonts w:ascii="Arial" w:hAnsi="Arial"/>
        <w:b w:val="0"/>
        <w:i w:val="0"/>
        <w:sz w:val="21"/>
        <w:szCs w:val="21"/>
      </w:rPr>
    </w:lvl>
    <w:lvl w:ilvl="5">
      <w:start w:val="1"/>
      <w:numFmt w:val="decimal"/>
      <w:isLgl w:val="false"/>
      <w:suff w:val="tab"/>
      <w:lvlText w:val="%6)"/>
      <w:lvlJc w:val="left"/>
      <w:pPr>
        <w:pStyle w:val="734"/>
        <w:ind w:left="1134" w:hanging="312"/>
        <w:tabs>
          <w:tab w:val="num" w:pos="1134" w:leader="none"/>
        </w:tabs>
      </w:pPr>
      <w:rPr>
        <w:rFonts w:ascii="Arial" w:hAnsi="Arial"/>
        <w:b w:val="0"/>
        <w:i w:val="0"/>
        <w:sz w:val="21"/>
        <w:szCs w:val="21"/>
      </w:rPr>
    </w:lvl>
    <w:lvl w:ilvl="6">
      <w:start w:val="1"/>
      <w:numFmt w:val="lowerLetter"/>
      <w:isLgl w:val="false"/>
      <w:suff w:val="tab"/>
      <w:lvlText w:val="%7."/>
      <w:lvlJc w:val="left"/>
      <w:pPr>
        <w:pStyle w:val="734"/>
        <w:ind w:left="1134" w:hanging="312"/>
        <w:tabs>
          <w:tab w:val="num" w:pos="1134" w:leader="none"/>
        </w:tabs>
      </w:pPr>
      <w:rPr>
        <w:rFonts w:ascii="Arial" w:hAnsi="Arial"/>
        <w:b w:val="0"/>
        <w:i w:val="0"/>
        <w:sz w:val="21"/>
        <w:szCs w:val="21"/>
      </w:rPr>
    </w:lvl>
    <w:lvl w:ilvl="7">
      <w:start w:val="1"/>
      <w:numFmt w:val="decimal"/>
      <w:pStyle w:val="1017"/>
      <w:isLgl w:val="false"/>
      <w:suff w:val="space"/>
      <w:lvlText w:val="图%8"/>
      <w:lvlJc w:val="center"/>
      <w:pPr>
        <w:pStyle w:val="734"/>
        <w:ind w:left="0" w:firstLine="0"/>
      </w:pPr>
      <w:rPr>
        <w:rFonts w:ascii="Arial" w:hAnsi="Arial" w:eastAsia="黑体"/>
        <w:b w:val="0"/>
        <w:i w:val="0"/>
        <w:sz w:val="18"/>
        <w:szCs w:val="18"/>
      </w:rPr>
    </w:lvl>
    <w:lvl w:ilvl="8">
      <w:start w:val="1"/>
      <w:numFmt w:val="decimal"/>
      <w:pStyle w:val="1015"/>
      <w:isLgl w:val="false"/>
      <w:suff w:val="space"/>
      <w:lvlText w:val="表%9"/>
      <w:lvlJc w:val="center"/>
      <w:pPr>
        <w:pStyle w:val="734"/>
        <w:ind w:left="0" w:firstLine="0"/>
      </w:pPr>
      <w:rPr>
        <w:rFonts w:ascii="Arial" w:hAnsi="Arial" w:eastAsia="黑体"/>
        <w:b w:val="0"/>
        <w:i w:val="0"/>
        <w:sz w:val="18"/>
        <w:szCs w:val="18"/>
      </w:rPr>
    </w:lvl>
  </w:abstractNum>
  <w:abstractNum w:abstractNumId="15">
    <w:multiLevelType w:val="hybridMultilevel"/>
    <w:lvl w:ilvl="0">
      <w:start w:val="1"/>
      <w:numFmt w:val="japaneseCounting"/>
      <w:isLgl w:val="false"/>
      <w:suff w:val="tab"/>
      <w:lvlText w:val="第%1条"/>
      <w:lvlJc w:val="left"/>
      <w:pPr>
        <w:pStyle w:val="734"/>
        <w:ind w:left="1505" w:hanging="945"/>
        <w:tabs>
          <w:tab w:val="num" w:pos="1505" w:leader="none"/>
        </w:tabs>
      </w:pPr>
      <w:rPr>
        <w:rFonts w:hint="eastAsia"/>
      </w:rPr>
    </w:lvl>
    <w:lvl w:ilvl="1">
      <w:start w:val="1"/>
      <w:numFmt w:val="decimal"/>
      <w:isLgl w:val="false"/>
      <w:suff w:val="tab"/>
      <w:lvlText w:val="%2、"/>
      <w:lvlJc w:val="left"/>
      <w:pPr>
        <w:pStyle w:val="734"/>
        <w:ind w:left="1340" w:hanging="360"/>
        <w:tabs>
          <w:tab w:val="num" w:pos="1340" w:leader="none"/>
        </w:tabs>
      </w:pPr>
      <w:rPr>
        <w:rFonts w:hint="eastAsia"/>
      </w:rPr>
    </w:lvl>
    <w:lvl w:ilvl="2">
      <w:start w:val="1"/>
      <w:numFmt w:val="japaneseCounting"/>
      <w:isLgl w:val="false"/>
      <w:suff w:val="tab"/>
      <w:lvlText w:val="%3、"/>
      <w:lvlJc w:val="left"/>
      <w:pPr>
        <w:pStyle w:val="734"/>
        <w:ind w:left="1820" w:hanging="420"/>
        <w:tabs>
          <w:tab w:val="num" w:pos="1820" w:leader="none"/>
        </w:tabs>
      </w:pPr>
      <w:rPr>
        <w:rFonts w:hint="eastAsia"/>
      </w:rPr>
    </w:lvl>
    <w:lvl w:ilvl="3">
      <w:start w:val="1"/>
      <w:numFmt w:val="decimal"/>
      <w:isLgl w:val="false"/>
      <w:suff w:val="tab"/>
      <w:lvlText w:val="%4."/>
      <w:lvlJc w:val="left"/>
      <w:pPr>
        <w:pStyle w:val="734"/>
        <w:ind w:left="2240" w:hanging="420"/>
        <w:tabs>
          <w:tab w:val="num" w:pos="2240" w:leader="none"/>
        </w:tabs>
      </w:pPr>
    </w:lvl>
    <w:lvl w:ilvl="4">
      <w:start w:val="1"/>
      <w:numFmt w:val="lowerLetter"/>
      <w:isLgl w:val="false"/>
      <w:suff w:val="tab"/>
      <w:lvlText w:val="%5)"/>
      <w:lvlJc w:val="left"/>
      <w:pPr>
        <w:pStyle w:val="734"/>
        <w:ind w:left="2660" w:hanging="420"/>
        <w:tabs>
          <w:tab w:val="num" w:pos="2660" w:leader="none"/>
        </w:tabs>
      </w:pPr>
    </w:lvl>
    <w:lvl w:ilvl="5">
      <w:start w:val="1"/>
      <w:numFmt w:val="lowerRoman"/>
      <w:isLgl w:val="false"/>
      <w:suff w:val="tab"/>
      <w:lvlText w:val="%6."/>
      <w:lvlJc w:val="right"/>
      <w:pPr>
        <w:pStyle w:val="734"/>
        <w:ind w:left="3080" w:hanging="420"/>
        <w:tabs>
          <w:tab w:val="num" w:pos="3080" w:leader="none"/>
        </w:tabs>
      </w:pPr>
    </w:lvl>
    <w:lvl w:ilvl="6">
      <w:start w:val="1"/>
      <w:numFmt w:val="decimal"/>
      <w:isLgl w:val="false"/>
      <w:suff w:val="tab"/>
      <w:lvlText w:val="%7."/>
      <w:lvlJc w:val="left"/>
      <w:pPr>
        <w:pStyle w:val="734"/>
        <w:ind w:left="3500" w:hanging="420"/>
        <w:tabs>
          <w:tab w:val="num" w:pos="3500" w:leader="none"/>
        </w:tabs>
      </w:pPr>
    </w:lvl>
    <w:lvl w:ilvl="7">
      <w:start w:val="1"/>
      <w:numFmt w:val="lowerLetter"/>
      <w:isLgl w:val="false"/>
      <w:suff w:val="tab"/>
      <w:lvlText w:val="%8)"/>
      <w:lvlJc w:val="left"/>
      <w:pPr>
        <w:pStyle w:val="734"/>
        <w:ind w:left="3920" w:hanging="420"/>
        <w:tabs>
          <w:tab w:val="num" w:pos="3920" w:leader="none"/>
        </w:tabs>
      </w:pPr>
    </w:lvl>
    <w:lvl w:ilvl="8">
      <w:start w:val="1"/>
      <w:numFmt w:val="lowerRoman"/>
      <w:isLgl w:val="false"/>
      <w:suff w:val="tab"/>
      <w:lvlText w:val="%9."/>
      <w:lvlJc w:val="right"/>
      <w:pPr>
        <w:pStyle w:val="734"/>
        <w:ind w:left="4340" w:hanging="420"/>
        <w:tabs>
          <w:tab w:val="num" w:pos="4340" w:leader="none"/>
        </w:tabs>
      </w:pPr>
    </w:lvl>
  </w:abstractNum>
  <w:abstractNum w:abstractNumId="16">
    <w:multiLevelType w:val="hybridMultilevel"/>
    <w:lvl w:ilvl="0">
      <w:start w:val="1"/>
      <w:numFmt w:val="decimal"/>
      <w:isLgl w:val="false"/>
      <w:suff w:val="tab"/>
      <w:lvlText w:val="%1."/>
      <w:lvlJc w:val="left"/>
      <w:pPr>
        <w:pStyle w:val="734"/>
        <w:ind w:left="510" w:hanging="360"/>
        <w:tabs>
          <w:tab w:val="num" w:pos="510" w:leader="none"/>
        </w:tabs>
      </w:pPr>
      <w:rPr>
        <w:rFonts w:hint="eastAsia" w:cs="Times New Roman"/>
      </w:rPr>
    </w:lvl>
    <w:lvl w:ilvl="1">
      <w:start w:val="1"/>
      <w:numFmt w:val="decimal"/>
      <w:isLgl w:val="false"/>
      <w:suff w:val="tab"/>
      <w:lvlText w:val="%2．"/>
      <w:lvlJc w:val="left"/>
      <w:pPr>
        <w:pStyle w:val="734"/>
        <w:ind w:left="1290" w:hanging="720"/>
        <w:tabs>
          <w:tab w:val="num" w:pos="1290" w:leader="none"/>
        </w:tabs>
      </w:pPr>
      <w:rPr>
        <w:rFonts w:hint="eastAsia" w:cs="Times New Roman"/>
      </w:rPr>
    </w:lvl>
    <w:lvl w:ilvl="2">
      <w:start w:val="3"/>
      <w:numFmt w:val="decimal"/>
      <w:isLgl w:val="false"/>
      <w:suff w:val="tab"/>
      <w:lvlText w:val="（%3）"/>
      <w:lvlJc w:val="left"/>
      <w:pPr>
        <w:pStyle w:val="734"/>
        <w:ind w:left="1140" w:hanging="720"/>
        <w:tabs>
          <w:tab w:val="num" w:pos="1140" w:leader="none"/>
        </w:tabs>
      </w:pPr>
      <w:rPr>
        <w:rFonts w:hint="eastAsia" w:cs="Times New Roman"/>
      </w:rPr>
    </w:lvl>
    <w:lvl w:ilvl="3">
      <w:start w:val="1"/>
      <w:numFmt w:val="decimal"/>
      <w:isLgl w:val="false"/>
      <w:suff w:val="tab"/>
      <w:lvlText w:val="（%4）"/>
      <w:lvlJc w:val="left"/>
      <w:pPr>
        <w:pStyle w:val="73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34"/>
        <w:ind w:left="2250" w:hanging="420"/>
        <w:tabs>
          <w:tab w:val="num" w:pos="2250" w:leader="none"/>
        </w:tabs>
      </w:pPr>
      <w:rPr>
        <w:rFonts w:hint="eastAsia"/>
        <w:b/>
        <w:lang w:val="en-US"/>
      </w:rPr>
    </w:lvl>
    <w:lvl w:ilvl="5">
      <w:start w:val="10"/>
      <w:numFmt w:val="japaneseCounting"/>
      <w:isLgl w:val="false"/>
      <w:suff w:val="tab"/>
      <w:lvlText w:val="（%6）"/>
      <w:lvlJc w:val="left"/>
      <w:pPr>
        <w:pStyle w:val="734"/>
        <w:ind w:left="2970" w:hanging="720"/>
      </w:pPr>
      <w:rPr>
        <w:rFonts w:cs="Times New Roman"/>
      </w:rPr>
    </w:lvl>
    <w:lvl w:ilvl="6">
      <w:start w:val="1"/>
      <w:numFmt w:val="decimal"/>
      <w:isLgl w:val="false"/>
      <w:suff w:val="tab"/>
      <w:lvlText w:val="（%7）"/>
      <w:lvlJc w:val="left"/>
      <w:pPr>
        <w:pStyle w:val="734"/>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34"/>
        <w:ind w:left="3510" w:hanging="420"/>
        <w:tabs>
          <w:tab w:val="num" w:pos="3510" w:leader="none"/>
        </w:tabs>
      </w:pPr>
      <w:rPr>
        <w:rFonts w:cs="Times New Roman"/>
      </w:rPr>
    </w:lvl>
    <w:lvl w:ilvl="8">
      <w:start w:val="1"/>
      <w:numFmt w:val="lowerRoman"/>
      <w:isLgl w:val="false"/>
      <w:suff w:val="tab"/>
      <w:lvlText w:val="%9."/>
      <w:lvlJc w:val="right"/>
      <w:pPr>
        <w:pStyle w:val="734"/>
        <w:ind w:left="3930" w:hanging="420"/>
        <w:tabs>
          <w:tab w:val="num" w:pos="3930" w:leader="none"/>
        </w:tabs>
      </w:pPr>
      <w:rPr>
        <w:rFonts w:cs="Times New Roman"/>
      </w:rPr>
    </w:lvl>
  </w:abstractNum>
  <w:abstractNum w:abstractNumId="17">
    <w:multiLevelType w:val="hybridMultilevel"/>
    <w:lvl w:ilvl="0">
      <w:start w:val="8"/>
      <w:numFmt w:val="japaneseCounting"/>
      <w:isLgl w:val="false"/>
      <w:suff w:val="tab"/>
      <w:lvlText w:val="（%1）"/>
      <w:lvlJc w:val="left"/>
      <w:pPr>
        <w:pStyle w:val="734"/>
        <w:ind w:left="1239" w:hanging="720"/>
      </w:pPr>
      <w:rPr>
        <w:rFonts w:hAnsi="宋体"/>
      </w:rPr>
    </w:lvl>
    <w:lvl w:ilvl="1">
      <w:start w:val="1"/>
      <w:numFmt w:val="lowerLetter"/>
      <w:isLgl w:val="false"/>
      <w:suff w:val="tab"/>
      <w:lvlText w:val="%2)"/>
      <w:lvlJc w:val="left"/>
      <w:pPr>
        <w:pStyle w:val="734"/>
        <w:ind w:left="1359" w:hanging="420"/>
      </w:pPr>
    </w:lvl>
    <w:lvl w:ilvl="2">
      <w:start w:val="1"/>
      <w:numFmt w:val="lowerRoman"/>
      <w:isLgl w:val="false"/>
      <w:suff w:val="tab"/>
      <w:lvlText w:val="%3."/>
      <w:lvlJc w:val="right"/>
      <w:pPr>
        <w:pStyle w:val="734"/>
        <w:ind w:left="1779" w:hanging="420"/>
      </w:pPr>
    </w:lvl>
    <w:lvl w:ilvl="3">
      <w:start w:val="1"/>
      <w:numFmt w:val="decimal"/>
      <w:isLgl w:val="false"/>
      <w:suff w:val="tab"/>
      <w:lvlText w:val="%4."/>
      <w:lvlJc w:val="left"/>
      <w:pPr>
        <w:pStyle w:val="734"/>
        <w:ind w:left="2199" w:hanging="420"/>
      </w:pPr>
    </w:lvl>
    <w:lvl w:ilvl="4">
      <w:start w:val="1"/>
      <w:numFmt w:val="lowerLetter"/>
      <w:isLgl w:val="false"/>
      <w:suff w:val="tab"/>
      <w:lvlText w:val="%5)"/>
      <w:lvlJc w:val="left"/>
      <w:pPr>
        <w:pStyle w:val="734"/>
        <w:ind w:left="2619" w:hanging="420"/>
      </w:pPr>
    </w:lvl>
    <w:lvl w:ilvl="5">
      <w:start w:val="1"/>
      <w:numFmt w:val="lowerRoman"/>
      <w:isLgl w:val="false"/>
      <w:suff w:val="tab"/>
      <w:lvlText w:val="%6."/>
      <w:lvlJc w:val="right"/>
      <w:pPr>
        <w:pStyle w:val="734"/>
        <w:ind w:left="3039" w:hanging="420"/>
      </w:pPr>
    </w:lvl>
    <w:lvl w:ilvl="6">
      <w:start w:val="1"/>
      <w:numFmt w:val="decimal"/>
      <w:isLgl w:val="false"/>
      <w:suff w:val="tab"/>
      <w:lvlText w:val="%7."/>
      <w:lvlJc w:val="left"/>
      <w:pPr>
        <w:pStyle w:val="734"/>
        <w:ind w:left="3459" w:hanging="420"/>
      </w:pPr>
    </w:lvl>
    <w:lvl w:ilvl="7">
      <w:start w:val="1"/>
      <w:numFmt w:val="lowerLetter"/>
      <w:isLgl w:val="false"/>
      <w:suff w:val="tab"/>
      <w:lvlText w:val="%8)"/>
      <w:lvlJc w:val="left"/>
      <w:pPr>
        <w:pStyle w:val="734"/>
        <w:ind w:left="3879" w:hanging="420"/>
      </w:pPr>
    </w:lvl>
    <w:lvl w:ilvl="8">
      <w:start w:val="1"/>
      <w:numFmt w:val="lowerRoman"/>
      <w:isLgl w:val="false"/>
      <w:suff w:val="tab"/>
      <w:lvlText w:val="%9."/>
      <w:lvlJc w:val="right"/>
      <w:pPr>
        <w:pStyle w:val="734"/>
        <w:ind w:left="4299" w:hanging="420"/>
      </w:pPr>
    </w:lvl>
  </w:abstractNum>
  <w:abstractNum w:abstractNumId="18">
    <w:multiLevelType w:val="hybridMultilevel"/>
    <w:lvl w:ilvl="0">
      <w:start w:val="1"/>
      <w:numFmt w:val="decimal"/>
      <w:pStyle w:val="831"/>
      <w:isLgl w:val="false"/>
      <w:suff w:val="tab"/>
      <w:lvlText w:val="%1."/>
      <w:lvlJc w:val="left"/>
      <w:pPr>
        <w:pStyle w:val="734"/>
        <w:ind w:left="709" w:hanging="709"/>
        <w:tabs>
          <w:tab w:val="num" w:pos="709" w:leader="none"/>
        </w:tabs>
      </w:pPr>
      <w:rPr>
        <w:rFonts w:hint="eastAsia"/>
      </w:rPr>
    </w:lvl>
    <w:lvl w:ilvl="1">
      <w:start w:val="1"/>
      <w:numFmt w:val="decimal"/>
      <w:isLgl w:val="false"/>
      <w:suff w:val="tab"/>
      <w:lvlText w:val="%1.%2"/>
      <w:lvlJc w:val="left"/>
      <w:pPr>
        <w:pStyle w:val="734"/>
        <w:ind w:left="709" w:hanging="709"/>
        <w:tabs>
          <w:tab w:val="num" w:pos="709" w:leader="none"/>
        </w:tabs>
      </w:pPr>
      <w:rPr>
        <w:rFonts w:hint="eastAsia"/>
      </w:rPr>
    </w:lvl>
    <w:lvl w:ilvl="2">
      <w:start w:val="1"/>
      <w:numFmt w:val="decimal"/>
      <w:isLgl w:val="false"/>
      <w:suff w:val="tab"/>
      <w:lvlText w:val="%1.%2.%3."/>
      <w:lvlJc w:val="left"/>
      <w:pPr>
        <w:pStyle w:val="734"/>
        <w:ind w:left="425" w:hanging="425"/>
        <w:tabs>
          <w:tab w:val="num" w:pos="425" w:leader="none"/>
        </w:tabs>
      </w:pPr>
      <w:rPr>
        <w:rFonts w:hint="eastAsia"/>
      </w:rPr>
    </w:lvl>
    <w:lvl w:ilvl="3">
      <w:start w:val="1"/>
      <w:numFmt w:val="decimal"/>
      <w:isLgl w:val="false"/>
      <w:suff w:val="tab"/>
      <w:lvlText w:val="%1.%2.%3.%4."/>
      <w:lvlJc w:val="left"/>
      <w:pPr>
        <w:pStyle w:val="734"/>
        <w:ind w:left="851" w:hanging="851"/>
        <w:tabs>
          <w:tab w:val="num" w:pos="851" w:leader="none"/>
        </w:tabs>
      </w:pPr>
      <w:rPr>
        <w:rFonts w:hint="eastAsia"/>
      </w:rPr>
    </w:lvl>
    <w:lvl w:ilvl="4">
      <w:start w:val="1"/>
      <w:numFmt w:val="decimal"/>
      <w:isLgl w:val="false"/>
      <w:suff w:val="tab"/>
      <w:lvlText w:val="%1.%2.%3.%4.%5."/>
      <w:lvlJc w:val="left"/>
      <w:pPr>
        <w:pStyle w:val="734"/>
        <w:ind w:left="992" w:hanging="992"/>
        <w:tabs>
          <w:tab w:val="num" w:pos="992" w:leader="none"/>
        </w:tabs>
      </w:pPr>
      <w:rPr>
        <w:rFonts w:hint="eastAsia"/>
      </w:rPr>
    </w:lvl>
    <w:lvl w:ilvl="5">
      <w:start w:val="1"/>
      <w:numFmt w:val="decimal"/>
      <w:isLgl w:val="false"/>
      <w:suff w:val="tab"/>
      <w:lvlText w:val="%1.%2.%3.%4.%5.%6."/>
      <w:lvlJc w:val="left"/>
      <w:pPr>
        <w:pStyle w:val="734"/>
        <w:ind w:left="1134" w:hanging="1134"/>
        <w:tabs>
          <w:tab w:val="num" w:pos="1134" w:leader="none"/>
        </w:tabs>
      </w:pPr>
      <w:rPr>
        <w:rFonts w:hint="eastAsia"/>
      </w:rPr>
    </w:lvl>
    <w:lvl w:ilvl="6">
      <w:start w:val="1"/>
      <w:numFmt w:val="decimal"/>
      <w:isLgl w:val="false"/>
      <w:suff w:val="tab"/>
      <w:lvlText w:val="%1.%2.%3.%4.%5.%6.%7."/>
      <w:lvlJc w:val="left"/>
      <w:pPr>
        <w:pStyle w:val="734"/>
        <w:ind w:left="1276" w:hanging="1276"/>
        <w:tabs>
          <w:tab w:val="num" w:pos="1276" w:leader="none"/>
        </w:tabs>
      </w:pPr>
      <w:rPr>
        <w:rFonts w:hint="eastAsia"/>
      </w:rPr>
    </w:lvl>
    <w:lvl w:ilvl="7">
      <w:start w:val="1"/>
      <w:numFmt w:val="decimal"/>
      <w:isLgl w:val="false"/>
      <w:suff w:val="tab"/>
      <w:lvlText w:val="%1.%2.%3.%4.%5.%6.%7.%8."/>
      <w:lvlJc w:val="left"/>
      <w:pPr>
        <w:pStyle w:val="734"/>
        <w:ind w:left="1418" w:hanging="1418"/>
        <w:tabs>
          <w:tab w:val="num" w:pos="1418" w:leader="none"/>
        </w:tabs>
      </w:pPr>
      <w:rPr>
        <w:rFonts w:hint="eastAsia"/>
      </w:rPr>
    </w:lvl>
    <w:lvl w:ilvl="8">
      <w:start w:val="1"/>
      <w:numFmt w:val="decimal"/>
      <w:isLgl w:val="false"/>
      <w:suff w:val="tab"/>
      <w:lvlText w:val="%1.%2.%3.%4.%5.%6.%7.%8.%9."/>
      <w:lvlJc w:val="left"/>
      <w:pPr>
        <w:pStyle w:val="734"/>
        <w:ind w:left="1559" w:hanging="1559"/>
        <w:tabs>
          <w:tab w:val="num" w:pos="1559" w:leader="none"/>
        </w:tabs>
      </w:pPr>
      <w:rPr>
        <w:rFonts w:hint="eastAsia"/>
      </w:rPr>
    </w:lvl>
  </w:abstractNum>
  <w:abstractNum w:abstractNumId="19">
    <w:multiLevelType w:val="hybridMultilevel"/>
    <w:lvl w:ilvl="0">
      <w:start w:val="1"/>
      <w:numFmt w:val="decimal"/>
      <w:isLgl w:val="false"/>
      <w:suff w:val="nothing"/>
      <w:lvlText w:val="%1  "/>
      <w:lvlJc w:val="left"/>
      <w:pPr>
        <w:pStyle w:val="734"/>
        <w:ind w:left="0" w:firstLine="0"/>
      </w:pPr>
      <w:rPr>
        <w:rFonts w:ascii="Arial" w:hAnsi="Arial" w:eastAsia="黑体"/>
        <w:b w:val="0"/>
        <w:i w:val="0"/>
        <w:sz w:val="36"/>
        <w:szCs w:val="36"/>
      </w:rPr>
    </w:lvl>
    <w:lvl w:ilvl="1">
      <w:start w:val="1"/>
      <w:numFmt w:val="decimal"/>
      <w:isLgl w:val="false"/>
      <w:suff w:val="nothing"/>
      <w:lvlText w:val="%1.%2  "/>
      <w:lvlJc w:val="left"/>
      <w:pPr>
        <w:pStyle w:val="734"/>
        <w:ind w:left="0" w:firstLine="0"/>
      </w:pPr>
      <w:rPr>
        <w:rFonts w:ascii="Arial" w:hAnsi="Arial"/>
        <w:b w:val="0"/>
        <w:i w:val="0"/>
        <w:sz w:val="30"/>
        <w:szCs w:val="30"/>
      </w:rPr>
    </w:lvl>
    <w:lvl w:ilvl="2">
      <w:start w:val="1"/>
      <w:numFmt w:val="decimal"/>
      <w:isLgl w:val="false"/>
      <w:suff w:val="nothing"/>
      <w:lvlText w:val="%1.%2.%3  "/>
      <w:lvlJc w:val="left"/>
      <w:pPr>
        <w:pStyle w:val="734"/>
        <w:ind w:left="0" w:firstLine="0"/>
      </w:pPr>
      <w:rPr>
        <w:rFonts w:ascii="Arial" w:hAnsi="Arial"/>
        <w:b w:val="0"/>
        <w:i w:val="0"/>
        <w:sz w:val="24"/>
        <w:szCs w:val="24"/>
      </w:rPr>
    </w:lvl>
    <w:lvl w:ilvl="3">
      <w:start w:val="1"/>
      <w:numFmt w:val="decimal"/>
      <w:isLgl w:val="false"/>
      <w:suff w:val="nothing"/>
      <w:lvlText w:val="%1.%2.%3.%4  "/>
      <w:lvlJc w:val="left"/>
      <w:pPr>
        <w:pStyle w:val="734"/>
        <w:ind w:left="0" w:firstLine="0"/>
      </w:pPr>
      <w:rPr>
        <w:rFonts w:ascii="Arial" w:hAnsi="Arial"/>
        <w:b w:val="0"/>
        <w:i w:val="0"/>
        <w:sz w:val="21"/>
        <w:szCs w:val="21"/>
      </w:rPr>
    </w:lvl>
    <w:lvl w:ilvl="4">
      <w:start w:val="1"/>
      <w:numFmt w:val="decimal"/>
      <w:isLgl w:val="false"/>
      <w:suff w:val="tab"/>
      <w:lvlText w:val="%5."/>
      <w:lvlJc w:val="left"/>
      <w:pPr>
        <w:pStyle w:val="734"/>
        <w:ind w:left="1134" w:hanging="312"/>
        <w:tabs>
          <w:tab w:val="num" w:pos="1134" w:leader="none"/>
        </w:tabs>
      </w:pPr>
      <w:rPr>
        <w:rFonts w:ascii="Arial" w:hAnsi="Arial"/>
        <w:b w:val="0"/>
        <w:i w:val="0"/>
        <w:sz w:val="21"/>
        <w:szCs w:val="21"/>
      </w:rPr>
    </w:lvl>
    <w:lvl w:ilvl="5">
      <w:start w:val="1"/>
      <w:numFmt w:val="decimal"/>
      <w:isLgl w:val="false"/>
      <w:suff w:val="tab"/>
      <w:lvlText w:val="%6)"/>
      <w:lvlJc w:val="left"/>
      <w:pPr>
        <w:pStyle w:val="734"/>
        <w:ind w:left="1134" w:hanging="312"/>
        <w:tabs>
          <w:tab w:val="num" w:pos="1134" w:leader="none"/>
        </w:tabs>
      </w:pPr>
      <w:rPr>
        <w:rFonts w:ascii="Arial" w:hAnsi="Arial"/>
        <w:b w:val="0"/>
        <w:i w:val="0"/>
        <w:sz w:val="21"/>
        <w:szCs w:val="21"/>
      </w:rPr>
    </w:lvl>
    <w:lvl w:ilvl="6">
      <w:start w:val="1"/>
      <w:numFmt w:val="lowerLetter"/>
      <w:isLgl w:val="false"/>
      <w:suff w:val="tab"/>
      <w:lvlText w:val="%7."/>
      <w:lvlJc w:val="left"/>
      <w:pPr>
        <w:pStyle w:val="734"/>
        <w:ind w:left="1134" w:hanging="312"/>
        <w:tabs>
          <w:tab w:val="num" w:pos="1134" w:leader="none"/>
        </w:tabs>
      </w:pPr>
      <w:rPr>
        <w:rFonts w:ascii="Arial" w:hAnsi="Arial"/>
        <w:b w:val="0"/>
        <w:i w:val="0"/>
        <w:sz w:val="21"/>
        <w:szCs w:val="21"/>
      </w:rPr>
    </w:lvl>
    <w:lvl w:ilvl="7">
      <w:start w:val="1"/>
      <w:numFmt w:val="decimal"/>
      <w:isLgl w:val="false"/>
      <w:suff w:val="space"/>
      <w:lvlText w:val="图%8"/>
      <w:lvlJc w:val="center"/>
      <w:pPr>
        <w:pStyle w:val="734"/>
        <w:ind w:left="0" w:firstLine="0"/>
      </w:pPr>
      <w:rPr>
        <w:rFonts w:ascii="Arial" w:hAnsi="Arial" w:eastAsia="黑体"/>
        <w:b w:val="0"/>
        <w:i w:val="0"/>
        <w:sz w:val="18"/>
        <w:szCs w:val="18"/>
      </w:rPr>
    </w:lvl>
    <w:lvl w:ilvl="8">
      <w:start w:val="1"/>
      <w:numFmt w:val="decimal"/>
      <w:isLgl w:val="false"/>
      <w:suff w:val="space"/>
      <w:lvlText w:val="表%9"/>
      <w:lvlJc w:val="center"/>
      <w:pPr>
        <w:pStyle w:val="734"/>
        <w:ind w:left="0" w:firstLine="0"/>
      </w:pPr>
      <w:rPr>
        <w:rFonts w:ascii="Arial" w:hAnsi="Arial" w:eastAsia="黑体"/>
        <w:b w:val="0"/>
        <w:i w:val="0"/>
        <w:sz w:val="18"/>
        <w:szCs w:val="18"/>
      </w:rPr>
    </w:lvl>
  </w:abstractNum>
  <w:abstractNum w:abstractNumId="20">
    <w:multiLevelType w:val="hybridMultilevel"/>
    <w:lvl w:ilvl="0">
      <w:start w:val="1"/>
      <w:numFmt w:val="decimal"/>
      <w:isLgl w:val="false"/>
      <w:suff w:val="tab"/>
      <w:lvlText w:val="%1."/>
      <w:lvlJc w:val="left"/>
      <w:pPr>
        <w:pStyle w:val="73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lowerLetter"/>
      <w:isLgl w:val="false"/>
      <w:suff w:val="tab"/>
      <w:lvlText w:val="%1)"/>
      <w:lvlJc w:val="left"/>
      <w:pPr>
        <w:pStyle w:val="734"/>
        <w:ind w:left="1"/>
      </w:pPr>
      <w:rPr>
        <w:rFonts w:ascii="黑体" w:hAnsi="黑体" w:eastAsia="黑体" w:cs="黑体"/>
        <w:b w:val="0"/>
        <w:i w:val="0"/>
        <w:strike w:val="0"/>
        <w:color w:val="000000"/>
        <w:sz w:val="18"/>
        <w:szCs w:val="18"/>
        <w:u w:val="none"/>
        <w:vertAlign w:val="baseline"/>
      </w:rPr>
    </w:lvl>
    <w:lvl w:ilvl="1">
      <w:start w:val="1"/>
      <w:numFmt w:val="lowerLetter"/>
      <w:isLgl w:val="false"/>
      <w:suff w:val="tab"/>
      <w:lvlText w:val="%2"/>
      <w:lvlJc w:val="left"/>
      <w:pPr>
        <w:pStyle w:val="734"/>
        <w:ind w:left="1189"/>
      </w:pPr>
      <w:rPr>
        <w:rFonts w:ascii="黑体" w:hAnsi="黑体" w:eastAsia="黑体" w:cs="黑体"/>
        <w:b w:val="0"/>
        <w:i w:val="0"/>
        <w:strike w:val="0"/>
        <w:color w:val="000000"/>
        <w:sz w:val="18"/>
        <w:szCs w:val="18"/>
        <w:u w:val="none"/>
        <w:vertAlign w:val="baseline"/>
      </w:rPr>
    </w:lvl>
    <w:lvl w:ilvl="2">
      <w:start w:val="1"/>
      <w:numFmt w:val="lowerRoman"/>
      <w:isLgl w:val="false"/>
      <w:suff w:val="tab"/>
      <w:lvlText w:val="%3"/>
      <w:lvlJc w:val="left"/>
      <w:pPr>
        <w:pStyle w:val="734"/>
        <w:ind w:left="1909"/>
      </w:pPr>
      <w:rPr>
        <w:rFonts w:ascii="黑体" w:hAnsi="黑体" w:eastAsia="黑体" w:cs="黑体"/>
        <w:b w:val="0"/>
        <w:i w:val="0"/>
        <w:strike w:val="0"/>
        <w:color w:val="000000"/>
        <w:sz w:val="18"/>
        <w:szCs w:val="18"/>
        <w:u w:val="none"/>
        <w:vertAlign w:val="baseline"/>
      </w:rPr>
    </w:lvl>
    <w:lvl w:ilvl="3">
      <w:start w:val="1"/>
      <w:numFmt w:val="decimal"/>
      <w:isLgl w:val="false"/>
      <w:suff w:val="tab"/>
      <w:lvlText w:val="%4"/>
      <w:lvlJc w:val="left"/>
      <w:pPr>
        <w:pStyle w:val="734"/>
        <w:ind w:left="2629"/>
      </w:pPr>
      <w:rPr>
        <w:rFonts w:ascii="黑体" w:hAnsi="黑体" w:eastAsia="黑体" w:cs="黑体"/>
        <w:b w:val="0"/>
        <w:i w:val="0"/>
        <w:strike w:val="0"/>
        <w:color w:val="000000"/>
        <w:sz w:val="18"/>
        <w:szCs w:val="18"/>
        <w:u w:val="none"/>
        <w:vertAlign w:val="baseline"/>
      </w:rPr>
    </w:lvl>
    <w:lvl w:ilvl="4">
      <w:start w:val="1"/>
      <w:numFmt w:val="lowerLetter"/>
      <w:isLgl w:val="false"/>
      <w:suff w:val="tab"/>
      <w:lvlText w:val="%5"/>
      <w:lvlJc w:val="left"/>
      <w:pPr>
        <w:pStyle w:val="734"/>
        <w:ind w:left="3349"/>
      </w:pPr>
      <w:rPr>
        <w:rFonts w:ascii="黑体" w:hAnsi="黑体" w:eastAsia="黑体" w:cs="黑体"/>
        <w:b w:val="0"/>
        <w:i w:val="0"/>
        <w:strike w:val="0"/>
        <w:color w:val="000000"/>
        <w:sz w:val="18"/>
        <w:szCs w:val="18"/>
        <w:u w:val="none"/>
        <w:vertAlign w:val="baseline"/>
      </w:rPr>
    </w:lvl>
    <w:lvl w:ilvl="5">
      <w:start w:val="1"/>
      <w:numFmt w:val="lowerRoman"/>
      <w:isLgl w:val="false"/>
      <w:suff w:val="tab"/>
      <w:lvlText w:val="%6"/>
      <w:lvlJc w:val="left"/>
      <w:pPr>
        <w:pStyle w:val="734"/>
        <w:ind w:left="4069"/>
      </w:pPr>
      <w:rPr>
        <w:rFonts w:ascii="黑体" w:hAnsi="黑体" w:eastAsia="黑体" w:cs="黑体"/>
        <w:b w:val="0"/>
        <w:i w:val="0"/>
        <w:strike w:val="0"/>
        <w:color w:val="000000"/>
        <w:sz w:val="18"/>
        <w:szCs w:val="18"/>
        <w:u w:val="none"/>
        <w:vertAlign w:val="baseline"/>
      </w:rPr>
    </w:lvl>
    <w:lvl w:ilvl="6">
      <w:start w:val="1"/>
      <w:numFmt w:val="decimal"/>
      <w:isLgl w:val="false"/>
      <w:suff w:val="tab"/>
      <w:lvlText w:val="%7"/>
      <w:lvlJc w:val="left"/>
      <w:pPr>
        <w:pStyle w:val="734"/>
        <w:ind w:left="4789"/>
      </w:pPr>
      <w:rPr>
        <w:rFonts w:ascii="黑体" w:hAnsi="黑体" w:eastAsia="黑体" w:cs="黑体"/>
        <w:b w:val="0"/>
        <w:i w:val="0"/>
        <w:strike w:val="0"/>
        <w:color w:val="000000"/>
        <w:sz w:val="18"/>
        <w:szCs w:val="18"/>
        <w:u w:val="none"/>
        <w:vertAlign w:val="baseline"/>
      </w:rPr>
    </w:lvl>
    <w:lvl w:ilvl="7">
      <w:start w:val="1"/>
      <w:numFmt w:val="lowerLetter"/>
      <w:isLgl w:val="false"/>
      <w:suff w:val="tab"/>
      <w:lvlText w:val="%8"/>
      <w:lvlJc w:val="left"/>
      <w:pPr>
        <w:pStyle w:val="734"/>
        <w:ind w:left="5509"/>
      </w:pPr>
      <w:rPr>
        <w:rFonts w:ascii="黑体" w:hAnsi="黑体" w:eastAsia="黑体" w:cs="黑体"/>
        <w:b w:val="0"/>
        <w:i w:val="0"/>
        <w:strike w:val="0"/>
        <w:color w:val="000000"/>
        <w:sz w:val="18"/>
        <w:szCs w:val="18"/>
        <w:u w:val="none"/>
        <w:vertAlign w:val="baseline"/>
      </w:rPr>
    </w:lvl>
    <w:lvl w:ilvl="8">
      <w:start w:val="1"/>
      <w:numFmt w:val="lowerRoman"/>
      <w:isLgl w:val="false"/>
      <w:suff w:val="tab"/>
      <w:lvlText w:val="%9"/>
      <w:lvlJc w:val="left"/>
      <w:pPr>
        <w:pStyle w:val="734"/>
        <w:ind w:left="6229"/>
      </w:pPr>
      <w:rPr>
        <w:rFonts w:ascii="黑体" w:hAnsi="黑体" w:eastAsia="黑体" w:cs="黑体"/>
        <w:b w:val="0"/>
        <w:i w:val="0"/>
        <w:strike w:val="0"/>
        <w:color w:val="000000"/>
        <w:sz w:val="18"/>
        <w:szCs w:val="18"/>
        <w:u w:val="none"/>
        <w:vertAlign w:val="baseline"/>
      </w:rPr>
    </w:lvl>
  </w:abstractNum>
  <w:abstractNum w:abstractNumId="22">
    <w:multiLevelType w:val="hybridMultilevel"/>
    <w:lvl w:ilvl="0">
      <w:start w:val="1"/>
      <w:numFmt w:val="lowerLetter"/>
      <w:isLgl w:val="false"/>
      <w:suff w:val="tab"/>
      <w:lvlText w:val="%1)"/>
      <w:lvlJc w:val="left"/>
      <w:pPr>
        <w:pStyle w:val="734"/>
        <w:ind w:left="1"/>
      </w:pPr>
      <w:rPr>
        <w:rFonts w:ascii="黑体" w:hAnsi="黑体" w:eastAsia="黑体" w:cs="黑体"/>
        <w:b w:val="0"/>
        <w:i w:val="0"/>
        <w:strike w:val="0"/>
        <w:color w:val="000000"/>
        <w:sz w:val="18"/>
        <w:szCs w:val="18"/>
        <w:u w:val="none"/>
        <w:shd w:val="clear" w:color="auto" w:fill="auto"/>
        <w:vertAlign w:val="baseline"/>
      </w:rPr>
    </w:lvl>
    <w:lvl w:ilvl="1">
      <w:start w:val="1"/>
      <w:numFmt w:val="lowerLetter"/>
      <w:isLgl w:val="false"/>
      <w:suff w:val="tab"/>
      <w:lvlText w:val="%2"/>
      <w:lvlJc w:val="left"/>
      <w:pPr>
        <w:pStyle w:val="734"/>
        <w:ind w:left="1189"/>
      </w:pPr>
      <w:rPr>
        <w:rFonts w:ascii="黑体" w:hAnsi="黑体" w:eastAsia="黑体" w:cs="黑体"/>
        <w:b w:val="0"/>
        <w:i w:val="0"/>
        <w:strike w:val="0"/>
        <w:color w:val="000000"/>
        <w:sz w:val="18"/>
        <w:szCs w:val="18"/>
        <w:u w:val="none"/>
        <w:shd w:val="clear" w:color="auto" w:fill="auto"/>
        <w:vertAlign w:val="baseline"/>
      </w:rPr>
    </w:lvl>
    <w:lvl w:ilvl="2">
      <w:start w:val="1"/>
      <w:numFmt w:val="lowerRoman"/>
      <w:isLgl w:val="false"/>
      <w:suff w:val="tab"/>
      <w:lvlText w:val="%3"/>
      <w:lvlJc w:val="left"/>
      <w:pPr>
        <w:pStyle w:val="734"/>
        <w:ind w:left="1909"/>
      </w:pPr>
      <w:rPr>
        <w:rFonts w:ascii="黑体" w:hAnsi="黑体" w:eastAsia="黑体" w:cs="黑体"/>
        <w:b w:val="0"/>
        <w:i w:val="0"/>
        <w:strike w:val="0"/>
        <w:color w:val="000000"/>
        <w:sz w:val="18"/>
        <w:szCs w:val="18"/>
        <w:u w:val="none"/>
        <w:shd w:val="clear" w:color="auto" w:fill="auto"/>
        <w:vertAlign w:val="baseline"/>
      </w:rPr>
    </w:lvl>
    <w:lvl w:ilvl="3">
      <w:start w:val="1"/>
      <w:numFmt w:val="decimal"/>
      <w:isLgl w:val="false"/>
      <w:suff w:val="tab"/>
      <w:lvlText w:val="%4"/>
      <w:lvlJc w:val="left"/>
      <w:pPr>
        <w:pStyle w:val="734"/>
        <w:ind w:left="2629"/>
      </w:pPr>
      <w:rPr>
        <w:rFonts w:ascii="黑体" w:hAnsi="黑体" w:eastAsia="黑体" w:cs="黑体"/>
        <w:b w:val="0"/>
        <w:i w:val="0"/>
        <w:strike w:val="0"/>
        <w:color w:val="000000"/>
        <w:sz w:val="18"/>
        <w:szCs w:val="18"/>
        <w:u w:val="none"/>
        <w:shd w:val="clear" w:color="auto" w:fill="auto"/>
        <w:vertAlign w:val="baseline"/>
      </w:rPr>
    </w:lvl>
    <w:lvl w:ilvl="4">
      <w:start w:val="1"/>
      <w:numFmt w:val="lowerLetter"/>
      <w:isLgl w:val="false"/>
      <w:suff w:val="tab"/>
      <w:lvlText w:val="%5"/>
      <w:lvlJc w:val="left"/>
      <w:pPr>
        <w:pStyle w:val="734"/>
        <w:ind w:left="3349"/>
      </w:pPr>
      <w:rPr>
        <w:rFonts w:ascii="黑体" w:hAnsi="黑体" w:eastAsia="黑体" w:cs="黑体"/>
        <w:b w:val="0"/>
        <w:i w:val="0"/>
        <w:strike w:val="0"/>
        <w:color w:val="000000"/>
        <w:sz w:val="18"/>
        <w:szCs w:val="18"/>
        <w:u w:val="none"/>
        <w:shd w:val="clear" w:color="auto" w:fill="auto"/>
        <w:vertAlign w:val="baseline"/>
      </w:rPr>
    </w:lvl>
    <w:lvl w:ilvl="5">
      <w:start w:val="1"/>
      <w:numFmt w:val="lowerRoman"/>
      <w:isLgl w:val="false"/>
      <w:suff w:val="tab"/>
      <w:lvlText w:val="%6"/>
      <w:lvlJc w:val="left"/>
      <w:pPr>
        <w:pStyle w:val="734"/>
        <w:ind w:left="4069"/>
      </w:pPr>
      <w:rPr>
        <w:rFonts w:ascii="黑体" w:hAnsi="黑体" w:eastAsia="黑体" w:cs="黑体"/>
        <w:b w:val="0"/>
        <w:i w:val="0"/>
        <w:strike w:val="0"/>
        <w:color w:val="000000"/>
        <w:sz w:val="18"/>
        <w:szCs w:val="18"/>
        <w:u w:val="none"/>
        <w:shd w:val="clear" w:color="auto" w:fill="auto"/>
        <w:vertAlign w:val="baseline"/>
      </w:rPr>
    </w:lvl>
    <w:lvl w:ilvl="6">
      <w:start w:val="1"/>
      <w:numFmt w:val="decimal"/>
      <w:isLgl w:val="false"/>
      <w:suff w:val="tab"/>
      <w:lvlText w:val="%7"/>
      <w:lvlJc w:val="left"/>
      <w:pPr>
        <w:pStyle w:val="734"/>
        <w:ind w:left="4789"/>
      </w:pPr>
      <w:rPr>
        <w:rFonts w:ascii="黑体" w:hAnsi="黑体" w:eastAsia="黑体" w:cs="黑体"/>
        <w:b w:val="0"/>
        <w:i w:val="0"/>
        <w:strike w:val="0"/>
        <w:color w:val="000000"/>
        <w:sz w:val="18"/>
        <w:szCs w:val="18"/>
        <w:u w:val="none"/>
        <w:shd w:val="clear" w:color="auto" w:fill="auto"/>
        <w:vertAlign w:val="baseline"/>
      </w:rPr>
    </w:lvl>
    <w:lvl w:ilvl="7">
      <w:start w:val="1"/>
      <w:numFmt w:val="lowerLetter"/>
      <w:isLgl w:val="false"/>
      <w:suff w:val="tab"/>
      <w:lvlText w:val="%8"/>
      <w:lvlJc w:val="left"/>
      <w:pPr>
        <w:pStyle w:val="734"/>
        <w:ind w:left="5509"/>
      </w:pPr>
      <w:rPr>
        <w:rFonts w:ascii="黑体" w:hAnsi="黑体" w:eastAsia="黑体" w:cs="黑体"/>
        <w:b w:val="0"/>
        <w:i w:val="0"/>
        <w:strike w:val="0"/>
        <w:color w:val="000000"/>
        <w:sz w:val="18"/>
        <w:szCs w:val="18"/>
        <w:u w:val="none"/>
        <w:shd w:val="clear" w:color="auto" w:fill="auto"/>
        <w:vertAlign w:val="baseline"/>
      </w:rPr>
    </w:lvl>
    <w:lvl w:ilvl="8">
      <w:start w:val="1"/>
      <w:numFmt w:val="lowerRoman"/>
      <w:isLgl w:val="false"/>
      <w:suff w:val="tab"/>
      <w:lvlText w:val="%9"/>
      <w:lvlJc w:val="left"/>
      <w:pPr>
        <w:pStyle w:val="734"/>
        <w:ind w:left="6229"/>
      </w:pPr>
      <w:rPr>
        <w:rFonts w:ascii="黑体" w:hAnsi="黑体" w:eastAsia="黑体" w:cs="黑体"/>
        <w:b w:val="0"/>
        <w:i w:val="0"/>
        <w:strike w:val="0"/>
        <w:color w:val="000000"/>
        <w:sz w:val="18"/>
        <w:szCs w:val="18"/>
        <w:u w:val="none"/>
        <w:shd w:val="clear" w:color="auto" w:fill="auto"/>
        <w:vertAlign w:val="baseline"/>
      </w:rPr>
    </w:lvl>
  </w:abstractNum>
  <w:abstractNum w:abstractNumId="23">
    <w:multiLevelType w:val="hybridMultilevel"/>
    <w:lvl w:ilvl="0">
      <w:start w:val="2"/>
      <w:numFmt w:val="chineseCounting"/>
      <w:isLgl w:val="false"/>
      <w:suff w:val="space"/>
      <w:lvlText w:val="%1."/>
      <w:lvlJc w:val="left"/>
      <w:pPr>
        <w:pStyle w:val="7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pStyle w:val="734"/>
        <w:ind w:left="510" w:hanging="360"/>
        <w:tabs>
          <w:tab w:val="num" w:pos="510" w:leader="none"/>
        </w:tabs>
      </w:pPr>
      <w:rPr>
        <w:rFonts w:hint="eastAsia" w:cs="Times New Roman"/>
      </w:rPr>
    </w:lvl>
    <w:lvl w:ilvl="1">
      <w:start w:val="1"/>
      <w:numFmt w:val="decimal"/>
      <w:isLgl w:val="false"/>
      <w:suff w:val="tab"/>
      <w:lvlText w:val="%2．"/>
      <w:lvlJc w:val="left"/>
      <w:pPr>
        <w:pStyle w:val="734"/>
        <w:ind w:left="1290" w:hanging="720"/>
        <w:tabs>
          <w:tab w:val="num" w:pos="1290" w:leader="none"/>
        </w:tabs>
      </w:pPr>
      <w:rPr>
        <w:rFonts w:hint="eastAsia" w:cs="Times New Roman"/>
      </w:rPr>
    </w:lvl>
    <w:lvl w:ilvl="2">
      <w:start w:val="3"/>
      <w:numFmt w:val="decimal"/>
      <w:isLgl w:val="false"/>
      <w:suff w:val="tab"/>
      <w:lvlText w:val="（%3）"/>
      <w:lvlJc w:val="left"/>
      <w:pPr>
        <w:pStyle w:val="734"/>
        <w:ind w:left="1140" w:hanging="720"/>
        <w:tabs>
          <w:tab w:val="num" w:pos="1140" w:leader="none"/>
        </w:tabs>
      </w:pPr>
      <w:rPr>
        <w:rFonts w:hint="eastAsia" w:cs="Times New Roman"/>
      </w:rPr>
    </w:lvl>
    <w:lvl w:ilvl="3">
      <w:start w:val="1"/>
      <w:numFmt w:val="decimal"/>
      <w:isLgl w:val="false"/>
      <w:suff w:val="tab"/>
      <w:lvlText w:val="（%4）"/>
      <w:lvlJc w:val="left"/>
      <w:pPr>
        <w:pStyle w:val="73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34"/>
        <w:ind w:left="2250" w:hanging="420"/>
        <w:tabs>
          <w:tab w:val="num" w:pos="2250" w:leader="none"/>
        </w:tabs>
      </w:pPr>
      <w:rPr>
        <w:rFonts w:hint="eastAsia"/>
        <w:b/>
        <w:lang w:val="en-US"/>
      </w:rPr>
    </w:lvl>
    <w:lvl w:ilvl="5">
      <w:start w:val="10"/>
      <w:numFmt w:val="japaneseCounting"/>
      <w:isLgl w:val="false"/>
      <w:suff w:val="tab"/>
      <w:lvlText w:val="（%6）"/>
      <w:lvlJc w:val="left"/>
      <w:pPr>
        <w:pStyle w:val="734"/>
        <w:ind w:left="2970" w:hanging="720"/>
      </w:pPr>
      <w:rPr>
        <w:rFonts w:cs="Times New Roman"/>
      </w:rPr>
    </w:lvl>
    <w:lvl w:ilvl="6">
      <w:start w:val="1"/>
      <w:numFmt w:val="decimal"/>
      <w:isLgl w:val="false"/>
      <w:suff w:val="tab"/>
      <w:lvlText w:val="（%7）"/>
      <w:lvlJc w:val="left"/>
      <w:pPr>
        <w:pStyle w:val="734"/>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34"/>
        <w:ind w:left="3510" w:hanging="420"/>
        <w:tabs>
          <w:tab w:val="num" w:pos="3510" w:leader="none"/>
        </w:tabs>
      </w:pPr>
      <w:rPr>
        <w:rFonts w:cs="Times New Roman"/>
      </w:rPr>
    </w:lvl>
    <w:lvl w:ilvl="8">
      <w:start w:val="1"/>
      <w:numFmt w:val="lowerRoman"/>
      <w:isLgl w:val="false"/>
      <w:suff w:val="tab"/>
      <w:lvlText w:val="%9."/>
      <w:lvlJc w:val="right"/>
      <w:pPr>
        <w:pStyle w:val="734"/>
        <w:ind w:left="3930" w:hanging="420"/>
        <w:tabs>
          <w:tab w:val="num" w:pos="3930" w:leader="none"/>
        </w:tabs>
      </w:pPr>
      <w:rPr>
        <w:rFonts w:cs="Times New Roman"/>
      </w:rPr>
    </w:lvl>
  </w:abstractNum>
  <w:abstractNum w:abstractNumId="25">
    <w:multiLevelType w:val="hybridMultilevel"/>
    <w:lvl w:ilvl="0">
      <w:start w:val="5"/>
      <w:numFmt w:val="japaneseCounting"/>
      <w:isLgl w:val="false"/>
      <w:suff w:val="tab"/>
      <w:lvlText w:val="%1、"/>
      <w:lvlJc w:val="left"/>
      <w:pPr>
        <w:pStyle w:val="734"/>
        <w:ind w:left="510" w:hanging="510"/>
      </w:pPr>
    </w:lvl>
    <w:lvl w:ilvl="1">
      <w:start w:val="1"/>
      <w:numFmt w:val="lowerLetter"/>
      <w:isLgl w:val="false"/>
      <w:suff w:val="tab"/>
      <w:lvlText w:val="%2)"/>
      <w:lvlJc w:val="left"/>
      <w:pPr>
        <w:pStyle w:val="734"/>
        <w:ind w:left="840" w:hanging="420"/>
      </w:pPr>
    </w:lvl>
    <w:lvl w:ilvl="2">
      <w:start w:val="1"/>
      <w:numFmt w:val="lowerRoman"/>
      <w:isLgl w:val="false"/>
      <w:suff w:val="tab"/>
      <w:lvlText w:val="%3."/>
      <w:lvlJc w:val="right"/>
      <w:pPr>
        <w:pStyle w:val="734"/>
        <w:ind w:left="1260" w:hanging="420"/>
      </w:pPr>
    </w:lvl>
    <w:lvl w:ilvl="3">
      <w:start w:val="1"/>
      <w:numFmt w:val="decimal"/>
      <w:isLgl w:val="false"/>
      <w:suff w:val="tab"/>
      <w:lvlText w:val="%4."/>
      <w:lvlJc w:val="left"/>
      <w:pPr>
        <w:pStyle w:val="734"/>
        <w:ind w:left="1680" w:hanging="420"/>
      </w:pPr>
    </w:lvl>
    <w:lvl w:ilvl="4">
      <w:start w:val="1"/>
      <w:numFmt w:val="lowerLetter"/>
      <w:isLgl w:val="false"/>
      <w:suff w:val="tab"/>
      <w:lvlText w:val="%5)"/>
      <w:lvlJc w:val="left"/>
      <w:pPr>
        <w:pStyle w:val="734"/>
        <w:ind w:left="2100" w:hanging="420"/>
      </w:pPr>
    </w:lvl>
    <w:lvl w:ilvl="5">
      <w:start w:val="1"/>
      <w:numFmt w:val="lowerRoman"/>
      <w:isLgl w:val="false"/>
      <w:suff w:val="tab"/>
      <w:lvlText w:val="%6."/>
      <w:lvlJc w:val="right"/>
      <w:pPr>
        <w:pStyle w:val="734"/>
        <w:ind w:left="2520" w:hanging="420"/>
      </w:pPr>
    </w:lvl>
    <w:lvl w:ilvl="6">
      <w:start w:val="1"/>
      <w:numFmt w:val="decimal"/>
      <w:isLgl w:val="false"/>
      <w:suff w:val="tab"/>
      <w:lvlText w:val="%7."/>
      <w:lvlJc w:val="left"/>
      <w:pPr>
        <w:pStyle w:val="734"/>
        <w:ind w:left="2940" w:hanging="420"/>
      </w:pPr>
    </w:lvl>
    <w:lvl w:ilvl="7">
      <w:start w:val="1"/>
      <w:numFmt w:val="lowerLetter"/>
      <w:isLgl w:val="false"/>
      <w:suff w:val="tab"/>
      <w:lvlText w:val="%8)"/>
      <w:lvlJc w:val="left"/>
      <w:pPr>
        <w:pStyle w:val="734"/>
        <w:ind w:left="3360" w:hanging="420"/>
      </w:pPr>
    </w:lvl>
    <w:lvl w:ilvl="8">
      <w:start w:val="1"/>
      <w:numFmt w:val="lowerRoman"/>
      <w:isLgl w:val="false"/>
      <w:suff w:val="tab"/>
      <w:lvlText w:val="%9."/>
      <w:lvlJc w:val="right"/>
      <w:pPr>
        <w:pStyle w:val="734"/>
        <w:ind w:left="3780" w:hanging="420"/>
      </w:pPr>
    </w:lvl>
  </w:abstractNum>
  <w:abstractNum w:abstractNumId="26">
    <w:multiLevelType w:val="hybridMultilevel"/>
    <w:lvl w:ilvl="0">
      <w:start w:val="1"/>
      <w:numFmt w:val="lowerLetter"/>
      <w:isLgl w:val="false"/>
      <w:suff w:val="tab"/>
      <w:lvlText w:val="%1)"/>
      <w:lvlJc w:val="left"/>
      <w:pPr>
        <w:pStyle w:val="734"/>
        <w:ind w:left="1"/>
      </w:pPr>
      <w:rPr>
        <w:rFonts w:ascii="黑体" w:hAnsi="黑体" w:eastAsia="黑体" w:cs="黑体"/>
        <w:b w:val="0"/>
        <w:i w:val="0"/>
        <w:strike w:val="0"/>
        <w:color w:val="000000"/>
        <w:sz w:val="18"/>
        <w:szCs w:val="18"/>
        <w:u w:val="none"/>
        <w:vertAlign w:val="baseline"/>
      </w:rPr>
    </w:lvl>
    <w:lvl w:ilvl="1">
      <w:start w:val="1"/>
      <w:numFmt w:val="lowerLetter"/>
      <w:isLgl w:val="false"/>
      <w:suff w:val="tab"/>
      <w:lvlText w:val="%2"/>
      <w:lvlJc w:val="left"/>
      <w:pPr>
        <w:pStyle w:val="734"/>
        <w:ind w:left="1189"/>
      </w:pPr>
      <w:rPr>
        <w:rFonts w:ascii="黑体" w:hAnsi="黑体" w:eastAsia="黑体" w:cs="黑体"/>
        <w:b w:val="0"/>
        <w:i w:val="0"/>
        <w:strike w:val="0"/>
        <w:color w:val="000000"/>
        <w:sz w:val="18"/>
        <w:szCs w:val="18"/>
        <w:u w:val="none"/>
        <w:vertAlign w:val="baseline"/>
      </w:rPr>
    </w:lvl>
    <w:lvl w:ilvl="2">
      <w:start w:val="1"/>
      <w:numFmt w:val="lowerRoman"/>
      <w:isLgl w:val="false"/>
      <w:suff w:val="tab"/>
      <w:lvlText w:val="%3"/>
      <w:lvlJc w:val="left"/>
      <w:pPr>
        <w:pStyle w:val="734"/>
        <w:ind w:left="1909"/>
      </w:pPr>
      <w:rPr>
        <w:rFonts w:ascii="黑体" w:hAnsi="黑体" w:eastAsia="黑体" w:cs="黑体"/>
        <w:b w:val="0"/>
        <w:i w:val="0"/>
        <w:strike w:val="0"/>
        <w:color w:val="000000"/>
        <w:sz w:val="18"/>
        <w:szCs w:val="18"/>
        <w:u w:val="none"/>
        <w:vertAlign w:val="baseline"/>
      </w:rPr>
    </w:lvl>
    <w:lvl w:ilvl="3">
      <w:start w:val="1"/>
      <w:numFmt w:val="decimal"/>
      <w:isLgl w:val="false"/>
      <w:suff w:val="tab"/>
      <w:lvlText w:val="%4"/>
      <w:lvlJc w:val="left"/>
      <w:pPr>
        <w:pStyle w:val="734"/>
        <w:ind w:left="2629"/>
      </w:pPr>
      <w:rPr>
        <w:rFonts w:ascii="黑体" w:hAnsi="黑体" w:eastAsia="黑体" w:cs="黑体"/>
        <w:b w:val="0"/>
        <w:i w:val="0"/>
        <w:strike w:val="0"/>
        <w:color w:val="000000"/>
        <w:sz w:val="18"/>
        <w:szCs w:val="18"/>
        <w:u w:val="none"/>
        <w:vertAlign w:val="baseline"/>
      </w:rPr>
    </w:lvl>
    <w:lvl w:ilvl="4">
      <w:start w:val="1"/>
      <w:numFmt w:val="lowerLetter"/>
      <w:isLgl w:val="false"/>
      <w:suff w:val="tab"/>
      <w:lvlText w:val="%5"/>
      <w:lvlJc w:val="left"/>
      <w:pPr>
        <w:pStyle w:val="734"/>
        <w:ind w:left="3349"/>
      </w:pPr>
      <w:rPr>
        <w:rFonts w:ascii="黑体" w:hAnsi="黑体" w:eastAsia="黑体" w:cs="黑体"/>
        <w:b w:val="0"/>
        <w:i w:val="0"/>
        <w:strike w:val="0"/>
        <w:color w:val="000000"/>
        <w:sz w:val="18"/>
        <w:szCs w:val="18"/>
        <w:u w:val="none"/>
        <w:vertAlign w:val="baseline"/>
      </w:rPr>
    </w:lvl>
    <w:lvl w:ilvl="5">
      <w:start w:val="1"/>
      <w:numFmt w:val="lowerRoman"/>
      <w:isLgl w:val="false"/>
      <w:suff w:val="tab"/>
      <w:lvlText w:val="%6"/>
      <w:lvlJc w:val="left"/>
      <w:pPr>
        <w:pStyle w:val="734"/>
        <w:ind w:left="4069"/>
      </w:pPr>
      <w:rPr>
        <w:rFonts w:ascii="黑体" w:hAnsi="黑体" w:eastAsia="黑体" w:cs="黑体"/>
        <w:b w:val="0"/>
        <w:i w:val="0"/>
        <w:strike w:val="0"/>
        <w:color w:val="000000"/>
        <w:sz w:val="18"/>
        <w:szCs w:val="18"/>
        <w:u w:val="none"/>
        <w:vertAlign w:val="baseline"/>
      </w:rPr>
    </w:lvl>
    <w:lvl w:ilvl="6">
      <w:start w:val="1"/>
      <w:numFmt w:val="decimal"/>
      <w:isLgl w:val="false"/>
      <w:suff w:val="tab"/>
      <w:lvlText w:val="%7"/>
      <w:lvlJc w:val="left"/>
      <w:pPr>
        <w:pStyle w:val="734"/>
        <w:ind w:left="4789"/>
      </w:pPr>
      <w:rPr>
        <w:rFonts w:ascii="黑体" w:hAnsi="黑体" w:eastAsia="黑体" w:cs="黑体"/>
        <w:b w:val="0"/>
        <w:i w:val="0"/>
        <w:strike w:val="0"/>
        <w:color w:val="000000"/>
        <w:sz w:val="18"/>
        <w:szCs w:val="18"/>
        <w:u w:val="none"/>
        <w:vertAlign w:val="baseline"/>
      </w:rPr>
    </w:lvl>
    <w:lvl w:ilvl="7">
      <w:start w:val="1"/>
      <w:numFmt w:val="lowerLetter"/>
      <w:isLgl w:val="false"/>
      <w:suff w:val="tab"/>
      <w:lvlText w:val="%8"/>
      <w:lvlJc w:val="left"/>
      <w:pPr>
        <w:pStyle w:val="734"/>
        <w:ind w:left="5509"/>
      </w:pPr>
      <w:rPr>
        <w:rFonts w:ascii="黑体" w:hAnsi="黑体" w:eastAsia="黑体" w:cs="黑体"/>
        <w:b w:val="0"/>
        <w:i w:val="0"/>
        <w:strike w:val="0"/>
        <w:color w:val="000000"/>
        <w:sz w:val="18"/>
        <w:szCs w:val="18"/>
        <w:u w:val="none"/>
        <w:vertAlign w:val="baseline"/>
      </w:rPr>
    </w:lvl>
    <w:lvl w:ilvl="8">
      <w:start w:val="1"/>
      <w:numFmt w:val="lowerRoman"/>
      <w:isLgl w:val="false"/>
      <w:suff w:val="tab"/>
      <w:lvlText w:val="%9"/>
      <w:lvlJc w:val="left"/>
      <w:pPr>
        <w:pStyle w:val="734"/>
        <w:ind w:left="6229"/>
      </w:pPr>
      <w:rPr>
        <w:rFonts w:ascii="黑体" w:hAnsi="黑体" w:eastAsia="黑体" w:cs="黑体"/>
        <w:b w:val="0"/>
        <w:i w:val="0"/>
        <w:strike w:val="0"/>
        <w:color w:val="000000"/>
        <w:sz w:val="18"/>
        <w:szCs w:val="18"/>
        <w:u w:val="none"/>
        <w:vertAlign w:val="baseline"/>
      </w:rPr>
    </w:lvl>
  </w:abstractNum>
  <w:abstractNum w:abstractNumId="27">
    <w:multiLevelType w:val="hybridMultilevel"/>
    <w:lvl w:ilvl="0">
      <w:start w:val="1"/>
      <w:numFmt w:val="japaneseCounting"/>
      <w:isLgl w:val="false"/>
      <w:suff w:val="tab"/>
      <w:lvlText w:val="（%1）"/>
      <w:lvlJc w:val="left"/>
      <w:pPr>
        <w:pStyle w:val="734"/>
        <w:ind w:left="1080" w:hanging="1080"/>
        <w:tabs>
          <w:tab w:val="num" w:pos="1080" w:leader="none"/>
        </w:tabs>
      </w:pPr>
      <w:rPr>
        <w:rFonts w:hint="eastAsia" w:cs="Times New Roman"/>
      </w:rPr>
    </w:lvl>
    <w:lvl w:ilvl="1">
      <w:start w:val="1"/>
      <w:numFmt w:val="decimal"/>
      <w:isLgl w:val="false"/>
      <w:suff w:val="tab"/>
      <w:lvlText w:val="%2."/>
      <w:lvlJc w:val="left"/>
      <w:pPr>
        <w:pStyle w:val="734"/>
        <w:ind w:left="780" w:hanging="360"/>
        <w:tabs>
          <w:tab w:val="num" w:pos="780" w:leader="none"/>
        </w:tabs>
      </w:pPr>
      <w:rPr>
        <w:rFonts w:hint="eastAsia" w:cs="Times New Roman"/>
        <w:color w:val="000000"/>
      </w:rPr>
    </w:lvl>
    <w:lvl w:ilvl="2">
      <w:start w:val="1"/>
      <w:numFmt w:val="lowerRoman"/>
      <w:isLgl w:val="false"/>
      <w:suff w:val="tab"/>
      <w:lvlText w:val="%3."/>
      <w:lvlJc w:val="right"/>
      <w:pPr>
        <w:pStyle w:val="734"/>
        <w:ind w:left="1260" w:hanging="420"/>
        <w:tabs>
          <w:tab w:val="num" w:pos="1260" w:leader="none"/>
        </w:tabs>
      </w:pPr>
      <w:rPr>
        <w:rFonts w:cs="Times New Roman"/>
      </w:rPr>
    </w:lvl>
    <w:lvl w:ilvl="3">
      <w:start w:val="1"/>
      <w:numFmt w:val="decimal"/>
      <w:isLgl w:val="false"/>
      <w:suff w:val="tab"/>
      <w:lvlText w:val="%4."/>
      <w:lvlJc w:val="left"/>
      <w:pPr>
        <w:pStyle w:val="734"/>
        <w:ind w:left="1680" w:hanging="420"/>
        <w:tabs>
          <w:tab w:val="num" w:pos="1680" w:leader="none"/>
        </w:tabs>
      </w:pPr>
      <w:rPr>
        <w:rFonts w:cs="Times New Roman"/>
      </w:rPr>
    </w:lvl>
    <w:lvl w:ilvl="4">
      <w:start w:val="1"/>
      <w:numFmt w:val="lowerLetter"/>
      <w:isLgl w:val="false"/>
      <w:suff w:val="tab"/>
      <w:lvlText w:val="%5)"/>
      <w:lvlJc w:val="left"/>
      <w:pPr>
        <w:pStyle w:val="734"/>
        <w:ind w:left="2100" w:hanging="420"/>
        <w:tabs>
          <w:tab w:val="num" w:pos="2100" w:leader="none"/>
        </w:tabs>
      </w:pPr>
      <w:rPr>
        <w:rFonts w:cs="Times New Roman"/>
      </w:rPr>
    </w:lvl>
    <w:lvl w:ilvl="5">
      <w:start w:val="1"/>
      <w:numFmt w:val="lowerRoman"/>
      <w:isLgl w:val="false"/>
      <w:suff w:val="tab"/>
      <w:lvlText w:val="%6."/>
      <w:lvlJc w:val="right"/>
      <w:pPr>
        <w:pStyle w:val="734"/>
        <w:ind w:left="2520" w:hanging="420"/>
        <w:tabs>
          <w:tab w:val="num" w:pos="2520" w:leader="none"/>
        </w:tabs>
      </w:pPr>
      <w:rPr>
        <w:rFonts w:cs="Times New Roman"/>
      </w:rPr>
    </w:lvl>
    <w:lvl w:ilvl="6">
      <w:start w:val="1"/>
      <w:numFmt w:val="decimal"/>
      <w:isLgl w:val="false"/>
      <w:suff w:val="tab"/>
      <w:lvlText w:val="%7."/>
      <w:lvlJc w:val="left"/>
      <w:pPr>
        <w:pStyle w:val="734"/>
        <w:ind w:left="2940" w:hanging="420"/>
        <w:tabs>
          <w:tab w:val="num" w:pos="2940" w:leader="none"/>
        </w:tabs>
      </w:pPr>
      <w:rPr>
        <w:rFonts w:cs="Times New Roman"/>
      </w:rPr>
    </w:lvl>
    <w:lvl w:ilvl="7">
      <w:start w:val="1"/>
      <w:numFmt w:val="lowerLetter"/>
      <w:isLgl w:val="false"/>
      <w:suff w:val="tab"/>
      <w:lvlText w:val="%8)"/>
      <w:lvlJc w:val="left"/>
      <w:pPr>
        <w:pStyle w:val="734"/>
        <w:ind w:left="3360" w:hanging="420"/>
        <w:tabs>
          <w:tab w:val="num" w:pos="3360" w:leader="none"/>
        </w:tabs>
      </w:pPr>
      <w:rPr>
        <w:rFonts w:cs="Times New Roman"/>
      </w:rPr>
    </w:lvl>
    <w:lvl w:ilvl="8">
      <w:start w:val="1"/>
      <w:numFmt w:val="lowerRoman"/>
      <w:isLgl w:val="false"/>
      <w:suff w:val="tab"/>
      <w:lvlText w:val="%9."/>
      <w:lvlJc w:val="right"/>
      <w:pPr>
        <w:pStyle w:val="734"/>
        <w:ind w:left="3780" w:hanging="420"/>
        <w:tabs>
          <w:tab w:val="num" w:pos="3780" w:leader="none"/>
        </w:tabs>
      </w:pPr>
      <w:rPr>
        <w:rFonts w:cs="Times New Roman"/>
      </w:rPr>
    </w:lvl>
  </w:abstractNum>
  <w:abstractNum w:abstractNumId="28">
    <w:multiLevelType w:val="hybridMultilevel"/>
    <w:lvl w:ilvl="0">
      <w:start w:val="1"/>
      <w:numFmt w:val="chineseCountingThousand"/>
      <w:isLgl w:val="false"/>
      <w:suff w:val="nothing"/>
      <w:lvlText w:val="第%1章 "/>
      <w:lvlJc w:val="left"/>
      <w:pPr>
        <w:pStyle w:val="734"/>
        <w:ind w:left="0" w:firstLine="0"/>
      </w:pPr>
      <w:rPr>
        <w:rFonts w:hint="eastAsia"/>
      </w:rPr>
    </w:lvl>
    <w:lvl w:ilvl="1">
      <w:start w:val="1"/>
      <w:numFmt w:val="decimal"/>
      <w:isLgl w:val="false"/>
      <w:suff w:val="nothing"/>
      <w:lvlText w:val="%2、"/>
      <w:lvlJc w:val="left"/>
      <w:pPr>
        <w:pStyle w:val="734"/>
        <w:ind w:left="0" w:firstLine="0"/>
      </w:pPr>
      <w:rPr>
        <w:rFonts w:hint="eastAsia"/>
      </w:rPr>
    </w:lvl>
    <w:lvl w:ilvl="2">
      <w:start w:val="1"/>
      <w:numFmt w:val="decimal"/>
      <w:isLgl w:val="false"/>
      <w:suff w:val="nothing"/>
      <w:lvlText w:val="%2.%3 "/>
      <w:lvlJc w:val="left"/>
      <w:pPr>
        <w:pStyle w:val="734"/>
        <w:ind w:left="0" w:firstLine="0"/>
      </w:pPr>
      <w:rPr>
        <w:rFonts w:hint="eastAsia"/>
      </w:rPr>
    </w:lvl>
    <w:lvl w:ilvl="3">
      <w:start w:val="1"/>
      <w:numFmt w:val="decimal"/>
      <w:isLgl w:val="false"/>
      <w:suff w:val="nothing"/>
      <w:lvlText w:val="%2.%3.%4 "/>
      <w:lvlJc w:val="left"/>
      <w:pPr>
        <w:pStyle w:val="734"/>
        <w:ind w:left="0" w:firstLine="0"/>
      </w:pPr>
      <w:rPr>
        <w:rFonts w:hint="eastAsia"/>
      </w:rPr>
    </w:lvl>
    <w:lvl w:ilvl="4">
      <w:start w:val="1"/>
      <w:numFmt w:val="decimal"/>
      <w:isLgl w:val="false"/>
      <w:suff w:val="nothing"/>
      <w:lvlText w:val="%2.%3.%4.%5 "/>
      <w:lvlJc w:val="left"/>
      <w:pPr>
        <w:pStyle w:val="734"/>
        <w:ind w:left="0" w:firstLine="0"/>
      </w:pPr>
      <w:rPr>
        <w:rFonts w:hint="eastAsia"/>
      </w:rPr>
    </w:lvl>
    <w:lvl w:ilvl="5">
      <w:start w:val="1"/>
      <w:numFmt w:val="decimal"/>
      <w:pStyle w:val="740"/>
      <w:isLgl w:val="false"/>
      <w:suff w:val="nothing"/>
      <w:lvlText w:val=""/>
      <w:lvlJc w:val="left"/>
      <w:pPr>
        <w:pStyle w:val="734"/>
        <w:ind w:left="0" w:firstLine="0"/>
      </w:pPr>
      <w:rPr>
        <w:rFonts w:hint="eastAsia"/>
      </w:rPr>
    </w:lvl>
    <w:lvl w:ilvl="6">
      <w:start w:val="1"/>
      <w:numFmt w:val="decimal"/>
      <w:pStyle w:val="741"/>
      <w:isLgl w:val="false"/>
      <w:suff w:val="nothing"/>
      <w:lvlText w:val=""/>
      <w:lvlJc w:val="left"/>
      <w:pPr>
        <w:pStyle w:val="734"/>
        <w:ind w:left="0" w:firstLine="0"/>
      </w:pPr>
      <w:rPr>
        <w:rFonts w:hint="eastAsia"/>
      </w:rPr>
    </w:lvl>
    <w:lvl w:ilvl="7">
      <w:start w:val="1"/>
      <w:numFmt w:val="decimal"/>
      <w:pStyle w:val="742"/>
      <w:isLgl w:val="false"/>
      <w:suff w:val="nothing"/>
      <w:lvlText w:val=""/>
      <w:lvlJc w:val="left"/>
      <w:pPr>
        <w:pStyle w:val="734"/>
        <w:ind w:left="0" w:firstLine="0"/>
      </w:pPr>
      <w:rPr>
        <w:rFonts w:hint="eastAsia"/>
      </w:rPr>
    </w:lvl>
    <w:lvl w:ilvl="8">
      <w:start w:val="1"/>
      <w:numFmt w:val="decimal"/>
      <w:pStyle w:val="743"/>
      <w:isLgl w:val="false"/>
      <w:suff w:val="nothing"/>
      <w:lvlText w:val=""/>
      <w:lvlJc w:val="left"/>
      <w:pPr>
        <w:pStyle w:val="734"/>
        <w:ind w:left="0" w:firstLine="0"/>
      </w:pPr>
      <w:rPr>
        <w:rFonts w:hint="eastAsia"/>
      </w:rPr>
    </w:lvl>
  </w:abstractNum>
  <w:abstractNum w:abstractNumId="29">
    <w:multiLevelType w:val="hybridMultilevel"/>
    <w:lvl w:ilvl="0">
      <w:start w:val="1"/>
      <w:numFmt w:val="lowerLetter"/>
      <w:isLgl w:val="false"/>
      <w:suff w:val="tab"/>
      <w:lvlText w:val="%1)"/>
      <w:lvlJc w:val="left"/>
      <w:pPr>
        <w:pStyle w:val="734"/>
        <w:ind w:left="1"/>
      </w:pPr>
      <w:rPr>
        <w:rFonts w:ascii="宋体" w:hAnsi="宋体" w:eastAsia="宋体" w:cs="黑体"/>
        <w:b w:val="0"/>
        <w:i w:val="0"/>
        <w:strike w:val="0"/>
        <w:color w:val="000000"/>
        <w:sz w:val="18"/>
        <w:szCs w:val="18"/>
        <w:u w:val="none"/>
        <w:shd w:val="clear" w:color="auto" w:fill="auto"/>
        <w:vertAlign w:val="baseline"/>
      </w:rPr>
    </w:lvl>
    <w:lvl w:ilvl="1">
      <w:start w:val="1"/>
      <w:numFmt w:val="lowerLetter"/>
      <w:isLgl w:val="false"/>
      <w:suff w:val="tab"/>
      <w:lvlText w:val="%2"/>
      <w:lvlJc w:val="left"/>
      <w:pPr>
        <w:pStyle w:val="734"/>
        <w:ind w:left="1189"/>
      </w:pPr>
      <w:rPr>
        <w:rFonts w:ascii="黑体" w:hAnsi="黑体" w:eastAsia="黑体" w:cs="黑体"/>
        <w:b w:val="0"/>
        <w:i w:val="0"/>
        <w:strike w:val="0"/>
        <w:color w:val="000000"/>
        <w:sz w:val="18"/>
        <w:szCs w:val="18"/>
        <w:u w:val="none"/>
        <w:shd w:val="clear" w:color="auto" w:fill="auto"/>
        <w:vertAlign w:val="baseline"/>
      </w:rPr>
    </w:lvl>
    <w:lvl w:ilvl="2">
      <w:start w:val="1"/>
      <w:numFmt w:val="lowerRoman"/>
      <w:isLgl w:val="false"/>
      <w:suff w:val="tab"/>
      <w:lvlText w:val="%3"/>
      <w:lvlJc w:val="left"/>
      <w:pPr>
        <w:pStyle w:val="734"/>
        <w:ind w:left="1909"/>
      </w:pPr>
      <w:rPr>
        <w:rFonts w:ascii="黑体" w:hAnsi="黑体" w:eastAsia="黑体" w:cs="黑体"/>
        <w:b w:val="0"/>
        <w:i w:val="0"/>
        <w:strike w:val="0"/>
        <w:color w:val="000000"/>
        <w:sz w:val="18"/>
        <w:szCs w:val="18"/>
        <w:u w:val="none"/>
        <w:shd w:val="clear" w:color="auto" w:fill="auto"/>
        <w:vertAlign w:val="baseline"/>
      </w:rPr>
    </w:lvl>
    <w:lvl w:ilvl="3">
      <w:start w:val="1"/>
      <w:numFmt w:val="decimal"/>
      <w:isLgl w:val="false"/>
      <w:suff w:val="tab"/>
      <w:lvlText w:val="%4"/>
      <w:lvlJc w:val="left"/>
      <w:pPr>
        <w:pStyle w:val="734"/>
        <w:ind w:left="2629"/>
      </w:pPr>
      <w:rPr>
        <w:rFonts w:ascii="黑体" w:hAnsi="黑体" w:eastAsia="黑体" w:cs="黑体"/>
        <w:b w:val="0"/>
        <w:i w:val="0"/>
        <w:strike w:val="0"/>
        <w:color w:val="000000"/>
        <w:sz w:val="18"/>
        <w:szCs w:val="18"/>
        <w:u w:val="none"/>
        <w:shd w:val="clear" w:color="auto" w:fill="auto"/>
        <w:vertAlign w:val="baseline"/>
      </w:rPr>
    </w:lvl>
    <w:lvl w:ilvl="4">
      <w:start w:val="1"/>
      <w:numFmt w:val="lowerLetter"/>
      <w:isLgl w:val="false"/>
      <w:suff w:val="tab"/>
      <w:lvlText w:val="%5"/>
      <w:lvlJc w:val="left"/>
      <w:pPr>
        <w:pStyle w:val="734"/>
        <w:ind w:left="3349"/>
      </w:pPr>
      <w:rPr>
        <w:rFonts w:ascii="黑体" w:hAnsi="黑体" w:eastAsia="黑体" w:cs="黑体"/>
        <w:b w:val="0"/>
        <w:i w:val="0"/>
        <w:strike w:val="0"/>
        <w:color w:val="000000"/>
        <w:sz w:val="18"/>
        <w:szCs w:val="18"/>
        <w:u w:val="none"/>
        <w:shd w:val="clear" w:color="auto" w:fill="auto"/>
        <w:vertAlign w:val="baseline"/>
      </w:rPr>
    </w:lvl>
    <w:lvl w:ilvl="5">
      <w:start w:val="1"/>
      <w:numFmt w:val="lowerRoman"/>
      <w:isLgl w:val="false"/>
      <w:suff w:val="tab"/>
      <w:lvlText w:val="%6"/>
      <w:lvlJc w:val="left"/>
      <w:pPr>
        <w:pStyle w:val="734"/>
        <w:ind w:left="4069"/>
      </w:pPr>
      <w:rPr>
        <w:rFonts w:ascii="黑体" w:hAnsi="黑体" w:eastAsia="黑体" w:cs="黑体"/>
        <w:b w:val="0"/>
        <w:i w:val="0"/>
        <w:strike w:val="0"/>
        <w:color w:val="000000"/>
        <w:sz w:val="18"/>
        <w:szCs w:val="18"/>
        <w:u w:val="none"/>
        <w:shd w:val="clear" w:color="auto" w:fill="auto"/>
        <w:vertAlign w:val="baseline"/>
      </w:rPr>
    </w:lvl>
    <w:lvl w:ilvl="6">
      <w:start w:val="1"/>
      <w:numFmt w:val="decimal"/>
      <w:isLgl w:val="false"/>
      <w:suff w:val="tab"/>
      <w:lvlText w:val="%7"/>
      <w:lvlJc w:val="left"/>
      <w:pPr>
        <w:pStyle w:val="734"/>
        <w:ind w:left="4789"/>
      </w:pPr>
      <w:rPr>
        <w:rFonts w:ascii="黑体" w:hAnsi="黑体" w:eastAsia="黑体" w:cs="黑体"/>
        <w:b w:val="0"/>
        <w:i w:val="0"/>
        <w:strike w:val="0"/>
        <w:color w:val="000000"/>
        <w:sz w:val="18"/>
        <w:szCs w:val="18"/>
        <w:u w:val="none"/>
        <w:shd w:val="clear" w:color="auto" w:fill="auto"/>
        <w:vertAlign w:val="baseline"/>
      </w:rPr>
    </w:lvl>
    <w:lvl w:ilvl="7">
      <w:start w:val="1"/>
      <w:numFmt w:val="lowerLetter"/>
      <w:isLgl w:val="false"/>
      <w:suff w:val="tab"/>
      <w:lvlText w:val="%8"/>
      <w:lvlJc w:val="left"/>
      <w:pPr>
        <w:pStyle w:val="734"/>
        <w:ind w:left="5509"/>
      </w:pPr>
      <w:rPr>
        <w:rFonts w:ascii="黑体" w:hAnsi="黑体" w:eastAsia="黑体" w:cs="黑体"/>
        <w:b w:val="0"/>
        <w:i w:val="0"/>
        <w:strike w:val="0"/>
        <w:color w:val="000000"/>
        <w:sz w:val="18"/>
        <w:szCs w:val="18"/>
        <w:u w:val="none"/>
        <w:shd w:val="clear" w:color="auto" w:fill="auto"/>
        <w:vertAlign w:val="baseline"/>
      </w:rPr>
    </w:lvl>
    <w:lvl w:ilvl="8">
      <w:start w:val="1"/>
      <w:numFmt w:val="lowerRoman"/>
      <w:isLgl w:val="false"/>
      <w:suff w:val="tab"/>
      <w:lvlText w:val="%9"/>
      <w:lvlJc w:val="left"/>
      <w:pPr>
        <w:pStyle w:val="734"/>
        <w:ind w:left="6229"/>
      </w:pPr>
      <w:rPr>
        <w:rFonts w:ascii="黑体" w:hAnsi="黑体" w:eastAsia="黑体" w:cs="黑体"/>
        <w:b w:val="0"/>
        <w:i w:val="0"/>
        <w:strike w:val="0"/>
        <w:color w:val="000000"/>
        <w:sz w:val="18"/>
        <w:szCs w:val="18"/>
        <w:u w:val="none"/>
        <w:shd w:val="clear" w:color="auto" w:fill="auto"/>
        <w:vertAlign w:val="baseline"/>
      </w:rPr>
    </w:lvl>
  </w:abstractNum>
  <w:abstractNum w:abstractNumId="30">
    <w:multiLevelType w:val="hybridMultilevel"/>
    <w:lvl w:ilvl="0">
      <w:start w:val="1"/>
      <w:numFmt w:val="decimal"/>
      <w:isLgl w:val="false"/>
      <w:suff w:val="tab"/>
      <w:lvlText w:val="%1."/>
      <w:lvlJc w:val="left"/>
      <w:pPr>
        <w:pStyle w:val="734"/>
        <w:ind w:left="425" w:hanging="425"/>
      </w:p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31">
    <w:multiLevelType w:val="hybridMultilevel"/>
    <w:lvl w:ilvl="0">
      <w:start w:val="1"/>
      <w:numFmt w:val="decimal"/>
      <w:isLgl w:val="false"/>
      <w:suff w:val="tab"/>
      <w:lvlText w:val="%1."/>
      <w:lvlJc w:val="left"/>
      <w:pPr>
        <w:pStyle w:val="734"/>
        <w:ind w:left="510" w:hanging="360"/>
        <w:tabs>
          <w:tab w:val="num" w:pos="510" w:leader="none"/>
        </w:tabs>
      </w:pPr>
      <w:rPr>
        <w:rFonts w:hint="eastAsia" w:cs="Times New Roman"/>
      </w:rPr>
    </w:lvl>
    <w:lvl w:ilvl="1">
      <w:start w:val="1"/>
      <w:numFmt w:val="decimal"/>
      <w:isLgl w:val="false"/>
      <w:suff w:val="tab"/>
      <w:lvlText w:val="%2．"/>
      <w:lvlJc w:val="left"/>
      <w:pPr>
        <w:pStyle w:val="734"/>
        <w:ind w:left="1290" w:hanging="720"/>
        <w:tabs>
          <w:tab w:val="num" w:pos="1290" w:leader="none"/>
        </w:tabs>
      </w:pPr>
      <w:rPr>
        <w:rFonts w:hint="eastAsia" w:cs="Times New Roman"/>
      </w:rPr>
    </w:lvl>
    <w:lvl w:ilvl="2">
      <w:start w:val="3"/>
      <w:numFmt w:val="decimal"/>
      <w:isLgl w:val="false"/>
      <w:suff w:val="tab"/>
      <w:lvlText w:val="（%3）"/>
      <w:lvlJc w:val="left"/>
      <w:pPr>
        <w:pStyle w:val="734"/>
        <w:ind w:left="1140" w:hanging="720"/>
        <w:tabs>
          <w:tab w:val="num" w:pos="1140" w:leader="none"/>
        </w:tabs>
      </w:pPr>
      <w:rPr>
        <w:rFonts w:hint="eastAsia" w:cs="Times New Roman"/>
      </w:rPr>
    </w:lvl>
    <w:lvl w:ilvl="3">
      <w:start w:val="1"/>
      <w:numFmt w:val="decimal"/>
      <w:isLgl w:val="false"/>
      <w:suff w:val="tab"/>
      <w:lvlText w:val="（%4）"/>
      <w:lvlJc w:val="left"/>
      <w:pPr>
        <w:pStyle w:val="73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34"/>
        <w:ind w:left="2250" w:hanging="420"/>
        <w:tabs>
          <w:tab w:val="num" w:pos="2250" w:leader="none"/>
        </w:tabs>
      </w:pPr>
      <w:rPr>
        <w:rFonts w:hint="eastAsia"/>
        <w:b/>
        <w:lang w:val="en-US"/>
      </w:rPr>
    </w:lvl>
    <w:lvl w:ilvl="5">
      <w:start w:val="10"/>
      <w:numFmt w:val="japaneseCounting"/>
      <w:isLgl w:val="false"/>
      <w:suff w:val="tab"/>
      <w:lvlText w:val="（%6）"/>
      <w:lvlJc w:val="left"/>
      <w:pPr>
        <w:pStyle w:val="734"/>
        <w:ind w:left="2970" w:hanging="720"/>
      </w:pPr>
      <w:rPr>
        <w:rFonts w:cs="Times New Roman"/>
      </w:rPr>
    </w:lvl>
    <w:lvl w:ilvl="6">
      <w:start w:val="1"/>
      <w:numFmt w:val="decimal"/>
      <w:isLgl w:val="false"/>
      <w:suff w:val="tab"/>
      <w:lvlText w:val="（%7）"/>
      <w:lvlJc w:val="left"/>
      <w:pPr>
        <w:pStyle w:val="734"/>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34"/>
        <w:ind w:left="3510" w:hanging="420"/>
        <w:tabs>
          <w:tab w:val="num" w:pos="3510" w:leader="none"/>
        </w:tabs>
      </w:pPr>
      <w:rPr>
        <w:rFonts w:cs="Times New Roman"/>
      </w:rPr>
    </w:lvl>
    <w:lvl w:ilvl="8">
      <w:start w:val="1"/>
      <w:numFmt w:val="lowerRoman"/>
      <w:isLgl w:val="false"/>
      <w:suff w:val="tab"/>
      <w:lvlText w:val="%9."/>
      <w:lvlJc w:val="right"/>
      <w:pPr>
        <w:pStyle w:val="734"/>
        <w:ind w:left="3930" w:hanging="420"/>
        <w:tabs>
          <w:tab w:val="num" w:pos="3930" w:leader="none"/>
        </w:tabs>
      </w:pPr>
      <w:rPr>
        <w:rFonts w:cs="Times New Roman"/>
      </w:rPr>
    </w:lvl>
  </w:abstractNum>
  <w:abstractNum w:abstractNumId="32">
    <w:multiLevelType w:val="hybridMultilevel"/>
    <w:lvl w:ilvl="0">
      <w:start w:val="1"/>
      <w:numFmt w:val="japaneseCounting"/>
      <w:isLgl w:val="false"/>
      <w:suff w:val="tab"/>
      <w:lvlText w:val="%1、"/>
      <w:lvlJc w:val="left"/>
      <w:pPr>
        <w:pStyle w:val="734"/>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734"/>
        <w:ind w:left="840" w:hanging="420"/>
        <w:tabs>
          <w:tab w:val="num" w:pos="840" w:leader="none"/>
        </w:tabs>
      </w:pPr>
      <w:rPr>
        <w:rFonts w:cs="Times New Roman"/>
      </w:rPr>
    </w:lvl>
    <w:lvl w:ilvl="2">
      <w:start w:val="10"/>
      <w:numFmt w:val="decimal"/>
      <w:isLgl w:val="false"/>
      <w:suff w:val="tab"/>
      <w:lvlText w:val="%3."/>
      <w:lvlJc w:val="left"/>
      <w:pPr>
        <w:pStyle w:val="734"/>
        <w:ind w:left="1200" w:hanging="360"/>
        <w:tabs>
          <w:tab w:val="num" w:pos="1200" w:leader="none"/>
        </w:tabs>
      </w:pPr>
      <w:rPr>
        <w:rFonts w:cs="Times New Roman"/>
      </w:rPr>
    </w:lvl>
    <w:lvl w:ilvl="3">
      <w:start w:val="1"/>
      <w:numFmt w:val="decimal"/>
      <w:isLgl w:val="false"/>
      <w:suff w:val="tab"/>
      <w:lvlText w:val="%4."/>
      <w:lvlJc w:val="left"/>
      <w:pPr>
        <w:pStyle w:val="734"/>
        <w:ind w:left="1680" w:hanging="420"/>
        <w:tabs>
          <w:tab w:val="num" w:pos="1680" w:leader="none"/>
        </w:tabs>
      </w:pPr>
      <w:rPr>
        <w:rFonts w:cs="Times New Roman"/>
      </w:rPr>
    </w:lvl>
    <w:lvl w:ilvl="4">
      <w:start w:val="1"/>
      <w:numFmt w:val="lowerLetter"/>
      <w:isLgl w:val="false"/>
      <w:suff w:val="tab"/>
      <w:lvlText w:val="%5)"/>
      <w:lvlJc w:val="left"/>
      <w:pPr>
        <w:pStyle w:val="734"/>
        <w:ind w:left="2100" w:hanging="420"/>
        <w:tabs>
          <w:tab w:val="num" w:pos="2100" w:leader="none"/>
        </w:tabs>
      </w:pPr>
      <w:rPr>
        <w:rFonts w:cs="Times New Roman"/>
      </w:rPr>
    </w:lvl>
    <w:lvl w:ilvl="5">
      <w:start w:val="1"/>
      <w:numFmt w:val="lowerRoman"/>
      <w:isLgl w:val="false"/>
      <w:suff w:val="tab"/>
      <w:lvlText w:val="%6."/>
      <w:lvlJc w:val="right"/>
      <w:pPr>
        <w:pStyle w:val="734"/>
        <w:ind w:left="2520" w:hanging="420"/>
        <w:tabs>
          <w:tab w:val="num" w:pos="2520" w:leader="none"/>
        </w:tabs>
      </w:pPr>
      <w:rPr>
        <w:rFonts w:cs="Times New Roman"/>
      </w:rPr>
    </w:lvl>
    <w:lvl w:ilvl="6">
      <w:start w:val="1"/>
      <w:numFmt w:val="decimal"/>
      <w:isLgl w:val="false"/>
      <w:suff w:val="tab"/>
      <w:lvlText w:val="%7."/>
      <w:lvlJc w:val="left"/>
      <w:pPr>
        <w:pStyle w:val="734"/>
        <w:ind w:left="2940" w:hanging="420"/>
        <w:tabs>
          <w:tab w:val="num" w:pos="2940" w:leader="none"/>
        </w:tabs>
      </w:pPr>
      <w:rPr>
        <w:rFonts w:cs="Times New Roman"/>
      </w:rPr>
    </w:lvl>
    <w:lvl w:ilvl="7">
      <w:start w:val="1"/>
      <w:numFmt w:val="lowerLetter"/>
      <w:isLgl w:val="false"/>
      <w:suff w:val="tab"/>
      <w:lvlText w:val="%8)"/>
      <w:lvlJc w:val="left"/>
      <w:pPr>
        <w:pStyle w:val="734"/>
        <w:ind w:left="3360" w:hanging="420"/>
        <w:tabs>
          <w:tab w:val="num" w:pos="3360" w:leader="none"/>
        </w:tabs>
      </w:pPr>
      <w:rPr>
        <w:rFonts w:cs="Times New Roman"/>
      </w:rPr>
    </w:lvl>
    <w:lvl w:ilvl="8">
      <w:start w:val="1"/>
      <w:numFmt w:val="lowerRoman"/>
      <w:isLgl w:val="false"/>
      <w:suff w:val="tab"/>
      <w:lvlText w:val="%9."/>
      <w:lvlJc w:val="right"/>
      <w:pPr>
        <w:pStyle w:val="734"/>
        <w:ind w:left="3780" w:hanging="420"/>
        <w:tabs>
          <w:tab w:val="num" w:pos="3780" w:leader="none"/>
        </w:tabs>
      </w:pPr>
      <w:rPr>
        <w:rFonts w:cs="Times New Roman"/>
      </w:rPr>
    </w:lvl>
  </w:abstractNum>
  <w:abstractNum w:abstractNumId="33">
    <w:multiLevelType w:val="hybridMultilevel"/>
    <w:lvl w:ilvl="0">
      <w:start w:val="1"/>
      <w:numFmt w:val="decimal"/>
      <w:isLgl w:val="false"/>
      <w:suff w:val="tab"/>
      <w:lvlText w:val="（%1）"/>
      <w:lvlJc w:val="left"/>
      <w:pPr>
        <w:pStyle w:val="734"/>
        <w:ind w:left="720" w:hanging="720"/>
        <w:tabs>
          <w:tab w:val="num" w:pos="720" w:leader="none"/>
        </w:tabs>
      </w:pPr>
      <w:rPr>
        <w:rFonts w:hint="eastAsia" w:cs="Times New Roman"/>
      </w:rPr>
    </w:lvl>
    <w:lvl w:ilvl="1">
      <w:start w:val="2"/>
      <w:numFmt w:val="decimal"/>
      <w:isLgl w:val="false"/>
      <w:suff w:val="tab"/>
      <w:lvlText w:val="%2."/>
      <w:lvlJc w:val="left"/>
      <w:pPr>
        <w:pStyle w:val="734"/>
        <w:ind w:left="1770" w:hanging="360"/>
        <w:tabs>
          <w:tab w:val="num" w:pos="1770" w:leader="none"/>
        </w:tabs>
      </w:pPr>
      <w:rPr>
        <w:rFonts w:cs="Times New Roman"/>
      </w:rPr>
    </w:lvl>
    <w:lvl w:ilvl="2">
      <w:start w:val="1"/>
      <w:numFmt w:val="lowerRoman"/>
      <w:isLgl w:val="false"/>
      <w:suff w:val="tab"/>
      <w:lvlText w:val="%3."/>
      <w:lvlJc w:val="right"/>
      <w:pPr>
        <w:pStyle w:val="734"/>
        <w:ind w:left="2250" w:hanging="420"/>
        <w:tabs>
          <w:tab w:val="num" w:pos="2250" w:leader="none"/>
        </w:tabs>
      </w:pPr>
      <w:rPr>
        <w:rFonts w:cs="Times New Roman"/>
      </w:rPr>
    </w:lvl>
    <w:lvl w:ilvl="3">
      <w:start w:val="1"/>
      <w:numFmt w:val="decimal"/>
      <w:isLgl w:val="false"/>
      <w:suff w:val="tab"/>
      <w:lvlText w:val="%4."/>
      <w:lvlJc w:val="left"/>
      <w:pPr>
        <w:pStyle w:val="734"/>
        <w:ind w:left="2670" w:hanging="420"/>
        <w:tabs>
          <w:tab w:val="num" w:pos="2670" w:leader="none"/>
        </w:tabs>
      </w:pPr>
      <w:rPr>
        <w:rFonts w:cs="Times New Roman"/>
      </w:rPr>
    </w:lvl>
    <w:lvl w:ilvl="4">
      <w:start w:val="1"/>
      <w:numFmt w:val="lowerLetter"/>
      <w:isLgl w:val="false"/>
      <w:suff w:val="tab"/>
      <w:lvlText w:val="%5)"/>
      <w:lvlJc w:val="left"/>
      <w:pPr>
        <w:pStyle w:val="734"/>
        <w:ind w:left="3090" w:hanging="420"/>
        <w:tabs>
          <w:tab w:val="num" w:pos="3090" w:leader="none"/>
        </w:tabs>
      </w:pPr>
      <w:rPr>
        <w:rFonts w:cs="Times New Roman"/>
      </w:rPr>
    </w:lvl>
    <w:lvl w:ilvl="5">
      <w:start w:val="1"/>
      <w:numFmt w:val="lowerRoman"/>
      <w:isLgl w:val="false"/>
      <w:suff w:val="tab"/>
      <w:lvlText w:val="%6."/>
      <w:lvlJc w:val="right"/>
      <w:pPr>
        <w:pStyle w:val="734"/>
        <w:ind w:left="3510" w:hanging="420"/>
        <w:tabs>
          <w:tab w:val="num" w:pos="3510" w:leader="none"/>
        </w:tabs>
      </w:pPr>
      <w:rPr>
        <w:rFonts w:cs="Times New Roman"/>
      </w:rPr>
    </w:lvl>
    <w:lvl w:ilvl="6">
      <w:start w:val="1"/>
      <w:numFmt w:val="decimal"/>
      <w:isLgl w:val="false"/>
      <w:suff w:val="tab"/>
      <w:lvlText w:val="%7."/>
      <w:lvlJc w:val="left"/>
      <w:pPr>
        <w:pStyle w:val="734"/>
        <w:ind w:left="3930" w:hanging="420"/>
        <w:tabs>
          <w:tab w:val="num" w:pos="3930" w:leader="none"/>
        </w:tabs>
      </w:pPr>
      <w:rPr>
        <w:rFonts w:cs="Times New Roman"/>
      </w:rPr>
    </w:lvl>
    <w:lvl w:ilvl="7">
      <w:start w:val="1"/>
      <w:numFmt w:val="lowerLetter"/>
      <w:isLgl w:val="false"/>
      <w:suff w:val="tab"/>
      <w:lvlText w:val="%8)"/>
      <w:lvlJc w:val="left"/>
      <w:pPr>
        <w:pStyle w:val="734"/>
        <w:ind w:left="4350" w:hanging="420"/>
        <w:tabs>
          <w:tab w:val="num" w:pos="4350" w:leader="none"/>
        </w:tabs>
      </w:pPr>
      <w:rPr>
        <w:rFonts w:cs="Times New Roman"/>
      </w:rPr>
    </w:lvl>
    <w:lvl w:ilvl="8">
      <w:start w:val="1"/>
      <w:numFmt w:val="lowerRoman"/>
      <w:isLgl w:val="false"/>
      <w:suff w:val="tab"/>
      <w:lvlText w:val="%9."/>
      <w:lvlJc w:val="right"/>
      <w:pPr>
        <w:pStyle w:val="734"/>
        <w:ind w:left="4770" w:hanging="420"/>
        <w:tabs>
          <w:tab w:val="num" w:pos="4770" w:leader="none"/>
        </w:tabs>
      </w:pPr>
      <w:rPr>
        <w:rFonts w:cs="Times New Roman"/>
      </w:rPr>
    </w:lvl>
  </w:abstractNum>
  <w:abstractNum w:abstractNumId="34">
    <w:multiLevelType w:val="hybridMultilevel"/>
    <w:lvl w:ilvl="0">
      <w:start w:val="1"/>
      <w:numFmt w:val="lowerLetter"/>
      <w:isLgl w:val="false"/>
      <w:suff w:val="tab"/>
      <w:lvlText w:val="%1)"/>
      <w:lvlJc w:val="left"/>
      <w:pPr>
        <w:pStyle w:val="734"/>
        <w:ind w:left="1"/>
      </w:pPr>
      <w:rPr>
        <w:rFonts w:ascii="黑体" w:hAnsi="黑体" w:eastAsia="黑体" w:cs="黑体"/>
        <w:b w:val="0"/>
        <w:i w:val="0"/>
        <w:strike w:val="0"/>
        <w:color w:val="000000"/>
        <w:sz w:val="18"/>
        <w:szCs w:val="18"/>
        <w:u w:val="none"/>
        <w:vertAlign w:val="baseline"/>
      </w:rPr>
    </w:lvl>
    <w:lvl w:ilvl="1">
      <w:start w:val="1"/>
      <w:numFmt w:val="lowerLetter"/>
      <w:isLgl w:val="false"/>
      <w:suff w:val="tab"/>
      <w:lvlText w:val="%2"/>
      <w:lvlJc w:val="left"/>
      <w:pPr>
        <w:pStyle w:val="734"/>
        <w:ind w:left="1189"/>
      </w:pPr>
      <w:rPr>
        <w:rFonts w:ascii="黑体" w:hAnsi="黑体" w:eastAsia="黑体" w:cs="黑体"/>
        <w:b w:val="0"/>
        <w:i w:val="0"/>
        <w:strike w:val="0"/>
        <w:color w:val="000000"/>
        <w:sz w:val="18"/>
        <w:szCs w:val="18"/>
        <w:u w:val="none"/>
        <w:vertAlign w:val="baseline"/>
      </w:rPr>
    </w:lvl>
    <w:lvl w:ilvl="2">
      <w:start w:val="1"/>
      <w:numFmt w:val="lowerRoman"/>
      <w:isLgl w:val="false"/>
      <w:suff w:val="tab"/>
      <w:lvlText w:val="%3"/>
      <w:lvlJc w:val="left"/>
      <w:pPr>
        <w:pStyle w:val="734"/>
        <w:ind w:left="1909"/>
      </w:pPr>
      <w:rPr>
        <w:rFonts w:ascii="黑体" w:hAnsi="黑体" w:eastAsia="黑体" w:cs="黑体"/>
        <w:b w:val="0"/>
        <w:i w:val="0"/>
        <w:strike w:val="0"/>
        <w:color w:val="000000"/>
        <w:sz w:val="18"/>
        <w:szCs w:val="18"/>
        <w:u w:val="none"/>
        <w:vertAlign w:val="baseline"/>
      </w:rPr>
    </w:lvl>
    <w:lvl w:ilvl="3">
      <w:start w:val="1"/>
      <w:numFmt w:val="decimal"/>
      <w:isLgl w:val="false"/>
      <w:suff w:val="tab"/>
      <w:lvlText w:val="%4"/>
      <w:lvlJc w:val="left"/>
      <w:pPr>
        <w:pStyle w:val="734"/>
        <w:ind w:left="2629"/>
      </w:pPr>
      <w:rPr>
        <w:rFonts w:ascii="黑体" w:hAnsi="黑体" w:eastAsia="黑体" w:cs="黑体"/>
        <w:b w:val="0"/>
        <w:i w:val="0"/>
        <w:strike w:val="0"/>
        <w:color w:val="000000"/>
        <w:sz w:val="18"/>
        <w:szCs w:val="18"/>
        <w:u w:val="none"/>
        <w:vertAlign w:val="baseline"/>
      </w:rPr>
    </w:lvl>
    <w:lvl w:ilvl="4">
      <w:start w:val="1"/>
      <w:numFmt w:val="lowerLetter"/>
      <w:isLgl w:val="false"/>
      <w:suff w:val="tab"/>
      <w:lvlText w:val="%5"/>
      <w:lvlJc w:val="left"/>
      <w:pPr>
        <w:pStyle w:val="734"/>
        <w:ind w:left="3349"/>
      </w:pPr>
      <w:rPr>
        <w:rFonts w:ascii="黑体" w:hAnsi="黑体" w:eastAsia="黑体" w:cs="黑体"/>
        <w:b w:val="0"/>
        <w:i w:val="0"/>
        <w:strike w:val="0"/>
        <w:color w:val="000000"/>
        <w:sz w:val="18"/>
        <w:szCs w:val="18"/>
        <w:u w:val="none"/>
        <w:vertAlign w:val="baseline"/>
      </w:rPr>
    </w:lvl>
    <w:lvl w:ilvl="5">
      <w:start w:val="1"/>
      <w:numFmt w:val="lowerRoman"/>
      <w:isLgl w:val="false"/>
      <w:suff w:val="tab"/>
      <w:lvlText w:val="%6"/>
      <w:lvlJc w:val="left"/>
      <w:pPr>
        <w:pStyle w:val="734"/>
        <w:ind w:left="4069"/>
      </w:pPr>
      <w:rPr>
        <w:rFonts w:ascii="黑体" w:hAnsi="黑体" w:eastAsia="黑体" w:cs="黑体"/>
        <w:b w:val="0"/>
        <w:i w:val="0"/>
        <w:strike w:val="0"/>
        <w:color w:val="000000"/>
        <w:sz w:val="18"/>
        <w:szCs w:val="18"/>
        <w:u w:val="none"/>
        <w:vertAlign w:val="baseline"/>
      </w:rPr>
    </w:lvl>
    <w:lvl w:ilvl="6">
      <w:start w:val="1"/>
      <w:numFmt w:val="decimal"/>
      <w:isLgl w:val="false"/>
      <w:suff w:val="tab"/>
      <w:lvlText w:val="%7"/>
      <w:lvlJc w:val="left"/>
      <w:pPr>
        <w:pStyle w:val="734"/>
        <w:ind w:left="4789"/>
      </w:pPr>
      <w:rPr>
        <w:rFonts w:ascii="黑体" w:hAnsi="黑体" w:eastAsia="黑体" w:cs="黑体"/>
        <w:b w:val="0"/>
        <w:i w:val="0"/>
        <w:strike w:val="0"/>
        <w:color w:val="000000"/>
        <w:sz w:val="18"/>
        <w:szCs w:val="18"/>
        <w:u w:val="none"/>
        <w:vertAlign w:val="baseline"/>
      </w:rPr>
    </w:lvl>
    <w:lvl w:ilvl="7">
      <w:start w:val="1"/>
      <w:numFmt w:val="lowerLetter"/>
      <w:isLgl w:val="false"/>
      <w:suff w:val="tab"/>
      <w:lvlText w:val="%8"/>
      <w:lvlJc w:val="left"/>
      <w:pPr>
        <w:pStyle w:val="734"/>
        <w:ind w:left="5509"/>
      </w:pPr>
      <w:rPr>
        <w:rFonts w:ascii="黑体" w:hAnsi="黑体" w:eastAsia="黑体" w:cs="黑体"/>
        <w:b w:val="0"/>
        <w:i w:val="0"/>
        <w:strike w:val="0"/>
        <w:color w:val="000000"/>
        <w:sz w:val="18"/>
        <w:szCs w:val="18"/>
        <w:u w:val="none"/>
        <w:vertAlign w:val="baseline"/>
      </w:rPr>
    </w:lvl>
    <w:lvl w:ilvl="8">
      <w:start w:val="1"/>
      <w:numFmt w:val="lowerRoman"/>
      <w:isLgl w:val="false"/>
      <w:suff w:val="tab"/>
      <w:lvlText w:val="%9"/>
      <w:lvlJc w:val="left"/>
      <w:pPr>
        <w:pStyle w:val="734"/>
        <w:ind w:left="6229"/>
      </w:pPr>
      <w:rPr>
        <w:rFonts w:ascii="黑体" w:hAnsi="黑体" w:eastAsia="黑体" w:cs="黑体"/>
        <w:b w:val="0"/>
        <w:i w:val="0"/>
        <w:strike w:val="0"/>
        <w:color w:val="000000"/>
        <w:sz w:val="18"/>
        <w:szCs w:val="18"/>
        <w:u w:val="none"/>
        <w:vertAlign w:val="baseline"/>
      </w:rPr>
    </w:lvl>
  </w:abstractNum>
  <w:abstractNum w:abstractNumId="35">
    <w:multiLevelType w:val="hybridMultilevel"/>
    <w:lvl w:ilvl="0">
      <w:start w:val="1"/>
      <w:numFmt w:val="lowerLetter"/>
      <w:isLgl w:val="false"/>
      <w:suff w:val="tab"/>
      <w:lvlText w:val="%1)"/>
      <w:lvlJc w:val="left"/>
      <w:pPr>
        <w:pStyle w:val="734"/>
        <w:ind w:left="1"/>
      </w:pPr>
      <w:rPr>
        <w:rFonts w:ascii="黑体" w:hAnsi="黑体" w:eastAsia="黑体" w:cs="黑体"/>
        <w:b w:val="0"/>
        <w:i w:val="0"/>
        <w:strike w:val="0"/>
        <w:color w:val="000000"/>
        <w:sz w:val="18"/>
        <w:szCs w:val="18"/>
        <w:u w:val="none"/>
        <w:shd w:val="clear" w:color="auto" w:fill="auto"/>
        <w:vertAlign w:val="baseline"/>
      </w:rPr>
    </w:lvl>
    <w:lvl w:ilvl="1">
      <w:start w:val="1"/>
      <w:numFmt w:val="lowerLetter"/>
      <w:isLgl w:val="false"/>
      <w:suff w:val="tab"/>
      <w:lvlText w:val="%2"/>
      <w:lvlJc w:val="left"/>
      <w:pPr>
        <w:pStyle w:val="734"/>
        <w:ind w:left="1189"/>
      </w:pPr>
      <w:rPr>
        <w:rFonts w:ascii="黑体" w:hAnsi="黑体" w:eastAsia="黑体" w:cs="黑体"/>
        <w:b w:val="0"/>
        <w:i w:val="0"/>
        <w:strike w:val="0"/>
        <w:color w:val="000000"/>
        <w:sz w:val="18"/>
        <w:szCs w:val="18"/>
        <w:u w:val="none"/>
        <w:shd w:val="clear" w:color="auto" w:fill="auto"/>
        <w:vertAlign w:val="baseline"/>
      </w:rPr>
    </w:lvl>
    <w:lvl w:ilvl="2">
      <w:start w:val="1"/>
      <w:numFmt w:val="lowerRoman"/>
      <w:isLgl w:val="false"/>
      <w:suff w:val="tab"/>
      <w:lvlText w:val="%3"/>
      <w:lvlJc w:val="left"/>
      <w:pPr>
        <w:pStyle w:val="734"/>
        <w:ind w:left="1909"/>
      </w:pPr>
      <w:rPr>
        <w:rFonts w:ascii="黑体" w:hAnsi="黑体" w:eastAsia="黑体" w:cs="黑体"/>
        <w:b w:val="0"/>
        <w:i w:val="0"/>
        <w:strike w:val="0"/>
        <w:color w:val="000000"/>
        <w:sz w:val="18"/>
        <w:szCs w:val="18"/>
        <w:u w:val="none"/>
        <w:shd w:val="clear" w:color="auto" w:fill="auto"/>
        <w:vertAlign w:val="baseline"/>
      </w:rPr>
    </w:lvl>
    <w:lvl w:ilvl="3">
      <w:start w:val="1"/>
      <w:numFmt w:val="decimal"/>
      <w:isLgl w:val="false"/>
      <w:suff w:val="tab"/>
      <w:lvlText w:val="%4"/>
      <w:lvlJc w:val="left"/>
      <w:pPr>
        <w:pStyle w:val="734"/>
        <w:ind w:left="2629"/>
      </w:pPr>
      <w:rPr>
        <w:rFonts w:ascii="黑体" w:hAnsi="黑体" w:eastAsia="黑体" w:cs="黑体"/>
        <w:b w:val="0"/>
        <w:i w:val="0"/>
        <w:strike w:val="0"/>
        <w:color w:val="000000"/>
        <w:sz w:val="18"/>
        <w:szCs w:val="18"/>
        <w:u w:val="none"/>
        <w:shd w:val="clear" w:color="auto" w:fill="auto"/>
        <w:vertAlign w:val="baseline"/>
      </w:rPr>
    </w:lvl>
    <w:lvl w:ilvl="4">
      <w:start w:val="1"/>
      <w:numFmt w:val="lowerLetter"/>
      <w:isLgl w:val="false"/>
      <w:suff w:val="tab"/>
      <w:lvlText w:val="%5"/>
      <w:lvlJc w:val="left"/>
      <w:pPr>
        <w:pStyle w:val="734"/>
        <w:ind w:left="3349"/>
      </w:pPr>
      <w:rPr>
        <w:rFonts w:ascii="黑体" w:hAnsi="黑体" w:eastAsia="黑体" w:cs="黑体"/>
        <w:b w:val="0"/>
        <w:i w:val="0"/>
        <w:strike w:val="0"/>
        <w:color w:val="000000"/>
        <w:sz w:val="18"/>
        <w:szCs w:val="18"/>
        <w:u w:val="none"/>
        <w:shd w:val="clear" w:color="auto" w:fill="auto"/>
        <w:vertAlign w:val="baseline"/>
      </w:rPr>
    </w:lvl>
    <w:lvl w:ilvl="5">
      <w:start w:val="1"/>
      <w:numFmt w:val="lowerRoman"/>
      <w:isLgl w:val="false"/>
      <w:suff w:val="tab"/>
      <w:lvlText w:val="%6"/>
      <w:lvlJc w:val="left"/>
      <w:pPr>
        <w:pStyle w:val="734"/>
        <w:ind w:left="4069"/>
      </w:pPr>
      <w:rPr>
        <w:rFonts w:ascii="黑体" w:hAnsi="黑体" w:eastAsia="黑体" w:cs="黑体"/>
        <w:b w:val="0"/>
        <w:i w:val="0"/>
        <w:strike w:val="0"/>
        <w:color w:val="000000"/>
        <w:sz w:val="18"/>
        <w:szCs w:val="18"/>
        <w:u w:val="none"/>
        <w:shd w:val="clear" w:color="auto" w:fill="auto"/>
        <w:vertAlign w:val="baseline"/>
      </w:rPr>
    </w:lvl>
    <w:lvl w:ilvl="6">
      <w:start w:val="1"/>
      <w:numFmt w:val="decimal"/>
      <w:isLgl w:val="false"/>
      <w:suff w:val="tab"/>
      <w:lvlText w:val="%7"/>
      <w:lvlJc w:val="left"/>
      <w:pPr>
        <w:pStyle w:val="734"/>
        <w:ind w:left="4789"/>
      </w:pPr>
      <w:rPr>
        <w:rFonts w:ascii="黑体" w:hAnsi="黑体" w:eastAsia="黑体" w:cs="黑体"/>
        <w:b w:val="0"/>
        <w:i w:val="0"/>
        <w:strike w:val="0"/>
        <w:color w:val="000000"/>
        <w:sz w:val="18"/>
        <w:szCs w:val="18"/>
        <w:u w:val="none"/>
        <w:shd w:val="clear" w:color="auto" w:fill="auto"/>
        <w:vertAlign w:val="baseline"/>
      </w:rPr>
    </w:lvl>
    <w:lvl w:ilvl="7">
      <w:start w:val="1"/>
      <w:numFmt w:val="lowerLetter"/>
      <w:isLgl w:val="false"/>
      <w:suff w:val="tab"/>
      <w:lvlText w:val="%8"/>
      <w:lvlJc w:val="left"/>
      <w:pPr>
        <w:pStyle w:val="734"/>
        <w:ind w:left="5509"/>
      </w:pPr>
      <w:rPr>
        <w:rFonts w:ascii="黑体" w:hAnsi="黑体" w:eastAsia="黑体" w:cs="黑体"/>
        <w:b w:val="0"/>
        <w:i w:val="0"/>
        <w:strike w:val="0"/>
        <w:color w:val="000000"/>
        <w:sz w:val="18"/>
        <w:szCs w:val="18"/>
        <w:u w:val="none"/>
        <w:shd w:val="clear" w:color="auto" w:fill="auto"/>
        <w:vertAlign w:val="baseline"/>
      </w:rPr>
    </w:lvl>
    <w:lvl w:ilvl="8">
      <w:start w:val="1"/>
      <w:numFmt w:val="lowerRoman"/>
      <w:isLgl w:val="false"/>
      <w:suff w:val="tab"/>
      <w:lvlText w:val="%9"/>
      <w:lvlJc w:val="left"/>
      <w:pPr>
        <w:pStyle w:val="734"/>
        <w:ind w:left="6229"/>
      </w:pPr>
      <w:rPr>
        <w:rFonts w:ascii="黑体" w:hAnsi="黑体" w:eastAsia="黑体" w:cs="黑体"/>
        <w:b w:val="0"/>
        <w:i w:val="0"/>
        <w:strike w:val="0"/>
        <w:color w:val="000000"/>
        <w:sz w:val="18"/>
        <w:szCs w:val="18"/>
        <w:u w:val="none"/>
        <w:shd w:val="clear" w:color="auto" w:fill="auto"/>
        <w:vertAlign w:val="baseline"/>
      </w:rPr>
    </w:lvl>
  </w:abstractNum>
  <w:abstractNum w:abstractNumId="36">
    <w:multiLevelType w:val="hybridMultilevel"/>
    <w:lvl w:ilvl="0">
      <w:start w:val="1"/>
      <w:numFmt w:val="decimal"/>
      <w:isLgl w:val="false"/>
      <w:suff w:val="tab"/>
      <w:lvlText w:val="%1."/>
      <w:lvlJc w:val="left"/>
      <w:pPr>
        <w:pStyle w:val="734"/>
        <w:ind w:left="510" w:hanging="360"/>
        <w:tabs>
          <w:tab w:val="num" w:pos="510" w:leader="none"/>
        </w:tabs>
      </w:pPr>
      <w:rPr>
        <w:rFonts w:hint="eastAsia" w:cs="Times New Roman"/>
      </w:rPr>
    </w:lvl>
    <w:lvl w:ilvl="1">
      <w:start w:val="1"/>
      <w:numFmt w:val="decimal"/>
      <w:isLgl w:val="false"/>
      <w:suff w:val="tab"/>
      <w:lvlText w:val="%2．"/>
      <w:lvlJc w:val="left"/>
      <w:pPr>
        <w:pStyle w:val="734"/>
        <w:ind w:left="1290" w:hanging="720"/>
        <w:tabs>
          <w:tab w:val="num" w:pos="1290" w:leader="none"/>
        </w:tabs>
      </w:pPr>
      <w:rPr>
        <w:rFonts w:hint="eastAsia" w:cs="Times New Roman"/>
      </w:rPr>
    </w:lvl>
    <w:lvl w:ilvl="2">
      <w:start w:val="3"/>
      <w:numFmt w:val="decimal"/>
      <w:isLgl w:val="false"/>
      <w:suff w:val="tab"/>
      <w:lvlText w:val="（%3）"/>
      <w:lvlJc w:val="left"/>
      <w:pPr>
        <w:pStyle w:val="734"/>
        <w:ind w:left="1140" w:hanging="720"/>
        <w:tabs>
          <w:tab w:val="num" w:pos="1140" w:leader="none"/>
        </w:tabs>
      </w:pPr>
      <w:rPr>
        <w:rFonts w:hint="eastAsia" w:cs="Times New Roman"/>
      </w:rPr>
    </w:lvl>
    <w:lvl w:ilvl="3">
      <w:start w:val="1"/>
      <w:numFmt w:val="decimal"/>
      <w:isLgl w:val="false"/>
      <w:suff w:val="tab"/>
      <w:lvlText w:val="（%4）"/>
      <w:lvlJc w:val="left"/>
      <w:pPr>
        <w:pStyle w:val="73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34"/>
        <w:ind w:left="2250" w:hanging="420"/>
        <w:tabs>
          <w:tab w:val="num" w:pos="2250" w:leader="none"/>
        </w:tabs>
      </w:pPr>
      <w:rPr>
        <w:rFonts w:hint="eastAsia"/>
        <w:b/>
        <w:lang w:val="en-US"/>
      </w:rPr>
    </w:lvl>
    <w:lvl w:ilvl="5">
      <w:start w:val="10"/>
      <w:numFmt w:val="japaneseCounting"/>
      <w:isLgl w:val="false"/>
      <w:suff w:val="tab"/>
      <w:lvlText w:val="（%6）"/>
      <w:lvlJc w:val="left"/>
      <w:pPr>
        <w:pStyle w:val="734"/>
        <w:ind w:left="2970" w:hanging="720"/>
      </w:pPr>
      <w:rPr>
        <w:rFonts w:cs="Times New Roman"/>
      </w:rPr>
    </w:lvl>
    <w:lvl w:ilvl="6">
      <w:start w:val="1"/>
      <w:numFmt w:val="decimal"/>
      <w:isLgl w:val="false"/>
      <w:suff w:val="tab"/>
      <w:lvlText w:val="（%7）"/>
      <w:lvlJc w:val="left"/>
      <w:pPr>
        <w:pStyle w:val="734"/>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34"/>
        <w:ind w:left="3510" w:hanging="420"/>
        <w:tabs>
          <w:tab w:val="num" w:pos="3510" w:leader="none"/>
        </w:tabs>
      </w:pPr>
      <w:rPr>
        <w:rFonts w:cs="Times New Roman"/>
      </w:rPr>
    </w:lvl>
    <w:lvl w:ilvl="8">
      <w:start w:val="1"/>
      <w:numFmt w:val="lowerRoman"/>
      <w:isLgl w:val="false"/>
      <w:suff w:val="tab"/>
      <w:lvlText w:val="%9."/>
      <w:lvlJc w:val="right"/>
      <w:pPr>
        <w:pStyle w:val="734"/>
        <w:ind w:left="3930" w:hanging="420"/>
        <w:tabs>
          <w:tab w:val="num" w:pos="3930" w:leader="none"/>
        </w:tabs>
      </w:pPr>
      <w:rPr>
        <w:rFonts w:cs="Times New Roman"/>
      </w:rPr>
    </w:lvl>
  </w:abstractNum>
  <w:abstractNum w:abstractNumId="37">
    <w:multiLevelType w:val="hybridMultilevel"/>
    <w:lvl w:ilvl="0">
      <w:start w:val="1"/>
      <w:numFmt w:val="decimal"/>
      <w:isLgl w:val="false"/>
      <w:suff w:val="nothing"/>
      <w:lvlText w:val="（%1）"/>
      <w:lvlJc w:val="left"/>
      <w:pPr>
        <w:pStyle w:val="7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2"/>
      <w:numFmt w:val="chineseCounting"/>
      <w:isLgl w:val="false"/>
      <w:suff w:val="space"/>
      <w:lvlText w:val="%1."/>
      <w:lvlJc w:val="left"/>
      <w:pPr>
        <w:pStyle w:val="734"/>
      </w:pPr>
      <w:rPr>
        <w:rFonts w:hint="eastAsia"/>
      </w:r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39">
    <w:multiLevelType w:val="hybridMultilevel"/>
    <w:lvl w:ilvl="0">
      <w:start w:val="5"/>
      <w:numFmt w:val="japaneseCounting"/>
      <w:isLgl w:val="false"/>
      <w:suff w:val="tab"/>
      <w:lvlText w:val="%1、"/>
      <w:lvlJc w:val="left"/>
      <w:pPr>
        <w:pStyle w:val="734"/>
        <w:ind w:left="510" w:hanging="510"/>
      </w:pPr>
    </w:lvl>
    <w:lvl w:ilvl="1">
      <w:start w:val="1"/>
      <w:numFmt w:val="lowerLetter"/>
      <w:isLgl w:val="false"/>
      <w:suff w:val="tab"/>
      <w:lvlText w:val="%2)"/>
      <w:lvlJc w:val="left"/>
      <w:pPr>
        <w:pStyle w:val="734"/>
        <w:ind w:left="840" w:hanging="420"/>
      </w:pPr>
    </w:lvl>
    <w:lvl w:ilvl="2">
      <w:start w:val="1"/>
      <w:numFmt w:val="lowerRoman"/>
      <w:isLgl w:val="false"/>
      <w:suff w:val="tab"/>
      <w:lvlText w:val="%3."/>
      <w:lvlJc w:val="right"/>
      <w:pPr>
        <w:pStyle w:val="734"/>
        <w:ind w:left="1260" w:hanging="420"/>
      </w:pPr>
    </w:lvl>
    <w:lvl w:ilvl="3">
      <w:start w:val="1"/>
      <w:numFmt w:val="decimal"/>
      <w:isLgl w:val="false"/>
      <w:suff w:val="tab"/>
      <w:lvlText w:val="%4."/>
      <w:lvlJc w:val="left"/>
      <w:pPr>
        <w:pStyle w:val="734"/>
        <w:ind w:left="1680" w:hanging="420"/>
      </w:pPr>
    </w:lvl>
    <w:lvl w:ilvl="4">
      <w:start w:val="1"/>
      <w:numFmt w:val="lowerLetter"/>
      <w:isLgl w:val="false"/>
      <w:suff w:val="tab"/>
      <w:lvlText w:val="%5)"/>
      <w:lvlJc w:val="left"/>
      <w:pPr>
        <w:pStyle w:val="734"/>
        <w:ind w:left="2100" w:hanging="420"/>
      </w:pPr>
    </w:lvl>
    <w:lvl w:ilvl="5">
      <w:start w:val="1"/>
      <w:numFmt w:val="lowerRoman"/>
      <w:isLgl w:val="false"/>
      <w:suff w:val="tab"/>
      <w:lvlText w:val="%6."/>
      <w:lvlJc w:val="right"/>
      <w:pPr>
        <w:pStyle w:val="734"/>
        <w:ind w:left="2520" w:hanging="420"/>
      </w:pPr>
    </w:lvl>
    <w:lvl w:ilvl="6">
      <w:start w:val="1"/>
      <w:numFmt w:val="decimal"/>
      <w:isLgl w:val="false"/>
      <w:suff w:val="tab"/>
      <w:lvlText w:val="%7."/>
      <w:lvlJc w:val="left"/>
      <w:pPr>
        <w:pStyle w:val="734"/>
        <w:ind w:left="2940" w:hanging="420"/>
      </w:pPr>
    </w:lvl>
    <w:lvl w:ilvl="7">
      <w:start w:val="1"/>
      <w:numFmt w:val="lowerLetter"/>
      <w:isLgl w:val="false"/>
      <w:suff w:val="tab"/>
      <w:lvlText w:val="%8)"/>
      <w:lvlJc w:val="left"/>
      <w:pPr>
        <w:pStyle w:val="734"/>
        <w:ind w:left="3360" w:hanging="420"/>
      </w:pPr>
    </w:lvl>
    <w:lvl w:ilvl="8">
      <w:start w:val="1"/>
      <w:numFmt w:val="lowerRoman"/>
      <w:isLgl w:val="false"/>
      <w:suff w:val="tab"/>
      <w:lvlText w:val="%9."/>
      <w:lvlJc w:val="right"/>
      <w:pPr>
        <w:pStyle w:val="734"/>
        <w:ind w:left="3780" w:hanging="420"/>
      </w:pPr>
    </w:lvl>
  </w:abstractNum>
  <w:abstractNum w:abstractNumId="40">
    <w:multiLevelType w:val="hybridMultilevel"/>
    <w:lvl w:ilvl="0">
      <w:start w:val="1"/>
      <w:numFmt w:val="japaneseCounting"/>
      <w:isLgl w:val="false"/>
      <w:suff w:val="tab"/>
      <w:lvlText w:val="第%1章"/>
      <w:lvlJc w:val="left"/>
      <w:pPr>
        <w:pStyle w:val="734"/>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lowerLetter"/>
      <w:isLgl w:val="false"/>
      <w:suff w:val="tab"/>
      <w:lvlText w:val="%1)"/>
      <w:lvlJc w:val="left"/>
      <w:pPr>
        <w:pStyle w:val="734"/>
        <w:ind w:left="1"/>
      </w:pPr>
      <w:rPr>
        <w:rFonts w:ascii="黑体" w:hAnsi="黑体" w:eastAsia="黑体" w:cs="黑体"/>
        <w:b w:val="0"/>
        <w:i w:val="0"/>
        <w:strike w:val="0"/>
        <w:color w:val="000000"/>
        <w:sz w:val="18"/>
        <w:szCs w:val="18"/>
        <w:u w:val="none"/>
        <w:shd w:val="clear" w:color="auto" w:fill="auto"/>
        <w:vertAlign w:val="baseline"/>
      </w:rPr>
    </w:lvl>
    <w:lvl w:ilvl="1">
      <w:start w:val="1"/>
      <w:numFmt w:val="lowerLetter"/>
      <w:isLgl w:val="false"/>
      <w:suff w:val="tab"/>
      <w:lvlText w:val="%2"/>
      <w:lvlJc w:val="left"/>
      <w:pPr>
        <w:pStyle w:val="734"/>
        <w:ind w:left="1189"/>
      </w:pPr>
      <w:rPr>
        <w:rFonts w:ascii="黑体" w:hAnsi="黑体" w:eastAsia="黑体" w:cs="黑体"/>
        <w:b w:val="0"/>
        <w:i w:val="0"/>
        <w:strike w:val="0"/>
        <w:color w:val="000000"/>
        <w:sz w:val="18"/>
        <w:szCs w:val="18"/>
        <w:u w:val="none"/>
        <w:shd w:val="clear" w:color="auto" w:fill="auto"/>
        <w:vertAlign w:val="baseline"/>
      </w:rPr>
    </w:lvl>
    <w:lvl w:ilvl="2">
      <w:start w:val="1"/>
      <w:numFmt w:val="lowerRoman"/>
      <w:isLgl w:val="false"/>
      <w:suff w:val="tab"/>
      <w:lvlText w:val="%3"/>
      <w:lvlJc w:val="left"/>
      <w:pPr>
        <w:pStyle w:val="734"/>
        <w:ind w:left="1909"/>
      </w:pPr>
      <w:rPr>
        <w:rFonts w:ascii="黑体" w:hAnsi="黑体" w:eastAsia="黑体" w:cs="黑体"/>
        <w:b w:val="0"/>
        <w:i w:val="0"/>
        <w:strike w:val="0"/>
        <w:color w:val="000000"/>
        <w:sz w:val="18"/>
        <w:szCs w:val="18"/>
        <w:u w:val="none"/>
        <w:shd w:val="clear" w:color="auto" w:fill="auto"/>
        <w:vertAlign w:val="baseline"/>
      </w:rPr>
    </w:lvl>
    <w:lvl w:ilvl="3">
      <w:start w:val="1"/>
      <w:numFmt w:val="decimal"/>
      <w:isLgl w:val="false"/>
      <w:suff w:val="tab"/>
      <w:lvlText w:val="%4"/>
      <w:lvlJc w:val="left"/>
      <w:pPr>
        <w:pStyle w:val="734"/>
        <w:ind w:left="2629"/>
      </w:pPr>
      <w:rPr>
        <w:rFonts w:ascii="黑体" w:hAnsi="黑体" w:eastAsia="黑体" w:cs="黑体"/>
        <w:b w:val="0"/>
        <w:i w:val="0"/>
        <w:strike w:val="0"/>
        <w:color w:val="000000"/>
        <w:sz w:val="18"/>
        <w:szCs w:val="18"/>
        <w:u w:val="none"/>
        <w:shd w:val="clear" w:color="auto" w:fill="auto"/>
        <w:vertAlign w:val="baseline"/>
      </w:rPr>
    </w:lvl>
    <w:lvl w:ilvl="4">
      <w:start w:val="1"/>
      <w:numFmt w:val="lowerLetter"/>
      <w:isLgl w:val="false"/>
      <w:suff w:val="tab"/>
      <w:lvlText w:val="%5"/>
      <w:lvlJc w:val="left"/>
      <w:pPr>
        <w:pStyle w:val="734"/>
        <w:ind w:left="3349"/>
      </w:pPr>
      <w:rPr>
        <w:rFonts w:ascii="黑体" w:hAnsi="黑体" w:eastAsia="黑体" w:cs="黑体"/>
        <w:b w:val="0"/>
        <w:i w:val="0"/>
        <w:strike w:val="0"/>
        <w:color w:val="000000"/>
        <w:sz w:val="18"/>
        <w:szCs w:val="18"/>
        <w:u w:val="none"/>
        <w:shd w:val="clear" w:color="auto" w:fill="auto"/>
        <w:vertAlign w:val="baseline"/>
      </w:rPr>
    </w:lvl>
    <w:lvl w:ilvl="5">
      <w:start w:val="1"/>
      <w:numFmt w:val="lowerRoman"/>
      <w:isLgl w:val="false"/>
      <w:suff w:val="tab"/>
      <w:lvlText w:val="%6"/>
      <w:lvlJc w:val="left"/>
      <w:pPr>
        <w:pStyle w:val="734"/>
        <w:ind w:left="4069"/>
      </w:pPr>
      <w:rPr>
        <w:rFonts w:ascii="黑体" w:hAnsi="黑体" w:eastAsia="黑体" w:cs="黑体"/>
        <w:b w:val="0"/>
        <w:i w:val="0"/>
        <w:strike w:val="0"/>
        <w:color w:val="000000"/>
        <w:sz w:val="18"/>
        <w:szCs w:val="18"/>
        <w:u w:val="none"/>
        <w:shd w:val="clear" w:color="auto" w:fill="auto"/>
        <w:vertAlign w:val="baseline"/>
      </w:rPr>
    </w:lvl>
    <w:lvl w:ilvl="6">
      <w:start w:val="1"/>
      <w:numFmt w:val="decimal"/>
      <w:isLgl w:val="false"/>
      <w:suff w:val="tab"/>
      <w:lvlText w:val="%7"/>
      <w:lvlJc w:val="left"/>
      <w:pPr>
        <w:pStyle w:val="734"/>
        <w:ind w:left="4789"/>
      </w:pPr>
      <w:rPr>
        <w:rFonts w:ascii="黑体" w:hAnsi="黑体" w:eastAsia="黑体" w:cs="黑体"/>
        <w:b w:val="0"/>
        <w:i w:val="0"/>
        <w:strike w:val="0"/>
        <w:color w:val="000000"/>
        <w:sz w:val="18"/>
        <w:szCs w:val="18"/>
        <w:u w:val="none"/>
        <w:shd w:val="clear" w:color="auto" w:fill="auto"/>
        <w:vertAlign w:val="baseline"/>
      </w:rPr>
    </w:lvl>
    <w:lvl w:ilvl="7">
      <w:start w:val="1"/>
      <w:numFmt w:val="lowerLetter"/>
      <w:isLgl w:val="false"/>
      <w:suff w:val="tab"/>
      <w:lvlText w:val="%8"/>
      <w:lvlJc w:val="left"/>
      <w:pPr>
        <w:pStyle w:val="734"/>
        <w:ind w:left="5509"/>
      </w:pPr>
      <w:rPr>
        <w:rFonts w:ascii="黑体" w:hAnsi="黑体" w:eastAsia="黑体" w:cs="黑体"/>
        <w:b w:val="0"/>
        <w:i w:val="0"/>
        <w:strike w:val="0"/>
        <w:color w:val="000000"/>
        <w:sz w:val="18"/>
        <w:szCs w:val="18"/>
        <w:u w:val="none"/>
        <w:shd w:val="clear" w:color="auto" w:fill="auto"/>
        <w:vertAlign w:val="baseline"/>
      </w:rPr>
    </w:lvl>
    <w:lvl w:ilvl="8">
      <w:start w:val="1"/>
      <w:numFmt w:val="lowerRoman"/>
      <w:isLgl w:val="false"/>
      <w:suff w:val="tab"/>
      <w:lvlText w:val="%9"/>
      <w:lvlJc w:val="left"/>
      <w:pPr>
        <w:pStyle w:val="734"/>
        <w:ind w:left="6229"/>
      </w:pPr>
      <w:rPr>
        <w:rFonts w:ascii="黑体" w:hAnsi="黑体" w:eastAsia="黑体" w:cs="黑体"/>
        <w:b w:val="0"/>
        <w:i w:val="0"/>
        <w:strike w:val="0"/>
        <w:color w:val="000000"/>
        <w:sz w:val="18"/>
        <w:szCs w:val="18"/>
        <w:u w:val="none"/>
        <w:shd w:val="clear" w:color="auto" w:fill="auto"/>
        <w:vertAlign w:val="baseline"/>
      </w:rPr>
    </w:lvl>
  </w:abstractNum>
  <w:abstractNum w:abstractNumId="42">
    <w:multiLevelType w:val="hybridMultilevel"/>
    <w:lvl w:ilvl="0">
      <w:start w:val="1"/>
      <w:numFmt w:val="chineseCounting"/>
      <w:isLgl w:val="false"/>
      <w:suff w:val="space"/>
      <w:lvlText w:val="%1."/>
      <w:lvlJc w:val="left"/>
      <w:pPr>
        <w:pStyle w:val="7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chineseCounting"/>
      <w:isLgl w:val="false"/>
      <w:suff w:val="space"/>
      <w:lvlText w:val="%1."/>
      <w:lvlJc w:val="left"/>
      <w:pPr>
        <w:pStyle w:val="734"/>
      </w:pPr>
      <w:rPr>
        <w:rFonts w:hint="eastAsia"/>
      </w:r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num w:numId="1">
    <w:abstractNumId w:val="28"/>
  </w:num>
  <w:num w:numId="2">
    <w:abstractNumId w:val="6"/>
  </w:num>
  <w:num w:numId="3">
    <w:abstractNumId w:val="18"/>
  </w:num>
  <w:num w:numId="4">
    <w:abstractNumId w:val="40"/>
  </w:num>
  <w:num w:numId="5">
    <w:abstractNumId w:val="33"/>
  </w:num>
  <w:num w:numId="6">
    <w:abstractNumId w:val="17"/>
  </w:num>
  <w:num w:numId="7">
    <w:abstractNumId w:val="7"/>
  </w:num>
  <w:num w:numId="8">
    <w:abstractNumId w:val="1"/>
  </w:num>
  <w:num w:numId="9">
    <w:abstractNumId w:val="31"/>
  </w:num>
  <w:num w:numId="10">
    <w:abstractNumId w:val="4"/>
  </w:num>
  <w:num w:numId="11">
    <w:abstractNumId w:val="37"/>
  </w:num>
  <w:num w:numId="12">
    <w:abstractNumId w:val="0"/>
  </w:num>
  <w:num w:numId="13">
    <w:abstractNumId w:val="32"/>
  </w:num>
  <w:num w:numId="14">
    <w:abstractNumId w:val="15"/>
  </w:num>
  <w:num w:numId="15">
    <w:abstractNumId w:val="27"/>
  </w:num>
  <w:num w:numId="16">
    <w:abstractNumId w:val="10"/>
  </w:num>
  <w:num w:numId="17">
    <w:abstractNumId w:val="12"/>
  </w:num>
  <w:num w:numId="18">
    <w:abstractNumId w:val="16"/>
  </w:num>
  <w:num w:numId="19">
    <w:abstractNumId w:val="36"/>
  </w:num>
  <w:num w:numId="20">
    <w:abstractNumId w:val="24"/>
  </w:num>
  <w:num w:numId="21">
    <w:abstractNumId w:val="14"/>
  </w:num>
  <w:num w:numId="22">
    <w:abstractNumId w:val="8"/>
  </w:num>
  <w:num w:numId="23">
    <w:abstractNumId w:val="43"/>
  </w:num>
  <w:num w:numId="24">
    <w:abstractNumId w:val="38"/>
  </w:num>
  <w:num w:numId="25">
    <w:abstractNumId w:val="34"/>
  </w:num>
  <w:num w:numId="26">
    <w:abstractNumId w:val="5"/>
  </w:num>
  <w:num w:numId="27">
    <w:abstractNumId w:val="21"/>
  </w:num>
  <w:num w:numId="28">
    <w:abstractNumId w:val="26"/>
  </w:num>
  <w:num w:numId="29">
    <w:abstractNumId w:val="11"/>
  </w:num>
  <w:num w:numId="30">
    <w:abstractNumId w:val="9"/>
  </w:num>
  <w:num w:numId="31">
    <w:abstractNumId w:val="30"/>
  </w:num>
  <w:num w:numId="32">
    <w:abstractNumId w:val="25"/>
  </w:num>
  <w:num w:numId="33">
    <w:abstractNumId w:val="19"/>
  </w:num>
  <w:num w:numId="34">
    <w:abstractNumId w:val="2"/>
  </w:num>
  <w:num w:numId="35">
    <w:abstractNumId w:val="42"/>
  </w:num>
  <w:num w:numId="36">
    <w:abstractNumId w:val="23"/>
  </w:num>
  <w:num w:numId="37">
    <w:abstractNumId w:val="41"/>
  </w:num>
  <w:num w:numId="38">
    <w:abstractNumId w:val="22"/>
  </w:num>
  <w:num w:numId="39">
    <w:abstractNumId w:val="35"/>
  </w:num>
  <w:num w:numId="40">
    <w:abstractNumId w:val="13"/>
  </w:num>
  <w:num w:numId="41">
    <w:abstractNumId w:val="29"/>
  </w:num>
  <w:num w:numId="42">
    <w:abstractNumId w:val="3"/>
  </w:num>
  <w:num w:numId="43">
    <w:abstractNumId w:val="20"/>
  </w:num>
  <w:num w:numId="4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4"/>
    <w:next w:val="734"/>
    <w:link w:val="850"/>
    <w:uiPriority w:val="9"/>
    <w:qFormat/>
    <w:pPr>
      <w:keepLines/>
      <w:keepNext/>
      <w:spacing w:before="480" w:after="200"/>
      <w:outlineLvl w:val="0"/>
    </w:pPr>
    <w:rPr>
      <w:rFonts w:ascii="Arial" w:hAnsi="Arial" w:eastAsia="Arial" w:cs="Arial"/>
      <w:sz w:val="40"/>
      <w:szCs w:val="40"/>
    </w:rPr>
  </w:style>
  <w:style w:type="paragraph" w:styleId="14">
    <w:name w:val="Heading 2"/>
    <w:basedOn w:val="734"/>
    <w:next w:val="734"/>
    <w:link w:val="851"/>
    <w:uiPriority w:val="9"/>
    <w:unhideWhenUsed/>
    <w:qFormat/>
    <w:pPr>
      <w:keepLines/>
      <w:keepNext/>
      <w:spacing w:before="360" w:after="200"/>
      <w:outlineLvl w:val="1"/>
    </w:pPr>
    <w:rPr>
      <w:rFonts w:ascii="Arial" w:hAnsi="Arial" w:eastAsia="Arial" w:cs="Arial"/>
      <w:sz w:val="34"/>
    </w:rPr>
  </w:style>
  <w:style w:type="paragraph" w:styleId="16">
    <w:name w:val="Heading 3"/>
    <w:basedOn w:val="734"/>
    <w:next w:val="734"/>
    <w:link w:val="852"/>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34"/>
    <w:next w:val="734"/>
    <w:link w:val="85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34"/>
    <w:next w:val="7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4"/>
    <w:next w:val="73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4"/>
    <w:next w:val="7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4"/>
    <w:next w:val="73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4"/>
    <w:next w:val="7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4"/>
    <w:next w:val="73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4"/>
    <w:next w:val="73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4"/>
    <w:next w:val="734"/>
    <w:link w:val="38"/>
    <w:uiPriority w:val="29"/>
    <w:qFormat/>
    <w:pPr>
      <w:ind w:left="720" w:right="720"/>
    </w:pPr>
    <w:rPr>
      <w:i/>
    </w:rPr>
  </w:style>
  <w:style w:type="character" w:styleId="38">
    <w:name w:val="Quote Char"/>
    <w:link w:val="37"/>
    <w:uiPriority w:val="29"/>
    <w:rPr>
      <w:i/>
    </w:rPr>
  </w:style>
  <w:style w:type="paragraph" w:styleId="39">
    <w:name w:val="Intense Quote"/>
    <w:basedOn w:val="734"/>
    <w:next w:val="7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4"/>
    <w:link w:val="862"/>
    <w:uiPriority w:val="99"/>
    <w:unhideWhenUsed/>
    <w:pPr>
      <w:spacing w:after="0" w:line="240" w:lineRule="auto"/>
      <w:tabs>
        <w:tab w:val="center" w:pos="7143" w:leader="none"/>
        <w:tab w:val="right" w:pos="14287" w:leader="none"/>
      </w:tabs>
    </w:pPr>
  </w:style>
  <w:style w:type="paragraph" w:styleId="43">
    <w:name w:val="Footer"/>
    <w:basedOn w:val="734"/>
    <w:link w:val="865"/>
    <w:uiPriority w:val="99"/>
    <w:unhideWhenUsed/>
    <w:pPr>
      <w:spacing w:after="0" w:line="240" w:lineRule="auto"/>
      <w:tabs>
        <w:tab w:val="center" w:pos="7143" w:leader="none"/>
        <w:tab w:val="right" w:pos="14287" w:leader="none"/>
      </w:tabs>
    </w:pPr>
  </w:style>
  <w:style w:type="paragraph" w:styleId="45">
    <w:name w:val="Caption"/>
    <w:basedOn w:val="734"/>
    <w:next w:val="734"/>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4"/>
    <w:next w:val="734"/>
    <w:uiPriority w:val="39"/>
    <w:unhideWhenUsed/>
    <w:pPr>
      <w:ind w:left="0" w:right="0" w:firstLine="0"/>
      <w:spacing w:after="57"/>
    </w:pPr>
  </w:style>
  <w:style w:type="paragraph" w:styleId="181">
    <w:name w:val="toc 2"/>
    <w:basedOn w:val="734"/>
    <w:next w:val="734"/>
    <w:uiPriority w:val="39"/>
    <w:unhideWhenUsed/>
    <w:pPr>
      <w:ind w:left="283" w:right="0" w:firstLine="0"/>
      <w:spacing w:after="57"/>
    </w:pPr>
  </w:style>
  <w:style w:type="paragraph" w:styleId="182">
    <w:name w:val="toc 3"/>
    <w:basedOn w:val="734"/>
    <w:next w:val="734"/>
    <w:uiPriority w:val="39"/>
    <w:unhideWhenUsed/>
    <w:pPr>
      <w:ind w:left="567" w:right="0" w:firstLine="0"/>
      <w:spacing w:after="57"/>
    </w:pPr>
  </w:style>
  <w:style w:type="paragraph" w:styleId="183">
    <w:name w:val="toc 4"/>
    <w:basedOn w:val="734"/>
    <w:next w:val="734"/>
    <w:uiPriority w:val="39"/>
    <w:unhideWhenUsed/>
    <w:pPr>
      <w:ind w:left="850" w:right="0" w:firstLine="0"/>
      <w:spacing w:after="57"/>
    </w:pPr>
  </w:style>
  <w:style w:type="paragraph" w:styleId="184">
    <w:name w:val="toc 5"/>
    <w:basedOn w:val="734"/>
    <w:next w:val="734"/>
    <w:uiPriority w:val="39"/>
    <w:unhideWhenUsed/>
    <w:pPr>
      <w:ind w:left="1134" w:right="0" w:firstLine="0"/>
      <w:spacing w:after="57"/>
    </w:pPr>
  </w:style>
  <w:style w:type="paragraph" w:styleId="185">
    <w:name w:val="toc 6"/>
    <w:basedOn w:val="734"/>
    <w:next w:val="734"/>
    <w:uiPriority w:val="39"/>
    <w:unhideWhenUsed/>
    <w:pPr>
      <w:ind w:left="1417" w:right="0" w:firstLine="0"/>
      <w:spacing w:after="57"/>
    </w:pPr>
  </w:style>
  <w:style w:type="paragraph" w:styleId="186">
    <w:name w:val="toc 7"/>
    <w:basedOn w:val="734"/>
    <w:next w:val="734"/>
    <w:uiPriority w:val="39"/>
    <w:unhideWhenUsed/>
    <w:pPr>
      <w:ind w:left="1701" w:right="0" w:firstLine="0"/>
      <w:spacing w:after="57"/>
    </w:pPr>
  </w:style>
  <w:style w:type="paragraph" w:styleId="187">
    <w:name w:val="toc 8"/>
    <w:basedOn w:val="734"/>
    <w:next w:val="734"/>
    <w:uiPriority w:val="39"/>
    <w:unhideWhenUsed/>
    <w:pPr>
      <w:ind w:left="1984" w:right="0" w:firstLine="0"/>
      <w:spacing w:after="57"/>
    </w:pPr>
  </w:style>
  <w:style w:type="paragraph" w:styleId="188">
    <w:name w:val="toc 9"/>
    <w:basedOn w:val="734"/>
    <w:next w:val="73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4"/>
    <w:next w:val="734"/>
    <w:uiPriority w:val="99"/>
    <w:unhideWhenUsed/>
    <w:pPr>
      <w:spacing w:after="0" w:afterAutospacing="0"/>
    </w:pPr>
  </w:style>
  <w:style w:type="paragraph" w:styleId="734" w:default="1">
    <w:name w:val="Normal"/>
    <w:next w:val="734"/>
    <w:link w:val="734"/>
    <w:qFormat/>
    <w:pPr>
      <w:jc w:val="both"/>
      <w:widowControl w:val="off"/>
    </w:pPr>
    <w:rPr>
      <w:rFonts w:ascii="Times New Roman" w:hAnsi="Times New Roman"/>
      <w:sz w:val="21"/>
      <w:szCs w:val="21"/>
      <w:lang w:val="en-US" w:eastAsia="zh-CN" w:bidi="ar-SA"/>
    </w:rPr>
  </w:style>
  <w:style w:type="paragraph" w:styleId="735">
    <w:name w:val="标题 1"/>
    <w:basedOn w:val="734"/>
    <w:next w:val="734"/>
    <w:link w:val="747"/>
    <w:qFormat/>
    <w:pPr>
      <w:jc w:val="center"/>
      <w:keepNext/>
      <w:outlineLvl w:val="0"/>
    </w:pPr>
    <w:rPr>
      <w:rFonts w:ascii="楷体_GB2312" w:eastAsia="楷体_GB2312"/>
      <w:sz w:val="28"/>
      <w:szCs w:val="28"/>
      <w:lang w:val="en-US" w:eastAsia="en-US"/>
    </w:rPr>
  </w:style>
  <w:style w:type="paragraph" w:styleId="736">
    <w:name w:val="标题 2"/>
    <w:basedOn w:val="734"/>
    <w:next w:val="749"/>
    <w:link w:val="748"/>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737">
    <w:name w:val="标题 3"/>
    <w:basedOn w:val="734"/>
    <w:next w:val="749"/>
    <w:link w:val="751"/>
    <w:qFormat/>
    <w:pPr>
      <w:keepLines/>
      <w:keepNext/>
      <w:spacing w:before="260" w:after="260" w:line="416" w:lineRule="auto"/>
      <w:outlineLvl w:val="2"/>
    </w:pPr>
    <w:rPr>
      <w:b/>
      <w:bCs/>
      <w:sz w:val="32"/>
      <w:szCs w:val="32"/>
      <w:lang w:val="en-US" w:eastAsia="en-US"/>
    </w:rPr>
  </w:style>
  <w:style w:type="paragraph" w:styleId="738">
    <w:name w:val="标题 4"/>
    <w:basedOn w:val="734"/>
    <w:next w:val="749"/>
    <w:link w:val="752"/>
    <w:uiPriority w:val="9"/>
    <w:qFormat/>
    <w:pPr>
      <w:keepLines/>
      <w:keepNext/>
      <w:spacing w:before="280" w:after="290" w:line="376" w:lineRule="auto"/>
      <w:outlineLvl w:val="3"/>
    </w:pPr>
    <w:rPr>
      <w:rFonts w:ascii="Arial" w:hAnsi="Arial" w:eastAsia="黑体"/>
      <w:b/>
      <w:bCs/>
      <w:sz w:val="28"/>
      <w:szCs w:val="28"/>
      <w:lang w:val="en-US" w:eastAsia="en-US"/>
    </w:rPr>
  </w:style>
  <w:style w:type="paragraph" w:styleId="739">
    <w:name w:val="标题 5"/>
    <w:basedOn w:val="734"/>
    <w:next w:val="749"/>
    <w:link w:val="753"/>
    <w:uiPriority w:val="9"/>
    <w:qFormat/>
    <w:pPr>
      <w:keepNext/>
      <w:outlineLvl w:val="4"/>
    </w:pPr>
    <w:rPr>
      <w:rFonts w:ascii="宋体"/>
      <w:color w:val="000000"/>
      <w:sz w:val="28"/>
      <w:szCs w:val="28"/>
      <w:lang w:val="en-US" w:eastAsia="en-US"/>
    </w:rPr>
  </w:style>
  <w:style w:type="paragraph" w:styleId="740">
    <w:name w:val="标题 6"/>
    <w:basedOn w:val="734"/>
    <w:next w:val="734"/>
    <w:link w:val="754"/>
    <w:uiPriority w:val="9"/>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741">
    <w:name w:val="标题 7"/>
    <w:basedOn w:val="734"/>
    <w:next w:val="734"/>
    <w:link w:val="755"/>
    <w:uiPriority w:val="9"/>
    <w:qFormat/>
    <w:pPr>
      <w:numPr>
        <w:ilvl w:val="6"/>
        <w:numId w:val="1"/>
      </w:numPr>
      <w:keepLines/>
      <w:keepNext/>
      <w:spacing w:before="240" w:after="64" w:line="320" w:lineRule="auto"/>
      <w:outlineLvl w:val="6"/>
    </w:pPr>
    <w:rPr>
      <w:b/>
      <w:bCs/>
      <w:sz w:val="24"/>
      <w:szCs w:val="24"/>
      <w:lang w:val="en-US" w:eastAsia="en-US"/>
    </w:rPr>
  </w:style>
  <w:style w:type="paragraph" w:styleId="742">
    <w:name w:val="标题 8"/>
    <w:basedOn w:val="734"/>
    <w:next w:val="734"/>
    <w:link w:val="756"/>
    <w:uiPriority w:val="9"/>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743">
    <w:name w:val="标题 9"/>
    <w:basedOn w:val="734"/>
    <w:next w:val="734"/>
    <w:link w:val="757"/>
    <w:uiPriority w:val="9"/>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744">
    <w:name w:val="默认段落字体"/>
    <w:next w:val="744"/>
    <w:link w:val="734"/>
    <w:uiPriority w:val="1"/>
    <w:unhideWhenUsed/>
  </w:style>
  <w:style w:type="table" w:styleId="745">
    <w:name w:val="普通表格"/>
    <w:next w:val="745"/>
    <w:link w:val="734"/>
    <w:uiPriority w:val="99"/>
    <w:unhideWhenUsed/>
    <w:tblPr/>
  </w:style>
  <w:style w:type="numbering" w:styleId="746">
    <w:name w:val="无列表"/>
    <w:next w:val="746"/>
    <w:link w:val="734"/>
    <w:uiPriority w:val="99"/>
    <w:semiHidden/>
    <w:unhideWhenUsed/>
  </w:style>
  <w:style w:type="character" w:styleId="747">
    <w:name w:val="标题 1 Char"/>
    <w:next w:val="747"/>
    <w:link w:val="735"/>
    <w:qFormat/>
    <w:rPr>
      <w:rFonts w:ascii="楷体_GB2312" w:hAnsi="Times New Roman" w:eastAsia="楷体_GB2312" w:cs="Times New Roman"/>
      <w:sz w:val="28"/>
      <w:szCs w:val="28"/>
    </w:rPr>
  </w:style>
  <w:style w:type="character" w:styleId="748">
    <w:name w:val="标题 2 Char"/>
    <w:next w:val="748"/>
    <w:link w:val="736"/>
    <w:qFormat/>
    <w:rPr>
      <w:rFonts w:ascii="Arial" w:hAnsi="Arial" w:eastAsia="幼圆" w:cs="Arial"/>
      <w:b/>
      <w:bCs/>
      <w:sz w:val="44"/>
      <w:szCs w:val="44"/>
    </w:rPr>
  </w:style>
  <w:style w:type="paragraph" w:styleId="749">
    <w:name w:val="正文缩进"/>
    <w:basedOn w:val="734"/>
    <w:next w:val="749"/>
    <w:link w:val="750"/>
    <w:pPr>
      <w:ind w:firstLine="420"/>
    </w:pPr>
    <w:rPr>
      <w:sz w:val="20"/>
      <w:lang w:val="en-US" w:eastAsia="en-US"/>
    </w:rPr>
  </w:style>
  <w:style w:type="character" w:styleId="750">
    <w:name w:val="正文缩进 Char"/>
    <w:next w:val="750"/>
    <w:link w:val="749"/>
    <w:rPr>
      <w:rFonts w:ascii="Times New Roman" w:hAnsi="Times New Roman" w:eastAsia="宋体" w:cs="Times New Roman"/>
      <w:szCs w:val="21"/>
    </w:rPr>
  </w:style>
  <w:style w:type="character" w:styleId="751">
    <w:name w:val="标题 3 Char"/>
    <w:next w:val="751"/>
    <w:link w:val="737"/>
    <w:rPr>
      <w:rFonts w:ascii="Times New Roman" w:hAnsi="Times New Roman" w:eastAsia="宋体" w:cs="Times New Roman"/>
      <w:b/>
      <w:bCs/>
      <w:sz w:val="32"/>
      <w:szCs w:val="32"/>
    </w:rPr>
  </w:style>
  <w:style w:type="character" w:styleId="752">
    <w:name w:val="标题 4 Char"/>
    <w:next w:val="752"/>
    <w:link w:val="738"/>
    <w:uiPriority w:val="9"/>
    <w:rPr>
      <w:rFonts w:ascii="Arial" w:hAnsi="Arial" w:eastAsia="黑体" w:cs="Arial"/>
      <w:b/>
      <w:bCs/>
      <w:sz w:val="28"/>
      <w:szCs w:val="28"/>
    </w:rPr>
  </w:style>
  <w:style w:type="character" w:styleId="753">
    <w:name w:val="标题 5 Char"/>
    <w:next w:val="753"/>
    <w:link w:val="739"/>
    <w:uiPriority w:val="9"/>
    <w:rPr>
      <w:rFonts w:ascii="宋体" w:hAnsi="Times New Roman" w:eastAsia="宋体" w:cs="Times New Roman"/>
      <w:color w:val="000000"/>
      <w:sz w:val="28"/>
      <w:szCs w:val="28"/>
    </w:rPr>
  </w:style>
  <w:style w:type="character" w:styleId="754">
    <w:name w:val="标题 6 Char"/>
    <w:next w:val="754"/>
    <w:link w:val="740"/>
    <w:uiPriority w:val="9"/>
    <w:rPr>
      <w:rFonts w:ascii="Arial" w:hAnsi="Arial" w:eastAsia="黑体" w:cs="Times New Roman"/>
      <w:b/>
      <w:bCs/>
      <w:sz w:val="24"/>
      <w:szCs w:val="24"/>
    </w:rPr>
  </w:style>
  <w:style w:type="character" w:styleId="755">
    <w:name w:val="标题 7 Char"/>
    <w:next w:val="755"/>
    <w:link w:val="741"/>
    <w:uiPriority w:val="9"/>
    <w:rPr>
      <w:rFonts w:ascii="Times New Roman" w:hAnsi="Times New Roman" w:eastAsia="宋体" w:cs="Times New Roman"/>
      <w:b/>
      <w:bCs/>
      <w:sz w:val="24"/>
      <w:szCs w:val="24"/>
    </w:rPr>
  </w:style>
  <w:style w:type="character" w:styleId="756">
    <w:name w:val="标题 8 Char"/>
    <w:next w:val="756"/>
    <w:link w:val="742"/>
    <w:uiPriority w:val="9"/>
    <w:rPr>
      <w:rFonts w:ascii="Arial" w:hAnsi="Arial" w:eastAsia="黑体" w:cs="Times New Roman"/>
      <w:sz w:val="24"/>
      <w:szCs w:val="24"/>
    </w:rPr>
  </w:style>
  <w:style w:type="character" w:styleId="757">
    <w:name w:val="标题 9 Char"/>
    <w:next w:val="757"/>
    <w:link w:val="743"/>
    <w:uiPriority w:val="9"/>
    <w:rPr>
      <w:rFonts w:ascii="Arial" w:hAnsi="Arial" w:eastAsia="黑体" w:cs="Times New Roman"/>
      <w:szCs w:val="21"/>
    </w:rPr>
  </w:style>
  <w:style w:type="paragraph" w:styleId="758">
    <w:name w:val="列表 3"/>
    <w:basedOn w:val="734"/>
    <w:next w:val="758"/>
    <w:link w:val="734"/>
    <w:pPr>
      <w:ind w:left="100" w:hanging="200"/>
    </w:pPr>
  </w:style>
  <w:style w:type="paragraph" w:styleId="759">
    <w:name w:val="目录 7"/>
    <w:basedOn w:val="734"/>
    <w:next w:val="734"/>
    <w:link w:val="734"/>
    <w:uiPriority w:val="39"/>
    <w:pPr>
      <w:ind w:left="1260"/>
      <w:jc w:val="left"/>
    </w:pPr>
  </w:style>
  <w:style w:type="paragraph" w:styleId="760">
    <w:name w:val="文档结构图"/>
    <w:basedOn w:val="734"/>
    <w:next w:val="760"/>
    <w:link w:val="761"/>
    <w:semiHidden/>
    <w:pPr>
      <w:shd w:val="clear" w:color="auto" w:fill="000080"/>
    </w:pPr>
    <w:rPr>
      <w:sz w:val="20"/>
      <w:lang w:val="en-US" w:eastAsia="en-US"/>
    </w:rPr>
  </w:style>
  <w:style w:type="character" w:styleId="761">
    <w:name w:val="文档结构图 Char"/>
    <w:next w:val="761"/>
    <w:link w:val="760"/>
    <w:semiHidden/>
    <w:rPr>
      <w:rFonts w:ascii="Times New Roman" w:hAnsi="Times New Roman" w:eastAsia="宋体" w:cs="Times New Roman"/>
      <w:szCs w:val="21"/>
      <w:shd w:val="clear" w:color="auto" w:fill="000080"/>
    </w:rPr>
  </w:style>
  <w:style w:type="paragraph" w:styleId="762">
    <w:name w:val="批注文字"/>
    <w:basedOn w:val="734"/>
    <w:next w:val="762"/>
    <w:link w:val="763"/>
    <w:semiHidden/>
    <w:pPr>
      <w:jc w:val="left"/>
    </w:pPr>
    <w:rPr>
      <w:sz w:val="20"/>
      <w:lang w:val="en-US" w:eastAsia="en-US"/>
    </w:rPr>
  </w:style>
  <w:style w:type="character" w:styleId="763">
    <w:name w:val="批注文字 Char"/>
    <w:next w:val="763"/>
    <w:link w:val="762"/>
    <w:semiHidden/>
    <w:rPr>
      <w:rFonts w:ascii="Times New Roman" w:hAnsi="Times New Roman" w:eastAsia="宋体" w:cs="Times New Roman"/>
      <w:szCs w:val="21"/>
    </w:rPr>
  </w:style>
  <w:style w:type="paragraph" w:styleId="764">
    <w:name w:val="正文文本 3"/>
    <w:basedOn w:val="734"/>
    <w:next w:val="764"/>
    <w:link w:val="765"/>
    <w:rPr>
      <w:rFonts w:ascii="仿宋_GB2312" w:hAnsi="Arial" w:eastAsia="仿宋_GB2312"/>
      <w:sz w:val="32"/>
      <w:szCs w:val="32"/>
      <w:lang w:val="en-US" w:eastAsia="en-US"/>
    </w:rPr>
  </w:style>
  <w:style w:type="character" w:styleId="765">
    <w:name w:val="正文文本 3 Char"/>
    <w:next w:val="765"/>
    <w:link w:val="764"/>
    <w:rPr>
      <w:rFonts w:ascii="仿宋_GB2312" w:hAnsi="Arial" w:eastAsia="仿宋_GB2312" w:cs="Times New Roman"/>
      <w:sz w:val="32"/>
      <w:szCs w:val="32"/>
    </w:rPr>
  </w:style>
  <w:style w:type="paragraph" w:styleId="766">
    <w:name w:val="正文文本"/>
    <w:basedOn w:val="734"/>
    <w:next w:val="766"/>
    <w:link w:val="767"/>
    <w:rPr>
      <w:rFonts w:ascii="楷体_GB2312" w:hAnsi="Arial" w:eastAsia="楷体_GB2312"/>
      <w:sz w:val="28"/>
      <w:szCs w:val="28"/>
      <w:lang w:val="en-US" w:eastAsia="en-US"/>
    </w:rPr>
  </w:style>
  <w:style w:type="character" w:styleId="767">
    <w:name w:val="正文文本 Char"/>
    <w:next w:val="767"/>
    <w:link w:val="766"/>
    <w:rPr>
      <w:rFonts w:ascii="楷体_GB2312" w:hAnsi="Arial" w:eastAsia="楷体_GB2312" w:cs="Times New Roman"/>
      <w:sz w:val="28"/>
      <w:szCs w:val="28"/>
    </w:rPr>
  </w:style>
  <w:style w:type="paragraph" w:styleId="768">
    <w:name w:val="正文文本缩进"/>
    <w:basedOn w:val="734"/>
    <w:next w:val="768"/>
    <w:link w:val="769"/>
    <w:pPr>
      <w:ind w:firstLine="645"/>
    </w:pPr>
    <w:rPr>
      <w:rFonts w:ascii="楷体_GB2312" w:eastAsia="楷体_GB2312"/>
      <w:sz w:val="32"/>
      <w:szCs w:val="32"/>
      <w:lang w:val="en-US" w:eastAsia="en-US"/>
    </w:rPr>
  </w:style>
  <w:style w:type="character" w:styleId="769">
    <w:name w:val="正文文本缩进 Char"/>
    <w:next w:val="769"/>
    <w:link w:val="768"/>
    <w:rPr>
      <w:rFonts w:ascii="楷体_GB2312" w:hAnsi="Times New Roman" w:eastAsia="楷体_GB2312" w:cs="Times New Roman"/>
      <w:sz w:val="32"/>
      <w:szCs w:val="32"/>
    </w:rPr>
  </w:style>
  <w:style w:type="paragraph" w:styleId="770">
    <w:name w:val="列表 2"/>
    <w:basedOn w:val="734"/>
    <w:next w:val="770"/>
    <w:link w:val="734"/>
    <w:pPr>
      <w:ind w:left="100" w:hanging="200"/>
    </w:pPr>
  </w:style>
  <w:style w:type="paragraph" w:styleId="771">
    <w:name w:val="目录 5"/>
    <w:basedOn w:val="734"/>
    <w:next w:val="734"/>
    <w:link w:val="734"/>
    <w:uiPriority w:val="39"/>
    <w:pPr>
      <w:ind w:left="840"/>
      <w:jc w:val="left"/>
    </w:pPr>
  </w:style>
  <w:style w:type="paragraph" w:styleId="772">
    <w:name w:val="目录 3"/>
    <w:basedOn w:val="734"/>
    <w:next w:val="734"/>
    <w:link w:val="734"/>
    <w:uiPriority w:val="39"/>
    <w:pPr>
      <w:ind w:left="420"/>
      <w:jc w:val="left"/>
    </w:pPr>
    <w:rPr>
      <w:i/>
      <w:iCs/>
      <w:szCs w:val="24"/>
    </w:rPr>
  </w:style>
  <w:style w:type="paragraph" w:styleId="773">
    <w:name w:val="纯文本"/>
    <w:basedOn w:val="734"/>
    <w:next w:val="773"/>
    <w:link w:val="774"/>
    <w:rPr>
      <w:rFonts w:ascii="宋体" w:hAnsi="Courier New"/>
      <w:sz w:val="20"/>
      <w:lang w:val="en-US" w:eastAsia="en-US"/>
    </w:rPr>
  </w:style>
  <w:style w:type="character" w:styleId="774">
    <w:name w:val="纯文本 Char"/>
    <w:next w:val="774"/>
    <w:link w:val="773"/>
    <w:rPr>
      <w:rFonts w:ascii="宋体" w:hAnsi="Courier New" w:eastAsia="宋体" w:cs="Courier New"/>
      <w:szCs w:val="21"/>
    </w:rPr>
  </w:style>
  <w:style w:type="paragraph" w:styleId="775">
    <w:name w:val="目录 8"/>
    <w:basedOn w:val="734"/>
    <w:next w:val="734"/>
    <w:link w:val="734"/>
    <w:uiPriority w:val="39"/>
    <w:pPr>
      <w:ind w:left="1470"/>
      <w:jc w:val="left"/>
    </w:pPr>
  </w:style>
  <w:style w:type="paragraph" w:styleId="776">
    <w:name w:val="日期"/>
    <w:basedOn w:val="734"/>
    <w:next w:val="734"/>
    <w:link w:val="777"/>
    <w:rPr>
      <w:sz w:val="24"/>
      <w:szCs w:val="24"/>
      <w:lang w:val="en-US" w:eastAsia="en-US"/>
    </w:rPr>
  </w:style>
  <w:style w:type="character" w:styleId="777">
    <w:name w:val="日期 Char"/>
    <w:next w:val="777"/>
    <w:link w:val="776"/>
    <w:rPr>
      <w:rFonts w:ascii="Times New Roman" w:hAnsi="Times New Roman" w:eastAsia="宋体" w:cs="Times New Roman"/>
      <w:sz w:val="24"/>
      <w:szCs w:val="24"/>
    </w:rPr>
  </w:style>
  <w:style w:type="paragraph" w:styleId="778">
    <w:name w:val="正文文本缩进 2"/>
    <w:basedOn w:val="734"/>
    <w:next w:val="778"/>
    <w:link w:val="779"/>
    <w:uiPriority w:val="99"/>
    <w:qFormat/>
    <w:pPr>
      <w:ind w:left="630" w:firstLine="645"/>
    </w:pPr>
    <w:rPr>
      <w:rFonts w:ascii="Arial" w:hAnsi="Arial" w:eastAsia="仿宋_GB2312"/>
      <w:sz w:val="32"/>
      <w:szCs w:val="32"/>
      <w:lang w:val="en-US" w:eastAsia="en-US"/>
    </w:rPr>
  </w:style>
  <w:style w:type="character" w:styleId="779">
    <w:name w:val="正文文本缩进 2 Char"/>
    <w:next w:val="779"/>
    <w:link w:val="778"/>
    <w:uiPriority w:val="99"/>
    <w:qFormat/>
    <w:rPr>
      <w:rFonts w:ascii="Arial" w:hAnsi="Arial" w:eastAsia="仿宋_GB2312" w:cs="Arial"/>
      <w:sz w:val="32"/>
      <w:szCs w:val="32"/>
    </w:rPr>
  </w:style>
  <w:style w:type="paragraph" w:styleId="780">
    <w:name w:val="批注框文本"/>
    <w:basedOn w:val="734"/>
    <w:next w:val="780"/>
    <w:link w:val="781"/>
    <w:qFormat/>
    <w:rPr>
      <w:sz w:val="18"/>
      <w:szCs w:val="18"/>
      <w:lang w:val="en-US" w:eastAsia="en-US"/>
    </w:rPr>
  </w:style>
  <w:style w:type="character" w:styleId="781">
    <w:name w:val="批注框文本 Char"/>
    <w:next w:val="781"/>
    <w:link w:val="780"/>
    <w:qFormat/>
    <w:rPr>
      <w:rFonts w:ascii="Times New Roman" w:hAnsi="Times New Roman" w:eastAsia="宋体" w:cs="Times New Roman"/>
      <w:sz w:val="18"/>
      <w:szCs w:val="18"/>
    </w:rPr>
  </w:style>
  <w:style w:type="paragraph" w:styleId="782">
    <w:name w:val="页脚"/>
    <w:basedOn w:val="734"/>
    <w:next w:val="782"/>
    <w:link w:val="783"/>
    <w:qFormat/>
    <w:pPr>
      <w:jc w:val="left"/>
      <w:tabs>
        <w:tab w:val="center" w:pos="4153" w:leader="none"/>
        <w:tab w:val="right" w:pos="8306" w:leader="none"/>
      </w:tabs>
    </w:pPr>
    <w:rPr>
      <w:sz w:val="18"/>
      <w:szCs w:val="18"/>
      <w:lang w:val="en-US" w:eastAsia="en-US"/>
    </w:rPr>
  </w:style>
  <w:style w:type="character" w:styleId="783">
    <w:name w:val="页脚 Char"/>
    <w:next w:val="783"/>
    <w:link w:val="782"/>
    <w:uiPriority w:val="99"/>
    <w:qFormat/>
    <w:rPr>
      <w:rFonts w:ascii="Times New Roman" w:hAnsi="Times New Roman" w:eastAsia="宋体" w:cs="Times New Roman"/>
      <w:sz w:val="18"/>
      <w:szCs w:val="18"/>
    </w:rPr>
  </w:style>
  <w:style w:type="paragraph" w:styleId="784">
    <w:name w:val="页眉"/>
    <w:basedOn w:val="734"/>
    <w:next w:val="784"/>
    <w:link w:val="785"/>
    <w:qFormat/>
    <w:pPr>
      <w:jc w:val="center"/>
      <w:tabs>
        <w:tab w:val="center" w:pos="4153" w:leader="none"/>
        <w:tab w:val="right" w:pos="8306" w:leader="none"/>
      </w:tabs>
      <w:pBdr>
        <w:bottom w:val="single" w:color="000000" w:sz="6" w:space="1"/>
      </w:pBdr>
    </w:pPr>
    <w:rPr>
      <w:sz w:val="18"/>
      <w:szCs w:val="18"/>
      <w:lang w:val="en-US" w:eastAsia="en-US"/>
    </w:rPr>
  </w:style>
  <w:style w:type="character" w:styleId="785">
    <w:name w:val="页眉 Char"/>
    <w:next w:val="785"/>
    <w:link w:val="784"/>
    <w:uiPriority w:val="99"/>
    <w:qFormat/>
    <w:rPr>
      <w:rFonts w:ascii="Times New Roman" w:hAnsi="Times New Roman" w:eastAsia="宋体" w:cs="Times New Roman"/>
      <w:sz w:val="18"/>
      <w:szCs w:val="18"/>
    </w:rPr>
  </w:style>
  <w:style w:type="paragraph" w:styleId="786">
    <w:name w:val="目录 1"/>
    <w:basedOn w:val="734"/>
    <w:next w:val="734"/>
    <w:link w:val="734"/>
    <w:uiPriority w:val="39"/>
    <w:pPr>
      <w:jc w:val="left"/>
      <w:spacing w:before="120" w:after="120" w:line="400" w:lineRule="exact"/>
      <w:tabs>
        <w:tab w:val="right" w:pos="8720" w:leader="dot"/>
      </w:tabs>
    </w:pPr>
    <w:rPr>
      <w:rFonts w:ascii="宋体" w:hAnsi="宋体"/>
      <w:caps/>
      <w:sz w:val="24"/>
      <w:szCs w:val="24"/>
    </w:rPr>
  </w:style>
  <w:style w:type="paragraph" w:styleId="787">
    <w:name w:val="目录 4"/>
    <w:basedOn w:val="734"/>
    <w:next w:val="734"/>
    <w:link w:val="734"/>
    <w:uiPriority w:val="39"/>
    <w:pPr>
      <w:ind w:left="630"/>
      <w:jc w:val="left"/>
    </w:pPr>
  </w:style>
  <w:style w:type="paragraph" w:styleId="788">
    <w:name w:val="列表"/>
    <w:basedOn w:val="734"/>
    <w:next w:val="788"/>
    <w:link w:val="734"/>
    <w:pPr>
      <w:ind w:left="200" w:hanging="200"/>
    </w:pPr>
  </w:style>
  <w:style w:type="paragraph" w:styleId="789">
    <w:name w:val="目录 6"/>
    <w:basedOn w:val="734"/>
    <w:next w:val="734"/>
    <w:link w:val="734"/>
    <w:uiPriority w:val="39"/>
    <w:pPr>
      <w:ind w:left="1050"/>
      <w:jc w:val="left"/>
    </w:pPr>
  </w:style>
  <w:style w:type="paragraph" w:styleId="790">
    <w:name w:val="正文文本缩进 3"/>
    <w:basedOn w:val="734"/>
    <w:next w:val="790"/>
    <w:link w:val="791"/>
    <w:pPr>
      <w:ind w:left="645" w:firstLine="645"/>
    </w:pPr>
    <w:rPr>
      <w:rFonts w:ascii="Arial" w:hAnsi="Arial" w:eastAsia="仿宋_GB2312"/>
      <w:color w:val="ffff00"/>
      <w:sz w:val="32"/>
      <w:szCs w:val="32"/>
      <w:lang w:val="en-US" w:eastAsia="en-US"/>
    </w:rPr>
  </w:style>
  <w:style w:type="character" w:styleId="791">
    <w:name w:val="正文文本缩进 3 Char"/>
    <w:next w:val="791"/>
    <w:link w:val="790"/>
    <w:rPr>
      <w:rFonts w:ascii="Arial" w:hAnsi="Arial" w:eastAsia="仿宋_GB2312" w:cs="Arial"/>
      <w:color w:val="ffff00"/>
      <w:sz w:val="32"/>
      <w:szCs w:val="32"/>
    </w:rPr>
  </w:style>
  <w:style w:type="paragraph" w:styleId="792">
    <w:name w:val="图表目录"/>
    <w:basedOn w:val="734"/>
    <w:next w:val="734"/>
    <w:link w:val="734"/>
    <w:uiPriority w:val="99"/>
    <w:pPr>
      <w:ind w:left="840" w:hanging="420"/>
    </w:pPr>
  </w:style>
  <w:style w:type="paragraph" w:styleId="793">
    <w:name w:val="目录 2"/>
    <w:basedOn w:val="734"/>
    <w:next w:val="734"/>
    <w:link w:val="734"/>
    <w:uiPriority w:val="99"/>
    <w:qFormat/>
    <w:pPr>
      <w:ind w:left="210"/>
      <w:jc w:val="left"/>
    </w:pPr>
    <w:rPr>
      <w:smallCaps/>
      <w:szCs w:val="24"/>
    </w:rPr>
  </w:style>
  <w:style w:type="paragraph" w:styleId="794">
    <w:name w:val="目录 9"/>
    <w:basedOn w:val="734"/>
    <w:next w:val="734"/>
    <w:link w:val="734"/>
    <w:uiPriority w:val="39"/>
    <w:pPr>
      <w:ind w:left="1680"/>
      <w:jc w:val="left"/>
    </w:pPr>
  </w:style>
  <w:style w:type="paragraph" w:styleId="795">
    <w:name w:val="正文文本 2"/>
    <w:basedOn w:val="734"/>
    <w:next w:val="795"/>
    <w:link w:val="796"/>
    <w:pPr>
      <w:jc w:val="center"/>
      <w:widowControl/>
    </w:pPr>
    <w:rPr>
      <w:rFonts w:ascii="楷体_GB2312" w:eastAsia="楷体_GB2312"/>
      <w:sz w:val="28"/>
      <w:szCs w:val="28"/>
      <w:lang w:val="en-US" w:eastAsia="en-US"/>
    </w:rPr>
  </w:style>
  <w:style w:type="character" w:styleId="796">
    <w:name w:val="正文文本 2 Char"/>
    <w:next w:val="796"/>
    <w:link w:val="795"/>
    <w:rPr>
      <w:rFonts w:ascii="楷体_GB2312" w:hAnsi="Times New Roman" w:eastAsia="楷体_GB2312" w:cs="Times New Roman"/>
      <w:sz w:val="28"/>
      <w:szCs w:val="28"/>
    </w:rPr>
  </w:style>
  <w:style w:type="paragraph" w:styleId="797">
    <w:name w:val="普通(网站)"/>
    <w:basedOn w:val="734"/>
    <w:next w:val="797"/>
    <w:link w:val="734"/>
    <w:uiPriority w:val="99"/>
    <w:pPr>
      <w:jc w:val="left"/>
      <w:spacing w:before="100" w:beforeAutospacing="1" w:after="100" w:afterAutospacing="1"/>
      <w:widowControl/>
    </w:pPr>
    <w:rPr>
      <w:rFonts w:ascii="宋体" w:hAnsi="宋体" w:cs="宋体"/>
      <w:sz w:val="24"/>
      <w:szCs w:val="24"/>
    </w:rPr>
  </w:style>
  <w:style w:type="paragraph" w:styleId="798">
    <w:name w:val="索引 1"/>
    <w:basedOn w:val="734"/>
    <w:next w:val="734"/>
    <w:link w:val="734"/>
    <w:semiHidden/>
    <w:pPr>
      <w:spacing w:line="240" w:lineRule="atLeast"/>
    </w:pPr>
    <w:rPr>
      <w:b/>
      <w:bCs/>
    </w:rPr>
  </w:style>
  <w:style w:type="paragraph" w:styleId="799">
    <w:name w:val="批注主题"/>
    <w:basedOn w:val="762"/>
    <w:next w:val="762"/>
    <w:link w:val="800"/>
    <w:semiHidden/>
    <w:rPr>
      <w:b/>
      <w:bCs/>
    </w:rPr>
  </w:style>
  <w:style w:type="character" w:styleId="800">
    <w:name w:val="批注主题 Char"/>
    <w:next w:val="800"/>
    <w:link w:val="799"/>
    <w:semiHidden/>
    <w:rPr>
      <w:rFonts w:ascii="Times New Roman" w:hAnsi="Times New Roman" w:eastAsia="宋体" w:cs="Times New Roman"/>
      <w:b/>
      <w:bCs/>
      <w:szCs w:val="21"/>
    </w:rPr>
  </w:style>
  <w:style w:type="paragraph" w:styleId="801">
    <w:name w:val="正文首行缩进"/>
    <w:basedOn w:val="734"/>
    <w:next w:val="801"/>
    <w:link w:val="802"/>
    <w:uiPriority w:val="99"/>
    <w:qFormat/>
    <w:pPr>
      <w:ind w:firstLine="200"/>
      <w:spacing w:line="360" w:lineRule="auto"/>
    </w:pPr>
    <w:rPr>
      <w:rFonts w:ascii="仿宋_GB2312" w:eastAsia="仿宋_GB2312"/>
      <w:sz w:val="30"/>
      <w:szCs w:val="30"/>
      <w:lang w:val="en-US" w:eastAsia="en-US"/>
    </w:rPr>
  </w:style>
  <w:style w:type="character" w:styleId="802">
    <w:name w:val="正文首行缩进 Char"/>
    <w:next w:val="802"/>
    <w:link w:val="801"/>
    <w:uiPriority w:val="99"/>
    <w:qFormat/>
    <w:rPr>
      <w:rFonts w:ascii="仿宋_GB2312" w:hAnsi="Times New Roman" w:eastAsia="仿宋_GB2312" w:cs="Times New Roman"/>
      <w:sz w:val="30"/>
      <w:szCs w:val="30"/>
    </w:rPr>
  </w:style>
  <w:style w:type="paragraph" w:styleId="803">
    <w:name w:val="正文首行缩进 2"/>
    <w:basedOn w:val="768"/>
    <w:next w:val="803"/>
    <w:link w:val="804"/>
    <w:pPr>
      <w:ind w:firstLine="420"/>
      <w:spacing w:line="360" w:lineRule="auto"/>
    </w:pPr>
    <w:rPr>
      <w:rFonts w:ascii="宋体" w:hAnsi="宋体" w:eastAsia="宋体"/>
      <w:szCs w:val="20"/>
    </w:rPr>
  </w:style>
  <w:style w:type="character" w:styleId="804">
    <w:name w:val="正文首行缩进 2 Char"/>
    <w:next w:val="804"/>
    <w:link w:val="803"/>
    <w:rPr>
      <w:rFonts w:ascii="宋体" w:hAnsi="宋体" w:eastAsia="宋体" w:cs="Times New Roman"/>
      <w:sz w:val="32"/>
      <w:szCs w:val="20"/>
    </w:rPr>
  </w:style>
  <w:style w:type="table" w:styleId="805">
    <w:name w:val="网格型"/>
    <w:basedOn w:val="745"/>
    <w:next w:val="805"/>
    <w:link w:val="734"/>
    <w:uiPriority w:val="59"/>
    <w:pPr>
      <w:jc w:val="both"/>
      <w:widowControl w:val="off"/>
    </w:pPr>
    <w:rPr>
      <w:rFonts w:ascii="Times New Roman" w:hAnsi="Times New Roman" w:eastAsia="宋体" w:cs="Times New Roman"/>
      <w:sz w:val="20"/>
      <w:szCs w:val="20"/>
    </w:rPr>
    <w:tblPr/>
  </w:style>
  <w:style w:type="character" w:styleId="806">
    <w:name w:val="要点"/>
    <w:next w:val="806"/>
    <w:link w:val="734"/>
    <w:qFormat/>
    <w:rPr>
      <w:b/>
      <w:bCs/>
    </w:rPr>
  </w:style>
  <w:style w:type="character" w:styleId="807">
    <w:name w:val="页码"/>
    <w:next w:val="807"/>
    <w:link w:val="734"/>
  </w:style>
  <w:style w:type="character" w:styleId="808">
    <w:name w:val="已访问的超链接"/>
    <w:next w:val="808"/>
    <w:link w:val="734"/>
    <w:rPr>
      <w:color w:val="800080"/>
      <w:u w:val="single"/>
    </w:rPr>
  </w:style>
  <w:style w:type="character" w:styleId="809">
    <w:name w:val="HTML 打字机"/>
    <w:next w:val="809"/>
    <w:link w:val="734"/>
    <w:uiPriority w:val="99"/>
    <w:rPr>
      <w:rFonts w:ascii="宋体" w:hAnsi="宋体" w:eastAsia="宋体" w:cs="宋体"/>
      <w:sz w:val="24"/>
      <w:szCs w:val="24"/>
    </w:rPr>
  </w:style>
  <w:style w:type="character" w:styleId="810">
    <w:name w:val="超链接"/>
    <w:next w:val="810"/>
    <w:link w:val="734"/>
    <w:uiPriority w:val="99"/>
    <w:rPr>
      <w:color w:val="0000ff"/>
      <w:u w:val="single"/>
    </w:rPr>
  </w:style>
  <w:style w:type="character" w:styleId="811">
    <w:name w:val="批注引用"/>
    <w:next w:val="811"/>
    <w:link w:val="734"/>
    <w:semiHidden/>
    <w:rPr>
      <w:sz w:val="21"/>
      <w:szCs w:val="21"/>
    </w:rPr>
  </w:style>
  <w:style w:type="character" w:styleId="812">
    <w:name w:val="font5 Char"/>
    <w:next w:val="812"/>
    <w:link w:val="734"/>
    <w:rPr>
      <w:rFonts w:ascii="宋体" w:hAnsi="宋体" w:eastAsia="宋体"/>
      <w:sz w:val="28"/>
      <w:szCs w:val="28"/>
      <w:lang w:val="en-US" w:eastAsia="zh-CN" w:bidi="ar-SA"/>
    </w:rPr>
  </w:style>
  <w:style w:type="character" w:styleId="813">
    <w:name w:val="二级目录 Char"/>
    <w:next w:val="813"/>
    <w:link w:val="814"/>
    <w:rPr>
      <w:b/>
      <w:sz w:val="30"/>
      <w:szCs w:val="28"/>
      <w:lang w:val="en-US" w:eastAsia="zh-CN" w:bidi="ar-SA"/>
    </w:rPr>
  </w:style>
  <w:style w:type="paragraph" w:styleId="814">
    <w:name w:val="二级目录"/>
    <w:next w:val="734"/>
    <w:link w:val="813"/>
    <w:pPr>
      <w:numPr>
        <w:ilvl w:val="0"/>
        <w:numId w:val="2"/>
      </w:numPr>
      <w:tabs>
        <w:tab w:val="left" w:pos="907" w:leader="none"/>
        <w:tab w:val="left" w:pos="1145" w:leader="none"/>
      </w:tabs>
      <w:outlineLvl w:val="1"/>
    </w:pPr>
    <w:rPr>
      <w:b/>
      <w:sz w:val="30"/>
      <w:szCs w:val="28"/>
      <w:lang w:val="en-US" w:eastAsia="zh-CN" w:bidi="ar-SA"/>
    </w:rPr>
  </w:style>
  <w:style w:type="character" w:styleId="815">
    <w:name w:val="列出段落 Char,Bullet List Char,numbered Char,FooterText Char,List Paragraph1 Char,Paragraphe de liste1 Char"/>
    <w:next w:val="815"/>
    <w:link w:val="816"/>
    <w:uiPriority w:val="34"/>
    <w:qFormat/>
    <w:rPr>
      <w:rFonts w:ascii="Calibri" w:hAnsi="Calibri"/>
      <w:sz w:val="24"/>
      <w:szCs w:val="24"/>
      <w:lang w:eastAsia="en-US" w:bidi="en-US"/>
    </w:rPr>
  </w:style>
  <w:style w:type="paragraph" w:styleId="816">
    <w:name w:val="列出段落1"/>
    <w:basedOn w:val="734"/>
    <w:next w:val="816"/>
    <w:link w:val="815"/>
    <w:qFormat/>
    <w:pPr>
      <w:contextualSpacing/>
      <w:ind w:left="720"/>
      <w:jc w:val="left"/>
      <w:widowControl/>
    </w:pPr>
    <w:rPr>
      <w:rFonts w:ascii="Calibri" w:hAnsi="Calibri"/>
      <w:sz w:val="24"/>
      <w:szCs w:val="24"/>
      <w:lang w:val="en-US" w:eastAsia="en-US" w:bidi="en-US"/>
    </w:rPr>
  </w:style>
  <w:style w:type="paragraph" w:styleId="817">
    <w:name w:val="Body Text(ch)"/>
    <w:basedOn w:val="734"/>
    <w:next w:val="766"/>
    <w:link w:val="734"/>
    <w:pPr>
      <w:spacing w:after="120"/>
    </w:pPr>
    <w:rPr>
      <w:rFonts w:ascii="宋体" w:hAnsi="Arial"/>
      <w:bCs/>
      <w:iCs/>
      <w:szCs w:val="24"/>
    </w:rPr>
  </w:style>
  <w:style w:type="paragraph" w:styleId="818">
    <w:name w:val="xl27"/>
    <w:basedOn w:val="734"/>
    <w:next w:val="818"/>
    <w:link w:val="7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19">
    <w:name w:val="xl26"/>
    <w:basedOn w:val="734"/>
    <w:next w:val="819"/>
    <w:link w:val="7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20">
    <w:name w:val="Char"/>
    <w:basedOn w:val="734"/>
    <w:next w:val="820"/>
    <w:link w:val="734"/>
    <w:pPr>
      <w:ind w:firstLine="200"/>
      <w:tabs>
        <w:tab w:val="left" w:pos="360" w:leader="none"/>
      </w:tabs>
    </w:pPr>
    <w:rPr>
      <w:sz w:val="28"/>
      <w:szCs w:val="30"/>
    </w:rPr>
  </w:style>
  <w:style w:type="paragraph" w:styleId="821">
    <w:name w:val=" Char"/>
    <w:basedOn w:val="760"/>
    <w:next w:val="821"/>
    <w:link w:val="734"/>
    <w:rPr>
      <w:rFonts w:ascii="Tahoma" w:hAnsi="Tahoma"/>
      <w:sz w:val="24"/>
      <w:szCs w:val="24"/>
    </w:rPr>
  </w:style>
  <w:style w:type="paragraph" w:styleId="822">
    <w:name w:val="普通正文"/>
    <w:basedOn w:val="734"/>
    <w:next w:val="822"/>
    <w:link w:val="734"/>
    <w:pPr>
      <w:ind w:firstLine="480"/>
      <w:jc w:val="left"/>
      <w:spacing w:before="120" w:after="120" w:line="360" w:lineRule="auto"/>
    </w:pPr>
    <w:rPr>
      <w:rFonts w:ascii="Arial" w:hAnsi="Arial"/>
      <w:sz w:val="24"/>
      <w:szCs w:val="24"/>
    </w:rPr>
  </w:style>
  <w:style w:type="paragraph" w:styleId="823">
    <w:name w:val="table_lines"/>
    <w:basedOn w:val="734"/>
    <w:next w:val="823"/>
    <w:link w:val="734"/>
    <w:pPr>
      <w:jc w:val="left"/>
      <w:widowControl/>
    </w:pPr>
    <w:rPr>
      <w:sz w:val="20"/>
      <w:szCs w:val="20"/>
      <w:lang w:val="de-DE" w:eastAsia="de-DE"/>
    </w:rPr>
  </w:style>
  <w:style w:type="paragraph" w:styleId="824">
    <w:name w:val="附录1"/>
    <w:next w:val="824"/>
    <w:link w:val="73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25">
    <w:name w:val="font7"/>
    <w:basedOn w:val="734"/>
    <w:next w:val="825"/>
    <w:link w:val="734"/>
    <w:pPr>
      <w:jc w:val="left"/>
      <w:spacing w:before="100" w:beforeAutospacing="1" w:after="100" w:afterAutospacing="1"/>
      <w:widowControl/>
    </w:pPr>
    <w:rPr>
      <w:rFonts w:hint="eastAsia" w:ascii="宋体" w:hAnsi="宋体"/>
      <w:sz w:val="18"/>
      <w:szCs w:val="18"/>
    </w:rPr>
  </w:style>
  <w:style w:type="paragraph" w:styleId="826">
    <w:name w:val=" Char Char Char Char"/>
    <w:basedOn w:val="760"/>
    <w:next w:val="826"/>
    <w:link w:val="734"/>
    <w:pPr>
      <w:spacing w:line="360" w:lineRule="auto"/>
    </w:pPr>
    <w:rPr>
      <w:rFonts w:ascii="Tahoma" w:hAnsi="Tahoma"/>
      <w:sz w:val="24"/>
      <w:szCs w:val="24"/>
    </w:rPr>
  </w:style>
  <w:style w:type="paragraph" w:styleId="827">
    <w:name w:val="列出段落"/>
    <w:basedOn w:val="734"/>
    <w:next w:val="827"/>
    <w:link w:val="734"/>
    <w:uiPriority w:val="34"/>
    <w:qFormat/>
    <w:pPr>
      <w:contextualSpacing/>
      <w:ind w:left="720"/>
      <w:jc w:val="left"/>
      <w:widowControl/>
    </w:pPr>
    <w:rPr>
      <w:rFonts w:ascii="Calibri" w:hAnsi="Calibri"/>
      <w:sz w:val="24"/>
      <w:szCs w:val="24"/>
      <w:lang w:eastAsia="en-US" w:bidi="en-US"/>
    </w:rPr>
  </w:style>
  <w:style w:type="paragraph" w:styleId="828">
    <w:name w:val="4"/>
    <w:basedOn w:val="734"/>
    <w:next w:val="790"/>
    <w:link w:val="734"/>
    <w:pPr>
      <w:ind w:firstLine="420"/>
      <w:spacing w:line="360" w:lineRule="auto"/>
    </w:pPr>
    <w:rPr>
      <w:color w:val="ff0000"/>
      <w:sz w:val="24"/>
      <w:szCs w:val="24"/>
    </w:rPr>
  </w:style>
  <w:style w:type="paragraph" w:styleId="829">
    <w:name w:val="普通 (Web)"/>
    <w:basedOn w:val="734"/>
    <w:next w:val="829"/>
    <w:link w:val="734"/>
    <w:pPr>
      <w:jc w:val="left"/>
      <w:spacing w:before="100" w:beforeAutospacing="1" w:after="100" w:afterAutospacing="1"/>
      <w:widowControl/>
    </w:pPr>
    <w:rPr>
      <w:rFonts w:ascii="宋体" w:hAnsi="宋体"/>
      <w:sz w:val="24"/>
      <w:szCs w:val="24"/>
    </w:rPr>
  </w:style>
  <w:style w:type="paragraph" w:styleId="830">
    <w:name w:val=" Char Char Char Char Char Char Char Char Char Char"/>
    <w:basedOn w:val="734"/>
    <w:next w:val="830"/>
    <w:link w:val="734"/>
    <w:pPr>
      <w:spacing w:line="360" w:lineRule="auto"/>
    </w:pPr>
    <w:rPr>
      <w:sz w:val="24"/>
      <w:szCs w:val="20"/>
    </w:rPr>
  </w:style>
  <w:style w:type="paragraph" w:styleId="831">
    <w:name w:val="样式1"/>
    <w:basedOn w:val="734"/>
    <w:next w:val="831"/>
    <w:link w:val="734"/>
    <w:pPr>
      <w:numPr>
        <w:ilvl w:val="0"/>
        <w:numId w:val="3"/>
      </w:numPr>
      <w:tabs>
        <w:tab w:val="left" w:pos="709" w:leader="none"/>
      </w:tabs>
    </w:pPr>
    <w:rPr>
      <w:rFonts w:ascii="宋体" w:hAnsi="宋体"/>
    </w:rPr>
  </w:style>
  <w:style w:type="paragraph" w:styleId="832">
    <w:name w:val="font6"/>
    <w:basedOn w:val="734"/>
    <w:next w:val="832"/>
    <w:link w:val="734"/>
    <w:pPr>
      <w:jc w:val="left"/>
      <w:spacing w:before="100" w:beforeAutospacing="1" w:after="100" w:afterAutospacing="1"/>
      <w:widowControl/>
    </w:pPr>
    <w:rPr>
      <w:rFonts w:hint="eastAsia" w:ascii="宋体" w:hAnsi="宋体"/>
      <w:sz w:val="28"/>
      <w:szCs w:val="28"/>
      <w:u w:val="single"/>
    </w:rPr>
  </w:style>
  <w:style w:type="paragraph" w:styleId="833">
    <w:name w:val="xl25"/>
    <w:basedOn w:val="734"/>
    <w:next w:val="833"/>
    <w:link w:val="73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4">
    <w:name w:val="图标"/>
    <w:basedOn w:val="734"/>
    <w:next w:val="734"/>
    <w:link w:val="73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35">
    <w:name w:val="标题3"/>
    <w:basedOn w:val="734"/>
    <w:next w:val="734"/>
    <w:link w:val="734"/>
    <w:pPr>
      <w:ind w:firstLine="624"/>
      <w:spacing w:line="590" w:lineRule="atLeast"/>
    </w:pPr>
    <w:rPr>
      <w:rFonts w:ascii="方正黑体_GBK" w:eastAsia="方正黑体_GBK"/>
      <w:sz w:val="32"/>
      <w:szCs w:val="32"/>
    </w:rPr>
  </w:style>
  <w:style w:type="paragraph" w:styleId="836">
    <w:name w:val="xl24"/>
    <w:basedOn w:val="734"/>
    <w:next w:val="836"/>
    <w:link w:val="7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37">
    <w:name w:val="xl29"/>
    <w:basedOn w:val="734"/>
    <w:next w:val="837"/>
    <w:link w:val="73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38">
    <w:name w:val="Char Char Char Char Char Char Char Char"/>
    <w:basedOn w:val="734"/>
    <w:next w:val="838"/>
    <w:link w:val="734"/>
    <w:pPr>
      <w:jc w:val="left"/>
      <w:spacing w:after="160" w:line="240" w:lineRule="exact"/>
      <w:widowControl/>
    </w:pPr>
    <w:rPr>
      <w:rFonts w:ascii="Verdana" w:hAnsi="Verdana"/>
      <w:sz w:val="20"/>
      <w:szCs w:val="20"/>
      <w:lang w:eastAsia="en-US"/>
    </w:rPr>
  </w:style>
  <w:style w:type="paragraph" w:styleId="839">
    <w:name w:val="xl28"/>
    <w:basedOn w:val="734"/>
    <w:next w:val="839"/>
    <w:link w:val="73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40">
    <w:name w:val=" Char Char Char Char Char Char Char Char"/>
    <w:basedOn w:val="734"/>
    <w:next w:val="840"/>
    <w:link w:val="734"/>
    <w:pPr>
      <w:jc w:val="left"/>
      <w:spacing w:after="160" w:line="240" w:lineRule="exact"/>
      <w:widowControl/>
    </w:pPr>
    <w:rPr>
      <w:rFonts w:ascii="Verdana" w:hAnsi="Verdana"/>
      <w:sz w:val="20"/>
      <w:szCs w:val="20"/>
      <w:lang w:eastAsia="en-US"/>
    </w:rPr>
  </w:style>
  <w:style w:type="paragraph" w:styleId="841">
    <w:name w:val="xl30"/>
    <w:basedOn w:val="734"/>
    <w:next w:val="841"/>
    <w:link w:val="734"/>
    <w:pPr>
      <w:jc w:val="center"/>
      <w:spacing w:before="100" w:beforeAutospacing="1" w:after="100" w:afterAutospacing="1"/>
      <w:widowControl/>
    </w:pPr>
    <w:rPr>
      <w:rFonts w:ascii="宋体" w:hAnsi="宋体"/>
      <w:b/>
      <w:bCs/>
      <w:sz w:val="36"/>
      <w:szCs w:val="36"/>
    </w:rPr>
  </w:style>
  <w:style w:type="paragraph" w:styleId="842">
    <w:name w:val="Char Char Char Char"/>
    <w:basedOn w:val="760"/>
    <w:next w:val="842"/>
    <w:link w:val="734"/>
    <w:pPr>
      <w:spacing w:line="360" w:lineRule="auto"/>
    </w:pPr>
    <w:rPr>
      <w:rFonts w:ascii="Tahoma" w:hAnsi="Tahoma"/>
      <w:sz w:val="24"/>
      <w:szCs w:val="24"/>
    </w:rPr>
  </w:style>
  <w:style w:type="paragraph" w:styleId="843">
    <w:name w:val="table_1stline"/>
    <w:basedOn w:val="734"/>
    <w:next w:val="843"/>
    <w:link w:val="734"/>
    <w:pPr>
      <w:jc w:val="left"/>
      <w:spacing w:before="120"/>
      <w:widowControl/>
    </w:pPr>
    <w:rPr>
      <w:bCs/>
      <w:sz w:val="20"/>
      <w:szCs w:val="20"/>
      <w:lang w:val="de-DE" w:eastAsia="de-DE"/>
    </w:rPr>
  </w:style>
  <w:style w:type="paragraph" w:styleId="844">
    <w:name w:val="font5"/>
    <w:basedOn w:val="734"/>
    <w:next w:val="844"/>
    <w:link w:val="734"/>
    <w:pPr>
      <w:jc w:val="left"/>
      <w:spacing w:before="100" w:beforeAutospacing="1" w:after="100" w:afterAutospacing="1"/>
      <w:widowControl/>
    </w:pPr>
    <w:rPr>
      <w:rFonts w:hint="eastAsia" w:ascii="宋体" w:hAnsi="宋体"/>
      <w:sz w:val="28"/>
      <w:szCs w:val="28"/>
    </w:rPr>
  </w:style>
  <w:style w:type="paragraph" w:styleId="845">
    <w:name w:val="标题1"/>
    <w:basedOn w:val="734"/>
    <w:next w:val="734"/>
    <w:link w:val="734"/>
    <w:pPr>
      <w:jc w:val="center"/>
      <w:spacing w:line="700" w:lineRule="atLeast"/>
      <w:tabs>
        <w:tab w:val="left" w:pos="9193" w:leader="none"/>
        <w:tab w:val="left" w:pos="9827" w:leader="none"/>
      </w:tabs>
    </w:pPr>
    <w:rPr>
      <w:rFonts w:ascii="方正小标宋_GBK" w:eastAsia="方正小标宋_GBK"/>
      <w:sz w:val="44"/>
      <w:szCs w:val="20"/>
    </w:rPr>
  </w:style>
  <w:style w:type="paragraph" w:styleId="846">
    <w:name w:val="修订"/>
    <w:next w:val="846"/>
    <w:link w:val="734"/>
    <w:uiPriority w:val="99"/>
    <w:semiHidden/>
    <w:rPr>
      <w:rFonts w:ascii="Times New Roman" w:hAnsi="Times New Roman"/>
      <w:sz w:val="21"/>
      <w:szCs w:val="21"/>
      <w:lang w:val="en-US" w:eastAsia="zh-CN" w:bidi="ar-SA"/>
    </w:rPr>
  </w:style>
  <w:style w:type="paragraph" w:styleId="847">
    <w:name w:val="无间隔"/>
    <w:next w:val="847"/>
    <w:link w:val="734"/>
    <w:uiPriority w:val="1"/>
    <w:qFormat/>
    <w:pPr>
      <w:jc w:val="both"/>
      <w:widowControl w:val="off"/>
    </w:pPr>
    <w:rPr>
      <w:rFonts w:ascii="Times New Roman" w:hAnsi="Times New Roman"/>
      <w:sz w:val="21"/>
      <w:szCs w:val="21"/>
      <w:lang w:val="en-US" w:eastAsia="zh-CN" w:bidi="ar-SA"/>
    </w:rPr>
  </w:style>
  <w:style w:type="paragraph" w:styleId="848">
    <w:name w:val="普通文字"/>
    <w:basedOn w:val="734"/>
    <w:next w:val="734"/>
    <w:link w:val="734"/>
    <w:uiPriority w:val="99"/>
    <w:rPr>
      <w:rFonts w:ascii="宋体" w:hAnsi="Times New Roman" w:eastAsia="宋体" w:cs="Times New Roman"/>
      <w:sz w:val="24"/>
      <w:szCs w:val="20"/>
      <w:u w:val="none"/>
    </w:rPr>
  </w:style>
  <w:style w:type="paragraph" w:styleId="849">
    <w:name w:val="目录 111"/>
    <w:basedOn w:val="734"/>
    <w:next w:val="734"/>
    <w:link w:val="734"/>
    <w:uiPriority w:val="39"/>
    <w:unhideWhenUsed/>
    <w:qFormat/>
    <w:pPr>
      <w:jc w:val="left"/>
      <w:spacing w:after="100" w:line="259" w:lineRule="auto"/>
      <w:widowControl/>
    </w:pPr>
    <w:rPr>
      <w:rFonts w:ascii="Calibri" w:hAnsi="Calibri" w:eastAsia="宋体"/>
      <w:sz w:val="22"/>
      <w:szCs w:val="22"/>
    </w:rPr>
  </w:style>
  <w:style w:type="character" w:styleId="850">
    <w:name w:val="Heading 1 Char"/>
    <w:next w:val="850"/>
    <w:link w:val="734"/>
    <w:uiPriority w:val="9"/>
    <w:rPr>
      <w:rFonts w:ascii="Arial" w:hAnsi="Arial" w:eastAsia="Arial" w:cs="Arial"/>
      <w:sz w:val="40"/>
      <w:szCs w:val="40"/>
    </w:rPr>
  </w:style>
  <w:style w:type="character" w:styleId="851">
    <w:name w:val="Heading 2 Char"/>
    <w:next w:val="851"/>
    <w:link w:val="734"/>
    <w:uiPriority w:val="9"/>
    <w:rPr>
      <w:rFonts w:ascii="Arial" w:hAnsi="Arial" w:eastAsia="Arial" w:cs="Arial"/>
      <w:sz w:val="34"/>
    </w:rPr>
  </w:style>
  <w:style w:type="character" w:styleId="852">
    <w:name w:val="Heading 3 Char"/>
    <w:next w:val="852"/>
    <w:link w:val="734"/>
    <w:uiPriority w:val="9"/>
    <w:rPr>
      <w:rFonts w:ascii="Arial" w:hAnsi="Arial" w:eastAsia="Arial" w:cs="Arial"/>
      <w:sz w:val="30"/>
      <w:szCs w:val="30"/>
    </w:rPr>
  </w:style>
  <w:style w:type="character" w:styleId="853">
    <w:name w:val="Heading 4 Char"/>
    <w:next w:val="853"/>
    <w:link w:val="734"/>
    <w:uiPriority w:val="9"/>
    <w:rPr>
      <w:rFonts w:ascii="Arial" w:hAnsi="Arial" w:eastAsia="Arial" w:cs="Arial"/>
      <w:b/>
      <w:bCs/>
      <w:sz w:val="26"/>
      <w:szCs w:val="26"/>
    </w:rPr>
  </w:style>
  <w:style w:type="paragraph" w:styleId="854">
    <w:name w:val="标题"/>
    <w:basedOn w:val="734"/>
    <w:next w:val="734"/>
    <w:link w:val="855"/>
    <w:uiPriority w:val="10"/>
    <w:qFormat/>
    <w:pPr>
      <w:contextualSpacing/>
      <w:spacing w:before="300" w:after="200"/>
    </w:pPr>
    <w:rPr>
      <w:rFonts w:ascii="Calibri" w:hAnsi="Calibri"/>
      <w:sz w:val="48"/>
      <w:szCs w:val="48"/>
    </w:rPr>
  </w:style>
  <w:style w:type="character" w:styleId="855">
    <w:name w:val="标题 Char"/>
    <w:next w:val="855"/>
    <w:link w:val="854"/>
    <w:uiPriority w:val="10"/>
    <w:rPr>
      <w:sz w:val="48"/>
      <w:szCs w:val="48"/>
    </w:rPr>
  </w:style>
  <w:style w:type="paragraph" w:styleId="856">
    <w:name w:val="副标题"/>
    <w:basedOn w:val="734"/>
    <w:next w:val="734"/>
    <w:link w:val="857"/>
    <w:uiPriority w:val="11"/>
    <w:qFormat/>
    <w:pPr>
      <w:spacing w:before="200" w:after="200"/>
    </w:pPr>
    <w:rPr>
      <w:rFonts w:ascii="Calibri" w:hAnsi="Calibri"/>
      <w:sz w:val="24"/>
      <w:szCs w:val="24"/>
    </w:rPr>
  </w:style>
  <w:style w:type="character" w:styleId="857">
    <w:name w:val="副标题 Char"/>
    <w:next w:val="857"/>
    <w:link w:val="856"/>
    <w:uiPriority w:val="11"/>
    <w:rPr>
      <w:sz w:val="24"/>
      <w:szCs w:val="24"/>
    </w:rPr>
  </w:style>
  <w:style w:type="paragraph" w:styleId="858">
    <w:name w:val="引用"/>
    <w:basedOn w:val="734"/>
    <w:next w:val="734"/>
    <w:link w:val="859"/>
    <w:uiPriority w:val="29"/>
    <w:qFormat/>
    <w:pPr>
      <w:ind w:left="720" w:right="720"/>
    </w:pPr>
    <w:rPr>
      <w:rFonts w:ascii="Calibri" w:hAnsi="Calibri"/>
      <w:i/>
      <w:szCs w:val="24"/>
    </w:rPr>
  </w:style>
  <w:style w:type="character" w:styleId="859">
    <w:name w:val="引用 Char"/>
    <w:next w:val="859"/>
    <w:link w:val="858"/>
    <w:uiPriority w:val="29"/>
    <w:rPr>
      <w:i/>
      <w:sz w:val="21"/>
      <w:szCs w:val="24"/>
    </w:rPr>
  </w:style>
  <w:style w:type="paragraph" w:styleId="860">
    <w:name w:val="明显引用"/>
    <w:basedOn w:val="734"/>
    <w:next w:val="734"/>
    <w:link w:val="8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i/>
      <w:szCs w:val="24"/>
    </w:rPr>
  </w:style>
  <w:style w:type="character" w:styleId="861">
    <w:name w:val="明显引用 Char"/>
    <w:next w:val="861"/>
    <w:link w:val="860"/>
    <w:uiPriority w:val="30"/>
    <w:rPr>
      <w:i/>
      <w:sz w:val="21"/>
      <w:szCs w:val="24"/>
      <w:shd w:val="clear" w:color="auto" w:fill="f2f2f2"/>
    </w:rPr>
  </w:style>
  <w:style w:type="character" w:styleId="862">
    <w:name w:val="Header Char"/>
    <w:next w:val="862"/>
    <w:link w:val="734"/>
    <w:uiPriority w:val="99"/>
  </w:style>
  <w:style w:type="character" w:styleId="863">
    <w:name w:val="Footer Char"/>
    <w:next w:val="863"/>
    <w:link w:val="734"/>
    <w:uiPriority w:val="99"/>
  </w:style>
  <w:style w:type="paragraph" w:styleId="864">
    <w:name w:val="题注"/>
    <w:basedOn w:val="734"/>
    <w:next w:val="734"/>
    <w:link w:val="734"/>
    <w:uiPriority w:val="35"/>
    <w:semiHidden/>
    <w:unhideWhenUsed/>
    <w:qFormat/>
    <w:pPr>
      <w:spacing w:line="276" w:lineRule="auto"/>
    </w:pPr>
    <w:rPr>
      <w:rFonts w:ascii="Calibri" w:hAnsi="Calibri"/>
      <w:b/>
      <w:bCs/>
      <w:color w:val="4f81bd"/>
      <w:sz w:val="18"/>
      <w:szCs w:val="18"/>
    </w:rPr>
  </w:style>
  <w:style w:type="character" w:styleId="865">
    <w:name w:val="Caption Char"/>
    <w:next w:val="865"/>
    <w:link w:val="734"/>
    <w:uiPriority w:val="99"/>
  </w:style>
  <w:style w:type="table" w:styleId="866">
    <w:name w:val="Table Grid Light"/>
    <w:next w:val="866"/>
    <w:link w:val="734"/>
    <w:uiPriority w:val="59"/>
    <w:rPr>
      <w:rFonts w:ascii="Times New Roman" w:hAnsi="Times New Roman"/>
      <w:lang w:val="en-US" w:eastAsia="zh-CN" w:bidi="ar-SA"/>
    </w:rPr>
    <w:tblPr/>
  </w:style>
  <w:style w:type="table" w:styleId="867">
    <w:name w:val="Plain Table 1"/>
    <w:next w:val="867"/>
    <w:link w:val="734"/>
    <w:uiPriority w:val="59"/>
    <w:rPr>
      <w:rFonts w:ascii="Times New Roman" w:hAnsi="Times New Roman"/>
      <w:lang w:val="en-US" w:eastAsia="zh-CN" w:bidi="ar-SA"/>
    </w:rPr>
    <w:tblPr/>
  </w:style>
  <w:style w:type="table" w:styleId="868">
    <w:name w:val="Plain Table 2"/>
    <w:next w:val="868"/>
    <w:link w:val="734"/>
    <w:uiPriority w:val="59"/>
    <w:rPr>
      <w:rFonts w:ascii="Times New Roman" w:hAnsi="Times New Roman"/>
      <w:lang w:val="en-US" w:eastAsia="zh-CN" w:bidi="ar-SA"/>
    </w:rPr>
    <w:tblPr/>
  </w:style>
  <w:style w:type="table" w:styleId="869">
    <w:name w:val="Plain Table 3"/>
    <w:next w:val="869"/>
    <w:link w:val="734"/>
    <w:uiPriority w:val="99"/>
    <w:rPr>
      <w:rFonts w:ascii="Times New Roman" w:hAnsi="Times New Roman"/>
      <w:lang w:val="en-US" w:eastAsia="zh-CN" w:bidi="ar-SA"/>
    </w:rPr>
    <w:tblPr/>
  </w:style>
  <w:style w:type="table" w:styleId="870">
    <w:name w:val="Plain Table 4"/>
    <w:next w:val="870"/>
    <w:link w:val="734"/>
    <w:uiPriority w:val="99"/>
    <w:rPr>
      <w:rFonts w:ascii="Times New Roman" w:hAnsi="Times New Roman"/>
      <w:lang w:val="en-US" w:eastAsia="zh-CN" w:bidi="ar-SA"/>
    </w:rPr>
    <w:tblPr/>
  </w:style>
  <w:style w:type="table" w:styleId="871">
    <w:name w:val="Plain Table 5"/>
    <w:next w:val="871"/>
    <w:link w:val="734"/>
    <w:uiPriority w:val="99"/>
    <w:rPr>
      <w:rFonts w:ascii="Times New Roman" w:hAnsi="Times New Roman"/>
      <w:lang w:val="en-US" w:eastAsia="zh-CN" w:bidi="ar-SA"/>
    </w:rPr>
    <w:tblPr/>
  </w:style>
  <w:style w:type="table" w:styleId="872">
    <w:name w:val="Grid Table 1 Light"/>
    <w:next w:val="872"/>
    <w:link w:val="734"/>
    <w:uiPriority w:val="99"/>
    <w:rPr>
      <w:rFonts w:ascii="Times New Roman" w:hAnsi="Times New Roman"/>
      <w:lang w:val="en-US" w:eastAsia="zh-CN" w:bidi="ar-SA"/>
    </w:rPr>
    <w:tblPr/>
  </w:style>
  <w:style w:type="table" w:styleId="873">
    <w:name w:val="Grid Table 1 Light - Accent 1"/>
    <w:next w:val="873"/>
    <w:link w:val="734"/>
    <w:uiPriority w:val="99"/>
    <w:rPr>
      <w:rFonts w:ascii="Times New Roman" w:hAnsi="Times New Roman"/>
      <w:lang w:val="en-US" w:eastAsia="zh-CN" w:bidi="ar-SA"/>
    </w:rPr>
    <w:tblPr/>
  </w:style>
  <w:style w:type="table" w:styleId="874">
    <w:name w:val="Grid Table 1 Light - Accent 2"/>
    <w:next w:val="874"/>
    <w:link w:val="734"/>
    <w:uiPriority w:val="99"/>
    <w:rPr>
      <w:rFonts w:ascii="Times New Roman" w:hAnsi="Times New Roman"/>
      <w:lang w:val="en-US" w:eastAsia="zh-CN" w:bidi="ar-SA"/>
    </w:rPr>
    <w:tblPr/>
  </w:style>
  <w:style w:type="table" w:styleId="875">
    <w:name w:val="Grid Table 1 Light - Accent 3"/>
    <w:next w:val="875"/>
    <w:link w:val="734"/>
    <w:uiPriority w:val="99"/>
    <w:rPr>
      <w:rFonts w:ascii="Times New Roman" w:hAnsi="Times New Roman"/>
      <w:lang w:val="en-US" w:eastAsia="zh-CN" w:bidi="ar-SA"/>
    </w:rPr>
    <w:tblPr/>
  </w:style>
  <w:style w:type="table" w:styleId="876">
    <w:name w:val="Grid Table 1 Light - Accent 4"/>
    <w:next w:val="876"/>
    <w:link w:val="734"/>
    <w:uiPriority w:val="99"/>
    <w:rPr>
      <w:rFonts w:ascii="Times New Roman" w:hAnsi="Times New Roman"/>
      <w:lang w:val="en-US" w:eastAsia="zh-CN" w:bidi="ar-SA"/>
    </w:rPr>
    <w:tblPr/>
  </w:style>
  <w:style w:type="table" w:styleId="877">
    <w:name w:val="Grid Table 1 Light - Accent 5"/>
    <w:next w:val="877"/>
    <w:link w:val="734"/>
    <w:uiPriority w:val="99"/>
    <w:rPr>
      <w:rFonts w:ascii="Times New Roman" w:hAnsi="Times New Roman"/>
      <w:lang w:val="en-US" w:eastAsia="zh-CN" w:bidi="ar-SA"/>
    </w:rPr>
    <w:tblPr/>
  </w:style>
  <w:style w:type="table" w:styleId="878">
    <w:name w:val="Grid Table 1 Light - Accent 6"/>
    <w:next w:val="878"/>
    <w:link w:val="734"/>
    <w:uiPriority w:val="99"/>
    <w:rPr>
      <w:rFonts w:ascii="Times New Roman" w:hAnsi="Times New Roman"/>
      <w:lang w:val="en-US" w:eastAsia="zh-CN" w:bidi="ar-SA"/>
    </w:rPr>
    <w:tblPr/>
  </w:style>
  <w:style w:type="table" w:styleId="879">
    <w:name w:val="Grid Table 2"/>
    <w:next w:val="879"/>
    <w:link w:val="734"/>
    <w:uiPriority w:val="99"/>
    <w:rPr>
      <w:rFonts w:ascii="Times New Roman" w:hAnsi="Times New Roman"/>
      <w:lang w:val="en-US" w:eastAsia="zh-CN" w:bidi="ar-SA"/>
    </w:rPr>
    <w:tblPr/>
  </w:style>
  <w:style w:type="table" w:styleId="880">
    <w:name w:val="Grid Table 2 - Accent 1"/>
    <w:next w:val="880"/>
    <w:link w:val="734"/>
    <w:uiPriority w:val="99"/>
    <w:rPr>
      <w:rFonts w:ascii="Times New Roman" w:hAnsi="Times New Roman"/>
      <w:lang w:val="en-US" w:eastAsia="zh-CN" w:bidi="ar-SA"/>
    </w:rPr>
    <w:tblPr/>
  </w:style>
  <w:style w:type="table" w:styleId="881">
    <w:name w:val="Grid Table 2 - Accent 2"/>
    <w:next w:val="881"/>
    <w:link w:val="734"/>
    <w:uiPriority w:val="99"/>
    <w:rPr>
      <w:rFonts w:ascii="Times New Roman" w:hAnsi="Times New Roman"/>
      <w:lang w:val="en-US" w:eastAsia="zh-CN" w:bidi="ar-SA"/>
    </w:rPr>
    <w:tblPr/>
  </w:style>
  <w:style w:type="table" w:styleId="882">
    <w:name w:val="Grid Table 2 - Accent 3"/>
    <w:next w:val="882"/>
    <w:link w:val="734"/>
    <w:uiPriority w:val="99"/>
    <w:rPr>
      <w:rFonts w:ascii="Times New Roman" w:hAnsi="Times New Roman"/>
      <w:lang w:val="en-US" w:eastAsia="zh-CN" w:bidi="ar-SA"/>
    </w:rPr>
    <w:tblPr/>
  </w:style>
  <w:style w:type="table" w:styleId="883">
    <w:name w:val="Grid Table 2 - Accent 4"/>
    <w:next w:val="883"/>
    <w:link w:val="734"/>
    <w:uiPriority w:val="99"/>
    <w:rPr>
      <w:rFonts w:ascii="Times New Roman" w:hAnsi="Times New Roman"/>
      <w:lang w:val="en-US" w:eastAsia="zh-CN" w:bidi="ar-SA"/>
    </w:rPr>
    <w:tblPr/>
  </w:style>
  <w:style w:type="table" w:styleId="884">
    <w:name w:val="Grid Table 2 - Accent 5"/>
    <w:next w:val="884"/>
    <w:link w:val="734"/>
    <w:uiPriority w:val="99"/>
    <w:rPr>
      <w:rFonts w:ascii="Times New Roman" w:hAnsi="Times New Roman"/>
      <w:lang w:val="en-US" w:eastAsia="zh-CN" w:bidi="ar-SA"/>
    </w:rPr>
    <w:tblPr/>
  </w:style>
  <w:style w:type="table" w:styleId="885">
    <w:name w:val="Grid Table 2 - Accent 6"/>
    <w:next w:val="885"/>
    <w:link w:val="734"/>
    <w:uiPriority w:val="99"/>
    <w:rPr>
      <w:rFonts w:ascii="Times New Roman" w:hAnsi="Times New Roman"/>
      <w:lang w:val="en-US" w:eastAsia="zh-CN" w:bidi="ar-SA"/>
    </w:rPr>
    <w:tblPr/>
  </w:style>
  <w:style w:type="table" w:styleId="886">
    <w:name w:val="Grid Table 3"/>
    <w:next w:val="886"/>
    <w:link w:val="734"/>
    <w:uiPriority w:val="99"/>
    <w:rPr>
      <w:rFonts w:ascii="Times New Roman" w:hAnsi="Times New Roman"/>
      <w:lang w:val="en-US" w:eastAsia="zh-CN" w:bidi="ar-SA"/>
    </w:rPr>
    <w:tblPr/>
  </w:style>
  <w:style w:type="table" w:styleId="887">
    <w:name w:val="Grid Table 3 - Accent 1"/>
    <w:next w:val="887"/>
    <w:link w:val="734"/>
    <w:uiPriority w:val="99"/>
    <w:rPr>
      <w:rFonts w:ascii="Times New Roman" w:hAnsi="Times New Roman"/>
      <w:lang w:val="en-US" w:eastAsia="zh-CN" w:bidi="ar-SA"/>
    </w:rPr>
    <w:tblPr/>
  </w:style>
  <w:style w:type="table" w:styleId="888">
    <w:name w:val="Grid Table 3 - Accent 2"/>
    <w:next w:val="888"/>
    <w:link w:val="734"/>
    <w:uiPriority w:val="99"/>
    <w:rPr>
      <w:rFonts w:ascii="Times New Roman" w:hAnsi="Times New Roman"/>
      <w:lang w:val="en-US" w:eastAsia="zh-CN" w:bidi="ar-SA"/>
    </w:rPr>
    <w:tblPr/>
  </w:style>
  <w:style w:type="table" w:styleId="889">
    <w:name w:val="Grid Table 3 - Accent 3"/>
    <w:next w:val="889"/>
    <w:link w:val="734"/>
    <w:uiPriority w:val="99"/>
    <w:rPr>
      <w:rFonts w:ascii="Times New Roman" w:hAnsi="Times New Roman"/>
      <w:lang w:val="en-US" w:eastAsia="zh-CN" w:bidi="ar-SA"/>
    </w:rPr>
    <w:tblPr/>
  </w:style>
  <w:style w:type="table" w:styleId="890">
    <w:name w:val="Grid Table 3 - Accent 4"/>
    <w:next w:val="890"/>
    <w:link w:val="734"/>
    <w:uiPriority w:val="99"/>
    <w:rPr>
      <w:rFonts w:ascii="Times New Roman" w:hAnsi="Times New Roman"/>
      <w:lang w:val="en-US" w:eastAsia="zh-CN" w:bidi="ar-SA"/>
    </w:rPr>
    <w:tblPr/>
  </w:style>
  <w:style w:type="table" w:styleId="891">
    <w:name w:val="Grid Table 3 - Accent 5"/>
    <w:next w:val="891"/>
    <w:link w:val="734"/>
    <w:uiPriority w:val="99"/>
    <w:rPr>
      <w:rFonts w:ascii="Times New Roman" w:hAnsi="Times New Roman"/>
      <w:lang w:val="en-US" w:eastAsia="zh-CN" w:bidi="ar-SA"/>
    </w:rPr>
    <w:tblPr/>
  </w:style>
  <w:style w:type="table" w:styleId="892">
    <w:name w:val="Grid Table 3 - Accent 6"/>
    <w:next w:val="892"/>
    <w:link w:val="734"/>
    <w:uiPriority w:val="99"/>
    <w:rPr>
      <w:rFonts w:ascii="Times New Roman" w:hAnsi="Times New Roman"/>
      <w:lang w:val="en-US" w:eastAsia="zh-CN" w:bidi="ar-SA"/>
    </w:rPr>
    <w:tblPr/>
  </w:style>
  <w:style w:type="table" w:styleId="893">
    <w:name w:val="Grid Table 4"/>
    <w:next w:val="893"/>
    <w:link w:val="734"/>
    <w:uiPriority w:val="59"/>
    <w:rPr>
      <w:rFonts w:ascii="Times New Roman" w:hAnsi="Times New Roman"/>
      <w:lang w:val="en-US" w:eastAsia="zh-CN" w:bidi="ar-SA"/>
    </w:rPr>
    <w:tblPr/>
  </w:style>
  <w:style w:type="table" w:styleId="894">
    <w:name w:val="Grid Table 4 - Accent 1"/>
    <w:next w:val="894"/>
    <w:link w:val="734"/>
    <w:uiPriority w:val="59"/>
    <w:rPr>
      <w:rFonts w:ascii="Times New Roman" w:hAnsi="Times New Roman"/>
      <w:lang w:val="en-US" w:eastAsia="zh-CN" w:bidi="ar-SA"/>
    </w:rPr>
    <w:tblPr/>
  </w:style>
  <w:style w:type="table" w:styleId="895">
    <w:name w:val="Grid Table 4 - Accent 2"/>
    <w:next w:val="895"/>
    <w:link w:val="734"/>
    <w:uiPriority w:val="59"/>
    <w:rPr>
      <w:rFonts w:ascii="Times New Roman" w:hAnsi="Times New Roman"/>
      <w:lang w:val="en-US" w:eastAsia="zh-CN" w:bidi="ar-SA"/>
    </w:rPr>
    <w:tblPr/>
  </w:style>
  <w:style w:type="table" w:styleId="896">
    <w:name w:val="Grid Table 4 - Accent 3"/>
    <w:next w:val="896"/>
    <w:link w:val="734"/>
    <w:uiPriority w:val="59"/>
    <w:rPr>
      <w:rFonts w:ascii="Times New Roman" w:hAnsi="Times New Roman"/>
      <w:lang w:val="en-US" w:eastAsia="zh-CN" w:bidi="ar-SA"/>
    </w:rPr>
    <w:tblPr/>
  </w:style>
  <w:style w:type="table" w:styleId="897">
    <w:name w:val="Grid Table 4 - Accent 4"/>
    <w:next w:val="897"/>
    <w:link w:val="734"/>
    <w:uiPriority w:val="59"/>
    <w:rPr>
      <w:rFonts w:ascii="Times New Roman" w:hAnsi="Times New Roman"/>
      <w:lang w:val="en-US" w:eastAsia="zh-CN" w:bidi="ar-SA"/>
    </w:rPr>
    <w:tblPr/>
  </w:style>
  <w:style w:type="table" w:styleId="898">
    <w:name w:val="Grid Table 4 - Accent 5"/>
    <w:next w:val="898"/>
    <w:link w:val="734"/>
    <w:uiPriority w:val="59"/>
    <w:rPr>
      <w:rFonts w:ascii="Times New Roman" w:hAnsi="Times New Roman"/>
      <w:lang w:val="en-US" w:eastAsia="zh-CN" w:bidi="ar-SA"/>
    </w:rPr>
    <w:tblPr/>
  </w:style>
  <w:style w:type="table" w:styleId="899">
    <w:name w:val="Grid Table 4 - Accent 6"/>
    <w:next w:val="899"/>
    <w:link w:val="734"/>
    <w:uiPriority w:val="59"/>
    <w:rPr>
      <w:rFonts w:ascii="Times New Roman" w:hAnsi="Times New Roman"/>
      <w:lang w:val="en-US" w:eastAsia="zh-CN" w:bidi="ar-SA"/>
    </w:rPr>
    <w:tblPr/>
  </w:style>
  <w:style w:type="table" w:styleId="900">
    <w:name w:val="Grid Table 5 Dark"/>
    <w:next w:val="900"/>
    <w:link w:val="734"/>
    <w:uiPriority w:val="99"/>
    <w:rPr>
      <w:rFonts w:ascii="Times New Roman" w:hAnsi="Times New Roman"/>
      <w:lang w:val="en-US" w:eastAsia="zh-CN" w:bidi="ar-SA"/>
    </w:rPr>
    <w:tblPr/>
  </w:style>
  <w:style w:type="table" w:styleId="901">
    <w:name w:val="Grid Table 5 Dark- Accent 1"/>
    <w:next w:val="901"/>
    <w:link w:val="734"/>
    <w:uiPriority w:val="99"/>
    <w:rPr>
      <w:rFonts w:ascii="Times New Roman" w:hAnsi="Times New Roman"/>
      <w:lang w:val="en-US" w:eastAsia="zh-CN" w:bidi="ar-SA"/>
    </w:rPr>
    <w:tblPr/>
  </w:style>
  <w:style w:type="table" w:styleId="902">
    <w:name w:val="Grid Table 5 Dark - Accent 2"/>
    <w:next w:val="902"/>
    <w:link w:val="734"/>
    <w:uiPriority w:val="99"/>
    <w:rPr>
      <w:rFonts w:ascii="Times New Roman" w:hAnsi="Times New Roman"/>
      <w:lang w:val="en-US" w:eastAsia="zh-CN" w:bidi="ar-SA"/>
    </w:rPr>
    <w:tblPr/>
  </w:style>
  <w:style w:type="table" w:styleId="903">
    <w:name w:val="Grid Table 5 Dark - Accent 3"/>
    <w:next w:val="903"/>
    <w:link w:val="734"/>
    <w:uiPriority w:val="99"/>
    <w:rPr>
      <w:rFonts w:ascii="Times New Roman" w:hAnsi="Times New Roman"/>
      <w:lang w:val="en-US" w:eastAsia="zh-CN" w:bidi="ar-SA"/>
    </w:rPr>
    <w:tblPr/>
  </w:style>
  <w:style w:type="table" w:styleId="904">
    <w:name w:val="Grid Table 5 Dark- Accent 4"/>
    <w:next w:val="904"/>
    <w:link w:val="734"/>
    <w:uiPriority w:val="99"/>
    <w:rPr>
      <w:rFonts w:ascii="Times New Roman" w:hAnsi="Times New Roman"/>
      <w:lang w:val="en-US" w:eastAsia="zh-CN" w:bidi="ar-SA"/>
    </w:rPr>
    <w:tblPr/>
  </w:style>
  <w:style w:type="table" w:styleId="905">
    <w:name w:val="Grid Table 5 Dark - Accent 5"/>
    <w:next w:val="905"/>
    <w:link w:val="734"/>
    <w:uiPriority w:val="99"/>
    <w:rPr>
      <w:rFonts w:ascii="Times New Roman" w:hAnsi="Times New Roman"/>
      <w:lang w:val="en-US" w:eastAsia="zh-CN" w:bidi="ar-SA"/>
    </w:rPr>
    <w:tblPr/>
  </w:style>
  <w:style w:type="table" w:styleId="906">
    <w:name w:val="Grid Table 5 Dark - Accent 6"/>
    <w:next w:val="906"/>
    <w:link w:val="734"/>
    <w:uiPriority w:val="99"/>
    <w:rPr>
      <w:rFonts w:ascii="Times New Roman" w:hAnsi="Times New Roman"/>
      <w:lang w:val="en-US" w:eastAsia="zh-CN" w:bidi="ar-SA"/>
    </w:rPr>
    <w:tblPr/>
  </w:style>
  <w:style w:type="table" w:styleId="907">
    <w:name w:val="Grid Table 6 Colorful"/>
    <w:next w:val="907"/>
    <w:link w:val="734"/>
    <w:uiPriority w:val="99"/>
    <w:rPr>
      <w:rFonts w:ascii="Times New Roman" w:hAnsi="Times New Roman"/>
      <w:lang w:val="en-US" w:eastAsia="zh-CN" w:bidi="ar-SA"/>
    </w:rPr>
    <w:tblPr/>
  </w:style>
  <w:style w:type="table" w:styleId="908">
    <w:name w:val="Grid Table 6 Colorful - Accent 1"/>
    <w:next w:val="908"/>
    <w:link w:val="734"/>
    <w:uiPriority w:val="99"/>
    <w:rPr>
      <w:rFonts w:ascii="Times New Roman" w:hAnsi="Times New Roman"/>
      <w:lang w:val="en-US" w:eastAsia="zh-CN" w:bidi="ar-SA"/>
    </w:rPr>
    <w:tblPr/>
  </w:style>
  <w:style w:type="table" w:styleId="909">
    <w:name w:val="Grid Table 6 Colorful - Accent 2"/>
    <w:next w:val="909"/>
    <w:link w:val="734"/>
    <w:uiPriority w:val="99"/>
    <w:rPr>
      <w:rFonts w:ascii="Times New Roman" w:hAnsi="Times New Roman"/>
      <w:lang w:val="en-US" w:eastAsia="zh-CN" w:bidi="ar-SA"/>
    </w:rPr>
    <w:tblPr/>
  </w:style>
  <w:style w:type="table" w:styleId="910">
    <w:name w:val="Grid Table 6 Colorful - Accent 3"/>
    <w:next w:val="910"/>
    <w:link w:val="734"/>
    <w:uiPriority w:val="99"/>
    <w:rPr>
      <w:rFonts w:ascii="Times New Roman" w:hAnsi="Times New Roman"/>
      <w:lang w:val="en-US" w:eastAsia="zh-CN" w:bidi="ar-SA"/>
    </w:rPr>
    <w:tblPr/>
  </w:style>
  <w:style w:type="table" w:styleId="911">
    <w:name w:val="Grid Table 6 Colorful - Accent 4"/>
    <w:next w:val="911"/>
    <w:link w:val="734"/>
    <w:uiPriority w:val="99"/>
    <w:rPr>
      <w:rFonts w:ascii="Times New Roman" w:hAnsi="Times New Roman"/>
      <w:lang w:val="en-US" w:eastAsia="zh-CN" w:bidi="ar-SA"/>
    </w:rPr>
    <w:tblPr/>
  </w:style>
  <w:style w:type="table" w:styleId="912">
    <w:name w:val="Grid Table 6 Colorful - Accent 5"/>
    <w:next w:val="912"/>
    <w:link w:val="734"/>
    <w:uiPriority w:val="99"/>
    <w:rPr>
      <w:rFonts w:ascii="Times New Roman" w:hAnsi="Times New Roman"/>
      <w:lang w:val="en-US" w:eastAsia="zh-CN" w:bidi="ar-SA"/>
    </w:rPr>
    <w:tblPr/>
  </w:style>
  <w:style w:type="table" w:styleId="913">
    <w:name w:val="Grid Table 6 Colorful - Accent 6"/>
    <w:next w:val="913"/>
    <w:link w:val="734"/>
    <w:uiPriority w:val="99"/>
    <w:rPr>
      <w:rFonts w:ascii="Times New Roman" w:hAnsi="Times New Roman"/>
      <w:lang w:val="en-US" w:eastAsia="zh-CN" w:bidi="ar-SA"/>
    </w:rPr>
    <w:tblPr/>
  </w:style>
  <w:style w:type="table" w:styleId="914">
    <w:name w:val="Grid Table 7 Colorful"/>
    <w:next w:val="914"/>
    <w:link w:val="734"/>
    <w:uiPriority w:val="99"/>
    <w:rPr>
      <w:rFonts w:ascii="Times New Roman" w:hAnsi="Times New Roman"/>
      <w:lang w:val="en-US" w:eastAsia="zh-CN" w:bidi="ar-SA"/>
    </w:rPr>
    <w:tblPr/>
  </w:style>
  <w:style w:type="table" w:styleId="915">
    <w:name w:val="Grid Table 7 Colorful - Accent 1"/>
    <w:next w:val="915"/>
    <w:link w:val="734"/>
    <w:uiPriority w:val="99"/>
    <w:rPr>
      <w:rFonts w:ascii="Times New Roman" w:hAnsi="Times New Roman"/>
      <w:lang w:val="en-US" w:eastAsia="zh-CN" w:bidi="ar-SA"/>
    </w:rPr>
    <w:tblPr/>
  </w:style>
  <w:style w:type="table" w:styleId="916">
    <w:name w:val="Grid Table 7 Colorful - Accent 2"/>
    <w:next w:val="916"/>
    <w:link w:val="734"/>
    <w:uiPriority w:val="99"/>
    <w:rPr>
      <w:rFonts w:ascii="Times New Roman" w:hAnsi="Times New Roman"/>
      <w:lang w:val="en-US" w:eastAsia="zh-CN" w:bidi="ar-SA"/>
    </w:rPr>
    <w:tblPr/>
  </w:style>
  <w:style w:type="table" w:styleId="917">
    <w:name w:val="Grid Table 7 Colorful - Accent 3"/>
    <w:next w:val="917"/>
    <w:link w:val="734"/>
    <w:uiPriority w:val="99"/>
    <w:rPr>
      <w:rFonts w:ascii="Times New Roman" w:hAnsi="Times New Roman"/>
      <w:lang w:val="en-US" w:eastAsia="zh-CN" w:bidi="ar-SA"/>
    </w:rPr>
    <w:tblPr/>
  </w:style>
  <w:style w:type="table" w:styleId="918">
    <w:name w:val="Grid Table 7 Colorful - Accent 4"/>
    <w:next w:val="918"/>
    <w:link w:val="734"/>
    <w:uiPriority w:val="99"/>
    <w:rPr>
      <w:rFonts w:ascii="Times New Roman" w:hAnsi="Times New Roman"/>
      <w:lang w:val="en-US" w:eastAsia="zh-CN" w:bidi="ar-SA"/>
    </w:rPr>
    <w:tblPr/>
  </w:style>
  <w:style w:type="table" w:styleId="919">
    <w:name w:val="Grid Table 7 Colorful - Accent 5"/>
    <w:next w:val="919"/>
    <w:link w:val="734"/>
    <w:uiPriority w:val="99"/>
    <w:rPr>
      <w:rFonts w:ascii="Times New Roman" w:hAnsi="Times New Roman"/>
      <w:lang w:val="en-US" w:eastAsia="zh-CN" w:bidi="ar-SA"/>
    </w:rPr>
    <w:tblPr/>
  </w:style>
  <w:style w:type="table" w:styleId="920">
    <w:name w:val="Grid Table 7 Colorful - Accent 6"/>
    <w:next w:val="920"/>
    <w:link w:val="734"/>
    <w:uiPriority w:val="99"/>
    <w:rPr>
      <w:rFonts w:ascii="Times New Roman" w:hAnsi="Times New Roman"/>
      <w:lang w:val="en-US" w:eastAsia="zh-CN" w:bidi="ar-SA"/>
    </w:rPr>
    <w:tblPr/>
  </w:style>
  <w:style w:type="table" w:styleId="921">
    <w:name w:val="List Table 1 Light"/>
    <w:next w:val="921"/>
    <w:link w:val="734"/>
    <w:uiPriority w:val="99"/>
    <w:rPr>
      <w:rFonts w:ascii="Times New Roman" w:hAnsi="Times New Roman"/>
      <w:lang w:val="en-US" w:eastAsia="zh-CN" w:bidi="ar-SA"/>
    </w:rPr>
    <w:tblPr/>
  </w:style>
  <w:style w:type="table" w:styleId="922">
    <w:name w:val="List Table 1 Light - Accent 1"/>
    <w:next w:val="922"/>
    <w:link w:val="734"/>
    <w:uiPriority w:val="99"/>
    <w:rPr>
      <w:rFonts w:ascii="Times New Roman" w:hAnsi="Times New Roman"/>
      <w:lang w:val="en-US" w:eastAsia="zh-CN" w:bidi="ar-SA"/>
    </w:rPr>
    <w:tblPr/>
  </w:style>
  <w:style w:type="table" w:styleId="923">
    <w:name w:val="List Table 1 Light - Accent 2"/>
    <w:next w:val="923"/>
    <w:link w:val="734"/>
    <w:uiPriority w:val="99"/>
    <w:rPr>
      <w:rFonts w:ascii="Times New Roman" w:hAnsi="Times New Roman"/>
      <w:lang w:val="en-US" w:eastAsia="zh-CN" w:bidi="ar-SA"/>
    </w:rPr>
    <w:tblPr/>
  </w:style>
  <w:style w:type="table" w:styleId="924">
    <w:name w:val="List Table 1 Light - Accent 3"/>
    <w:next w:val="924"/>
    <w:link w:val="734"/>
    <w:uiPriority w:val="99"/>
    <w:rPr>
      <w:rFonts w:ascii="Times New Roman" w:hAnsi="Times New Roman"/>
      <w:lang w:val="en-US" w:eastAsia="zh-CN" w:bidi="ar-SA"/>
    </w:rPr>
    <w:tblPr/>
  </w:style>
  <w:style w:type="table" w:styleId="925">
    <w:name w:val="List Table 1 Light - Accent 4"/>
    <w:next w:val="925"/>
    <w:link w:val="734"/>
    <w:uiPriority w:val="99"/>
    <w:rPr>
      <w:rFonts w:ascii="Times New Roman" w:hAnsi="Times New Roman"/>
      <w:lang w:val="en-US" w:eastAsia="zh-CN" w:bidi="ar-SA"/>
    </w:rPr>
    <w:tblPr/>
  </w:style>
  <w:style w:type="table" w:styleId="926">
    <w:name w:val="List Table 1 Light - Accent 5"/>
    <w:next w:val="926"/>
    <w:link w:val="734"/>
    <w:uiPriority w:val="99"/>
    <w:rPr>
      <w:rFonts w:ascii="Times New Roman" w:hAnsi="Times New Roman"/>
      <w:lang w:val="en-US" w:eastAsia="zh-CN" w:bidi="ar-SA"/>
    </w:rPr>
    <w:tblPr/>
  </w:style>
  <w:style w:type="table" w:styleId="927">
    <w:name w:val="List Table 1 Light - Accent 6"/>
    <w:next w:val="927"/>
    <w:link w:val="734"/>
    <w:uiPriority w:val="99"/>
    <w:rPr>
      <w:rFonts w:ascii="Times New Roman" w:hAnsi="Times New Roman"/>
      <w:lang w:val="en-US" w:eastAsia="zh-CN" w:bidi="ar-SA"/>
    </w:rPr>
    <w:tblPr/>
  </w:style>
  <w:style w:type="table" w:styleId="928">
    <w:name w:val="List Table 2"/>
    <w:next w:val="928"/>
    <w:link w:val="734"/>
    <w:uiPriority w:val="99"/>
    <w:rPr>
      <w:rFonts w:ascii="Times New Roman" w:hAnsi="Times New Roman"/>
      <w:lang w:val="en-US" w:eastAsia="zh-CN" w:bidi="ar-SA"/>
    </w:rPr>
    <w:tblPr/>
  </w:style>
  <w:style w:type="table" w:styleId="929">
    <w:name w:val="List Table 2 - Accent 1"/>
    <w:next w:val="929"/>
    <w:link w:val="734"/>
    <w:uiPriority w:val="99"/>
    <w:rPr>
      <w:rFonts w:ascii="Times New Roman" w:hAnsi="Times New Roman"/>
      <w:lang w:val="en-US" w:eastAsia="zh-CN" w:bidi="ar-SA"/>
    </w:rPr>
    <w:tblPr/>
  </w:style>
  <w:style w:type="table" w:styleId="930">
    <w:name w:val="List Table 2 - Accent 2"/>
    <w:next w:val="930"/>
    <w:link w:val="734"/>
    <w:uiPriority w:val="99"/>
    <w:rPr>
      <w:rFonts w:ascii="Times New Roman" w:hAnsi="Times New Roman"/>
      <w:lang w:val="en-US" w:eastAsia="zh-CN" w:bidi="ar-SA"/>
    </w:rPr>
    <w:tblPr/>
  </w:style>
  <w:style w:type="table" w:styleId="931">
    <w:name w:val="List Table 2 - Accent 3"/>
    <w:next w:val="931"/>
    <w:link w:val="734"/>
    <w:uiPriority w:val="99"/>
    <w:rPr>
      <w:rFonts w:ascii="Times New Roman" w:hAnsi="Times New Roman"/>
      <w:lang w:val="en-US" w:eastAsia="zh-CN" w:bidi="ar-SA"/>
    </w:rPr>
    <w:tblPr/>
  </w:style>
  <w:style w:type="table" w:styleId="932">
    <w:name w:val="List Table 2 - Accent 4"/>
    <w:next w:val="932"/>
    <w:link w:val="734"/>
    <w:uiPriority w:val="99"/>
    <w:rPr>
      <w:rFonts w:ascii="Times New Roman" w:hAnsi="Times New Roman"/>
      <w:lang w:val="en-US" w:eastAsia="zh-CN" w:bidi="ar-SA"/>
    </w:rPr>
    <w:tblPr/>
  </w:style>
  <w:style w:type="table" w:styleId="933">
    <w:name w:val="List Table 2 - Accent 5"/>
    <w:next w:val="933"/>
    <w:link w:val="734"/>
    <w:uiPriority w:val="99"/>
    <w:rPr>
      <w:rFonts w:ascii="Times New Roman" w:hAnsi="Times New Roman"/>
      <w:lang w:val="en-US" w:eastAsia="zh-CN" w:bidi="ar-SA"/>
    </w:rPr>
    <w:tblPr/>
  </w:style>
  <w:style w:type="table" w:styleId="934">
    <w:name w:val="List Table 2 - Accent 6"/>
    <w:next w:val="934"/>
    <w:link w:val="734"/>
    <w:uiPriority w:val="99"/>
    <w:rPr>
      <w:rFonts w:ascii="Times New Roman" w:hAnsi="Times New Roman"/>
      <w:lang w:val="en-US" w:eastAsia="zh-CN" w:bidi="ar-SA"/>
    </w:rPr>
    <w:tblPr/>
  </w:style>
  <w:style w:type="table" w:styleId="935">
    <w:name w:val="List Table 3"/>
    <w:next w:val="935"/>
    <w:link w:val="734"/>
    <w:uiPriority w:val="99"/>
    <w:rPr>
      <w:rFonts w:ascii="Times New Roman" w:hAnsi="Times New Roman"/>
      <w:lang w:val="en-US" w:eastAsia="zh-CN" w:bidi="ar-SA"/>
    </w:rPr>
    <w:tblPr/>
  </w:style>
  <w:style w:type="table" w:styleId="936">
    <w:name w:val="List Table 3 - Accent 1"/>
    <w:next w:val="936"/>
    <w:link w:val="734"/>
    <w:uiPriority w:val="99"/>
    <w:rPr>
      <w:rFonts w:ascii="Times New Roman" w:hAnsi="Times New Roman"/>
      <w:lang w:val="en-US" w:eastAsia="zh-CN" w:bidi="ar-SA"/>
    </w:rPr>
    <w:tblPr/>
  </w:style>
  <w:style w:type="table" w:styleId="937">
    <w:name w:val="List Table 3 - Accent 2"/>
    <w:next w:val="937"/>
    <w:link w:val="734"/>
    <w:uiPriority w:val="99"/>
    <w:rPr>
      <w:rFonts w:ascii="Times New Roman" w:hAnsi="Times New Roman"/>
      <w:lang w:val="en-US" w:eastAsia="zh-CN" w:bidi="ar-SA"/>
    </w:rPr>
    <w:tblPr/>
  </w:style>
  <w:style w:type="table" w:styleId="938">
    <w:name w:val="List Table 3 - Accent 3"/>
    <w:next w:val="938"/>
    <w:link w:val="734"/>
    <w:uiPriority w:val="99"/>
    <w:rPr>
      <w:rFonts w:ascii="Times New Roman" w:hAnsi="Times New Roman"/>
      <w:lang w:val="en-US" w:eastAsia="zh-CN" w:bidi="ar-SA"/>
    </w:rPr>
    <w:tblPr/>
  </w:style>
  <w:style w:type="table" w:styleId="939">
    <w:name w:val="List Table 3 - Accent 4"/>
    <w:next w:val="939"/>
    <w:link w:val="734"/>
    <w:uiPriority w:val="99"/>
    <w:rPr>
      <w:rFonts w:ascii="Times New Roman" w:hAnsi="Times New Roman"/>
      <w:lang w:val="en-US" w:eastAsia="zh-CN" w:bidi="ar-SA"/>
    </w:rPr>
    <w:tblPr/>
  </w:style>
  <w:style w:type="table" w:styleId="940">
    <w:name w:val="List Table 3 - Accent 5"/>
    <w:next w:val="940"/>
    <w:link w:val="734"/>
    <w:uiPriority w:val="99"/>
    <w:rPr>
      <w:rFonts w:ascii="Times New Roman" w:hAnsi="Times New Roman"/>
      <w:lang w:val="en-US" w:eastAsia="zh-CN" w:bidi="ar-SA"/>
    </w:rPr>
    <w:tblPr/>
  </w:style>
  <w:style w:type="table" w:styleId="941">
    <w:name w:val="List Table 3 - Accent 6"/>
    <w:next w:val="941"/>
    <w:link w:val="734"/>
    <w:uiPriority w:val="99"/>
    <w:rPr>
      <w:rFonts w:ascii="Times New Roman" w:hAnsi="Times New Roman"/>
      <w:lang w:val="en-US" w:eastAsia="zh-CN" w:bidi="ar-SA"/>
    </w:rPr>
    <w:tblPr/>
  </w:style>
  <w:style w:type="table" w:styleId="942">
    <w:name w:val="List Table 4"/>
    <w:next w:val="942"/>
    <w:link w:val="734"/>
    <w:uiPriority w:val="99"/>
    <w:rPr>
      <w:rFonts w:ascii="Times New Roman" w:hAnsi="Times New Roman"/>
      <w:lang w:val="en-US" w:eastAsia="zh-CN" w:bidi="ar-SA"/>
    </w:rPr>
    <w:tblPr/>
  </w:style>
  <w:style w:type="table" w:styleId="943">
    <w:name w:val="List Table 4 - Accent 1"/>
    <w:next w:val="943"/>
    <w:link w:val="734"/>
    <w:uiPriority w:val="99"/>
    <w:rPr>
      <w:rFonts w:ascii="Times New Roman" w:hAnsi="Times New Roman"/>
      <w:lang w:val="en-US" w:eastAsia="zh-CN" w:bidi="ar-SA"/>
    </w:rPr>
    <w:tblPr/>
  </w:style>
  <w:style w:type="table" w:styleId="944">
    <w:name w:val="List Table 4 - Accent 2"/>
    <w:next w:val="944"/>
    <w:link w:val="734"/>
    <w:uiPriority w:val="99"/>
    <w:rPr>
      <w:rFonts w:ascii="Times New Roman" w:hAnsi="Times New Roman"/>
      <w:lang w:val="en-US" w:eastAsia="zh-CN" w:bidi="ar-SA"/>
    </w:rPr>
    <w:tblPr/>
  </w:style>
  <w:style w:type="table" w:styleId="945">
    <w:name w:val="List Table 4 - Accent 3"/>
    <w:next w:val="945"/>
    <w:link w:val="734"/>
    <w:uiPriority w:val="99"/>
    <w:rPr>
      <w:rFonts w:ascii="Times New Roman" w:hAnsi="Times New Roman"/>
      <w:lang w:val="en-US" w:eastAsia="zh-CN" w:bidi="ar-SA"/>
    </w:rPr>
    <w:tblPr/>
  </w:style>
  <w:style w:type="table" w:styleId="946">
    <w:name w:val="List Table 4 - Accent 4"/>
    <w:next w:val="946"/>
    <w:link w:val="734"/>
    <w:uiPriority w:val="99"/>
    <w:rPr>
      <w:rFonts w:ascii="Times New Roman" w:hAnsi="Times New Roman"/>
      <w:lang w:val="en-US" w:eastAsia="zh-CN" w:bidi="ar-SA"/>
    </w:rPr>
    <w:tblPr/>
  </w:style>
  <w:style w:type="table" w:styleId="947">
    <w:name w:val="List Table 4 - Accent 5"/>
    <w:next w:val="947"/>
    <w:link w:val="734"/>
    <w:uiPriority w:val="99"/>
    <w:rPr>
      <w:rFonts w:ascii="Times New Roman" w:hAnsi="Times New Roman"/>
      <w:lang w:val="en-US" w:eastAsia="zh-CN" w:bidi="ar-SA"/>
    </w:rPr>
    <w:tblPr/>
  </w:style>
  <w:style w:type="table" w:styleId="948">
    <w:name w:val="List Table 4 - Accent 6"/>
    <w:next w:val="948"/>
    <w:link w:val="734"/>
    <w:uiPriority w:val="99"/>
    <w:rPr>
      <w:rFonts w:ascii="Times New Roman" w:hAnsi="Times New Roman"/>
      <w:lang w:val="en-US" w:eastAsia="zh-CN" w:bidi="ar-SA"/>
    </w:rPr>
    <w:tblPr/>
  </w:style>
  <w:style w:type="table" w:styleId="949">
    <w:name w:val="List Table 5 Dark"/>
    <w:next w:val="949"/>
    <w:link w:val="734"/>
    <w:uiPriority w:val="99"/>
    <w:rPr>
      <w:rFonts w:ascii="Times New Roman" w:hAnsi="Times New Roman"/>
      <w:lang w:val="en-US" w:eastAsia="zh-CN" w:bidi="ar-SA"/>
    </w:rPr>
    <w:tblPr/>
  </w:style>
  <w:style w:type="table" w:styleId="950">
    <w:name w:val="List Table 5 Dark - Accent 1"/>
    <w:next w:val="950"/>
    <w:link w:val="734"/>
    <w:uiPriority w:val="99"/>
    <w:rPr>
      <w:rFonts w:ascii="Times New Roman" w:hAnsi="Times New Roman"/>
      <w:lang w:val="en-US" w:eastAsia="zh-CN" w:bidi="ar-SA"/>
    </w:rPr>
    <w:tblPr/>
  </w:style>
  <w:style w:type="table" w:styleId="951">
    <w:name w:val="List Table 5 Dark - Accent 2"/>
    <w:next w:val="951"/>
    <w:link w:val="734"/>
    <w:uiPriority w:val="99"/>
    <w:rPr>
      <w:rFonts w:ascii="Times New Roman" w:hAnsi="Times New Roman"/>
      <w:lang w:val="en-US" w:eastAsia="zh-CN" w:bidi="ar-SA"/>
    </w:rPr>
    <w:tblPr/>
  </w:style>
  <w:style w:type="table" w:styleId="952">
    <w:name w:val="List Table 5 Dark - Accent 3"/>
    <w:next w:val="952"/>
    <w:link w:val="734"/>
    <w:uiPriority w:val="99"/>
    <w:rPr>
      <w:rFonts w:ascii="Times New Roman" w:hAnsi="Times New Roman"/>
      <w:lang w:val="en-US" w:eastAsia="zh-CN" w:bidi="ar-SA"/>
    </w:rPr>
    <w:tblPr/>
  </w:style>
  <w:style w:type="table" w:styleId="953">
    <w:name w:val="List Table 5 Dark - Accent 4"/>
    <w:next w:val="953"/>
    <w:link w:val="734"/>
    <w:uiPriority w:val="99"/>
    <w:rPr>
      <w:rFonts w:ascii="Times New Roman" w:hAnsi="Times New Roman"/>
      <w:lang w:val="en-US" w:eastAsia="zh-CN" w:bidi="ar-SA"/>
    </w:rPr>
    <w:tblPr/>
  </w:style>
  <w:style w:type="table" w:styleId="954">
    <w:name w:val="List Table 5 Dark - Accent 5"/>
    <w:next w:val="954"/>
    <w:link w:val="734"/>
    <w:uiPriority w:val="99"/>
    <w:rPr>
      <w:rFonts w:ascii="Times New Roman" w:hAnsi="Times New Roman"/>
      <w:lang w:val="en-US" w:eastAsia="zh-CN" w:bidi="ar-SA"/>
    </w:rPr>
    <w:tblPr/>
  </w:style>
  <w:style w:type="table" w:styleId="955">
    <w:name w:val="List Table 5 Dark - Accent 6"/>
    <w:next w:val="955"/>
    <w:link w:val="734"/>
    <w:uiPriority w:val="99"/>
    <w:rPr>
      <w:rFonts w:ascii="Times New Roman" w:hAnsi="Times New Roman"/>
      <w:lang w:val="en-US" w:eastAsia="zh-CN" w:bidi="ar-SA"/>
    </w:rPr>
    <w:tblPr/>
  </w:style>
  <w:style w:type="table" w:styleId="956">
    <w:name w:val="List Table 6 Colorful"/>
    <w:next w:val="956"/>
    <w:link w:val="734"/>
    <w:uiPriority w:val="99"/>
    <w:rPr>
      <w:rFonts w:ascii="Times New Roman" w:hAnsi="Times New Roman"/>
      <w:lang w:val="en-US" w:eastAsia="zh-CN" w:bidi="ar-SA"/>
    </w:rPr>
    <w:tblPr/>
  </w:style>
  <w:style w:type="table" w:styleId="957">
    <w:name w:val="List Table 6 Colorful - Accent 1"/>
    <w:next w:val="957"/>
    <w:link w:val="734"/>
    <w:uiPriority w:val="99"/>
    <w:rPr>
      <w:rFonts w:ascii="Times New Roman" w:hAnsi="Times New Roman"/>
      <w:lang w:val="en-US" w:eastAsia="zh-CN" w:bidi="ar-SA"/>
    </w:rPr>
    <w:tblPr/>
  </w:style>
  <w:style w:type="table" w:styleId="958">
    <w:name w:val="List Table 6 Colorful - Accent 2"/>
    <w:next w:val="958"/>
    <w:link w:val="734"/>
    <w:uiPriority w:val="99"/>
    <w:rPr>
      <w:rFonts w:ascii="Times New Roman" w:hAnsi="Times New Roman"/>
      <w:lang w:val="en-US" w:eastAsia="zh-CN" w:bidi="ar-SA"/>
    </w:rPr>
    <w:tblPr/>
  </w:style>
  <w:style w:type="table" w:styleId="959">
    <w:name w:val="List Table 6 Colorful - Accent 3"/>
    <w:next w:val="959"/>
    <w:link w:val="734"/>
    <w:uiPriority w:val="99"/>
    <w:rPr>
      <w:rFonts w:ascii="Times New Roman" w:hAnsi="Times New Roman"/>
      <w:lang w:val="en-US" w:eastAsia="zh-CN" w:bidi="ar-SA"/>
    </w:rPr>
    <w:tblPr/>
  </w:style>
  <w:style w:type="table" w:styleId="960">
    <w:name w:val="List Table 6 Colorful - Accent 4"/>
    <w:next w:val="960"/>
    <w:link w:val="734"/>
    <w:uiPriority w:val="99"/>
    <w:rPr>
      <w:rFonts w:ascii="Times New Roman" w:hAnsi="Times New Roman"/>
      <w:lang w:val="en-US" w:eastAsia="zh-CN" w:bidi="ar-SA"/>
    </w:rPr>
    <w:tblPr/>
  </w:style>
  <w:style w:type="table" w:styleId="961">
    <w:name w:val="List Table 6 Colorful - Accent 5"/>
    <w:next w:val="961"/>
    <w:link w:val="734"/>
    <w:uiPriority w:val="99"/>
    <w:rPr>
      <w:rFonts w:ascii="Times New Roman" w:hAnsi="Times New Roman"/>
      <w:lang w:val="en-US" w:eastAsia="zh-CN" w:bidi="ar-SA"/>
    </w:rPr>
    <w:tblPr/>
  </w:style>
  <w:style w:type="table" w:styleId="962">
    <w:name w:val="List Table 6 Colorful - Accent 6"/>
    <w:next w:val="962"/>
    <w:link w:val="734"/>
    <w:uiPriority w:val="99"/>
    <w:rPr>
      <w:rFonts w:ascii="Times New Roman" w:hAnsi="Times New Roman"/>
      <w:lang w:val="en-US" w:eastAsia="zh-CN" w:bidi="ar-SA"/>
    </w:rPr>
    <w:tblPr/>
  </w:style>
  <w:style w:type="table" w:styleId="963">
    <w:name w:val="List Table 7 Colorful"/>
    <w:next w:val="963"/>
    <w:link w:val="734"/>
    <w:uiPriority w:val="99"/>
    <w:rPr>
      <w:rFonts w:ascii="Times New Roman" w:hAnsi="Times New Roman"/>
      <w:lang w:val="en-US" w:eastAsia="zh-CN" w:bidi="ar-SA"/>
    </w:rPr>
    <w:tblPr/>
  </w:style>
  <w:style w:type="table" w:styleId="964">
    <w:name w:val="List Table 7 Colorful - Accent 1"/>
    <w:next w:val="964"/>
    <w:link w:val="734"/>
    <w:uiPriority w:val="99"/>
    <w:rPr>
      <w:rFonts w:ascii="Times New Roman" w:hAnsi="Times New Roman"/>
      <w:lang w:val="en-US" w:eastAsia="zh-CN" w:bidi="ar-SA"/>
    </w:rPr>
    <w:tblPr/>
  </w:style>
  <w:style w:type="table" w:styleId="965">
    <w:name w:val="List Table 7 Colorful - Accent 2"/>
    <w:next w:val="965"/>
    <w:link w:val="734"/>
    <w:uiPriority w:val="99"/>
    <w:rPr>
      <w:rFonts w:ascii="Times New Roman" w:hAnsi="Times New Roman"/>
      <w:lang w:val="en-US" w:eastAsia="zh-CN" w:bidi="ar-SA"/>
    </w:rPr>
    <w:tblPr/>
  </w:style>
  <w:style w:type="table" w:styleId="966">
    <w:name w:val="List Table 7 Colorful - Accent 3"/>
    <w:next w:val="966"/>
    <w:link w:val="734"/>
    <w:uiPriority w:val="99"/>
    <w:rPr>
      <w:rFonts w:ascii="Times New Roman" w:hAnsi="Times New Roman"/>
      <w:lang w:val="en-US" w:eastAsia="zh-CN" w:bidi="ar-SA"/>
    </w:rPr>
    <w:tblPr/>
  </w:style>
  <w:style w:type="table" w:styleId="967">
    <w:name w:val="List Table 7 Colorful - Accent 4"/>
    <w:next w:val="967"/>
    <w:link w:val="734"/>
    <w:uiPriority w:val="99"/>
    <w:rPr>
      <w:rFonts w:ascii="Times New Roman" w:hAnsi="Times New Roman"/>
      <w:lang w:val="en-US" w:eastAsia="zh-CN" w:bidi="ar-SA"/>
    </w:rPr>
    <w:tblPr/>
  </w:style>
  <w:style w:type="table" w:styleId="968">
    <w:name w:val="List Table 7 Colorful - Accent 5"/>
    <w:next w:val="968"/>
    <w:link w:val="734"/>
    <w:uiPriority w:val="99"/>
    <w:rPr>
      <w:rFonts w:ascii="Times New Roman" w:hAnsi="Times New Roman"/>
      <w:lang w:val="en-US" w:eastAsia="zh-CN" w:bidi="ar-SA"/>
    </w:rPr>
    <w:tblPr/>
  </w:style>
  <w:style w:type="table" w:styleId="969">
    <w:name w:val="List Table 7 Colorful - Accent 6"/>
    <w:next w:val="969"/>
    <w:link w:val="734"/>
    <w:uiPriority w:val="99"/>
    <w:rPr>
      <w:rFonts w:ascii="Times New Roman" w:hAnsi="Times New Roman"/>
      <w:lang w:val="en-US" w:eastAsia="zh-CN" w:bidi="ar-SA"/>
    </w:rPr>
    <w:tblPr/>
  </w:style>
  <w:style w:type="table" w:styleId="970">
    <w:name w:val="Lined - Accent"/>
    <w:next w:val="970"/>
    <w:link w:val="734"/>
    <w:uiPriority w:val="99"/>
    <w:rPr>
      <w:rFonts w:ascii="Times New Roman" w:hAnsi="Times New Roman"/>
      <w:color w:val="404040"/>
      <w:lang w:val="en-US" w:eastAsia="zh-CN" w:bidi="ar-SA"/>
    </w:rPr>
    <w:tblPr/>
  </w:style>
  <w:style w:type="table" w:styleId="971">
    <w:name w:val="Lined - Accent 1"/>
    <w:next w:val="971"/>
    <w:link w:val="734"/>
    <w:uiPriority w:val="99"/>
    <w:rPr>
      <w:rFonts w:ascii="Times New Roman" w:hAnsi="Times New Roman"/>
      <w:color w:val="404040"/>
      <w:lang w:val="en-US" w:eastAsia="zh-CN" w:bidi="ar-SA"/>
    </w:rPr>
    <w:tblPr/>
  </w:style>
  <w:style w:type="table" w:styleId="972">
    <w:name w:val="Lined - Accent 2"/>
    <w:next w:val="972"/>
    <w:link w:val="734"/>
    <w:uiPriority w:val="99"/>
    <w:rPr>
      <w:rFonts w:ascii="Times New Roman" w:hAnsi="Times New Roman"/>
      <w:color w:val="404040"/>
      <w:lang w:val="en-US" w:eastAsia="zh-CN" w:bidi="ar-SA"/>
    </w:rPr>
    <w:tblPr/>
  </w:style>
  <w:style w:type="table" w:styleId="973">
    <w:name w:val="Lined - Accent 3"/>
    <w:next w:val="973"/>
    <w:link w:val="734"/>
    <w:uiPriority w:val="99"/>
    <w:rPr>
      <w:rFonts w:ascii="Times New Roman" w:hAnsi="Times New Roman"/>
      <w:color w:val="404040"/>
      <w:lang w:val="en-US" w:eastAsia="zh-CN" w:bidi="ar-SA"/>
    </w:rPr>
    <w:tblPr/>
  </w:style>
  <w:style w:type="table" w:styleId="974">
    <w:name w:val="Lined - Accent 4"/>
    <w:next w:val="974"/>
    <w:link w:val="734"/>
    <w:uiPriority w:val="99"/>
    <w:rPr>
      <w:rFonts w:ascii="Times New Roman" w:hAnsi="Times New Roman"/>
      <w:color w:val="404040"/>
      <w:lang w:val="en-US" w:eastAsia="zh-CN" w:bidi="ar-SA"/>
    </w:rPr>
    <w:tblPr/>
  </w:style>
  <w:style w:type="table" w:styleId="975">
    <w:name w:val="Lined - Accent 5"/>
    <w:next w:val="975"/>
    <w:link w:val="734"/>
    <w:uiPriority w:val="99"/>
    <w:rPr>
      <w:rFonts w:ascii="Times New Roman" w:hAnsi="Times New Roman"/>
      <w:color w:val="404040"/>
      <w:lang w:val="en-US" w:eastAsia="zh-CN" w:bidi="ar-SA"/>
    </w:rPr>
    <w:tblPr/>
  </w:style>
  <w:style w:type="table" w:styleId="976">
    <w:name w:val="Lined - Accent 6"/>
    <w:next w:val="976"/>
    <w:link w:val="734"/>
    <w:uiPriority w:val="99"/>
    <w:rPr>
      <w:rFonts w:ascii="Times New Roman" w:hAnsi="Times New Roman"/>
      <w:color w:val="404040"/>
      <w:lang w:val="en-US" w:eastAsia="zh-CN" w:bidi="ar-SA"/>
    </w:rPr>
    <w:tblPr/>
  </w:style>
  <w:style w:type="table" w:styleId="977">
    <w:name w:val="Bordered &amp; Lined - Accent"/>
    <w:next w:val="977"/>
    <w:link w:val="734"/>
    <w:uiPriority w:val="99"/>
    <w:rPr>
      <w:rFonts w:ascii="Times New Roman" w:hAnsi="Times New Roman"/>
      <w:color w:val="404040"/>
      <w:lang w:val="en-US" w:eastAsia="zh-CN" w:bidi="ar-SA"/>
    </w:rPr>
    <w:tblPr/>
  </w:style>
  <w:style w:type="table" w:styleId="978">
    <w:name w:val="Bordered &amp; Lined - Accent 1"/>
    <w:next w:val="978"/>
    <w:link w:val="734"/>
    <w:uiPriority w:val="99"/>
    <w:rPr>
      <w:rFonts w:ascii="Times New Roman" w:hAnsi="Times New Roman"/>
      <w:color w:val="404040"/>
      <w:lang w:val="en-US" w:eastAsia="zh-CN" w:bidi="ar-SA"/>
    </w:rPr>
    <w:tblPr/>
  </w:style>
  <w:style w:type="table" w:styleId="979">
    <w:name w:val="Bordered &amp; Lined - Accent 2"/>
    <w:next w:val="979"/>
    <w:link w:val="734"/>
    <w:uiPriority w:val="99"/>
    <w:rPr>
      <w:rFonts w:ascii="Times New Roman" w:hAnsi="Times New Roman"/>
      <w:color w:val="404040"/>
      <w:lang w:val="en-US" w:eastAsia="zh-CN" w:bidi="ar-SA"/>
    </w:rPr>
    <w:tblPr/>
  </w:style>
  <w:style w:type="table" w:styleId="980">
    <w:name w:val="Bordered &amp; Lined - Accent 3"/>
    <w:next w:val="980"/>
    <w:link w:val="734"/>
    <w:uiPriority w:val="99"/>
    <w:rPr>
      <w:rFonts w:ascii="Times New Roman" w:hAnsi="Times New Roman"/>
      <w:color w:val="404040"/>
      <w:lang w:val="en-US" w:eastAsia="zh-CN" w:bidi="ar-SA"/>
    </w:rPr>
    <w:tblPr/>
  </w:style>
  <w:style w:type="table" w:styleId="981">
    <w:name w:val="Bordered &amp; Lined - Accent 4"/>
    <w:next w:val="981"/>
    <w:link w:val="734"/>
    <w:uiPriority w:val="99"/>
    <w:rPr>
      <w:rFonts w:ascii="Times New Roman" w:hAnsi="Times New Roman"/>
      <w:color w:val="404040"/>
      <w:lang w:val="en-US" w:eastAsia="zh-CN" w:bidi="ar-SA"/>
    </w:rPr>
    <w:tblPr/>
  </w:style>
  <w:style w:type="table" w:styleId="982">
    <w:name w:val="Bordered &amp; Lined - Accent 5"/>
    <w:next w:val="982"/>
    <w:link w:val="734"/>
    <w:uiPriority w:val="99"/>
    <w:rPr>
      <w:rFonts w:ascii="Times New Roman" w:hAnsi="Times New Roman"/>
      <w:color w:val="404040"/>
      <w:lang w:val="en-US" w:eastAsia="zh-CN" w:bidi="ar-SA"/>
    </w:rPr>
    <w:tblPr/>
  </w:style>
  <w:style w:type="table" w:styleId="983">
    <w:name w:val="Bordered &amp; Lined - Accent 6"/>
    <w:next w:val="983"/>
    <w:link w:val="734"/>
    <w:uiPriority w:val="99"/>
    <w:rPr>
      <w:rFonts w:ascii="Times New Roman" w:hAnsi="Times New Roman"/>
      <w:color w:val="404040"/>
      <w:lang w:val="en-US" w:eastAsia="zh-CN" w:bidi="ar-SA"/>
    </w:rPr>
    <w:tblPr/>
  </w:style>
  <w:style w:type="table" w:styleId="984">
    <w:name w:val="Bordered"/>
    <w:next w:val="984"/>
    <w:link w:val="734"/>
    <w:uiPriority w:val="99"/>
    <w:rPr>
      <w:rFonts w:ascii="Times New Roman" w:hAnsi="Times New Roman"/>
      <w:lang w:val="en-US" w:eastAsia="zh-CN" w:bidi="ar-SA"/>
    </w:rPr>
    <w:tblPr/>
  </w:style>
  <w:style w:type="table" w:styleId="985">
    <w:name w:val="Bordered - Accent 1"/>
    <w:next w:val="985"/>
    <w:link w:val="734"/>
    <w:uiPriority w:val="99"/>
    <w:rPr>
      <w:rFonts w:ascii="Times New Roman" w:hAnsi="Times New Roman"/>
      <w:lang w:val="en-US" w:eastAsia="zh-CN" w:bidi="ar-SA"/>
    </w:rPr>
    <w:tblPr/>
  </w:style>
  <w:style w:type="table" w:styleId="986">
    <w:name w:val="Bordered - Accent 2"/>
    <w:next w:val="986"/>
    <w:link w:val="734"/>
    <w:uiPriority w:val="99"/>
    <w:rPr>
      <w:rFonts w:ascii="Times New Roman" w:hAnsi="Times New Roman"/>
      <w:lang w:val="en-US" w:eastAsia="zh-CN" w:bidi="ar-SA"/>
    </w:rPr>
    <w:tblPr/>
  </w:style>
  <w:style w:type="table" w:styleId="987">
    <w:name w:val="Bordered - Accent 3"/>
    <w:next w:val="987"/>
    <w:link w:val="734"/>
    <w:uiPriority w:val="99"/>
    <w:rPr>
      <w:rFonts w:ascii="Times New Roman" w:hAnsi="Times New Roman"/>
      <w:lang w:val="en-US" w:eastAsia="zh-CN" w:bidi="ar-SA"/>
    </w:rPr>
    <w:tblPr/>
  </w:style>
  <w:style w:type="table" w:styleId="988">
    <w:name w:val="Bordered - Accent 4"/>
    <w:next w:val="988"/>
    <w:link w:val="734"/>
    <w:uiPriority w:val="99"/>
    <w:rPr>
      <w:rFonts w:ascii="Times New Roman" w:hAnsi="Times New Roman"/>
      <w:lang w:val="en-US" w:eastAsia="zh-CN" w:bidi="ar-SA"/>
    </w:rPr>
    <w:tblPr/>
  </w:style>
  <w:style w:type="table" w:styleId="989">
    <w:name w:val="Bordered - Accent 5"/>
    <w:next w:val="989"/>
    <w:link w:val="734"/>
    <w:uiPriority w:val="99"/>
    <w:rPr>
      <w:rFonts w:ascii="Times New Roman" w:hAnsi="Times New Roman"/>
      <w:lang w:val="en-US" w:eastAsia="zh-CN" w:bidi="ar-SA"/>
    </w:rPr>
    <w:tblPr/>
  </w:style>
  <w:style w:type="table" w:styleId="990">
    <w:name w:val="Bordered - Accent 6"/>
    <w:next w:val="990"/>
    <w:link w:val="734"/>
    <w:uiPriority w:val="99"/>
    <w:rPr>
      <w:rFonts w:ascii="Times New Roman" w:hAnsi="Times New Roman"/>
      <w:lang w:val="en-US" w:eastAsia="zh-CN" w:bidi="ar-SA"/>
    </w:rPr>
    <w:tblPr/>
  </w:style>
  <w:style w:type="paragraph" w:styleId="991">
    <w:name w:val="脚注文本"/>
    <w:basedOn w:val="734"/>
    <w:next w:val="991"/>
    <w:link w:val="992"/>
    <w:uiPriority w:val="99"/>
    <w:semiHidden/>
    <w:unhideWhenUsed/>
    <w:pPr>
      <w:spacing w:after="40"/>
    </w:pPr>
    <w:rPr>
      <w:rFonts w:ascii="Calibri" w:hAnsi="Calibri"/>
      <w:sz w:val="18"/>
      <w:szCs w:val="24"/>
    </w:rPr>
  </w:style>
  <w:style w:type="character" w:styleId="992">
    <w:name w:val="脚注文本 Char"/>
    <w:next w:val="992"/>
    <w:link w:val="991"/>
    <w:uiPriority w:val="99"/>
    <w:semiHidden/>
    <w:rPr>
      <w:sz w:val="18"/>
      <w:szCs w:val="24"/>
    </w:rPr>
  </w:style>
  <w:style w:type="character" w:styleId="993">
    <w:name w:val="脚注引用"/>
    <w:next w:val="993"/>
    <w:link w:val="734"/>
    <w:uiPriority w:val="99"/>
    <w:unhideWhenUsed/>
    <w:rPr>
      <w:vertAlign w:val="superscript"/>
    </w:rPr>
  </w:style>
  <w:style w:type="paragraph" w:styleId="994">
    <w:name w:val="尾注文本"/>
    <w:basedOn w:val="734"/>
    <w:next w:val="994"/>
    <w:link w:val="995"/>
    <w:uiPriority w:val="99"/>
    <w:semiHidden/>
    <w:unhideWhenUsed/>
    <w:rPr>
      <w:rFonts w:ascii="Calibri" w:hAnsi="Calibri"/>
      <w:sz w:val="20"/>
      <w:szCs w:val="24"/>
    </w:rPr>
  </w:style>
  <w:style w:type="character" w:styleId="995">
    <w:name w:val="尾注文本 Char"/>
    <w:next w:val="995"/>
    <w:link w:val="994"/>
    <w:uiPriority w:val="99"/>
    <w:semiHidden/>
    <w:rPr>
      <w:szCs w:val="24"/>
    </w:rPr>
  </w:style>
  <w:style w:type="character" w:styleId="996">
    <w:name w:val="尾注引用"/>
    <w:next w:val="996"/>
    <w:link w:val="734"/>
    <w:uiPriority w:val="99"/>
    <w:semiHidden/>
    <w:unhideWhenUsed/>
    <w:rPr>
      <w:vertAlign w:val="superscript"/>
    </w:rPr>
  </w:style>
  <w:style w:type="paragraph" w:styleId="997">
    <w:name w:val="TOC 标题"/>
    <w:next w:val="997"/>
    <w:link w:val="734"/>
    <w:uiPriority w:val="39"/>
    <w:unhideWhenUsed/>
    <w:rPr>
      <w:rFonts w:ascii="Times New Roman" w:hAnsi="Times New Roman"/>
      <w:lang w:val="en-US" w:eastAsia="zh-CN" w:bidi="ar-SA"/>
    </w:rPr>
  </w:style>
  <w:style w:type="character" w:styleId="998">
    <w:name w:val="font61"/>
    <w:next w:val="998"/>
    <w:link w:val="734"/>
    <w:qFormat/>
    <w:rPr>
      <w:rFonts w:hint="eastAsia" w:ascii="方正仿宋_GBK" w:hAnsi="方正仿宋_GBK" w:eastAsia="方正仿宋_GBK" w:cs="方正仿宋_GBK"/>
      <w:color w:val="000000"/>
      <w:sz w:val="28"/>
      <w:szCs w:val="28"/>
      <w:u w:val="none"/>
    </w:rPr>
  </w:style>
  <w:style w:type="character" w:styleId="999">
    <w:name w:val="font21"/>
    <w:next w:val="999"/>
    <w:link w:val="734"/>
    <w:qFormat/>
    <w:rPr>
      <w:rFonts w:ascii="Times New Roman" w:hAnsi="Times New Roman" w:cs="Times New Roman"/>
      <w:color w:val="000000"/>
      <w:sz w:val="28"/>
      <w:szCs w:val="28"/>
      <w:u w:val="none"/>
    </w:rPr>
  </w:style>
  <w:style w:type="character" w:styleId="1000">
    <w:name w:val="列表段落 字符"/>
    <w:next w:val="1000"/>
    <w:link w:val="1014"/>
    <w:uiPriority w:val="34"/>
    <w:qFormat/>
    <w:rPr>
      <w:rFonts w:ascii="等线" w:hAnsi="等线" w:eastAsia="等线" w:cs="宋体"/>
      <w:sz w:val="21"/>
      <w:szCs w:val="22"/>
    </w:rPr>
  </w:style>
  <w:style w:type="character" w:styleId="1001">
    <w:name w:val="样式二"/>
    <w:next w:val="1001"/>
    <w:link w:val="734"/>
  </w:style>
  <w:style w:type="character" w:styleId="1002">
    <w:name w:val="样式一"/>
    <w:next w:val="1002"/>
    <w:link w:val="734"/>
    <w:rPr>
      <w:rFonts w:ascii="宋体" w:hAnsi="宋体"/>
      <w:b/>
      <w:bCs/>
      <w:color w:val="000000"/>
      <w:sz w:val="36"/>
    </w:rPr>
  </w:style>
  <w:style w:type="character" w:styleId="1003">
    <w:name w:val="font51"/>
    <w:next w:val="1003"/>
    <w:link w:val="734"/>
    <w:qFormat/>
    <w:rPr>
      <w:rFonts w:ascii="Times New Roman" w:hAnsi="Times New Roman" w:cs="Times New Roman"/>
      <w:color w:val="000000"/>
      <w:sz w:val="28"/>
      <w:szCs w:val="28"/>
      <w:u w:val="none"/>
    </w:rPr>
  </w:style>
  <w:style w:type="character" w:styleId="1004">
    <w:name w:val="font41"/>
    <w:next w:val="1004"/>
    <w:link w:val="734"/>
    <w:qFormat/>
    <w:rPr>
      <w:rFonts w:hint="eastAsia" w:ascii="方正仿宋_GBK" w:hAnsi="方正仿宋_GBK" w:eastAsia="方正仿宋_GBK" w:cs="方正仿宋_GBK"/>
      <w:color w:val="000000"/>
      <w:sz w:val="28"/>
      <w:szCs w:val="28"/>
      <w:u w:val="none"/>
    </w:rPr>
  </w:style>
  <w:style w:type="paragraph" w:styleId="1005">
    <w:name w:val="文本块"/>
    <w:basedOn w:val="734"/>
    <w:next w:val="1005"/>
    <w:link w:val="734"/>
    <w:uiPriority w:val="99"/>
    <w:qFormat/>
    <w:pPr>
      <w:ind w:left="256" w:right="6" w:firstLine="624"/>
    </w:pPr>
    <w:rPr>
      <w:rFonts w:eastAsia="仿宋_GB2312"/>
      <w:sz w:val="28"/>
      <w:szCs w:val="20"/>
    </w:rPr>
  </w:style>
  <w:style w:type="paragraph" w:styleId="1006">
    <w:name w:val="编写建议"/>
    <w:basedOn w:val="734"/>
    <w:next w:val="1006"/>
    <w:link w:val="734"/>
    <w:qFormat/>
    <w:pPr>
      <w:ind w:firstLine="420"/>
      <w:jc w:val="left"/>
      <w:spacing w:line="360" w:lineRule="auto"/>
    </w:pPr>
    <w:rPr>
      <w:rFonts w:ascii="Arial" w:hAnsi="Arial" w:cs="Arial"/>
      <w:i/>
      <w:color w:val="0000ff"/>
    </w:rPr>
  </w:style>
  <w:style w:type="paragraph" w:styleId="1007">
    <w:name w:val="图样式"/>
    <w:basedOn w:val="734"/>
    <w:next w:val="1007"/>
    <w:link w:val="734"/>
    <w:qFormat/>
    <w:pPr>
      <w:jc w:val="center"/>
      <w:keepNext/>
      <w:spacing w:before="80" w:after="80" w:line="360" w:lineRule="auto"/>
      <w:widowControl/>
    </w:pPr>
  </w:style>
  <w:style w:type="paragraph" w:styleId="1008">
    <w:name w:val="表格文本"/>
    <w:next w:val="1008"/>
    <w:link w:val="734"/>
    <w:pPr>
      <w:tabs>
        <w:tab w:val="decimal" w:pos="0" w:leader="none"/>
      </w:tabs>
    </w:pPr>
    <w:rPr>
      <w:rFonts w:ascii="Arial" w:hAnsi="Arial"/>
      <w:sz w:val="21"/>
      <w:szCs w:val="21"/>
      <w:lang w:val="en-US" w:eastAsia="zh-CN" w:bidi="ar-SA"/>
    </w:rPr>
  </w:style>
  <w:style w:type="paragraph" w:styleId="1009">
    <w:name w:val="索引 4"/>
    <w:basedOn w:val="734"/>
    <w:next w:val="734"/>
    <w:link w:val="734"/>
    <w:qFormat/>
    <w:pPr>
      <w:ind w:left="1260"/>
    </w:pPr>
    <w:rPr>
      <w:rFonts w:eastAsia="楷体_GB2312"/>
      <w:sz w:val="26"/>
      <w:szCs w:val="20"/>
    </w:rPr>
  </w:style>
  <w:style w:type="paragraph" w:styleId="1010">
    <w:name w:val="列表段落1"/>
    <w:basedOn w:val="734"/>
    <w:next w:val="1010"/>
    <w:link w:val="734"/>
    <w:uiPriority w:val="34"/>
    <w:qFormat/>
    <w:pPr>
      <w:ind w:firstLine="420"/>
    </w:pPr>
    <w:rPr>
      <w:rFonts w:ascii="等线" w:hAnsi="等线" w:eastAsia="等线" w:cs="宋体"/>
      <w:szCs w:val="22"/>
    </w:rPr>
  </w:style>
  <w:style w:type="paragraph" w:styleId="1011">
    <w:name w:val="正文（首行不缩进）"/>
    <w:basedOn w:val="734"/>
    <w:next w:val="1011"/>
    <w:link w:val="734"/>
    <w:pPr>
      <w:jc w:val="left"/>
      <w:spacing w:line="360" w:lineRule="auto"/>
    </w:pPr>
  </w:style>
  <w:style w:type="paragraph" w:styleId="1012">
    <w:name w:val="表头文本"/>
    <w:next w:val="1012"/>
    <w:link w:val="734"/>
    <w:qFormat/>
    <w:pPr>
      <w:jc w:val="center"/>
    </w:pPr>
    <w:rPr>
      <w:rFonts w:ascii="Arial" w:hAnsi="Arial"/>
      <w:b/>
      <w:sz w:val="21"/>
      <w:szCs w:val="21"/>
      <w:lang w:val="en-US" w:eastAsia="zh-CN" w:bidi="ar-SA"/>
    </w:rPr>
  </w:style>
  <w:style w:type="paragraph" w:styleId="1013">
    <w:name w:val="列表段落2"/>
    <w:basedOn w:val="734"/>
    <w:next w:val="1013"/>
    <w:link w:val="734"/>
    <w:uiPriority w:val="34"/>
    <w:qFormat/>
    <w:pPr>
      <w:ind w:firstLine="420"/>
    </w:pPr>
    <w:rPr>
      <w:rFonts w:ascii="等线" w:hAnsi="等线" w:eastAsia="等线" w:cs="宋体"/>
      <w:szCs w:val="22"/>
    </w:rPr>
  </w:style>
  <w:style w:type="paragraph" w:styleId="1014">
    <w:name w:val="列表段落21"/>
    <w:basedOn w:val="734"/>
    <w:next w:val="1014"/>
    <w:link w:val="1000"/>
    <w:uiPriority w:val="34"/>
    <w:qFormat/>
    <w:pPr>
      <w:ind w:firstLine="420"/>
    </w:pPr>
    <w:rPr>
      <w:rFonts w:ascii="等线" w:hAnsi="等线" w:eastAsia="等线" w:cs="宋体"/>
      <w:szCs w:val="22"/>
    </w:rPr>
  </w:style>
  <w:style w:type="paragraph" w:styleId="1015">
    <w:name w:val="表格题注"/>
    <w:next w:val="734"/>
    <w:link w:val="734"/>
    <w:pPr>
      <w:numPr>
        <w:ilvl w:val="8"/>
        <w:numId w:val="21"/>
      </w:numPr>
      <w:ind w:left="1089" w:hanging="369"/>
      <w:jc w:val="center"/>
      <w:keepLines/>
    </w:pPr>
    <w:rPr>
      <w:rFonts w:ascii="Arial" w:hAnsi="Arial"/>
      <w:sz w:val="18"/>
      <w:szCs w:val="18"/>
      <w:lang w:val="en-US" w:eastAsia="zh-CN" w:bidi="ar-SA"/>
    </w:rPr>
  </w:style>
  <w:style w:type="paragraph" w:styleId="1016">
    <w:name w:val="注示文本"/>
    <w:basedOn w:val="734"/>
    <w:next w:val="1016"/>
    <w:link w:val="734"/>
    <w:pPr>
      <w:ind w:firstLine="360"/>
      <w:spacing w:line="360" w:lineRule="auto"/>
      <w:pBdr>
        <w:bottom w:val="single" w:color="000000" w:sz="4" w:space="1"/>
      </w:pBdr>
    </w:pPr>
    <w:rPr>
      <w:rFonts w:ascii="Arial" w:hAnsi="Arial" w:eastAsia="楷体_GB2312"/>
      <w:sz w:val="18"/>
      <w:szCs w:val="18"/>
    </w:rPr>
  </w:style>
  <w:style w:type="paragraph" w:styleId="1017">
    <w:name w:val="插图题注"/>
    <w:next w:val="734"/>
    <w:link w:val="734"/>
    <w:pPr>
      <w:numPr>
        <w:ilvl w:val="7"/>
        <w:numId w:val="21"/>
      </w:numPr>
      <w:ind w:left="1089" w:hanging="369"/>
      <w:jc w:val="center"/>
    </w:pPr>
    <w:rPr>
      <w:rFonts w:ascii="Arial" w:hAnsi="Arial"/>
      <w:sz w:val="18"/>
      <w:szCs w:val="18"/>
      <w:lang w:val="en-US" w:eastAsia="zh-CN" w:bidi="ar-SA"/>
    </w:rPr>
  </w:style>
  <w:style w:type="paragraph" w:styleId="1018">
    <w:name w:val="文档标题"/>
    <w:basedOn w:val="734"/>
    <w:next w:val="1018"/>
    <w:link w:val="734"/>
    <w:pPr>
      <w:jc w:val="center"/>
      <w:spacing w:before="300" w:after="300" w:line="360" w:lineRule="auto"/>
      <w:tabs>
        <w:tab w:val="left" w:pos="0" w:leader="none"/>
      </w:tabs>
    </w:pPr>
    <w:rPr>
      <w:rFonts w:ascii="Arial" w:hAnsi="Arial" w:eastAsia="黑体"/>
      <w:sz w:val="36"/>
      <w:szCs w:val="36"/>
    </w:rPr>
  </w:style>
  <w:style w:type="paragraph" w:styleId="1019">
    <w:name w:val="注示头"/>
    <w:basedOn w:val="734"/>
    <w:next w:val="1019"/>
    <w:link w:val="734"/>
    <w:pPr>
      <w:spacing w:line="360" w:lineRule="auto"/>
      <w:pBdr>
        <w:top w:val="single" w:color="000000" w:sz="4" w:space="1"/>
      </w:pBdr>
    </w:pPr>
    <w:rPr>
      <w:rFonts w:ascii="Arial" w:hAnsi="Arial" w:eastAsia="黑体"/>
      <w:sz w:val="18"/>
    </w:rPr>
  </w:style>
  <w:style w:type="table" w:styleId="1020">
    <w:name w:val="TableGrid11"/>
    <w:next w:val="1020"/>
    <w:link w:val="734"/>
    <w:qFormat/>
    <w:rPr>
      <w:sz w:val="21"/>
      <w:szCs w:val="22"/>
      <w:lang w:val="en-US" w:eastAsia="zh-CN" w:bidi="ar-SA"/>
    </w:rPr>
    <w:tblPr/>
  </w:style>
  <w:style w:type="table" w:styleId="1021">
    <w:name w:val="TableGrid1"/>
    <w:next w:val="1021"/>
    <w:link w:val="734"/>
    <w:qFormat/>
    <w:rPr>
      <w:sz w:val="21"/>
      <w:szCs w:val="22"/>
      <w:lang w:val="en-US" w:eastAsia="zh-CN" w:bidi="ar-SA"/>
    </w:rPr>
    <w:tblPr/>
  </w:style>
  <w:style w:type="character" w:styleId="55458" w:default="1">
    <w:name w:val="Default Paragraph Font"/>
    <w:uiPriority w:val="1"/>
    <w:semiHidden/>
    <w:unhideWhenUsed/>
  </w:style>
  <w:style w:type="numbering" w:styleId="55459" w:default="1">
    <w:name w:val="No List"/>
    <w:uiPriority w:val="99"/>
    <w:semiHidden/>
    <w:unhideWhenUsed/>
  </w:style>
  <w:style w:type="table" w:styleId="554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邰云祥</cp:lastModifiedBy>
  <cp:revision>600</cp:revision>
  <dcterms:created xsi:type="dcterms:W3CDTF">2023-03-16T02:16:00Z</dcterms:created>
  <dcterms:modified xsi:type="dcterms:W3CDTF">2024-09-24T07:35:23Z</dcterms:modified>
  <cp:version>917504</cp:version>
</cp:coreProperties>
</file>