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Cs/>
          <w:spacing w:val="12"/>
          <w:sz w:val="24"/>
          <w:szCs w:val="24"/>
        </w:rPr>
      </w:pPr>
      <w:r>
        <w:rPr>
          <w:bCs/>
          <w:spacing w:val="12"/>
          <w:sz w:val="24"/>
          <w:szCs w:val="24"/>
        </w:rPr>
        <w:t>附件</w:t>
      </w:r>
      <w:r>
        <w:rPr>
          <w:rFonts w:hint="eastAsia"/>
          <w:bCs/>
          <w:spacing w:val="12"/>
          <w:sz w:val="24"/>
          <w:szCs w:val="24"/>
        </w:rPr>
        <w:t>5</w:t>
      </w:r>
    </w:p>
    <w:p>
      <w:pPr>
        <w:jc w:val="center"/>
        <w:rPr>
          <w:b/>
          <w:bCs/>
          <w:spacing w:val="12"/>
          <w:sz w:val="30"/>
          <w:szCs w:val="30"/>
        </w:rPr>
      </w:pPr>
      <w:r>
        <w:rPr>
          <w:b/>
          <w:bCs/>
          <w:spacing w:val="12"/>
          <w:sz w:val="30"/>
          <w:szCs w:val="30"/>
        </w:rPr>
        <w:t>常熟市绿地养护质量标准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55"/>
        <w:gridCol w:w="3150"/>
        <w:gridCol w:w="2310"/>
        <w:gridCol w:w="2415"/>
      </w:tblGrid>
      <w:t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序号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内容</w:t>
            </w:r>
          </w:p>
        </w:tc>
        <w:tc>
          <w:tcPr>
            <w:tcW w:w="3150" w:type="dxa"/>
            <w:vAlign w:val="center"/>
          </w:tcPr>
          <w:p>
            <w:pPr>
              <w:spacing w:line="32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一级</w:t>
            </w:r>
          </w:p>
        </w:tc>
        <w:tc>
          <w:tcPr>
            <w:tcW w:w="2310" w:type="dxa"/>
            <w:vAlign w:val="center"/>
          </w:tcPr>
          <w:p>
            <w:pPr>
              <w:spacing w:line="32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二级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三级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群落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结构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随着植物生长的各个时期，不断进行更新、调整、间伐，使群落结构稳定，树种配置科学合理，层次丰富，物种多样覆盖地表，黄土不裸露，生态观赏效果好。</w:t>
            </w:r>
          </w:p>
        </w:tc>
        <w:tc>
          <w:tcPr>
            <w:tcW w:w="231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随着植物生长的各个时期，不断进行更新与调整，使林相结构合理，有较完整的层次和不少于二层的林相结构，林下处理得当。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植物种植成片或带状，有较好的绿化效果，地表整洁。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树木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养护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树木生长健壮，不歪斜。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新建绿地各种植物两年内恢复正常生长。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树冠完整美观，修剪科学合理，主侧枝分布均匀，数量适宜，内膛不乱，通风透气，无枯枝、死杈。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花灌木按时开花结果，株形丰满，花后修剪及时。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整形植物修剪及时，保持外型轮廓清楚，外缘枝叶紧密。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地被植物整齐，覆盖率在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树木存活率在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</w:tc>
        <w:tc>
          <w:tcPr>
            <w:tcW w:w="231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树木生长正常，不歪斜。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新建绿地各种植物三年内恢复正常生长。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树冠基本完整，主侧枝匀称，数量适宜，修剪合理，内膛不乱，通风透气，无枯枝死杈。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花灌木开花及时，正常，花后修剪及时。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整形植物修剪及时，枝叶生长正常，整齐一致。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地被植物整齐，覆盖率在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树木存活率在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树木生长正常，不歪斜，有绿色效果。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新建绿地各种植物三年内基本恢复正常生长。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树冠基本完整，修剪及时，无明显枯枝死杈。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花灌木开花及时，花后修剪及时。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整形植物及时修剪，有一定形态。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地被植物整齐，覆盖率在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树木存活率在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草坪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养护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草种纯正，生长茂盛。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颜色一致，高度一致，密度一致，质地均一。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草高不超过（冷）</w:t>
            </w:r>
            <w:r>
              <w:rPr>
                <w:spacing w:val="12"/>
                <w:sz w:val="24"/>
              </w:rPr>
              <w:t>6cm</w:t>
            </w:r>
            <w:r>
              <w:rPr>
                <w:spacing w:val="12"/>
                <w:sz w:val="24"/>
              </w:rPr>
              <w:t>，（暖）</w:t>
            </w:r>
            <w:r>
              <w:rPr>
                <w:spacing w:val="12"/>
                <w:sz w:val="24"/>
              </w:rPr>
              <w:t>3cm</w:t>
            </w:r>
            <w:r>
              <w:rPr>
                <w:spacing w:val="12"/>
                <w:sz w:val="24"/>
              </w:rPr>
              <w:t>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草坪边缘线清晰（与路面、树穴、花坛交界处）。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无杂草。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草坪覆盖率在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以上，无大于</w:t>
            </w:r>
            <w:r>
              <w:rPr>
                <w:spacing w:val="12"/>
                <w:sz w:val="24"/>
              </w:rPr>
              <w:t>20×20cm</w:t>
            </w:r>
            <w:r>
              <w:rPr>
                <w:spacing w:val="12"/>
                <w:sz w:val="24"/>
              </w:rPr>
              <w:t>的秃斑。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绿地平整，雨后无积水。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草种基本纯正，生长整齐。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生长期草高不超过（冷）</w:t>
            </w:r>
            <w:r>
              <w:rPr>
                <w:spacing w:val="12"/>
                <w:sz w:val="24"/>
              </w:rPr>
              <w:t>6cm</w:t>
            </w:r>
            <w:r>
              <w:rPr>
                <w:spacing w:val="12"/>
                <w:sz w:val="24"/>
              </w:rPr>
              <w:t>，（暖）</w:t>
            </w:r>
            <w:r>
              <w:rPr>
                <w:spacing w:val="12"/>
                <w:sz w:val="24"/>
              </w:rPr>
              <w:t>3.5cm</w:t>
            </w:r>
            <w:r>
              <w:rPr>
                <w:spacing w:val="12"/>
                <w:sz w:val="24"/>
              </w:rPr>
              <w:t>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基本无杂草。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草坪覆盖度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以上，无大于</w:t>
            </w:r>
            <w:r>
              <w:rPr>
                <w:spacing w:val="12"/>
                <w:sz w:val="24"/>
              </w:rPr>
              <w:t>50×50cm</w:t>
            </w:r>
            <w:r>
              <w:rPr>
                <w:spacing w:val="12"/>
                <w:sz w:val="24"/>
              </w:rPr>
              <w:t>的秃斑。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草坪边缘线清晰（树穴、花坛交界处）。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草坪生长茂盛。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生长期草高不超过（冷）</w:t>
            </w:r>
            <w:r>
              <w:rPr>
                <w:spacing w:val="12"/>
                <w:sz w:val="24"/>
              </w:rPr>
              <w:t>8cm</w:t>
            </w:r>
            <w:r>
              <w:rPr>
                <w:spacing w:val="12"/>
                <w:sz w:val="24"/>
              </w:rPr>
              <w:t>，（暖）</w:t>
            </w:r>
            <w:r>
              <w:rPr>
                <w:spacing w:val="12"/>
                <w:sz w:val="24"/>
              </w:rPr>
              <w:t>4cm</w:t>
            </w:r>
            <w:r>
              <w:rPr>
                <w:spacing w:val="12"/>
                <w:sz w:val="24"/>
              </w:rPr>
              <w:t>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基本无阔叶杂草，杂草控制高度：</w:t>
            </w:r>
            <w:r>
              <w:rPr>
                <w:spacing w:val="12"/>
                <w:sz w:val="24"/>
              </w:rPr>
              <w:t>5cm</w:t>
            </w:r>
            <w:r>
              <w:rPr>
                <w:spacing w:val="12"/>
                <w:sz w:val="24"/>
              </w:rPr>
              <w:t>以下。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草坪覆盖度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以上，集中空秃面积不超</w:t>
            </w:r>
            <w:r>
              <w:rPr>
                <w:spacing w:val="12"/>
                <w:sz w:val="24"/>
              </w:rPr>
              <w:t>1m</w:t>
            </w:r>
            <w:r>
              <w:rPr>
                <w:spacing w:val="12"/>
                <w:sz w:val="24"/>
                <w:vertAlign w:val="superscript"/>
              </w:rPr>
              <w:t>2</w:t>
            </w:r>
            <w:r>
              <w:rPr>
                <w:spacing w:val="12"/>
                <w:sz w:val="24"/>
              </w:rPr>
              <w:t>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草坪与树穴交界处有边缘线。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lastRenderedPageBreak/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卫生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标准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绿地整洁，无枯枝病叶，无垃圾，植物叶面无陈旧积尘。</w:t>
            </w: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无杂物（纸屑、果壳、塑料纸、砖头石块、堆物、堆料、搭棚等）。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绿化生产垃圾（树枝、树叶、草屑等）、水面杂物，重点地区随产随清，其它地区日产日清，做到巡视保洁。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绿地设施整洁，立面无涂刻、招贴。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无卫生死角。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绿地整洁，无枯枝病叶，无垃圾，植物叶面无陈旧积尘。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无杂物（纸屑、果壳、塑料纸、砖头石块、堆物、堆料、搭棚等）。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绿化生产垃圾（树枝、树叶、草屑等）、水面杂物，应日产日清，做到保洁及时。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绿地设施整洁，立面无涂刻、招贴。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无卫生死角。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绿地基本整洁，无枯枝病叶，无垃圾。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无明显杂物（纸屑、果壳、塑料纸、砖头石块、堆物、堆料、搭棚等）。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绿化生产垃圾（树枝、树叶、草屑等），水面杂物能日产日清，能做到保洁及时。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绿地设施整洁，立面无涂刻、招贴。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无卫生死角。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灌溉与排水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绿地内有灌水、排水设施，灌溉用水水质符合园林植物灌溉水质要求。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浇水树堰规范（直径为树木胸径的</w:t>
            </w:r>
            <w:r>
              <w:rPr>
                <w:spacing w:val="12"/>
                <w:sz w:val="24"/>
              </w:rPr>
              <w:t>10</w:t>
            </w:r>
            <w:r>
              <w:rPr>
                <w:spacing w:val="12"/>
                <w:sz w:val="24"/>
              </w:rPr>
              <w:t>倍），浇水后无跑水、漏水现象。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绿地无超过</w:t>
            </w:r>
            <w:r>
              <w:rPr>
                <w:spacing w:val="12"/>
                <w:sz w:val="24"/>
              </w:rPr>
              <w:t>12</w:t>
            </w:r>
            <w:r>
              <w:rPr>
                <w:spacing w:val="12"/>
                <w:sz w:val="24"/>
              </w:rPr>
              <w:t>小时的积水。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绿地内有排水设施，灌溉用水水源便利，水质符合园林植物灌溉水质要求。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浇水树堰完整，浇水后无明显跑水、漏水现象。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绿地无超过</w:t>
            </w:r>
            <w:r>
              <w:rPr>
                <w:spacing w:val="12"/>
                <w:sz w:val="24"/>
              </w:rPr>
              <w:t>24</w:t>
            </w:r>
            <w:r>
              <w:rPr>
                <w:spacing w:val="12"/>
                <w:sz w:val="24"/>
              </w:rPr>
              <w:t>小时的积水。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灌溉用水水源便利，水质符合园林植物灌溉水质要求。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有浇水树堰，浇水后水不溢出绿地。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无超过</w:t>
            </w:r>
            <w:r>
              <w:rPr>
                <w:spacing w:val="12"/>
                <w:sz w:val="24"/>
              </w:rPr>
              <w:t>36</w:t>
            </w:r>
            <w:r>
              <w:rPr>
                <w:spacing w:val="12"/>
                <w:sz w:val="24"/>
              </w:rPr>
              <w:t>小时的积水。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杂草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控制</w:t>
            </w:r>
          </w:p>
        </w:tc>
        <w:tc>
          <w:tcPr>
            <w:tcW w:w="315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无大型野草，无缠绕性、攀缘性杂草，基本无杂草。</w:t>
            </w:r>
          </w:p>
        </w:tc>
        <w:tc>
          <w:tcPr>
            <w:tcW w:w="231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无大型野草，无缠绕性、攀缘性杂草，路边及零星区域的杂草控制在</w:t>
            </w:r>
            <w:r>
              <w:rPr>
                <w:spacing w:val="12"/>
                <w:sz w:val="24"/>
              </w:rPr>
              <w:t>5cm</w:t>
            </w:r>
            <w:r>
              <w:rPr>
                <w:spacing w:val="12"/>
                <w:sz w:val="24"/>
              </w:rPr>
              <w:t>以下，并不得蔓延到路面、花树坛，不影响景观效果。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无缠绕性、攀缘性杂草，控制杂草高度以不影响景观效果为度。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7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病虫害控制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有病虫害控制措施。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基本无病虫危害迹象。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食叶、刺吸性害虫危害的叶片控制在每株不超过</w:t>
            </w:r>
            <w:r>
              <w:rPr>
                <w:spacing w:val="12"/>
                <w:sz w:val="24"/>
              </w:rPr>
              <w:t>5-10%</w:t>
            </w:r>
            <w:r>
              <w:rPr>
                <w:spacing w:val="12"/>
                <w:sz w:val="24"/>
              </w:rPr>
              <w:t>。</w:t>
            </w: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蛀干性害虫危害的株数在</w:t>
            </w:r>
            <w:r>
              <w:rPr>
                <w:spacing w:val="12"/>
                <w:sz w:val="24"/>
              </w:rPr>
              <w:t>3%</w:t>
            </w:r>
            <w:r>
              <w:rPr>
                <w:spacing w:val="12"/>
                <w:sz w:val="24"/>
              </w:rPr>
              <w:t>以下。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有病虫害控制措施。</w:t>
            </w: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无明显病虫危害迹象。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食叶、刺吸性害虫危害的叶片控制在每株不超过</w:t>
            </w:r>
            <w:r>
              <w:rPr>
                <w:spacing w:val="12"/>
                <w:sz w:val="24"/>
              </w:rPr>
              <w:t>10-15%</w:t>
            </w:r>
            <w:r>
              <w:rPr>
                <w:spacing w:val="12"/>
                <w:sz w:val="24"/>
              </w:rPr>
              <w:t>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蛀干性害虫危害的株数在</w:t>
            </w:r>
            <w:r>
              <w:rPr>
                <w:spacing w:val="12"/>
                <w:sz w:val="24"/>
              </w:rPr>
              <w:t>5%</w:t>
            </w:r>
            <w:r>
              <w:rPr>
                <w:spacing w:val="12"/>
                <w:sz w:val="24"/>
              </w:rPr>
              <w:t>以下。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有病虫害控制措施。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无因病虫害而引起断枝倒伏现象。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食叶、刺吸性害虫危害的叶片控制在每株不超过</w:t>
            </w:r>
            <w:r>
              <w:rPr>
                <w:spacing w:val="12"/>
                <w:sz w:val="24"/>
              </w:rPr>
              <w:t>15-20%</w:t>
            </w:r>
            <w:r>
              <w:rPr>
                <w:spacing w:val="12"/>
                <w:sz w:val="24"/>
              </w:rPr>
              <w:t>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蛀干性害虫危害的株数在</w:t>
            </w:r>
            <w:r>
              <w:rPr>
                <w:spacing w:val="12"/>
                <w:sz w:val="24"/>
              </w:rPr>
              <w:t>8%</w:t>
            </w:r>
            <w:r>
              <w:rPr>
                <w:spacing w:val="12"/>
                <w:sz w:val="24"/>
              </w:rPr>
              <w:t>以下。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lastRenderedPageBreak/>
              <w:t>8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设施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维护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树木支撑桩位扎缚规范统一。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建筑小品、辅助设施完整、安全、规范，有问题及时上报。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硬地卫生，不积水，无沉积垃圾杂物。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设施完善率</w:t>
            </w:r>
            <w:r>
              <w:rPr>
                <w:spacing w:val="12"/>
                <w:sz w:val="24"/>
              </w:rPr>
              <w:t>98%</w:t>
            </w:r>
            <w:r>
              <w:rPr>
                <w:spacing w:val="12"/>
                <w:sz w:val="24"/>
              </w:rPr>
              <w:t>以上。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树木支撑规范，扎缚有效。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建筑小品、辅助设施整洁无损，安全，有问题及时上报。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硬地卫生，无沉积垃圾杂物。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设施完善率</w:t>
            </w:r>
            <w:r>
              <w:rPr>
                <w:spacing w:val="12"/>
                <w:sz w:val="24"/>
              </w:rPr>
              <w:t>95%</w:t>
            </w:r>
            <w:r>
              <w:rPr>
                <w:spacing w:val="12"/>
                <w:sz w:val="24"/>
              </w:rPr>
              <w:t>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园林设施基本完整，有问题及时上报。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设施完善率</w:t>
            </w:r>
            <w:r>
              <w:rPr>
                <w:spacing w:val="12"/>
                <w:sz w:val="24"/>
              </w:rPr>
              <w:t>90%</w:t>
            </w:r>
            <w:r>
              <w:rPr>
                <w:spacing w:val="12"/>
                <w:sz w:val="24"/>
              </w:rPr>
              <w:t>。。</w:t>
            </w:r>
          </w:p>
        </w:tc>
      </w:tr>
      <w:t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管理</w:t>
            </w:r>
          </w:p>
          <w:p>
            <w:pPr>
              <w:spacing w:line="300" w:lineRule="exact"/>
              <w:jc w:val="center"/>
              <w:rPr>
                <w:b/>
                <w:bCs/>
                <w:spacing w:val="12"/>
                <w:sz w:val="24"/>
              </w:rPr>
            </w:pPr>
            <w:r>
              <w:rPr>
                <w:b/>
                <w:bCs/>
                <w:spacing w:val="12"/>
                <w:sz w:val="24"/>
              </w:rPr>
              <w:t>标准</w:t>
            </w:r>
          </w:p>
        </w:tc>
        <w:tc>
          <w:tcPr>
            <w:tcW w:w="3150" w:type="dxa"/>
            <w:vAlign w:val="center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绿地管理制度全面落实，档案资料完整、详尽，工作人员统一着装。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根据绿地质量标准，制订养护管理技术措施及年度养护计划。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加强对职工的培训，提高职工的技术素质。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无违章占绿，无违法建设。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秩序良好，无乱堆乱放、晾晒衣物现象。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有紧急抢险预案措施。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对被破坏或其他原因引起的绿地损坏及时上报。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8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⑧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按照有关安全生产操作规程组织作业。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绿地管理制度全面落实，档案资料完整、详尽，工作人员统一着装。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根据绿地质量标准，制订养护管理技术措施及年度养护计划。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加强对职工的培训，提高职工的技术素质。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无违章占绿，无违法建设。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秩序良好，无乱堆乱放、晾晒衣物现象。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有紧急抢险预案措施。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对被破坏或其他原因引起的绿地损坏及时上报。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8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⑧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按照有关安全生产操作规程组织作业。</w:t>
            </w:r>
          </w:p>
        </w:tc>
        <w:tc>
          <w:tcPr>
            <w:tcW w:w="2415" w:type="dxa"/>
          </w:tcPr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1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①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绿地管理制度全面落实，档案资料完整、详尽，工作人员统一着装。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2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②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根据绿地质量标准，制订养护管理技术措施及年度养护计划。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3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③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加强对职工的培训，提高职工的技术素质。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4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④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无违章占绿，无违法建设。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5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⑤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秩序良好，无乱堆乱放、晾晒衣物现象。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6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⑥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有紧急抢险预案措施。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7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⑦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对被破坏或其他原因引起的绿地损坏及时上报。</w:t>
            </w:r>
          </w:p>
          <w:p>
            <w:pPr>
              <w:spacing w:line="300" w:lineRule="exact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fldChar w:fldCharType="begin"/>
            </w:r>
            <w:r>
              <w:rPr>
                <w:spacing w:val="12"/>
                <w:sz w:val="24"/>
              </w:rPr>
              <w:instrText xml:space="preserve"> = 8 \* GB3 </w:instrText>
            </w:r>
            <w:r>
              <w:rPr>
                <w:spacing w:val="12"/>
                <w:sz w:val="24"/>
              </w:rPr>
              <w:fldChar w:fldCharType="separate"/>
            </w:r>
            <w:r>
              <w:rPr>
                <w:spacing w:val="12"/>
                <w:sz w:val="24"/>
              </w:rPr>
              <w:t>⑧</w:t>
            </w:r>
            <w:r>
              <w:rPr>
                <w:spacing w:val="12"/>
                <w:sz w:val="24"/>
              </w:rPr>
              <w:fldChar w:fldCharType="end"/>
            </w:r>
            <w:r>
              <w:rPr>
                <w:spacing w:val="12"/>
                <w:sz w:val="24"/>
              </w:rPr>
              <w:t>按照有关安全生产操作规程组织作业。</w:t>
            </w:r>
          </w:p>
        </w:tc>
      </w:tr>
    </w:tbl>
    <w:p>
      <w:pPr>
        <w:spacing w:line="360" w:lineRule="auto"/>
      </w:pPr>
    </w:p>
    <w:p>
      <w:pPr>
        <w:spacing w:line="440" w:lineRule="exact"/>
        <w:ind w:firstLineChars="100" w:firstLine="240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9</cp:revision>
  <dcterms:created xsi:type="dcterms:W3CDTF">2016-01-22T02:13:00Z</dcterms:created>
  <dcterms:modified xsi:type="dcterms:W3CDTF">2019-11-26T02:55:00Z</dcterms:modified>
</cp:coreProperties>
</file>