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widowControl/>
        <w:rPr>
          <w:rFonts w:ascii="宋体" w:cs="宋体"/>
          <w:bCs/>
          <w:color w:val="auto"/>
          <w:sz w:val="24"/>
          <w:szCs w:val="24"/>
          <w:highlight w:val="none"/>
        </w:rPr>
      </w:pPr>
      <w:r>
        <w:rPr>
          <w:rFonts w:ascii="宋体" w:cs="宋体"/>
          <w:bCs/>
          <w:color w:val="auto"/>
          <w:sz w:val="24"/>
          <w:szCs w:val="24"/>
          <w:highlight w:val="none"/>
        </w:rPr>
      </w:r>
      <w:r/>
    </w:p>
    <w:p>
      <w:pPr>
        <w:jc w:val="center"/>
        <w:spacing w:line="360" w:lineRule="auto"/>
        <w:rPr>
          <w:rFonts w:ascii="宋体" w:cs="宋体"/>
          <w:color w:val="auto"/>
          <w:sz w:val="24"/>
          <w:szCs w:val="24"/>
          <w:highlight w:val="none"/>
        </w:rPr>
      </w:pPr>
      <w:r>
        <w:rPr>
          <w:rFonts w:ascii="宋体" w:cs="宋体"/>
          <w:color w:val="auto"/>
          <w:sz w:val="24"/>
          <w:szCs w:val="24"/>
          <w:highlight w:val="none"/>
        </w:rPr>
      </w:r>
      <w:r/>
    </w:p>
    <w:p>
      <w:pPr>
        <w:jc w:val="center"/>
        <w:spacing w:line="360" w:lineRule="auto"/>
        <w:rPr>
          <w:rFonts w:ascii="宋体" w:cs="宋体"/>
          <w:color w:val="auto"/>
          <w:sz w:val="84"/>
          <w:szCs w:val="84"/>
          <w:highlight w:val="none"/>
        </w:rPr>
      </w:pPr>
      <w:r>
        <w:rPr>
          <w:rFonts w:hint="eastAsia" w:ascii="宋体" w:cs="宋体"/>
          <w:color w:val="auto"/>
          <w:sz w:val="84"/>
          <w:szCs w:val="84"/>
          <w:highlight w:val="none"/>
        </w:rPr>
        <w:t xml:space="preserve">苏州市政府采购</w:t>
      </w:r>
      <w:r/>
    </w:p>
    <w:p>
      <w:pPr>
        <w:jc w:val="center"/>
        <w:spacing w:line="360" w:lineRule="auto"/>
        <w:rPr>
          <w:rFonts w:ascii="宋体" w:cs="宋体"/>
          <w:color w:val="auto"/>
          <w:sz w:val="84"/>
          <w:szCs w:val="84"/>
          <w:highlight w:val="none"/>
        </w:rPr>
      </w:pPr>
      <w:r>
        <w:rPr>
          <w:rFonts w:hint="eastAsia" w:ascii="宋体" w:cs="宋体"/>
          <w:color w:val="auto"/>
          <w:sz w:val="84"/>
          <w:szCs w:val="84"/>
          <w:highlight w:val="none"/>
        </w:rPr>
        <w:t xml:space="preserve">招标文件</w:t>
      </w:r>
      <w:r/>
    </w:p>
    <w:p>
      <w:pPr>
        <w:jc w:val="center"/>
        <w:spacing w:line="360" w:lineRule="auto"/>
        <w:rPr>
          <w:rFonts w:ascii="宋体" w:cs="宋体"/>
          <w:color w:val="auto"/>
          <w:sz w:val="24"/>
          <w:szCs w:val="24"/>
          <w:highlight w:val="none"/>
        </w:rPr>
      </w:pPr>
      <w:r>
        <w:rPr>
          <w:rFonts w:ascii="宋体" w:cs="宋体"/>
          <w:color w:val="auto"/>
          <w:sz w:val="24"/>
          <w:szCs w:val="24"/>
          <w:highlight w:val="none"/>
        </w:rPr>
      </w:r>
      <w:r/>
    </w:p>
    <w:p>
      <w:pPr>
        <w:jc w:val="center"/>
        <w:spacing w:line="360" w:lineRule="auto"/>
        <w:rPr>
          <w:rFonts w:ascii="宋体" w:cs="宋体"/>
          <w:color w:val="auto"/>
          <w:sz w:val="24"/>
          <w:szCs w:val="24"/>
          <w:highlight w:val="none"/>
        </w:rPr>
      </w:pPr>
      <w:r>
        <w:rPr>
          <w:rFonts w:ascii="宋体" w:cs="宋体"/>
          <w:color w:val="auto"/>
          <w:sz w:val="24"/>
          <w:szCs w:val="24"/>
          <w:highlight w:val="none"/>
        </w:rPr>
      </w:r>
      <w:r/>
    </w:p>
    <w:p>
      <w:pPr>
        <w:jc w:val="center"/>
        <w:spacing w:line="360" w:lineRule="auto"/>
        <w:rPr>
          <w:rFonts w:ascii="宋体" w:cs="宋体"/>
          <w:color w:val="auto"/>
          <w:sz w:val="24"/>
          <w:szCs w:val="24"/>
          <w:highlight w:val="none"/>
        </w:rPr>
      </w:pPr>
      <w:r>
        <w:rPr>
          <w:rFonts w:ascii="宋体" w:cs="宋体"/>
          <w:color w:val="auto"/>
          <w:sz w:val="24"/>
          <w:szCs w:val="24"/>
          <w:highlight w:val="none"/>
        </w:rPr>
        <mc:AlternateContent>
          <mc:Choice Requires="wpg">
            <w:drawing>
              <wp:inline xmlns:wp="http://schemas.openxmlformats.org/drawingml/2006/wordprocessingDrawing" distT="0" distB="0" distL="0" distR="0">
                <wp:extent cx="1866900" cy="1885950"/>
                <wp:effectExtent l="0" t="0" r="0" b="0"/>
                <wp:docPr id="3" name="图片 1" descr="苏州正杰招投标咨询服务有限公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苏州正杰招投标咨询服务有限公司"/>
                        <pic:cNvPicPr>
                          <a:picLocks noChangeAspect="1"/>
                        </pic:cNvPicPr>
                        <pic:nvPr/>
                      </pic:nvPicPr>
                      <pic:blipFill>
                        <a:blip r:embed="rId12"/>
                        <a:stretch/>
                      </pic:blipFill>
                      <pic:spPr bwMode="auto">
                        <a:xfrm>
                          <a:off x="0" y="0"/>
                          <a:ext cx="1866900" cy="1885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47.0pt;height:148.5pt;mso-wrap-distance-left:0.0pt;mso-wrap-distance-top:0.0pt;mso-wrap-distance-right:0.0pt;mso-wrap-distance-bottom:0.0pt;" stroked="f">
                <v:path textboxrect="0,0,0,0"/>
                <v:imagedata r:id="rId12" o:title=""/>
              </v:shape>
            </w:pict>
          </mc:Fallback>
        </mc:AlternateContent>
      </w:r>
      <w:r/>
    </w:p>
    <w:p>
      <w:pPr>
        <w:ind w:firstLine="2080"/>
        <w:spacing w:line="360" w:lineRule="auto"/>
        <w:rPr>
          <w:rFonts w:ascii="宋体" w:cs="宋体"/>
          <w:color w:val="auto"/>
          <w:sz w:val="32"/>
          <w:szCs w:val="32"/>
          <w:highlight w:val="none"/>
        </w:rPr>
      </w:pPr>
      <w:r>
        <w:rPr>
          <w:rFonts w:ascii="宋体" w:cs="宋体"/>
          <w:color w:val="auto"/>
          <w:sz w:val="32"/>
          <w:szCs w:val="32"/>
          <w:highlight w:val="none"/>
        </w:rPr>
      </w:r>
      <w:r/>
    </w:p>
    <w:p>
      <w:pPr>
        <w:ind w:firstLine="2240"/>
        <w:spacing w:line="360" w:lineRule="auto"/>
        <w:rPr>
          <w:rFonts w:hint="eastAsia" w:ascii="宋体" w:eastAsia="宋体" w:cs="宋体"/>
          <w:color w:val="auto"/>
          <w:sz w:val="32"/>
          <w:szCs w:val="32"/>
          <w:highlight w:val="none"/>
          <w:lang w:eastAsia="zh-CN"/>
        </w:rPr>
      </w:pPr>
      <w:r>
        <w:rPr>
          <w:rFonts w:hint="eastAsia" w:ascii="宋体" w:cs="宋体"/>
          <w:color w:val="auto"/>
          <w:sz w:val="32"/>
          <w:szCs w:val="32"/>
          <w:highlight w:val="none"/>
        </w:rPr>
        <w:t xml:space="preserve">采购人：</w:t>
      </w:r>
      <w:r>
        <w:rPr>
          <w:rFonts w:hint="eastAsia" w:ascii="宋体" w:cs="宋体"/>
          <w:color w:val="auto"/>
          <w:sz w:val="32"/>
          <w:szCs w:val="32"/>
          <w:highlight w:val="none"/>
          <w:lang w:eastAsia="zh-CN"/>
        </w:rPr>
        <w:t xml:space="preserve">苏州市电化教育馆</w:t>
      </w:r>
      <w:r/>
    </w:p>
    <w:p>
      <w:pPr>
        <w:ind w:firstLine="2240"/>
        <w:spacing w:line="360" w:lineRule="auto"/>
        <w:rPr>
          <w:rFonts w:hint="eastAsia" w:ascii="宋体" w:eastAsia="宋体" w:cs="宋体"/>
          <w:color w:val="auto"/>
          <w:sz w:val="32"/>
          <w:szCs w:val="32"/>
          <w:highlight w:val="none"/>
          <w:lang w:eastAsia="zh-CN"/>
        </w:rPr>
      </w:pPr>
      <w:r>
        <w:rPr>
          <w:rFonts w:hint="eastAsia" w:ascii="宋体" w:cs="宋体"/>
          <w:color w:val="auto"/>
          <w:sz w:val="32"/>
          <w:szCs w:val="32"/>
          <w:highlight w:val="none"/>
        </w:rPr>
        <w:t xml:space="preserve">采购编号：</w:t>
      </w:r>
      <w:r>
        <w:rPr>
          <w:rFonts w:hint="eastAsia" w:ascii="宋体" w:cs="宋体"/>
          <w:color w:val="auto"/>
          <w:sz w:val="32"/>
          <w:szCs w:val="32"/>
          <w:highlight w:val="none"/>
          <w:lang w:eastAsia="zh-CN"/>
        </w:rPr>
        <w:t xml:space="preserve">JSZC-320500-SZZJ-G2025-0052</w:t>
      </w:r>
      <w:r/>
    </w:p>
    <w:p>
      <w:pPr>
        <w:ind w:firstLine="2240"/>
        <w:spacing w:line="360" w:lineRule="auto"/>
        <w:rPr>
          <w:rFonts w:hint="eastAsia" w:ascii="宋体" w:eastAsia="宋体" w:cs="宋体"/>
          <w:color w:val="auto"/>
          <w:sz w:val="32"/>
          <w:szCs w:val="32"/>
          <w:highlight w:val="none"/>
          <w:lang w:eastAsia="zh-CN"/>
        </w:rPr>
      </w:pPr>
      <w:r>
        <w:rPr>
          <w:rFonts w:hint="eastAsia" w:ascii="宋体" w:cs="宋体"/>
          <w:color w:val="auto"/>
          <w:sz w:val="32"/>
          <w:szCs w:val="32"/>
          <w:highlight w:val="none"/>
        </w:rPr>
        <w:t xml:space="preserve">采购内容：</w:t>
      </w:r>
      <w:r>
        <w:rPr>
          <w:rFonts w:hint="eastAsia" w:ascii="宋体" w:cs="宋体"/>
          <w:color w:val="auto"/>
          <w:sz w:val="32"/>
          <w:szCs w:val="32"/>
          <w:highlight w:val="none"/>
          <w:lang w:eastAsia="zh-CN"/>
        </w:rPr>
        <w:t xml:space="preserve">劳动路289号大院安全保卫服务</w:t>
      </w:r>
      <w:r/>
    </w:p>
    <w:p>
      <w:pPr>
        <w:ind w:firstLine="2240"/>
        <w:spacing w:line="360" w:lineRule="auto"/>
        <w:rPr>
          <w:rFonts w:ascii="宋体" w:cs="宋体"/>
          <w:color w:val="auto"/>
          <w:sz w:val="32"/>
          <w:szCs w:val="32"/>
          <w:highlight w:val="none"/>
        </w:rPr>
      </w:pPr>
      <w:r>
        <w:rPr>
          <w:rFonts w:hint="eastAsia" w:ascii="宋体" w:cs="宋体"/>
          <w:color w:val="auto"/>
          <w:sz w:val="32"/>
          <w:szCs w:val="32"/>
          <w:highlight w:val="none"/>
        </w:rPr>
        <w:t xml:space="preserve">采购类别：</w:t>
      </w:r>
      <w:r>
        <w:rPr>
          <w:rFonts w:hint="eastAsia" w:ascii="宋体" w:hAnsi="宋体" w:cs="宋体"/>
          <w:color w:val="auto"/>
          <w:sz w:val="32"/>
          <w:szCs w:val="32"/>
          <w:highlight w:val="none"/>
        </w:rPr>
        <w:t xml:space="preserve">服务类</w:t>
      </w:r>
      <w:r/>
    </w:p>
    <w:p>
      <w:pPr>
        <w:jc w:val="center"/>
        <w:spacing w:line="360" w:lineRule="auto"/>
        <w:rPr>
          <w:rFonts w:ascii="宋体" w:cs="宋体"/>
          <w:b/>
          <w:color w:val="auto"/>
          <w:sz w:val="24"/>
          <w:szCs w:val="24"/>
          <w:highlight w:val="none"/>
        </w:rPr>
      </w:pPr>
      <w:r>
        <w:rPr>
          <w:rFonts w:ascii="宋体" w:cs="宋体"/>
          <w:b/>
          <w:color w:val="auto"/>
          <w:sz w:val="24"/>
          <w:szCs w:val="24"/>
          <w:highlight w:val="none"/>
        </w:rPr>
      </w:r>
      <w:r/>
    </w:p>
    <w:p>
      <w:pPr>
        <w:jc w:val="center"/>
        <w:spacing w:line="360" w:lineRule="auto"/>
        <w:rPr>
          <w:rFonts w:ascii="宋体" w:cs="宋体"/>
          <w:b/>
          <w:color w:val="auto"/>
          <w:sz w:val="24"/>
          <w:szCs w:val="24"/>
          <w:highlight w:val="none"/>
        </w:rPr>
      </w:pPr>
      <w:r>
        <w:rPr>
          <w:rFonts w:ascii="宋体" w:cs="宋体"/>
          <w:b/>
          <w:color w:val="auto"/>
          <w:sz w:val="24"/>
          <w:szCs w:val="24"/>
          <w:highlight w:val="none"/>
        </w:rPr>
      </w:r>
      <w:r/>
    </w:p>
    <w:p>
      <w:pPr>
        <w:jc w:val="center"/>
        <w:spacing w:line="360" w:lineRule="auto"/>
        <w:rPr>
          <w:rFonts w:ascii="宋体" w:cs="宋体"/>
          <w:color w:val="auto"/>
          <w:sz w:val="32"/>
          <w:szCs w:val="32"/>
          <w:highlight w:val="none"/>
        </w:rPr>
      </w:pPr>
      <w:r>
        <w:rPr>
          <w:rFonts w:hint="eastAsia" w:ascii="宋体" w:cs="宋体"/>
          <w:color w:val="auto"/>
          <w:sz w:val="32"/>
          <w:szCs w:val="32"/>
          <w:highlight w:val="none"/>
        </w:rPr>
        <w:t xml:space="preserve">苏州正杰招投标咨询服务有限公司</w:t>
      </w:r>
      <w:r/>
    </w:p>
    <w:p>
      <w:pPr>
        <w:jc w:val="center"/>
        <w:spacing w:line="360" w:lineRule="auto"/>
        <w:rPr>
          <w:rFonts w:ascii="宋体" w:cs="宋体"/>
          <w:color w:val="auto"/>
          <w:sz w:val="32"/>
          <w:szCs w:val="32"/>
          <w:highlight w:val="none"/>
        </w:rPr>
      </w:pPr>
      <w:r>
        <w:rPr>
          <w:rFonts w:ascii="宋体" w:cs="宋体"/>
          <w:color w:val="auto"/>
          <w:sz w:val="32"/>
          <w:szCs w:val="32"/>
          <w:highlight w:val="none"/>
        </w:rPr>
        <w:t xml:space="preserve">20</w:t>
      </w:r>
      <w:r>
        <w:rPr>
          <w:rFonts w:hint="eastAsia" w:ascii="宋体" w:cs="宋体"/>
          <w:color w:val="auto"/>
          <w:sz w:val="32"/>
          <w:szCs w:val="32"/>
          <w:highlight w:val="none"/>
        </w:rPr>
        <w:t xml:space="preserve">2</w:t>
      </w:r>
      <w:r>
        <w:rPr>
          <w:rFonts w:hint="eastAsia" w:ascii="宋体" w:cs="宋体"/>
          <w:color w:val="auto"/>
          <w:sz w:val="32"/>
          <w:szCs w:val="32"/>
          <w:highlight w:val="none"/>
          <w:lang w:val="en-US" w:eastAsia="zh-CN"/>
        </w:rPr>
        <w:t xml:space="preserve">5</w:t>
      </w:r>
      <w:r>
        <w:rPr>
          <w:rFonts w:hint="eastAsia" w:ascii="宋体" w:cs="宋体"/>
          <w:color w:val="auto"/>
          <w:sz w:val="32"/>
          <w:szCs w:val="32"/>
          <w:highlight w:val="none"/>
        </w:rPr>
        <w:t xml:space="preserve">年</w:t>
      </w:r>
      <w:r>
        <w:rPr>
          <w:rFonts w:hint="eastAsia" w:ascii="宋体" w:cs="宋体"/>
          <w:color w:val="auto"/>
          <w:sz w:val="32"/>
          <w:szCs w:val="32"/>
          <w:highlight w:val="none"/>
          <w:lang w:val="en-US" w:eastAsia="zh-CN"/>
        </w:rPr>
        <w:t xml:space="preserve">10</w:t>
      </w:r>
      <w:r>
        <w:rPr>
          <w:rFonts w:hint="eastAsia" w:ascii="宋体" w:cs="宋体"/>
          <w:color w:val="auto"/>
          <w:sz w:val="32"/>
          <w:szCs w:val="32"/>
          <w:highlight w:val="none"/>
        </w:rPr>
        <w:t xml:space="preserve">月</w:t>
      </w:r>
      <w:r/>
    </w:p>
    <w:p>
      <w:pPr>
        <w:jc w:val="center"/>
        <w:spacing w:line="360" w:lineRule="auto"/>
        <w:rPr>
          <w:rFonts w:ascii="宋体" w:cs="宋体"/>
          <w:color w:val="auto"/>
          <w:sz w:val="44"/>
          <w:szCs w:val="44"/>
          <w:highlight w:val="none"/>
        </w:rPr>
      </w:pPr>
      <w:r>
        <w:rPr>
          <w:rFonts w:ascii="宋体" w:cs="宋体"/>
          <w:color w:val="auto"/>
          <w:sz w:val="44"/>
          <w:szCs w:val="44"/>
          <w:highlight w:val="none"/>
        </w:rPr>
      </w:r>
      <w:r/>
    </w:p>
    <w:p>
      <w:pPr>
        <w:rPr>
          <w:rFonts w:ascii="宋体" w:cs="宋体"/>
          <w:color w:val="auto"/>
          <w:sz w:val="44"/>
          <w:szCs w:val="44"/>
          <w:highlight w:val="none"/>
        </w:rPr>
      </w:pPr>
      <w:r>
        <w:rPr>
          <w:rFonts w:hint="eastAsia" w:ascii="宋体" w:cs="宋体"/>
          <w:color w:val="auto"/>
          <w:sz w:val="44"/>
          <w:szCs w:val="44"/>
          <w:highlight w:val="none"/>
        </w:rPr>
      </w:r>
      <w:r/>
    </w:p>
    <w:p>
      <w:pPr>
        <w:jc w:val="center"/>
        <w:spacing w:line="360" w:lineRule="auto"/>
        <w:rPr>
          <w:rFonts w:ascii="宋体" w:cs="宋体"/>
          <w:color w:val="auto"/>
          <w:sz w:val="32"/>
          <w:szCs w:val="32"/>
          <w:highlight w:val="none"/>
        </w:rPr>
      </w:pPr>
      <w:r>
        <w:rPr>
          <w:rFonts w:hint="eastAsia" w:ascii="宋体" w:cs="宋体"/>
          <w:color w:val="auto"/>
          <w:sz w:val="44"/>
          <w:szCs w:val="44"/>
          <w:highlight w:val="none"/>
        </w:rPr>
        <w:t xml:space="preserve">目录</w:t>
      </w:r>
      <w:r/>
    </w:p>
    <w:p>
      <w:pPr>
        <w:pStyle w:val="883"/>
        <w:ind w:firstLine="0"/>
        <w:jc w:val="center"/>
        <w:spacing w:line="360" w:lineRule="auto"/>
        <w:shd w:val="clear" w:color="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both"/>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第一章</w:t>
      </w:r>
      <w:r>
        <w:rPr>
          <w:rFonts w:hint="eastAsia" w:ascii="宋体" w:hAnsi="宋体" w:eastAsia="宋体" w:cs="宋体"/>
          <w:color w:val="auto"/>
          <w:sz w:val="30"/>
          <w:szCs w:val="30"/>
          <w:highlight w:val="none"/>
          <w:lang w:val="en-US" w:eastAsia="zh-CN"/>
        </w:rPr>
        <w:t xml:space="preserve"> 投标邀请函</w:t>
      </w:r>
      <w:r>
        <w:rPr>
          <w:rFonts w:hint="eastAsia" w:ascii="宋体" w:hAnsi="宋体" w:eastAsia="宋体" w:cs="宋体"/>
          <w:color w:val="auto"/>
          <w:sz w:val="30"/>
          <w:szCs w:val="30"/>
          <w:highlight w:val="none"/>
        </w:rPr>
        <w:t xml:space="preserve">........................................</w:t>
      </w:r>
      <w:r/>
    </w:p>
    <w:p>
      <w:pPr>
        <w:jc w:val="both"/>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第二章 投标人须知........................................</w:t>
      </w:r>
      <w:r/>
    </w:p>
    <w:p>
      <w:pPr>
        <w:jc w:val="both"/>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第三章 投标文件格式......................................</w:t>
      </w:r>
      <w:r/>
    </w:p>
    <w:p>
      <w:pPr>
        <w:jc w:val="both"/>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第四章 </w:t>
      </w:r>
      <w:r>
        <w:rPr>
          <w:rFonts w:hint="eastAsia" w:ascii="宋体" w:hAnsi="宋体" w:eastAsia="宋体" w:cs="宋体"/>
          <w:color w:val="auto"/>
          <w:sz w:val="30"/>
          <w:szCs w:val="30"/>
          <w:highlight w:val="none"/>
          <w:lang w:val="en-US" w:eastAsia="zh-CN"/>
        </w:rPr>
        <w:t xml:space="preserve">采购需求</w:t>
      </w:r>
      <w:r>
        <w:rPr>
          <w:rFonts w:hint="eastAsia" w:ascii="宋体" w:hAnsi="宋体" w:eastAsia="宋体" w:cs="宋体"/>
          <w:color w:val="auto"/>
          <w:sz w:val="30"/>
          <w:szCs w:val="30"/>
          <w:highlight w:val="none"/>
        </w:rPr>
        <w:t xml:space="preserve">..........................................</w:t>
      </w:r>
      <w:r/>
    </w:p>
    <w:p>
      <w:pPr>
        <w:jc w:val="both"/>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第五章 合同</w:t>
      </w:r>
      <w:r>
        <w:rPr>
          <w:rFonts w:hint="eastAsia" w:ascii="宋体" w:hAnsi="宋体" w:eastAsia="宋体" w:cs="宋体"/>
          <w:color w:val="auto"/>
          <w:sz w:val="30"/>
          <w:szCs w:val="30"/>
          <w:highlight w:val="none"/>
          <w:lang w:val="en-US" w:eastAsia="zh-CN"/>
        </w:rPr>
        <w:t xml:space="preserve">主要</w:t>
      </w:r>
      <w:r>
        <w:rPr>
          <w:rFonts w:hint="eastAsia" w:ascii="宋体" w:hAnsi="宋体" w:eastAsia="宋体" w:cs="宋体"/>
          <w:color w:val="auto"/>
          <w:sz w:val="30"/>
          <w:szCs w:val="30"/>
          <w:highlight w:val="none"/>
        </w:rPr>
        <w:t xml:space="preserve">条款......................................</w:t>
      </w:r>
      <w:r/>
    </w:p>
    <w:p>
      <w:pPr>
        <w:jc w:val="both"/>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第六章 </w:t>
      </w:r>
      <w:r>
        <w:rPr>
          <w:rFonts w:hint="eastAsia" w:ascii="宋体" w:hAnsi="宋体" w:eastAsia="宋体" w:cs="宋体"/>
          <w:color w:val="auto"/>
          <w:sz w:val="30"/>
          <w:szCs w:val="30"/>
          <w:highlight w:val="none"/>
          <w:lang w:val="en-US" w:eastAsia="zh-CN"/>
        </w:rPr>
        <w:t xml:space="preserve">评分方法和</w:t>
      </w:r>
      <w:r>
        <w:rPr>
          <w:rFonts w:hint="eastAsia" w:ascii="宋体" w:hAnsi="宋体" w:eastAsia="宋体" w:cs="宋体"/>
          <w:color w:val="auto"/>
          <w:sz w:val="30"/>
          <w:szCs w:val="30"/>
          <w:highlight w:val="none"/>
        </w:rPr>
        <w:t xml:space="preserve">评分标准................................</w:t>
      </w:r>
      <w:r/>
    </w:p>
    <w:p>
      <w:pPr>
        <w:pStyle w:val="883"/>
        <w:ind w:firstLine="0"/>
        <w:jc w:val="center"/>
        <w:spacing w:line="360" w:lineRule="auto"/>
        <w:shd w:val="clear" w:color="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spacing w:line="360" w:lineRule="auto"/>
        <w:widowControl/>
        <w:rPr>
          <w:rFonts w:ascii="宋体" w:cs="宋体"/>
          <w:color w:val="auto"/>
          <w:sz w:val="32"/>
          <w:szCs w:val="32"/>
          <w:highlight w:val="none"/>
        </w:rPr>
      </w:pPr>
      <w:r>
        <w:rPr>
          <w:rFonts w:ascii="宋体" w:cs="宋体"/>
          <w:color w:val="auto"/>
          <w:sz w:val="32"/>
          <w:szCs w:val="32"/>
          <w:highlight w:val="none"/>
        </w:rPr>
      </w:r>
      <w:r/>
    </w:p>
    <w:p>
      <w:pPr>
        <w:jc w:val="center"/>
        <w:spacing w:line="360" w:lineRule="auto"/>
        <w:widowControl/>
        <w:rPr>
          <w:rFonts w:ascii="宋体" w:cs="宋体"/>
          <w:color w:val="auto"/>
          <w:sz w:val="32"/>
          <w:szCs w:val="32"/>
          <w:highlight w:val="none"/>
        </w:rPr>
      </w:pPr>
      <w:r>
        <w:rPr>
          <w:rFonts w:ascii="宋体" w:cs="宋体"/>
          <w:color w:val="auto"/>
          <w:sz w:val="32"/>
          <w:szCs w:val="32"/>
          <w:highlight w:val="none"/>
        </w:rPr>
      </w:r>
      <w:r/>
    </w:p>
    <w:p>
      <w:pPr>
        <w:jc w:val="center"/>
        <w:spacing w:line="360" w:lineRule="auto"/>
        <w:widowControl/>
        <w:rPr>
          <w:rFonts w:ascii="宋体" w:cs="宋体"/>
          <w:color w:val="auto"/>
          <w:sz w:val="32"/>
          <w:szCs w:val="32"/>
          <w:highlight w:val="none"/>
        </w:rPr>
      </w:pPr>
      <w:r>
        <w:rPr>
          <w:rFonts w:ascii="宋体" w:cs="宋体"/>
          <w:color w:val="auto"/>
          <w:sz w:val="32"/>
          <w:szCs w:val="32"/>
          <w:highlight w:val="none"/>
        </w:rPr>
      </w:r>
      <w:r/>
    </w:p>
    <w:p>
      <w:pPr>
        <w:jc w:val="center"/>
        <w:spacing w:line="360" w:lineRule="auto"/>
        <w:widowControl/>
        <w:rPr>
          <w:rFonts w:ascii="宋体" w:cs="宋体"/>
          <w:color w:val="auto"/>
          <w:sz w:val="32"/>
          <w:szCs w:val="32"/>
          <w:highlight w:val="none"/>
        </w:rPr>
      </w:pPr>
      <w:r>
        <w:rPr>
          <w:rFonts w:ascii="宋体" w:cs="宋体"/>
          <w:color w:val="auto"/>
          <w:sz w:val="32"/>
          <w:szCs w:val="32"/>
          <w:highlight w:val="none"/>
        </w:rPr>
      </w:r>
      <w:r/>
    </w:p>
    <w:p>
      <w:pPr>
        <w:jc w:val="center"/>
        <w:spacing w:line="360" w:lineRule="auto"/>
        <w:widowControl/>
        <w:rPr>
          <w:rFonts w:ascii="宋体" w:cs="宋体"/>
          <w:color w:val="auto"/>
          <w:sz w:val="32"/>
          <w:szCs w:val="32"/>
          <w:highlight w:val="none"/>
        </w:rPr>
      </w:pPr>
      <w:r>
        <w:rPr>
          <w:rFonts w:ascii="宋体" w:cs="宋体"/>
          <w:color w:val="auto"/>
          <w:sz w:val="32"/>
          <w:szCs w:val="32"/>
          <w:highlight w:val="none"/>
        </w:rPr>
      </w:r>
      <w:r/>
    </w:p>
    <w:p>
      <w:pPr>
        <w:jc w:val="center"/>
        <w:spacing w:line="360" w:lineRule="auto"/>
        <w:widowControl/>
        <w:rPr>
          <w:rFonts w:ascii="宋体" w:cs="宋体"/>
          <w:color w:val="auto"/>
          <w:sz w:val="32"/>
          <w:szCs w:val="32"/>
          <w:highlight w:val="none"/>
        </w:rPr>
      </w:pPr>
      <w:r>
        <w:rPr>
          <w:rFonts w:ascii="宋体" w:cs="宋体"/>
          <w:color w:val="auto"/>
          <w:sz w:val="32"/>
          <w:szCs w:val="32"/>
          <w:highlight w:val="none"/>
        </w:rPr>
      </w:r>
      <w:r/>
    </w:p>
    <w:p>
      <w:pPr>
        <w:jc w:val="center"/>
        <w:spacing w:line="360" w:lineRule="auto"/>
        <w:widowControl/>
        <w:rPr>
          <w:rFonts w:ascii="宋体" w:cs="宋体"/>
          <w:color w:val="auto"/>
          <w:sz w:val="32"/>
          <w:szCs w:val="32"/>
          <w:highlight w:val="none"/>
        </w:rPr>
      </w:pPr>
      <w:r>
        <w:rPr>
          <w:rFonts w:ascii="宋体" w:cs="宋体"/>
          <w:color w:val="auto"/>
          <w:sz w:val="32"/>
          <w:szCs w:val="32"/>
          <w:highlight w:val="none"/>
        </w:rPr>
      </w:r>
      <w:r/>
    </w:p>
    <w:p>
      <w:pPr>
        <w:jc w:val="center"/>
        <w:spacing w:line="360" w:lineRule="auto"/>
        <w:widowControl/>
        <w:rPr>
          <w:rFonts w:ascii="宋体" w:cs="宋体"/>
          <w:color w:val="auto"/>
          <w:sz w:val="32"/>
          <w:szCs w:val="32"/>
          <w:highlight w:val="none"/>
        </w:rPr>
      </w:pPr>
      <w:r>
        <w:rPr>
          <w:rFonts w:ascii="宋体" w:cs="宋体"/>
          <w:color w:val="auto"/>
          <w:sz w:val="32"/>
          <w:szCs w:val="32"/>
          <w:highlight w:val="none"/>
        </w:rPr>
      </w:r>
      <w:r/>
    </w:p>
    <w:p>
      <w:pPr>
        <w:jc w:val="center"/>
        <w:spacing w:line="360" w:lineRule="auto"/>
        <w:widowControl/>
        <w:rPr>
          <w:rFonts w:ascii="宋体" w:cs="宋体"/>
          <w:color w:val="auto"/>
          <w:sz w:val="32"/>
          <w:szCs w:val="32"/>
          <w:highlight w:val="none"/>
        </w:rPr>
      </w:pPr>
      <w:r>
        <w:rPr>
          <w:rFonts w:ascii="宋体" w:cs="宋体"/>
          <w:color w:val="auto"/>
          <w:sz w:val="32"/>
          <w:szCs w:val="32"/>
          <w:highlight w:val="none"/>
        </w:rPr>
      </w:r>
      <w:r/>
    </w:p>
    <w:p>
      <w:pPr>
        <w:jc w:val="center"/>
        <w:spacing w:line="360" w:lineRule="auto"/>
        <w:widowControl/>
        <w:rPr>
          <w:rFonts w:ascii="宋体" w:cs="宋体"/>
          <w:color w:val="auto"/>
          <w:sz w:val="32"/>
          <w:szCs w:val="32"/>
          <w:highlight w:val="none"/>
        </w:rPr>
      </w:pPr>
      <w:r>
        <w:rPr>
          <w:rFonts w:ascii="宋体" w:cs="宋体"/>
          <w:color w:val="auto"/>
          <w:sz w:val="32"/>
          <w:szCs w:val="32"/>
          <w:highlight w:val="none"/>
        </w:rPr>
      </w:r>
      <w:r/>
    </w:p>
    <w:p>
      <w:pPr>
        <w:jc w:val="center"/>
        <w:spacing w:line="360" w:lineRule="auto"/>
        <w:widowControl/>
        <w:rPr>
          <w:rFonts w:ascii="宋体" w:cs="宋体"/>
          <w:color w:val="auto"/>
          <w:sz w:val="32"/>
          <w:szCs w:val="32"/>
          <w:highlight w:val="none"/>
        </w:rPr>
      </w:pPr>
      <w:r>
        <w:rPr>
          <w:rFonts w:ascii="宋体" w:cs="宋体"/>
          <w:color w:val="auto"/>
          <w:sz w:val="32"/>
          <w:szCs w:val="32"/>
          <w:highlight w:val="none"/>
        </w:rPr>
      </w:r>
      <w:r/>
    </w:p>
    <w:p>
      <w:pPr>
        <w:jc w:val="center"/>
        <w:spacing w:line="360" w:lineRule="auto"/>
        <w:widowControl/>
        <w:rPr>
          <w:rFonts w:ascii="宋体" w:cs="宋体"/>
          <w:b/>
          <w:color w:val="auto"/>
          <w:sz w:val="24"/>
          <w:szCs w:val="24"/>
          <w:highlight w:val="none"/>
        </w:rPr>
      </w:pPr>
      <w:r>
        <w:rPr>
          <w:rFonts w:ascii="宋体" w:cs="宋体"/>
          <w:b/>
          <w:color w:val="auto"/>
          <w:sz w:val="24"/>
          <w:szCs w:val="24"/>
          <w:highlight w:val="none"/>
        </w:rPr>
        <w:br w:type="page" w:clear="all"/>
      </w:r>
      <w:r>
        <w:rPr>
          <w:rFonts w:hint="eastAsia" w:ascii="宋体" w:cs="宋体"/>
          <w:b/>
          <w:color w:val="auto"/>
          <w:sz w:val="24"/>
          <w:szCs w:val="24"/>
          <w:highlight w:val="none"/>
        </w:rPr>
        <w:t xml:space="preserve">第一章投标邀请函</w:t>
      </w:r>
      <w:r/>
    </w:p>
    <w:p>
      <w:pPr>
        <w:ind w:firstLine="480"/>
        <w:spacing w:line="360" w:lineRule="auto"/>
        <w:rPr>
          <w:rFonts w:ascii="宋体" w:cs="宋体"/>
          <w:color w:val="auto"/>
          <w:sz w:val="24"/>
          <w:szCs w:val="24"/>
          <w:highlight w:val="none"/>
        </w:rPr>
      </w:pPr>
      <w:r>
        <w:rPr>
          <w:rFonts w:hint="eastAsia" w:ascii="宋体" w:cs="宋体"/>
          <w:color w:val="auto"/>
          <w:sz w:val="24"/>
          <w:szCs w:val="24"/>
          <w:highlight w:val="none"/>
        </w:rPr>
        <w:t xml:space="preserve">苏州正杰招投标咨询服务有限公司受</w:t>
      </w:r>
      <w:r>
        <w:rPr>
          <w:rFonts w:hint="eastAsia" w:ascii="宋体" w:cs="宋体"/>
          <w:color w:val="auto"/>
          <w:sz w:val="24"/>
          <w:szCs w:val="24"/>
          <w:highlight w:val="none"/>
          <w:lang w:eastAsia="zh-CN"/>
        </w:rPr>
        <w:t xml:space="preserve">苏州市电化教育馆</w:t>
      </w:r>
      <w:r>
        <w:rPr>
          <w:rFonts w:hint="eastAsia" w:ascii="宋体" w:cs="宋体"/>
          <w:color w:val="auto"/>
          <w:sz w:val="24"/>
          <w:szCs w:val="24"/>
          <w:highlight w:val="none"/>
        </w:rPr>
        <w:t xml:space="preserve">委托，对其要求采购的</w:t>
      </w:r>
      <w:r>
        <w:rPr>
          <w:rFonts w:hint="eastAsia" w:ascii="宋体" w:cs="宋体"/>
          <w:color w:val="auto"/>
          <w:sz w:val="24"/>
          <w:szCs w:val="24"/>
          <w:highlight w:val="none"/>
          <w:lang w:eastAsia="zh-CN"/>
        </w:rPr>
        <w:t xml:space="preserve">劳动路289号大院安全保卫服务</w:t>
      </w:r>
      <w:r>
        <w:rPr>
          <w:rFonts w:hint="eastAsia" w:ascii="宋体" w:cs="宋体"/>
          <w:color w:val="auto"/>
          <w:sz w:val="24"/>
          <w:szCs w:val="24"/>
          <w:highlight w:val="none"/>
        </w:rPr>
        <w:t xml:space="preserve">项目进行公开招标，欢迎符合资格条件和具备履约能力的供应商单位前来参与。</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一、项目基本情况</w:t>
      </w:r>
      <w:r/>
    </w:p>
    <w:p>
      <w:pPr>
        <w:ind w:firstLine="480"/>
        <w:spacing w:line="360" w:lineRule="auto"/>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 xml:space="preserve">项目编号：</w:t>
      </w:r>
      <w:r>
        <w:rPr>
          <w:rFonts w:hint="eastAsia" w:asciiTheme="majorEastAsia" w:hAnsiTheme="majorEastAsia" w:eastAsiaTheme="majorEastAsia"/>
          <w:color w:val="auto"/>
          <w:sz w:val="24"/>
          <w:szCs w:val="24"/>
          <w:highlight w:val="none"/>
          <w:lang w:eastAsia="zh-CN"/>
        </w:rPr>
        <w:t xml:space="preserve">JSZC-320500-SZZJ-G2025-0052</w:t>
      </w:r>
      <w:r>
        <w:rPr>
          <w:rFonts w:asciiTheme="majorEastAsia" w:hAnsiTheme="majorEastAsia" w:eastAsiaTheme="majorEastAsia"/>
          <w:color w:val="auto"/>
          <w:sz w:val="24"/>
          <w:szCs w:val="24"/>
          <w:highlight w:val="none"/>
        </w:rPr>
        <w:t xml:space="preserve">。</w:t>
      </w:r>
      <w:r/>
    </w:p>
    <w:p>
      <w:pPr>
        <w:ind w:firstLine="480"/>
        <w:spacing w:line="360" w:lineRule="auto"/>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 xml:space="preserve">项目名称：</w:t>
      </w:r>
      <w:r>
        <w:rPr>
          <w:rFonts w:hint="eastAsia" w:ascii="宋体" w:cs="宋体" w:eastAsiaTheme="majorEastAsia"/>
          <w:color w:val="auto"/>
          <w:sz w:val="24"/>
          <w:szCs w:val="24"/>
          <w:highlight w:val="none"/>
          <w:lang w:eastAsia="zh-CN"/>
        </w:rPr>
        <w:t xml:space="preserve">劳动路289号大院安全保卫服务</w:t>
      </w:r>
      <w:r>
        <w:rPr>
          <w:rFonts w:hint="eastAsia" w:cs="宋体" w:asciiTheme="majorEastAsia" w:hAnsiTheme="majorEastAsia" w:eastAsiaTheme="majorEastAsia"/>
          <w:color w:val="auto"/>
          <w:sz w:val="24"/>
          <w:szCs w:val="24"/>
          <w:highlight w:val="none"/>
        </w:rPr>
        <w:t xml:space="preserve">。</w:t>
      </w:r>
      <w:r/>
    </w:p>
    <w:p>
      <w:pPr>
        <w:ind w:firstLine="480"/>
        <w:spacing w:line="360" w:lineRule="auto"/>
        <w:rPr>
          <w:color w:val="auto"/>
          <w:highlight w:val="none"/>
        </w:rPr>
      </w:pPr>
      <w:r>
        <w:rPr>
          <w:rFonts w:hint="eastAsia" w:ascii="宋体" w:cs="宋体" w:eastAsiaTheme="majorEastAsia"/>
          <w:color w:val="auto"/>
          <w:sz w:val="24"/>
          <w:szCs w:val="24"/>
          <w:highlight w:val="none"/>
        </w:rPr>
        <w:t xml:space="preserve">预算金额：</w:t>
      </w:r>
      <w:r>
        <w:rPr>
          <w:rFonts w:hint="eastAsia" w:ascii="宋体" w:hAnsi="宋体"/>
          <w:color w:val="auto"/>
          <w:sz w:val="24"/>
          <w:szCs w:val="24"/>
          <w:highlight w:val="none"/>
        </w:rPr>
        <w:t xml:space="preserve">人民币</w:t>
      </w:r>
      <w:r>
        <w:rPr>
          <w:rFonts w:hint="eastAsia" w:ascii="宋体" w:hAnsi="宋体"/>
          <w:color w:val="auto"/>
          <w:sz w:val="24"/>
          <w:szCs w:val="24"/>
          <w:highlight w:val="none"/>
          <w:lang w:val="en-US" w:eastAsia="zh-CN"/>
        </w:rPr>
        <w:t xml:space="preserve">560000</w:t>
      </w:r>
      <w:r>
        <w:rPr>
          <w:rFonts w:hint="eastAsia" w:ascii="宋体" w:hAnsi="宋体"/>
          <w:color w:val="auto"/>
          <w:sz w:val="24"/>
          <w:szCs w:val="24"/>
          <w:highlight w:val="none"/>
        </w:rPr>
        <w:t xml:space="preserve">.00元</w:t>
      </w:r>
      <w:r>
        <w:rPr>
          <w:rFonts w:hint="eastAsia" w:ascii="宋体" w:cs="宋体" w:eastAsiaTheme="majorEastAsia"/>
          <w:color w:val="auto"/>
          <w:sz w:val="24"/>
          <w:szCs w:val="24"/>
          <w:highlight w:val="none"/>
        </w:rPr>
        <w:t xml:space="preserve">。</w:t>
      </w:r>
      <w:r/>
    </w:p>
    <w:p>
      <w:pPr>
        <w:ind w:firstLine="480"/>
        <w:spacing w:line="360" w:lineRule="auto"/>
        <w:rPr>
          <w:rFonts w:hint="eastAsia" w:asciiTheme="majorEastAsia" w:hAnsiTheme="majorEastAsia" w:eastAsiaTheme="majorEastAsia"/>
          <w:color w:val="auto"/>
          <w:sz w:val="24"/>
          <w:szCs w:val="24"/>
          <w:highlight w:val="none"/>
          <w:lang w:eastAsia="zh-CN"/>
        </w:rPr>
      </w:pPr>
      <w:r>
        <w:rPr>
          <w:rFonts w:hint="eastAsia" w:asciiTheme="majorEastAsia" w:hAnsiTheme="majorEastAsia" w:eastAsiaTheme="majorEastAsia"/>
          <w:color w:val="auto"/>
          <w:sz w:val="24"/>
          <w:szCs w:val="24"/>
          <w:highlight w:val="none"/>
        </w:rPr>
        <w:t xml:space="preserve">最高限价</w:t>
      </w:r>
      <w:r>
        <w:rPr>
          <w:rFonts w:hint="eastAsia" w:asciiTheme="majorEastAsia" w:hAnsiTheme="majorEastAsia" w:eastAsiaTheme="majorEastAsia"/>
          <w:color w:val="auto"/>
          <w:sz w:val="24"/>
          <w:szCs w:val="24"/>
          <w:highlight w:val="none"/>
          <w:lang w:eastAsia="zh-CN"/>
        </w:rPr>
        <w:t xml:space="preserve">：</w:t>
      </w:r>
      <w:r>
        <w:rPr>
          <w:rFonts w:hint="eastAsia" w:ascii="宋体" w:hAnsi="宋体"/>
          <w:color w:val="auto"/>
          <w:sz w:val="24"/>
          <w:szCs w:val="24"/>
          <w:highlight w:val="none"/>
        </w:rPr>
        <w:t xml:space="preserve">人民币</w:t>
      </w:r>
      <w:r>
        <w:rPr>
          <w:rFonts w:hint="eastAsia" w:ascii="宋体" w:hAnsi="宋体"/>
          <w:color w:val="auto"/>
          <w:sz w:val="24"/>
          <w:szCs w:val="24"/>
          <w:highlight w:val="none"/>
          <w:lang w:val="en-US" w:eastAsia="zh-CN"/>
        </w:rPr>
        <w:t xml:space="preserve">560000</w:t>
      </w:r>
      <w:r>
        <w:rPr>
          <w:rFonts w:hint="eastAsia" w:ascii="宋体" w:hAnsi="宋体"/>
          <w:color w:val="auto"/>
          <w:sz w:val="24"/>
          <w:szCs w:val="24"/>
          <w:highlight w:val="none"/>
        </w:rPr>
        <w:t xml:space="preserve">.00元</w:t>
      </w:r>
      <w:r>
        <w:rPr>
          <w:rFonts w:hint="eastAsia" w:ascii="宋体" w:cs="宋体" w:eastAsiaTheme="majorEastAsia"/>
          <w:color w:val="auto"/>
          <w:sz w:val="24"/>
          <w:szCs w:val="24"/>
          <w:highlight w:val="none"/>
        </w:rPr>
        <w:t xml:space="preserve">。</w:t>
      </w:r>
      <w:r/>
    </w:p>
    <w:p>
      <w:pPr>
        <w:ind w:firstLine="480"/>
        <w:spacing w:line="360" w:lineRule="auto"/>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 xml:space="preserve">采购需求：</w:t>
      </w:r>
      <w:r/>
    </w:p>
    <w:p>
      <w:pPr>
        <w:ind w:firstLine="480"/>
        <w:spacing w:line="360" w:lineRule="auto"/>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 xml:space="preserve">1、标的的名称：</w:t>
      </w:r>
      <w:r>
        <w:rPr>
          <w:rFonts w:hint="eastAsia" w:ascii="宋体" w:cs="宋体" w:eastAsiaTheme="majorEastAsia"/>
          <w:color w:val="auto"/>
          <w:sz w:val="24"/>
          <w:szCs w:val="24"/>
          <w:highlight w:val="none"/>
          <w:lang w:eastAsia="zh-CN"/>
        </w:rPr>
        <w:t xml:space="preserve">劳动路289号大院安全保卫服务</w:t>
      </w:r>
      <w:r>
        <w:rPr>
          <w:rFonts w:hint="eastAsia" w:asciiTheme="majorEastAsia" w:hAnsiTheme="majorEastAsia" w:eastAsiaTheme="majorEastAsia"/>
          <w:color w:val="auto"/>
          <w:sz w:val="24"/>
          <w:szCs w:val="24"/>
          <w:highlight w:val="none"/>
        </w:rPr>
        <w:t xml:space="preserve">。</w:t>
      </w:r>
      <w:r/>
    </w:p>
    <w:p>
      <w:pPr>
        <w:ind w:firstLine="480"/>
        <w:spacing w:line="360" w:lineRule="auto"/>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 xml:space="preserve">2、数量：1批。</w:t>
      </w:r>
      <w:r/>
    </w:p>
    <w:p>
      <w:pPr>
        <w:ind w:firstLine="480"/>
        <w:spacing w:line="360" w:lineRule="auto"/>
        <w:rPr>
          <w:rFonts w:hint="eastAsia" w:ascii="宋体" w:hAnsi="宋体" w:eastAsia="宋体" w:cs="宋体"/>
          <w:color w:val="auto"/>
          <w:sz w:val="24"/>
          <w:highlight w:val="none"/>
        </w:rPr>
      </w:pPr>
      <w:r>
        <w:rPr>
          <w:rFonts w:hint="eastAsia" w:asciiTheme="majorEastAsia" w:hAnsiTheme="majorEastAsia" w:eastAsiaTheme="majorEastAsia"/>
          <w:color w:val="auto"/>
          <w:sz w:val="24"/>
          <w:szCs w:val="24"/>
          <w:highlight w:val="none"/>
        </w:rPr>
        <w:t xml:space="preserve">3、简要技术需求或服务要求等：劳动路289号大院的整体安保服务，具体</w:t>
      </w:r>
      <w:r>
        <w:rPr>
          <w:rFonts w:hint="eastAsia" w:ascii="宋体" w:hAnsi="宋体" w:eastAsia="宋体" w:cs="宋体"/>
          <w:color w:val="auto"/>
          <w:sz w:val="24"/>
          <w:highlight w:val="none"/>
        </w:rPr>
        <w:t xml:space="preserve">要求详见招标文件第四章。</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合同履行期限：一年。（具体时间以甲方要求为准）。</w:t>
      </w:r>
      <w:r/>
    </w:p>
    <w:p>
      <w:pPr>
        <w:ind w:firstLine="480"/>
        <w:spacing w:line="360" w:lineRule="auto"/>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 xml:space="preserve">本项不接受联合体投标、不接受进口产品、不允许转包。</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（1）具有独立承担民事责任的能力。</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（2）具有良好的商业信誉和健全的财务会计制度。</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（3）具有履行合同所必需的设备和专业技术能力。</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（4）有依法缴纳税收和社会保障资金的良好记录。</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（5）参加政府采购活动前三年内，在经营活动中没有重大违法记录。</w:t>
      </w:r>
      <w:r/>
    </w:p>
    <w:p>
      <w:pPr>
        <w:ind w:firstLine="480"/>
        <w:spacing w:line="360" w:lineRule="auto"/>
        <w:rPr>
          <w:color w:val="auto"/>
          <w:highlight w:val="none"/>
        </w:rPr>
      </w:pPr>
      <w:r>
        <w:rPr>
          <w:rFonts w:hint="eastAsia" w:ascii="宋体" w:hAnsi="宋体"/>
          <w:color w:val="auto"/>
          <w:sz w:val="24"/>
          <w:szCs w:val="24"/>
          <w:highlight w:val="none"/>
        </w:rPr>
        <w:t xml:space="preserve">（6）法律、行政法规规定的其他条件。</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w:t>
      </w:r>
      <w:r/>
    </w:p>
    <w:p>
      <w:pPr>
        <w:ind w:firstLine="480"/>
        <w:spacing w:line="360" w:lineRule="auto"/>
        <w:rPr>
          <w:color w:val="auto"/>
          <w:highlight w:val="none"/>
        </w:rPr>
      </w:pPr>
      <w:r>
        <w:rPr>
          <w:rFonts w:hint="eastAsia" w:ascii="宋体" w:hAnsi="宋体" w:cs="宋体"/>
          <w:color w:val="auto"/>
          <w:sz w:val="24"/>
          <w:szCs w:val="24"/>
          <w:highlight w:val="none"/>
        </w:rPr>
        <w:t xml:space="preserve">根据《政府采购促进中小企业发展管理办法》的相关规定，</w:t>
      </w:r>
      <w:r>
        <w:rPr>
          <w:rFonts w:hint="eastAsia" w:ascii="宋体" w:hAnsi="宋体" w:cs="宋体"/>
          <w:b/>
          <w:bCs/>
          <w:color w:val="auto"/>
          <w:sz w:val="24"/>
          <w:szCs w:val="24"/>
          <w:highlight w:val="none"/>
        </w:rPr>
        <w:t xml:space="preserve">本项目专门面向中小微企业</w:t>
      </w:r>
      <w:r>
        <w:rPr>
          <w:rFonts w:hint="eastAsia" w:ascii="宋体" w:hAnsi="宋体" w:cs="宋体"/>
          <w:color w:val="auto"/>
          <w:sz w:val="24"/>
          <w:szCs w:val="24"/>
          <w:highlight w:val="none"/>
        </w:rPr>
        <w:t xml:space="preserve">，所属行业为</w:t>
      </w:r>
      <w:r>
        <w:rPr>
          <w:rFonts w:hint="eastAsia" w:ascii="宋体" w:hAnsi="宋体" w:cs="宋体"/>
          <w:b/>
          <w:bCs w:val="0"/>
          <w:color w:val="auto"/>
          <w:sz w:val="24"/>
          <w:szCs w:val="24"/>
          <w:highlight w:val="none"/>
        </w:rPr>
        <w:t xml:space="preserve">租赁和商务服务业</w:t>
      </w:r>
      <w:r>
        <w:rPr>
          <w:rFonts w:hint="eastAsia" w:ascii="宋体" w:hAnsi="宋体" w:cs="宋体"/>
          <w:color w:val="auto"/>
          <w:sz w:val="24"/>
          <w:szCs w:val="24"/>
          <w:highlight w:val="none"/>
        </w:rPr>
        <w:t xml:space="preserve">，供应商所提供货物的制造商应为中小微企业、监狱企业、残疾人福利性单位。</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3、本项目的特定资格要求：具备有效的保安服务许可证，非江苏省的投标单位须提供在江苏省内公安主管部门办理备案手续证明材料。</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三、获取招标文件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时间：自招标文件公告发布之日起5个工作日。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地点：“苏采云”系统自行下载招标文件。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方式（网上报名）：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（1）CA办理：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供应商通过“苏采云”政府采购交易系统（以下简称苏采云系统，网址：h</w:t>
      </w:r>
      <w:r>
        <w:rPr>
          <w:rFonts w:hint="eastAsia" w:ascii="宋体" w:hAnsi="宋体" w:eastAsia="宋体" w:cs="宋体"/>
          <w:color w:val="auto"/>
          <w:sz w:val="24"/>
          <w:szCs w:val="24"/>
          <w:highlight w:val="none"/>
        </w:rPr>
        <w:t xml:space="preserve">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（2）依法获取采购文件：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供应商插入CA证书</w:t>
      </w:r>
      <w:r>
        <w:rPr>
          <w:rFonts w:hint="eastAsia" w:ascii="宋体" w:hAnsi="宋体" w:eastAsia="宋体" w:cs="宋体"/>
          <w:color w:val="auto"/>
          <w:sz w:val="24"/>
          <w:szCs w:val="24"/>
          <w:highlight w:val="none"/>
          <w:lang w:eastAsia="zh-CN"/>
        </w:rPr>
        <w:t xml:space="preserve">登录</w:t>
      </w:r>
      <w:r>
        <w:rPr>
          <w:rFonts w:hint="eastAsia" w:ascii="宋体" w:hAnsi="宋体" w:eastAsia="宋体" w:cs="宋体"/>
          <w:color w:val="auto"/>
          <w:sz w:val="24"/>
          <w:szCs w:val="24"/>
          <w:highlight w:val="none"/>
        </w:rPr>
        <w:t xml:space="preserve">“苏采云”系统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考虑到熟悉“苏采云”系统、办理CA证书都需要一定的时间，请提早准备以免耽误招标采购活动。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未依照采购公告要求获取采购文件的供应商，视为未参加该项政府采购活动，不具备对该政府采购项目提出质疑的法定权利。</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 w:val="24"/>
          <w:szCs w:val="24"/>
          <w:highlight w:val="none"/>
        </w:rPr>
        <w:t xml:space="preserve">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（3）技术咨询服务电话：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CA技术咨询服务电话：400-608-6099；</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电子签章技术咨询服务电话：025-83633811、025-83633812、15380932027、15371015030；</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苏州市及区县“苏采云”系统使用指导与咨询：联系电话：0512-69820854、18261002950；QQ：3048755361、1315179389、895706745；智能客服：登录苏采云系统后，联系系统右下方智能客服图标进行咨询。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售价：本项目免费下载电子采购文件。</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四、提交投标文件截止时间、开标时间和地点</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1、时间：2025年</w:t>
      </w:r>
      <w:r>
        <w:rPr>
          <w:rFonts w:hint="eastAsia" w:ascii="宋体" w:hAnsi="宋体" w:eastAsia="宋体" w:cs="宋体"/>
          <w:color w:val="auto"/>
          <w:sz w:val="24"/>
          <w:szCs w:val="24"/>
          <w:highlight w:val="none"/>
          <w:u w:val="none"/>
        </w:rPr>
        <w:t xml:space="preserve">11月</w:t>
      </w:r>
      <w:r>
        <w:rPr>
          <w:rFonts w:hint="eastAsia" w:ascii="宋体" w:hAnsi="宋体" w:eastAsia="宋体" w:cs="宋体"/>
          <w:color w:val="auto"/>
          <w:sz w:val="24"/>
          <w:szCs w:val="24"/>
          <w:highlight w:val="none"/>
          <w:u w:val="none"/>
        </w:rPr>
        <w:t xml:space="preserve">14日</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点</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0分（北京时间）</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"http://jszfcg.jsczt.cn/）\“开标大厅\”。" </w:instrText>
      </w:r>
      <w:r>
        <w:rPr>
          <w:rFonts w:hint="eastAsia" w:ascii="宋体" w:hAnsi="宋体" w:eastAsia="宋体" w:cs="宋体"/>
          <w:color w:val="auto"/>
          <w:sz w:val="24"/>
          <w:szCs w:val="24"/>
          <w:highlight w:val="none"/>
        </w:rPr>
        <w:fldChar w:fldCharType="separate"/>
      </w:r>
      <w:r>
        <w:rPr>
          <w:rStyle w:val="899"/>
          <w:rFonts w:hint="eastAsia" w:ascii="宋体" w:hAnsi="宋体" w:eastAsia="宋体" w:cs="宋体"/>
          <w:color w:val="auto"/>
          <w:sz w:val="24"/>
          <w:szCs w:val="24"/>
          <w:highlight w:val="none"/>
        </w:rPr>
        <w:t xml:space="preserve">http</w:t>
      </w:r>
      <w:r>
        <w:rPr>
          <w:rStyle w:val="899"/>
          <w:rFonts w:hint="eastAsia" w:ascii="宋体" w:hAnsi="宋体" w:eastAsia="宋体" w:cs="宋体"/>
          <w:color w:val="auto"/>
          <w:sz w:val="24"/>
          <w:szCs w:val="24"/>
          <w:highlight w:val="none"/>
          <w:lang w:eastAsia="zh-CN"/>
        </w:rPr>
        <w:t xml:space="preserve">：</w:t>
      </w:r>
      <w:r>
        <w:rPr>
          <w:rStyle w:val="899"/>
          <w:rFonts w:hint="eastAsia" w:ascii="宋体" w:hAnsi="宋体" w:eastAsia="宋体" w:cs="宋体"/>
          <w:color w:val="auto"/>
          <w:sz w:val="24"/>
          <w:szCs w:val="24"/>
          <w:highlight w:val="none"/>
        </w:rPr>
        <w:t xml:space="preserve">//jszfcg.jsczt.cn/）。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3、方式：投标文件网上递交</w:t>
      </w:r>
      <w:bookmarkStart w:id="0" w:name="_Hlk90650305"/>
      <w:r/>
      <w:bookmarkEnd w:id="0"/>
      <w:r/>
      <w:bookmarkStart w:id="1" w:name="_Hlk90650417"/>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，不需要现场参加采购活动。</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线上参加开标（开启）会方式：供应商登录“苏采云”系统，点击“开标大厅”，选择对应项目，点击进入不见面开标系统。 </w:t>
      </w:r>
      <w:r/>
    </w:p>
    <w:p>
      <w:pPr>
        <w:ind w:firstLine="480"/>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本项目为不见面开标（开启）项目，</w:t>
      </w:r>
      <w:r>
        <w:rPr>
          <w:rFonts w:hint="eastAsia" w:ascii="宋体" w:hAnsi="宋体" w:eastAsia="宋体" w:cs="宋体"/>
          <w:b/>
          <w:bCs/>
          <w:color w:val="auto"/>
          <w:sz w:val="24"/>
          <w:szCs w:val="24"/>
          <w:highlight w:val="none"/>
          <w:lang w:val="en-US" w:eastAsia="zh-CN"/>
        </w:rPr>
        <w:t xml:space="preserve">开启阶段供应商在【解密环节】必须使用 CA证书解密电子投标（响应）文件，如在“苏采云”系统规定的时间内未能成功解密的视为放弃参与本项目，投标无效。 </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请供应商确保电脑、系统及其他设备（视频输入输出设备等）无误，且开启直至项目结束始终保持系统在线状态。 </w:t>
      </w:r>
      <w:bookmarkEnd w:id="1"/>
      <w:r/>
      <w:r/>
    </w:p>
    <w:p>
      <w:pPr>
        <w:ind w:firstLine="480"/>
        <w:spacing w:line="360" w:lineRule="auto"/>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rPr>
        <w:t xml:space="preserve">五、公告期限</w:t>
      </w:r>
      <w:r>
        <w:rPr>
          <w:rFonts w:hint="eastAsia" w:ascii="宋体" w:hAnsi="宋体" w:eastAsia="宋体" w:cs="宋体"/>
          <w:b/>
          <w:bCs/>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numPr>
          <w:ilvl w:val="0"/>
          <w:numId w:val="0"/>
        </w:numPr>
        <w:ind w:firstLine="480"/>
        <w:spacing w:line="360" w:lineRule="auto"/>
        <w:shd w:val="clear" w:color="auto"/>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lang w:val="en-US" w:eastAsia="zh-CN" w:bidi="ar-SA"/>
        </w:rPr>
        <w:t xml:space="preserve">六、</w:t>
      </w:r>
      <w:r>
        <w:rPr>
          <w:rFonts w:hint="eastAsia" w:ascii="宋体" w:hAnsi="宋体" w:eastAsia="宋体" w:cs="宋体"/>
          <w:b/>
          <w:bCs/>
          <w:color w:val="auto"/>
          <w:sz w:val="24"/>
          <w:szCs w:val="24"/>
          <w:highlight w:val="none"/>
        </w:rPr>
        <w:t xml:space="preserve">其他补充事宜</w:t>
      </w:r>
      <w:r>
        <w:rPr>
          <w:rFonts w:hint="eastAsia" w:ascii="宋体" w:hAnsi="宋体" w:eastAsia="宋体" w:cs="宋体"/>
          <w:b/>
          <w:bCs/>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1、采购项目需要落实的政府采购政策：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促进中小企业发展管理办法》（财库〔2020〕46号）、《关于做好政府采购支持企业发展有关事项的通知》（苏财购〔2020〕52号）及《关于印发&lt;苏州市政府采购促进中小企业发展实施意见&gt;的通知》（苏财购〔2022〕16号）的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《关于政府采购支持监狱企业发展有关问题的通知》（财库〔2014〕68号）。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《关于促进残疾人就业政府采购政策的通知》（财库〔2017〕141号）。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开评标过程中如有问题采购代理机构工作人员会及时通过报名时在投标确认函模块留存的手机号与供应商联系。此号码在开标截止之前可修改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w:t>
      </w:r>
      <w:r>
        <w:rPr>
          <w:rFonts w:hint="eastAsia" w:ascii="宋体" w:hAnsi="宋体" w:eastAsia="宋体" w:cs="宋体"/>
          <w:color w:val="auto"/>
          <w:sz w:val="24"/>
          <w:szCs w:val="24"/>
          <w:highlight w:val="none"/>
          <w:lang w:val="en-US" w:eastAsia="zh-CN"/>
        </w:rPr>
        <w:t xml:space="preserve">投标文件中</w:t>
      </w:r>
      <w:r>
        <w:rPr>
          <w:rFonts w:hint="eastAsia" w:ascii="宋体" w:hAnsi="宋体" w:eastAsia="宋体" w:cs="宋体"/>
          <w:color w:val="auto"/>
          <w:sz w:val="24"/>
          <w:szCs w:val="24"/>
          <w:highlight w:val="none"/>
        </w:rPr>
        <w:t xml:space="preserve">投标函保存的最新号码为准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请供应商确保该手机号开评标当日通讯畅通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否则导致的对</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不利的后果由供应商自行承担。</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3、如不同供应商使用同一台电脑制作的电子响应文件的，双方“文件制作机器码”一致的，则其投标文件将被认定为无效响应。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本项目获取招标文件截止日期之后仍可以下载</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但截止日期之后下载的招标文件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视为非有效方式且不作为供应商权益受到损害的证明材料和依据。</w:t>
      </w:r>
      <w:r/>
    </w:p>
    <w:p>
      <w:pPr>
        <w:ind w:firstLine="48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、政府采购监督电话：0512-68616651。</w:t>
      </w:r>
      <w:r/>
    </w:p>
    <w:p>
      <w:pPr>
        <w:ind w:firstLine="480"/>
        <w:spacing w:line="360" w:lineRule="auto"/>
        <w:shd w:val="clear" w:color="auto"/>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rPr>
        <w:t xml:space="preserve">七、对本次招标提出询问</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请按以下方式联系</w:t>
      </w:r>
      <w:r>
        <w:rPr>
          <w:rFonts w:hint="eastAsia" w:ascii="宋体" w:hAnsi="宋体" w:eastAsia="宋体" w:cs="宋体"/>
          <w:b/>
          <w:bCs/>
          <w:color w:val="auto"/>
          <w:sz w:val="24"/>
          <w:szCs w:val="24"/>
          <w:highlight w:val="none"/>
          <w:lang w:eastAsia="zh-CN"/>
        </w:rPr>
        <w:t xml:space="preserve">：</w:t>
      </w:r>
      <w:r/>
    </w:p>
    <w:p>
      <w:pPr>
        <w:ind w:firstLine="480"/>
        <w:spacing w:line="360" w:lineRule="auto"/>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 xml:space="preserve">1、采购单位信息：</w:t>
      </w:r>
      <w:r/>
    </w:p>
    <w:p>
      <w:pPr>
        <w:ind w:firstLine="480"/>
        <w:spacing w:line="360" w:lineRule="auto"/>
        <w:rPr>
          <w:rFonts w:hint="eastAsia" w:ascii="宋体" w:hAnsi="宋体" w:eastAsiaTheme="majorEastAsia"/>
          <w:color w:val="auto"/>
          <w:sz w:val="24"/>
          <w:szCs w:val="24"/>
          <w:highlight w:val="none"/>
        </w:rPr>
      </w:pPr>
      <w:r>
        <w:rPr>
          <w:rFonts w:hint="eastAsia" w:ascii="宋体" w:hAnsi="宋体" w:eastAsiaTheme="majorEastAsia"/>
          <w:color w:val="auto"/>
          <w:sz w:val="24"/>
          <w:szCs w:val="24"/>
          <w:highlight w:val="none"/>
        </w:rPr>
        <w:t xml:space="preserve">名称：</w:t>
      </w:r>
      <w:r>
        <w:rPr>
          <w:rFonts w:hint="eastAsia" w:ascii="宋体" w:hAnsi="宋体" w:eastAsiaTheme="majorEastAsia"/>
          <w:color w:val="auto"/>
          <w:sz w:val="24"/>
          <w:szCs w:val="24"/>
          <w:highlight w:val="none"/>
          <w:lang w:eastAsia="zh-CN"/>
        </w:rPr>
        <w:t xml:space="preserve">苏州市电化教育馆</w:t>
      </w:r>
      <w:r>
        <w:rPr>
          <w:rFonts w:hint="eastAsia" w:ascii="宋体" w:hAnsi="宋体" w:eastAsiaTheme="majorEastAsia"/>
          <w:color w:val="auto"/>
          <w:sz w:val="24"/>
          <w:szCs w:val="24"/>
          <w:highlight w:val="none"/>
        </w:rPr>
        <w:t xml:space="preserve">。</w:t>
      </w:r>
      <w:r/>
    </w:p>
    <w:p>
      <w:pPr>
        <w:ind w:firstLine="480"/>
        <w:spacing w:line="360" w:lineRule="auto"/>
        <w:rPr>
          <w:rFonts w:hint="eastAsia" w:ascii="宋体" w:hAnsi="宋体" w:eastAsiaTheme="majorEastAsia"/>
          <w:color w:val="auto"/>
          <w:sz w:val="24"/>
          <w:szCs w:val="24"/>
          <w:highlight w:val="none"/>
        </w:rPr>
      </w:pPr>
      <w:r>
        <w:rPr>
          <w:rFonts w:hint="eastAsia" w:ascii="宋体" w:hAnsi="宋体" w:eastAsiaTheme="majorEastAsia"/>
          <w:color w:val="auto"/>
          <w:sz w:val="24"/>
          <w:szCs w:val="24"/>
          <w:highlight w:val="none"/>
        </w:rPr>
        <w:t xml:space="preserve">地址：</w:t>
      </w:r>
      <w:r>
        <w:rPr>
          <w:rFonts w:hint="eastAsia" w:ascii="宋体" w:hAnsi="宋体" w:cs="宋体"/>
          <w:color w:val="auto"/>
          <w:sz w:val="24"/>
          <w:szCs w:val="24"/>
          <w:highlight w:val="none"/>
        </w:rPr>
        <w:t xml:space="preserve">苏州市劳动路298号</w:t>
      </w:r>
      <w:r>
        <w:rPr>
          <w:rFonts w:hint="eastAsia" w:ascii="宋体" w:hAnsi="宋体" w:eastAsiaTheme="majorEastAsia"/>
          <w:color w:val="auto"/>
          <w:sz w:val="24"/>
          <w:szCs w:val="24"/>
          <w:highlight w:val="none"/>
        </w:rPr>
        <w:t xml:space="preserve">。</w:t>
      </w:r>
      <w:r/>
    </w:p>
    <w:p>
      <w:pPr>
        <w:ind w:firstLine="480"/>
        <w:spacing w:line="360" w:lineRule="auto"/>
        <w:rPr>
          <w:rFonts w:hint="eastAsia" w:ascii="宋体" w:hAnsi="宋体" w:eastAsiaTheme="majorEastAsia"/>
          <w:color w:val="auto"/>
          <w:sz w:val="24"/>
          <w:szCs w:val="24"/>
          <w:highlight w:val="none"/>
        </w:rPr>
      </w:pPr>
      <w:r>
        <w:rPr>
          <w:rFonts w:hint="eastAsia" w:ascii="宋体" w:hAnsi="宋体" w:eastAsiaTheme="majorEastAsia"/>
          <w:color w:val="auto"/>
          <w:sz w:val="24"/>
          <w:szCs w:val="24"/>
          <w:highlight w:val="none"/>
        </w:rPr>
        <w:t xml:space="preserve">联系方式：电话</w:t>
      </w:r>
      <w:r>
        <w:rPr>
          <w:rFonts w:hint="eastAsia" w:ascii="宋体" w:hAnsi="宋体" w:cs="宋体"/>
          <w:color w:val="auto"/>
          <w:sz w:val="24"/>
          <w:szCs w:val="24"/>
          <w:highlight w:val="none"/>
        </w:rPr>
        <w:t xml:space="preserve">0512-81877712</w:t>
      </w:r>
      <w:r>
        <w:rPr>
          <w:rFonts w:hint="eastAsia" w:ascii="宋体" w:hAnsi="宋体" w:eastAsiaTheme="majorEastAsia"/>
          <w:color w:val="auto"/>
          <w:sz w:val="24"/>
          <w:szCs w:val="24"/>
          <w:highlight w:val="none"/>
        </w:rPr>
        <w:t xml:space="preserve">。</w:t>
      </w:r>
      <w:r/>
    </w:p>
    <w:p>
      <w:pPr>
        <w:ind w:firstLine="480"/>
        <w:spacing w:line="360" w:lineRule="auto"/>
        <w:rPr>
          <w:rFonts w:hint="eastAsia" w:ascii="宋体" w:hAnsi="宋体" w:eastAsiaTheme="majorEastAsia"/>
          <w:color w:val="auto"/>
          <w:sz w:val="24"/>
          <w:szCs w:val="24"/>
          <w:highlight w:val="none"/>
        </w:rPr>
      </w:pPr>
      <w:r>
        <w:rPr>
          <w:rFonts w:hint="eastAsia" w:ascii="宋体" w:hAnsi="宋体" w:eastAsiaTheme="majorEastAsia"/>
          <w:color w:val="auto"/>
          <w:sz w:val="24"/>
          <w:szCs w:val="24"/>
          <w:highlight w:val="none"/>
        </w:rPr>
        <w:t xml:space="preserve">2、采购代理机构信息：</w:t>
      </w:r>
      <w:r/>
    </w:p>
    <w:p>
      <w:pPr>
        <w:ind w:firstLine="480"/>
        <w:spacing w:line="360" w:lineRule="auto"/>
        <w:rPr>
          <w:rFonts w:hint="eastAsia" w:ascii="宋体" w:hAnsi="宋体" w:eastAsiaTheme="majorEastAsia"/>
          <w:color w:val="auto"/>
          <w:sz w:val="24"/>
          <w:szCs w:val="24"/>
          <w:highlight w:val="none"/>
        </w:rPr>
      </w:pPr>
      <w:r>
        <w:rPr>
          <w:rFonts w:hint="eastAsia" w:ascii="宋体" w:hAnsi="宋体" w:eastAsiaTheme="majorEastAsia"/>
          <w:color w:val="auto"/>
          <w:sz w:val="24"/>
          <w:szCs w:val="24"/>
          <w:highlight w:val="none"/>
        </w:rPr>
        <w:t xml:space="preserve">名称：苏州正杰招投标咨询服务有限公司。</w:t>
      </w:r>
      <w:r/>
    </w:p>
    <w:p>
      <w:pPr>
        <w:ind w:firstLine="480"/>
        <w:spacing w:line="360" w:lineRule="auto"/>
        <w:rPr>
          <w:rFonts w:hint="eastAsia" w:ascii="宋体" w:hAnsi="宋体" w:eastAsiaTheme="majorEastAsia"/>
          <w:color w:val="auto"/>
          <w:sz w:val="24"/>
          <w:szCs w:val="24"/>
          <w:highlight w:val="none"/>
        </w:rPr>
      </w:pPr>
      <w:r>
        <w:rPr>
          <w:rFonts w:hint="eastAsia" w:ascii="宋体" w:hAnsi="宋体" w:eastAsiaTheme="majorEastAsia"/>
          <w:color w:val="auto"/>
          <w:sz w:val="24"/>
          <w:szCs w:val="24"/>
          <w:highlight w:val="none"/>
        </w:rPr>
        <w:t xml:space="preserve">地址：苏州市平泷路251号苏州城市生活广场B座1557室。</w:t>
      </w:r>
      <w:r/>
    </w:p>
    <w:p>
      <w:pPr>
        <w:ind w:firstLine="480"/>
        <w:spacing w:line="360" w:lineRule="auto"/>
        <w:rPr>
          <w:rFonts w:hint="eastAsia" w:ascii="宋体" w:hAnsi="宋体" w:eastAsiaTheme="majorEastAsia"/>
          <w:color w:val="auto"/>
          <w:sz w:val="24"/>
          <w:szCs w:val="24"/>
          <w:highlight w:val="none"/>
        </w:rPr>
      </w:pPr>
      <w:r>
        <w:rPr>
          <w:rFonts w:hint="eastAsia" w:ascii="宋体" w:hAnsi="宋体" w:eastAsiaTheme="majorEastAsia"/>
          <w:color w:val="auto"/>
          <w:sz w:val="24"/>
          <w:szCs w:val="24"/>
          <w:highlight w:val="none"/>
        </w:rPr>
        <w:t xml:space="preserve">联系方式：电话0512-62826523。</w:t>
      </w:r>
      <w:r/>
    </w:p>
    <w:p>
      <w:pPr>
        <w:ind w:firstLine="480"/>
        <w:spacing w:line="360" w:lineRule="auto"/>
        <w:rPr>
          <w:rFonts w:hint="eastAsia" w:ascii="宋体" w:hAnsi="宋体" w:eastAsiaTheme="majorEastAsia"/>
          <w:color w:val="auto"/>
          <w:sz w:val="24"/>
          <w:szCs w:val="24"/>
          <w:highlight w:val="none"/>
        </w:rPr>
      </w:pPr>
      <w:r>
        <w:rPr>
          <w:rFonts w:hint="eastAsia" w:ascii="宋体" w:hAnsi="宋体" w:eastAsiaTheme="majorEastAsia"/>
          <w:color w:val="auto"/>
          <w:sz w:val="24"/>
          <w:szCs w:val="24"/>
          <w:highlight w:val="none"/>
        </w:rPr>
        <w:t xml:space="preserve">3、项目联系方式</w:t>
      </w:r>
      <w:r/>
    </w:p>
    <w:p>
      <w:pPr>
        <w:ind w:firstLine="480"/>
        <w:spacing w:line="360" w:lineRule="auto"/>
        <w:rPr>
          <w:rFonts w:hint="eastAsia" w:ascii="宋体" w:hAnsi="宋体" w:eastAsiaTheme="majorEastAsia"/>
          <w:color w:val="auto"/>
          <w:sz w:val="24"/>
          <w:szCs w:val="24"/>
          <w:highlight w:val="none"/>
        </w:rPr>
      </w:pPr>
      <w:r>
        <w:rPr>
          <w:rFonts w:hint="eastAsia" w:ascii="宋体" w:hAnsi="宋体" w:eastAsiaTheme="majorEastAsia"/>
          <w:color w:val="auto"/>
          <w:sz w:val="24"/>
          <w:szCs w:val="24"/>
          <w:highlight w:val="none"/>
        </w:rPr>
        <w:t xml:space="preserve">（1）采购人：</w:t>
      </w:r>
      <w:r/>
    </w:p>
    <w:p>
      <w:pPr>
        <w:ind w:firstLine="480"/>
        <w:spacing w:line="360" w:lineRule="auto"/>
        <w:rPr>
          <w:rFonts w:hint="eastAsia" w:ascii="宋体" w:hAnsi="宋体" w:eastAsiaTheme="majorEastAsia"/>
          <w:color w:val="auto"/>
          <w:sz w:val="24"/>
          <w:szCs w:val="24"/>
          <w:highlight w:val="none"/>
        </w:rPr>
      </w:pPr>
      <w:r>
        <w:rPr>
          <w:rFonts w:hint="eastAsia" w:ascii="宋体" w:hAnsi="宋体" w:eastAsiaTheme="majorEastAsia"/>
          <w:color w:val="auto"/>
          <w:sz w:val="24"/>
          <w:szCs w:val="24"/>
          <w:highlight w:val="none"/>
        </w:rPr>
        <w:t xml:space="preserve">项目联系人：</w:t>
      </w:r>
      <w:r>
        <w:rPr>
          <w:rFonts w:hint="eastAsia" w:ascii="宋体" w:hAnsi="宋体" w:cs="宋体"/>
          <w:color w:val="auto"/>
          <w:sz w:val="24"/>
          <w:szCs w:val="24"/>
          <w:highlight w:val="none"/>
        </w:rPr>
        <w:t xml:space="preserve">姜宸</w:t>
      </w:r>
      <w:r>
        <w:rPr>
          <w:rFonts w:hint="eastAsia" w:ascii="宋体" w:hAnsi="宋体" w:eastAsiaTheme="majorEastAsia"/>
          <w:color w:val="auto"/>
          <w:sz w:val="24"/>
          <w:szCs w:val="24"/>
          <w:highlight w:val="none"/>
        </w:rPr>
        <w:t xml:space="preserve">。</w:t>
      </w:r>
      <w:r/>
    </w:p>
    <w:p>
      <w:pPr>
        <w:ind w:firstLine="480"/>
        <w:spacing w:line="360" w:lineRule="auto"/>
        <w:rPr>
          <w:rFonts w:hint="eastAsia" w:ascii="宋体" w:hAnsi="宋体" w:eastAsiaTheme="majorEastAsia"/>
          <w:color w:val="auto"/>
          <w:sz w:val="24"/>
          <w:szCs w:val="24"/>
          <w:highlight w:val="none"/>
        </w:rPr>
      </w:pPr>
      <w:r>
        <w:rPr>
          <w:rFonts w:hint="eastAsia" w:ascii="宋体" w:hAnsi="宋体" w:eastAsiaTheme="majorEastAsia"/>
          <w:color w:val="auto"/>
          <w:sz w:val="24"/>
          <w:szCs w:val="24"/>
          <w:highlight w:val="none"/>
        </w:rPr>
        <w:t xml:space="preserve">电话：</w:t>
      </w:r>
      <w:r>
        <w:rPr>
          <w:rFonts w:hint="eastAsia" w:ascii="宋体" w:hAnsi="宋体" w:cs="宋体"/>
          <w:color w:val="auto"/>
          <w:sz w:val="24"/>
          <w:szCs w:val="24"/>
          <w:highlight w:val="none"/>
        </w:rPr>
        <w:t xml:space="preserve">0512-81877712</w:t>
      </w:r>
      <w:r>
        <w:rPr>
          <w:rFonts w:hint="eastAsia" w:ascii="宋体" w:hAnsi="宋体" w:eastAsiaTheme="majorEastAsia"/>
          <w:color w:val="auto"/>
          <w:sz w:val="24"/>
          <w:szCs w:val="24"/>
          <w:highlight w:val="none"/>
        </w:rPr>
        <w:t xml:space="preserve">。</w:t>
      </w:r>
      <w:r/>
    </w:p>
    <w:p>
      <w:pPr>
        <w:ind w:firstLine="480"/>
        <w:spacing w:line="360" w:lineRule="auto"/>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 xml:space="preserve">（2）采购代理机构：</w:t>
      </w:r>
      <w:r/>
    </w:p>
    <w:p>
      <w:pPr>
        <w:ind w:firstLine="480"/>
        <w:spacing w:line="360" w:lineRule="auto"/>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 xml:space="preserve">项目联系人：</w:t>
      </w:r>
      <w:r>
        <w:rPr>
          <w:rFonts w:hint="eastAsia" w:ascii="宋体" w:hAnsi="宋体"/>
          <w:color w:val="auto"/>
          <w:sz w:val="24"/>
          <w:szCs w:val="24"/>
          <w:highlight w:val="none"/>
        </w:rPr>
        <w:t xml:space="preserve">徐杰、沈鹰</w:t>
      </w:r>
      <w:r>
        <w:rPr>
          <w:rFonts w:hint="eastAsia" w:ascii="宋体" w:hAnsi="宋体"/>
          <w:color w:val="auto"/>
          <w:sz w:val="24"/>
          <w:szCs w:val="24"/>
          <w:highlight w:val="none"/>
          <w:lang w:val="en-US" w:eastAsia="zh-CN"/>
        </w:rPr>
        <w:t xml:space="preserve">、陈晓梦</w:t>
      </w:r>
      <w:r>
        <w:rPr>
          <w:rFonts w:hint="eastAsia" w:asciiTheme="majorEastAsia" w:hAnsiTheme="majorEastAsia" w:eastAsiaTheme="majorEastAsia"/>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Theme="majorEastAsia" w:hAnsiTheme="majorEastAsia" w:eastAsiaTheme="majorEastAsia"/>
          <w:color w:val="auto"/>
          <w:sz w:val="24"/>
          <w:szCs w:val="24"/>
          <w:highlight w:val="none"/>
        </w:rPr>
        <w:t xml:space="preserve">电话：0512-62826523。</w:t>
      </w:r>
      <w:r/>
    </w:p>
    <w:p>
      <w:pPr>
        <w:spacing w:line="360" w:lineRule="auto"/>
        <w:widowControl/>
        <w:rPr>
          <w:rFonts w:ascii="宋体" w:cs="宋体"/>
          <w:b/>
          <w:color w:val="auto"/>
          <w:sz w:val="24"/>
          <w:szCs w:val="24"/>
          <w:highlight w:val="none"/>
        </w:rPr>
      </w:pPr>
      <w:r>
        <w:rPr>
          <w:rFonts w:ascii="宋体" w:cs="宋体"/>
          <w:b/>
          <w:color w:val="auto"/>
          <w:sz w:val="24"/>
          <w:szCs w:val="24"/>
          <w:highlight w:val="none"/>
        </w:rPr>
      </w:r>
      <w:r/>
    </w:p>
    <w:p>
      <w:pPr>
        <w:pStyle w:val="881"/>
        <w:rPr>
          <w:rFonts w:ascii="宋体" w:cs="宋体"/>
          <w:b/>
          <w:color w:val="auto"/>
          <w:sz w:val="24"/>
          <w:szCs w:val="24"/>
          <w:highlight w:val="none"/>
        </w:rPr>
      </w:pPr>
      <w:r>
        <w:rPr>
          <w:rFonts w:ascii="宋体" w:cs="宋体"/>
          <w:b/>
          <w:color w:val="auto"/>
          <w:sz w:val="24"/>
          <w:szCs w:val="24"/>
          <w:highlight w:val="none"/>
        </w:rPr>
      </w:r>
      <w:r/>
    </w:p>
    <w:p>
      <w:pPr>
        <w:rPr>
          <w:rFonts w:ascii="宋体" w:cs="宋体"/>
          <w:b/>
          <w:color w:val="auto"/>
          <w:sz w:val="24"/>
          <w:szCs w:val="24"/>
          <w:highlight w:val="none"/>
        </w:rPr>
      </w:pPr>
      <w:r>
        <w:rPr>
          <w:rFonts w:ascii="宋体" w:cs="宋体"/>
          <w:b/>
          <w:color w:val="auto"/>
          <w:sz w:val="24"/>
          <w:szCs w:val="24"/>
          <w:highlight w:val="none"/>
        </w:rPr>
      </w:r>
      <w:r/>
    </w:p>
    <w:p>
      <w:pPr>
        <w:pStyle w:val="881"/>
        <w:rPr>
          <w:rFonts w:ascii="宋体" w:cs="宋体"/>
          <w:b/>
          <w:color w:val="auto"/>
          <w:sz w:val="24"/>
          <w:szCs w:val="24"/>
          <w:highlight w:val="none"/>
        </w:rPr>
      </w:pPr>
      <w:r>
        <w:rPr>
          <w:rFonts w:ascii="宋体" w:cs="宋体"/>
          <w:b/>
          <w:color w:val="auto"/>
          <w:sz w:val="24"/>
          <w:szCs w:val="24"/>
          <w:highlight w:val="none"/>
        </w:rPr>
      </w:r>
      <w:r/>
    </w:p>
    <w:p>
      <w:pPr>
        <w:rPr>
          <w:rFonts w:ascii="宋体" w:cs="宋体"/>
          <w:b/>
          <w:color w:val="auto"/>
          <w:sz w:val="24"/>
          <w:szCs w:val="24"/>
          <w:highlight w:val="none"/>
        </w:rPr>
      </w:pPr>
      <w:r>
        <w:rPr>
          <w:rFonts w:ascii="宋体" w:cs="宋体"/>
          <w:b/>
          <w:color w:val="auto"/>
          <w:sz w:val="24"/>
          <w:szCs w:val="24"/>
          <w:highlight w:val="none"/>
        </w:rPr>
      </w:r>
      <w:r/>
    </w:p>
    <w:p>
      <w:pPr>
        <w:pStyle w:val="881"/>
        <w:rPr>
          <w:rFonts w:ascii="宋体" w:cs="宋体"/>
          <w:b/>
          <w:color w:val="auto"/>
          <w:sz w:val="24"/>
          <w:szCs w:val="24"/>
          <w:highlight w:val="none"/>
        </w:rPr>
      </w:pPr>
      <w:r>
        <w:rPr>
          <w:rFonts w:ascii="宋体" w:cs="宋体"/>
          <w:b/>
          <w:color w:val="auto"/>
          <w:sz w:val="24"/>
          <w:szCs w:val="24"/>
          <w:highlight w:val="none"/>
        </w:rPr>
      </w:r>
      <w:r/>
    </w:p>
    <w:p>
      <w:pPr>
        <w:rPr>
          <w:rFonts w:ascii="宋体" w:cs="宋体"/>
          <w:b/>
          <w:color w:val="auto"/>
          <w:sz w:val="24"/>
          <w:szCs w:val="24"/>
          <w:highlight w:val="none"/>
        </w:rPr>
      </w:pPr>
      <w:r>
        <w:rPr>
          <w:rFonts w:ascii="宋体" w:cs="宋体"/>
          <w:b/>
          <w:color w:val="auto"/>
          <w:sz w:val="24"/>
          <w:szCs w:val="24"/>
          <w:highlight w:val="none"/>
        </w:rPr>
      </w:r>
      <w:r/>
    </w:p>
    <w:p>
      <w:pPr>
        <w:pStyle w:val="881"/>
        <w:rPr>
          <w:rFonts w:ascii="宋体" w:cs="宋体"/>
          <w:b/>
          <w:color w:val="auto"/>
          <w:sz w:val="24"/>
          <w:szCs w:val="24"/>
          <w:highlight w:val="none"/>
        </w:rPr>
      </w:pPr>
      <w:r>
        <w:rPr>
          <w:rFonts w:ascii="宋体" w:cs="宋体"/>
          <w:b/>
          <w:color w:val="auto"/>
          <w:sz w:val="24"/>
          <w:szCs w:val="24"/>
          <w:highlight w:val="none"/>
        </w:rPr>
      </w:r>
      <w:r/>
    </w:p>
    <w:p>
      <w:pPr>
        <w:rPr>
          <w:rFonts w:ascii="宋体" w:cs="宋体"/>
          <w:b/>
          <w:color w:val="auto"/>
          <w:sz w:val="24"/>
          <w:szCs w:val="24"/>
          <w:highlight w:val="none"/>
        </w:rPr>
      </w:pPr>
      <w:r>
        <w:rPr>
          <w:rFonts w:ascii="宋体" w:cs="宋体"/>
          <w:b/>
          <w:color w:val="auto"/>
          <w:sz w:val="24"/>
          <w:szCs w:val="24"/>
          <w:highlight w:val="none"/>
        </w:rPr>
      </w:r>
      <w:r/>
    </w:p>
    <w:p>
      <w:pPr>
        <w:pStyle w:val="881"/>
        <w:rPr>
          <w:rFonts w:ascii="宋体" w:cs="宋体"/>
          <w:b/>
          <w:color w:val="auto"/>
          <w:sz w:val="24"/>
          <w:szCs w:val="24"/>
          <w:highlight w:val="none"/>
        </w:rPr>
      </w:pPr>
      <w:r>
        <w:rPr>
          <w:rFonts w:ascii="宋体" w:cs="宋体"/>
          <w:b/>
          <w:color w:val="auto"/>
          <w:sz w:val="24"/>
          <w:szCs w:val="24"/>
          <w:highlight w:val="none"/>
        </w:rPr>
      </w:r>
      <w:r/>
    </w:p>
    <w:p>
      <w:pPr>
        <w:rPr>
          <w:rFonts w:ascii="宋体" w:cs="宋体"/>
          <w:b/>
          <w:color w:val="auto"/>
          <w:sz w:val="24"/>
          <w:szCs w:val="24"/>
          <w:highlight w:val="none"/>
        </w:rPr>
      </w:pPr>
      <w:r>
        <w:rPr>
          <w:rFonts w:ascii="宋体" w:cs="宋体"/>
          <w:b/>
          <w:color w:val="auto"/>
          <w:sz w:val="24"/>
          <w:szCs w:val="24"/>
          <w:highlight w:val="none"/>
        </w:rPr>
      </w:r>
      <w:r/>
    </w:p>
    <w:p>
      <w:pPr>
        <w:pStyle w:val="881"/>
        <w:rPr>
          <w:rFonts w:ascii="宋体" w:cs="宋体"/>
          <w:b/>
          <w:color w:val="auto"/>
          <w:sz w:val="24"/>
          <w:szCs w:val="24"/>
          <w:highlight w:val="none"/>
        </w:rPr>
      </w:pPr>
      <w:r>
        <w:rPr>
          <w:rFonts w:ascii="宋体" w:cs="宋体"/>
          <w:b/>
          <w:color w:val="auto"/>
          <w:sz w:val="24"/>
          <w:szCs w:val="24"/>
          <w:highlight w:val="none"/>
        </w:rPr>
      </w:r>
      <w:r/>
    </w:p>
    <w:p>
      <w:pPr>
        <w:rPr>
          <w:rFonts w:ascii="宋体" w:cs="宋体"/>
          <w:b/>
          <w:color w:val="auto"/>
          <w:sz w:val="24"/>
          <w:szCs w:val="24"/>
          <w:highlight w:val="none"/>
        </w:rPr>
      </w:pPr>
      <w:r>
        <w:rPr>
          <w:rFonts w:ascii="宋体" w:cs="宋体"/>
          <w:b/>
          <w:color w:val="auto"/>
          <w:sz w:val="24"/>
          <w:szCs w:val="24"/>
          <w:highlight w:val="none"/>
        </w:rPr>
      </w:r>
      <w:r/>
    </w:p>
    <w:p>
      <w:pPr>
        <w:pStyle w:val="881"/>
        <w:rPr>
          <w:rFonts w:ascii="宋体" w:cs="宋体"/>
          <w:b/>
          <w:color w:val="auto"/>
          <w:sz w:val="24"/>
          <w:szCs w:val="24"/>
          <w:highlight w:val="none"/>
        </w:rPr>
      </w:pPr>
      <w:r>
        <w:rPr>
          <w:rFonts w:ascii="宋体" w:cs="宋体"/>
          <w:b/>
          <w:color w:val="auto"/>
          <w:sz w:val="24"/>
          <w:szCs w:val="24"/>
          <w:highlight w:val="none"/>
        </w:rPr>
      </w:r>
      <w:r/>
    </w:p>
    <w:p>
      <w:pPr>
        <w:rPr>
          <w:rFonts w:ascii="宋体" w:cs="宋体"/>
          <w:b/>
          <w:color w:val="auto"/>
          <w:sz w:val="24"/>
          <w:szCs w:val="24"/>
          <w:highlight w:val="none"/>
        </w:rPr>
      </w:pPr>
      <w:r>
        <w:rPr>
          <w:rFonts w:ascii="宋体" w:cs="宋体"/>
          <w:b/>
          <w:color w:val="auto"/>
          <w:sz w:val="24"/>
          <w:szCs w:val="24"/>
          <w:highlight w:val="none"/>
        </w:rPr>
      </w:r>
      <w:r/>
    </w:p>
    <w:p>
      <w:pPr>
        <w:pStyle w:val="881"/>
        <w:rPr>
          <w:rFonts w:ascii="宋体" w:cs="宋体"/>
          <w:b/>
          <w:color w:val="auto"/>
          <w:sz w:val="24"/>
          <w:szCs w:val="24"/>
          <w:highlight w:val="none"/>
        </w:rPr>
      </w:pPr>
      <w:r>
        <w:rPr>
          <w:rFonts w:ascii="宋体" w:cs="宋体"/>
          <w:b/>
          <w:color w:val="auto"/>
          <w:sz w:val="24"/>
          <w:szCs w:val="24"/>
          <w:highlight w:val="none"/>
        </w:rPr>
      </w:r>
      <w:r/>
    </w:p>
    <w:p>
      <w:pPr>
        <w:rPr>
          <w:color w:val="auto"/>
          <w:highlight w:val="none"/>
        </w:rPr>
      </w:pPr>
      <w:r>
        <w:rPr>
          <w:color w:val="auto"/>
          <w:highlight w:val="none"/>
        </w:rPr>
      </w:r>
      <w:r/>
    </w:p>
    <w:p>
      <w:pPr>
        <w:pStyle w:val="881"/>
        <w:ind w:left="0" w:firstLine="0"/>
        <w:rPr>
          <w:color w:val="auto"/>
          <w:highlight w:val="none"/>
        </w:rPr>
      </w:pPr>
      <w:r>
        <w:rPr>
          <w:color w:val="auto"/>
          <w:highlight w:val="none"/>
        </w:rPr>
      </w:r>
      <w:r/>
    </w:p>
    <w:p>
      <w:pPr>
        <w:pStyle w:val="881"/>
        <w:ind w:left="0" w:firstLine="0"/>
        <w:rPr>
          <w:color w:val="auto"/>
          <w:highlight w:val="none"/>
        </w:rPr>
      </w:pPr>
      <w:r>
        <w:rPr>
          <w:color w:val="auto"/>
          <w:highlight w:val="none"/>
        </w:rPr>
      </w:r>
      <w:r/>
    </w:p>
    <w:p>
      <w:pPr>
        <w:jc w:val="center"/>
        <w:spacing w:line="360" w:lineRule="auto"/>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第二章 投标人须知</w:t>
      </w:r>
      <w:r/>
    </w:p>
    <w:p>
      <w:pPr>
        <w:ind w:left="5" w:firstLine="518"/>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1、总则</w:t>
      </w:r>
      <w:r/>
    </w:p>
    <w:p>
      <w:pPr>
        <w:ind w:left="5" w:firstLine="518"/>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1.1投标人资格要求</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1.1.1详见第一章投标邀请函中“二、申请人的资格要求”。</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1.1.2投标人不得存在下列情形之一：</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（1）苏州市财政局《关于印发苏州市市级政府采购信用记录查询和使用工作试行办法的通知》（苏财购（2017）11号）文件规定应拒绝的失信信息。</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（2）为采购项目提供整体设计、规范编制或者项目管理、监理、监测等服务的供应商，不得再参加该采购项目的其他采购活动；本项目的此类供应商是：无。</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（3）单位负责人为同一人或者存在直接控股、管理关系的不同供应商，不得参加同一合同项下的政府采购活动。</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1.1.3联合体投标：第一章投标邀请函规定接受联合体投标的，联合体除应符合上述资格要求外，还应遵守以下规定：</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（1）联合体各方应当向采购人提交联合体协议书，载明联合体各方承担的工作和义务，否则投标无效。</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（2）本项目接受联合体投标，但一个联合体最多接受两个单位进行联合投标。</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（3）联合体中有同类资质的供应商按照联合体分工承担相同工作的，应当按照资质等级较低的供应商确定资质等级。</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（4）联合体各方不得再单独参加或者与其他供应商另外组成联合体参加同一合同项下的政府采购活动，否则各相关投标均无效。</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（5）联合体各方应当共同与采购人签订采购合同，就采购合同约定的事项对采购人承担连带责任。</w:t>
      </w:r>
      <w:r/>
    </w:p>
    <w:p>
      <w:pPr>
        <w:ind w:left="5" w:firstLine="518"/>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1.2 分包、转包</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本项目不允许分包或转包。</w:t>
      </w:r>
      <w:r/>
    </w:p>
    <w:p>
      <w:pPr>
        <w:ind w:left="5" w:firstLine="518"/>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1.3投标费用</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（1）投标人应自行承担所有准备及参加投标的相关费用。</w:t>
      </w:r>
      <w:r/>
    </w:p>
    <w:p>
      <w:pPr>
        <w:ind w:left="5" w:firstLine="518"/>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1.4保密</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参与采购活动的各方应对招标文件和投标文件中的商业和技术等秘密保密，否则应承担相应的法律责任。</w:t>
      </w:r>
      <w:r/>
    </w:p>
    <w:p>
      <w:pPr>
        <w:ind w:left="5" w:firstLine="518"/>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1.5语言文字</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投标文件使用的语言文字为中文。使用外文的，应附有中文注释或译本，对不同文本投标文件的解释发生异议的，以中文文本为准。因未附注释或译本引起的对投标人不利的后果由投标人自行承担。</w:t>
      </w:r>
      <w:r/>
    </w:p>
    <w:p>
      <w:pPr>
        <w:ind w:left="5" w:firstLine="518"/>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1.6计量单位</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除招标文件有特殊要求外，所有计量均采用中华人民共和国法定计量单位。</w:t>
      </w:r>
      <w:r/>
    </w:p>
    <w:p>
      <w:pPr>
        <w:ind w:left="5" w:firstLine="518"/>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1.7知识产权</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5" w:firstLine="518"/>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2、招标文件的说明</w:t>
      </w:r>
      <w:r/>
    </w:p>
    <w:p>
      <w:pPr>
        <w:ind w:left="5" w:firstLine="518"/>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2.1招标文件的获取见第一章投标邀请函。</w:t>
      </w:r>
      <w:r/>
    </w:p>
    <w:p>
      <w:pPr>
        <w:ind w:left="5" w:firstLine="518"/>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2.2招标文件的询问</w:t>
      </w:r>
      <w:r/>
    </w:p>
    <w:p>
      <w:pPr>
        <w:ind w:firstLine="420"/>
        <w:spacing w:line="360" w:lineRule="auto"/>
        <w:tabs>
          <w:tab w:val="left" w:pos="540" w:leader="none"/>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供应商在收到招标文件后，若有问题需要询问，应于下载招标文件后，可通过投标邀请函中的联系方式及时提出，采购人或采购代理机构将予以解答。</w:t>
      </w:r>
      <w:r/>
    </w:p>
    <w:p>
      <w:pPr>
        <w:ind w:left="5" w:firstLine="518"/>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2.3招标文件的澄清或修改</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2.3.1采购人或采购代理机构无论出于自己的考虑，还是出于对投标人提问的澄清，均可对已发出的招标文件用补充通知（包括更正公告）的方式进行澄清或者修改，</w:t>
      </w:r>
      <w:r>
        <w:rPr>
          <w:rFonts w:hint="eastAsia" w:ascii="宋体" w:hAnsi="宋体" w:eastAsia="宋体" w:cs="宋体"/>
          <w:color w:val="auto"/>
          <w:sz w:val="24"/>
          <w:szCs w:val="24"/>
          <w:highlight w:val="none"/>
        </w:rPr>
        <w:t xml:space="preserve">并通过苏州市政府采购网对外进行发布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但不得改变采购标的和资格条件。澄清或者修改的内容作为招标文件的组成部分，对所有投标人具有约束力。</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2.3.2</w:t>
      </w:r>
      <w:r>
        <w:rPr>
          <w:rFonts w:hint="eastAsia" w:ascii="宋体" w:hAnsi="宋体" w:eastAsia="宋体" w:cs="宋体"/>
          <w:color w:val="auto"/>
          <w:sz w:val="24"/>
          <w:szCs w:val="24"/>
          <w:highlight w:val="none"/>
        </w:rPr>
        <w:t xml:space="preserve">为保证投标人有足够时间修正投标文件，或出于其他合理原因，</w:t>
      </w:r>
      <w:r>
        <w:rPr>
          <w:rFonts w:hint="eastAsia" w:ascii="宋体" w:hAnsi="宋体" w:eastAsia="宋体" w:cs="宋体"/>
          <w:color w:val="auto"/>
          <w:sz w:val="24"/>
          <w:szCs w:val="24"/>
          <w:highlight w:val="none"/>
          <w:lang w:val="en-US" w:eastAsia="zh-CN"/>
        </w:rPr>
        <w:t xml:space="preserve">采购人或</w:t>
      </w:r>
      <w:r>
        <w:rPr>
          <w:rFonts w:hint="eastAsia" w:ascii="宋体" w:hAnsi="宋体" w:eastAsia="宋体" w:cs="宋体"/>
          <w:color w:val="auto"/>
          <w:sz w:val="24"/>
          <w:szCs w:val="24"/>
          <w:highlight w:val="none"/>
        </w:rPr>
        <w:t xml:space="preserve">采购代理机构可依法顺延投标截止时间和开标时间。</w:t>
      </w:r>
      <w:r/>
    </w:p>
    <w:p>
      <w:pPr>
        <w:ind w:firstLine="484"/>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2.3.3</w:t>
      </w:r>
      <w:r>
        <w:rPr>
          <w:rFonts w:hint="eastAsia" w:ascii="宋体" w:hAnsi="宋体" w:eastAsia="宋体" w:cs="宋体"/>
          <w:color w:val="auto"/>
          <w:sz w:val="24"/>
          <w:szCs w:val="24"/>
          <w:highlight w:val="none"/>
        </w:rPr>
        <w:t xml:space="preserve">供应商应及时关注“苏州市政府采购网”发布的补充通知（包括更正公告），同时可以在“苏采云”系统中下载更正（补充）资料，如有遗漏（包括但不限于文件未下载或下载不完整），可能无法解密投标（响应）文件，由此所造成的投标失败或损失由供应商自行负责。</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2.3.4</w:t>
      </w:r>
      <w:r>
        <w:rPr>
          <w:rFonts w:hint="eastAsia" w:ascii="宋体" w:hAnsi="宋体" w:eastAsia="宋体" w:cs="宋体"/>
          <w:color w:val="auto"/>
          <w:sz w:val="24"/>
          <w:szCs w:val="24"/>
          <w:highlight w:val="none"/>
        </w:rPr>
        <w:t xml:space="preserve">招标文件的澄清、修改、补充等内容均以苏州市政府采购网上发布的内容为准。</w:t>
      </w:r>
      <w:r/>
    </w:p>
    <w:p>
      <w:pPr>
        <w:ind w:left="5" w:firstLine="518"/>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3、投标文件的说明</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投标人应详细阅读招标文件的全部内容，不按招标文件的要求提供的投标文件和资料，其风险由投标人自行承担，并根据有关条款规定，可能导致投标无效。</w:t>
      </w:r>
      <w:r/>
    </w:p>
    <w:p>
      <w:pPr>
        <w:ind w:left="5" w:firstLine="518"/>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3.1投标保证金：无。</w:t>
      </w:r>
      <w:r/>
    </w:p>
    <w:p>
      <w:pPr>
        <w:ind w:left="5" w:firstLine="518"/>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3.2投标文件的组成</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3.2.1封面；</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3.2.2开标一览表（格式见第三章）；</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3.2.3公开分项报价表（如有，格式见第三章）；</w:t>
      </w:r>
      <w:r/>
    </w:p>
    <w:p>
      <w:pPr>
        <w:ind w:left="5" w:firstLine="518"/>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3.2.4资格审查投标文件：</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3.2.4.1供应商的资格要求：</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（1）具有独立承担民事责任的能力的材料复印件：包括法人或者其他组织的营业执照等证明文件，自然人的身份证明；</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（2）具有良好的商业信誉和健全的财务会计制度的材料：包括但不限于法人提供2023年度或2024年度经审计的财务报告或基本开户银行在本年度内出具的资信证明复印件；</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（3）具有履行合同所必需的设备和专业技术能力的证明材料复印件或承诺；</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具有依法缴纳税收和社会保障资金的良好记录的材料：供应商上一税收申报日缴纳增值税或企业所得税的凭据及上一社保申报日缴纳的社会保险的凭据（专用收据或社会保险缴纳清单），依法免税或不需要缴纳的供应商，应提供对应证明文件复印件；</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（5）参加政府采购活动前三年内，在经营活动中没有出现重大违法记录的书面声明函；</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（6）按照相关法律法规参与本项目所必须取得国家有关主管部门的行政许可证明资料复印件（如有须提供）。</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（7）《中小企业声明函》或《残疾人福利性单位声明函》或由省级以上监狱管理局、戒毒管理局（含新疆生产建设兵团）出具的属于监狱企业的证明文件；</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3.2.4.2具备有效的保安服务许可证，非江苏省的投标单位须提供在江苏省内公安主管部门办理备案手续证明材料。</w:t>
      </w:r>
      <w:r/>
    </w:p>
    <w:p>
      <w:pPr>
        <w:ind w:left="5" w:firstLine="518"/>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3.2.5符合性审查投标文件：</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3.2.5.1投标函（格式见第三章）；</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3.2.5.2</w:t>
      </w:r>
      <w:r>
        <w:rPr>
          <w:rFonts w:hint="eastAsia" w:ascii="宋体" w:hAnsi="宋体" w:eastAsia="宋体" w:cs="宋体"/>
          <w:color w:val="auto"/>
          <w:sz w:val="24"/>
          <w:szCs w:val="24"/>
          <w:highlight w:val="none"/>
        </w:rPr>
        <w:t xml:space="preserve">关于资格文件的声明函</w:t>
      </w:r>
      <w:r>
        <w:rPr>
          <w:rFonts w:hint="eastAsia" w:ascii="宋体" w:hAnsi="宋体" w:eastAsia="宋体" w:cs="宋体"/>
          <w:color w:val="auto"/>
          <w:sz w:val="24"/>
          <w:szCs w:val="24"/>
          <w:highlight w:val="none"/>
          <w:lang w:val="en-US" w:eastAsia="zh-CN"/>
        </w:rPr>
        <w:t xml:space="preserve">（格式见第三章）；</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3.2.5.3法定代表人身份证复印件；</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3.2.5.4法定代表人授权委托书及授权委托人身份证复印件（如有授权，格式见第三章）；</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3.2.5.5未被“信用中国”、“信用江苏”及“中国政府采购网”列入失信被执行人、重大税收违法案件当事人名单、政府采购严重失信行为记录名单的查询记录页面截图；</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3.2.5.6对属于《节能产品政府采购品目清单》政府强制采购产品的，须提供该产品有效期内的认证等相关证明材料（若有）；</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3.2.5.7其他有关符合性证明的文件（若有）。</w:t>
      </w:r>
      <w:r/>
    </w:p>
    <w:p>
      <w:pPr>
        <w:ind w:left="5" w:firstLine="518"/>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3.2.6综合评审投标文件（见</w:t>
      </w:r>
      <w:r>
        <w:rPr>
          <w:rFonts w:hint="eastAsia" w:ascii="宋体" w:hAnsi="宋体" w:eastAsia="宋体" w:cs="宋体"/>
          <w:b/>
          <w:bCs/>
          <w:color w:val="auto"/>
          <w:sz w:val="24"/>
          <w:szCs w:val="24"/>
          <w:highlight w:val="none"/>
        </w:rPr>
        <w:t xml:space="preserve">第六章</w:t>
      </w:r>
      <w:r>
        <w:rPr>
          <w:rFonts w:hint="eastAsia" w:ascii="宋体" w:hAnsi="宋体" w:eastAsia="宋体" w:cs="宋体"/>
          <w:b/>
          <w:bCs/>
          <w:color w:val="auto"/>
          <w:sz w:val="24"/>
          <w:szCs w:val="24"/>
          <w:highlight w:val="none"/>
          <w:lang w:val="en-US" w:eastAsia="zh-CN"/>
        </w:rPr>
        <w:t xml:space="preserve">）；</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3.2.7与本次采购相关的其他证明材料。</w:t>
      </w:r>
      <w:r/>
    </w:p>
    <w:p>
      <w:pPr>
        <w:ind w:left="5" w:firstLine="518"/>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w:t>
      </w:r>
      <w:r/>
    </w:p>
    <w:p>
      <w:pPr>
        <w:ind w:left="5" w:firstLine="518"/>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以上3.2.2-3.2.3项为供应商报价的依据，投标供应商必须提供并加盖电子公章，</w:t>
      </w:r>
      <w:r>
        <w:rPr>
          <w:rFonts w:hint="eastAsia" w:ascii="宋体" w:hAnsi="宋体" w:eastAsia="宋体" w:cs="宋体"/>
          <w:b/>
          <w:bCs/>
          <w:color w:val="auto"/>
          <w:sz w:val="24"/>
          <w:szCs w:val="24"/>
          <w:highlight w:val="none"/>
          <w:lang w:val="en-US" w:eastAsia="zh-CN" w:bidi="ar-SA"/>
        </w:rPr>
        <w:t xml:space="preserve">否则，</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lang w:val="en-US" w:eastAsia="zh-CN" w:bidi="ar-SA"/>
        </w:rPr>
        <w:t xml:space="preserve">文件将被认定为未实质性响应。</w:t>
      </w:r>
      <w:r/>
    </w:p>
    <w:p>
      <w:pPr>
        <w:ind w:left="5" w:firstLine="518"/>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以上3.2.4.2项为资格审查提供的资料，是作为对供应商资格审查、质疑身份认定的依据，响应供应商必须提供并加盖电子公章，否则，投标文件将被认定为不符合资格审查要求。</w:t>
      </w:r>
      <w:r/>
    </w:p>
    <w:p>
      <w:pPr>
        <w:ind w:firstLine="480"/>
        <w:spacing w:line="360" w:lineRule="auto"/>
        <w:shd w:val="clear" w:color="auto"/>
        <w:tabs>
          <w:tab w:val="left" w:pos="0"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以上3.2.5.1-3.2.5.4为符合性审查必须提供的资料，</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lang w:val="en-US" w:eastAsia="zh-CN" w:bidi="ar-SA"/>
        </w:rPr>
        <w:t xml:space="preserve">供应商必须提供并加盖</w:t>
      </w:r>
      <w:r>
        <w:rPr>
          <w:rFonts w:hint="eastAsia" w:ascii="宋体" w:hAnsi="宋体" w:eastAsia="宋体" w:cs="宋体"/>
          <w:b/>
          <w:bCs/>
          <w:color w:val="auto"/>
          <w:sz w:val="24"/>
          <w:szCs w:val="24"/>
          <w:highlight w:val="none"/>
          <w:lang w:val="en-US" w:eastAsia="zh-CN"/>
        </w:rPr>
        <w:t xml:space="preserve">电子公章</w:t>
      </w:r>
      <w:r>
        <w:rPr>
          <w:rFonts w:hint="eastAsia" w:ascii="宋体" w:hAnsi="宋体" w:eastAsia="宋体" w:cs="宋体"/>
          <w:b/>
          <w:bCs/>
          <w:color w:val="auto"/>
          <w:sz w:val="24"/>
          <w:szCs w:val="24"/>
          <w:highlight w:val="none"/>
          <w:lang w:val="en-US" w:eastAsia="zh-CN" w:bidi="ar-SA"/>
        </w:rPr>
        <w:t xml:space="preserve">，否则，</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lang w:val="en-US" w:eastAsia="zh-CN" w:bidi="ar-SA"/>
        </w:rPr>
        <w:t xml:space="preserve">将被认定为未实质性响应。</w:t>
      </w:r>
      <w:r/>
    </w:p>
    <w:p>
      <w:pPr>
        <w:ind w:left="5" w:firstLine="518"/>
        <w:spacing w:line="360" w:lineRule="auto"/>
        <w:tabs>
          <w:tab w:val="left" w:pos="851"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制作电子投标文件时需与投标文件制作软件目录一一对应，将相关资料上传至相应模块。</w:t>
      </w:r>
      <w:r/>
    </w:p>
    <w:p>
      <w:pPr>
        <w:ind w:left="5" w:firstLine="518"/>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供应商应保证上传的</w:t>
      </w:r>
      <w:r>
        <w:rPr>
          <w:rFonts w:hint="eastAsia" w:ascii="宋体" w:hAnsi="宋体" w:eastAsia="宋体" w:cs="宋体"/>
          <w:b/>
          <w:bCs/>
          <w:color w:val="auto"/>
          <w:sz w:val="24"/>
          <w:szCs w:val="24"/>
          <w:highlight w:val="none"/>
          <w:lang w:val="en-US" w:eastAsia="zh-CN" w:bidi="ar-SA"/>
        </w:rPr>
        <w:t xml:space="preserve">投标</w:t>
      </w:r>
      <w:r>
        <w:rPr>
          <w:rFonts w:hint="eastAsia" w:ascii="宋体" w:hAnsi="宋体" w:eastAsia="宋体" w:cs="宋体"/>
          <w:b/>
          <w:bCs/>
          <w:color w:val="auto"/>
          <w:sz w:val="24"/>
          <w:szCs w:val="24"/>
          <w:highlight w:val="none"/>
          <w:lang w:val="en-US" w:eastAsia="zh-CN"/>
        </w:rPr>
        <w:t xml:space="preserve">文件完整、清晰可辨认，若因上传资料过小或模糊不清等无法辨认的都视为该资料未提供。</w:t>
      </w:r>
      <w:r/>
    </w:p>
    <w:p>
      <w:pPr>
        <w:ind w:firstLine="470"/>
        <w:spacing w:line="360" w:lineRule="auto"/>
        <w:tabs>
          <w:tab w:val="left" w:pos="540" w:leader="none"/>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如供应商</w:t>
      </w:r>
      <w:r>
        <w:rPr>
          <w:rFonts w:hint="eastAsia" w:ascii="宋体" w:hAnsi="宋体" w:eastAsia="宋体" w:cs="宋体"/>
          <w:b/>
          <w:bCs/>
          <w:color w:val="auto"/>
          <w:sz w:val="24"/>
          <w:szCs w:val="24"/>
          <w:highlight w:val="none"/>
          <w:lang w:val="en-US" w:eastAsia="zh-CN" w:bidi="ar-SA"/>
        </w:rPr>
        <w:t xml:space="preserve">投标</w:t>
      </w:r>
      <w:r>
        <w:rPr>
          <w:rFonts w:hint="eastAsia" w:ascii="宋体" w:hAnsi="宋体" w:eastAsia="宋体" w:cs="宋体"/>
          <w:b/>
          <w:bCs/>
          <w:color w:val="auto"/>
          <w:sz w:val="24"/>
          <w:szCs w:val="24"/>
          <w:highlight w:val="none"/>
        </w:rPr>
        <w:t xml:space="preserve">文件中某些条款不响应</w:t>
      </w:r>
      <w:r>
        <w:rPr>
          <w:rFonts w:hint="eastAsia" w:ascii="宋体" w:hAnsi="宋体" w:eastAsia="宋体" w:cs="宋体"/>
          <w:b/>
          <w:bCs/>
          <w:color w:val="auto"/>
          <w:sz w:val="24"/>
          <w:szCs w:val="24"/>
          <w:highlight w:val="none"/>
          <w:lang w:eastAsia="zh-CN"/>
        </w:rPr>
        <w:t xml:space="preserve">招标文件</w:t>
      </w:r>
      <w:r>
        <w:rPr>
          <w:rFonts w:hint="eastAsia" w:ascii="宋体" w:hAnsi="宋体" w:eastAsia="宋体" w:cs="宋体"/>
          <w:b/>
          <w:bCs/>
          <w:color w:val="auto"/>
          <w:sz w:val="24"/>
          <w:szCs w:val="24"/>
          <w:highlight w:val="none"/>
        </w:rPr>
        <w:t xml:space="preserve">提出的全部服务内容与要求</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须在</w:t>
      </w:r>
      <w:r>
        <w:rPr>
          <w:rFonts w:hint="eastAsia" w:ascii="宋体" w:hAnsi="宋体" w:eastAsia="宋体" w:cs="宋体"/>
          <w:b/>
          <w:bCs/>
          <w:color w:val="auto"/>
          <w:sz w:val="24"/>
          <w:szCs w:val="24"/>
          <w:highlight w:val="none"/>
          <w:lang w:val="en-US" w:eastAsia="zh-CN" w:bidi="ar-SA"/>
        </w:rPr>
        <w:t xml:space="preserve">投标</w:t>
      </w:r>
      <w:r>
        <w:rPr>
          <w:rFonts w:hint="eastAsia" w:ascii="宋体" w:hAnsi="宋体" w:eastAsia="宋体" w:cs="宋体"/>
          <w:b/>
          <w:bCs/>
          <w:color w:val="auto"/>
          <w:sz w:val="24"/>
          <w:szCs w:val="24"/>
          <w:highlight w:val="none"/>
        </w:rPr>
        <w:t xml:space="preserve">文件中逐条列出</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未列出的视同响应。</w:t>
      </w:r>
      <w:r/>
    </w:p>
    <w:p>
      <w:pPr>
        <w:ind w:firstLine="480"/>
        <w:spacing w:line="360" w:lineRule="auto"/>
        <w:tabs>
          <w:tab w:val="left" w:pos="142" w:leader="none"/>
          <w:tab w:val="left" w:pos="600" w:leader="none"/>
        </w:tabs>
        <w:rPr>
          <w:rFonts w:hint="eastAsia" w:ascii="宋体" w:hAnsi="宋体" w:eastAsia="宋体" w:cs="宋体"/>
          <w:color w:val="auto"/>
          <w:highlight w:val="none"/>
        </w:rPr>
      </w:pPr>
      <w:r>
        <w:rPr>
          <w:rFonts w:hint="eastAsia" w:ascii="宋体" w:hAnsi="宋体" w:eastAsia="宋体" w:cs="宋体"/>
          <w:b/>
          <w:color w:val="auto"/>
          <w:sz w:val="24"/>
          <w:szCs w:val="24"/>
          <w:highlight w:val="none"/>
          <w:lang w:val="en-US" w:eastAsia="zh-CN"/>
        </w:rPr>
        <w:t xml:space="preserve">如不同供应商使用同一台电脑制作的电子</w:t>
      </w:r>
      <w:r>
        <w:rPr>
          <w:rFonts w:hint="eastAsia" w:ascii="宋体" w:hAnsi="宋体" w:eastAsia="宋体" w:cs="宋体"/>
          <w:b/>
          <w:bCs/>
          <w:color w:val="auto"/>
          <w:sz w:val="24"/>
          <w:szCs w:val="24"/>
          <w:highlight w:val="none"/>
          <w:lang w:val="en-US" w:eastAsia="zh-CN" w:bidi="ar-SA"/>
        </w:rPr>
        <w:t xml:space="preserve">投标</w:t>
      </w:r>
      <w:r>
        <w:rPr>
          <w:rFonts w:hint="eastAsia" w:ascii="宋体" w:hAnsi="宋体" w:eastAsia="宋体" w:cs="宋体"/>
          <w:b/>
          <w:color w:val="auto"/>
          <w:sz w:val="24"/>
          <w:szCs w:val="24"/>
          <w:highlight w:val="none"/>
          <w:lang w:val="en-US" w:eastAsia="zh-CN"/>
        </w:rPr>
        <w:t xml:space="preserve">文件的，双方“文件制作机器码”一致的，则其</w:t>
      </w:r>
      <w:r>
        <w:rPr>
          <w:rFonts w:hint="eastAsia" w:ascii="宋体" w:hAnsi="宋体" w:eastAsia="宋体" w:cs="宋体"/>
          <w:b/>
          <w:bCs/>
          <w:color w:val="auto"/>
          <w:sz w:val="24"/>
          <w:szCs w:val="24"/>
          <w:highlight w:val="none"/>
          <w:lang w:val="en-US" w:eastAsia="zh-CN" w:bidi="ar-SA"/>
        </w:rPr>
        <w:t xml:space="preserve">投标</w:t>
      </w:r>
      <w:r>
        <w:rPr>
          <w:rFonts w:hint="eastAsia" w:ascii="宋体" w:hAnsi="宋体" w:eastAsia="宋体" w:cs="宋体"/>
          <w:b/>
          <w:color w:val="auto"/>
          <w:sz w:val="24"/>
          <w:szCs w:val="24"/>
          <w:highlight w:val="none"/>
          <w:lang w:val="en-US" w:eastAsia="zh-CN"/>
        </w:rPr>
        <w:t xml:space="preserve">文件将被认定为无效响应。</w:t>
      </w:r>
      <w:r/>
    </w:p>
    <w:p>
      <w:pPr>
        <w:ind w:left="5" w:firstLine="518"/>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3.3投标报价</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3.3.1投标报价应包括完成本招标项目全部内容的一切费用，除非合同条款中另有规定，投标人所报价格在合同实施期间不因市场变化因素而变动。</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3.3.2如果招标文件要求分标段投标的，则投标人可以根据自身经营许可范围，选择投标其中部分或者全部标段，但各标段应分别计算填写单价和总价。</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3.3.3投标人应对招标文件内所要采购的全部内容进行报价，只对其中部分内容报价的，投标无效。</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3.3.4投标报价超过招标文件中规定的预算金额或者最高限价的，或者各标的物的单价超过该项预算单价的（针对招标文件标明预算单价的项目），其投标无效。</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3.2.5一项投标内容只允许一个报价，任何有选择性投标报价的，其投标无效。</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3.3.6投标文件报价中的单价和总价全部采用人民币表示，除非另有规定。</w:t>
      </w:r>
      <w:r/>
    </w:p>
    <w:p>
      <w:pPr>
        <w:ind w:left="5" w:firstLine="518"/>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3.4电子投标文件的编制与提交</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bookmarkStart w:id="2" w:name="_Hlk154589874"/>
      <w:r>
        <w:rPr>
          <w:rFonts w:hint="eastAsia" w:ascii="宋体" w:hAnsi="宋体" w:eastAsia="宋体" w:cs="宋体"/>
          <w:color w:val="auto"/>
          <w:sz w:val="24"/>
          <w:szCs w:val="24"/>
          <w:highlight w:val="none"/>
          <w:lang w:val="en-US" w:eastAsia="zh-CN"/>
        </w:rPr>
        <w:t xml:space="preserve">3.4.1投标文件编制要求：本项目为网上招投标项目，请供应商插入CA 证书登录“苏采云”系统下载客户端（参与项目页面可下载客户端及客户端使用说明），在客户端编制电子投标文件并进行CA加密。操作步骤详见“苏采云”系统页面提示和《操作手册》。</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3.4.2电子投标文件递交：供应商应当按照《操作手册》指引，在投标文件提交截止时间前完成电子投标文件的上传，未按要求成功上传的投标文件视为未递交。供应商应充分考虑到网络环境、网络带宽等风险因素，如因供应商自身原因造成的电子响应文件上传不成功由供应商自行承担全部责任。</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注：（1）请供应商务必保管好编制递交电子投标文件时使用的CA，如因丢失、损坏等原因更换CA锁时，需重新制作电子投标文件并递交，否则可能无法解密，因此导致的响应失败等不利后果由供应商自行承担。</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如本项目在政府采购信息发布媒体上发布了更正（补充）公告，请供应商务必在“苏采云”系统中下载更正（补充）资料，根据更正后的招标文件重新编制电子响应文件并递交，否则可能无法解密，因此导致的响应失败等不利后果由供应商自行承担。</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3.4.3投标文件未按照招标文件要求加盖CA电子公章的，响应无效。</w:t>
      </w:r>
      <w:r/>
    </w:p>
    <w:p>
      <w:pPr>
        <w:ind w:left="5" w:firstLine="518"/>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3.5投标文件的开启（解密）</w:t>
      </w:r>
      <w:bookmarkStart w:id="7" w:name="_GoBack"/>
      <w:r/>
      <w:bookmarkEnd w:id="7"/>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3.5.1线上参加（观看）开标（开启）会方式：登录苏采云系统，点击“开标大厅”，选择对应项目。</w:t>
      </w:r>
      <w:r/>
    </w:p>
    <w:p>
      <w:pPr>
        <w:ind w:left="5" w:firstLine="518"/>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3.5.2供应商应当按照《操作手册》规定，在苏采云系统规定的时间内对投标文件进行解密。等待开标流程进入“解锁环境”，点击“点击立即解密”进行标书解密，解锁完成后及时关注开标大厅、答疑澄清等提示，</w:t>
      </w:r>
      <w:r>
        <w:rPr>
          <w:rFonts w:hint="eastAsia" w:ascii="宋体" w:hAnsi="宋体" w:eastAsia="宋体" w:cs="宋体"/>
          <w:b/>
          <w:bCs/>
          <w:color w:val="auto"/>
          <w:sz w:val="24"/>
          <w:szCs w:val="24"/>
          <w:highlight w:val="none"/>
          <w:lang w:val="en-US" w:eastAsia="zh-CN"/>
        </w:rPr>
        <w:t xml:space="preserve">否则导致的对供应商不利的后果由供应商自行承担。</w:t>
      </w:r>
      <w:r/>
    </w:p>
    <w:p>
      <w:pPr>
        <w:ind w:left="5" w:firstLine="518"/>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3.5.3供应商在苏采云系统规定的时间内未成功解密电子投标文件的，投标无效。</w:t>
      </w:r>
      <w:r/>
    </w:p>
    <w:p>
      <w:pPr>
        <w:ind w:left="5" w:firstLine="518"/>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供应商在制作、上传、解密电子标书过程中若遇到问题，请及时联系CA技术人员或“苏采云”系统客服热线，否则由此产生的后果由供应商自行负责。</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3.5.4</w:t>
      </w:r>
      <w:bookmarkEnd w:id="2"/>
      <w:r>
        <w:rPr>
          <w:rFonts w:hint="eastAsia" w:ascii="宋体" w:hAnsi="宋体" w:eastAsia="宋体" w:cs="宋体"/>
          <w:color w:val="auto"/>
          <w:sz w:val="24"/>
          <w:szCs w:val="24"/>
          <w:highlight w:val="none"/>
          <w:lang w:val="en-US" w:eastAsia="zh-CN"/>
        </w:rPr>
        <w:t xml:space="preserve">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3.5.5 </w:t>
      </w:r>
      <w:r>
        <w:rPr>
          <w:rFonts w:hint="eastAsia" w:ascii="宋体" w:hAnsi="宋体" w:eastAsia="宋体" w:cs="宋体"/>
          <w:color w:val="auto"/>
          <w:sz w:val="24"/>
          <w:szCs w:val="24"/>
          <w:highlight w:val="none"/>
        </w:rPr>
        <w:t xml:space="preserve">CA技术咨询服务电话：400-608-6099；</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电子签章技术咨询服务电话：025-83633811、025-83633812、15380932027、15371015030；</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苏州市及区县“苏采云”系统使用指导与咨询：联系电话：0512-69820854、18261002950；QQ：3048755361、1315179389、895706745；智能客服：登录苏采云系统后，联系系统右下方智能客服图标进行咨询。 </w:t>
      </w:r>
      <w:r/>
    </w:p>
    <w:p>
      <w:pPr>
        <w:ind w:left="5" w:firstLine="518"/>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3.6响应文件的修改和撤回：</w:t>
      </w:r>
      <w:r/>
    </w:p>
    <w:p>
      <w:pPr>
        <w:pStyle w:val="97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.1供应商在提交投标文件截止时间前，可以对所递交的投标文件进行补充、修改或者撤回，具体操作方法见《操作手册》。提交投标文件截止时间后供应商不得撤回投标文件。</w:t>
      </w:r>
      <w:r/>
    </w:p>
    <w:p>
      <w:pPr>
        <w:ind w:left="5" w:firstLine="518"/>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4、开标和评标：</w:t>
      </w:r>
      <w:r/>
    </w:p>
    <w:p>
      <w:pPr>
        <w:ind w:left="5" w:firstLine="518"/>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4.1开标</w:t>
      </w:r>
      <w:r/>
    </w:p>
    <w:p>
      <w:pPr>
        <w:pStyle w:val="97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开标由采购代理机构</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主持，邀请投标人</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参加。投标人应当按照《苏采云系统供应商操作手册》规定，</w:t>
      </w:r>
      <w:r>
        <w:rPr>
          <w:rFonts w:hint="eastAsia" w:ascii="宋体" w:hAnsi="宋体" w:eastAsia="宋体" w:cs="宋体"/>
          <w:b/>
          <w:bCs/>
          <w:color w:val="auto"/>
          <w:sz w:val="24"/>
          <w:szCs w:val="24"/>
          <w:highlight w:val="none"/>
        </w:rPr>
        <w:t xml:space="preserve">参加开标活动和在“苏采云”系统规定的时间内对投标文件进行解密。评标委员会成员不得参加开标活动。</w:t>
      </w:r>
      <w:r/>
    </w:p>
    <w:p>
      <w:pPr>
        <w:pStyle w:val="972"/>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4.1.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开标时，由采购代理机构</w:t>
      </w:r>
      <w:r>
        <w:rPr>
          <w:rFonts w:hint="eastAsia" w:ascii="宋体" w:hAnsi="宋体" w:eastAsia="宋体" w:cs="宋体"/>
          <w:color w:val="auto"/>
          <w:sz w:val="24"/>
          <w:szCs w:val="24"/>
          <w:highlight w:val="none"/>
          <w:lang w:val="en-US" w:eastAsia="zh-CN"/>
        </w:rPr>
        <w:t xml:space="preserve">通过“苏采云”系统在线</w:t>
      </w:r>
      <w:r>
        <w:rPr>
          <w:rFonts w:hint="eastAsia" w:ascii="宋体" w:hAnsi="宋体" w:eastAsia="宋体" w:cs="宋体"/>
          <w:color w:val="auto"/>
          <w:sz w:val="24"/>
          <w:szCs w:val="24"/>
          <w:highlight w:val="none"/>
          <w:lang w:val="zh-CN" w:eastAsia="zh-CN"/>
        </w:rPr>
        <w:t xml:space="preserve">宣布投标人名称、投标价格和招标文件规定的需要宣布的其他内容。</w:t>
      </w:r>
      <w:r>
        <w:rPr>
          <w:rFonts w:hint="eastAsia" w:ascii="宋体" w:hAnsi="宋体" w:eastAsia="宋体" w:cs="宋体"/>
          <w:color w:val="auto"/>
          <w:sz w:val="24"/>
          <w:szCs w:val="24"/>
          <w:highlight w:val="none"/>
          <w:lang w:val="en-US" w:eastAsia="zh-CN"/>
        </w:rPr>
        <w:t xml:space="preserve">投标人在不见面开标系统中确认投标价格，如</w:t>
      </w:r>
      <w:r>
        <w:rPr>
          <w:rFonts w:hint="eastAsia" w:ascii="宋体" w:hAnsi="宋体" w:eastAsia="宋体" w:cs="宋体"/>
          <w:color w:val="auto"/>
          <w:sz w:val="24"/>
          <w:szCs w:val="24"/>
          <w:highlight w:val="none"/>
          <w:lang w:val="zh-CN" w:eastAsia="zh-CN"/>
        </w:rPr>
        <w:t xml:space="preserve">投标人未</w:t>
      </w:r>
      <w:r>
        <w:rPr>
          <w:rFonts w:hint="eastAsia" w:ascii="宋体" w:hAnsi="宋体" w:eastAsia="宋体" w:cs="宋体"/>
          <w:color w:val="auto"/>
          <w:sz w:val="24"/>
          <w:szCs w:val="24"/>
          <w:highlight w:val="none"/>
          <w:lang w:val="en-US" w:eastAsia="zh-CN"/>
        </w:rPr>
        <w:t xml:space="preserve">在线</w:t>
      </w:r>
      <w:r>
        <w:rPr>
          <w:rFonts w:hint="eastAsia" w:ascii="宋体" w:hAnsi="宋体" w:eastAsia="宋体" w:cs="宋体"/>
          <w:color w:val="auto"/>
          <w:sz w:val="24"/>
          <w:szCs w:val="24"/>
          <w:highlight w:val="none"/>
          <w:lang w:val="zh-CN" w:eastAsia="zh-CN"/>
        </w:rPr>
        <w:t xml:space="preserve">参加开标</w:t>
      </w:r>
      <w:r>
        <w:rPr>
          <w:rFonts w:hint="eastAsia" w:ascii="宋体" w:hAnsi="宋体" w:eastAsia="宋体" w:cs="宋体"/>
          <w:color w:val="auto"/>
          <w:sz w:val="24"/>
          <w:szCs w:val="24"/>
          <w:highlight w:val="none"/>
          <w:lang w:val="en-US" w:eastAsia="zh-CN"/>
        </w:rPr>
        <w:t xml:space="preserve">或未在规定时间内确认价格</w:t>
      </w:r>
      <w:r>
        <w:rPr>
          <w:rFonts w:hint="eastAsia" w:ascii="宋体" w:hAnsi="宋体" w:eastAsia="宋体" w:cs="宋体"/>
          <w:color w:val="auto"/>
          <w:sz w:val="24"/>
          <w:szCs w:val="24"/>
          <w:highlight w:val="none"/>
          <w:lang w:val="zh-CN" w:eastAsia="zh-CN"/>
        </w:rPr>
        <w:t xml:space="preserve">的，视同认可开标结果。</w:t>
      </w:r>
      <w:r/>
    </w:p>
    <w:p>
      <w:pPr>
        <w:ind w:left="5" w:firstLine="518"/>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4.2资格审查</w:t>
      </w:r>
      <w:r/>
    </w:p>
    <w:p>
      <w:pPr>
        <w:pStyle w:val="972"/>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4.2.1</w:t>
      </w:r>
      <w:r>
        <w:rPr>
          <w:rFonts w:hint="eastAsia" w:ascii="宋体" w:hAnsi="宋体" w:eastAsia="宋体" w:cs="宋体"/>
          <w:color w:val="auto"/>
          <w:sz w:val="24"/>
          <w:szCs w:val="24"/>
          <w:highlight w:val="none"/>
          <w:lang w:val="zh-CN" w:eastAsia="zh-CN"/>
        </w:rPr>
        <w:t xml:space="preserve">公开招标采购项目开标结束后，采购人应当依法对投标人的资格进行审查，未通过资格审查的视为无效投标。</w:t>
      </w:r>
      <w:r/>
    </w:p>
    <w:p>
      <w:pPr>
        <w:pStyle w:val="972"/>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4.2.2根据政府采购法及相关法规，以及苏州市财政局《关于印发苏州市市级政府采购信用记录查询和使用工作试行办法的通知》（苏财购（2017）11号）文件的规定，采购代理机构将对供应商进行信用查询。</w:t>
      </w:r>
      <w:r/>
    </w:p>
    <w:p>
      <w:pPr>
        <w:pStyle w:val="972"/>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4.2.2.1查询时间：投标文件提交截止时间。</w:t>
      </w:r>
      <w:r/>
    </w:p>
    <w:p>
      <w:pPr>
        <w:pStyle w:val="972"/>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4.2.2.2查询渠道：通过“信用中国”、“信用江苏”及“中国政府采购网” 上的信用信息查询供应商的信用记录。 </w:t>
      </w:r>
      <w:r/>
    </w:p>
    <w:p>
      <w:pPr>
        <w:pStyle w:val="972"/>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4.2.2.3查询证据留存方式：对存在失信信息的供应商，评审小组应填写《苏州市级政府采购供应商失信信息确认函》，由失信供应商应签名确认。</w:t>
      </w:r>
      <w:r>
        <w:rPr>
          <w:rFonts w:hint="eastAsia" w:ascii="宋体" w:hAnsi="宋体" w:eastAsia="宋体" w:cs="宋体"/>
          <w:color w:val="auto"/>
          <w:sz w:val="24"/>
          <w:szCs w:val="24"/>
          <w:highlight w:val="none"/>
          <w:lang w:val="zh-CN" w:eastAsia="zh-CN"/>
        </w:rPr>
        <w:t xml:space="preserve">采购代理机构工作人员应登陆到来源网站页面进行复核并打印，</w:t>
      </w:r>
      <w:r>
        <w:rPr>
          <w:rFonts w:hint="eastAsia" w:ascii="宋体" w:hAnsi="宋体" w:eastAsia="宋体" w:cs="宋体"/>
          <w:color w:val="auto"/>
          <w:sz w:val="24"/>
          <w:szCs w:val="24"/>
          <w:highlight w:val="none"/>
          <w:lang w:val="en-US" w:eastAsia="zh-CN"/>
        </w:rPr>
        <w:t xml:space="preserve">作为证据留存。</w:t>
      </w:r>
      <w:r/>
    </w:p>
    <w:p>
      <w:pPr>
        <w:pStyle w:val="972"/>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4.2.2.4信用记录使用规则：评审小组在对供应商进行资格性审查时，应根据查询结果对供应商的不良信用记录逐项甄别确认。按照《中华人民共和国政府采购法》第二十二条规定，</w:t>
      </w:r>
      <w:r>
        <w:rPr>
          <w:rFonts w:hint="eastAsia" w:ascii="宋体" w:hAnsi="宋体" w:eastAsia="宋体" w:cs="宋体"/>
          <w:b/>
          <w:bCs/>
          <w:color w:val="auto"/>
          <w:sz w:val="24"/>
          <w:szCs w:val="24"/>
          <w:highlight w:val="none"/>
          <w:lang w:val="en-US" w:eastAsia="zh-CN"/>
        </w:rPr>
        <w:t xml:space="preserve">信用记录属于应依法拒绝供应商参加政府采购的失信信息，存在此类失信信息的投标人的投标无效。</w:t>
      </w:r>
      <w:r/>
    </w:p>
    <w:p>
      <w:pPr>
        <w:ind w:left="5" w:firstLine="518"/>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4.3评标委员会</w:t>
      </w:r>
      <w:r/>
    </w:p>
    <w:p>
      <w:pPr>
        <w:pStyle w:val="972"/>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4.3.1采购人或采购代理机构负责组织评标工作，评标委员会由采购人代表和评审专家组成，负责具体评标事务，并独立履行职责。</w:t>
      </w:r>
      <w:r/>
    </w:p>
    <w:p>
      <w:pPr>
        <w:pStyle w:val="972"/>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4.3.2评审专家与参加采购活动的供应商存在下列利害关系之一的，应当回避：</w:t>
      </w:r>
      <w:r/>
    </w:p>
    <w:p>
      <w:pPr>
        <w:pStyle w:val="972"/>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（一）参加采购活动前三年内，与供应商存在劳动关系，或者担任过供应商的董事、监事，或者是供应商的控股股东或实际控制人；</w:t>
      </w:r>
      <w:r/>
    </w:p>
    <w:p>
      <w:pPr>
        <w:pStyle w:val="972"/>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（二）与供应商的法定代表人或者负责人有夫妻、直系血亲、三代以内旁系血亲或者近姻亲关系；</w:t>
      </w:r>
      <w:r/>
    </w:p>
    <w:p>
      <w:pPr>
        <w:pStyle w:val="972"/>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（三）与供应商有其他可能影响政府采购活动公平、公正进行的关系。</w:t>
      </w:r>
      <w:r/>
    </w:p>
    <w:p>
      <w:pPr>
        <w:pStyle w:val="972"/>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评审专家发现本人与参加采购活动的供应商有利害关系的，应当主动提出回避。采购人或者采购代理机构发现评审专家与参加采购活动的供应商有利害关系的，应当要求其回避。</w:t>
      </w:r>
      <w:r/>
    </w:p>
    <w:p>
      <w:pPr>
        <w:pStyle w:val="972"/>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4.3.3评审专家应当遵守评审工作纪律，不得泄露评审文件、评审情况和评审中获悉的商业秘密。评标委员会在评审过程中发现供应商有行贿、提供虚假材料或者串通等违法行为的，应当及时向财政部门报告。政府采购评审专家在评审过程中受到非法干预的，应当及时向财政、监察等部门举报。</w:t>
      </w:r>
      <w:r/>
    </w:p>
    <w:p>
      <w:pPr>
        <w:pStyle w:val="972"/>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4.3.4评标委员会成员应当按照客观、公正、审慎的原则，根据招标文件规定的评审程序、评审方法和评审标准进行独立评审。</w:t>
      </w:r>
      <w:r/>
    </w:p>
    <w:p>
      <w:pPr>
        <w:ind w:left="5" w:firstLine="518"/>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4.4评标</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4.4.1符合性审查</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评标委员会应当对符合资格的投标人的投标文件进行符合性审查，以确定其是否满足招标文件的实质性要求。未满足本项目实质性要求的认定为无效投标。</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4.4.2投标文件的比较和评价</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4.4.2.1评标委员会应当按照招标文件中规定的评标方法和标准，对符合性审查合格的投标文件进行商务和技术评估，综合比较与评价。</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4.4.2.2本项目采用综合评分法，即指投标文件满足招标文件全部实质性要求，且按照评审因素的量化指标评审得分最高的投标人为中标候选人的评标方法。评标</w:t>
      </w:r>
      <w:r>
        <w:rPr>
          <w:rFonts w:hint="eastAsia" w:ascii="宋体" w:hAnsi="宋体" w:eastAsia="宋体" w:cs="宋体"/>
          <w:color w:val="auto"/>
          <w:sz w:val="24"/>
          <w:szCs w:val="24"/>
          <w:highlight w:val="none"/>
          <w:lang w:val="en-US" w:eastAsia="zh-CN"/>
        </w:rPr>
        <w:t xml:space="preserve">方法</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val="en-US" w:eastAsia="zh-CN"/>
        </w:rPr>
        <w:t xml:space="preserve">评分</w:t>
      </w:r>
      <w:r>
        <w:rPr>
          <w:rFonts w:hint="eastAsia" w:ascii="宋体" w:hAnsi="宋体" w:eastAsia="宋体" w:cs="宋体"/>
          <w:color w:val="auto"/>
          <w:sz w:val="24"/>
          <w:szCs w:val="24"/>
          <w:highlight w:val="none"/>
        </w:rPr>
        <w:t xml:space="preserve">标准见第六章。</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4.4.2.3价格修正</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投标文件报价出现前后不一致的，除招标文件另有规定外，按下列规定修正：</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（一）投标文件中开标一览表（报价表）内容与投标文件中相应内容不一致的，以开标一览表（报价表）为准；</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（二）大写金额和小写金额不一致的，以大写金额为准；</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（三）单价金额小数点或者百分比有明显错位的，以开标一览表的总价为准，并修改单价；</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（四）总价金额与按单价汇总金额不一致的，以单价金额计算结果为准。</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修正后的报价按照《中华人民共和国财政部令第87号》第五十一条第二款的规定经投标人确认后产生约束力，投标人不确认的，其投标无效。</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将其作为无效投标处理。</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4.4.2.5评标委员会成员对需要共同认定的事项存在争议的，应当按照少数服从多数的原则作出结论。持不同意见的评标委员会成员应当在评标报告上签署不同意见及理由，否则视为同意评标报告。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4.4.3投标的澄清</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4.4.3.1评审小组可以要求供应商对于投标文件中含义不明确、同类问题表述不一致或者有明显文字和计算错误的内容等作出必要的澄清、说明或者更正。供应商的澄清、说明或者补正不得超出投标文件的范围或者改变投标文件的实质性内容。</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w:t>
      </w: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本项目采用线上澄清。</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w:t>
      </w: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线上澄清答复的方式：需要供应商进行澄清、说明和更正的，</w:t>
      </w:r>
      <w:r>
        <w:rPr>
          <w:rFonts w:hint="eastAsia" w:ascii="宋体" w:hAnsi="宋体" w:eastAsia="宋体" w:cs="宋体"/>
          <w:color w:val="auto"/>
          <w:sz w:val="24"/>
          <w:szCs w:val="24"/>
          <w:highlight w:val="none"/>
          <w:lang w:eastAsia="zh-CN"/>
        </w:rPr>
        <w:t xml:space="preserve">评审</w:t>
      </w:r>
      <w:r>
        <w:rPr>
          <w:rFonts w:hint="eastAsia" w:ascii="宋体" w:hAnsi="宋体" w:eastAsia="宋体" w:cs="宋体"/>
          <w:color w:val="auto"/>
          <w:sz w:val="24"/>
          <w:szCs w:val="24"/>
          <w:highlight w:val="none"/>
        </w:rPr>
        <w:t xml:space="preserve">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接到</w:t>
      </w:r>
      <w:r>
        <w:rPr>
          <w:rFonts w:hint="eastAsia" w:ascii="宋体" w:hAnsi="宋体" w:eastAsia="宋体" w:cs="宋体"/>
          <w:color w:val="auto"/>
          <w:sz w:val="24"/>
          <w:szCs w:val="24"/>
          <w:highlight w:val="none"/>
          <w:lang w:eastAsia="zh-CN"/>
        </w:rPr>
        <w:t xml:space="preserve">评审</w:t>
      </w:r>
      <w:r>
        <w:rPr>
          <w:rFonts w:hint="eastAsia" w:ascii="宋体" w:hAnsi="宋体" w:eastAsia="宋体" w:cs="宋体"/>
          <w:color w:val="auto"/>
          <w:sz w:val="24"/>
          <w:szCs w:val="24"/>
          <w:highlight w:val="none"/>
        </w:rPr>
        <w:t xml:space="preserve">小组澄清、说明和更正要求的供应商如未按规定做出澄清、说明和更正，其风险由供应商自行承担。</w:t>
      </w:r>
      <w:r/>
    </w:p>
    <w:p>
      <w:pPr>
        <w:ind w:left="5" w:firstLine="518"/>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5、废标</w:t>
      </w:r>
      <w:r/>
    </w:p>
    <w:p>
      <w:pPr>
        <w:ind w:left="5" w:firstLine="518"/>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5.1出现下列情形之一的，应予废标：</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（一）符合专业条件的供应商或者对招标文件作实质响应的供应商不足三家的；</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（二）出现影响采购公正的违法、违规行为的；</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（三）投标人的报价均超过了采购预算，采购人不能支付的；</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（四）因重大变故，采购任务取消的。</w:t>
      </w:r>
      <w:r/>
    </w:p>
    <w:p>
      <w:pPr>
        <w:ind w:left="5" w:firstLine="518"/>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5.2废标后，采购人应当将废标理由通知所有投标人。</w:t>
      </w:r>
      <w:r/>
    </w:p>
    <w:p>
      <w:pPr>
        <w:ind w:left="5" w:firstLine="518"/>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6、中标</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w:t>
      </w:r>
      <w:r>
        <w:rPr>
          <w:rFonts w:hint="eastAsia" w:ascii="宋体" w:hAnsi="宋体" w:eastAsia="宋体" w:cs="宋体"/>
          <w:color w:val="auto"/>
          <w:sz w:val="24"/>
          <w:szCs w:val="24"/>
          <w:highlight w:val="none"/>
          <w:lang w:val="en-US" w:eastAsia="zh-CN"/>
        </w:rPr>
        <w:t xml:space="preserve">本项目评标方法</w:t>
      </w:r>
      <w:r>
        <w:rPr>
          <w:rFonts w:hint="eastAsia" w:ascii="宋体" w:hAnsi="宋体" w:eastAsia="宋体" w:cs="宋体"/>
          <w:color w:val="auto"/>
          <w:sz w:val="24"/>
          <w:szCs w:val="24"/>
          <w:highlight w:val="none"/>
        </w:rPr>
        <w:t xml:space="preserve">采用综合评分法，即指投标文件满足招标文件全部实质性要求，且按照评审因素的量化指标评审得分最高的投标人为中标候选人的评标方法。</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6.2评标结果按评审后得分由高到低顺序排列。得分相同的，按投标报价由低到高顺序排列。得分且投标报价相同的，则由</w:t>
      </w:r>
      <w:r>
        <w:rPr>
          <w:rFonts w:hint="eastAsia" w:ascii="宋体" w:hAnsi="宋体" w:eastAsia="宋体" w:cs="宋体"/>
          <w:color w:val="auto"/>
          <w:sz w:val="24"/>
          <w:szCs w:val="24"/>
          <w:highlight w:val="none"/>
          <w:lang w:val="en-US" w:eastAsia="zh-CN"/>
        </w:rPr>
        <w:t xml:space="preserve">评标委员会</w:t>
      </w:r>
      <w:r>
        <w:rPr>
          <w:rFonts w:hint="eastAsia" w:ascii="宋体" w:hAnsi="宋体" w:eastAsia="宋体" w:cs="宋体"/>
          <w:color w:val="auto"/>
          <w:sz w:val="24"/>
          <w:szCs w:val="24"/>
          <w:highlight w:val="none"/>
        </w:rPr>
        <w:t xml:space="preserve">组织抽签确定中标</w:t>
      </w:r>
      <w:r>
        <w:rPr>
          <w:rFonts w:hint="eastAsia" w:ascii="宋体" w:hAnsi="宋体" w:eastAsia="宋体" w:cs="宋体"/>
          <w:color w:val="auto"/>
          <w:sz w:val="24"/>
          <w:szCs w:val="24"/>
          <w:highlight w:val="none"/>
          <w:lang w:val="en-US" w:eastAsia="zh-CN"/>
        </w:rPr>
        <w:t xml:space="preserve">候选人顺序</w:t>
      </w:r>
      <w:r>
        <w:rPr>
          <w:rFonts w:hint="eastAsia" w:ascii="宋体" w:hAnsi="宋体" w:eastAsia="宋体" w:cs="宋体"/>
          <w:color w:val="auto"/>
          <w:sz w:val="24"/>
          <w:szCs w:val="24"/>
          <w:highlight w:val="none"/>
        </w:rPr>
        <w:t xml:space="preserve">。</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6.3评标委员会在确定的中标候选人名单中按顺序确定中标单位，中标候选人并列的，按照招标文件规定的方式确定中标单位。</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6.4采购人或者采购代理机构应当自中标单位确定之日起2个工作日内将中标单位在政府采购信息媒体上发布中标公告，中标公告期限为1个工作日。</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采购人或采购代理机构根据相关规定发布</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公告，</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公告发出的同时应当向</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供应商发出《</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通知书》</w:t>
      </w:r>
      <w:bookmarkStart w:id="3" w:name="_Hlk132385577"/>
      <w:r/>
      <w:bookmarkStart w:id="4" w:name="_Hlk132385599"/>
      <w:r/>
      <w:bookmarkStart w:id="5" w:name="_Hlk132389804"/>
      <w:r>
        <w:rPr>
          <w:rFonts w:hint="eastAsia" w:ascii="宋体" w:hAnsi="宋体" w:eastAsia="宋体" w:cs="宋体"/>
          <w:color w:val="auto"/>
          <w:sz w:val="24"/>
          <w:szCs w:val="24"/>
          <w:highlight w:val="none"/>
        </w:rPr>
        <w:t xml:space="preserve">。请</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供应商在</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使用CA数字证书登录苏采云系统及时下载成交通知书。因系统存储空间有限，自</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结果公告届满之日起30日后，苏采云系统不再保证提供下载成交通知书服务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因未及时下载而造成的不利后果由成交供应商自行承担）；</w:t>
      </w:r>
      <w:bookmarkEnd w:id="3"/>
      <w:r/>
      <w:bookmarkEnd w:id="4"/>
      <w:r/>
      <w:bookmarkEnd w:id="5"/>
      <w:r>
        <w:rPr>
          <w:rFonts w:hint="eastAsia" w:ascii="宋体" w:hAnsi="宋体" w:eastAsia="宋体" w:cs="宋体"/>
          <w:color w:val="auto"/>
          <w:sz w:val="24"/>
          <w:szCs w:val="24"/>
          <w:highlight w:val="none"/>
        </w:rPr>
        <w:t xml:space="preserve">对未通过资格性审查的供应商，应当告知其未通过的原因；未</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供应商须在成交公告发出之日起2个工作日内向采购代理机构另行提供用以接收《未</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通知书》的电子邮件地址，未按时提供电子邮件地址或提供信息有误的，视为自动放弃并自行承担相应后果。</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6.6中标通知书发出后，采购人不得违法改变中标结果，中标单位无正当理由不得放弃中标。</w:t>
      </w:r>
      <w:r/>
    </w:p>
    <w:p>
      <w:pPr>
        <w:ind w:left="5" w:firstLine="518"/>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7、履约保证金</w:t>
      </w:r>
      <w:r/>
    </w:p>
    <w:p>
      <w:pPr>
        <w:pStyle w:val="97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见第五章合同文本履约保证金条款。</w:t>
      </w:r>
      <w:r/>
    </w:p>
    <w:p>
      <w:pPr>
        <w:ind w:left="5" w:firstLine="518"/>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8、合同的签订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8.1采购人应当自</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通知书发出之日起</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日内</w:t>
      </w:r>
      <w:r>
        <w:rPr>
          <w:rFonts w:hint="eastAsia" w:ascii="宋体" w:hAnsi="宋体" w:eastAsia="宋体" w:cs="宋体"/>
          <w:color w:val="auto"/>
          <w:sz w:val="24"/>
          <w:szCs w:val="24"/>
          <w:highlight w:val="none"/>
          <w:lang w:val="en-US" w:eastAsia="zh-CN"/>
        </w:rPr>
        <w:t xml:space="preserve">（最迟30日内</w:t>
      </w:r>
      <w:r>
        <w:rPr>
          <w:rFonts w:hint="eastAsia" w:ascii="宋体" w:hAnsi="宋体" w:eastAsia="宋体" w:cs="宋体"/>
          <w:color w:val="auto"/>
          <w:szCs w:val="21"/>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按照招标文件及投标文件规定与中标单位签订书面合同。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8.2</w:t>
      </w:r>
      <w:r>
        <w:rPr>
          <w:rFonts w:hint="eastAsia" w:ascii="宋体" w:hAnsi="宋体" w:eastAsia="宋体" w:cs="宋体"/>
          <w:color w:val="auto"/>
          <w:sz w:val="24"/>
          <w:szCs w:val="24"/>
          <w:highlight w:val="none"/>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8.3 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8.4依据《政府采购促进中小企业发展管理办法》（财库〔2020〕46号）规定，享受扶持政策获得政府采购合同的，小微企业不得将合同分包给大中型企业，中型企业不得将合同分包给大型企业。</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8.5中标供应商无正当理由不得放弃中标。</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8.6采购合同履行中，采购人需追加与合同标的相同货物、工程或者服务的，在不改变合同其他条款的前提下，可以与供应商协商签订补充合同，但所有补充合同的采购金额不得超过原合同采购金额的百分之十。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left="5" w:firstLine="518"/>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9、质疑</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9.1质疑及答复遵守《政府采购质疑和投诉办法》（中华人民共和国财政部令第94号）规定。</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9.2供应商认为招标文件、采购过程和中标、成交结果使自己的权益受到损害的，可以在知道或者应知其权益受到损害之日起七个工作日内，根据《政府采购质疑和投诉办法》（中华人民共和国财政部令第94号）以书面形式向采购人、代理机构提出质疑。采购代理机构应当在收到供应商书面质疑函后七个工作日内作出答复。</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9.3本项目投标人应当在法定质疑期内一次性提出针对同一采购程序环节的质疑。供应商如在法定期限内对同一采购程序环节提出多次质疑的，采购代理机构、采购人将只对供应商第一次质疑作出答复。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tabs>
          <w:tab w:val="left" w:pos="142" w:leader="none"/>
          <w:tab w:val="left" w:pos="600" w:leader="none"/>
        </w:tabs>
        <w:rPr>
          <w:rFonts w:hint="eastAsia" w:ascii="宋体" w:hAnsi="宋体" w:eastAsia="宋体" w:cs="宋体"/>
          <w:b/>
          <w:bCs w:val="0"/>
          <w:color w:val="auto"/>
          <w:sz w:val="24"/>
          <w:szCs w:val="24"/>
          <w:highlight w:val="none"/>
        </w:rPr>
      </w:pPr>
      <w:r>
        <w:rPr>
          <w:rFonts w:hint="eastAsia" w:ascii="宋体" w:hAnsi="宋体" w:eastAsia="宋体" w:cs="宋体"/>
          <w:b w:val="0"/>
          <w:bCs/>
          <w:color w:val="auto"/>
          <w:sz w:val="24"/>
          <w:szCs w:val="24"/>
          <w:highlight w:val="none"/>
        </w:rPr>
        <w:t xml:space="preserve">9.4</w:t>
      </w:r>
      <w:r>
        <w:rPr>
          <w:rFonts w:hint="eastAsia" w:ascii="宋体" w:hAnsi="宋体" w:eastAsia="宋体" w:cs="宋体"/>
          <w:b w:val="0"/>
          <w:bCs/>
          <w:color w:val="auto"/>
          <w:sz w:val="24"/>
          <w:szCs w:val="24"/>
          <w:highlight w:val="none"/>
          <w:lang w:val="en-US" w:eastAsia="zh-CN"/>
        </w:rPr>
        <w:t xml:space="preserve">对招标</w:t>
      </w:r>
      <w:r>
        <w:rPr>
          <w:rFonts w:hint="eastAsia" w:ascii="宋体" w:hAnsi="宋体" w:eastAsia="宋体" w:cs="宋体"/>
          <w:b w:val="0"/>
          <w:bCs/>
          <w:color w:val="auto"/>
          <w:sz w:val="24"/>
          <w:szCs w:val="24"/>
          <w:highlight w:val="none"/>
        </w:rPr>
        <w:t xml:space="preserve">文件内容质疑时，</w:t>
      </w:r>
      <w:r>
        <w:rPr>
          <w:rFonts w:hint="eastAsia" w:ascii="宋体" w:hAnsi="宋体" w:eastAsia="宋体" w:cs="宋体"/>
          <w:b/>
          <w:bCs w:val="0"/>
          <w:color w:val="auto"/>
          <w:sz w:val="24"/>
          <w:szCs w:val="24"/>
          <w:highlight w:val="none"/>
        </w:rPr>
        <w:t xml:space="preserve">需提供在苏采云系统中下载本项目</w:t>
      </w:r>
      <w:r>
        <w:rPr>
          <w:rFonts w:hint="eastAsia" w:ascii="宋体" w:hAnsi="宋体" w:eastAsia="宋体" w:cs="宋体"/>
          <w:b/>
          <w:bCs w:val="0"/>
          <w:color w:val="auto"/>
          <w:sz w:val="24"/>
          <w:szCs w:val="24"/>
          <w:highlight w:val="none"/>
          <w:lang w:val="en-US" w:eastAsia="zh-CN"/>
        </w:rPr>
        <w:t xml:space="preserve">招标</w:t>
      </w:r>
      <w:r>
        <w:rPr>
          <w:rFonts w:hint="eastAsia" w:ascii="宋体" w:hAnsi="宋体" w:eastAsia="宋体" w:cs="宋体"/>
          <w:b/>
          <w:bCs w:val="0"/>
          <w:color w:val="auto"/>
          <w:sz w:val="24"/>
          <w:szCs w:val="24"/>
          <w:highlight w:val="none"/>
        </w:rPr>
        <w:t xml:space="preserve">文件的《投标供应商确认函》，未提供的视为未依照采购公告要求获取</w:t>
      </w:r>
      <w:r>
        <w:rPr>
          <w:rFonts w:hint="eastAsia" w:ascii="宋体" w:hAnsi="宋体" w:eastAsia="宋体" w:cs="宋体"/>
          <w:b/>
          <w:bCs w:val="0"/>
          <w:color w:val="auto"/>
          <w:sz w:val="24"/>
          <w:szCs w:val="24"/>
          <w:highlight w:val="none"/>
          <w:lang w:eastAsia="zh-CN"/>
        </w:rPr>
        <w:t xml:space="preserve">招标文件</w:t>
      </w:r>
      <w:r>
        <w:rPr>
          <w:rFonts w:hint="eastAsia" w:ascii="宋体" w:hAnsi="宋体" w:eastAsia="宋体" w:cs="宋体"/>
          <w:b/>
          <w:bCs w:val="0"/>
          <w:color w:val="auto"/>
          <w:sz w:val="24"/>
          <w:szCs w:val="24"/>
          <w:highlight w:val="none"/>
        </w:rPr>
        <w:t xml:space="preserve">的供应商，不具备对该政府采购项目提出质疑的法定权利。</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接收质疑函的方式为书面形式（当场送达或邮寄方式）</w:t>
      </w:r>
      <w:r>
        <w:rPr>
          <w:rFonts w:hint="eastAsia" w:ascii="宋体" w:hAnsi="宋体" w:eastAsia="宋体" w:cs="宋体"/>
          <w:bCs/>
          <w:color w:val="auto"/>
          <w:sz w:val="24"/>
          <w:szCs w:val="24"/>
          <w:highlight w:val="none"/>
        </w:rPr>
        <w:t xml:space="preserve">向采购人、采购代理机构提出质疑，联系人、联系电话和通讯地址等信息以</w:t>
      </w:r>
      <w:r>
        <w:rPr>
          <w:rFonts w:hint="eastAsia" w:ascii="宋体" w:hAnsi="宋体" w:eastAsia="宋体" w:cs="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rPr>
        <w:t xml:space="preserve">公告中</w:t>
      </w:r>
      <w:r>
        <w:rPr>
          <w:rFonts w:hint="eastAsia" w:ascii="宋体" w:hAnsi="宋体" w:eastAsia="宋体" w:cs="宋体"/>
          <w:b w:val="0"/>
          <w:bCs w:val="0"/>
          <w:color w:val="auto"/>
          <w:sz w:val="24"/>
          <w:szCs w:val="24"/>
          <w:highlight w:val="none"/>
        </w:rPr>
        <w:t xml:space="preserve">对本次招标提出询问</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请按以下方式联系</w:t>
      </w:r>
      <w:r>
        <w:rPr>
          <w:rFonts w:hint="eastAsia" w:ascii="宋体" w:hAnsi="宋体" w:eastAsia="宋体" w:cs="宋体"/>
          <w:bCs/>
          <w:color w:val="auto"/>
          <w:sz w:val="24"/>
          <w:szCs w:val="24"/>
          <w:highlight w:val="none"/>
        </w:rPr>
        <w:t xml:space="preserve">为准</w:t>
      </w:r>
      <w:r>
        <w:rPr>
          <w:rFonts w:hint="eastAsia" w:ascii="宋体" w:hAnsi="宋体" w:eastAsia="宋体" w:cs="宋体"/>
          <w:color w:val="auto"/>
          <w:sz w:val="24"/>
          <w:szCs w:val="24"/>
          <w:highlight w:val="none"/>
        </w:rPr>
        <w:t xml:space="preserve">。供应商质疑函范本格式请参照“苏州市政府采购”网站——“下载中心”——“</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"http://czju.suzhou.gov.cn/zfcg/html/content/20180305093615738.shtml" \t "http://czju.suzhou.gov.cn/zfcg/html/channel/_blank" \o "政府采购供应商质疑函范本"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政府采购供应商质疑函范本</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left="5" w:firstLine="518"/>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10、投标文件的有效期</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文件的有效期自提交</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文件的截止之日起</w:t>
      </w:r>
      <w:r>
        <w:rPr>
          <w:rFonts w:hint="eastAsia" w:ascii="宋体" w:hAnsi="宋体" w:eastAsia="宋体" w:cs="宋体"/>
          <w:bCs/>
          <w:color w:val="auto"/>
          <w:sz w:val="24"/>
          <w:szCs w:val="24"/>
          <w:highlight w:val="none"/>
          <w:lang w:val="en-US" w:eastAsia="zh-CN"/>
        </w:rPr>
        <w:t xml:space="preserve">九十</w:t>
      </w:r>
      <w:r>
        <w:rPr>
          <w:rFonts w:hint="eastAsia" w:ascii="宋体" w:hAnsi="宋体" w:eastAsia="宋体" w:cs="宋体"/>
          <w:bCs/>
          <w:color w:val="auto"/>
          <w:sz w:val="24"/>
          <w:szCs w:val="24"/>
          <w:highlight w:val="none"/>
        </w:rPr>
        <w:t xml:space="preserve">天，</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文件应保持有效。</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文件的有效期不明确或短于上述规定期限的，</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文件无效。</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10.2在特殊情况下，采购人可与供应商协商延长响应文件的有效期，这种要求和答复都应以书面形式进行。</w:t>
      </w:r>
      <w:r/>
    </w:p>
    <w:p>
      <w:pPr>
        <w:ind w:left="5" w:firstLine="518"/>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11、代理服务费：由中标单位承担。</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.1代理服务费以采购预算金额为基数依据</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按如下规定的标准和差额定率累进法进行计算收取：</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预算金额100万元以下部分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费率为该部分预算金额的1.5％；</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预算金额100万元（含）－500万元部分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费率为该部分预算金额的1.1％；</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预算金额500万元（含）－1000万元部分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费率为该部分预算金额的0.8％；</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预算金额1000万元（含）－5000万元部分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费率为该部分预算金额的0.5％；</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预算金额5000万元以上部分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费率为该部分预算金额的0.25％。</w:t>
      </w:r>
      <w:r/>
    </w:p>
    <w:p>
      <w:pPr>
        <w:ind w:firstLine="518"/>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.2本项目代理服务费（人民币）：</w:t>
      </w:r>
      <w:r>
        <w:rPr>
          <w:rFonts w:hint="eastAsia" w:ascii="宋体" w:hAnsi="宋体" w:eastAsia="宋体" w:cs="宋体"/>
          <w:bCs/>
          <w:color w:val="auto"/>
          <w:sz w:val="24"/>
          <w:szCs w:val="24"/>
          <w:highlight w:val="none"/>
          <w:lang w:val="en-US" w:eastAsia="zh-CN"/>
        </w:rPr>
        <w:t xml:space="preserve">8400.00元。</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.3代理服务费由中标</w:t>
      </w:r>
      <w:r>
        <w:rPr>
          <w:rFonts w:hint="eastAsia" w:ascii="宋体" w:hAnsi="宋体" w:eastAsia="宋体" w:cs="宋体"/>
          <w:bCs/>
          <w:color w:val="auto"/>
          <w:sz w:val="24"/>
          <w:szCs w:val="24"/>
          <w:highlight w:val="none"/>
          <w:lang w:val="en-US" w:eastAsia="zh-CN"/>
        </w:rPr>
        <w:t xml:space="preserve">单位</w:t>
      </w:r>
      <w:r>
        <w:rPr>
          <w:rFonts w:hint="eastAsia" w:ascii="宋体" w:hAnsi="宋体" w:eastAsia="宋体" w:cs="宋体"/>
          <w:bCs/>
          <w:color w:val="auto"/>
          <w:sz w:val="24"/>
          <w:szCs w:val="24"/>
          <w:highlight w:val="none"/>
        </w:rPr>
        <w:t xml:space="preserve">在领取中标通知书时一次性付清并含在其投标报价中。</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.4中标</w:t>
      </w:r>
      <w:r>
        <w:rPr>
          <w:rFonts w:hint="eastAsia" w:ascii="宋体" w:hAnsi="宋体" w:eastAsia="宋体" w:cs="宋体"/>
          <w:bCs/>
          <w:color w:val="auto"/>
          <w:sz w:val="24"/>
          <w:szCs w:val="24"/>
          <w:highlight w:val="none"/>
          <w:lang w:val="en-US" w:eastAsia="zh-CN"/>
        </w:rPr>
        <w:t xml:space="preserve">单位</w:t>
      </w:r>
      <w:r>
        <w:rPr>
          <w:rFonts w:hint="eastAsia" w:ascii="宋体" w:hAnsi="宋体" w:eastAsia="宋体" w:cs="宋体"/>
          <w:bCs/>
          <w:color w:val="auto"/>
          <w:sz w:val="24"/>
          <w:szCs w:val="24"/>
          <w:highlight w:val="none"/>
        </w:rPr>
        <w:t xml:space="preserve">如果未按上述规定缴纳中标服务费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采购代理机构将保留诉讼的权利。</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.5采购代理机构服务费账号如下：</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收款单位：苏州正杰招投标咨询服务有限公司。</w:t>
      </w:r>
      <w:r>
        <w:rPr>
          <w:rFonts w:hint="eastAsia" w:ascii="宋体" w:hAnsi="宋体" w:eastAsia="宋体" w:cs="宋体"/>
          <w:bCs/>
          <w:color w:val="auto"/>
          <w:sz w:val="24"/>
          <w:szCs w:val="24"/>
          <w:highlight w:val="none"/>
        </w:rPr>
        <w:tab/>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银行账号：89190154740002582。</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开户银行：上海浦东发展银行苏州姑苏支行。</w:t>
      </w:r>
      <w:r/>
    </w:p>
    <w:p>
      <w:pPr>
        <w:ind w:left="5" w:firstLine="518"/>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12、其他事项</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.1未尽事宜按《中华人民共和国政府采购法》及其他有关法律法规文件的规定执行。</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br w:type="page" w:clear="all"/>
      </w:r>
      <w:r>
        <w:rPr>
          <w:rFonts w:hint="eastAsia" w:ascii="宋体" w:hAnsi="宋体" w:cs="宋体"/>
          <w:b/>
          <w:color w:val="auto"/>
          <w:sz w:val="24"/>
          <w:szCs w:val="24"/>
          <w:highlight w:val="none"/>
        </w:rPr>
        <w:t xml:space="preserve">第三章 投标文件格式</w:t>
      </w:r>
      <w:r/>
    </w:p>
    <w:p>
      <w:pPr>
        <w:pStyle w:val="920"/>
        <w:spacing w:line="360" w:lineRule="auto"/>
        <w:rPr>
          <w:rFonts w:hAnsi="宋体" w:cs="宋体"/>
          <w:color w:val="auto"/>
          <w:sz w:val="24"/>
          <w:szCs w:val="24"/>
          <w:highlight w:val="none"/>
        </w:rPr>
      </w:pPr>
      <w:r>
        <w:rPr>
          <w:rFonts w:hint="eastAsia" w:hAnsi="宋体" w:cs="宋体"/>
          <w:b/>
          <w:bCs/>
          <w:color w:val="auto"/>
          <w:sz w:val="24"/>
          <w:szCs w:val="24"/>
          <w:highlight w:val="none"/>
        </w:rPr>
        <w:t xml:space="preserve">1、投标函</w:t>
      </w:r>
      <w:r/>
    </w:p>
    <w:p>
      <w:pPr>
        <w:pStyle w:val="891"/>
        <w:ind w:right="3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苏州正杰招投标咨询服务有限公司：</w:t>
      </w:r>
      <w:r/>
    </w:p>
    <w:p>
      <w:pPr>
        <w:pStyle w:val="920"/>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我们收到贵公司号招标文件，经仔细阅读和研究，我们决定参加投标。</w:t>
      </w:r>
      <w:r/>
    </w:p>
    <w:p>
      <w:pPr>
        <w:pStyle w:val="920"/>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1、我们愿意按照招标文件的一切要求，提供完成该项目的全部内容。</w:t>
      </w:r>
      <w:r/>
    </w:p>
    <w:p>
      <w:pPr>
        <w:pStyle w:val="920"/>
        <w:spacing w:line="360" w:lineRule="auto"/>
        <w:rPr>
          <w:rFonts w:hAnsi="宋体" w:cs="宋体"/>
          <w:color w:val="auto"/>
          <w:sz w:val="24"/>
          <w:szCs w:val="24"/>
          <w:highlight w:val="none"/>
        </w:rPr>
      </w:pPr>
      <w:r>
        <w:rPr>
          <w:rFonts w:hint="eastAsia" w:hAnsi="宋体" w:cs="宋体"/>
          <w:color w:val="auto"/>
          <w:sz w:val="24"/>
          <w:szCs w:val="24"/>
          <w:highlight w:val="none"/>
        </w:rPr>
        <w:t xml:space="preserve">    2、如果我们的投标被接受，我们将严格履行招标文件中规定的每一项要求，严格履行合同的责任和义务，保证按期、按质履行合同，完成合同内容所规定的全部工作。</w:t>
      </w:r>
      <w:r/>
    </w:p>
    <w:p>
      <w:pPr>
        <w:pStyle w:val="920"/>
        <w:spacing w:line="360" w:lineRule="auto"/>
        <w:rPr>
          <w:rFonts w:hAnsi="宋体" w:cs="宋体"/>
          <w:color w:val="auto"/>
          <w:sz w:val="24"/>
          <w:szCs w:val="24"/>
          <w:highlight w:val="none"/>
        </w:rPr>
      </w:pPr>
      <w:r>
        <w:rPr>
          <w:rFonts w:hint="eastAsia" w:hAnsi="宋体" w:cs="宋体"/>
          <w:color w:val="auto"/>
          <w:sz w:val="24"/>
          <w:szCs w:val="24"/>
          <w:highlight w:val="none"/>
        </w:rPr>
        <w:t xml:space="preserve">    3、我们同意按招标文件规定，本投标书的有效期限自提交投标文件的截止之日起</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天。如果我们在开标后规定的投标有效期内撤回投标，我们愿承担一切责任。</w:t>
      </w:r>
      <w:r/>
    </w:p>
    <w:p>
      <w:pPr>
        <w:pStyle w:val="920"/>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4、我们愿意提供招标文件中要求的所有资料，也同意向贵方提供贵方可能另外要求的与其投标有关的任何证据或资料，并保证所提供的资料全部是真实的、有效的，若有虚假，我们愿承担一切责任。</w:t>
      </w:r>
      <w:r/>
    </w:p>
    <w:p>
      <w:pPr>
        <w:pStyle w:val="920"/>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5、我们认为你们有权决定中标人，还认为你们有权接受或拒绝投标人。</w:t>
      </w:r>
      <w:r/>
    </w:p>
    <w:p>
      <w:pPr>
        <w:pStyle w:val="920"/>
        <w:spacing w:line="360" w:lineRule="auto"/>
        <w:rPr>
          <w:rFonts w:hAnsi="宋体" w:cs="宋体"/>
          <w:color w:val="auto"/>
          <w:sz w:val="24"/>
          <w:szCs w:val="24"/>
          <w:highlight w:val="none"/>
        </w:rPr>
      </w:pPr>
      <w:r>
        <w:rPr>
          <w:rFonts w:hint="eastAsia" w:hAnsi="宋体" w:cs="宋体"/>
          <w:color w:val="auto"/>
          <w:sz w:val="24"/>
          <w:szCs w:val="24"/>
          <w:highlight w:val="none"/>
        </w:rPr>
        <w:t xml:space="preserve">    6、我们愿意遵守招标公告及招标文件中所列的收费标准。</w:t>
      </w:r>
      <w:r/>
    </w:p>
    <w:p>
      <w:pPr>
        <w:pStyle w:val="920"/>
        <w:spacing w:line="360" w:lineRule="auto"/>
        <w:rPr>
          <w:rFonts w:hAnsi="宋体" w:cs="宋体"/>
          <w:color w:val="auto"/>
          <w:sz w:val="24"/>
          <w:szCs w:val="24"/>
          <w:highlight w:val="none"/>
        </w:rPr>
      </w:pPr>
      <w:r>
        <w:rPr>
          <w:rFonts w:hint="eastAsia" w:hAnsi="宋体" w:cs="宋体"/>
          <w:color w:val="auto"/>
          <w:sz w:val="24"/>
          <w:szCs w:val="24"/>
          <w:highlight w:val="none"/>
        </w:rPr>
        <w:t xml:space="preserve">    7、我们承诺本项投标文件在开标后的全过程中保持有效。我们同意中标后若不履行投标文件的内容要求和各项承诺及义务的即被视为违约，我们愿承担一切责任。</w:t>
      </w:r>
      <w:r/>
    </w:p>
    <w:p>
      <w:pPr>
        <w:pStyle w:val="920"/>
        <w:spacing w:line="360" w:lineRule="auto"/>
        <w:rPr>
          <w:rFonts w:hAnsi="宋体" w:cs="宋体"/>
          <w:color w:val="auto"/>
          <w:sz w:val="24"/>
          <w:szCs w:val="24"/>
          <w:highlight w:val="none"/>
        </w:rPr>
      </w:pPr>
      <w:r>
        <w:rPr>
          <w:rFonts w:hint="eastAsia" w:hAnsi="宋体" w:cs="宋体"/>
          <w:color w:val="auto"/>
          <w:sz w:val="24"/>
          <w:szCs w:val="24"/>
          <w:highlight w:val="none"/>
        </w:rPr>
        <w:t xml:space="preserve">    8、我们愿意按招标文件的规定交纳投标保证金，并同意投标人须知中关于投标保证金的规定。</w:t>
      </w:r>
      <w:r/>
    </w:p>
    <w:p>
      <w:pPr>
        <w:pStyle w:val="920"/>
        <w:spacing w:line="360" w:lineRule="auto"/>
        <w:rPr>
          <w:rFonts w:hAnsi="宋体" w:cs="宋体"/>
          <w:color w:val="auto"/>
          <w:sz w:val="24"/>
          <w:szCs w:val="24"/>
          <w:highlight w:val="none"/>
        </w:rPr>
      </w:pPr>
      <w:r>
        <w:rPr>
          <w:rFonts w:hint="eastAsia" w:hAnsi="宋体" w:cs="宋体"/>
          <w:color w:val="auto"/>
          <w:sz w:val="24"/>
          <w:szCs w:val="24"/>
          <w:highlight w:val="none"/>
        </w:rPr>
        <w:t xml:space="preserve">    9、如果我们中标，我们愿意在签订合同时支付履约保证金，并按招标文件规定支付中标服务费；</w:t>
      </w:r>
      <w:r/>
    </w:p>
    <w:p>
      <w:pPr>
        <w:pStyle w:val="920"/>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10、与本投标有关的通讯地址：</w:t>
      </w:r>
      <w:r/>
    </w:p>
    <w:p>
      <w:pPr>
        <w:pStyle w:val="920"/>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单位：                                 联系人：</w:t>
      </w:r>
      <w:r/>
    </w:p>
    <w:p>
      <w:pPr>
        <w:pStyle w:val="920"/>
        <w:spacing w:line="360" w:lineRule="auto"/>
        <w:rPr>
          <w:rFonts w:hAnsi="宋体" w:cs="宋体"/>
          <w:color w:val="auto"/>
          <w:sz w:val="24"/>
          <w:szCs w:val="24"/>
          <w:highlight w:val="none"/>
        </w:rPr>
      </w:pPr>
      <w:r>
        <w:rPr>
          <w:rFonts w:hint="eastAsia" w:hAnsi="宋体" w:cs="宋体"/>
          <w:color w:val="auto"/>
          <w:sz w:val="24"/>
          <w:szCs w:val="24"/>
          <w:highlight w:val="none"/>
        </w:rPr>
        <w:t xml:space="preserve">    地址：                                 邮政编码：</w:t>
      </w:r>
      <w:r/>
    </w:p>
    <w:p>
      <w:pPr>
        <w:pStyle w:val="920"/>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联系电话：                             传真：</w:t>
      </w:r>
      <w:r/>
    </w:p>
    <w:p>
      <w:pPr>
        <w:pStyle w:val="920"/>
        <w:spacing w:line="360" w:lineRule="auto"/>
        <w:rPr>
          <w:rFonts w:hAnsi="宋体" w:cs="宋体"/>
          <w:color w:val="auto"/>
          <w:sz w:val="24"/>
          <w:szCs w:val="24"/>
          <w:highlight w:val="none"/>
        </w:rPr>
      </w:pPr>
      <w:r>
        <w:rPr>
          <w:rFonts w:hint="eastAsia" w:hAnsi="宋体" w:cs="宋体"/>
          <w:color w:val="auto"/>
          <w:sz w:val="24"/>
          <w:szCs w:val="24"/>
          <w:highlight w:val="none"/>
        </w:rPr>
        <w:t xml:space="preserve">    投标人（单位盖章）：</w:t>
      </w:r>
      <w:r/>
    </w:p>
    <w:p>
      <w:pPr>
        <w:pStyle w:val="920"/>
        <w:spacing w:line="360" w:lineRule="auto"/>
        <w:rPr>
          <w:rFonts w:hAnsi="宋体" w:cs="宋体"/>
          <w:color w:val="auto"/>
          <w:sz w:val="24"/>
          <w:szCs w:val="24"/>
          <w:highlight w:val="none"/>
        </w:rPr>
      </w:pPr>
      <w:r>
        <w:rPr>
          <w:rFonts w:hint="eastAsia" w:hAnsi="宋体" w:cs="宋体"/>
          <w:color w:val="auto"/>
          <w:sz w:val="24"/>
          <w:szCs w:val="24"/>
          <w:highlight w:val="none"/>
        </w:rPr>
        <w:t xml:space="preserve">    法定代表人或代理人（签字或盖章）：</w:t>
      </w:r>
      <w:r/>
    </w:p>
    <w:p>
      <w:pPr>
        <w:pStyle w:val="920"/>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日期：     年     月     日</w:t>
      </w:r>
      <w:r/>
    </w:p>
    <w:p>
      <w:pPr>
        <w:pStyle w:val="920"/>
        <w:ind w:firstLine="480"/>
        <w:spacing w:line="360" w:lineRule="auto"/>
        <w:rPr>
          <w:rFonts w:hAnsi="宋体" w:cs="宋体"/>
          <w:color w:val="auto"/>
          <w:sz w:val="24"/>
          <w:szCs w:val="24"/>
          <w:highlight w:val="none"/>
        </w:rPr>
      </w:pPr>
      <w:r>
        <w:rPr>
          <w:rFonts w:hAnsi="宋体" w:cs="宋体"/>
          <w:color w:val="auto"/>
          <w:sz w:val="24"/>
          <w:szCs w:val="24"/>
          <w:highlight w:val="none"/>
        </w:rPr>
      </w:r>
      <w:r/>
    </w:p>
    <w:p>
      <w:pPr>
        <w:pStyle w:val="920"/>
        <w:ind w:firstLine="480"/>
        <w:spacing w:line="360" w:lineRule="auto"/>
        <w:rPr>
          <w:rFonts w:hAnsi="宋体" w:cs="宋体"/>
          <w:color w:val="auto"/>
          <w:sz w:val="24"/>
          <w:szCs w:val="24"/>
          <w:highlight w:val="none"/>
        </w:rPr>
      </w:pPr>
      <w:r>
        <w:rPr>
          <w:rFonts w:hAnsi="宋体" w:cs="宋体"/>
          <w:color w:val="auto"/>
          <w:sz w:val="24"/>
          <w:szCs w:val="24"/>
          <w:highlight w:val="none"/>
        </w:rPr>
      </w:r>
      <w:r/>
    </w:p>
    <w:p>
      <w:pPr>
        <w:pStyle w:val="920"/>
        <w:ind w:firstLine="480"/>
        <w:spacing w:line="360" w:lineRule="auto"/>
        <w:rPr>
          <w:rFonts w:hAnsi="宋体" w:cs="宋体"/>
          <w:color w:val="auto"/>
          <w:sz w:val="24"/>
          <w:szCs w:val="24"/>
          <w:highlight w:val="none"/>
        </w:rPr>
      </w:pPr>
      <w:r>
        <w:rPr>
          <w:rFonts w:hAnsi="宋体" w:cs="宋体"/>
          <w:color w:val="auto"/>
          <w:sz w:val="24"/>
          <w:szCs w:val="24"/>
          <w:highlight w:val="none"/>
        </w:rPr>
      </w:r>
      <w:r/>
    </w:p>
    <w:p>
      <w:pPr>
        <w:pStyle w:val="920"/>
        <w:spacing w:line="360" w:lineRule="auto"/>
        <w:rPr>
          <w:rFonts w:hAnsi="宋体" w:cs="宋体"/>
          <w:color w:val="auto"/>
          <w:sz w:val="24"/>
          <w:szCs w:val="24"/>
          <w:highlight w:val="none"/>
        </w:rPr>
      </w:pPr>
      <w:r>
        <w:rPr>
          <w:rFonts w:hint="eastAsia" w:hAnsi="宋体" w:cs="宋体"/>
          <w:color w:val="auto"/>
          <w:sz w:val="24"/>
          <w:szCs w:val="24"/>
          <w:highlight w:val="none"/>
        </w:rPr>
        <w:br w:type="page" w:clear="all"/>
      </w:r>
      <w:r>
        <w:rPr>
          <w:rFonts w:hint="eastAsia" w:hAnsi="宋体" w:cs="宋体"/>
          <w:b/>
          <w:bCs/>
          <w:color w:val="auto"/>
          <w:sz w:val="24"/>
          <w:szCs w:val="24"/>
          <w:highlight w:val="none"/>
        </w:rPr>
        <w:t xml:space="preserve">2、（投标方）法定代表人授权委托书</w:t>
      </w:r>
      <w:r/>
    </w:p>
    <w:p>
      <w:pPr>
        <w:pStyle w:val="883"/>
        <w:ind w:firstLine="480"/>
        <w:jc w:val="both"/>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本授权委托书声明：我</w:t>
      </w:r>
      <w:r>
        <w:rPr>
          <w:rFonts w:hint="eastAsia" w:ascii="宋体" w:hAnsi="宋体" w:cs="宋体"/>
          <w:color w:val="auto"/>
          <w:sz w:val="24"/>
          <w:szCs w:val="24"/>
          <w:highlight w:val="none"/>
          <w:u w:val="single"/>
        </w:rPr>
        <w:t xml:space="preserve">（姓名）</w:t>
      </w:r>
      <w:r>
        <w:rPr>
          <w:rFonts w:hint="eastAsia" w:ascii="宋体" w:hAnsi="宋体" w:cs="宋体"/>
          <w:color w:val="auto"/>
          <w:sz w:val="24"/>
          <w:szCs w:val="24"/>
          <w:highlight w:val="none"/>
        </w:rPr>
        <w:t xml:space="preserve">系</w:t>
      </w:r>
      <w:r>
        <w:rPr>
          <w:rFonts w:hint="eastAsia" w:ascii="宋体" w:hAnsi="宋体" w:cs="宋体"/>
          <w:color w:val="auto"/>
          <w:sz w:val="24"/>
          <w:szCs w:val="24"/>
          <w:highlight w:val="none"/>
          <w:u w:val="single"/>
        </w:rPr>
        <w:t xml:space="preserve">（单位名称）</w:t>
      </w:r>
      <w:r>
        <w:rPr>
          <w:rFonts w:hint="eastAsia" w:ascii="宋体" w:hAnsi="宋体" w:cs="宋体"/>
          <w:color w:val="auto"/>
          <w:sz w:val="24"/>
          <w:szCs w:val="24"/>
          <w:highlight w:val="none"/>
        </w:rPr>
        <w:t xml:space="preserve">的法定代表人，现授权委托</w:t>
      </w:r>
      <w:r>
        <w:rPr>
          <w:rFonts w:hint="eastAsia" w:ascii="宋体" w:hAnsi="宋体" w:cs="宋体"/>
          <w:color w:val="auto"/>
          <w:sz w:val="24"/>
          <w:szCs w:val="24"/>
          <w:highlight w:val="none"/>
          <w:u w:val="single"/>
        </w:rPr>
        <w:t xml:space="preserve">（单位名称）</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（姓名）</w:t>
      </w:r>
      <w:r>
        <w:rPr>
          <w:rFonts w:hint="eastAsia" w:ascii="宋体" w:hAnsi="宋体" w:cs="宋体"/>
          <w:color w:val="auto"/>
          <w:sz w:val="24"/>
          <w:szCs w:val="24"/>
          <w:highlight w:val="none"/>
        </w:rPr>
        <w:t xml:space="preserve">为我公司代理人，并以本公司的名义在号</w:t>
      </w:r>
      <w:r>
        <w:rPr>
          <w:rFonts w:hint="eastAsia" w:ascii="宋体" w:hAnsi="宋体" w:cs="宋体"/>
          <w:color w:val="auto"/>
          <w:sz w:val="24"/>
          <w:szCs w:val="24"/>
          <w:highlight w:val="none"/>
          <w:u w:val="single"/>
        </w:rPr>
        <w:t xml:space="preserve">（采购编号）</w:t>
      </w:r>
      <w:r>
        <w:rPr>
          <w:rFonts w:hint="eastAsia" w:ascii="宋体" w:hAnsi="宋体" w:cs="宋体"/>
          <w:color w:val="auto"/>
          <w:sz w:val="24"/>
          <w:szCs w:val="24"/>
          <w:highlight w:val="none"/>
        </w:rPr>
        <w:t xml:space="preserve">采购项目的开标、评标和合同签订过程中所签署的一切文件和处理与这有关的一切事务，我公司均予以承认。</w:t>
      </w:r>
      <w:r/>
    </w:p>
    <w:p>
      <w:pPr>
        <w:pStyle w:val="883"/>
        <w:ind w:firstLine="0"/>
        <w:jc w:val="both"/>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代理人在授权委托书有效期内签署的所有文件不因授权委托的撤销而失效，除非有撤销授权委托的书面通知，本授权委托书有效期自投标文件提交开始至合同履行完毕止。</w:t>
      </w:r>
      <w:r/>
    </w:p>
    <w:p>
      <w:pPr>
        <w:pStyle w:val="883"/>
        <w:ind w:firstLine="0"/>
        <w:jc w:val="both"/>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代理人无转委托权。特此委托。</w:t>
      </w:r>
      <w:r/>
    </w:p>
    <w:p>
      <w:pPr>
        <w:pStyle w:val="920"/>
        <w:spacing w:line="360" w:lineRule="auto"/>
        <w:rPr>
          <w:rFonts w:hAnsi="宋体" w:cs="宋体"/>
          <w:color w:val="auto"/>
          <w:sz w:val="24"/>
          <w:szCs w:val="24"/>
          <w:highlight w:val="none"/>
        </w:rPr>
      </w:pPr>
      <w:r>
        <w:rPr>
          <w:rFonts w:hint="eastAsia" w:hAnsi="宋体" w:cs="宋体"/>
          <w:color w:val="auto"/>
          <w:sz w:val="24"/>
          <w:szCs w:val="24"/>
          <w:highlight w:val="none"/>
        </w:rPr>
        <w:t xml:space="preserve">    投标人（单位盖章）：</w:t>
      </w:r>
      <w:r/>
    </w:p>
    <w:p>
      <w:pPr>
        <w:pStyle w:val="883"/>
        <w:ind w:firstLine="0"/>
        <w:jc w:val="both"/>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法定代表人：（签字或盖章）</w:t>
      </w:r>
      <w:r/>
    </w:p>
    <w:p>
      <w:pPr>
        <w:pStyle w:val="883"/>
        <w:ind w:firstLine="0"/>
        <w:jc w:val="both"/>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代理人：（签字或盖章）</w:t>
      </w:r>
      <w:r/>
    </w:p>
    <w:p>
      <w:pPr>
        <w:pStyle w:val="920"/>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日期：     年     月     日</w:t>
      </w:r>
      <w:r/>
    </w:p>
    <w:p>
      <w:pPr>
        <w:pStyle w:val="883"/>
        <w:ind w:firstLine="48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注：本授权委托书仅限于法人性质投标人投标，投标文件中必须提供法定代表人和代理人身份证复印件。非法人性质投标人投标，授权委托书格式自拟，但必须同时提供受托双方身份证复印件。</w:t>
      </w:r>
      <w:r/>
    </w:p>
    <w:p>
      <w:pPr>
        <w:pStyle w:val="883"/>
        <w:ind w:firstLine="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887"/>
        <w:spacing w:line="360" w:lineRule="auto"/>
        <w:rPr>
          <w:rFonts w:hAnsi="宋体" w:cs="宋体"/>
          <w:b/>
          <w:color w:val="auto"/>
          <w:sz w:val="24"/>
          <w:szCs w:val="24"/>
          <w:highlight w:val="none"/>
        </w:rPr>
      </w:pPr>
      <w:r>
        <w:rPr>
          <w:rFonts w:hint="eastAsia" w:hAnsi="宋体" w:cs="宋体"/>
          <w:color w:val="auto"/>
          <w:sz w:val="24"/>
          <w:szCs w:val="24"/>
          <w:highlight w:val="none"/>
        </w:rPr>
        <w:br w:type="page" w:clear="all"/>
      </w:r>
      <w:r>
        <w:rPr>
          <w:rFonts w:hint="eastAsia" w:hAnsi="宋体" w:cs="宋体"/>
          <w:b/>
          <w:color w:val="auto"/>
          <w:sz w:val="24"/>
          <w:szCs w:val="24"/>
          <w:highlight w:val="none"/>
        </w:rPr>
        <w:t xml:space="preserve">3、开标一览表</w:t>
      </w:r>
      <w:r/>
    </w:p>
    <w:tbl>
      <w:tblPr>
        <w:tblStyle w:val="880"/>
        <w:tblW w:w="95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3"/>
        <w:gridCol w:w="1730"/>
        <w:gridCol w:w="2268"/>
        <w:gridCol w:w="2268"/>
        <w:gridCol w:w="1833"/>
      </w:tblGrid>
      <w:tr>
        <w:trPr>
          <w:jc w:val="center"/>
          <w:trHeight w:val="427"/>
        </w:trPr>
        <w:tc>
          <w:tcPr>
            <w:tcW w:w="1473" w:type="dxa"/>
            <w:vAlign w:val="center"/>
            <w:textDirection w:val="lrTb"/>
            <w:noWrap w:val="false"/>
          </w:tcPr>
          <w:p>
            <w:pPr>
              <w:pStyle w:val="887"/>
              <w:jc w:val="center"/>
              <w:spacing w:line="360" w:lineRule="auto"/>
              <w:rPr>
                <w:rFonts w:hAnsi="宋体" w:cs="宋体"/>
                <w:color w:val="auto"/>
                <w:sz w:val="24"/>
                <w:szCs w:val="24"/>
                <w:highlight w:val="none"/>
              </w:rPr>
            </w:pPr>
            <w:r>
              <w:rPr>
                <w:rFonts w:hint="eastAsia" w:hAnsi="宋体" w:cs="宋体"/>
                <w:color w:val="auto"/>
                <w:sz w:val="24"/>
                <w:szCs w:val="24"/>
                <w:highlight w:val="none"/>
              </w:rPr>
              <w:t xml:space="preserve">序号</w:t>
            </w:r>
            <w:r/>
          </w:p>
        </w:tc>
        <w:tc>
          <w:tcPr>
            <w:tcW w:w="1730" w:type="dxa"/>
            <w:vAlign w:val="center"/>
            <w:textDirection w:val="lrTb"/>
            <w:noWrap w:val="false"/>
          </w:tcPr>
          <w:p>
            <w:pPr>
              <w:pStyle w:val="887"/>
              <w:jc w:val="center"/>
              <w:spacing w:line="360" w:lineRule="auto"/>
              <w:rPr>
                <w:rFonts w:hAnsi="宋体" w:cs="宋体"/>
                <w:color w:val="auto"/>
                <w:sz w:val="24"/>
                <w:szCs w:val="24"/>
                <w:highlight w:val="none"/>
              </w:rPr>
            </w:pPr>
            <w:r>
              <w:rPr>
                <w:rFonts w:hint="eastAsia" w:hAnsi="宋体" w:cs="宋体"/>
                <w:color w:val="auto"/>
                <w:sz w:val="24"/>
                <w:szCs w:val="24"/>
                <w:highlight w:val="none"/>
              </w:rPr>
              <w:t xml:space="preserve">采购内容</w:t>
            </w:r>
            <w:r/>
          </w:p>
        </w:tc>
        <w:tc>
          <w:tcPr>
            <w:tcW w:w="2268" w:type="dxa"/>
            <w:vAlign w:val="center"/>
            <w:textDirection w:val="lrTb"/>
            <w:noWrap w:val="false"/>
          </w:tcPr>
          <w:p>
            <w:pPr>
              <w:pStyle w:val="887"/>
              <w:jc w:val="center"/>
              <w:spacing w:line="360" w:lineRule="auto"/>
              <w:rPr>
                <w:rFonts w:hAnsi="宋体" w:cs="宋体"/>
                <w:color w:val="auto"/>
                <w:sz w:val="24"/>
                <w:szCs w:val="24"/>
                <w:highlight w:val="none"/>
              </w:rPr>
            </w:pPr>
            <w:r>
              <w:rPr>
                <w:rFonts w:hint="eastAsia" w:hAnsi="宋体" w:cs="宋体"/>
                <w:color w:val="auto"/>
                <w:sz w:val="24"/>
                <w:szCs w:val="24"/>
                <w:highlight w:val="none"/>
              </w:rPr>
              <w:t xml:space="preserve">投标总价</w:t>
            </w:r>
            <w:r/>
          </w:p>
        </w:tc>
        <w:tc>
          <w:tcPr>
            <w:tcW w:w="2268" w:type="dxa"/>
            <w:vAlign w:val="center"/>
            <w:textDirection w:val="lrTb"/>
            <w:noWrap w:val="false"/>
          </w:tcPr>
          <w:p>
            <w:pPr>
              <w:pStyle w:val="887"/>
              <w:jc w:val="center"/>
              <w:spacing w:line="360" w:lineRule="auto"/>
              <w:rPr>
                <w:rFonts w:hAnsi="宋体" w:cs="宋体"/>
                <w:color w:val="auto"/>
                <w:sz w:val="24"/>
                <w:szCs w:val="24"/>
                <w:highlight w:val="none"/>
              </w:rPr>
            </w:pPr>
            <w:r>
              <w:rPr>
                <w:rFonts w:hint="eastAsia" w:hAnsi="宋体" w:cs="宋体"/>
                <w:color w:val="auto"/>
                <w:sz w:val="24"/>
                <w:szCs w:val="24"/>
                <w:highlight w:val="none"/>
              </w:rPr>
              <w:t xml:space="preserve">服务期限</w:t>
            </w:r>
            <w:r/>
          </w:p>
        </w:tc>
        <w:tc>
          <w:tcPr>
            <w:tcW w:w="1833" w:type="dxa"/>
            <w:vAlign w:val="center"/>
            <w:textDirection w:val="lrTb"/>
            <w:noWrap w:val="false"/>
          </w:tcPr>
          <w:p>
            <w:pPr>
              <w:pStyle w:val="887"/>
              <w:jc w:val="center"/>
              <w:spacing w:line="360" w:lineRule="auto"/>
              <w:rPr>
                <w:rFonts w:hAnsi="宋体" w:cs="宋体"/>
                <w:color w:val="auto"/>
                <w:sz w:val="24"/>
                <w:szCs w:val="24"/>
                <w:highlight w:val="none"/>
              </w:rPr>
            </w:pPr>
            <w:r>
              <w:rPr>
                <w:rFonts w:hint="eastAsia" w:hAnsi="宋体" w:cs="宋体"/>
                <w:color w:val="auto"/>
                <w:sz w:val="24"/>
                <w:szCs w:val="24"/>
                <w:highlight w:val="none"/>
              </w:rPr>
              <w:t xml:space="preserve">备注</w:t>
            </w:r>
            <w:r/>
          </w:p>
        </w:tc>
      </w:tr>
      <w:tr>
        <w:trPr>
          <w:jc w:val="center"/>
        </w:trPr>
        <w:tc>
          <w:tcPr>
            <w:tcW w:w="1473"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73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268" w:type="dxa"/>
            <w:vAlign w:val="center"/>
            <w:textDirection w:val="lrTb"/>
            <w:noWrap w:val="false"/>
          </w:tcPr>
          <w:p>
            <w:pPr>
              <w:pStyle w:val="887"/>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2268" w:type="dxa"/>
            <w:vAlign w:val="center"/>
            <w:textDirection w:val="lrTb"/>
            <w:noWrap w:val="false"/>
          </w:tcPr>
          <w:p>
            <w:pPr>
              <w:pStyle w:val="887"/>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1833" w:type="dxa"/>
            <w:vAlign w:val="center"/>
            <w:textDirection w:val="lrTb"/>
            <w:noWrap w:val="false"/>
          </w:tcPr>
          <w:p>
            <w:pPr>
              <w:pStyle w:val="887"/>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Pr>
        <w:tc>
          <w:tcPr>
            <w:gridSpan w:val="5"/>
            <w:tcW w:w="9572" w:type="dxa"/>
            <w:vAlign w:val="center"/>
            <w:textDirection w:val="lrTb"/>
            <w:noWrap w:val="false"/>
          </w:tcPr>
          <w:p>
            <w:pPr>
              <w:pStyle w:val="887"/>
              <w:spacing w:line="360" w:lineRule="auto"/>
              <w:rPr>
                <w:rFonts w:hAnsi="宋体" w:cs="宋体"/>
                <w:color w:val="auto"/>
                <w:sz w:val="24"/>
                <w:szCs w:val="24"/>
                <w:highlight w:val="none"/>
              </w:rPr>
            </w:pPr>
            <w:r>
              <w:rPr>
                <w:rFonts w:hint="eastAsia" w:hAnsi="宋体" w:cs="宋体"/>
                <w:color w:val="auto"/>
                <w:sz w:val="24"/>
                <w:szCs w:val="24"/>
                <w:highlight w:val="none"/>
              </w:rPr>
              <w:t xml:space="preserve">投标总价：人民币</w:t>
            </w:r>
            <w:r>
              <w:rPr>
                <w:rFonts w:hint="eastAsia" w:hAnsi="宋体" w:cs="宋体"/>
                <w:color w:val="auto"/>
                <w:sz w:val="24"/>
                <w:szCs w:val="24"/>
                <w:highlight w:val="none"/>
                <w:u w:val="single"/>
              </w:rPr>
              <w:t xml:space="preserve">（大写）           </w:t>
            </w:r>
            <w:r>
              <w:rPr>
                <w:rFonts w:hint="eastAsia" w:hAnsi="宋体" w:cs="宋体"/>
                <w:color w:val="auto"/>
                <w:sz w:val="24"/>
                <w:szCs w:val="24"/>
                <w:highlight w:val="none"/>
              </w:rPr>
              <w:t xml:space="preserve">元整</w:t>
            </w:r>
            <w:r/>
          </w:p>
        </w:tc>
      </w:tr>
    </w:tbl>
    <w:p>
      <w:pPr>
        <w:pStyle w:val="887"/>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    注：如未按照本表规定格式提供，则按无效投标报价的投标文件处理。</w:t>
      </w:r>
      <w:r/>
    </w:p>
    <w:p>
      <w:pPr>
        <w:pStyle w:val="887"/>
        <w:spacing w:line="360" w:lineRule="auto"/>
        <w:rPr>
          <w:rFonts w:hAnsi="宋体" w:cs="宋体"/>
          <w:color w:val="auto"/>
          <w:sz w:val="24"/>
          <w:szCs w:val="24"/>
          <w:highlight w:val="none"/>
        </w:rPr>
      </w:pPr>
      <w:r>
        <w:rPr>
          <w:rFonts w:hint="eastAsia" w:hAnsi="宋体" w:cs="宋体"/>
          <w:color w:val="auto"/>
          <w:sz w:val="24"/>
          <w:szCs w:val="24"/>
          <w:highlight w:val="none"/>
        </w:rPr>
        <w:t xml:space="preserve">    投标人（单位盖章）：</w:t>
      </w:r>
      <w:r/>
    </w:p>
    <w:p>
      <w:pPr>
        <w:pStyle w:val="887"/>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    法定代表人或代理人（签字或盖章）：</w:t>
      </w:r>
      <w:r/>
    </w:p>
    <w:p>
      <w:pPr>
        <w:pStyle w:val="920"/>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    日期：     年     月     日</w:t>
      </w:r>
      <w:r/>
    </w:p>
    <w:p>
      <w:pPr>
        <w:pStyle w:val="887"/>
        <w:jc w:val="left"/>
        <w:spacing w:line="360" w:lineRule="auto"/>
        <w:rPr>
          <w:rFonts w:hAnsi="宋体" w:cs="宋体"/>
          <w:color w:val="auto"/>
          <w:sz w:val="24"/>
          <w:szCs w:val="24"/>
          <w:highlight w:val="none"/>
        </w:rPr>
      </w:pPr>
      <w:r>
        <w:rPr>
          <w:rFonts w:hint="eastAsia" w:hAnsi="宋体" w:cs="宋体"/>
          <w:color w:val="auto"/>
          <w:sz w:val="24"/>
          <w:szCs w:val="24"/>
          <w:highlight w:val="none"/>
        </w:rPr>
        <w:br w:type="page" w:clear="all"/>
      </w:r>
      <w:r>
        <w:rPr>
          <w:rFonts w:hint="eastAsia" w:hAnsi="宋体" w:cs="宋体"/>
          <w:b/>
          <w:bCs/>
          <w:color w:val="auto"/>
          <w:sz w:val="24"/>
          <w:szCs w:val="24"/>
          <w:highlight w:val="none"/>
        </w:rPr>
        <w:t xml:space="preserve">4、投标报价明细表</w:t>
      </w:r>
      <w:r/>
    </w:p>
    <w:tbl>
      <w:tblPr>
        <w:tblStyle w:val="880"/>
        <w:tblW w:w="9386"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59"/>
        <w:gridCol w:w="1680"/>
        <w:gridCol w:w="829"/>
        <w:gridCol w:w="735"/>
        <w:gridCol w:w="735"/>
        <w:gridCol w:w="690"/>
        <w:gridCol w:w="675"/>
        <w:gridCol w:w="773"/>
        <w:gridCol w:w="840"/>
        <w:gridCol w:w="735"/>
        <w:gridCol w:w="735"/>
      </w:tblGrid>
      <w:tr>
        <w:trPr>
          <w:trHeight w:val="534"/>
        </w:trPr>
        <w:tc>
          <w:tcPr>
            <w:tcBorders>
              <w:top w:val="single" w:color="auto" w:sz="4" w:space="0"/>
              <w:bottom w:val="single" w:color="auto" w:sz="4" w:space="0"/>
              <w:right w:val="single" w:color="auto" w:sz="4" w:space="0"/>
            </w:tcBorders>
            <w:tcW w:w="959" w:type="dxa"/>
            <w:vAlign w:val="center"/>
            <w:textDirection w:val="lrTb"/>
            <w:noWrap w:val="false"/>
          </w:tcPr>
          <w:p>
            <w:pPr>
              <w:jc w:val="center"/>
              <w:spacing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spacing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条目</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400" w:lineRule="exact"/>
              <w:rPr>
                <w:rFonts w:ascii="宋体" w:hAnsi="宋体" w:cs="宋体"/>
                <w:b/>
                <w:color w:val="auto"/>
                <w:sz w:val="24"/>
                <w:szCs w:val="24"/>
                <w:highlight w:val="none"/>
              </w:rPr>
            </w:pPr>
            <w:r>
              <w:rPr>
                <w:rFonts w:ascii="宋体" w:hAnsi="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00" w:lineRule="exact"/>
              <w:rPr>
                <w:rFonts w:ascii="宋体" w:hAnsi="宋体" w:cs="宋体"/>
                <w:b/>
                <w:color w:val="auto"/>
                <w:sz w:val="24"/>
                <w:szCs w:val="24"/>
                <w:highlight w:val="none"/>
              </w:rPr>
            </w:pPr>
            <w:r>
              <w:rPr>
                <w:rFonts w:ascii="宋体" w:hAnsi="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00" w:lineRule="exact"/>
              <w:rPr>
                <w:rFonts w:ascii="宋体" w:hAnsi="宋体" w:cs="宋体"/>
                <w:b/>
                <w:color w:val="auto"/>
                <w:sz w:val="24"/>
                <w:szCs w:val="24"/>
                <w:highlight w:val="none"/>
              </w:rPr>
            </w:pPr>
            <w:r>
              <w:rPr>
                <w:rFonts w:ascii="宋体" w:hAnsi="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400" w:lineRule="exact"/>
              <w:rPr>
                <w:rFonts w:ascii="宋体" w:hAnsi="宋体" w:cs="宋体"/>
                <w:b/>
                <w:color w:val="auto"/>
                <w:sz w:val="24"/>
                <w:szCs w:val="24"/>
                <w:highlight w:val="none"/>
              </w:rPr>
            </w:pPr>
            <w:r>
              <w:rPr>
                <w:rFonts w:ascii="宋体" w:hAnsi="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ascii="宋体" w:hAnsi="宋体" w:cs="宋体"/>
                <w:b/>
                <w:color w:val="auto"/>
                <w:sz w:val="24"/>
                <w:szCs w:val="24"/>
                <w:highlight w:val="none"/>
              </w:rPr>
            </w:pPr>
            <w:r>
              <w:rPr>
                <w:rFonts w:ascii="宋体" w:hAnsi="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400" w:lineRule="exact"/>
              <w:rPr>
                <w:rFonts w:ascii="宋体" w:hAnsi="宋体" w:cs="宋体"/>
                <w:b/>
                <w:color w:val="auto"/>
                <w:sz w:val="24"/>
                <w:szCs w:val="24"/>
                <w:highlight w:val="none"/>
              </w:rPr>
            </w:pPr>
            <w:r>
              <w:rPr>
                <w:rFonts w:ascii="宋体" w:hAnsi="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spacing w:line="400" w:lineRule="exact"/>
              <w:rPr>
                <w:rFonts w:ascii="宋体" w:hAnsi="宋体" w:cs="宋体"/>
                <w:b/>
                <w:color w:val="auto"/>
                <w:sz w:val="24"/>
                <w:szCs w:val="24"/>
                <w:highlight w:val="none"/>
              </w:rPr>
            </w:pPr>
            <w:r>
              <w:rPr>
                <w:rFonts w:ascii="宋体" w:hAnsi="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00" w:lineRule="exact"/>
              <w:rPr>
                <w:rFonts w:ascii="宋体" w:hAnsi="宋体" w:cs="宋体"/>
                <w:b/>
                <w:color w:val="auto"/>
                <w:sz w:val="24"/>
                <w:szCs w:val="24"/>
                <w:highlight w:val="none"/>
              </w:rPr>
            </w:pPr>
            <w:r>
              <w:rPr>
                <w:rFonts w:ascii="宋体" w:hAnsi="宋体" w:cs="宋体"/>
                <w:b/>
                <w:color w:val="auto"/>
                <w:sz w:val="24"/>
                <w:szCs w:val="24"/>
                <w:highlight w:val="none"/>
              </w:rPr>
            </w:r>
            <w:r/>
          </w:p>
        </w:tc>
        <w:tc>
          <w:tcPr>
            <w:tcBorders>
              <w:top w:val="single" w:color="auto" w:sz="4" w:space="0"/>
              <w:left w:val="single" w:color="auto" w:sz="4" w:space="0"/>
              <w:bottom w:val="single" w:color="auto" w:sz="4" w:space="0"/>
            </w:tcBorders>
            <w:tcW w:w="735" w:type="dxa"/>
            <w:vAlign w:val="center"/>
            <w:textDirection w:val="lrTb"/>
            <w:noWrap w:val="false"/>
          </w:tcPr>
          <w:p>
            <w:pPr>
              <w:jc w:val="center"/>
              <w:spacing w:line="400" w:lineRule="exact"/>
              <w:rPr>
                <w:rFonts w:ascii="宋体" w:hAnsi="宋体" w:cs="宋体"/>
                <w:b/>
                <w:color w:val="auto"/>
                <w:sz w:val="24"/>
                <w:szCs w:val="24"/>
                <w:highlight w:val="none"/>
              </w:rPr>
            </w:pPr>
            <w:r>
              <w:rPr>
                <w:rFonts w:ascii="宋体" w:hAnsi="宋体" w:cs="宋体"/>
                <w:b/>
                <w:color w:val="auto"/>
                <w:sz w:val="24"/>
                <w:szCs w:val="24"/>
                <w:highlight w:val="none"/>
              </w:rPr>
            </w:r>
            <w:r/>
          </w:p>
        </w:tc>
      </w:tr>
      <w:tr>
        <w:trPr>
          <w:trHeight w:val="463"/>
        </w:trPr>
        <w:tc>
          <w:tcPr>
            <w:tcBorders>
              <w:top w:val="single" w:color="auto" w:sz="4" w:space="0"/>
              <w:bottom w:val="single" w:color="auto" w:sz="4" w:space="0"/>
              <w:right w:val="single" w:color="auto" w:sz="4" w:space="0"/>
            </w:tcBorders>
            <w:tcW w:w="959"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人工成本</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tcBorders>
            <w:tcW w:w="735"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trHeight w:val="360"/>
        </w:trPr>
        <w:tc>
          <w:tcPr>
            <w:tcBorders>
              <w:top w:val="single" w:color="auto" w:sz="4" w:space="0"/>
              <w:bottom w:val="single" w:color="auto" w:sz="4" w:space="0"/>
              <w:right w:val="single" w:color="auto" w:sz="4" w:space="0"/>
            </w:tcBorders>
            <w:tcW w:w="959"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劳动保险</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tcBorders>
            <w:tcW w:w="735" w:type="dxa"/>
            <w:vAlign w:val="center"/>
            <w:textDirection w:val="lrTb"/>
            <w:noWrap w:val="false"/>
          </w:tcPr>
          <w:p>
            <w:pP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trHeight w:val="360"/>
        </w:trPr>
        <w:tc>
          <w:tcPr>
            <w:tcBorders>
              <w:top w:val="single" w:color="auto" w:sz="4" w:space="0"/>
              <w:bottom w:val="single" w:color="auto" w:sz="4" w:space="0"/>
              <w:right w:val="single" w:color="auto" w:sz="4" w:space="0"/>
            </w:tcBorders>
            <w:tcW w:w="959"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服装</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tcBorders>
            <w:tcW w:w="735" w:type="dxa"/>
            <w:vAlign w:val="center"/>
            <w:textDirection w:val="lrTb"/>
            <w:noWrap w:val="false"/>
          </w:tcPr>
          <w:p>
            <w:pP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trHeight w:val="360"/>
        </w:trPr>
        <w:tc>
          <w:tcPr>
            <w:tcBorders>
              <w:top w:val="single" w:color="auto" w:sz="4" w:space="0"/>
              <w:bottom w:val="single" w:color="auto" w:sz="4" w:space="0"/>
              <w:right w:val="single" w:color="auto" w:sz="4" w:space="0"/>
            </w:tcBorders>
            <w:tcW w:w="959"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易耗品</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tcBorders>
            <w:tcW w:w="735" w:type="dxa"/>
            <w:vAlign w:val="center"/>
            <w:textDirection w:val="lrTb"/>
            <w:noWrap w:val="false"/>
          </w:tcPr>
          <w:p>
            <w:pP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trHeight w:val="360"/>
        </w:trPr>
        <w:tc>
          <w:tcPr>
            <w:tcBorders>
              <w:top w:val="single" w:color="auto" w:sz="4" w:space="0"/>
              <w:bottom w:val="single" w:color="auto" w:sz="4" w:space="0"/>
              <w:right w:val="single" w:color="auto" w:sz="4" w:space="0"/>
            </w:tcBorders>
            <w:tcW w:w="959"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保险费</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tcBorders>
            <w:tcW w:w="735" w:type="dxa"/>
            <w:vAlign w:val="center"/>
            <w:textDirection w:val="lrTb"/>
            <w:noWrap w:val="false"/>
          </w:tcPr>
          <w:p>
            <w:pP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trHeight w:val="360"/>
        </w:trPr>
        <w:tc>
          <w:tcPr>
            <w:tcBorders>
              <w:top w:val="single" w:color="auto" w:sz="4" w:space="0"/>
              <w:bottom w:val="single" w:color="auto" w:sz="4" w:space="0"/>
              <w:right w:val="single" w:color="auto" w:sz="4" w:space="0"/>
            </w:tcBorders>
            <w:tcW w:w="959"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税金</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888"/>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tcBorders>
            <w:tcW w:w="735" w:type="dxa"/>
            <w:vAlign w:val="center"/>
            <w:textDirection w:val="lrTb"/>
            <w:noWrap w:val="false"/>
          </w:tcPr>
          <w:p>
            <w:pP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trHeight w:val="360"/>
        </w:trPr>
        <w:tc>
          <w:tcPr>
            <w:tcBorders>
              <w:top w:val="single" w:color="auto" w:sz="4" w:space="0"/>
              <w:bottom w:val="single" w:color="auto" w:sz="4" w:space="0"/>
              <w:right w:val="single" w:color="auto" w:sz="4" w:space="0"/>
            </w:tcBorders>
            <w:tcW w:w="959"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管理费</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tcBorders>
            <w:tcW w:w="735" w:type="dxa"/>
            <w:vAlign w:val="center"/>
            <w:textDirection w:val="lrTb"/>
            <w:noWrap w:val="false"/>
          </w:tcPr>
          <w:p>
            <w:pP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trHeight w:val="360"/>
        </w:trPr>
        <w:tc>
          <w:tcPr>
            <w:tcBorders>
              <w:top w:val="single" w:color="auto" w:sz="4" w:space="0"/>
              <w:bottom w:val="single" w:color="auto" w:sz="4" w:space="0"/>
              <w:right w:val="single" w:color="auto" w:sz="4" w:space="0"/>
            </w:tcBorders>
            <w:tcW w:w="959"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其他</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tcBorders>
            <w:tcW w:w="735" w:type="dxa"/>
            <w:vAlign w:val="center"/>
            <w:textDirection w:val="lrTb"/>
            <w:noWrap w:val="false"/>
          </w:tcPr>
          <w:p>
            <w:pP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trHeight w:val="360"/>
        </w:trPr>
        <w:tc>
          <w:tcPr>
            <w:tcBorders>
              <w:top w:val="single" w:color="auto" w:sz="4" w:space="0"/>
              <w:bottom w:val="single" w:color="auto" w:sz="4" w:space="0"/>
              <w:right w:val="single" w:color="auto" w:sz="4" w:space="0"/>
            </w:tcBorders>
            <w:tcW w:w="959"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tcBorders>
            <w:tcW w:w="735" w:type="dxa"/>
            <w:vAlign w:val="center"/>
            <w:textDirection w:val="lrTb"/>
            <w:noWrap w:val="false"/>
          </w:tcPr>
          <w:p>
            <w:pP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trHeight w:val="727"/>
        </w:trPr>
        <w:tc>
          <w:tcPr>
            <w:gridSpan w:val="3"/>
            <w:tcBorders>
              <w:top w:val="single" w:color="auto" w:sz="4" w:space="0"/>
              <w:bottom w:val="single" w:color="auto" w:sz="4" w:space="0"/>
              <w:right w:val="single" w:color="auto" w:sz="4" w:space="0"/>
            </w:tcBorders>
            <w:tcW w:w="3468" w:type="dxa"/>
            <w:vAlign w:val="center"/>
            <w:textDirection w:val="lrTb"/>
            <w:noWrap w:val="false"/>
          </w:tcPr>
          <w:p>
            <w:pPr>
              <w:ind w:firstLine="938"/>
              <w:spacing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合计 </w:t>
            </w:r>
            <w:r/>
          </w:p>
        </w:tc>
        <w:tc>
          <w:tcPr>
            <w:gridSpan w:val="8"/>
            <w:tcBorders>
              <w:top w:val="single" w:color="auto" w:sz="4" w:space="0"/>
              <w:left w:val="single" w:color="auto" w:sz="4" w:space="0"/>
              <w:bottom w:val="single" w:color="auto" w:sz="4" w:space="0"/>
            </w:tcBorders>
            <w:tcW w:w="5918" w:type="dxa"/>
            <w:vAlign w:val="center"/>
            <w:textDirection w:val="lrTb"/>
            <w:noWrap w:val="false"/>
          </w:tcPr>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大写：人民币</w:t>
            </w:r>
            <w:r/>
          </w:p>
        </w:tc>
      </w:tr>
    </w:tbl>
    <w:p>
      <w:pPr>
        <w:pStyle w:val="887"/>
        <w:rPr>
          <w:rFonts w:hAnsi="宋体" w:cs="宋体"/>
          <w:color w:val="auto"/>
          <w:sz w:val="24"/>
          <w:szCs w:val="24"/>
          <w:highlight w:val="none"/>
        </w:rPr>
      </w:pPr>
      <w:r>
        <w:rPr>
          <w:rFonts w:hint="eastAsia" w:hAnsi="宋体" w:cs="宋体"/>
          <w:color w:val="auto"/>
          <w:sz w:val="24"/>
          <w:szCs w:val="24"/>
          <w:highlight w:val="none"/>
        </w:rPr>
        <w:t xml:space="preserve">供应商：（单位盖章）</w:t>
      </w:r>
      <w:r/>
    </w:p>
    <w:p>
      <w:pPr>
        <w:pStyle w:val="887"/>
        <w:rPr>
          <w:rFonts w:hAnsi="宋体" w:cs="宋体"/>
          <w:color w:val="auto"/>
          <w:sz w:val="24"/>
          <w:szCs w:val="24"/>
          <w:highlight w:val="none"/>
        </w:rPr>
      </w:pPr>
      <w:r>
        <w:rPr>
          <w:rFonts w:hint="eastAsia" w:hAnsi="宋体" w:cs="宋体"/>
          <w:color w:val="auto"/>
          <w:sz w:val="24"/>
          <w:szCs w:val="24"/>
          <w:highlight w:val="none"/>
        </w:rPr>
        <w:t xml:space="preserve">法定代表人或代理人：（签字或盖章）</w:t>
      </w:r>
      <w:r/>
    </w:p>
    <w:p>
      <w:pPr>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pStyle w:val="887"/>
        <w:spacing w:line="400" w:lineRule="exact"/>
        <w:rPr>
          <w:rFonts w:hAnsi="宋体" w:cs="宋体"/>
          <w:color w:val="auto"/>
          <w:sz w:val="24"/>
          <w:szCs w:val="24"/>
          <w:highlight w:val="none"/>
        </w:rPr>
      </w:pPr>
      <w:r>
        <w:rPr>
          <w:rFonts w:hint="eastAsia" w:hAnsi="宋体" w:cs="宋体"/>
          <w:color w:val="auto"/>
          <w:sz w:val="24"/>
          <w:szCs w:val="24"/>
          <w:highlight w:val="none"/>
        </w:rPr>
        <w:t xml:space="preserve">说明：</w:t>
      </w:r>
      <w:r/>
    </w:p>
    <w:p>
      <w:pPr>
        <w:pStyle w:val="887"/>
        <w:ind w:firstLine="511"/>
        <w:spacing w:line="400" w:lineRule="exact"/>
        <w:rPr>
          <w:rFonts w:hAnsi="宋体" w:cs="宋体"/>
          <w:color w:val="auto"/>
          <w:sz w:val="24"/>
          <w:szCs w:val="24"/>
          <w:highlight w:val="none"/>
        </w:rPr>
      </w:pPr>
      <w:r>
        <w:rPr>
          <w:rFonts w:hint="eastAsia" w:hAnsi="宋体" w:cs="宋体"/>
          <w:color w:val="auto"/>
          <w:sz w:val="24"/>
          <w:szCs w:val="24"/>
          <w:highlight w:val="none"/>
        </w:rPr>
        <w:t xml:space="preserve">1、报价表包含响应单位各项成本核算和投入的成本明细（以整个服务期限计算），合计金额应与开标一览表投标总价一致；否则，以开标一览表为准。</w:t>
      </w:r>
      <w:r/>
    </w:p>
    <w:p>
      <w:pPr>
        <w:pStyle w:val="887"/>
        <w:ind w:firstLine="511"/>
        <w:spacing w:line="400" w:lineRule="exact"/>
        <w:rPr>
          <w:rFonts w:hAnsi="宋体" w:cs="宋体"/>
          <w:color w:val="auto"/>
          <w:sz w:val="24"/>
          <w:szCs w:val="24"/>
          <w:highlight w:val="none"/>
        </w:rPr>
      </w:pPr>
      <w:r>
        <w:rPr>
          <w:rFonts w:hint="eastAsia" w:hAnsi="宋体" w:cs="宋体"/>
          <w:color w:val="auto"/>
          <w:sz w:val="24"/>
          <w:szCs w:val="24"/>
          <w:highlight w:val="none"/>
        </w:rPr>
        <w:t xml:space="preserve">2、上述项的人员成本报价须包含但不限于人员工资、社保费用等，且所有人员的工资、社保待遇不得低于本项目服务所在地目前人均最低工资标准和社保缴费标准，否则其投标文件将被拒绝。</w:t>
      </w:r>
      <w:r/>
    </w:p>
    <w:p>
      <w:pPr>
        <w:pStyle w:val="887"/>
        <w:ind w:firstLine="511"/>
        <w:spacing w:line="400" w:lineRule="exact"/>
        <w:rPr>
          <w:rFonts w:hAnsi="宋体" w:cs="宋体"/>
          <w:color w:val="auto"/>
          <w:sz w:val="24"/>
          <w:szCs w:val="24"/>
          <w:highlight w:val="none"/>
        </w:rPr>
      </w:pPr>
      <w:r>
        <w:rPr>
          <w:rFonts w:hint="eastAsia" w:hAnsi="宋体" w:cs="宋体"/>
          <w:color w:val="auto"/>
          <w:sz w:val="24"/>
          <w:szCs w:val="24"/>
          <w:highlight w:val="none"/>
        </w:rPr>
        <w:t xml:space="preserve">3、相关条目举例：人工成本、劳动保险、服装等各项，各投标人根据本项目要求和投标单位自身情况不限于此，可自行添加。</w:t>
      </w:r>
      <w:r/>
    </w:p>
    <w:p>
      <w:pPr>
        <w:pStyle w:val="982"/>
        <w:spacing w:line="360" w:lineRule="auto"/>
        <w:rPr>
          <w:rFonts w:cs="宋体"/>
          <w:color w:val="auto"/>
          <w:sz w:val="24"/>
          <w:szCs w:val="24"/>
          <w:highlight w:val="none"/>
        </w:rPr>
      </w:pPr>
      <w:r>
        <w:rPr>
          <w:rFonts w:hint="eastAsia" w:cs="宋体"/>
          <w:color w:val="auto"/>
          <w:sz w:val="24"/>
          <w:szCs w:val="24"/>
          <w:highlight w:val="none"/>
        </w:rPr>
        <w:br w:type="page" w:clear="all"/>
      </w:r>
      <w:r>
        <w:rPr>
          <w:rFonts w:hint="eastAsia" w:cs="宋体"/>
          <w:b/>
          <w:bCs/>
          <w:color w:val="auto"/>
          <w:sz w:val="24"/>
          <w:szCs w:val="24"/>
          <w:highlight w:val="none"/>
        </w:rPr>
        <w:t xml:space="preserve">5、关于资格文件的声明函</w:t>
      </w:r>
      <w:r/>
    </w:p>
    <w:p>
      <w:pPr>
        <w:pStyle w:val="920"/>
        <w:spacing w:line="360" w:lineRule="auto"/>
        <w:rPr>
          <w:rFonts w:hAnsi="宋体" w:cs="宋体"/>
          <w:color w:val="auto"/>
          <w:sz w:val="24"/>
          <w:szCs w:val="24"/>
          <w:highlight w:val="none"/>
        </w:rPr>
      </w:pPr>
      <w:r>
        <w:rPr>
          <w:rFonts w:hint="eastAsia" w:hAnsi="宋体" w:cs="宋体"/>
          <w:color w:val="auto"/>
          <w:sz w:val="24"/>
          <w:szCs w:val="24"/>
          <w:highlight w:val="none"/>
        </w:rPr>
        <w:t xml:space="preserve">苏州正杰招投标咨询服务有限公司：</w:t>
      </w:r>
      <w:r/>
    </w:p>
    <w:p>
      <w:pPr>
        <w:pStyle w:val="920"/>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本公司愿就由贵公司组织实施的编号为号的招标活动进行投标。本公司所提交的投标文件中所有关于投标资格的文件、证明和陈述均是真实的、准确的和有效的。若与事实情况不符，本公司愿意承担由此而产生的一切后果。</w:t>
      </w:r>
      <w:r/>
    </w:p>
    <w:p>
      <w:pPr>
        <w:pStyle w:val="920"/>
        <w:spacing w:line="360" w:lineRule="auto"/>
        <w:rPr>
          <w:rFonts w:hAnsi="宋体" w:cs="宋体"/>
          <w:color w:val="auto"/>
          <w:sz w:val="24"/>
          <w:szCs w:val="24"/>
          <w:highlight w:val="none"/>
        </w:rPr>
      </w:pPr>
      <w:r>
        <w:rPr>
          <w:rFonts w:hint="eastAsia" w:hAnsi="宋体" w:cs="宋体"/>
          <w:color w:val="auto"/>
          <w:sz w:val="24"/>
          <w:szCs w:val="24"/>
          <w:highlight w:val="none"/>
        </w:rPr>
        <w:t xml:space="preserve">    投标人（单位盖章）：</w:t>
      </w:r>
      <w:r/>
    </w:p>
    <w:p>
      <w:pPr>
        <w:pStyle w:val="920"/>
        <w:spacing w:line="360" w:lineRule="auto"/>
        <w:rPr>
          <w:rFonts w:hAnsi="宋体" w:cs="宋体"/>
          <w:color w:val="auto"/>
          <w:sz w:val="24"/>
          <w:szCs w:val="24"/>
          <w:highlight w:val="none"/>
        </w:rPr>
      </w:pPr>
      <w:r>
        <w:rPr>
          <w:rFonts w:hint="eastAsia" w:hAnsi="宋体" w:cs="宋体"/>
          <w:color w:val="auto"/>
          <w:sz w:val="24"/>
          <w:szCs w:val="24"/>
          <w:highlight w:val="none"/>
        </w:rPr>
        <w:t xml:space="preserve">    法定代表人或代理人（签字或盖章）：</w:t>
      </w:r>
      <w:r/>
    </w:p>
    <w:p>
      <w:pPr>
        <w:pStyle w:val="920"/>
        <w:spacing w:line="360" w:lineRule="auto"/>
        <w:rPr>
          <w:rFonts w:hAnsi="宋体" w:cs="宋体"/>
          <w:color w:val="auto"/>
          <w:sz w:val="24"/>
          <w:szCs w:val="24"/>
          <w:highlight w:val="none"/>
        </w:rPr>
      </w:pPr>
      <w:r>
        <w:rPr>
          <w:rFonts w:hint="eastAsia" w:hAnsi="宋体" w:cs="宋体"/>
          <w:color w:val="auto"/>
          <w:sz w:val="24"/>
          <w:szCs w:val="24"/>
          <w:highlight w:val="none"/>
        </w:rPr>
        <w:t xml:space="preserve">    日期：     年     月     日</w:t>
      </w:r>
      <w:r/>
    </w:p>
    <w:p>
      <w:pPr>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br w:type="page" w:clear="all"/>
      </w:r>
      <w:r>
        <w:rPr>
          <w:rFonts w:hint="eastAsia" w:ascii="宋体" w:hAnsi="宋体" w:cs="宋体"/>
          <w:b/>
          <w:bCs/>
          <w:color w:val="auto"/>
          <w:sz w:val="24"/>
          <w:szCs w:val="24"/>
          <w:highlight w:val="none"/>
        </w:rPr>
        <w:t xml:space="preserve">6、投标人情况表</w:t>
      </w:r>
      <w:r/>
    </w:p>
    <w:tbl>
      <w:tblPr>
        <w:tblStyle w:val="880"/>
        <w:tblW w:w="95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07"/>
        <w:gridCol w:w="1287"/>
        <w:gridCol w:w="50"/>
        <w:gridCol w:w="463"/>
        <w:gridCol w:w="1112"/>
        <w:gridCol w:w="148"/>
        <w:gridCol w:w="1620"/>
        <w:gridCol w:w="973"/>
        <w:gridCol w:w="245"/>
        <w:gridCol w:w="1494"/>
      </w:tblGrid>
      <w:tr>
        <w:trPr>
          <w:jc w:val="center"/>
          <w:trHeight w:val="567"/>
        </w:trPr>
        <w:tc>
          <w:tcPr>
            <w:tcW w:w="2207"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单位名称（盖章）</w:t>
            </w:r>
            <w:r/>
          </w:p>
        </w:tc>
        <w:tc>
          <w:tcPr>
            <w:gridSpan w:val="3"/>
            <w:tcW w:w="180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gridSpan w:val="2"/>
            <w:tcW w:w="1260"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注册号</w:t>
            </w:r>
            <w:r/>
          </w:p>
        </w:tc>
        <w:tc>
          <w:tcPr>
            <w:tcW w:w="162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gridSpan w:val="2"/>
            <w:tcW w:w="1218"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电话</w:t>
            </w:r>
            <w:r/>
          </w:p>
        </w:tc>
        <w:tc>
          <w:tcPr>
            <w:tcW w:w="1494"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W w:w="2207"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企业地址</w:t>
            </w:r>
            <w:r/>
          </w:p>
        </w:tc>
        <w:tc>
          <w:tcPr>
            <w:gridSpan w:val="3"/>
            <w:tcW w:w="180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gridSpan w:val="2"/>
            <w:tcW w:w="1260"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注册资金</w:t>
            </w:r>
            <w:r/>
          </w:p>
        </w:tc>
        <w:tc>
          <w:tcPr>
            <w:tcW w:w="162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gridSpan w:val="2"/>
            <w:tcW w:w="1218"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传真</w:t>
            </w:r>
            <w:r/>
          </w:p>
        </w:tc>
        <w:tc>
          <w:tcPr>
            <w:tcW w:w="1494"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W w:w="2207"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单位简历及机构</w:t>
            </w:r>
            <w:r/>
          </w:p>
        </w:tc>
        <w:tc>
          <w:tcPr>
            <w:gridSpan w:val="9"/>
            <w:tcW w:w="7392"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W w:w="2207"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单位优势及特长</w:t>
            </w:r>
            <w:r/>
          </w:p>
        </w:tc>
        <w:tc>
          <w:tcPr>
            <w:gridSpan w:val="9"/>
            <w:tcW w:w="7392"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W w:w="2207" w:type="dxa"/>
            <w:vAlign w:val="center"/>
            <w:vMerge w:val="restart"/>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单位概况</w:t>
            </w:r>
            <w:r/>
          </w:p>
        </w:tc>
        <w:tc>
          <w:tcPr>
            <w:gridSpan w:val="2"/>
            <w:tcW w:w="1337"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职工总数</w:t>
            </w:r>
            <w:r/>
          </w:p>
        </w:tc>
        <w:tc>
          <w:tcPr>
            <w:gridSpan w:val="2"/>
            <w:tcW w:w="1575"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gridSpan w:val="3"/>
            <w:tcW w:w="2741"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其中：中级职称人员</w:t>
            </w:r>
            <w:r/>
          </w:p>
        </w:tc>
        <w:tc>
          <w:tcPr>
            <w:gridSpan w:val="2"/>
            <w:tcW w:w="1739"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W w:w="2207" w:type="dxa"/>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gridSpan w:val="9"/>
            <w:tcW w:w="7392"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资产总计：  万元；资产净值：  万元；股东权益：   万元</w:t>
            </w:r>
            <w:r/>
          </w:p>
        </w:tc>
      </w:tr>
      <w:tr>
        <w:trPr>
          <w:jc w:val="center"/>
          <w:trHeight w:val="567"/>
        </w:trPr>
        <w:tc>
          <w:tcPr>
            <w:tcW w:w="2207" w:type="dxa"/>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gridSpan w:val="9"/>
            <w:tcW w:w="7392"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营业面积（含厂房面积）：    ㎡，产权：    ㎡ / 承租：    ㎡</w:t>
            </w:r>
            <w:r/>
          </w:p>
        </w:tc>
      </w:tr>
      <w:tr>
        <w:trPr>
          <w:jc w:val="center"/>
          <w:trHeight w:val="567"/>
        </w:trPr>
        <w:tc>
          <w:tcPr>
            <w:tcW w:w="2207" w:type="dxa"/>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gridSpan w:val="9"/>
            <w:tcW w:w="7392"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销（零）售额：202</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年    万元；    年：    万元</w:t>
            </w:r>
            <w:r/>
          </w:p>
        </w:tc>
      </w:tr>
      <w:tr>
        <w:trPr>
          <w:jc w:val="center"/>
          <w:trHeight w:val="567"/>
        </w:trPr>
        <w:tc>
          <w:tcPr>
            <w:tcW w:w="2207" w:type="dxa"/>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gridSpan w:val="9"/>
            <w:tcW w:w="7392"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实现利润：202</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年    万元；    年：    万元</w:t>
            </w:r>
            <w:r/>
          </w:p>
        </w:tc>
      </w:tr>
      <w:tr>
        <w:trPr>
          <w:jc w:val="center"/>
          <w:trHeight w:val="567"/>
        </w:trPr>
        <w:tc>
          <w:tcPr>
            <w:tcW w:w="2207" w:type="dxa"/>
            <w:vAlign w:val="center"/>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1287"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主营项目</w:t>
            </w:r>
            <w:r/>
          </w:p>
        </w:tc>
        <w:tc>
          <w:tcPr>
            <w:gridSpan w:val="8"/>
            <w:tcW w:w="6105" w:type="dxa"/>
            <w:vAlign w:val="center"/>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67"/>
        </w:trPr>
        <w:tc>
          <w:tcPr>
            <w:tcW w:w="2207" w:type="dxa"/>
            <w:vAlign w:val="center"/>
            <w:textDirection w:val="lrTb"/>
            <w:noWrap w:val="false"/>
          </w:tcPr>
          <w:p>
            <w:pPr>
              <w:pStyle w:val="883"/>
              <w:ind w:firstLine="0"/>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其他情况说明</w:t>
            </w:r>
            <w:r/>
          </w:p>
        </w:tc>
        <w:tc>
          <w:tcPr>
            <w:gridSpan w:val="9"/>
            <w:tcW w:w="7392" w:type="dxa"/>
            <w:vAlign w:val="center"/>
            <w:textDirection w:val="lrTb"/>
            <w:noWrap w:val="false"/>
          </w:tcPr>
          <w:p>
            <w:pPr>
              <w:pStyle w:val="883"/>
              <w:ind w:firstLine="0"/>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（注：如有较大数额罚款须如实说明，否则一经查实将按《中华人民共和国政府采购法》第七十七条的相关办法处理）</w:t>
            </w:r>
            <w:r/>
          </w:p>
        </w:tc>
      </w:tr>
    </w:tbl>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br w:type="page" w:clear="all"/>
      </w:r>
      <w:r>
        <w:rPr>
          <w:rFonts w:hint="eastAsia" w:ascii="宋体" w:hAnsi="宋体" w:cs="宋体"/>
          <w:b/>
          <w:bCs/>
          <w:color w:val="auto"/>
          <w:sz w:val="24"/>
          <w:szCs w:val="24"/>
          <w:highlight w:val="none"/>
        </w:rPr>
        <w:t xml:space="preserve">7、投标人资格条件承诺函</w:t>
      </w:r>
      <w:r/>
    </w:p>
    <w:tbl>
      <w:tblPr>
        <w:tblStyle w:val="880"/>
        <w:tblpPr w:horzAnchor="text" w:tblpXSpec="center" w:vertAnchor="text" w:tblpY="1" w:leftFromText="180" w:topFromText="0" w:rightFromText="180" w:bottomFromText="0"/>
        <w:tblW w:w="96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2"/>
        <w:gridCol w:w="4877"/>
        <w:gridCol w:w="3662"/>
      </w:tblGrid>
      <w:tr>
        <w:trPr>
          <w:trHeight w:val="567"/>
        </w:trPr>
        <w:tc>
          <w:tcPr>
            <w:tcW w:w="1072" w:type="dxa"/>
            <w:vAlign w:val="center"/>
            <w:textDirection w:val="lrTb"/>
            <w:noWrap w:val="false"/>
          </w:tcPr>
          <w:p>
            <w:pPr>
              <w:pStyle w:val="883"/>
              <w:ind w:firstLine="0"/>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4877" w:type="dxa"/>
            <w:vAlign w:val="center"/>
            <w:textDirection w:val="lrTb"/>
            <w:noWrap w:val="false"/>
          </w:tcPr>
          <w:p>
            <w:pPr>
              <w:pStyle w:val="883"/>
              <w:ind w:firstLine="0"/>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承诺事项</w:t>
            </w:r>
            <w:r/>
          </w:p>
        </w:tc>
        <w:tc>
          <w:tcPr>
            <w:tcW w:w="3662" w:type="dxa"/>
            <w:vAlign w:val="center"/>
            <w:textDirection w:val="lrTb"/>
            <w:noWrap w:val="false"/>
          </w:tcPr>
          <w:p>
            <w:pPr>
              <w:pStyle w:val="883"/>
              <w:ind w:firstLine="0"/>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承诺内容（填：“实质性响应”或 “未实质性响应”）</w:t>
            </w:r>
            <w:r/>
          </w:p>
        </w:tc>
      </w:tr>
      <w:tr>
        <w:trPr>
          <w:trHeight w:val="567"/>
        </w:trPr>
        <w:tc>
          <w:tcPr>
            <w:gridSpan w:val="3"/>
            <w:tcW w:w="9611" w:type="dxa"/>
            <w:vAlign w:val="center"/>
            <w:textDirection w:val="lrTb"/>
            <w:noWrap w:val="false"/>
          </w:tcPr>
          <w:p>
            <w:pPr>
              <w:pStyle w:val="883"/>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（一）合格投标人的一般条件</w:t>
            </w:r>
            <w:r/>
          </w:p>
        </w:tc>
      </w:tr>
      <w:tr>
        <w:trPr>
          <w:trHeight w:val="567"/>
        </w:trPr>
        <w:tc>
          <w:tcPr>
            <w:tcW w:w="1072" w:type="dxa"/>
            <w:vAlign w:val="center"/>
            <w:textDirection w:val="lrTb"/>
            <w:noWrap w:val="false"/>
          </w:tcPr>
          <w:p>
            <w:pPr>
              <w:pStyle w:val="883"/>
              <w:ind w:firstLine="0"/>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4877"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具有独立承担民事责任的能力</w:t>
            </w:r>
            <w:r/>
          </w:p>
        </w:tc>
        <w:tc>
          <w:tcPr>
            <w:tcW w:w="3662" w:type="dxa"/>
            <w:vAlign w:val="center"/>
            <w:textDirection w:val="lrTb"/>
            <w:noWrap w:val="false"/>
          </w:tcPr>
          <w:p>
            <w:pPr>
              <w:pStyle w:val="883"/>
              <w:ind w:firstLine="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567"/>
        </w:trPr>
        <w:tc>
          <w:tcPr>
            <w:tcW w:w="1072" w:type="dxa"/>
            <w:vAlign w:val="center"/>
            <w:textDirection w:val="lrTb"/>
            <w:noWrap w:val="false"/>
          </w:tcPr>
          <w:p>
            <w:pPr>
              <w:pStyle w:val="883"/>
              <w:ind w:firstLine="0"/>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4877"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具有良好的商业信誉和健全的财务会计制度</w:t>
            </w:r>
            <w:r/>
          </w:p>
        </w:tc>
        <w:tc>
          <w:tcPr>
            <w:tcW w:w="3662" w:type="dxa"/>
            <w:vAlign w:val="center"/>
            <w:textDirection w:val="lrTb"/>
            <w:noWrap w:val="false"/>
          </w:tcPr>
          <w:p>
            <w:pPr>
              <w:pStyle w:val="883"/>
              <w:ind w:firstLine="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567"/>
        </w:trPr>
        <w:tc>
          <w:tcPr>
            <w:tcW w:w="1072" w:type="dxa"/>
            <w:vAlign w:val="center"/>
            <w:textDirection w:val="lrTb"/>
            <w:noWrap w:val="false"/>
          </w:tcPr>
          <w:p>
            <w:pPr>
              <w:pStyle w:val="883"/>
              <w:ind w:firstLine="0"/>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4877"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具有履行合同所必需的设备和专业技术能力</w:t>
            </w:r>
            <w:r/>
          </w:p>
        </w:tc>
        <w:tc>
          <w:tcPr>
            <w:tcW w:w="3662" w:type="dxa"/>
            <w:vAlign w:val="center"/>
            <w:textDirection w:val="lrTb"/>
            <w:noWrap w:val="false"/>
          </w:tcPr>
          <w:p>
            <w:pPr>
              <w:pStyle w:val="883"/>
              <w:ind w:firstLine="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567"/>
        </w:trPr>
        <w:tc>
          <w:tcPr>
            <w:tcW w:w="1072" w:type="dxa"/>
            <w:vAlign w:val="center"/>
            <w:textDirection w:val="lrTb"/>
            <w:noWrap w:val="false"/>
          </w:tcPr>
          <w:p>
            <w:pPr>
              <w:pStyle w:val="883"/>
              <w:ind w:firstLine="0"/>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4877"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有依法缴纳税收和社会保障资金的良好记录</w:t>
            </w:r>
            <w:r/>
          </w:p>
        </w:tc>
        <w:tc>
          <w:tcPr>
            <w:tcW w:w="3662" w:type="dxa"/>
            <w:vAlign w:val="center"/>
            <w:textDirection w:val="lrTb"/>
            <w:noWrap w:val="false"/>
          </w:tcPr>
          <w:p>
            <w:pPr>
              <w:pStyle w:val="883"/>
              <w:ind w:firstLine="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567"/>
        </w:trPr>
        <w:tc>
          <w:tcPr>
            <w:tcW w:w="1072" w:type="dxa"/>
            <w:vAlign w:val="center"/>
            <w:textDirection w:val="lrTb"/>
            <w:noWrap w:val="false"/>
          </w:tcPr>
          <w:p>
            <w:pPr>
              <w:pStyle w:val="883"/>
              <w:ind w:firstLine="0"/>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4877"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参加政府采购活动前三年内，在经营活动中没有重大违法记录</w:t>
            </w:r>
            <w:r/>
          </w:p>
        </w:tc>
        <w:tc>
          <w:tcPr>
            <w:tcW w:w="3662" w:type="dxa"/>
            <w:vAlign w:val="center"/>
            <w:textDirection w:val="lrTb"/>
            <w:noWrap w:val="false"/>
          </w:tcPr>
          <w:p>
            <w:pPr>
              <w:pStyle w:val="883"/>
              <w:ind w:firstLine="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567"/>
        </w:trPr>
        <w:tc>
          <w:tcPr>
            <w:tcW w:w="1072" w:type="dxa"/>
            <w:vAlign w:val="center"/>
            <w:textDirection w:val="lrTb"/>
            <w:noWrap w:val="false"/>
          </w:tcPr>
          <w:p>
            <w:pPr>
              <w:pStyle w:val="883"/>
              <w:ind w:firstLine="0"/>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4877"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法律、行政法规规定的其他条件</w:t>
            </w:r>
            <w:r/>
          </w:p>
        </w:tc>
        <w:tc>
          <w:tcPr>
            <w:tcW w:w="3662" w:type="dxa"/>
            <w:vAlign w:val="center"/>
            <w:textDirection w:val="lrTb"/>
            <w:noWrap w:val="false"/>
          </w:tcPr>
          <w:p>
            <w:pPr>
              <w:pStyle w:val="883"/>
              <w:ind w:firstLine="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567"/>
        </w:trPr>
        <w:tc>
          <w:tcPr>
            <w:gridSpan w:val="3"/>
            <w:tcW w:w="9611" w:type="dxa"/>
            <w:vAlign w:val="center"/>
            <w:textDirection w:val="lrTb"/>
            <w:noWrap w:val="false"/>
          </w:tcPr>
          <w:p>
            <w:pPr>
              <w:spacing w:line="360" w:lineRule="auto"/>
              <w:widowControl/>
              <w:tabs>
                <w:tab w:val="left" w:pos="840" w:leader="none"/>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（二）合格投标人的特殊条件（详见本项目招标公告，如未作要求则无需填写）</w:t>
            </w:r>
            <w:r/>
          </w:p>
        </w:tc>
      </w:tr>
      <w:tr>
        <w:trPr>
          <w:trHeight w:val="567"/>
        </w:trPr>
        <w:tc>
          <w:tcPr>
            <w:tcW w:w="1072" w:type="dxa"/>
            <w:vAlign w:val="center"/>
            <w:textDirection w:val="lrTb"/>
            <w:noWrap w:val="false"/>
          </w:tcPr>
          <w:p>
            <w:pPr>
              <w:pStyle w:val="883"/>
              <w:ind w:firstLine="0"/>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4877"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具备有效的保安服务许可证，非江苏省的投标单位须提供在江苏省内公安主管部门办理备案手续证明材料</w:t>
            </w:r>
            <w:r/>
          </w:p>
        </w:tc>
        <w:tc>
          <w:tcPr>
            <w:tcW w:w="3662" w:type="dxa"/>
            <w:vAlign w:val="center"/>
            <w:textDirection w:val="lrTb"/>
            <w:noWrap w:val="false"/>
          </w:tcPr>
          <w:p>
            <w:pPr>
              <w:pStyle w:val="883"/>
              <w:ind w:firstLine="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567"/>
        </w:trPr>
        <w:tc>
          <w:tcPr>
            <w:tcW w:w="1072" w:type="dxa"/>
            <w:vAlign w:val="center"/>
            <w:textDirection w:val="lrTb"/>
            <w:noWrap w:val="false"/>
          </w:tcPr>
          <w:p>
            <w:pPr>
              <w:pStyle w:val="883"/>
              <w:ind w:firstLine="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4877" w:type="dxa"/>
            <w:vAlign w:val="center"/>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3662" w:type="dxa"/>
            <w:vAlign w:val="center"/>
            <w:textDirection w:val="lrTb"/>
            <w:noWrap w:val="false"/>
          </w:tcPr>
          <w:p>
            <w:pPr>
              <w:pStyle w:val="883"/>
              <w:ind w:firstLine="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bl>
    <w:p>
      <w:pPr>
        <w:pStyle w:val="920"/>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注：上述内容如未按照本表规定格式提供则视为无效。未按招标文件要求逐一填写承诺事项或承诺内容任意一项填写“未实质性响应” 按投标无效处理。</w:t>
      </w:r>
      <w:r/>
    </w:p>
    <w:p>
      <w:pPr>
        <w:pStyle w:val="920"/>
        <w:spacing w:line="360" w:lineRule="auto"/>
        <w:rPr>
          <w:rFonts w:hAnsi="宋体" w:cs="宋体"/>
          <w:color w:val="auto"/>
          <w:sz w:val="24"/>
          <w:szCs w:val="24"/>
          <w:highlight w:val="none"/>
        </w:rPr>
      </w:pPr>
      <w:r>
        <w:rPr>
          <w:rFonts w:hint="eastAsia" w:hAnsi="宋体" w:cs="宋体"/>
          <w:color w:val="auto"/>
          <w:sz w:val="24"/>
          <w:szCs w:val="24"/>
          <w:highlight w:val="none"/>
        </w:rPr>
        <w:t xml:space="preserve">    投标人（单位盖章）： </w:t>
      </w:r>
      <w:r/>
    </w:p>
    <w:p>
      <w:pPr>
        <w:pStyle w:val="920"/>
        <w:spacing w:line="360" w:lineRule="auto"/>
        <w:rPr>
          <w:rFonts w:hAnsi="宋体" w:cs="宋体"/>
          <w:color w:val="auto"/>
          <w:sz w:val="24"/>
          <w:szCs w:val="24"/>
          <w:highlight w:val="none"/>
        </w:rPr>
      </w:pPr>
      <w:r>
        <w:rPr>
          <w:rFonts w:hint="eastAsia" w:hAnsi="宋体" w:cs="宋体"/>
          <w:color w:val="auto"/>
          <w:sz w:val="24"/>
          <w:szCs w:val="24"/>
          <w:highlight w:val="none"/>
        </w:rPr>
        <w:t xml:space="preserve">    法定代表人或代理人（签字或盖章）：</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spacing w:line="360" w:lineRule="auto"/>
        <w:rPr>
          <w:rFonts w:ascii="宋体" w:hAnsi="宋体" w:cs="宋体"/>
          <w:b/>
          <w:color w:val="auto"/>
          <w:sz w:val="24"/>
          <w:szCs w:val="24"/>
          <w:highlight w:val="none"/>
          <w:lang w:val="zh-CN"/>
        </w:rPr>
      </w:pPr>
      <w:r>
        <w:rPr>
          <w:rFonts w:hint="eastAsia" w:ascii="宋体" w:hAnsi="宋体" w:cs="宋体"/>
          <w:b/>
          <w:color w:val="auto"/>
          <w:sz w:val="24"/>
          <w:szCs w:val="24"/>
          <w:highlight w:val="none"/>
        </w:rPr>
        <w:t xml:space="preserve">8、中小企业声明函</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本公司郑重声明，根据《政府采购促进中小企业发展管理办法》（财库﹝2020﹞46 号）的规定，本公司（联合体）参加</w:t>
      </w:r>
      <w:r>
        <w:rPr>
          <w:rFonts w:hint="eastAsia" w:ascii="宋体" w:hAnsi="宋体" w:cs="宋体"/>
          <w:color w:val="auto"/>
          <w:sz w:val="24"/>
          <w:szCs w:val="24"/>
          <w:highlight w:val="none"/>
          <w:u w:val="single"/>
        </w:rPr>
        <w:t xml:space="preserve">（单位名称）</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采购活动，服务全部由符合政策要求的中小企业承接。相关企业（含签订分包意向协议的中小企业）的具体情况如下：</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（标的名称）</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（采购文件中明确的所属行业）</w:t>
      </w:r>
      <w:r>
        <w:rPr>
          <w:rFonts w:hint="eastAsia" w:ascii="宋体" w:hAnsi="宋体" w:cs="宋体"/>
          <w:color w:val="auto"/>
          <w:sz w:val="24"/>
          <w:szCs w:val="24"/>
          <w:highlight w:val="none"/>
        </w:rPr>
        <w:t xml:space="preserve">；承接企业为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，从业人员人，营业收入为万元，资产总额为万元（注），属于</w:t>
      </w:r>
      <w:r>
        <w:rPr>
          <w:rFonts w:hint="eastAsia" w:ascii="宋体" w:hAnsi="宋体" w:cs="宋体"/>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（标的名称）</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（采购文件中明确的所属行业）</w:t>
      </w:r>
      <w:r>
        <w:rPr>
          <w:rFonts w:hint="eastAsia" w:ascii="宋体" w:hAnsi="宋体" w:cs="宋体"/>
          <w:color w:val="auto"/>
          <w:sz w:val="24"/>
          <w:szCs w:val="24"/>
          <w:highlight w:val="none"/>
        </w:rPr>
        <w:t xml:space="preserve">；承接企业为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，从业人员人，营业收入为万元，资产总额为万元，属于</w:t>
      </w:r>
      <w:r>
        <w:rPr>
          <w:rFonts w:hint="eastAsia" w:ascii="宋体" w:hAnsi="宋体" w:cs="宋体"/>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企业名称（盖章）：</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日 期：</w:t>
      </w:r>
      <w:r/>
    </w:p>
    <w:p>
      <w:pPr>
        <w:pStyle w:val="920"/>
        <w:spacing w:line="360" w:lineRule="auto"/>
        <w:rPr>
          <w:rFonts w:hAnsi="宋体" w:cs="宋体"/>
          <w:color w:val="auto"/>
          <w:sz w:val="24"/>
          <w:szCs w:val="24"/>
          <w:highlight w:val="none"/>
        </w:rPr>
      </w:pPr>
      <w:r>
        <w:rPr>
          <w:rFonts w:hAnsi="宋体" w:cs="宋体"/>
          <w:color w:val="auto"/>
          <w:sz w:val="24"/>
          <w:szCs w:val="24"/>
          <w:highlight w:val="none"/>
        </w:rPr>
      </w:r>
      <w:r/>
    </w:p>
    <w:p>
      <w:pPr>
        <w:ind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从业人员、营业收入、资产总额填报上一年度数据，无上一年度数据的新成立企业可不填报；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若供应商未在此函中对（中型企业、小型企业、微型企业）明确选择，视为非中小企业，不享受中小企业扶持政策；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若供应商提供的“中小企业声明函”内容不实的，属于提供虚假材料谋取中标、成交，依照《中华人民共和国政府采购法》等国家有关规定追究相应责任。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keepLines w:val="0"/>
        <w:keepNext w:val="0"/>
        <w:pageBreakBefore w:val="0"/>
        <w:spacing w:line="440" w:lineRule="exact"/>
        <w:shd w:val="clear" w:color="auto"/>
        <w:widowControl w:val="off"/>
        <w:rPr>
          <w:rFonts w:hint="eastAsia" w:ascii="宋体" w:hAnsi="宋体" w:eastAsia="宋体" w:cs="宋体"/>
          <w:b/>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5、中标供应商为中小企业的，《中小企业声明函》将随中标结果同时公告。</w:t>
      </w:r>
      <w:r>
        <w:rPr>
          <w:rFonts w:hint="eastAsia" w:ascii="宋体" w:hAnsi="宋体" w:eastAsia="宋体" w:cs="宋体"/>
          <w:color w:val="auto"/>
          <w:sz w:val="24"/>
          <w:szCs w:val="24"/>
          <w:highlight w:val="none"/>
          <w:lang w:val="en-US" w:eastAsia="zh-CN"/>
        </w:rPr>
        <w:br w:type="page" w:clear="all"/>
      </w:r>
      <w:r>
        <w:rPr>
          <w:rFonts w:hint="eastAsia" w:ascii="宋体" w:hAnsi="宋体" w:eastAsia="宋体" w:cs="宋体"/>
          <w:b/>
          <w:color w:val="auto"/>
          <w:sz w:val="24"/>
          <w:szCs w:val="24"/>
          <w:highlight w:val="none"/>
        </w:rPr>
        <w:t xml:space="preserve">附：中小企业划型标准规定</w:t>
      </w:r>
      <w:r/>
    </w:p>
    <w:p>
      <w:pPr>
        <w:ind w:left="0"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（一）农、林、牧、渔业。</w:t>
      </w:r>
      <w:r>
        <w:rPr>
          <w:rFonts w:hint="eastAsia" w:ascii="宋体" w:hAnsi="宋体" w:eastAsia="宋体" w:cs="宋体"/>
          <w:color w:val="auto"/>
          <w:sz w:val="24"/>
          <w:szCs w:val="24"/>
          <w:highlight w:val="none"/>
        </w:rPr>
        <w:t xml:space="preserve">营业收入20000万元以下的为中小微型企业。其中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营业收入500万元及以上的为中型企业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营业收入50万元及以上的为小型企业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营业收入50万元以下的为微型企业。</w:t>
      </w:r>
      <w:r/>
    </w:p>
    <w:p>
      <w:pPr>
        <w:ind w:left="0"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（二）工业。</w:t>
      </w:r>
      <w:r>
        <w:rPr>
          <w:rFonts w:hint="eastAsia" w:ascii="宋体" w:hAnsi="宋体" w:eastAsia="宋体" w:cs="宋体"/>
          <w:color w:val="auto"/>
          <w:sz w:val="24"/>
          <w:szCs w:val="24"/>
          <w:highlight w:val="none"/>
        </w:rPr>
        <w:t xml:space="preserve">从业人员1000人以下或营业收入40000万元以下的为中小微型企业。其中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从业人员300人及以上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且营业收入2000万元及以上的为中型企业；从业人员20人及以上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且营业收入300万元及以上的为小型企业；从业人员20人以下或营业收入300万元以下的为微型企业。</w:t>
      </w:r>
      <w:r/>
    </w:p>
    <w:p>
      <w:pPr>
        <w:ind w:left="0"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（三）建筑业。</w:t>
      </w:r>
      <w:r>
        <w:rPr>
          <w:rFonts w:hint="eastAsia" w:ascii="宋体" w:hAnsi="宋体" w:eastAsia="宋体" w:cs="宋体"/>
          <w:color w:val="auto"/>
          <w:sz w:val="24"/>
          <w:szCs w:val="24"/>
          <w:highlight w:val="none"/>
        </w:rPr>
        <w:t xml:space="preserve">营业收入80000万元以下或资产总额80000万元以下的为中小微型企业。其中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营业收入6000万元及以上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且资产总额5000万元及以上的为中型企业；营业收入300万元及以上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且资产总额300万元及以上的为小型企业；营业收入300万元以下或资产总额300万元以下的为微型企业。</w:t>
      </w:r>
      <w:r/>
    </w:p>
    <w:p>
      <w:pPr>
        <w:ind w:left="0"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（四）批发业。</w:t>
      </w:r>
      <w:r>
        <w:rPr>
          <w:rFonts w:hint="eastAsia" w:ascii="宋体" w:hAnsi="宋体" w:eastAsia="宋体" w:cs="宋体"/>
          <w:color w:val="auto"/>
          <w:sz w:val="24"/>
          <w:szCs w:val="24"/>
          <w:highlight w:val="none"/>
        </w:rPr>
        <w:t xml:space="preserve">从业人员200人以下或营业收入40000万元以下的为中小微型企业。其中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从业人员20人及以上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且营业收入5000万元及以上的为中型企业；从业人员5人及以上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且营业收入1000万元及以上的为小型企业；从业人员5人以下或营业收入1000万元以下的为微型企业。</w:t>
      </w:r>
      <w:r/>
    </w:p>
    <w:p>
      <w:pPr>
        <w:ind w:left="0"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（五）零售业。</w:t>
      </w:r>
      <w:r>
        <w:rPr>
          <w:rFonts w:hint="eastAsia" w:ascii="宋体" w:hAnsi="宋体" w:eastAsia="宋体" w:cs="宋体"/>
          <w:color w:val="auto"/>
          <w:sz w:val="24"/>
          <w:szCs w:val="24"/>
          <w:highlight w:val="none"/>
        </w:rPr>
        <w:t xml:space="preserve">从业人员300人以下或营业收入20000万元以下的为中小微型企业。其中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从业人员50人及以上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且营业收入500万元及以上的为中型企业；从业人员10人及以上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且营业收入100万元及以上的为小型企业；从业人员10人以下或营业收入100万元以下的为微型企业。</w:t>
      </w:r>
      <w:r/>
    </w:p>
    <w:p>
      <w:pPr>
        <w:ind w:left="0"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（六）交通运输业。</w:t>
      </w:r>
      <w:r>
        <w:rPr>
          <w:rFonts w:hint="eastAsia" w:ascii="宋体" w:hAnsi="宋体" w:eastAsia="宋体" w:cs="宋体"/>
          <w:color w:val="auto"/>
          <w:sz w:val="24"/>
          <w:szCs w:val="24"/>
          <w:highlight w:val="none"/>
        </w:rPr>
        <w:t xml:space="preserve">从业人员1000人以下或营业收入30000万元以下的为中小微型企业。其中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从业人员300人及以上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且营业收入3000万元及以上的为中型企业；从业人员20人及以上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且营业收入200万元及以上的为小型企业；从业人员20人以下或营业收入200万元以下的为微型企业。</w:t>
      </w:r>
      <w:r/>
    </w:p>
    <w:p>
      <w:pPr>
        <w:ind w:left="0"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（七）仓储业。</w:t>
      </w:r>
      <w:r>
        <w:rPr>
          <w:rFonts w:hint="eastAsia" w:ascii="宋体" w:hAnsi="宋体" w:eastAsia="宋体" w:cs="宋体"/>
          <w:color w:val="auto"/>
          <w:sz w:val="24"/>
          <w:szCs w:val="24"/>
          <w:highlight w:val="none"/>
        </w:rPr>
        <w:t xml:space="preserve">从业人员200人以下或营业收入30000万元以下的为中小微型企业。其中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从业人员100人及以上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且营业收入1000万元及以上的为中型企业；从业人员20人及以上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且营业收入100万元及以上的为小型企业；从业人员20人以下或营业收入100万元以下的为微型企业。</w:t>
      </w:r>
      <w:r/>
    </w:p>
    <w:p>
      <w:pPr>
        <w:ind w:left="0"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（八）邮政业。</w:t>
      </w:r>
      <w:r>
        <w:rPr>
          <w:rFonts w:hint="eastAsia" w:ascii="宋体" w:hAnsi="宋体" w:eastAsia="宋体" w:cs="宋体"/>
          <w:color w:val="auto"/>
          <w:sz w:val="24"/>
          <w:szCs w:val="24"/>
          <w:highlight w:val="none"/>
        </w:rPr>
        <w:t xml:space="preserve">从业人员1000人以下或营业收入30000万元以下的为中小微型企业。其中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从业人员300人及以上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且营业收入2000万元及以上的为中型企业；从业人员20人及以上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且营业收入100万元及以上的为小型企业；从业人员20人以下或营业收入100万元以下的为微型企业。</w:t>
      </w:r>
      <w:r/>
    </w:p>
    <w:p>
      <w:pPr>
        <w:ind w:left="0"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（九）住宿业。</w:t>
      </w:r>
      <w:r>
        <w:rPr>
          <w:rFonts w:hint="eastAsia" w:ascii="宋体" w:hAnsi="宋体" w:eastAsia="宋体" w:cs="宋体"/>
          <w:color w:val="auto"/>
          <w:sz w:val="24"/>
          <w:szCs w:val="24"/>
          <w:highlight w:val="none"/>
        </w:rPr>
        <w:t xml:space="preserve">从业人员300人以下或营业收入10000万元以下的为中小微型企业。其中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从业人员100人及以上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且营业收入2000万元及以上的为中型企业；从业人员10人及以上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且营业收入100万元及以上的为小型企业；从业人员10人以下或营业收入100万元以下的为微型企业。</w:t>
      </w:r>
      <w:r/>
    </w:p>
    <w:p>
      <w:pPr>
        <w:ind w:left="0"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（十）餐饮业。</w:t>
      </w:r>
      <w:r>
        <w:rPr>
          <w:rFonts w:hint="eastAsia" w:ascii="宋体" w:hAnsi="宋体" w:eastAsia="宋体" w:cs="宋体"/>
          <w:color w:val="auto"/>
          <w:sz w:val="24"/>
          <w:szCs w:val="24"/>
          <w:highlight w:val="none"/>
        </w:rPr>
        <w:t xml:space="preserve">从业人员300人以下或营业收入10000万元以下的为中小微型企业。其中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从业人员100人及以上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且营业收入2000万元及以上的为中型企业；从业人员10人及以上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且营业收入100万元及以上的为小型企业；从业人员10人以下或营业收入100万元以下的为微型企业。</w:t>
      </w:r>
      <w:r/>
    </w:p>
    <w:p>
      <w:pPr>
        <w:ind w:left="0"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（十一）信息传输业。</w:t>
      </w:r>
      <w:r>
        <w:rPr>
          <w:rFonts w:hint="eastAsia" w:ascii="宋体" w:hAnsi="宋体" w:eastAsia="宋体" w:cs="宋体"/>
          <w:color w:val="auto"/>
          <w:sz w:val="24"/>
          <w:szCs w:val="24"/>
          <w:highlight w:val="none"/>
        </w:rPr>
        <w:t xml:space="preserve">从业人员2000人以下或营业收入100000万元以下的为中小微型企业。其中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从业人员100人及以上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且营业收入1000万元及以上的为中型企业；从业人员10人及以上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且营业收入100万元及以上的为小型企业；从业人员10人以下或营业收入100万元以下的为微型企业。</w:t>
      </w:r>
      <w:r/>
    </w:p>
    <w:p>
      <w:pPr>
        <w:ind w:left="0"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（十二）软件和信息技术服务业。</w:t>
      </w:r>
      <w:r>
        <w:rPr>
          <w:rFonts w:hint="eastAsia" w:ascii="宋体" w:hAnsi="宋体" w:eastAsia="宋体" w:cs="宋体"/>
          <w:color w:val="auto"/>
          <w:sz w:val="24"/>
          <w:szCs w:val="24"/>
          <w:highlight w:val="none"/>
        </w:rPr>
        <w:t xml:space="preserve">从业人员300人以下或营业收入10000万元以下的为中小微型企业。其中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从业人员100人及以上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且营业收入1000万元及以上的为中型企业；从业人员10人及以上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且营业收入50万元及以上的为小型企业；从业人员10人以下或营业收入50万元以下的为微型企业。</w:t>
      </w:r>
      <w:r/>
    </w:p>
    <w:p>
      <w:pPr>
        <w:ind w:left="0"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（十三）房地产开发经营。</w:t>
      </w:r>
      <w:r>
        <w:rPr>
          <w:rFonts w:hint="eastAsia" w:ascii="宋体" w:hAnsi="宋体" w:eastAsia="宋体" w:cs="宋体"/>
          <w:color w:val="auto"/>
          <w:sz w:val="24"/>
          <w:szCs w:val="24"/>
          <w:highlight w:val="none"/>
        </w:rPr>
        <w:t xml:space="preserve">营业收入200000万元以下或资产总额10000万元以下的为中小微型企业。其中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营业收入1000万元及以上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且资产总额5000万元及以上的为中型企业；营业收入100万元及以上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且资产总额2000万元及以上的为小型企业；营业收入100万元以下或资产总额2000万元以下的为微型企业。</w:t>
      </w:r>
      <w:r/>
    </w:p>
    <w:p>
      <w:pPr>
        <w:ind w:left="0"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（十四）物业管理。</w:t>
      </w:r>
      <w:r>
        <w:rPr>
          <w:rFonts w:hint="eastAsia" w:ascii="宋体" w:hAnsi="宋体" w:eastAsia="宋体" w:cs="宋体"/>
          <w:color w:val="auto"/>
          <w:sz w:val="24"/>
          <w:szCs w:val="24"/>
          <w:highlight w:val="none"/>
        </w:rPr>
        <w:t xml:space="preserve">从业人员1000人以下或营业收入5000万元以下的为中小微型企业。其中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w:t>
      </w:r>
      <w:r/>
    </w:p>
    <w:p>
      <w:pPr>
        <w:ind w:left="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且营业收入1000万元及以上的为中型企业；从业人员100人及以上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且营业收入500万元及以上的为小型企业；从业人员100人以下或营业收入500万元以下的为微型企业。</w:t>
      </w:r>
      <w:r/>
    </w:p>
    <w:p>
      <w:pPr>
        <w:ind w:left="0"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（十五）租赁和商务服务业。</w:t>
      </w:r>
      <w:r>
        <w:rPr>
          <w:rFonts w:hint="eastAsia" w:ascii="宋体" w:hAnsi="宋体" w:eastAsia="宋体" w:cs="宋体"/>
          <w:color w:val="auto"/>
          <w:sz w:val="24"/>
          <w:szCs w:val="24"/>
          <w:highlight w:val="none"/>
        </w:rPr>
        <w:t xml:space="preserve">从业人员300人以下或资产总额120000万元以下的为中小微型企业。其中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从业人员100人及以上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且资产总额8000万元及以上的为中型企业；从业人员10人及以上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且资产总额100万元及以上的为小型企业；从业人员10人以下或资产总额100万元以下的为微型企业。</w:t>
      </w:r>
      <w:r/>
    </w:p>
    <w:p>
      <w:pPr>
        <w:ind w:left="0"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（十六）其他未列明行业。</w:t>
      </w:r>
      <w:r>
        <w:rPr>
          <w:rFonts w:hint="eastAsia" w:ascii="宋体" w:hAnsi="宋体" w:eastAsia="宋体" w:cs="宋体"/>
          <w:color w:val="auto"/>
          <w:sz w:val="24"/>
          <w:szCs w:val="24"/>
          <w:highlight w:val="none"/>
        </w:rPr>
        <w:t xml:space="preserve">从业人员300人以下的为中小微型企业。其中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从业人员100人及以上的为中型企业；从业人员10人及以上的为小型企业；从业人员10人以下的为微型企业。</w:t>
      </w:r>
      <w:r/>
    </w:p>
    <w:p>
      <w:pPr>
        <w:rPr>
          <w:rFonts w:hint="eastAsia" w:hAnsi="宋体" w:cs="宋体"/>
          <w:b/>
          <w:bCs/>
          <w:color w:val="auto"/>
          <w:sz w:val="24"/>
          <w:szCs w:val="24"/>
          <w:highlight w:val="none"/>
        </w:rPr>
      </w:pPr>
      <w:r>
        <w:rPr>
          <w:rFonts w:hint="eastAsia" w:hAnsi="宋体" w:cs="宋体"/>
          <w:b/>
          <w:bCs/>
          <w:color w:val="auto"/>
          <w:sz w:val="24"/>
          <w:szCs w:val="24"/>
          <w:highlight w:val="none"/>
        </w:rPr>
      </w:r>
      <w:r/>
    </w:p>
    <w:p>
      <w:pPr>
        <w:rPr>
          <w:rFonts w:hAnsi="宋体" w:cs="宋体"/>
          <w:b/>
          <w:bCs/>
          <w:color w:val="auto"/>
          <w:sz w:val="24"/>
          <w:szCs w:val="24"/>
          <w:highlight w:val="none"/>
        </w:rPr>
      </w:pPr>
      <w:r>
        <w:rPr>
          <w:rFonts w:hint="eastAsia" w:ascii="宋体" w:hAnsi="宋体" w:eastAsia="宋体" w:cs="宋体"/>
          <w:b/>
          <w:bCs/>
          <w:color w:val="auto"/>
          <w:sz w:val="24"/>
          <w:szCs w:val="24"/>
          <w:highlight w:val="none"/>
        </w:rPr>
        <w:t xml:space="preserve">9、</w:t>
      </w:r>
      <w:r>
        <w:rPr>
          <w:rFonts w:hint="eastAsia" w:hAnsi="宋体" w:cs="宋体"/>
          <w:b/>
          <w:bCs/>
          <w:color w:val="auto"/>
          <w:sz w:val="24"/>
          <w:szCs w:val="24"/>
          <w:highlight w:val="none"/>
        </w:rPr>
        <w:t xml:space="preserve">残疾人福利性单位声明函</w:t>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苏州正杰招投标咨询服务有限公司：</w:t>
      </w:r>
      <w:r/>
    </w:p>
    <w:p>
      <w:pPr>
        <w:pStyle w:val="920"/>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920"/>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本单位对上述声明的真实性负责。如有虚假，将依法承担相应责任。</w:t>
      </w:r>
      <w:r/>
    </w:p>
    <w:p>
      <w:pPr>
        <w:pStyle w:val="920"/>
        <w:spacing w:line="360" w:lineRule="auto"/>
        <w:rPr>
          <w:rFonts w:hAnsi="宋体" w:cs="宋体"/>
          <w:color w:val="auto"/>
          <w:sz w:val="24"/>
          <w:szCs w:val="24"/>
          <w:highlight w:val="none"/>
        </w:rPr>
      </w:pPr>
      <w:r>
        <w:rPr>
          <w:rFonts w:hint="eastAsia" w:hAnsi="宋体" w:cs="宋体"/>
          <w:color w:val="auto"/>
          <w:sz w:val="24"/>
          <w:szCs w:val="24"/>
          <w:highlight w:val="none"/>
        </w:rPr>
        <w:t xml:space="preserve">    投标人（单位盖章）：</w:t>
      </w:r>
      <w:r/>
    </w:p>
    <w:p>
      <w:pPr>
        <w:pStyle w:val="920"/>
        <w:spacing w:line="360" w:lineRule="auto"/>
        <w:rPr>
          <w:rFonts w:hAnsi="宋体" w:cs="宋体"/>
          <w:color w:val="auto"/>
          <w:sz w:val="24"/>
          <w:szCs w:val="24"/>
          <w:highlight w:val="none"/>
        </w:rPr>
      </w:pPr>
      <w:r>
        <w:rPr>
          <w:rFonts w:hint="eastAsia" w:hAnsi="宋体" w:cs="宋体"/>
          <w:color w:val="auto"/>
          <w:sz w:val="24"/>
          <w:szCs w:val="24"/>
          <w:highlight w:val="none"/>
        </w:rPr>
        <w:t xml:space="preserve">    法定代表人或代理人（签字或盖章）：</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pStyle w:val="920"/>
        <w:spacing w:line="360" w:lineRule="auto"/>
        <w:rPr>
          <w:rFonts w:hAnsi="宋体" w:cs="宋体"/>
          <w:color w:val="auto"/>
          <w:sz w:val="24"/>
          <w:szCs w:val="24"/>
          <w:highlight w:val="none"/>
        </w:rPr>
      </w:pPr>
      <w:r>
        <w:rPr>
          <w:rFonts w:hAnsi="宋体" w:cs="宋体"/>
          <w:color w:val="auto"/>
          <w:sz w:val="24"/>
          <w:szCs w:val="24"/>
          <w:highlight w:val="none"/>
        </w:rPr>
      </w:r>
      <w:r/>
    </w:p>
    <w:p>
      <w:pPr>
        <w:pStyle w:val="920"/>
        <w:spacing w:line="360" w:lineRule="auto"/>
        <w:rPr>
          <w:rFonts w:hAnsi="宋体" w:cs="宋体"/>
          <w:b/>
          <w:bCs/>
          <w:color w:val="auto"/>
          <w:sz w:val="24"/>
          <w:szCs w:val="24"/>
          <w:highlight w:val="none"/>
        </w:rPr>
      </w:pPr>
      <w:r>
        <w:rPr>
          <w:rFonts w:hAnsi="宋体" w:cs="宋体"/>
          <w:b/>
          <w:bCs/>
          <w:color w:val="auto"/>
          <w:sz w:val="24"/>
          <w:szCs w:val="24"/>
          <w:highlight w:val="none"/>
        </w:rPr>
      </w:r>
      <w:r/>
    </w:p>
    <w:p>
      <w:pPr>
        <w:pStyle w:val="920"/>
        <w:spacing w:line="360" w:lineRule="auto"/>
        <w:rPr>
          <w:rFonts w:hAnsi="宋体" w:cs="宋体"/>
          <w:b/>
          <w:bCs/>
          <w:color w:val="auto"/>
          <w:sz w:val="24"/>
          <w:szCs w:val="24"/>
          <w:highlight w:val="none"/>
        </w:rPr>
      </w:pPr>
      <w:r>
        <w:rPr>
          <w:rFonts w:hAnsi="宋体" w:cs="宋体"/>
          <w:b/>
          <w:bCs/>
          <w:color w:val="auto"/>
          <w:sz w:val="24"/>
          <w:szCs w:val="24"/>
          <w:highlight w:val="none"/>
        </w:rPr>
      </w:r>
      <w:r/>
    </w:p>
    <w:p>
      <w:pPr>
        <w:pStyle w:val="920"/>
        <w:spacing w:line="360" w:lineRule="auto"/>
        <w:rPr>
          <w:rFonts w:hAnsi="宋体" w:cs="宋体"/>
          <w:b/>
          <w:bCs/>
          <w:color w:val="auto"/>
          <w:sz w:val="24"/>
          <w:szCs w:val="24"/>
          <w:highlight w:val="none"/>
        </w:rPr>
      </w:pPr>
      <w:r>
        <w:rPr>
          <w:rFonts w:hAnsi="宋体" w:cs="宋体"/>
          <w:b/>
          <w:bCs/>
          <w:color w:val="auto"/>
          <w:sz w:val="24"/>
          <w:szCs w:val="24"/>
          <w:highlight w:val="none"/>
        </w:rPr>
      </w:r>
      <w:r/>
    </w:p>
    <w:p>
      <w:pPr>
        <w:pStyle w:val="920"/>
        <w:spacing w:line="360" w:lineRule="auto"/>
        <w:rPr>
          <w:rFonts w:hAnsi="宋体" w:cs="宋体"/>
          <w:b/>
          <w:bCs/>
          <w:color w:val="auto"/>
          <w:sz w:val="24"/>
          <w:szCs w:val="24"/>
          <w:highlight w:val="none"/>
        </w:rPr>
      </w:pPr>
      <w:r>
        <w:rPr>
          <w:rFonts w:hAnsi="宋体" w:cs="宋体"/>
          <w:b/>
          <w:bCs/>
          <w:color w:val="auto"/>
          <w:sz w:val="24"/>
          <w:szCs w:val="24"/>
          <w:highlight w:val="none"/>
        </w:rPr>
      </w:r>
      <w:r/>
    </w:p>
    <w:p>
      <w:pPr>
        <w:pStyle w:val="920"/>
        <w:spacing w:line="360" w:lineRule="auto"/>
        <w:rPr>
          <w:rFonts w:hAnsi="宋体" w:cs="宋体"/>
          <w:b/>
          <w:bCs/>
          <w:color w:val="auto"/>
          <w:sz w:val="24"/>
          <w:szCs w:val="24"/>
          <w:highlight w:val="none"/>
        </w:rPr>
      </w:pPr>
      <w:r>
        <w:rPr>
          <w:rFonts w:hAnsi="宋体" w:cs="宋体"/>
          <w:b/>
          <w:bCs/>
          <w:color w:val="auto"/>
          <w:sz w:val="24"/>
          <w:szCs w:val="24"/>
          <w:highlight w:val="none"/>
        </w:rPr>
      </w:r>
      <w:r/>
    </w:p>
    <w:p>
      <w:pPr>
        <w:pStyle w:val="920"/>
        <w:spacing w:line="360" w:lineRule="auto"/>
        <w:rPr>
          <w:rFonts w:hAnsi="宋体" w:cs="宋体"/>
          <w:b/>
          <w:bCs/>
          <w:color w:val="auto"/>
          <w:sz w:val="24"/>
          <w:szCs w:val="24"/>
          <w:highlight w:val="none"/>
        </w:rPr>
      </w:pPr>
      <w:r>
        <w:rPr>
          <w:rFonts w:hAnsi="宋体" w:cs="宋体"/>
          <w:b/>
          <w:bCs/>
          <w:color w:val="auto"/>
          <w:sz w:val="24"/>
          <w:szCs w:val="24"/>
          <w:highlight w:val="none"/>
        </w:rPr>
      </w:r>
      <w:r/>
    </w:p>
    <w:p>
      <w:pPr>
        <w:pStyle w:val="920"/>
        <w:spacing w:line="360" w:lineRule="auto"/>
        <w:rPr>
          <w:rFonts w:hAnsi="宋体" w:cs="宋体"/>
          <w:b/>
          <w:bCs/>
          <w:color w:val="auto"/>
          <w:sz w:val="24"/>
          <w:szCs w:val="24"/>
          <w:highlight w:val="none"/>
        </w:rPr>
      </w:pPr>
      <w:r>
        <w:rPr>
          <w:rFonts w:hAnsi="宋体" w:cs="宋体"/>
          <w:b/>
          <w:bCs/>
          <w:color w:val="auto"/>
          <w:sz w:val="24"/>
          <w:szCs w:val="24"/>
          <w:highlight w:val="none"/>
        </w:rPr>
      </w:r>
      <w:r/>
    </w:p>
    <w:p>
      <w:pPr>
        <w:pStyle w:val="920"/>
        <w:spacing w:line="360" w:lineRule="auto"/>
        <w:rPr>
          <w:rFonts w:hAnsi="宋体" w:cs="宋体"/>
          <w:b/>
          <w:bCs/>
          <w:color w:val="auto"/>
          <w:sz w:val="24"/>
          <w:szCs w:val="24"/>
          <w:highlight w:val="none"/>
        </w:rPr>
      </w:pPr>
      <w:r>
        <w:rPr>
          <w:rFonts w:hAnsi="宋体" w:cs="宋体"/>
          <w:b/>
          <w:bCs/>
          <w:color w:val="auto"/>
          <w:sz w:val="24"/>
          <w:szCs w:val="24"/>
          <w:highlight w:val="none"/>
        </w:rPr>
      </w:r>
      <w:r/>
    </w:p>
    <w:p>
      <w:pPr>
        <w:pStyle w:val="920"/>
        <w:spacing w:line="360" w:lineRule="auto"/>
        <w:rPr>
          <w:rFonts w:hAnsi="宋体" w:cs="宋体"/>
          <w:b/>
          <w:bCs/>
          <w:color w:val="auto"/>
          <w:sz w:val="24"/>
          <w:szCs w:val="24"/>
          <w:highlight w:val="none"/>
        </w:rPr>
      </w:pPr>
      <w:r>
        <w:rPr>
          <w:rFonts w:hAnsi="宋体" w:cs="宋体"/>
          <w:b/>
          <w:bCs/>
          <w:color w:val="auto"/>
          <w:sz w:val="24"/>
          <w:szCs w:val="24"/>
          <w:highlight w:val="none"/>
        </w:rPr>
      </w:r>
      <w:r/>
    </w:p>
    <w:p>
      <w:pPr>
        <w:pStyle w:val="920"/>
        <w:spacing w:line="360" w:lineRule="auto"/>
        <w:rPr>
          <w:rFonts w:hAnsi="宋体" w:cs="宋体"/>
          <w:b/>
          <w:bCs/>
          <w:color w:val="auto"/>
          <w:sz w:val="24"/>
          <w:szCs w:val="24"/>
          <w:highlight w:val="none"/>
        </w:rPr>
      </w:pPr>
      <w:r>
        <w:rPr>
          <w:rFonts w:hAnsi="宋体" w:cs="宋体"/>
          <w:b/>
          <w:bCs/>
          <w:color w:val="auto"/>
          <w:sz w:val="24"/>
          <w:szCs w:val="24"/>
          <w:highlight w:val="none"/>
        </w:rPr>
      </w:r>
      <w:r/>
    </w:p>
    <w:p>
      <w:pPr>
        <w:pStyle w:val="920"/>
        <w:spacing w:line="360" w:lineRule="auto"/>
        <w:rPr>
          <w:rFonts w:hAnsi="宋体" w:cs="宋体"/>
          <w:b/>
          <w:bCs/>
          <w:color w:val="auto"/>
          <w:sz w:val="24"/>
          <w:szCs w:val="24"/>
          <w:highlight w:val="none"/>
        </w:rPr>
      </w:pPr>
      <w:r>
        <w:rPr>
          <w:rFonts w:hAnsi="宋体" w:cs="宋体"/>
          <w:b/>
          <w:bCs/>
          <w:color w:val="auto"/>
          <w:sz w:val="24"/>
          <w:szCs w:val="24"/>
          <w:highlight w:val="none"/>
        </w:rPr>
      </w:r>
      <w:r/>
    </w:p>
    <w:p>
      <w:pPr>
        <w:pStyle w:val="920"/>
        <w:spacing w:line="360" w:lineRule="auto"/>
        <w:rPr>
          <w:rFonts w:hAnsi="宋体" w:cs="宋体"/>
          <w:b/>
          <w:bCs/>
          <w:color w:val="auto"/>
          <w:sz w:val="24"/>
          <w:szCs w:val="24"/>
          <w:highlight w:val="none"/>
        </w:rPr>
      </w:pPr>
      <w:r>
        <w:rPr>
          <w:rFonts w:hAnsi="宋体" w:cs="宋体"/>
          <w:b/>
          <w:bCs/>
          <w:color w:val="auto"/>
          <w:sz w:val="24"/>
          <w:szCs w:val="24"/>
          <w:highlight w:val="none"/>
        </w:rPr>
      </w:r>
      <w:r/>
    </w:p>
    <w:p>
      <w:pPr>
        <w:pStyle w:val="920"/>
        <w:spacing w:line="360" w:lineRule="auto"/>
        <w:rPr>
          <w:rFonts w:hAnsi="宋体" w:cs="宋体"/>
          <w:b/>
          <w:bCs/>
          <w:color w:val="auto"/>
          <w:sz w:val="24"/>
          <w:szCs w:val="24"/>
          <w:highlight w:val="none"/>
        </w:rPr>
      </w:pPr>
      <w:r>
        <w:rPr>
          <w:rFonts w:hAnsi="宋体" w:cs="宋体"/>
          <w:b/>
          <w:bCs/>
          <w:color w:val="auto"/>
          <w:sz w:val="24"/>
          <w:szCs w:val="24"/>
          <w:highlight w:val="none"/>
        </w:rPr>
      </w:r>
      <w:r/>
    </w:p>
    <w:p>
      <w:pPr>
        <w:pStyle w:val="920"/>
        <w:spacing w:line="360" w:lineRule="auto"/>
        <w:rPr>
          <w:rFonts w:hAnsi="宋体" w:cs="宋体"/>
          <w:b/>
          <w:bCs/>
          <w:color w:val="auto"/>
          <w:sz w:val="24"/>
          <w:szCs w:val="24"/>
          <w:highlight w:val="none"/>
        </w:rPr>
      </w:pPr>
      <w:r>
        <w:rPr>
          <w:rFonts w:hAnsi="宋体" w:cs="宋体"/>
          <w:b/>
          <w:bCs/>
          <w:color w:val="auto"/>
          <w:sz w:val="24"/>
          <w:szCs w:val="24"/>
          <w:highlight w:val="none"/>
        </w:rPr>
      </w:r>
      <w:r/>
    </w:p>
    <w:p>
      <w:pPr>
        <w:pStyle w:val="920"/>
        <w:spacing w:line="360" w:lineRule="auto"/>
        <w:rPr>
          <w:rFonts w:hAnsi="宋体" w:cs="宋体"/>
          <w:b/>
          <w:bCs/>
          <w:color w:val="auto"/>
          <w:sz w:val="24"/>
          <w:szCs w:val="24"/>
          <w:highlight w:val="none"/>
        </w:rPr>
      </w:pPr>
      <w:r>
        <w:rPr>
          <w:rFonts w:hAnsi="宋体" w:cs="宋体"/>
          <w:b/>
          <w:bCs/>
          <w:color w:val="auto"/>
          <w:sz w:val="24"/>
          <w:szCs w:val="24"/>
          <w:highlight w:val="none"/>
        </w:rPr>
      </w:r>
      <w:r/>
    </w:p>
    <w:p>
      <w:pPr>
        <w:pStyle w:val="920"/>
        <w:spacing w:line="360" w:lineRule="auto"/>
        <w:rPr>
          <w:rFonts w:hAnsi="宋体" w:cs="宋体"/>
          <w:b/>
          <w:bCs/>
          <w:color w:val="auto"/>
          <w:sz w:val="24"/>
          <w:szCs w:val="24"/>
          <w:highlight w:val="none"/>
        </w:rPr>
      </w:pPr>
      <w:r>
        <w:rPr>
          <w:rFonts w:hAnsi="宋体" w:cs="宋体"/>
          <w:b/>
          <w:bCs/>
          <w:color w:val="auto"/>
          <w:sz w:val="24"/>
          <w:szCs w:val="24"/>
          <w:highlight w:val="none"/>
        </w:rPr>
      </w:r>
      <w:r/>
    </w:p>
    <w:p>
      <w:pPr>
        <w:pStyle w:val="920"/>
        <w:spacing w:line="360" w:lineRule="auto"/>
        <w:rPr>
          <w:rFonts w:hAnsi="宋体" w:cs="宋体"/>
          <w:b/>
          <w:bCs/>
          <w:color w:val="auto"/>
          <w:sz w:val="24"/>
          <w:szCs w:val="24"/>
          <w:highlight w:val="none"/>
        </w:rPr>
      </w:pPr>
      <w:r>
        <w:rPr>
          <w:rFonts w:hAnsi="宋体" w:cs="宋体"/>
          <w:b/>
          <w:bCs/>
          <w:color w:val="auto"/>
          <w:sz w:val="24"/>
          <w:szCs w:val="24"/>
          <w:highlight w:val="none"/>
        </w:rPr>
      </w:r>
      <w:r/>
    </w:p>
    <w:p>
      <w:pPr>
        <w:pStyle w:val="920"/>
        <w:spacing w:line="360" w:lineRule="auto"/>
        <w:rPr>
          <w:rFonts w:hAnsi="宋体" w:cs="宋体"/>
          <w:b/>
          <w:bCs/>
          <w:color w:val="auto"/>
          <w:sz w:val="24"/>
          <w:szCs w:val="24"/>
          <w:highlight w:val="none"/>
        </w:rPr>
      </w:pPr>
      <w:r>
        <w:rPr>
          <w:rFonts w:hAnsi="宋体" w:cs="宋体"/>
          <w:b/>
          <w:bCs/>
          <w:color w:val="auto"/>
          <w:sz w:val="24"/>
          <w:szCs w:val="24"/>
          <w:highlight w:val="none"/>
        </w:rPr>
      </w:r>
      <w:r/>
    </w:p>
    <w:p>
      <w:pPr>
        <w:pStyle w:val="881"/>
        <w:ind w:left="0"/>
        <w:rPr>
          <w:color w:val="auto"/>
          <w:highlight w:val="none"/>
        </w:rPr>
      </w:pPr>
      <w:r>
        <w:rPr>
          <w:color w:val="auto"/>
          <w:highlight w:val="none"/>
        </w:rPr>
      </w:r>
      <w:r/>
    </w:p>
    <w:p>
      <w:pPr>
        <w:jc w:val="center"/>
        <w:spacing w:line="360" w:lineRule="auto"/>
        <w:shd w:val="clear" w:color="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第四章 </w:t>
      </w:r>
      <w:r>
        <w:rPr>
          <w:rFonts w:hint="eastAsia" w:ascii="宋体" w:hAnsi="宋体" w:eastAsia="宋体" w:cs="宋体"/>
          <w:b/>
          <w:color w:val="auto"/>
          <w:sz w:val="24"/>
          <w:szCs w:val="24"/>
          <w:highlight w:val="none"/>
          <w:lang w:val="en-US" w:eastAsia="zh-CN"/>
        </w:rPr>
        <w:t xml:space="preserve">采购需求</w:t>
      </w:r>
      <w:r/>
    </w:p>
    <w:p>
      <w:pPr>
        <w:ind w:firstLine="480"/>
        <w:spacing w:line="360" w:lineRule="auto"/>
        <w:rPr>
          <w:rFonts w:ascii="宋体" w:cs="宋体"/>
          <w:color w:val="auto"/>
          <w:sz w:val="24"/>
          <w:szCs w:val="24"/>
          <w:highlight w:val="none"/>
        </w:rPr>
      </w:pPr>
      <w:r>
        <w:rPr>
          <w:rFonts w:hint="eastAsia" w:ascii="宋体" w:cs="宋体"/>
          <w:color w:val="auto"/>
          <w:sz w:val="24"/>
          <w:szCs w:val="24"/>
          <w:highlight w:val="none"/>
        </w:rPr>
        <w:t xml:space="preserve">苏州正杰招投标咨询服务有限公司受</w:t>
      </w:r>
      <w:r>
        <w:rPr>
          <w:rFonts w:hint="eastAsia" w:ascii="宋体" w:cs="宋体"/>
          <w:color w:val="auto"/>
          <w:sz w:val="24"/>
          <w:szCs w:val="24"/>
          <w:highlight w:val="none"/>
          <w:lang w:eastAsia="zh-CN"/>
        </w:rPr>
        <w:t xml:space="preserve">苏州市电化教育馆</w:t>
      </w:r>
      <w:r>
        <w:rPr>
          <w:rFonts w:hint="eastAsia" w:ascii="宋体" w:cs="宋体"/>
          <w:color w:val="auto"/>
          <w:sz w:val="24"/>
          <w:szCs w:val="24"/>
          <w:highlight w:val="none"/>
        </w:rPr>
        <w:t xml:space="preserve">委托，对其要求采购的</w:t>
      </w:r>
      <w:r>
        <w:rPr>
          <w:rFonts w:hint="eastAsia" w:ascii="宋体" w:cs="宋体"/>
          <w:color w:val="auto"/>
          <w:sz w:val="24"/>
          <w:szCs w:val="24"/>
          <w:highlight w:val="none"/>
          <w:lang w:eastAsia="zh-CN"/>
        </w:rPr>
        <w:t xml:space="preserve">劳动路289号大院安全保卫服务</w:t>
      </w:r>
      <w:r>
        <w:rPr>
          <w:rFonts w:hint="eastAsia" w:ascii="宋体" w:cs="宋体"/>
          <w:color w:val="auto"/>
          <w:sz w:val="24"/>
          <w:szCs w:val="24"/>
          <w:highlight w:val="none"/>
        </w:rPr>
        <w:t xml:space="preserve">项目进行公开招标，欢迎符合资格条件和具备履约能力的供应商单位前来参与。</w:t>
      </w:r>
      <w:r/>
    </w:p>
    <w:p>
      <w:pPr>
        <w:ind w:firstLine="480"/>
        <w:spacing w:line="360" w:lineRule="auto"/>
        <w:rPr>
          <w:rFonts w:ascii="宋体" w:cs="宋体"/>
          <w:color w:val="auto"/>
          <w:sz w:val="24"/>
          <w:szCs w:val="24"/>
          <w:highlight w:val="none"/>
        </w:rPr>
      </w:pPr>
      <w:r>
        <w:rPr>
          <w:rFonts w:hint="eastAsia" w:ascii="宋体" w:cs="宋体"/>
          <w:color w:val="auto"/>
          <w:sz w:val="24"/>
          <w:szCs w:val="24"/>
          <w:highlight w:val="none"/>
        </w:rPr>
        <w:t xml:space="preserve">一、采购编号：</w:t>
      </w:r>
      <w:r>
        <w:rPr>
          <w:rFonts w:hint="eastAsia" w:ascii="宋体" w:cs="宋体"/>
          <w:color w:val="auto"/>
          <w:sz w:val="24"/>
          <w:szCs w:val="24"/>
          <w:highlight w:val="none"/>
          <w:lang w:eastAsia="zh-CN"/>
        </w:rPr>
        <w:t xml:space="preserve">JSZC-320500-SZZJ-G2025-0052</w:t>
      </w:r>
      <w:r>
        <w:rPr>
          <w:rFonts w:hint="eastAsia" w:ascii="宋体" w:cs="宋体"/>
          <w:color w:val="auto"/>
          <w:sz w:val="24"/>
          <w:szCs w:val="24"/>
          <w:highlight w:val="none"/>
        </w:rPr>
        <w:t xml:space="preserve">号</w:t>
      </w:r>
      <w:r/>
    </w:p>
    <w:p>
      <w:pPr>
        <w:ind w:firstLine="480"/>
        <w:spacing w:line="360" w:lineRule="auto"/>
        <w:rPr>
          <w:rFonts w:ascii="宋体" w:cs="宋体"/>
          <w:color w:val="auto"/>
          <w:sz w:val="24"/>
          <w:szCs w:val="24"/>
          <w:highlight w:val="none"/>
        </w:rPr>
      </w:pPr>
      <w:r>
        <w:rPr>
          <w:rFonts w:hint="eastAsia" w:ascii="宋体" w:cs="宋体"/>
          <w:color w:val="auto"/>
          <w:sz w:val="24"/>
          <w:szCs w:val="24"/>
          <w:highlight w:val="none"/>
        </w:rPr>
        <w:t xml:space="preserve">二、采购需求（内容及要求）：</w:t>
      </w:r>
      <w:bookmarkStart w:id="6" w:name="_Toc13642116"/>
      <w:r/>
      <w:bookmarkEnd w:id="6"/>
      <w:r/>
      <w:r/>
    </w:p>
    <w:p>
      <w:pPr>
        <w:ind w:firstLine="482"/>
        <w:jc w:val="both"/>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（一）人员配置要求：</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1.负责劳动路289号大院范围内的所有安全保卫工作。 具体要求如下：</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（1）派驻服务的人员，均要求为男性，年龄55周岁以下，身体健康，心理健康，外貌端正；</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（2）政审合格，无犯罪记录；服从采购单位管理，有工作责任心、举止文明、礼貌待人，所有服务人员具有公安机关颁发的保安员证。</w:t>
      </w:r>
      <w:r/>
    </w:p>
    <w:p>
      <w:pPr>
        <w:ind w:firstLine="420"/>
        <w:spacing w:line="360" w:lineRule="auto"/>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（3）服务人员总数不得少于11人（含项目经理1人）。其中：不少于8人服务于大院保安室、消控室及大院各公共场所安全保卫工作，不少于2人服务于</w:t>
      </w:r>
      <w:r>
        <w:rPr>
          <w:rFonts w:hint="eastAsia" w:ascii="宋体" w:hAnsi="宋体" w:cs="宋体"/>
          <w:color w:val="auto"/>
          <w:sz w:val="24"/>
          <w:szCs w:val="24"/>
          <w:highlight w:val="none"/>
          <w:lang w:val="en-US" w:eastAsia="zh-CN"/>
        </w:rPr>
        <w:t xml:space="preserve">大院不定期</w:t>
      </w:r>
      <w:r>
        <w:rPr>
          <w:rFonts w:hint="eastAsia" w:ascii="宋体" w:hAnsi="宋体" w:cs="宋体"/>
          <w:color w:val="auto"/>
          <w:sz w:val="24"/>
          <w:szCs w:val="24"/>
          <w:highlight w:val="none"/>
        </w:rPr>
        <w:t xml:space="preserve">大型会议、培训、比赛和展播等各项活动的需求。</w:t>
      </w:r>
      <w:r/>
    </w:p>
    <w:p>
      <w:pPr>
        <w:ind w:firstLine="482"/>
        <w:spacing w:line="360" w:lineRule="auto"/>
        <w:rPr>
          <w:rFonts w:ascii="宋体" w:hAnsi="宋体" w:cs="宋体"/>
          <w:b/>
          <w:bCs/>
          <w:color w:val="auto"/>
          <w:sz w:val="24"/>
          <w:szCs w:val="24"/>
          <w:highlight w:val="none"/>
        </w:rPr>
        <w:outlineLvl w:val="0"/>
      </w:pPr>
      <w:r>
        <w:rPr>
          <w:rFonts w:hint="eastAsia" w:ascii="宋体" w:hAnsi="宋体" w:cs="宋体"/>
          <w:b/>
          <w:bCs/>
          <w:color w:val="auto"/>
          <w:sz w:val="24"/>
          <w:szCs w:val="24"/>
          <w:highlight w:val="none"/>
        </w:rPr>
        <w:t xml:space="preserve">（二）保安员工工作职责：</w:t>
      </w:r>
      <w:r/>
    </w:p>
    <w:p>
      <w:pPr>
        <w:ind w:firstLine="480"/>
        <w:spacing w:line="360" w:lineRule="auto"/>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1.严格执行二十四小时保安轮班制和单位大院封闭式管理制度，并协助完成其他工作。</w:t>
      </w:r>
      <w:r/>
    </w:p>
    <w:p>
      <w:pPr>
        <w:ind w:firstLine="480"/>
        <w:spacing w:line="360" w:lineRule="auto"/>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（1）按时交接班，不得迟到、早退，严禁脱岗、串岗和旷班。</w:t>
      </w:r>
      <w:r/>
    </w:p>
    <w:p>
      <w:pPr>
        <w:ind w:firstLine="480"/>
        <w:spacing w:line="360" w:lineRule="auto"/>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（2）工作认真负责，态度热情大方，工作时间内不做与工作无关事宜。</w:t>
      </w:r>
      <w:r/>
    </w:p>
    <w:p>
      <w:pPr>
        <w:ind w:firstLine="480"/>
        <w:spacing w:line="360" w:lineRule="auto"/>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（3）保安定时按照线路进行巡逻巡视，及时发现、处置和汇报大院内可能发生的偷盗、擅闯和消防等事件。</w:t>
      </w:r>
      <w:r/>
    </w:p>
    <w:p>
      <w:pPr>
        <w:ind w:firstLine="480"/>
        <w:spacing w:line="360" w:lineRule="auto"/>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（4）大院大门必须保证每班不低于双人双岗值守标准。</w:t>
      </w:r>
      <w:r/>
    </w:p>
    <w:p>
      <w:pPr>
        <w:ind w:firstLine="480"/>
        <w:spacing w:line="360" w:lineRule="auto"/>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（5）做好院内大型会议、培训、比赛和展播等活动的安全和秩序维护工作。</w:t>
      </w:r>
      <w:r/>
    </w:p>
    <w:p>
      <w:pPr>
        <w:ind w:firstLine="480"/>
        <w:spacing w:line="360" w:lineRule="auto"/>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（6）做好保安室室内消控设备的值守和警示工作。</w:t>
      </w:r>
      <w:r/>
    </w:p>
    <w:p>
      <w:pPr>
        <w:ind w:firstLine="480"/>
        <w:spacing w:line="360" w:lineRule="auto"/>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（7）外来人员、车辆进入大院要审查登记，接待来访人员态度礼貌、热情，应先询问后联系受访人， 填会客单进入，出门须凭受访人签过字的会客单放行；相关物资物品运输出门的需要凭签条为准出门。</w:t>
      </w:r>
      <w:r/>
    </w:p>
    <w:p>
      <w:pPr>
        <w:ind w:firstLine="480"/>
        <w:spacing w:line="360" w:lineRule="auto"/>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（8）当值保安人员要负责大门口、保安室清洁卫生，协助维护教育E卡通窗口业务办理的秩序。</w:t>
      </w:r>
      <w:r/>
    </w:p>
    <w:p>
      <w:pPr>
        <w:ind w:firstLine="480"/>
        <w:spacing w:line="360" w:lineRule="auto"/>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（9）如遇突发事件，保安人员要沉着冷静，在力所能及的情况下先行处置并立刻报警和汇报，其他休息保安应马上到场协调解决。</w:t>
      </w:r>
      <w:r/>
    </w:p>
    <w:p>
      <w:pPr>
        <w:ind w:firstLine="480"/>
        <w:spacing w:line="360" w:lineRule="auto"/>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（10）做好大门门口和院内道路交通和停车的指引和管理工作。</w:t>
      </w:r>
      <w:r/>
    </w:p>
    <w:p>
      <w:pPr>
        <w:ind w:firstLine="480"/>
        <w:spacing w:line="360" w:lineRule="auto"/>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（11）其他工作需保安协助的在接到通知后应立刻到位。</w:t>
      </w:r>
      <w:r/>
    </w:p>
    <w:p>
      <w:pPr>
        <w:ind w:firstLine="482"/>
        <w:spacing w:line="360" w:lineRule="auto"/>
        <w:rPr>
          <w:rFonts w:ascii="宋体" w:hAnsi="宋体" w:cs="宋体"/>
          <w:b/>
          <w:bCs/>
          <w:color w:val="auto"/>
          <w:sz w:val="24"/>
          <w:szCs w:val="24"/>
          <w:highlight w:val="none"/>
        </w:rPr>
        <w:outlineLvl w:val="0"/>
      </w:pPr>
      <w:r>
        <w:rPr>
          <w:rFonts w:hint="eastAsia" w:ascii="宋体" w:hAnsi="宋体" w:cs="宋体"/>
          <w:b/>
          <w:bCs/>
          <w:color w:val="auto"/>
          <w:sz w:val="24"/>
          <w:szCs w:val="24"/>
          <w:highlight w:val="none"/>
        </w:rPr>
        <w:t xml:space="preserve">（三）保安工作制度：</w:t>
      </w:r>
      <w:r/>
    </w:p>
    <w:p>
      <w:pPr>
        <w:ind w:firstLine="424"/>
        <w:spacing w:line="360" w:lineRule="auto"/>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1.保安人员上岗执勤，必须身着统一的保安服装，佩戴统一的标志符号。保安服装、标志符号和证件的设计、制作和供应，按国家规定执行。在大院内各单位上班、下班期间要立岗，密切注意大院内外的动向，及时处理突发事件。</w:t>
      </w:r>
      <w:r/>
    </w:p>
    <w:p>
      <w:pPr>
        <w:ind w:firstLine="424"/>
        <w:spacing w:line="360" w:lineRule="auto"/>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2.准时交接班，做到不迟到、不早退，有病有事必须先向所在公司请假，待批准后才示作请假，否则作旷工处理。</w:t>
      </w:r>
      <w:r/>
    </w:p>
    <w:p>
      <w:pPr>
        <w:ind w:firstLine="424"/>
        <w:spacing w:line="360" w:lineRule="auto"/>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3.按规定查验进出大门手续。因特殊情况外出，必须验收签发的有效出门证明，或通过内部电话核实且做好登记工作。</w:t>
      </w:r>
      <w:r/>
    </w:p>
    <w:p>
      <w:pPr>
        <w:ind w:firstLine="424"/>
        <w:spacing w:line="360" w:lineRule="auto"/>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4.按照要求，使用巡更器定时定点定路线进行巡逻，及时发现安全问题，及时进行处置向单位领导报告，必要时及时报警。</w:t>
      </w:r>
      <w:r/>
    </w:p>
    <w:p>
      <w:pPr>
        <w:ind w:firstLine="424"/>
        <w:spacing w:line="360" w:lineRule="auto"/>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5.保安员值班不得擅自离岗，不得做与岗位无关事务。</w:t>
      </w:r>
      <w:r/>
    </w:p>
    <w:p>
      <w:pPr>
        <w:ind w:firstLine="424"/>
        <w:spacing w:line="360" w:lineRule="auto"/>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6.切实落实外来人员登记制度，进出货物必须认真检查，凡没有财物证明的一律禁止其携带出门。</w:t>
      </w:r>
      <w:r/>
    </w:p>
    <w:p>
      <w:pPr>
        <w:ind w:firstLine="424"/>
        <w:spacing w:line="360" w:lineRule="auto"/>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7.按要求开关大门，负责门口的卫生清洁。</w:t>
      </w:r>
      <w:r/>
    </w:p>
    <w:p>
      <w:pPr>
        <w:ind w:firstLine="424"/>
        <w:spacing w:line="360" w:lineRule="auto"/>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8.夜间值班保安不得睡觉，否则作工作失职处理。</w:t>
      </w:r>
      <w:r/>
    </w:p>
    <w:p>
      <w:pPr>
        <w:ind w:firstLine="482"/>
        <w:spacing w:line="360" w:lineRule="auto"/>
        <w:rPr>
          <w:rFonts w:ascii="宋体" w:hAnsi="宋体" w:cs="宋体"/>
          <w:b/>
          <w:bCs/>
          <w:color w:val="auto"/>
          <w:sz w:val="24"/>
          <w:szCs w:val="24"/>
          <w:highlight w:val="none"/>
        </w:rPr>
        <w:outlineLvl w:val="0"/>
      </w:pPr>
      <w:r>
        <w:rPr>
          <w:rFonts w:hint="eastAsia" w:ascii="宋体" w:hAnsi="宋体" w:cs="宋体"/>
          <w:b/>
          <w:bCs/>
          <w:color w:val="auto"/>
          <w:sz w:val="24"/>
          <w:szCs w:val="24"/>
          <w:highlight w:val="none"/>
        </w:rPr>
        <w:t xml:space="preserve">（四）项目经理和保安队长具体要求：</w:t>
      </w:r>
      <w:r/>
    </w:p>
    <w:p>
      <w:pPr>
        <w:ind w:firstLine="424"/>
        <w:spacing w:line="360" w:lineRule="auto"/>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1.有人力资源工作能力和工作经验，有相关的物业和保安工作证书和工作经验。</w:t>
      </w:r>
      <w:r/>
    </w:p>
    <w:p>
      <w:pPr>
        <w:ind w:firstLine="424"/>
        <w:spacing w:line="360" w:lineRule="auto"/>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2.有保安服务管理工作经历，根据实际情况安排和协调保安人员工作，检查监督落实保安队员工作。</w:t>
      </w:r>
      <w:r/>
    </w:p>
    <w:p>
      <w:pPr>
        <w:ind w:firstLine="424"/>
        <w:spacing w:line="360" w:lineRule="auto"/>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3.负责与招标单位管理部门沟通和协调，安排会议和活动期间的安保管理计划，负责保安人员调动，负责保安人员考核和监督。</w:t>
      </w:r>
      <w:r/>
    </w:p>
    <w:p>
      <w:pPr>
        <w:ind w:firstLine="482"/>
        <w:spacing w:line="360" w:lineRule="auto"/>
        <w:rPr>
          <w:rFonts w:ascii="宋体" w:hAnsi="宋体" w:cs="宋体"/>
          <w:b/>
          <w:bCs/>
          <w:color w:val="auto"/>
          <w:sz w:val="24"/>
          <w:szCs w:val="24"/>
          <w:highlight w:val="none"/>
        </w:rPr>
        <w:outlineLvl w:val="0"/>
      </w:pPr>
      <w:r>
        <w:rPr>
          <w:rFonts w:hint="eastAsia" w:ascii="宋体" w:hAnsi="宋体" w:cs="宋体"/>
          <w:b/>
          <w:bCs/>
          <w:color w:val="auto"/>
          <w:sz w:val="24"/>
          <w:szCs w:val="24"/>
          <w:highlight w:val="none"/>
        </w:rPr>
        <w:t xml:space="preserve">（五）其他服务说明：</w:t>
      </w:r>
      <w:r/>
    </w:p>
    <w:p>
      <w:pPr>
        <w:ind w:firstLine="480"/>
        <w:spacing w:line="360" w:lineRule="auto"/>
        <w:rPr>
          <w:rFonts w:ascii="宋体" w:hAnsi="宋体"/>
          <w:color w:val="auto"/>
          <w:sz w:val="24"/>
          <w:szCs w:val="24"/>
          <w:highlight w:val="none"/>
        </w:rPr>
      </w:pPr>
      <w:r>
        <w:rPr>
          <w:rFonts w:hint="eastAsia" w:ascii="宋体" w:hAnsi="宋体" w:cs="宋体"/>
          <w:color w:val="auto"/>
          <w:sz w:val="24"/>
          <w:szCs w:val="24"/>
          <w:highlight w:val="none"/>
        </w:rPr>
        <w:t xml:space="preserve">1.投标</w:t>
      </w:r>
      <w:r>
        <w:rPr>
          <w:rFonts w:hint="eastAsia" w:ascii="宋体" w:hAnsi="宋体"/>
          <w:color w:val="auto"/>
          <w:sz w:val="24"/>
          <w:szCs w:val="24"/>
          <w:highlight w:val="none"/>
        </w:rPr>
        <w:t xml:space="preserve">单位须根据本项目实际情况在投标文件中提供详尽可行的保安服务方案。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2.投标单位在日常服务工作中应当做到建立工作台账，定期报招标</w:t>
      </w:r>
      <w:r>
        <w:rPr>
          <w:rFonts w:hint="eastAsia" w:ascii="宋体" w:hAnsi="宋体"/>
          <w:color w:val="auto"/>
          <w:sz w:val="24"/>
          <w:szCs w:val="24"/>
          <w:highlight w:val="none"/>
          <w:lang w:val="en-US" w:eastAsia="zh-CN"/>
        </w:rPr>
        <w:t xml:space="preserve">单位</w:t>
      </w:r>
      <w:r>
        <w:rPr>
          <w:rFonts w:hint="eastAsia" w:ascii="宋体" w:hAnsi="宋体"/>
          <w:color w:val="auto"/>
          <w:sz w:val="24"/>
          <w:szCs w:val="24"/>
          <w:highlight w:val="none"/>
        </w:rPr>
        <w:t xml:space="preserve">备案。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3.投标单位须针对</w:t>
      </w:r>
      <w:r>
        <w:rPr>
          <w:rFonts w:hint="eastAsia" w:ascii="宋体" w:hAnsi="宋体"/>
          <w:color w:val="auto"/>
          <w:sz w:val="24"/>
          <w:szCs w:val="24"/>
          <w:highlight w:val="none"/>
          <w:lang w:eastAsia="zh-CN"/>
        </w:rPr>
        <w:t xml:space="preserve">招标单位</w:t>
      </w:r>
      <w:r>
        <w:rPr>
          <w:rFonts w:hint="eastAsia" w:ascii="宋体" w:hAnsi="宋体"/>
          <w:color w:val="auto"/>
          <w:sz w:val="24"/>
          <w:szCs w:val="24"/>
          <w:highlight w:val="none"/>
        </w:rPr>
        <w:t xml:space="preserve">的规章制度、保密条例及操作流程等规定，对保安服务人员进行岗前培训，投标单位应当经常对服务人员进行岗位职责和安全教育，加强岗位责任考核。</w:t>
      </w:r>
      <w:r>
        <w:rPr>
          <w:rFonts w:hint="eastAsia" w:ascii="宋体" w:hAnsi="宋体"/>
          <w:color w:val="auto"/>
          <w:sz w:val="24"/>
          <w:szCs w:val="24"/>
          <w:highlight w:val="none"/>
          <w:lang w:eastAsia="zh-CN"/>
        </w:rPr>
        <w:t xml:space="preserve">招标单位</w:t>
      </w:r>
      <w:r>
        <w:rPr>
          <w:rFonts w:hint="eastAsia" w:ascii="宋体" w:hAnsi="宋体"/>
          <w:color w:val="auto"/>
          <w:sz w:val="24"/>
          <w:szCs w:val="24"/>
          <w:highlight w:val="none"/>
        </w:rPr>
        <w:t xml:space="preserve">有权要求更换不合格的服务人员。因投标单位措施不当或管理不善，造成工作范围内的设施、设备、景观、物品等损坏、被盗等安全事故，对</w:t>
      </w:r>
      <w:r>
        <w:rPr>
          <w:rFonts w:hint="eastAsia" w:ascii="宋体" w:hAnsi="宋体"/>
          <w:color w:val="auto"/>
          <w:sz w:val="24"/>
          <w:szCs w:val="24"/>
          <w:highlight w:val="none"/>
          <w:lang w:eastAsia="zh-CN"/>
        </w:rPr>
        <w:t xml:space="preserve">招标单位</w:t>
      </w:r>
      <w:r>
        <w:rPr>
          <w:rFonts w:hint="eastAsia" w:ascii="宋体" w:hAnsi="宋体"/>
          <w:color w:val="auto"/>
          <w:sz w:val="24"/>
          <w:szCs w:val="24"/>
          <w:highlight w:val="none"/>
        </w:rPr>
        <w:t xml:space="preserve">造成一定损失的，投标单位须承担相应的赔偿责任。</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投标单位须为其配置的所有服务人员提供统一的工作制服，服务期间所需的物品（包括但不限于低值易耗品、工具及相关设备等）包含在投标单位的投标报价中，并承诺满足本项目服务期内的使用要求，否则其投标文件将被拒绝。其他临时性杂项应急服务费用包含在投标单位的投标报价中。</w:t>
      </w:r>
      <w:r/>
    </w:p>
    <w:p>
      <w:pPr>
        <w:ind w:firstLine="480"/>
        <w:spacing w:line="360" w:lineRule="auto"/>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5.投标单位须为服务人员购买用工意外伤害保险，</w:t>
      </w:r>
      <w:r>
        <w:rPr>
          <w:rFonts w:hint="eastAsia" w:ascii="宋体" w:hAnsi="宋体" w:cs="宋体"/>
          <w:color w:val="auto"/>
          <w:sz w:val="24"/>
          <w:szCs w:val="24"/>
          <w:highlight w:val="none"/>
          <w:lang w:eastAsia="zh-CN"/>
        </w:rPr>
        <w:t xml:space="preserve">招标单位</w:t>
      </w:r>
      <w:r>
        <w:rPr>
          <w:rFonts w:hint="eastAsia" w:ascii="宋体" w:hAnsi="宋体" w:cs="宋体"/>
          <w:color w:val="auto"/>
          <w:sz w:val="24"/>
          <w:szCs w:val="24"/>
          <w:highlight w:val="none"/>
        </w:rPr>
        <w:t xml:space="preserve">不承担任何法律和经济上的责任。</w:t>
      </w:r>
      <w:r/>
    </w:p>
    <w:p>
      <w:pPr>
        <w:ind w:firstLine="480"/>
        <w:spacing w:line="360" w:lineRule="auto"/>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6.所有配套辅助用房的钥匙由</w:t>
      </w: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rPr>
        <w:t xml:space="preserve">单位管理，并根据要求及时开关，并做好保安服务工作。</w:t>
      </w:r>
      <w:r/>
    </w:p>
    <w:p>
      <w:pPr>
        <w:ind w:firstLine="480"/>
        <w:spacing w:line="360" w:lineRule="auto"/>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7.投标单位单位在履行合同期间，其服务质量考核如未能达到招标文件规定的标准或其投标承诺，则招标单位有权要求整改到位并不予结算相关费用或终止合同，相关损失和责任由投标单位承担。</w:t>
      </w:r>
      <w:r/>
    </w:p>
    <w:p>
      <w:pPr>
        <w:ind w:firstLine="480"/>
        <w:spacing w:line="360" w:lineRule="auto"/>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8.投标单位在履行合同期间，若所提供的服务不能令招标单位满意，如减少双方约定的服务范围，保安人员的素质水平、工作态度等，则招标单位有权要求投标单位在指定时间内更换人员。</w:t>
      </w:r>
      <w:r/>
    </w:p>
    <w:p>
      <w:pPr>
        <w:ind w:firstLine="480"/>
        <w:spacing w:line="360" w:lineRule="auto"/>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9.投标单位应根据招标单位实际情况对保安人员进行针对性培训，在经过招标单位审查（面试）合格后方可正式上岗，否则招标单位有权要求更换直至符合为止。</w:t>
      </w:r>
      <w:r/>
    </w:p>
    <w:p>
      <w:pPr>
        <w:ind w:firstLine="480"/>
        <w:spacing w:line="360" w:lineRule="auto"/>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10.其他临时性杂项应急服务费用均包含在响应报价中。</w:t>
      </w:r>
      <w:r/>
    </w:p>
    <w:p>
      <w:pPr>
        <w:ind w:firstLine="480"/>
        <w:spacing w:line="360" w:lineRule="auto"/>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11.投标单位签订合同前必须向招标单位提供以下材料原件：所有保安人员的相关证件、简历及无犯罪记录的相关证明，否则招标单位将有权拒绝签订合同。上述所有原件须交招标单位处留存直至合同履行完毕，投标单位须在投标文件中对上述内容进行承诺，否则其投标文件将被拒绝。如需更换服务人员，应以书面形式向招标单位提出，经面试同意后方可更换并留存相关证明、证书或证件原件。投标</w:t>
      </w:r>
      <w:r>
        <w:rPr>
          <w:rFonts w:hint="eastAsia" w:ascii="宋体" w:hAnsi="宋体"/>
          <w:color w:val="auto"/>
          <w:sz w:val="24"/>
          <w:szCs w:val="24"/>
          <w:highlight w:val="none"/>
        </w:rPr>
        <w:t xml:space="preserve">单位在未征得</w:t>
      </w:r>
      <w:r>
        <w:rPr>
          <w:rFonts w:hint="eastAsia" w:ascii="宋体" w:hAnsi="宋体"/>
          <w:color w:val="auto"/>
          <w:sz w:val="24"/>
          <w:szCs w:val="24"/>
          <w:highlight w:val="none"/>
          <w:lang w:eastAsia="zh-CN"/>
        </w:rPr>
        <w:t xml:space="preserve">招标单位</w:t>
      </w:r>
      <w:r>
        <w:rPr>
          <w:rFonts w:hint="eastAsia" w:ascii="宋体" w:hAnsi="宋体"/>
          <w:color w:val="auto"/>
          <w:sz w:val="24"/>
          <w:szCs w:val="24"/>
          <w:highlight w:val="none"/>
        </w:rPr>
        <w:t xml:space="preserve">同意的情况下调整服务人员，则</w:t>
      </w:r>
      <w:r>
        <w:rPr>
          <w:rFonts w:hint="eastAsia" w:ascii="宋体" w:hAnsi="宋体"/>
          <w:color w:val="auto"/>
          <w:sz w:val="24"/>
          <w:szCs w:val="24"/>
          <w:highlight w:val="none"/>
          <w:lang w:eastAsia="zh-CN"/>
        </w:rPr>
        <w:t xml:space="preserve">招标单位</w:t>
      </w:r>
      <w:r>
        <w:rPr>
          <w:rFonts w:hint="eastAsia" w:ascii="宋体" w:hAnsi="宋体"/>
          <w:color w:val="auto"/>
          <w:sz w:val="24"/>
          <w:szCs w:val="24"/>
          <w:highlight w:val="none"/>
        </w:rPr>
        <w:t xml:space="preserve">有权拒绝签订或终止合同，相关责任均由投标单位自行承担，并承担由此给</w:t>
      </w:r>
      <w:r>
        <w:rPr>
          <w:rFonts w:hint="eastAsia" w:ascii="宋体" w:hAnsi="宋体"/>
          <w:color w:val="auto"/>
          <w:sz w:val="24"/>
          <w:szCs w:val="24"/>
          <w:highlight w:val="none"/>
          <w:lang w:eastAsia="zh-CN"/>
        </w:rPr>
        <w:t xml:space="preserve">招标单位</w:t>
      </w:r>
      <w:r>
        <w:rPr>
          <w:rFonts w:hint="eastAsia" w:ascii="宋体" w:hAnsi="宋体"/>
          <w:color w:val="auto"/>
          <w:sz w:val="24"/>
          <w:szCs w:val="24"/>
          <w:highlight w:val="none"/>
        </w:rPr>
        <w:t xml:space="preserve">造成的所有损失。</w:t>
      </w:r>
      <w:r/>
    </w:p>
    <w:p>
      <w:pPr>
        <w:ind w:firstLine="424"/>
        <w:spacing w:line="360" w:lineRule="auto"/>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12.投标文件中所提供的服务人员须专人专用，如有人员调整须在合同签订前征得招标单位同意。投标单位在未征得招标单位同意的情况下调整服务人员，则招标单位有权拒绝签订或终止合同，相关责任均由投标单位承担。</w:t>
      </w:r>
      <w:r/>
    </w:p>
    <w:p>
      <w:pPr>
        <w:ind w:firstLine="424"/>
        <w:spacing w:line="360" w:lineRule="auto"/>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13.投标单位须在招标单位每季度服务费支付前向其提供由该投标单位为其所有服务人员缴纳的当前季度连续三个月的社保缴费证明原件，该证明须由社保部门出具（加盖章，打印无效）并体现对应人员姓名及缴费期限，否则招标单位将不予结算相关费用或终止合同，相关损失和责任由投标单位承担。</w:t>
      </w:r>
      <w:r/>
    </w:p>
    <w:p>
      <w:pPr>
        <w:ind w:firstLine="424"/>
        <w:spacing w:line="360" w:lineRule="auto"/>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14.投标单位必须保证：所有工作人员的工资不得低于招标单位所在地目前人均最低工资标准，社保不得低于投标单位所在行政区域标准，否则投标无效。</w:t>
      </w:r>
      <w:r/>
    </w:p>
    <w:p>
      <w:pPr>
        <w:ind w:firstLine="480"/>
        <w:spacing w:line="360" w:lineRule="auto"/>
        <w:rPr>
          <w:color w:val="auto"/>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.若投标单位在服务期间出现重大责任事故问题，招标单位有权直接解除服务合同，且无需承担任何责任。</w:t>
      </w:r>
      <w:r/>
    </w:p>
    <w:p>
      <w:pPr>
        <w:pStyle w:val="895"/>
        <w:ind w:firstLine="480"/>
        <w:spacing w:before="0" w:beforeAutospacing="0" w:after="0" w:afterAutospacing="0" w:line="360" w:lineRule="auto"/>
        <w:widowControl w:val="off"/>
        <w:rPr>
          <w:bCs/>
          <w:color w:val="auto"/>
          <w:highlight w:val="none"/>
        </w:rPr>
      </w:pPr>
      <w:r>
        <w:rPr>
          <w:rFonts w:hint="eastAsia"/>
          <w:bCs/>
          <w:color w:val="auto"/>
          <w:highlight w:val="none"/>
          <w:lang w:val="en-US" w:eastAsia="zh-CN"/>
        </w:rPr>
        <w:t xml:space="preserve">三</w:t>
      </w:r>
      <w:r>
        <w:rPr>
          <w:rFonts w:hint="eastAsia"/>
          <w:bCs/>
          <w:color w:val="auto"/>
          <w:highlight w:val="none"/>
        </w:rPr>
        <w:t xml:space="preserve">、综合要求：</w:t>
      </w:r>
      <w:r/>
    </w:p>
    <w:p>
      <w:pPr>
        <w:ind w:firstLine="480"/>
        <w:jc w:val="left"/>
        <w:spacing w:line="360" w:lineRule="auto"/>
        <w:widowControl/>
        <w:rPr>
          <w:rFonts w:ascii="宋体" w:cs="宋体"/>
          <w:color w:val="auto"/>
          <w:sz w:val="24"/>
          <w:szCs w:val="24"/>
          <w:highlight w:val="none"/>
        </w:rPr>
      </w:pPr>
      <w:r>
        <w:rPr>
          <w:rFonts w:hint="eastAsia" w:ascii="宋体" w:cs="宋体"/>
          <w:color w:val="auto"/>
          <w:sz w:val="24"/>
          <w:szCs w:val="24"/>
          <w:highlight w:val="none"/>
        </w:rPr>
        <w:t xml:space="preserve">1、投标人所提供的相关服务应符合国家有关标准和规范，遵循招标文件的要求，并提供详细说明。</w:t>
      </w:r>
      <w:r/>
    </w:p>
    <w:p>
      <w:pPr>
        <w:ind w:firstLine="480"/>
        <w:jc w:val="left"/>
        <w:spacing w:line="360" w:lineRule="auto"/>
        <w:widowControl/>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2、投标人必须承诺招标文件中提出的全部综合管理要求，如果其中某些条款不响应时，应在文件中逐条列出，未列出的视同响应。</w:t>
      </w:r>
      <w:r/>
    </w:p>
    <w:p>
      <w:pPr>
        <w:ind w:firstLine="480"/>
        <w:jc w:val="left"/>
        <w:spacing w:line="360" w:lineRule="auto"/>
        <w:widowControl/>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3、投标人提供的投标文件内容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r/>
    </w:p>
    <w:p>
      <w:pPr>
        <w:ind w:firstLine="480"/>
        <w:jc w:val="left"/>
        <w:spacing w:line="360" w:lineRule="auto"/>
        <w:widowControl/>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4、各投标人按以上要求制定出具体的投标方案，达到的标准，提供的人力、物力，如日常保安服务、维保服务内容标准、配置人员数量等。</w:t>
      </w:r>
      <w:r/>
    </w:p>
    <w:p>
      <w:pPr>
        <w:ind w:firstLine="480"/>
        <w:jc w:val="left"/>
        <w:spacing w:line="360" w:lineRule="auto"/>
        <w:widowControl/>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5、投标人的现行营运状况要求：具有科学合理的组织架构，严格的管理细则和岗位责任制度。具有提供完善的后勤管理和保障服务的能力，并具有一定的企业规模。</w:t>
      </w:r>
      <w:r/>
    </w:p>
    <w:p>
      <w:pPr>
        <w:ind w:firstLine="480"/>
        <w:jc w:val="left"/>
        <w:spacing w:line="360" w:lineRule="auto"/>
        <w:widowControl/>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6、投标人应针对本次招标项目特点编写公司中标后拟采取的管理方案、验收标准。包括组织计划、人员安排、时间安排、设备工具的安排等，遇重大、紧急事项的应急措施等。</w:t>
      </w:r>
      <w:r/>
    </w:p>
    <w:p>
      <w:pPr>
        <w:ind w:firstLine="480"/>
        <w:jc w:val="left"/>
        <w:spacing w:line="360" w:lineRule="auto"/>
        <w:widowControl/>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7、按招标需求全年365天24小时不间断提供服务，包括处理各项突发事件及紧急任务。</w:t>
      </w:r>
      <w:r/>
    </w:p>
    <w:p>
      <w:pPr>
        <w:ind w:firstLine="480"/>
        <w:jc w:val="left"/>
        <w:spacing w:line="360" w:lineRule="auto"/>
        <w:widowControl/>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8、工作过程中因投标人责任所造成的经济损失由投标人按实际金额赔偿。</w:t>
      </w:r>
      <w:r/>
    </w:p>
    <w:p>
      <w:pPr>
        <w:ind w:firstLine="480"/>
        <w:jc w:val="left"/>
        <w:spacing w:line="360" w:lineRule="auto"/>
        <w:widowControl/>
        <w:rPr>
          <w:rFonts w:hint="eastAsia" w:ascii="宋体" w:eastAsia="宋体" w:cs="宋体"/>
          <w:color w:val="auto"/>
          <w:sz w:val="24"/>
          <w:szCs w:val="24"/>
          <w:highlight w:val="none"/>
        </w:rPr>
      </w:pPr>
      <w:r>
        <w:rPr>
          <w:rFonts w:hint="eastAsia" w:ascii="宋体" w:cs="宋体"/>
          <w:color w:val="auto"/>
          <w:sz w:val="24"/>
          <w:szCs w:val="24"/>
          <w:highlight w:val="none"/>
          <w:lang w:val="en-US" w:eastAsia="zh-CN"/>
        </w:rPr>
        <w:t xml:space="preserve">9</w:t>
      </w:r>
      <w:r>
        <w:rPr>
          <w:rFonts w:hint="eastAsia" w:ascii="宋体" w:eastAsia="宋体" w:cs="宋体"/>
          <w:color w:val="auto"/>
          <w:sz w:val="24"/>
          <w:szCs w:val="24"/>
          <w:highlight w:val="none"/>
        </w:rPr>
        <w:t xml:space="preserve">、凡涉及本项目的补充说明和修改，均以苏州市政府采购网上发布的信息为准。</w:t>
      </w:r>
      <w:r/>
    </w:p>
    <w:p>
      <w:pPr>
        <w:ind w:firstLine="480"/>
        <w:spacing w:line="360" w:lineRule="auto"/>
        <w:rPr>
          <w:rFonts w:ascii="宋体" w:cs="宋体"/>
          <w:color w:val="auto"/>
          <w:sz w:val="24"/>
          <w:szCs w:val="24"/>
          <w:highlight w:val="none"/>
        </w:rPr>
      </w:pPr>
      <w:r>
        <w:rPr>
          <w:rFonts w:ascii="宋体" w:cs="宋体"/>
          <w:color w:val="auto"/>
          <w:sz w:val="24"/>
          <w:szCs w:val="24"/>
          <w:highlight w:val="none"/>
        </w:rPr>
      </w:r>
      <w:r/>
    </w:p>
    <w:p>
      <w:pPr>
        <w:pStyle w:val="881"/>
        <w:rPr>
          <w:rFonts w:ascii="宋体" w:cs="宋体"/>
          <w:color w:val="auto"/>
          <w:sz w:val="24"/>
          <w:szCs w:val="24"/>
          <w:highlight w:val="none"/>
        </w:rPr>
      </w:pPr>
      <w:r>
        <w:rPr>
          <w:rFonts w:ascii="宋体" w:cs="宋体"/>
          <w:color w:val="auto"/>
          <w:sz w:val="24"/>
          <w:szCs w:val="24"/>
          <w:highlight w:val="none"/>
        </w:rPr>
      </w:r>
      <w:r/>
    </w:p>
    <w:p>
      <w:pPr>
        <w:pStyle w:val="882"/>
        <w:rPr>
          <w:rFonts w:ascii="宋体" w:cs="宋体"/>
          <w:color w:val="auto"/>
          <w:sz w:val="24"/>
          <w:szCs w:val="24"/>
          <w:highlight w:val="none"/>
        </w:rPr>
      </w:pPr>
      <w:r>
        <w:rPr>
          <w:rFonts w:ascii="宋体" w:cs="宋体"/>
          <w:color w:val="auto"/>
          <w:sz w:val="24"/>
          <w:szCs w:val="24"/>
          <w:highlight w:val="none"/>
        </w:rPr>
      </w:r>
      <w:r/>
    </w:p>
    <w:p>
      <w:pPr>
        <w:pStyle w:val="882"/>
        <w:rPr>
          <w:rFonts w:ascii="宋体" w:cs="宋体"/>
          <w:color w:val="auto"/>
          <w:sz w:val="24"/>
          <w:szCs w:val="24"/>
          <w:highlight w:val="none"/>
        </w:rPr>
      </w:pPr>
      <w:r>
        <w:rPr>
          <w:rFonts w:ascii="宋体" w:cs="宋体"/>
          <w:color w:val="auto"/>
          <w:sz w:val="24"/>
          <w:szCs w:val="24"/>
          <w:highlight w:val="none"/>
        </w:rPr>
      </w:r>
      <w:r/>
    </w:p>
    <w:p>
      <w:pPr>
        <w:pStyle w:val="882"/>
        <w:rPr>
          <w:rFonts w:ascii="宋体" w:cs="宋体"/>
          <w:color w:val="auto"/>
          <w:sz w:val="24"/>
          <w:szCs w:val="24"/>
          <w:highlight w:val="none"/>
        </w:rPr>
      </w:pPr>
      <w:r>
        <w:rPr>
          <w:rFonts w:ascii="宋体" w:cs="宋体"/>
          <w:color w:val="auto"/>
          <w:sz w:val="24"/>
          <w:szCs w:val="24"/>
          <w:highlight w:val="none"/>
        </w:rPr>
      </w:r>
      <w:r/>
    </w:p>
    <w:p>
      <w:pPr>
        <w:pStyle w:val="882"/>
        <w:rPr>
          <w:rFonts w:ascii="宋体" w:cs="宋体"/>
          <w:color w:val="auto"/>
          <w:sz w:val="24"/>
          <w:szCs w:val="24"/>
          <w:highlight w:val="none"/>
        </w:rPr>
      </w:pPr>
      <w:r>
        <w:rPr>
          <w:rFonts w:ascii="宋体" w:cs="宋体"/>
          <w:color w:val="auto"/>
          <w:sz w:val="24"/>
          <w:szCs w:val="24"/>
          <w:highlight w:val="none"/>
        </w:rPr>
      </w:r>
      <w:r/>
    </w:p>
    <w:p>
      <w:pPr>
        <w:pStyle w:val="882"/>
        <w:rPr>
          <w:rFonts w:ascii="宋体" w:cs="宋体"/>
          <w:color w:val="auto"/>
          <w:sz w:val="24"/>
          <w:szCs w:val="24"/>
          <w:highlight w:val="none"/>
        </w:rPr>
      </w:pPr>
      <w:r>
        <w:rPr>
          <w:rFonts w:ascii="宋体" w:cs="宋体"/>
          <w:color w:val="auto"/>
          <w:sz w:val="24"/>
          <w:szCs w:val="24"/>
          <w:highlight w:val="none"/>
        </w:rPr>
      </w:r>
      <w:r/>
    </w:p>
    <w:p>
      <w:pPr>
        <w:pStyle w:val="882"/>
        <w:rPr>
          <w:rFonts w:ascii="宋体" w:cs="宋体"/>
          <w:color w:val="auto"/>
          <w:sz w:val="24"/>
          <w:szCs w:val="24"/>
          <w:highlight w:val="none"/>
        </w:rPr>
      </w:pPr>
      <w:r>
        <w:rPr>
          <w:rFonts w:ascii="宋体" w:cs="宋体"/>
          <w:color w:val="auto"/>
          <w:sz w:val="24"/>
          <w:szCs w:val="24"/>
          <w:highlight w:val="none"/>
        </w:rPr>
      </w:r>
      <w:r/>
    </w:p>
    <w:p>
      <w:pPr>
        <w:pStyle w:val="882"/>
        <w:rPr>
          <w:rFonts w:ascii="宋体" w:cs="宋体"/>
          <w:color w:val="auto"/>
          <w:sz w:val="24"/>
          <w:szCs w:val="24"/>
          <w:highlight w:val="none"/>
        </w:rPr>
      </w:pPr>
      <w:r>
        <w:rPr>
          <w:rFonts w:ascii="宋体" w:cs="宋体"/>
          <w:color w:val="auto"/>
          <w:sz w:val="24"/>
          <w:szCs w:val="24"/>
          <w:highlight w:val="none"/>
        </w:rPr>
      </w:r>
      <w:r/>
    </w:p>
    <w:p>
      <w:pPr>
        <w:pStyle w:val="882"/>
        <w:rPr>
          <w:rFonts w:ascii="宋体" w:cs="宋体"/>
          <w:color w:val="auto"/>
          <w:sz w:val="24"/>
          <w:szCs w:val="24"/>
          <w:highlight w:val="none"/>
        </w:rPr>
      </w:pPr>
      <w:r>
        <w:rPr>
          <w:rFonts w:ascii="宋体" w:cs="宋体"/>
          <w:color w:val="auto"/>
          <w:sz w:val="24"/>
          <w:szCs w:val="24"/>
          <w:highlight w:val="none"/>
        </w:rPr>
      </w:r>
      <w:r/>
    </w:p>
    <w:p>
      <w:pPr>
        <w:pStyle w:val="882"/>
        <w:rPr>
          <w:rFonts w:ascii="宋体" w:cs="宋体"/>
          <w:color w:val="auto"/>
          <w:sz w:val="24"/>
          <w:szCs w:val="24"/>
          <w:highlight w:val="none"/>
        </w:rPr>
      </w:pPr>
      <w:r>
        <w:rPr>
          <w:rFonts w:ascii="宋体" w:cs="宋体"/>
          <w:color w:val="auto"/>
          <w:sz w:val="24"/>
          <w:szCs w:val="24"/>
          <w:highlight w:val="none"/>
        </w:rPr>
      </w:r>
      <w:r/>
    </w:p>
    <w:p>
      <w:pPr>
        <w:pStyle w:val="882"/>
        <w:rPr>
          <w:rFonts w:ascii="宋体" w:cs="宋体"/>
          <w:color w:val="auto"/>
          <w:sz w:val="24"/>
          <w:szCs w:val="24"/>
          <w:highlight w:val="none"/>
        </w:rPr>
      </w:pPr>
      <w:r>
        <w:rPr>
          <w:rFonts w:ascii="宋体" w:cs="宋体"/>
          <w:color w:val="auto"/>
          <w:sz w:val="24"/>
          <w:szCs w:val="24"/>
          <w:highlight w:val="none"/>
        </w:rPr>
      </w:r>
      <w:r/>
    </w:p>
    <w:p>
      <w:pPr>
        <w:pStyle w:val="882"/>
        <w:rPr>
          <w:rFonts w:ascii="宋体" w:cs="宋体"/>
          <w:color w:val="auto"/>
          <w:sz w:val="24"/>
          <w:szCs w:val="24"/>
          <w:highlight w:val="none"/>
        </w:rPr>
      </w:pPr>
      <w:r>
        <w:rPr>
          <w:rFonts w:ascii="宋体" w:cs="宋体"/>
          <w:color w:val="auto"/>
          <w:sz w:val="24"/>
          <w:szCs w:val="24"/>
          <w:highlight w:val="none"/>
        </w:rPr>
      </w:r>
      <w:r/>
    </w:p>
    <w:p>
      <w:pPr>
        <w:jc w:val="center"/>
        <w:spacing w:line="360" w:lineRule="auto"/>
        <w:shd w:val="clear" w:color="auto"/>
        <w:tabs>
          <w:tab w:val="left" w:pos="709"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第五章 合同主要条款</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甲方（需方）：</w:t>
      </w:r>
      <w:r/>
    </w:p>
    <w:p>
      <w:pPr>
        <w:spacing w:line="360" w:lineRule="auto"/>
        <w:tabs>
          <w:tab w:val="left" w:pos="3600" w:leader="none"/>
        </w:tabs>
        <w:rPr>
          <w:rFonts w:ascii="宋体" w:hAnsi="宋体" w:cs="宋体"/>
          <w:color w:val="auto"/>
          <w:sz w:val="24"/>
          <w:highlight w:val="none"/>
        </w:rPr>
      </w:pPr>
      <w:r>
        <w:rPr>
          <w:rFonts w:hint="eastAsia" w:ascii="宋体" w:hAnsi="宋体" w:cs="宋体"/>
          <w:color w:val="auto"/>
          <w:sz w:val="24"/>
          <w:highlight w:val="none"/>
        </w:rPr>
        <w:t xml:space="preserve">地址：</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联系人：</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联系电话：</w:t>
      </w:r>
      <w:r/>
    </w:p>
    <w:p>
      <w:pPr>
        <w:spacing w:line="240" w:lineRule="atLeast"/>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b/>
          <w:color w:val="auto"/>
          <w:sz w:val="24"/>
          <w:highlight w:val="none"/>
        </w:rPr>
      </w:pPr>
      <w:r>
        <w:rPr>
          <w:rFonts w:hint="eastAsia" w:ascii="宋体" w:hAnsi="宋体"/>
          <w:b/>
          <w:color w:val="auto"/>
          <w:sz w:val="24"/>
          <w:highlight w:val="none"/>
        </w:rPr>
        <w:t xml:space="preserve">乙方（供方）：</w:t>
      </w:r>
      <w:r/>
    </w:p>
    <w:p>
      <w:pPr>
        <w:spacing w:line="360" w:lineRule="auto"/>
        <w:tabs>
          <w:tab w:val="left" w:pos="3600" w:leader="none"/>
        </w:tabs>
        <w:rPr>
          <w:rFonts w:ascii="宋体" w:hAnsi="宋体"/>
          <w:color w:val="auto"/>
          <w:sz w:val="24"/>
          <w:highlight w:val="none"/>
        </w:rPr>
      </w:pPr>
      <w:r>
        <w:rPr>
          <w:rFonts w:hint="eastAsia" w:ascii="宋体" w:hAnsi="宋体"/>
          <w:color w:val="auto"/>
          <w:sz w:val="24"/>
          <w:highlight w:val="none"/>
        </w:rPr>
        <w:t xml:space="preserve">地址：</w:t>
      </w:r>
      <w:r/>
    </w:p>
    <w:p>
      <w:pPr>
        <w:spacing w:line="360" w:lineRule="auto"/>
        <w:tabs>
          <w:tab w:val="left" w:pos="3600" w:leader="none"/>
        </w:tabs>
        <w:rPr>
          <w:rFonts w:ascii="宋体" w:hAnsi="宋体"/>
          <w:color w:val="auto"/>
          <w:sz w:val="24"/>
          <w:highlight w:val="none"/>
        </w:rPr>
      </w:pPr>
      <w:r>
        <w:rPr>
          <w:rFonts w:hint="eastAsia" w:ascii="宋体" w:hAnsi="宋体"/>
          <w:color w:val="auto"/>
          <w:sz w:val="24"/>
          <w:highlight w:val="none"/>
        </w:rPr>
        <w:t xml:space="preserve">联系人：</w:t>
      </w:r>
      <w:r/>
    </w:p>
    <w:p>
      <w:pPr>
        <w:spacing w:line="360" w:lineRule="auto"/>
        <w:tabs>
          <w:tab w:val="left" w:pos="3600" w:leader="none"/>
        </w:tabs>
        <w:rPr>
          <w:rFonts w:ascii="宋体" w:hAnsi="宋体"/>
          <w:color w:val="auto"/>
          <w:sz w:val="24"/>
          <w:highlight w:val="none"/>
        </w:rPr>
      </w:pPr>
      <w:r>
        <w:rPr>
          <w:rFonts w:hint="eastAsia" w:ascii="宋体" w:hAnsi="宋体"/>
          <w:color w:val="auto"/>
          <w:sz w:val="24"/>
          <w:highlight w:val="none"/>
        </w:rPr>
        <w:t xml:space="preserve">联系电话：</w:t>
      </w:r>
      <w:r/>
    </w:p>
    <w:p>
      <w:pPr>
        <w:spacing w:line="240" w:lineRule="atLeast"/>
        <w:tabs>
          <w:tab w:val="left" w:pos="3600" w:leader="none"/>
        </w:tabs>
        <w:rPr>
          <w:rFonts w:ascii="宋体" w:hAnsi="宋体"/>
          <w:color w:val="auto"/>
          <w:sz w:val="24"/>
          <w:highlight w:val="none"/>
        </w:rPr>
      </w:pPr>
      <w:r>
        <w:rPr>
          <w:rFonts w:ascii="宋体" w:hAnsi="宋体"/>
          <w:color w:val="auto"/>
          <w:sz w:val="24"/>
          <w:highlight w:val="none"/>
        </w:rPr>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u w:val="single"/>
        </w:rPr>
        <w:t xml:space="preserve">《中华人民共和国民法典》</w:t>
      </w:r>
      <w:r>
        <w:rPr>
          <w:rFonts w:hint="eastAsia" w:ascii="宋体" w:hAnsi="宋体" w:cs="宋体"/>
          <w:color w:val="auto"/>
          <w:sz w:val="24"/>
          <w:szCs w:val="24"/>
          <w:highlight w:val="none"/>
        </w:rPr>
        <w:t xml:space="preserve">及其他相关法律、法规的规定以及根据苏州市政府采购招标编号</w:t>
      </w:r>
      <w:r>
        <w:rPr>
          <w:rFonts w:hint="eastAsia" w:ascii="宋体" w:hAnsi="宋体" w:cs="宋体"/>
          <w:color w:val="auto"/>
          <w:sz w:val="24"/>
          <w:szCs w:val="24"/>
          <w:highlight w:val="none"/>
          <w:u w:val="single"/>
          <w:lang w:eastAsia="zh-CN"/>
        </w:rPr>
        <w:t xml:space="preserve">JSZC-320500-SZZJ-G2025-0052</w:t>
      </w:r>
      <w:r>
        <w:rPr>
          <w:rFonts w:hint="eastAsia" w:ascii="宋体" w:hAnsi="宋体" w:cs="宋体"/>
          <w:color w:val="auto"/>
          <w:sz w:val="24"/>
          <w:szCs w:val="24"/>
          <w:highlight w:val="none"/>
        </w:rPr>
        <w:t xml:space="preserve">号招标文件及乙方中标的投标文件和中标通知书，甲乙双方就此次中标的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劳动路289号大院安全保卫服务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none"/>
          <w:lang w:val="en-US" w:eastAsia="zh-CN"/>
        </w:rPr>
        <w:t xml:space="preserve">项目</w:t>
      </w:r>
      <w:r>
        <w:rPr>
          <w:rFonts w:hint="eastAsia" w:ascii="宋体" w:hAnsi="宋体" w:cs="宋体"/>
          <w:color w:val="auto"/>
          <w:sz w:val="24"/>
          <w:szCs w:val="24"/>
          <w:highlight w:val="none"/>
        </w:rPr>
        <w:t xml:space="preserve">招标事宜（以下简称“本服务项目”），签订本合同书，以兹共同遵守。</w:t>
      </w:r>
      <w:r/>
    </w:p>
    <w:p>
      <w:pPr>
        <w:ind w:firstLine="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一、下列文件为本合同不可分割的组成部分：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（一）招标文件</w:t>
      </w:r>
      <w:r>
        <w:rPr>
          <w:rFonts w:hint="eastAsia" w:ascii="宋体" w:hAnsi="宋体" w:cs="宋体"/>
          <w:color w:val="auto"/>
          <w:sz w:val="24"/>
          <w:szCs w:val="24"/>
          <w:highlight w:val="none"/>
          <w:lang w:eastAsia="zh-CN"/>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（二）乙方的投标文件</w:t>
      </w:r>
      <w:r>
        <w:rPr>
          <w:rFonts w:hint="eastAsia" w:ascii="宋体" w:hAnsi="宋体" w:cs="宋体"/>
          <w:color w:val="auto"/>
          <w:sz w:val="24"/>
          <w:szCs w:val="24"/>
          <w:highlight w:val="none"/>
          <w:lang w:eastAsia="zh-CN"/>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（三）乙方在投标过程中所作的其他承诺、声明、书面澄清等</w:t>
      </w:r>
      <w:r>
        <w:rPr>
          <w:rFonts w:hint="eastAsia" w:ascii="宋体" w:hAnsi="宋体" w:cs="宋体"/>
          <w:color w:val="auto"/>
          <w:sz w:val="24"/>
          <w:szCs w:val="24"/>
          <w:highlight w:val="none"/>
          <w:lang w:eastAsia="zh-CN"/>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（四）中标通知书</w:t>
      </w:r>
      <w:r>
        <w:rPr>
          <w:rFonts w:hint="eastAsia" w:ascii="宋体" w:hAnsi="宋体" w:cs="宋体"/>
          <w:color w:val="auto"/>
          <w:sz w:val="24"/>
          <w:szCs w:val="24"/>
          <w:highlight w:val="none"/>
          <w:lang w:eastAsia="zh-CN"/>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（五）本合同书。</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以上文件与本合同具有同等法律效力，如上述文件之间有冲突的，以上标准较高的为准，其次以文件排列次序优先进行解释。</w:t>
      </w:r>
      <w:r/>
    </w:p>
    <w:p>
      <w:pPr>
        <w:ind w:firstLine="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二、合同内容：</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（一）乙方负责提供甲方所需的</w:t>
      </w:r>
      <w:r>
        <w:rPr>
          <w:rFonts w:hint="eastAsia" w:ascii="宋体" w:hAnsi="宋体" w:cs="宋体"/>
          <w:color w:val="auto"/>
          <w:sz w:val="24"/>
          <w:szCs w:val="24"/>
          <w:highlight w:val="none"/>
        </w:rPr>
        <w:t xml:space="preserve">劳动路289号大院的整体安保服务</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（二）服务范围：详见招标文件要求。</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（三）服务期限：</w:t>
      </w:r>
      <w:r>
        <w:rPr>
          <w:rFonts w:hint="eastAsia" w:ascii="宋体" w:hAnsi="宋体" w:cs="宋体"/>
          <w:color w:val="auto"/>
          <w:sz w:val="24"/>
          <w:highlight w:val="none"/>
          <w:lang w:eastAsia="zh-CN"/>
        </w:rPr>
        <w:t xml:space="preserve">一年。（具体时间以甲方要求为准）。</w:t>
      </w:r>
      <w:r/>
    </w:p>
    <w:p>
      <w:pPr>
        <w:ind w:firstLine="480"/>
        <w:spacing w:line="360" w:lineRule="auto"/>
        <w:rPr>
          <w:color w:val="auto"/>
          <w:sz w:val="24"/>
          <w:szCs w:val="24"/>
          <w:highlight w:val="none"/>
        </w:rPr>
      </w:pPr>
      <w:r>
        <w:rPr>
          <w:rFonts w:hint="eastAsia"/>
          <w:color w:val="auto"/>
          <w:sz w:val="24"/>
          <w:szCs w:val="24"/>
          <w:highlight w:val="none"/>
        </w:rPr>
        <w:t xml:space="preserve">（四）服务地点：根据甲方指定地点。</w:t>
      </w:r>
      <w:r/>
    </w:p>
    <w:p>
      <w:pPr>
        <w:ind w:firstLine="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三、价格与支付：</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（一）本合同价格按此次成交价格执行，本合同（含税）总金额为：</w:t>
      </w:r>
      <w:r>
        <w:rPr>
          <w:rFonts w:hint="eastAsia" w:ascii="宋体" w:hAnsi="宋体" w:cs="宋体"/>
          <w:color w:val="auto"/>
          <w:sz w:val="24"/>
          <w:szCs w:val="24"/>
          <w:highlight w:val="none"/>
          <w:u w:val="single"/>
        </w:rPr>
        <w:t xml:space="preserve">人民币（大写）          </w:t>
      </w:r>
      <w:r>
        <w:rPr>
          <w:rFonts w:hint="eastAsia" w:ascii="宋体" w:hAnsi="宋体" w:cs="宋体"/>
          <w:color w:val="auto"/>
          <w:sz w:val="24"/>
          <w:szCs w:val="24"/>
          <w:highlight w:val="none"/>
        </w:rPr>
        <w:t xml:space="preserve">元整，</w:t>
      </w:r>
      <w:r>
        <w:rPr>
          <w:rFonts w:hint="eastAsia" w:ascii="宋体" w:hAnsi="宋体" w:cs="宋体"/>
          <w:color w:val="auto"/>
          <w:sz w:val="24"/>
          <w:szCs w:val="24"/>
          <w:highlight w:val="none"/>
          <w:u w:val="single"/>
        </w:rPr>
        <w:t xml:space="preserve">（￥：       .00元）</w:t>
      </w:r>
      <w:r>
        <w:rPr>
          <w:rFonts w:hint="eastAsia" w:ascii="宋体" w:hAnsi="宋体" w:cs="宋体"/>
          <w:color w:val="auto"/>
          <w:sz w:val="24"/>
          <w:szCs w:val="24"/>
          <w:highlight w:val="none"/>
        </w:rPr>
        <w:t xml:space="preserve">。包括在承包期内需要的服务管理内容、餐费、服装、胸卡、办公设备、各种税费、人员费、加班费、福利费、保险费、劳保、利润、其它临时性杂项应急服务费用、代理服务费、政策性文件规定及合同包含的所有风险、责任等各项应有费。</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二）付款步骤：合同签订后，甲方支付乙方合同金额的30%作为预付款。项目每月考核、每季度付款。每季度支付的价款=合同金额×17.5%，服务经甲方考核合格后凭合格的发票由甲方在下一季度第1个月的15日前支付。</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（关于项目预付款，签订合同时乙方明确表示无需预付款或者主动要求降低预付款比例的，甲方可不适用关于预付款的规定。具体实施要求按苏财购【2020】52号：一、建立政府采购资金预付款制度的相关规定。）</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（三）付款凭据：</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1.合法有效且符合甲方要求的正规发票；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2.甲方盖章或签字的对乙方每月服务质量考核表。</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（四）乙方账号信息如下</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1.乙方开户名称：               </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2.开户银行：                           </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3.银行账号：    </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4.数币账户：</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（五）付款方式：数字人民币转账、银行转账</w:t>
      </w:r>
      <w:r>
        <w:rPr>
          <w:rFonts w:hint="eastAsia" w:ascii="宋体" w:hAnsi="宋体" w:cs="宋体"/>
          <w:bCs/>
          <w:color w:val="auto"/>
          <w:sz w:val="24"/>
          <w:szCs w:val="24"/>
          <w:highlight w:val="none"/>
          <w:lang w:eastAsia="zh-CN"/>
        </w:rPr>
        <w:t xml:space="preserve">。</w:t>
      </w:r>
      <w:r/>
    </w:p>
    <w:p>
      <w:pPr>
        <w:ind w:firstLine="0"/>
        <w:spacing w:line="360" w:lineRule="auto"/>
        <w:rPr>
          <w:rFonts w:ascii="宋体" w:hAnsi="宋体" w:cs="宋体"/>
          <w:b/>
          <w:bCs/>
          <w:color w:val="auto"/>
          <w:sz w:val="24"/>
          <w:szCs w:val="24"/>
          <w:highlight w:val="none"/>
        </w:rPr>
      </w:pPr>
      <w:r>
        <w:rPr>
          <w:rFonts w:hint="eastAsia" w:ascii="宋体" w:hAnsi="宋体" w:cs="宋体"/>
          <w:b/>
          <w:color w:val="auto"/>
          <w:sz w:val="24"/>
          <w:szCs w:val="24"/>
          <w:highlight w:val="none"/>
        </w:rPr>
        <w:t xml:space="preserve">四、</w:t>
      </w:r>
      <w:r>
        <w:rPr>
          <w:rFonts w:hint="eastAsia" w:ascii="宋体" w:hAnsi="宋体" w:cs="宋体"/>
          <w:b/>
          <w:bCs/>
          <w:color w:val="auto"/>
          <w:sz w:val="24"/>
          <w:szCs w:val="24"/>
          <w:highlight w:val="none"/>
        </w:rPr>
        <w:t xml:space="preserve">责任、风险</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（一）乙方在本次</w:t>
      </w:r>
      <w:r>
        <w:rPr>
          <w:rFonts w:hint="eastAsia" w:ascii="宋体" w:hAnsi="宋体" w:cs="宋体"/>
          <w:color w:val="auto"/>
          <w:sz w:val="24"/>
          <w:szCs w:val="24"/>
          <w:highlight w:val="none"/>
          <w:lang w:val="en-US" w:eastAsia="zh-CN"/>
        </w:rPr>
        <w:t xml:space="preserve">招标</w:t>
      </w:r>
      <w:r>
        <w:rPr>
          <w:rFonts w:hint="eastAsia" w:ascii="宋体" w:hAnsi="宋体" w:cs="宋体"/>
          <w:color w:val="auto"/>
          <w:sz w:val="24"/>
          <w:szCs w:val="24"/>
          <w:highlight w:val="none"/>
        </w:rPr>
        <w:t xml:space="preserve">项目服务工作中应当做到文明服务，在服务工作中采取必要的安全防范措施，乙方服务工作人员在岗履行职责期间发生重大安全事故、（包括乙方服务人员上下班途中），发生自身的人身伤害、伤亡，均由乙方负责处理并承担经济和道义上的责任，甲方不承担任何相关责任。因乙方导致第三方人员人身伤害、伤亡或财产损失的，由乙方承担全部经济和法律责任。</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（二）乙方必须自己完成合同内容，不得自行分包，否则，甲方有权按乙方不能完成合同处理；乙方需要分包的都必须在投标文件中明确单位承担和承担单位的情况介绍。</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（三）乙方应执行国家有关规定（如苏州市最低工资标准和其他规定），负责乙方员工的生病、事故、伤残、死亡和劳动/劳务纠纷，甲方不承担任何相关责任。</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（四）乙方负有对自己员工的安全责任，甲方不承担任何相关责任。</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五）甲方与乙方服务人员不发生任何劳动和雇佣关系，乙方和服务人员应遵守安全操作规章制度，若发生人身伤害等工伤事故，以及其他由于乙方过失而造成的财产损失及人员伤亡，甲方有权终止合同并要求乙方全面负担赔偿。</w:t>
      </w:r>
      <w:r/>
    </w:p>
    <w:p>
      <w:pPr>
        <w:ind w:firstLine="48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六）知识产权：乙方应保证甲方免除且乙方承担由于甲方在本国使用该项目或项目任何一部分服务时而引起的第三方提出的侵犯专利权、商标权或工业设计权的起诉、行动、行政程序索赔、请求等以及需方为此而产生的损失和损害、费用和支出（包括但不限于律师费、差旅费、鉴定费等）。</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七）乙方应对员工进行岗位职责和安全教育，加强岗位责任考核。因乙方管理不当、违规操作发生设备损坏、被盗等安全事故对甲方造成损失的，乙方需承担相应的赔偿责任。造成第三方人员损失的，由乙方承担全部经济和法律责任。</w:t>
      </w:r>
      <w:r/>
    </w:p>
    <w:p>
      <w:pPr>
        <w:ind w:firstLine="480"/>
        <w:spacing w:line="360" w:lineRule="auto"/>
        <w:rPr>
          <w:color w:val="auto"/>
          <w:highlight w:val="none"/>
        </w:rPr>
      </w:pPr>
      <w:r>
        <w:rPr>
          <w:rFonts w:hint="eastAsia" w:ascii="宋体" w:hAnsi="宋体" w:cs="宋体"/>
          <w:color w:val="auto"/>
          <w:sz w:val="24"/>
          <w:szCs w:val="24"/>
          <w:highlight w:val="none"/>
        </w:rPr>
        <w:t xml:space="preserve">（八）乙方应在本合同解除或终止后配合甲方及新入场单位做好交接工作。</w:t>
      </w:r>
      <w:r/>
    </w:p>
    <w:p>
      <w:pPr>
        <w:ind w:firstLine="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五、考核要求：</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（一）乙方应服从甲方监督管理，甲方在检查中发现乙方在工作质量、礼节礼貌、仪表仪容、执行制度等方面存在的问题的：</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一般性失误，甲方提出后乙方立即有效更正的，给予口头警告；未能及时有效更正的，每出现一次，给予扣除最终结算总金额千分之一的处罚；</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重大失误，甲方提出后乙方立即有效更正的，给予口头警告并每次扣除最终结算总金额的千分之一；未能及时有效更正的，每出现一次，给予扣除最终结算总金额百分之一的处罚；</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严重失误并造成不可更正的后果的，甲方有权拒付尾款。</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二）乙方应保持各岗位人员相对稳定，每月底将当月出勤表提供甲方确认；甲方对上岗员工有权提出调换，乙方调换服务人员应提前告知并经甲方同意。乙方负责员工的培训、管理和交接，不得影响甲方正常工作。</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（三）乙方未经甲方同意擅自更换服务人员的，甲方有权按乙方违约或其它相关法律法规的规定进行处理，并要求乙方承担相应责任。</w:t>
      </w:r>
      <w:r/>
    </w:p>
    <w:p>
      <w:pPr>
        <w:pStyle w:val="901"/>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四）本项目乙方服务人员在服务期间原则上不允许更换，如确实需要更换的，必须至少提前一个月跟甲方报备，更换后的人员同样需要在服务的当月签订劳动合同并缴纳社保。提交社保原件时间为服务的下一个月。如不能提供，则甲方有权终止合同，同时没收其履约保证金。新增服务人员要求同上。</w:t>
      </w:r>
      <w:r/>
    </w:p>
    <w:p>
      <w:pPr>
        <w:ind w:firstLine="3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（五）服务期间，甲方有权不定期抽查服务人员与乙方的雇佣关系，如发现有未按时或停止缴纳社保或临时更换、增减人员未报备甲方的情况，甲方有权终止合同。</w:t>
      </w:r>
      <w:r/>
    </w:p>
    <w:p>
      <w:pPr>
        <w:ind w:firstLine="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六、违约责任；</w:t>
      </w:r>
      <w:r/>
    </w:p>
    <w:p>
      <w:pPr>
        <w:pStyle w:val="979"/>
        <w:ind w:firstLine="482"/>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rPr>
        <w:t xml:space="preserve">（一）甲方责任</w:t>
      </w:r>
      <w:r>
        <w:rPr>
          <w:rFonts w:hint="eastAsia" w:ascii="宋体" w:hAnsi="宋体" w:eastAsia="宋体"/>
          <w:color w:val="auto"/>
          <w:sz w:val="24"/>
          <w:szCs w:val="24"/>
          <w:highlight w:val="none"/>
          <w:lang w:val="en-US" w:eastAsia="zh-CN"/>
        </w:rPr>
        <w:t xml:space="preserve">：</w:t>
      </w:r>
      <w:r/>
    </w:p>
    <w:p>
      <w:pPr>
        <w:pStyle w:val="979"/>
        <w:ind w:firstLine="482"/>
        <w:spacing w:line="360" w:lineRule="auto"/>
        <w:rPr>
          <w:rFonts w:ascii="宋体" w:hAnsi="宋体" w:eastAsia="宋体"/>
          <w:color w:val="auto"/>
          <w:sz w:val="24"/>
          <w:szCs w:val="24"/>
          <w:highlight w:val="none"/>
          <w:lang w:val="en-US"/>
        </w:rPr>
      </w:pPr>
      <w:r>
        <w:rPr>
          <w:rFonts w:hint="eastAsia" w:ascii="宋体" w:hAnsi="宋体" w:eastAsia="宋体" w:cs="宋体"/>
          <w:color w:val="auto"/>
          <w:sz w:val="24"/>
          <w:szCs w:val="24"/>
          <w:highlight w:val="none"/>
        </w:rPr>
        <w:t xml:space="preserve">乙方按合同履约而甲方不按期付款的，甲方应向乙方偿付违约金，每逾期一天，按合同价格的万分之四偿付违约金，但总计金额不超过合同总额的2</w:t>
      </w:r>
      <w:r>
        <w:rPr>
          <w:rFonts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rPr>
        <w:t xml:space="preserve">。</w:t>
      </w:r>
      <w:r/>
    </w:p>
    <w:p>
      <w:pPr>
        <w:pStyle w:val="979"/>
        <w:ind w:firstLine="482"/>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rPr>
        <w:t xml:space="preserve">（二）乙方责任</w:t>
      </w:r>
      <w:r>
        <w:rPr>
          <w:rFonts w:hint="eastAsia" w:ascii="宋体" w:hAnsi="宋体" w:eastAsia="宋体"/>
          <w:color w:val="auto"/>
          <w:sz w:val="24"/>
          <w:szCs w:val="24"/>
          <w:highlight w:val="none"/>
          <w:lang w:val="en-US" w:eastAsia="zh-CN"/>
        </w:rPr>
        <w:t xml:space="preserve">：</w:t>
      </w:r>
      <w:r/>
    </w:p>
    <w:p>
      <w:pPr>
        <w:ind w:firstLine="48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乙方不履行合同义务或者履行合同义务不符合约定的，应当承担继续履行、采取补救措施或者赔偿损失等违约责任。</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.乙方未按合同规定的质量要求提供服务或造成甲方损失的，甲方有权拒付合同款并要求乙方按合同总额的2</w:t>
      </w:r>
      <w:r>
        <w:rPr>
          <w:rFonts w:ascii="宋体" w:hAnsi="宋体" w:cs="宋体"/>
          <w:color w:val="auto"/>
          <w:sz w:val="24"/>
          <w:szCs w:val="24"/>
          <w:highlight w:val="none"/>
        </w:rPr>
        <w:t xml:space="preserve">0%</w:t>
      </w:r>
      <w:r>
        <w:rPr>
          <w:rFonts w:hint="eastAsia" w:ascii="宋体" w:hAnsi="宋体" w:cs="宋体"/>
          <w:color w:val="auto"/>
          <w:sz w:val="24"/>
          <w:szCs w:val="24"/>
          <w:highlight w:val="none"/>
        </w:rPr>
        <w:t xml:space="preserve">承担违约金；如违约金不足以弥补甲方损失的，乙方还需向甲方承担赔偿责任。对于违约金或损失，甲方有权从应付乙方的项目款中扣除，不足部分乙方继续承担赔偿责任。</w:t>
      </w:r>
      <w:r/>
    </w:p>
    <w:p>
      <w:pPr>
        <w:ind w:firstLine="480"/>
        <w:spacing w:line="360" w:lineRule="auto"/>
        <w:rPr>
          <w:rFonts w:ascii="宋体" w:hAnsi="宋体" w:cs="宋体"/>
          <w:color w:val="auto"/>
          <w:sz w:val="24"/>
          <w:szCs w:val="24"/>
          <w:highlight w:val="none"/>
        </w:rPr>
      </w:pPr>
      <w:r>
        <w:rPr>
          <w:rFonts w:ascii="宋体" w:hAnsi="宋体" w:eastAsia="宋体" w:cs="宋体"/>
          <w:color w:val="auto"/>
          <w:sz w:val="24"/>
          <w:szCs w:val="24"/>
          <w:highlight w:val="none"/>
        </w:rPr>
        <w:t xml:space="preserve">3.</w:t>
      </w:r>
      <w:r>
        <w:rPr>
          <w:rFonts w:hint="eastAsia" w:ascii="宋体" w:hAnsi="宋体" w:eastAsia="宋体"/>
          <w:color w:val="auto"/>
          <w:sz w:val="24"/>
          <w:szCs w:val="24"/>
          <w:highlight w:val="none"/>
        </w:rPr>
        <w:t xml:space="preserve">甲方有权按照</w:t>
      </w:r>
      <w:r>
        <w:rPr>
          <w:rFonts w:hint="eastAsia" w:ascii="宋体" w:hAnsi="宋体" w:eastAsia="宋体"/>
          <w:color w:val="auto"/>
          <w:sz w:val="24"/>
          <w:szCs w:val="24"/>
          <w:highlight w:val="none"/>
          <w:lang w:val="en-US" w:eastAsia="zh-CN"/>
        </w:rPr>
        <w:t xml:space="preserve">招标</w:t>
      </w:r>
      <w:r>
        <w:rPr>
          <w:rFonts w:hint="eastAsia" w:ascii="宋体" w:hAnsi="宋体" w:eastAsia="宋体"/>
          <w:color w:val="auto"/>
          <w:sz w:val="24"/>
          <w:szCs w:val="24"/>
          <w:highlight w:val="none"/>
        </w:rPr>
        <w:t xml:space="preserve">文件或考核要求，每月对乙方的服务进行考核并有权在支付款项中扣减费用</w:t>
      </w:r>
      <w:r>
        <w:rPr>
          <w:rFonts w:ascii="宋体" w:hAnsi="宋体" w:eastAsia="宋体"/>
          <w:color w:val="auto"/>
          <w:sz w:val="24"/>
          <w:szCs w:val="24"/>
          <w:highlight w:val="none"/>
        </w:rPr>
        <w:t xml:space="preserve">；若</w:t>
      </w:r>
      <w:r>
        <w:rPr>
          <w:rFonts w:hint="eastAsia" w:ascii="宋体" w:hAnsi="宋体" w:eastAsia="宋体"/>
          <w:color w:val="auto"/>
          <w:sz w:val="24"/>
          <w:szCs w:val="24"/>
          <w:highlight w:val="none"/>
        </w:rPr>
        <w:t xml:space="preserve">乙方</w:t>
      </w:r>
      <w:r>
        <w:rPr>
          <w:rFonts w:ascii="宋体" w:hAnsi="宋体" w:eastAsia="宋体"/>
          <w:color w:val="auto"/>
          <w:sz w:val="24"/>
          <w:szCs w:val="24"/>
          <w:highlight w:val="none"/>
        </w:rPr>
        <w:t xml:space="preserve">累计发生</w:t>
      </w:r>
      <w:r>
        <w:rPr>
          <w:rFonts w:hint="eastAsia" w:ascii="宋体" w:hAnsi="宋体" w:eastAsia="宋体"/>
          <w:color w:val="auto"/>
          <w:sz w:val="24"/>
          <w:szCs w:val="24"/>
          <w:highlight w:val="none"/>
        </w:rPr>
        <w:t xml:space="preserve">三</w:t>
      </w:r>
      <w:r>
        <w:rPr>
          <w:rFonts w:ascii="宋体" w:hAnsi="宋体" w:eastAsia="宋体"/>
          <w:color w:val="auto"/>
          <w:sz w:val="24"/>
          <w:szCs w:val="24"/>
          <w:highlight w:val="none"/>
        </w:rPr>
        <w:t xml:space="preserve">次（含）以上</w:t>
      </w:r>
      <w:r>
        <w:rPr>
          <w:rFonts w:hint="eastAsia" w:ascii="宋体" w:hAnsi="宋体" w:eastAsia="宋体"/>
          <w:color w:val="auto"/>
          <w:sz w:val="24"/>
          <w:szCs w:val="24"/>
          <w:highlight w:val="none"/>
        </w:rPr>
        <w:t xml:space="preserve">重大失误</w:t>
      </w:r>
      <w:r>
        <w:rPr>
          <w:rFonts w:ascii="宋体" w:hAnsi="宋体" w:eastAsia="宋体"/>
          <w:color w:val="auto"/>
          <w:sz w:val="24"/>
          <w:szCs w:val="24"/>
          <w:highlight w:val="none"/>
        </w:rPr>
        <w:t xml:space="preserve">，甲方有权单方解除合同</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合同未履行部分</w:t>
      </w:r>
      <w:r>
        <w:rPr>
          <w:rFonts w:hint="eastAsia" w:ascii="宋体" w:hAnsi="宋体" w:eastAsia="宋体"/>
          <w:color w:val="auto"/>
          <w:sz w:val="24"/>
          <w:szCs w:val="24"/>
          <w:highlight w:val="none"/>
        </w:rPr>
        <w:t xml:space="preserve">以及考核不合格的月份，甲方已支付的款项乙方</w:t>
      </w:r>
      <w:r>
        <w:rPr>
          <w:rFonts w:ascii="宋体" w:hAnsi="宋体" w:eastAsia="宋体"/>
          <w:color w:val="auto"/>
          <w:sz w:val="24"/>
          <w:szCs w:val="24"/>
          <w:highlight w:val="none"/>
        </w:rPr>
        <w:t xml:space="preserve">应</w:t>
      </w:r>
      <w:r>
        <w:rPr>
          <w:rFonts w:hint="eastAsia" w:ascii="宋体" w:hAnsi="宋体" w:eastAsia="宋体"/>
          <w:color w:val="auto"/>
          <w:sz w:val="24"/>
          <w:szCs w:val="24"/>
          <w:highlight w:val="none"/>
        </w:rPr>
        <w:t xml:space="preserve">退还；同时乙方还应向甲方支付合同总价</w:t>
      </w:r>
      <w:r>
        <w:rPr>
          <w:rFonts w:ascii="宋体" w:hAnsi="宋体" w:eastAsia="宋体"/>
          <w:color w:val="auto"/>
          <w:sz w:val="24"/>
          <w:szCs w:val="24"/>
          <w:highlight w:val="none"/>
        </w:rPr>
        <w:t xml:space="preserve">20%</w:t>
      </w:r>
      <w:r>
        <w:rPr>
          <w:rFonts w:hint="eastAsia" w:ascii="宋体" w:hAnsi="宋体" w:eastAsia="宋体"/>
          <w:color w:val="auto"/>
          <w:sz w:val="24"/>
          <w:szCs w:val="24"/>
          <w:highlight w:val="none"/>
        </w:rPr>
        <w:t xml:space="preserve">的违约金；造成甲方损失的，乙方还应承担赔偿责任</w:t>
      </w:r>
      <w:r>
        <w:rPr>
          <w:rFonts w:ascii="宋体" w:hAnsi="宋体" w:eastAsia="宋体"/>
          <w:color w:val="auto"/>
          <w:sz w:val="24"/>
          <w:szCs w:val="24"/>
          <w:highlight w:val="none"/>
        </w:rPr>
        <w:t xml:space="preserve">。</w:t>
      </w:r>
      <w:r/>
    </w:p>
    <w:p>
      <w:pPr>
        <w:pStyle w:val="979"/>
        <w:ind w:firstLine="480"/>
        <w:spacing w:line="360" w:lineRule="auto"/>
        <w:rPr>
          <w:color w:val="auto"/>
          <w:highlight w:val="none"/>
          <w:lang w:val="en-US"/>
        </w:rPr>
      </w:pPr>
      <w:r>
        <w:rPr>
          <w:rFonts w:ascii="宋体" w:hAnsi="宋体" w:eastAsia="宋体" w:cs="宋体"/>
          <w:color w:val="auto"/>
          <w:sz w:val="24"/>
          <w:szCs w:val="24"/>
          <w:highlight w:val="none"/>
        </w:rPr>
        <w:t xml:space="preserve">4.</w:t>
      </w:r>
      <w:r>
        <w:rPr>
          <w:rFonts w:hint="eastAsia" w:ascii="宋体" w:hAnsi="宋体" w:eastAsia="宋体" w:cs="Verdana"/>
          <w:color w:val="auto"/>
          <w:sz w:val="24"/>
          <w:szCs w:val="24"/>
          <w:highlight w:val="none"/>
        </w:rPr>
        <w:t xml:space="preserve">乙方</w:t>
      </w:r>
      <w:r>
        <w:rPr>
          <w:rFonts w:ascii="宋体" w:hAnsi="宋体" w:eastAsia="宋体" w:cs="Verdana"/>
          <w:color w:val="auto"/>
          <w:sz w:val="24"/>
          <w:szCs w:val="24"/>
          <w:highlight w:val="none"/>
        </w:rPr>
        <w:t xml:space="preserve">接</w:t>
      </w:r>
      <w:r>
        <w:rPr>
          <w:rFonts w:hint="eastAsia" w:ascii="宋体" w:hAnsi="宋体" w:eastAsia="宋体" w:cs="Verdana"/>
          <w:color w:val="auto"/>
          <w:sz w:val="24"/>
          <w:szCs w:val="24"/>
          <w:highlight w:val="none"/>
        </w:rPr>
        <w:t xml:space="preserve">到</w:t>
      </w:r>
      <w:r>
        <w:rPr>
          <w:rFonts w:ascii="宋体" w:hAnsi="宋体" w:eastAsia="宋体" w:cs="Verdana"/>
          <w:color w:val="auto"/>
          <w:sz w:val="24"/>
          <w:szCs w:val="24"/>
          <w:highlight w:val="none"/>
        </w:rPr>
        <w:t xml:space="preserve">甲方书面通知</w:t>
      </w:r>
      <w:r>
        <w:rPr>
          <w:rFonts w:hint="eastAsia" w:ascii="宋体" w:hAnsi="宋体" w:eastAsia="宋体" w:cs="Verdana"/>
          <w:color w:val="auto"/>
          <w:sz w:val="24"/>
          <w:szCs w:val="24"/>
          <w:highlight w:val="none"/>
        </w:rPr>
        <w:t xml:space="preserve">履行</w:t>
      </w:r>
      <w:r>
        <w:rPr>
          <w:rFonts w:ascii="宋体" w:hAnsi="宋体" w:eastAsia="宋体" w:cs="Verdana"/>
          <w:color w:val="auto"/>
          <w:sz w:val="24"/>
          <w:szCs w:val="24"/>
          <w:highlight w:val="none"/>
        </w:rPr>
        <w:t xml:space="preserve">之日起10天内</w:t>
      </w:r>
      <w:r>
        <w:rPr>
          <w:rFonts w:hint="eastAsia" w:ascii="宋体" w:hAnsi="宋体" w:eastAsia="宋体" w:cs="Verdana"/>
          <w:color w:val="auto"/>
          <w:sz w:val="24"/>
          <w:szCs w:val="24"/>
          <w:highlight w:val="none"/>
        </w:rPr>
        <w:t xml:space="preserve">，因自身原因不履行合同的，</w:t>
      </w:r>
      <w:r>
        <w:rPr>
          <w:rFonts w:ascii="宋体" w:hAnsi="宋体" w:eastAsia="宋体" w:cs="Verdana"/>
          <w:color w:val="auto"/>
          <w:sz w:val="24"/>
          <w:szCs w:val="24"/>
          <w:highlight w:val="none"/>
        </w:rPr>
        <w:t xml:space="preserve">甲方有权</w:t>
      </w:r>
      <w:r>
        <w:rPr>
          <w:rFonts w:hint="eastAsia" w:ascii="宋体" w:hAnsi="宋体" w:eastAsia="宋体" w:cs="Verdana"/>
          <w:color w:val="auto"/>
          <w:sz w:val="24"/>
          <w:szCs w:val="24"/>
          <w:highlight w:val="none"/>
        </w:rPr>
        <w:t xml:space="preserve">单方</w:t>
      </w:r>
      <w:r>
        <w:rPr>
          <w:rFonts w:ascii="宋体" w:hAnsi="宋体" w:eastAsia="宋体" w:cs="Verdana"/>
          <w:color w:val="auto"/>
          <w:sz w:val="24"/>
          <w:szCs w:val="24"/>
          <w:highlight w:val="none"/>
        </w:rPr>
        <w:t xml:space="preserve">解除合同；</w:t>
      </w:r>
      <w:r>
        <w:rPr>
          <w:rFonts w:hint="eastAsia" w:ascii="宋体" w:hAnsi="宋体" w:eastAsia="宋体" w:cs="Verdana"/>
          <w:color w:val="auto"/>
          <w:sz w:val="24"/>
          <w:szCs w:val="24"/>
          <w:highlight w:val="none"/>
        </w:rPr>
        <w:t xml:space="preserve">同时</w:t>
      </w:r>
      <w:r>
        <w:rPr>
          <w:rFonts w:ascii="宋体" w:hAnsi="宋体" w:eastAsia="宋体" w:cs="Verdana"/>
          <w:color w:val="auto"/>
          <w:sz w:val="24"/>
          <w:szCs w:val="24"/>
          <w:highlight w:val="none"/>
        </w:rPr>
        <w:t xml:space="preserve">乙方应返还已付价款，并</w:t>
      </w:r>
      <w:r>
        <w:rPr>
          <w:rFonts w:hint="eastAsia" w:ascii="宋体" w:hAnsi="宋体" w:eastAsia="宋体" w:cs="Verdana"/>
          <w:color w:val="auto"/>
          <w:sz w:val="24"/>
          <w:szCs w:val="24"/>
          <w:highlight w:val="none"/>
        </w:rPr>
        <w:t xml:space="preserve">向甲方</w:t>
      </w:r>
      <w:r>
        <w:rPr>
          <w:rFonts w:ascii="宋体" w:hAnsi="宋体" w:eastAsia="宋体" w:cs="Verdana"/>
          <w:color w:val="auto"/>
          <w:sz w:val="24"/>
          <w:szCs w:val="24"/>
          <w:highlight w:val="none"/>
        </w:rPr>
        <w:t xml:space="preserve">支付合同总价20%的违约金。</w:t>
      </w:r>
      <w:r/>
    </w:p>
    <w:p>
      <w:pPr>
        <w:ind w:firstLine="3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（三）守约方有权要求违约方承担产生的一切费用，包括但不限于律师费、诉讼费等合理费用。</w:t>
      </w:r>
      <w:r/>
    </w:p>
    <w:p>
      <w:pPr>
        <w:ind w:firstLine="0"/>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七、</w:t>
      </w:r>
      <w:r>
        <w:rPr>
          <w:rFonts w:hint="eastAsia" w:ascii="宋体" w:hAnsi="宋体" w:cs="宋体"/>
          <w:b/>
          <w:bCs/>
          <w:color w:val="auto"/>
          <w:sz w:val="24"/>
          <w:szCs w:val="24"/>
          <w:highlight w:val="none"/>
        </w:rPr>
        <w:t xml:space="preserve">不可抗力</w:t>
      </w:r>
      <w:r>
        <w:rPr>
          <w:rFonts w:hint="eastAsia" w:ascii="宋体" w:hAnsi="宋体" w:cs="宋体"/>
          <w:b/>
          <w:bCs/>
          <w:color w:val="auto"/>
          <w:sz w:val="24"/>
          <w:szCs w:val="24"/>
          <w:highlight w:val="none"/>
          <w:lang w:eastAsia="zh-CN"/>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（一）因不可抗力不能履行合同的，根据不可抗力的影响，部分或者全部免除责任。但合同一方迟延履行后发生不可抗力的，不能免除责任。</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（二）合同一方因不可抗力不能履行合同的，应当在不可抗力发生后3日内通知对方，以减轻可能给对方造成的损失，并应当在发出通知后30日内提供书面证明。</w:t>
      </w:r>
      <w:r/>
    </w:p>
    <w:p>
      <w:pPr>
        <w:ind w:firstLine="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八、合同的解除和转让：</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(一）合同的解除</w:t>
      </w:r>
      <w:r>
        <w:rPr>
          <w:rFonts w:hint="eastAsia" w:ascii="宋体" w:hAnsi="宋体" w:cs="宋体"/>
          <w:color w:val="auto"/>
          <w:sz w:val="24"/>
          <w:szCs w:val="24"/>
          <w:highlight w:val="none"/>
          <w:lang w:eastAsia="zh-CN"/>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1.有下列情形之一，合同一方可以解除合同</w:t>
      </w:r>
      <w:r>
        <w:rPr>
          <w:rFonts w:hint="eastAsia" w:ascii="宋体" w:hAnsi="宋体" w:cs="宋体"/>
          <w:color w:val="auto"/>
          <w:sz w:val="24"/>
          <w:szCs w:val="24"/>
          <w:highlight w:val="none"/>
          <w:lang w:eastAsia="zh-CN"/>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（1）因不可抗力致使不能实现合同目的，未受不可抗力影响的一方有权解除合同</w:t>
      </w:r>
      <w:r>
        <w:rPr>
          <w:rFonts w:hint="eastAsia" w:ascii="宋体" w:hAnsi="宋体" w:cs="宋体"/>
          <w:color w:val="auto"/>
          <w:sz w:val="24"/>
          <w:szCs w:val="24"/>
          <w:highlight w:val="none"/>
          <w:lang w:eastAsia="zh-CN"/>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（2）因合同一方违约导致合同不能履行，另一方有权解除合同。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（3）有权解除合同的一方，应当在违约事实或不可抗力发生之后及时书面通知对方以主张解除合同，合同在书面通知到达对方时解除。</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 甲方经考核认为乙方不能胜任本合同约定工作的事项。</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（二）合同的转让</w:t>
      </w:r>
      <w:r>
        <w:rPr>
          <w:rFonts w:hint="eastAsia" w:ascii="宋体" w:hAnsi="宋体" w:cs="宋体"/>
          <w:color w:val="auto"/>
          <w:sz w:val="24"/>
          <w:szCs w:val="24"/>
          <w:highlight w:val="none"/>
          <w:lang w:eastAsia="zh-CN"/>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1.合同的部分和全部都不得转让。</w:t>
      </w:r>
      <w:r/>
    </w:p>
    <w:p>
      <w:pPr>
        <w:ind w:firstLine="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九、保密：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（一）乙方对在本合同签订、履行过程中知悉的甲方资料和信息，以及关于本合同的相关信息，除甲方作出相反的书面说明外，均应视为甲方的保密信息，未经甲方书面同意不得向任何第三方披露。</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二）合同履行完毕或终止解除，保密条款继续有效，乙方应继续承担保密条款约定的保密义务，保密期限为永久。若乙方未能遵守本合同约定的保密义务的，甲方可要求乙方支付本合同总金额20%的违约金，违约金不足以弥补甲方损失的，乙方应予以补足。同时，甲方有权视情节轻重单方解除合同。</w:t>
      </w:r>
      <w:r/>
    </w:p>
    <w:p>
      <w:pPr>
        <w:ind w:firstLine="0"/>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十、合同的生效：</w:t>
      </w:r>
      <w:r>
        <w:rPr>
          <w:rFonts w:hint="eastAsia" w:ascii="宋体" w:hAnsi="宋体" w:cs="宋体"/>
          <w:color w:val="auto"/>
          <w:sz w:val="24"/>
          <w:szCs w:val="24"/>
          <w:highlight w:val="none"/>
        </w:rPr>
        <w:t xml:space="preserve">甲、乙双方代表在合同上签字盖章（公章或合同章）后生效，同时需网上公示。</w:t>
      </w:r>
      <w:r/>
    </w:p>
    <w:p>
      <w:pPr>
        <w:ind w:firstLine="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十一、争议解决：</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甲乙双方因履行本合同或与本合同相关的一切事宜发生争议的，签约双方应友好协商解决。协商不成，任何一方均有权向甲方所在地人民法院起诉。因乙方违反本合同约定或乙方追究甲方违约但不成立而产生纠纷的，甲方为处理此纠纷产生的费用由乙方承担，该费用包括但不限于保全费、诉讼费、执行费、鉴定费、律师费、差旅费等。</w:t>
      </w:r>
      <w:r/>
    </w:p>
    <w:p>
      <w:pPr>
        <w:ind w:firstLine="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十二、其他附则：</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（一）合同份数：本合同一式肆份，甲乙双方各执壹份，采购代理机构壹份，政府采购监督管理部门壹份，肆份具有同等法律效力。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（二）本合同未尽事宜应按《中华人民共和国民法典》、《中华人民共和国政府采购法》以及其他相关法律、法规之规定解释，在执行过程中双方在不违背本合同和</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的原则下协商解决，协商结果以书面形式盖章记录在案，作为本合同的附件，与本合同具有同等效力，但须提交招标代理机构一份备存。</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（三）本合同首部载明的地址为甲乙双方认可的相关文件、法律文书送达地址，任何一方如更换地址的，应于更换后3日内书面通知另一方，未通知的一方自行承担送达不能等不利后果。</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备注：合同条款内容将根据乙方承诺的实际服务内容进行调整。</w:t>
      </w:r>
      <w:r/>
    </w:p>
    <w:p>
      <w:pPr>
        <w:ind w:firstLine="480"/>
        <w:spacing w:line="360" w:lineRule="auto"/>
        <w:rPr>
          <w:rFonts w:hint="eastAsia"/>
          <w:color w:val="auto"/>
          <w:highlight w:val="none"/>
          <w:lang w:val="en-US"/>
        </w:rPr>
      </w:pPr>
      <w:r>
        <w:rPr>
          <w:rFonts w:hint="eastAsia" w:ascii="宋体" w:hAnsi="宋体" w:cs="宋体"/>
          <w:color w:val="auto"/>
          <w:sz w:val="24"/>
          <w:szCs w:val="24"/>
          <w:highlight w:val="none"/>
        </w:rPr>
        <w:t xml:space="preserve">（以下无正文）</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甲方（公章）：                                乙方（公章）：</w:t>
      </w:r>
      <w:r/>
    </w:p>
    <w:p>
      <w:pPr>
        <w:ind w:left="5279" w:hanging="480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法定代表人或授权代表                          法定代表人或授权代表</w:t>
      </w:r>
      <w:r/>
    </w:p>
    <w:p>
      <w:pPr>
        <w:ind w:left="5279" w:hanging="480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（签字或盖章）：                             （签字或盖章）： </w:t>
      </w:r>
      <w:r/>
    </w:p>
    <w:p>
      <w:pPr>
        <w:ind w:firstLine="480"/>
        <w:spacing w:line="360" w:lineRule="auto"/>
        <w:rPr>
          <w:color w:val="auto"/>
          <w:highlight w:val="none"/>
        </w:rPr>
      </w:pPr>
      <w:r>
        <w:rPr>
          <w:rFonts w:hint="eastAsia" w:ascii="宋体" w:hAnsi="宋体" w:cs="宋体"/>
          <w:color w:val="auto"/>
          <w:sz w:val="24"/>
          <w:szCs w:val="24"/>
          <w:highlight w:val="none"/>
        </w:rPr>
        <w:t xml:space="preserve">签约日期：                                    签约日期： </w:t>
      </w:r>
      <w:r/>
    </w:p>
    <w:p>
      <w:pPr>
        <w:jc w:val="cente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第六章 </w:t>
      </w:r>
      <w:r>
        <w:rPr>
          <w:rFonts w:hint="eastAsia" w:ascii="宋体" w:hAnsi="宋体" w:eastAsia="宋体" w:cs="宋体"/>
          <w:b/>
          <w:bCs w:val="0"/>
          <w:color w:val="auto"/>
          <w:sz w:val="24"/>
          <w:szCs w:val="24"/>
          <w:highlight w:val="none"/>
          <w:lang w:val="en-US" w:eastAsia="zh-CN"/>
        </w:rPr>
        <w:t xml:space="preserve">评分方法和</w:t>
      </w:r>
      <w:r>
        <w:rPr>
          <w:rFonts w:hint="eastAsia" w:ascii="宋体" w:hAnsi="宋体" w:eastAsia="宋体" w:cs="宋体"/>
          <w:b/>
          <w:bCs w:val="0"/>
          <w:color w:val="auto"/>
          <w:sz w:val="24"/>
          <w:szCs w:val="24"/>
          <w:highlight w:val="none"/>
        </w:rPr>
        <w:t xml:space="preserve">评分标准</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一、评</w:t>
      </w:r>
      <w:r>
        <w:rPr>
          <w:rFonts w:hint="eastAsia" w:ascii="宋体" w:hAnsi="宋体" w:eastAsia="宋体" w:cs="宋体"/>
          <w:b/>
          <w:color w:val="auto"/>
          <w:sz w:val="24"/>
          <w:szCs w:val="24"/>
          <w:highlight w:val="none"/>
          <w:lang w:val="en-US" w:eastAsia="zh-CN"/>
        </w:rPr>
        <w:t xml:space="preserve">分方法</w:t>
      </w:r>
      <w:r>
        <w:rPr>
          <w:rFonts w:hint="eastAsia" w:ascii="宋体" w:hAnsi="宋体" w:eastAsia="宋体" w:cs="宋体"/>
          <w:b/>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1、本次招标评标采用为综合评分法，即指投标文件满足招标文件全部实质性要求，且按照评审因素的量化指标评审得分最高的投标人为中标候选人的评标方法。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2、评标委员会各成员审查每份投标文件是否实质响应了招标文件的要求，非实质性响应的投标文件将被拒绝，也不进行评审。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3、评标委员会各成员独立对每个进入打分程序的有效投标人的标书技术部分以打分的形式进行评审和评价。对评委的评分进行统计汇总时算术平均计算得分（计算结果均四舍五入保留两位小数）。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委评审得分和投标报价得分相加为投标人的评标总得分。如出现评标总得分最高的投标人有两个或两个以上的，以投标报价较低者优先作为中标候选人；如果投标报价也相同的，则由评标委员会组织以抽签方式确定。</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二、评分标准：</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总分值为100分，评审因素及各比重如下：价格分值占总分值的比重为</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％（权重），技术及其他分值占总分值的比重为</w:t>
      </w:r>
      <w:r>
        <w:rPr>
          <w:rFonts w:hint="eastAsia" w:ascii="宋体" w:hAnsi="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％（权重）。</w:t>
      </w:r>
      <w:r/>
    </w:p>
    <w:p>
      <w:pPr>
        <w:numPr>
          <w:ilvl w:val="0"/>
          <w:numId w:val="0"/>
        </w:numPr>
        <w:ind w:left="-20" w:firstLine="482"/>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（一）</w:t>
      </w:r>
      <w:r>
        <w:rPr>
          <w:rFonts w:hint="eastAsia" w:ascii="宋体" w:hAnsi="宋体" w:eastAsia="宋体" w:cs="宋体"/>
          <w:b/>
          <w:color w:val="auto"/>
          <w:sz w:val="24"/>
          <w:szCs w:val="24"/>
          <w:highlight w:val="none"/>
        </w:rPr>
        <w:t xml:space="preserve">价格分值</w:t>
      </w:r>
      <w:r>
        <w:rPr>
          <w:rFonts w:hint="eastAsia" w:ascii="宋体" w:hAnsi="宋体" w:eastAsia="宋体" w:cs="宋体"/>
          <w:b/>
          <w:color w:val="auto"/>
          <w:sz w:val="24"/>
          <w:szCs w:val="24"/>
          <w:highlight w:val="none"/>
          <w:lang w:val="en-US" w:eastAsia="zh-CN" w:bidi="ar-SA"/>
        </w:rPr>
        <w:t xml:space="preserve">：1</w:t>
      </w:r>
      <w:r>
        <w:rPr>
          <w:rFonts w:hint="eastAsia" w:ascii="宋体" w:hAnsi="宋体" w:cs="宋体"/>
          <w:b/>
          <w:color w:val="auto"/>
          <w:sz w:val="24"/>
          <w:szCs w:val="24"/>
          <w:highlight w:val="none"/>
          <w:lang w:val="en-US" w:eastAsia="zh-CN" w:bidi="ar-SA"/>
        </w:rPr>
        <w:t xml:space="preserve">0</w:t>
      </w:r>
      <w:r>
        <w:rPr>
          <w:rFonts w:hint="eastAsia" w:ascii="宋体" w:hAnsi="宋体" w:eastAsia="宋体" w:cs="宋体"/>
          <w:b/>
          <w:color w:val="auto"/>
          <w:sz w:val="24"/>
          <w:szCs w:val="24"/>
          <w:highlight w:val="none"/>
          <w:lang w:val="en-US" w:eastAsia="zh-CN" w:bidi="ar-SA"/>
        </w:rPr>
        <w:t xml:space="preserve">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第一步：投标报价不高于采购预算及最高限价的为有效报价，超出此范围的投标报价为无效报价，其投标文件不予评审，也不得标。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第二步：以满足</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文件实质性要求且投标价格最低的投标有效报价为评标基准价，其价格分为满分，即</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分。其他有效投标报价得分统一按照下列公式计算：（计算结果均四舍五入保留两位小数）</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投标报价得分＝（基准报价/投标报价）×</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％×100</w:t>
      </w:r>
      <w:r>
        <w:rPr>
          <w:rFonts w:hint="eastAsia" w:ascii="宋体" w:hAnsi="宋体" w:eastAsia="宋体" w:cs="宋体"/>
          <w:color w:val="auto"/>
          <w:sz w:val="24"/>
          <w:szCs w:val="24"/>
          <w:highlight w:val="none"/>
          <w:lang w:eastAsia="zh-CN"/>
        </w:rPr>
        <w:t xml:space="preserve">。</w:t>
      </w:r>
      <w:r/>
    </w:p>
    <w:p>
      <w:pPr>
        <w:ind w:firstLine="482"/>
        <w:spacing w:line="360" w:lineRule="auto"/>
        <w:rPr>
          <w:color w:val="auto"/>
          <w:highlight w:val="none"/>
        </w:rPr>
      </w:pPr>
      <w:r>
        <w:rPr>
          <w:rFonts w:hint="eastAsia" w:ascii="宋体" w:hAnsi="宋体" w:cs="宋体"/>
          <w:b/>
          <w:color w:val="auto"/>
          <w:sz w:val="24"/>
          <w:szCs w:val="24"/>
          <w:highlight w:val="none"/>
        </w:rPr>
        <w:t xml:space="preserve">（二）技术方案比较：</w:t>
      </w:r>
      <w:r>
        <w:rPr>
          <w:rFonts w:hint="eastAsia" w:ascii="宋体" w:hAnsi="宋体" w:cs="宋体"/>
          <w:b/>
          <w:color w:val="auto"/>
          <w:sz w:val="24"/>
          <w:szCs w:val="24"/>
          <w:highlight w:val="none"/>
          <w:lang w:val="en-US" w:eastAsia="zh-CN"/>
        </w:rPr>
        <w:t xml:space="preserve">60</w:t>
      </w:r>
      <w:r>
        <w:rPr>
          <w:rFonts w:hint="eastAsia" w:ascii="宋体" w:hAnsi="宋体" w:cs="宋体"/>
          <w:b/>
          <w:color w:val="auto"/>
          <w:sz w:val="24"/>
          <w:szCs w:val="24"/>
          <w:highlight w:val="none"/>
        </w:rPr>
        <w:t xml:space="preserve">分</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1.项目整体服务管理工作具体实施方案比较：</w:t>
      </w:r>
      <w:r>
        <w:rPr>
          <w:rFonts w:hint="eastAsia" w:ascii="宋体" w:hAnsi="宋体" w:cs="宋体"/>
          <w:b/>
          <w:bCs/>
          <w:color w:val="auto"/>
          <w:sz w:val="24"/>
          <w:szCs w:val="24"/>
          <w:highlight w:val="none"/>
          <w:lang w:val="en-US" w:eastAsia="zh-CN"/>
        </w:rPr>
        <w:t xml:space="preserve">32</w:t>
      </w:r>
      <w:r>
        <w:rPr>
          <w:rFonts w:hint="eastAsia" w:ascii="宋体" w:hAnsi="宋体" w:cs="宋体"/>
          <w:b/>
          <w:bCs/>
          <w:color w:val="auto"/>
          <w:sz w:val="24"/>
          <w:szCs w:val="24"/>
          <w:highlight w:val="none"/>
        </w:rPr>
        <w:t xml:space="preserve">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（1）日常服务标准及措施比较：8分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日常服务标准描述详尽、完整深入、规范性强，措施科学合理、可操作性强的得8分；日常服务标准描述较详尽、完整较深入、规范性较强，措施较合理、可操作性较强的得5分；日常服务标准描述简单，措施可操作性较弱的得2分；不提供或提供的内容不符合不得分。</w:t>
      </w:r>
      <w:r>
        <w:rPr>
          <w:rFonts w:hint="eastAsia" w:ascii="宋体" w:hAnsi="宋体" w:cs="宋体"/>
          <w:color w:val="auto"/>
          <w:sz w:val="24"/>
          <w:szCs w:val="24"/>
          <w:highlight w:val="none"/>
          <w:lang w:val="en-US" w:eastAsia="zh-CN"/>
        </w:rPr>
        <w:t xml:space="preserve">本项</w:t>
      </w:r>
      <w:r>
        <w:rPr>
          <w:rFonts w:hint="eastAsia" w:ascii="宋体" w:hAnsi="宋体" w:cs="宋体"/>
          <w:color w:val="auto"/>
          <w:sz w:val="24"/>
          <w:szCs w:val="24"/>
          <w:highlight w:val="none"/>
        </w:rPr>
        <w:t xml:space="preserve">最高8分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（2）保安工作管理方案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保安工作管理方案：方案完整合理，岗位分配明确，工作流程清晰、</w:t>
      </w:r>
      <w:r>
        <w:rPr>
          <w:rFonts w:hint="eastAsia" w:ascii="宋体" w:hAnsi="宋体" w:cs="宋体"/>
          <w:color w:val="auto"/>
          <w:sz w:val="24"/>
          <w:szCs w:val="24"/>
          <w:highlight w:val="none"/>
        </w:rPr>
        <w:t xml:space="preserve">能够有效实施保安管理工作</w:t>
      </w:r>
      <w:r>
        <w:rPr>
          <w:rFonts w:hint="eastAsia" w:ascii="宋体" w:hAnsi="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分；方案较完整合理， 岗位分配较明确，工作流程较清晰的，得</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分；方案完整合理性一般，岗位分配明确性一般，工作流程清晰度一般的，得2分，</w:t>
      </w:r>
      <w:r>
        <w:rPr>
          <w:rFonts w:hint="eastAsia" w:ascii="宋体" w:hAnsi="宋体" w:cs="宋体"/>
          <w:color w:val="auto"/>
          <w:sz w:val="24"/>
          <w:szCs w:val="24"/>
          <w:highlight w:val="none"/>
        </w:rPr>
        <w:t xml:space="preserve">不提供或提供的内容不符合不得分。</w:t>
      </w:r>
      <w:r>
        <w:rPr>
          <w:rFonts w:hint="eastAsia" w:ascii="宋体" w:hAnsi="宋体" w:cs="宋体"/>
          <w:color w:val="auto"/>
          <w:sz w:val="24"/>
          <w:szCs w:val="24"/>
          <w:highlight w:val="none"/>
          <w:lang w:val="en-US" w:eastAsia="zh-CN"/>
        </w:rPr>
        <w:t xml:space="preserve">本项</w:t>
      </w:r>
      <w:r>
        <w:rPr>
          <w:rFonts w:hint="eastAsia" w:ascii="宋体" w:hAnsi="宋体" w:cs="宋体"/>
          <w:color w:val="auto"/>
          <w:sz w:val="24"/>
          <w:szCs w:val="24"/>
          <w:highlight w:val="none"/>
        </w:rPr>
        <w:t xml:space="preserve">最高</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（3）制定培训、演练计划、安全巡查方案比较：</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技术方案完整、规范、可操作性强的得</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分，技术方案较完整、较规范、可操作性较强的得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分，技术方案简单的得2分；不提供或提供的内容不符合不得分。</w:t>
      </w:r>
      <w:r>
        <w:rPr>
          <w:rFonts w:hint="eastAsia" w:ascii="宋体" w:hAnsi="宋体" w:cs="宋体"/>
          <w:color w:val="auto"/>
          <w:sz w:val="24"/>
          <w:szCs w:val="24"/>
          <w:highlight w:val="none"/>
          <w:lang w:val="en-US" w:eastAsia="zh-CN"/>
        </w:rPr>
        <w:t xml:space="preserve">本项</w:t>
      </w:r>
      <w:r>
        <w:rPr>
          <w:rFonts w:hint="eastAsia" w:ascii="宋体" w:hAnsi="宋体" w:cs="宋体"/>
          <w:color w:val="auto"/>
          <w:sz w:val="24"/>
          <w:szCs w:val="24"/>
          <w:highlight w:val="none"/>
        </w:rPr>
        <w:t xml:space="preserve">最高</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（4）进退场方案比较：</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p>
    <w:p>
      <w:pPr>
        <w:ind w:firstLine="48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针对本项目进退场交接：所涉及到的图纸、钥匙、各项设施设备物料接管。措施详细、建议合理、针对性强的</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分；措施较详细、建议较合理、针对性较强的得</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分；措施简略、建议合理性一般、针对性一般的得2分，</w:t>
      </w:r>
      <w:r>
        <w:rPr>
          <w:rFonts w:hint="eastAsia" w:ascii="宋体" w:hAnsi="宋体" w:cs="宋体"/>
          <w:color w:val="auto"/>
          <w:sz w:val="24"/>
          <w:szCs w:val="24"/>
          <w:highlight w:val="none"/>
        </w:rPr>
        <w:t xml:space="preserve">不提供或提供的内容不符合不得分。</w:t>
      </w:r>
      <w:r>
        <w:rPr>
          <w:rFonts w:hint="eastAsia" w:ascii="宋体" w:hAnsi="宋体" w:cs="宋体"/>
          <w:color w:val="auto"/>
          <w:sz w:val="24"/>
          <w:szCs w:val="24"/>
          <w:highlight w:val="none"/>
          <w:lang w:val="en-US" w:eastAsia="zh-CN"/>
        </w:rPr>
        <w:t xml:space="preserve">本项</w:t>
      </w:r>
      <w:r>
        <w:rPr>
          <w:rFonts w:hint="eastAsia" w:ascii="宋体" w:hAnsi="宋体" w:cs="宋体"/>
          <w:color w:val="auto"/>
          <w:sz w:val="24"/>
          <w:szCs w:val="24"/>
          <w:highlight w:val="none"/>
        </w:rPr>
        <w:t xml:space="preserve">最高</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p>
    <w:p>
      <w:pPr>
        <w:ind w:firstLine="420"/>
        <w:spacing w:line="360" w:lineRule="auto"/>
        <w:rPr>
          <w:rFonts w:ascii="宋体" w:hAnsi="宋体" w:cs="宋体"/>
          <w:b/>
          <w:bCs/>
          <w:color w:val="auto"/>
          <w:sz w:val="24"/>
          <w:szCs w:val="24"/>
          <w:highlight w:val="none"/>
        </w:rPr>
      </w:pPr>
      <w:r>
        <w:rPr>
          <w:rFonts w:hint="eastAsia" w:ascii="宋体" w:hAnsi="宋体"/>
          <w:bCs/>
          <w:color w:val="auto"/>
          <w:highlight w:val="none"/>
        </w:rPr>
        <w:t xml:space="preserve"> </w:t>
      </w:r>
      <w:r>
        <w:rPr>
          <w:rFonts w:hint="eastAsia" w:ascii="宋体" w:hAnsi="宋体" w:cs="宋体"/>
          <w:b/>
          <w:bCs/>
          <w:color w:val="auto"/>
          <w:sz w:val="24"/>
          <w:szCs w:val="24"/>
          <w:highlight w:val="none"/>
        </w:rPr>
        <w:t xml:space="preserve">2.突发事件的应急处理预案比较：15分</w:t>
      </w:r>
      <w:r/>
    </w:p>
    <w:p>
      <w:pPr>
        <w:ind w:firstLine="480"/>
        <w:spacing w:line="360" w:lineRule="auto"/>
        <w:tabs>
          <w:tab w:val="left" w:pos="9450" w:leader="none"/>
        </w:tabs>
        <w:rPr>
          <w:rFonts w:ascii="宋体" w:hAnsi="宋体" w:cs="宋体"/>
          <w:color w:val="auto"/>
          <w:sz w:val="24"/>
          <w:szCs w:val="24"/>
          <w:highlight w:val="none"/>
        </w:rPr>
      </w:pPr>
      <w:r>
        <w:rPr>
          <w:rFonts w:hint="eastAsia" w:ascii="宋体" w:hAnsi="宋体" w:cs="宋体"/>
          <w:bCs/>
          <w:color w:val="auto"/>
          <w:sz w:val="24"/>
          <w:szCs w:val="24"/>
          <w:highlight w:val="none"/>
        </w:rPr>
        <w:t xml:space="preserve">其中包括但不限于（火警应急、恶劣天气、消防等）处理应急预案，具备安全文明作业的保障措施、作业安全管理措施、安全检查记录等。评委根据各磋商响应单位的具体方案比较，综合打分</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（1）特殊事故（情况）处理预案比较：5分</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应急预案描述完整、规范、可操作性强的得5分，应急预案描述较完整、较规范、可操作性较强的得3分，应急预案描述简单的得1分；不提供或提供的内容不符合不得分。</w:t>
      </w:r>
      <w:r>
        <w:rPr>
          <w:rFonts w:hint="eastAsia" w:ascii="宋体" w:hAnsi="宋体" w:cs="宋体"/>
          <w:color w:val="auto"/>
          <w:sz w:val="24"/>
          <w:szCs w:val="24"/>
          <w:highlight w:val="none"/>
          <w:lang w:val="en-US" w:eastAsia="zh-CN"/>
        </w:rPr>
        <w:t xml:space="preserve">本项最高5分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（2）治安应急预案比较：5分</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应急预案描述完整、规范、可操作性强的得5分，应急预案描述较完整、较规范、可操作性较强的得3分，应急预案描述简单的得1分；不提供或提供的内容不符合不得分。</w:t>
      </w:r>
      <w:r>
        <w:rPr>
          <w:rFonts w:hint="eastAsia" w:ascii="宋体" w:hAnsi="宋体" w:cs="宋体"/>
          <w:color w:val="auto"/>
          <w:sz w:val="24"/>
          <w:szCs w:val="24"/>
          <w:highlight w:val="none"/>
          <w:lang w:val="en-US" w:eastAsia="zh-CN"/>
        </w:rPr>
        <w:t xml:space="preserve">最高5分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（3）消防应急预案比较：5分</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应急预案描述完整、规范、可操作性强的得5分，应急预案描述较完整、较规范、可操作性较强的得3分，应急预案描述简单的得1分；不提供或提供的内容不符合不得分。</w:t>
      </w:r>
      <w:r>
        <w:rPr>
          <w:rFonts w:hint="eastAsia" w:ascii="宋体" w:hAnsi="宋体" w:cs="宋体"/>
          <w:color w:val="auto"/>
          <w:sz w:val="24"/>
          <w:szCs w:val="24"/>
          <w:highlight w:val="none"/>
          <w:lang w:val="en-US" w:eastAsia="zh-CN"/>
        </w:rPr>
        <w:t xml:space="preserve">本项最高5分</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3.内部管理规章制度及考核管理办法比较：1</w:t>
      </w: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（1）管理规章制度比较：4分</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针对本项目制定的制度完整、规范、可操作性强的得4分；制度较完整、较规范、可操作性较强的得2分；制度简单的得1分；不提供或提供的内容不符合不得分。</w:t>
      </w:r>
      <w:r>
        <w:rPr>
          <w:rFonts w:hint="eastAsia" w:ascii="宋体" w:hAnsi="宋体" w:cs="宋体"/>
          <w:color w:val="auto"/>
          <w:sz w:val="24"/>
          <w:szCs w:val="24"/>
          <w:highlight w:val="none"/>
          <w:lang w:val="en-US" w:eastAsia="zh-CN"/>
        </w:rPr>
        <w:t xml:space="preserve">本项最高4分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（2）服务人员安全文明规范比较：4分</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描述内容规范、可操作性强的得4分，描述内容较规范、可操作性较强的得2分，描述内容简单的得1分；不提供或提供的内容不符合不得分。</w:t>
      </w:r>
      <w:r>
        <w:rPr>
          <w:rFonts w:hint="eastAsia" w:ascii="宋体" w:hAnsi="宋体" w:cs="宋体"/>
          <w:color w:val="auto"/>
          <w:sz w:val="24"/>
          <w:szCs w:val="24"/>
          <w:highlight w:val="none"/>
          <w:lang w:val="en-US" w:eastAsia="zh-CN"/>
        </w:rPr>
        <w:t xml:space="preserve">本项最高4分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（3）管理人员考核制度及标准比较：</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制度完整、规范、标准详尽、可操作性强的得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分，制度较完整、较规范、标准较详尽、可操作性较强的得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分，制度简单、标准模糊的得1分；不提供或提供的内容不符合不得分。</w:t>
      </w:r>
      <w:r>
        <w:rPr>
          <w:rFonts w:hint="eastAsia" w:ascii="宋体" w:hAnsi="宋体" w:cs="宋体"/>
          <w:color w:val="auto"/>
          <w:sz w:val="24"/>
          <w:szCs w:val="24"/>
          <w:highlight w:val="none"/>
          <w:lang w:val="en-US" w:eastAsia="zh-CN"/>
        </w:rPr>
        <w:t xml:space="preserve">本项最高5分</w:t>
      </w:r>
      <w:r/>
    </w:p>
    <w:p>
      <w:pPr>
        <w:ind w:firstLine="0"/>
        <w:spacing w:line="360" w:lineRule="auto"/>
        <w:rPr>
          <w:rFonts w:ascii="宋体" w:hAnsi="宋体"/>
          <w:b/>
          <w:bCs/>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b/>
          <w:bCs/>
          <w:color w:val="auto"/>
          <w:sz w:val="24"/>
          <w:szCs w:val="24"/>
          <w:highlight w:val="none"/>
        </w:rPr>
        <w:t xml:space="preserve">（三）人员配备比较：</w:t>
      </w:r>
      <w:r>
        <w:rPr>
          <w:rFonts w:hint="eastAsia" w:ascii="宋体" w:hAnsi="宋体"/>
          <w:b/>
          <w:bCs/>
          <w:color w:val="auto"/>
          <w:sz w:val="24"/>
          <w:szCs w:val="24"/>
          <w:highlight w:val="none"/>
          <w:lang w:val="en-US" w:eastAsia="zh-CN"/>
        </w:rPr>
        <w:t xml:space="preserve">20</w:t>
      </w:r>
      <w:r>
        <w:rPr>
          <w:rFonts w:ascii="宋体" w:hAnsi="宋体"/>
          <w:b/>
          <w:bCs/>
          <w:color w:val="auto"/>
          <w:sz w:val="24"/>
          <w:szCs w:val="24"/>
          <w:highlight w:val="none"/>
        </w:rPr>
        <w:t xml:space="preserve">分</w:t>
      </w:r>
      <w:r/>
    </w:p>
    <w:p>
      <w:pPr>
        <w:ind w:left="5279" w:hanging="4800"/>
        <w:spacing w:line="360" w:lineRule="auto"/>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.项目经理：1</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w:t>
      </w:r>
      <w:r/>
    </w:p>
    <w:p>
      <w:p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（1）项目经理具有项目经理证书及</w:t>
      </w:r>
      <w:r>
        <w:rPr>
          <w:rFonts w:ascii="宋体" w:hAnsi="宋体"/>
          <w:color w:val="auto"/>
          <w:sz w:val="24"/>
          <w:szCs w:val="24"/>
          <w:highlight w:val="none"/>
        </w:rPr>
        <w:t xml:space="preserve">大专及以上学历的得</w:t>
      </w:r>
      <w:r>
        <w:rPr>
          <w:rFonts w:hint="eastAsia" w:ascii="宋体" w:hAnsi="宋体"/>
          <w:color w:val="auto"/>
          <w:sz w:val="24"/>
          <w:szCs w:val="24"/>
          <w:highlight w:val="none"/>
        </w:rPr>
        <w:t xml:space="preserve">4</w:t>
      </w:r>
      <w:r>
        <w:rPr>
          <w:rFonts w:ascii="宋体" w:hAnsi="宋体"/>
          <w:color w:val="auto"/>
          <w:sz w:val="24"/>
          <w:szCs w:val="24"/>
          <w:highlight w:val="none"/>
        </w:rPr>
        <w:t xml:space="preserve">分</w:t>
      </w:r>
      <w:r>
        <w:rPr>
          <w:rFonts w:hint="eastAsia" w:ascii="宋体" w:hAnsi="宋体"/>
          <w:color w:val="auto"/>
          <w:sz w:val="24"/>
          <w:szCs w:val="24"/>
          <w:highlight w:val="none"/>
        </w:rPr>
        <w:t xml:space="preserve">，投标文件提供学历证书</w:t>
      </w:r>
      <w:r>
        <w:rPr>
          <w:rFonts w:hint="eastAsia" w:ascii="宋体" w:hAnsi="宋体"/>
          <w:color w:val="auto"/>
          <w:sz w:val="24"/>
          <w:szCs w:val="24"/>
          <w:highlight w:val="none"/>
          <w:lang w:val="en-US" w:eastAsia="zh-CN"/>
        </w:rPr>
        <w:t xml:space="preserve">及近</w:t>
      </w:r>
      <w:r>
        <w:rPr>
          <w:rFonts w:hint="eastAsia" w:ascii="宋体" w:hAnsi="宋体"/>
          <w:color w:val="auto"/>
          <w:sz w:val="24"/>
          <w:szCs w:val="24"/>
          <w:highlight w:val="none"/>
        </w:rPr>
        <w:t xml:space="preserve">三个月</w:t>
      </w:r>
      <w:r>
        <w:rPr>
          <w:rFonts w:hint="eastAsia" w:ascii="宋体" w:hAnsi="宋体"/>
          <w:color w:val="auto"/>
          <w:sz w:val="24"/>
          <w:szCs w:val="24"/>
          <w:highlight w:val="none"/>
          <w:lang w:eastAsia="zh-CN"/>
        </w:rPr>
        <w:t xml:space="preserve">投标单位</w:t>
      </w:r>
      <w:r>
        <w:rPr>
          <w:rFonts w:hint="eastAsia" w:ascii="宋体" w:hAnsi="宋体"/>
          <w:color w:val="auto"/>
          <w:sz w:val="24"/>
          <w:szCs w:val="24"/>
          <w:highlight w:val="none"/>
        </w:rPr>
        <w:t xml:space="preserve">为其缴纳的社保缴纳证明</w:t>
      </w:r>
      <w:r>
        <w:rPr>
          <w:rFonts w:hint="eastAsia" w:ascii="宋体" w:hAnsi="宋体"/>
          <w:color w:val="auto"/>
          <w:sz w:val="24"/>
          <w:szCs w:val="24"/>
          <w:highlight w:val="none"/>
          <w:lang w:val="en-US" w:eastAsia="zh-CN"/>
        </w:rPr>
        <w:t xml:space="preserve">复印件</w:t>
      </w:r>
      <w:r>
        <w:rPr>
          <w:rFonts w:hint="eastAsia" w:ascii="宋体" w:hAnsi="宋体"/>
          <w:color w:val="auto"/>
          <w:sz w:val="24"/>
          <w:szCs w:val="24"/>
          <w:highlight w:val="none"/>
        </w:rPr>
        <w:t xml:space="preserve">并加盖投标单位公章</w:t>
      </w:r>
      <w:r>
        <w:rPr>
          <w:rFonts w:hint="eastAsia" w:ascii="宋体" w:hAnsi="宋体"/>
          <w:color w:val="auto"/>
          <w:sz w:val="24"/>
          <w:szCs w:val="24"/>
          <w:highlight w:val="none"/>
        </w:rPr>
        <w:t xml:space="preserve">，不提供</w:t>
      </w:r>
      <w:r>
        <w:rPr>
          <w:rFonts w:hint="eastAsia" w:ascii="宋体" w:hAnsi="宋体"/>
          <w:color w:val="auto"/>
          <w:sz w:val="24"/>
          <w:szCs w:val="24"/>
          <w:highlight w:val="none"/>
          <w:lang w:val="en-US" w:eastAsia="zh-CN"/>
        </w:rPr>
        <w:t xml:space="preserve">或提供的不全</w:t>
      </w:r>
      <w:r>
        <w:rPr>
          <w:rFonts w:hint="eastAsia" w:ascii="宋体" w:hAnsi="宋体"/>
          <w:color w:val="auto"/>
          <w:sz w:val="24"/>
          <w:szCs w:val="24"/>
          <w:highlight w:val="none"/>
        </w:rPr>
        <w:t xml:space="preserve">此项不得分。</w:t>
      </w:r>
      <w:r>
        <w:rPr>
          <w:rFonts w:hint="eastAsia" w:ascii="宋体" w:hAnsi="宋体" w:cs="宋体"/>
          <w:color w:val="auto"/>
          <w:sz w:val="24"/>
          <w:szCs w:val="24"/>
          <w:highlight w:val="none"/>
          <w:lang w:val="en-US" w:eastAsia="zh-CN"/>
        </w:rPr>
        <w:t xml:space="preserve">本项</w:t>
      </w:r>
      <w:r>
        <w:rPr>
          <w:rFonts w:hint="eastAsia" w:ascii="宋体" w:hAnsi="宋体"/>
          <w:color w:val="auto"/>
          <w:sz w:val="24"/>
          <w:szCs w:val="24"/>
          <w:highlight w:val="none"/>
        </w:rPr>
        <w:t xml:space="preserve">最高4分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项目经理具有四级及以上建（构）筑物消防员证</w:t>
      </w:r>
      <w:r>
        <w:rPr>
          <w:rFonts w:hint="eastAsia" w:ascii="宋体" w:hAnsi="宋体"/>
          <w:color w:val="auto"/>
          <w:sz w:val="24"/>
          <w:szCs w:val="24"/>
          <w:highlight w:val="none"/>
        </w:rPr>
        <w:t xml:space="preserve">或消防设施操作员证</w:t>
      </w:r>
      <w:r>
        <w:rPr>
          <w:rFonts w:ascii="宋体" w:hAnsi="宋体"/>
          <w:color w:val="auto"/>
          <w:sz w:val="24"/>
          <w:szCs w:val="24"/>
          <w:highlight w:val="none"/>
        </w:rPr>
        <w:t xml:space="preserve">的得2分；初级</w:t>
      </w:r>
      <w:r>
        <w:rPr>
          <w:rFonts w:hint="eastAsia" w:ascii="宋体" w:hAnsi="宋体"/>
          <w:color w:val="auto"/>
          <w:sz w:val="24"/>
          <w:szCs w:val="24"/>
          <w:highlight w:val="none"/>
        </w:rPr>
        <w:t xml:space="preserve">的</w:t>
      </w:r>
      <w:r>
        <w:rPr>
          <w:rFonts w:ascii="宋体" w:hAnsi="宋体"/>
          <w:color w:val="auto"/>
          <w:sz w:val="24"/>
          <w:szCs w:val="24"/>
          <w:highlight w:val="none"/>
        </w:rPr>
        <w:t xml:space="preserve">得1分</w:t>
      </w:r>
      <w:r>
        <w:rPr>
          <w:rFonts w:hint="eastAsia" w:ascii="宋体" w:hAnsi="宋体"/>
          <w:color w:val="auto"/>
          <w:sz w:val="24"/>
          <w:szCs w:val="24"/>
          <w:highlight w:val="none"/>
        </w:rPr>
        <w:t xml:space="preserve">，投标文件提供</w:t>
      </w:r>
      <w:r>
        <w:rPr>
          <w:rFonts w:hint="eastAsia" w:ascii="宋体" w:hAnsi="宋体"/>
          <w:color w:val="auto"/>
          <w:sz w:val="24"/>
          <w:szCs w:val="24"/>
          <w:highlight w:val="none"/>
          <w:lang w:val="en-US" w:eastAsia="zh-CN"/>
        </w:rPr>
        <w:t xml:space="preserve">相关</w:t>
      </w:r>
      <w:r>
        <w:rPr>
          <w:rFonts w:hint="eastAsia" w:ascii="宋体" w:hAnsi="宋体"/>
          <w:color w:val="auto"/>
          <w:sz w:val="24"/>
          <w:szCs w:val="24"/>
          <w:highlight w:val="none"/>
        </w:rPr>
        <w:t xml:space="preserve">证书</w:t>
      </w:r>
      <w:r>
        <w:rPr>
          <w:rFonts w:hint="eastAsia" w:ascii="宋体" w:hAnsi="宋体"/>
          <w:color w:val="auto"/>
          <w:sz w:val="24"/>
          <w:szCs w:val="24"/>
          <w:highlight w:val="none"/>
          <w:lang w:val="en-US" w:eastAsia="zh-CN"/>
        </w:rPr>
        <w:t xml:space="preserve">及近</w:t>
      </w:r>
      <w:r>
        <w:rPr>
          <w:rFonts w:hint="eastAsia" w:ascii="宋体" w:hAnsi="宋体"/>
          <w:color w:val="auto"/>
          <w:sz w:val="24"/>
          <w:szCs w:val="24"/>
          <w:highlight w:val="none"/>
        </w:rPr>
        <w:t xml:space="preserve">三个月</w:t>
      </w:r>
      <w:r>
        <w:rPr>
          <w:rFonts w:hint="eastAsia" w:ascii="宋体" w:hAnsi="宋体"/>
          <w:color w:val="auto"/>
          <w:sz w:val="24"/>
          <w:szCs w:val="24"/>
          <w:highlight w:val="none"/>
          <w:lang w:eastAsia="zh-CN"/>
        </w:rPr>
        <w:t xml:space="preserve">投标单位</w:t>
      </w:r>
      <w:r>
        <w:rPr>
          <w:rFonts w:hint="eastAsia" w:ascii="宋体" w:hAnsi="宋体"/>
          <w:color w:val="auto"/>
          <w:sz w:val="24"/>
          <w:szCs w:val="24"/>
          <w:highlight w:val="none"/>
        </w:rPr>
        <w:t xml:space="preserve">为其缴纳的社保缴纳证明</w:t>
      </w:r>
      <w:r>
        <w:rPr>
          <w:rFonts w:hint="eastAsia" w:ascii="宋体" w:hAnsi="宋体"/>
          <w:color w:val="auto"/>
          <w:sz w:val="24"/>
          <w:szCs w:val="24"/>
          <w:highlight w:val="none"/>
          <w:lang w:val="en-US" w:eastAsia="zh-CN"/>
        </w:rPr>
        <w:t xml:space="preserve">复印件</w:t>
      </w:r>
      <w:r>
        <w:rPr>
          <w:rFonts w:hint="eastAsia" w:ascii="宋体" w:hAnsi="宋体"/>
          <w:color w:val="auto"/>
          <w:sz w:val="24"/>
          <w:szCs w:val="24"/>
          <w:highlight w:val="none"/>
        </w:rPr>
        <w:t xml:space="preserve">并加盖投标单位公章</w:t>
      </w:r>
      <w:r>
        <w:rPr>
          <w:rFonts w:hint="eastAsia" w:ascii="宋体" w:hAnsi="宋体"/>
          <w:color w:val="auto"/>
          <w:sz w:val="24"/>
          <w:szCs w:val="24"/>
          <w:highlight w:val="none"/>
        </w:rPr>
        <w:t xml:space="preserve">，不提供</w:t>
      </w:r>
      <w:r>
        <w:rPr>
          <w:rFonts w:hint="eastAsia" w:ascii="宋体" w:hAnsi="宋体"/>
          <w:color w:val="auto"/>
          <w:sz w:val="24"/>
          <w:szCs w:val="24"/>
          <w:highlight w:val="none"/>
          <w:lang w:val="en-US" w:eastAsia="zh-CN"/>
        </w:rPr>
        <w:t xml:space="preserve">或提供的不全</w:t>
      </w:r>
      <w:r>
        <w:rPr>
          <w:rFonts w:hint="eastAsia" w:ascii="宋体" w:hAnsi="宋体"/>
          <w:color w:val="auto"/>
          <w:sz w:val="24"/>
          <w:szCs w:val="24"/>
          <w:highlight w:val="none"/>
        </w:rPr>
        <w:t xml:space="preserve">此项不得分。</w:t>
      </w:r>
      <w:r>
        <w:rPr>
          <w:rFonts w:hint="eastAsia" w:ascii="宋体" w:hAnsi="宋体" w:cs="宋体"/>
          <w:color w:val="auto"/>
          <w:sz w:val="24"/>
          <w:szCs w:val="24"/>
          <w:highlight w:val="none"/>
          <w:lang w:val="en-US" w:eastAsia="zh-CN"/>
        </w:rPr>
        <w:t xml:space="preserve">本项</w:t>
      </w:r>
      <w:r>
        <w:rPr>
          <w:rFonts w:hint="eastAsia" w:ascii="宋体" w:hAnsi="宋体"/>
          <w:color w:val="auto"/>
          <w:sz w:val="24"/>
          <w:szCs w:val="24"/>
          <w:highlight w:val="none"/>
        </w:rPr>
        <w:t xml:space="preserve">最高2分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项目经理具有三级及以上保安员证书的得2分，四级及以下的得1分</w:t>
      </w:r>
      <w:r>
        <w:rPr>
          <w:rFonts w:hint="eastAsia" w:ascii="宋体" w:hAnsi="宋体"/>
          <w:color w:val="auto"/>
          <w:sz w:val="24"/>
          <w:szCs w:val="24"/>
          <w:highlight w:val="none"/>
        </w:rPr>
        <w:t xml:space="preserve">，投标文件提供</w:t>
      </w:r>
      <w:r>
        <w:rPr>
          <w:rFonts w:hint="eastAsia" w:ascii="宋体" w:hAnsi="宋体"/>
          <w:color w:val="auto"/>
          <w:sz w:val="24"/>
          <w:szCs w:val="24"/>
          <w:highlight w:val="none"/>
          <w:lang w:val="en-US" w:eastAsia="zh-CN"/>
        </w:rPr>
        <w:t xml:space="preserve">保安员</w:t>
      </w:r>
      <w:r>
        <w:rPr>
          <w:rFonts w:hint="eastAsia" w:ascii="宋体" w:hAnsi="宋体"/>
          <w:color w:val="auto"/>
          <w:sz w:val="24"/>
          <w:szCs w:val="24"/>
          <w:highlight w:val="none"/>
        </w:rPr>
        <w:t xml:space="preserve">证书</w:t>
      </w:r>
      <w:r>
        <w:rPr>
          <w:rFonts w:hint="eastAsia" w:ascii="宋体" w:hAnsi="宋体"/>
          <w:color w:val="auto"/>
          <w:sz w:val="24"/>
          <w:szCs w:val="24"/>
          <w:highlight w:val="none"/>
          <w:lang w:val="en-US" w:eastAsia="zh-CN"/>
        </w:rPr>
        <w:t xml:space="preserve">及近</w:t>
      </w:r>
      <w:r>
        <w:rPr>
          <w:rFonts w:hint="eastAsia" w:ascii="宋体" w:hAnsi="宋体"/>
          <w:color w:val="auto"/>
          <w:sz w:val="24"/>
          <w:szCs w:val="24"/>
          <w:highlight w:val="none"/>
        </w:rPr>
        <w:t xml:space="preserve">三个月</w:t>
      </w:r>
      <w:r>
        <w:rPr>
          <w:rFonts w:hint="eastAsia" w:ascii="宋体" w:hAnsi="宋体"/>
          <w:color w:val="auto"/>
          <w:sz w:val="24"/>
          <w:szCs w:val="24"/>
          <w:highlight w:val="none"/>
          <w:lang w:eastAsia="zh-CN"/>
        </w:rPr>
        <w:t xml:space="preserve">投标单位</w:t>
      </w:r>
      <w:r>
        <w:rPr>
          <w:rFonts w:hint="eastAsia" w:ascii="宋体" w:hAnsi="宋体"/>
          <w:color w:val="auto"/>
          <w:sz w:val="24"/>
          <w:szCs w:val="24"/>
          <w:highlight w:val="none"/>
        </w:rPr>
        <w:t xml:space="preserve">为其缴纳的社保缴纳证明</w:t>
      </w:r>
      <w:r>
        <w:rPr>
          <w:rFonts w:hint="eastAsia" w:ascii="宋体" w:hAnsi="宋体"/>
          <w:color w:val="auto"/>
          <w:sz w:val="24"/>
          <w:szCs w:val="24"/>
          <w:highlight w:val="none"/>
          <w:lang w:val="en-US" w:eastAsia="zh-CN"/>
        </w:rPr>
        <w:t xml:space="preserve">复印件</w:t>
      </w:r>
      <w:r>
        <w:rPr>
          <w:rFonts w:hint="eastAsia" w:ascii="宋体" w:hAnsi="宋体"/>
          <w:color w:val="auto"/>
          <w:sz w:val="24"/>
          <w:szCs w:val="24"/>
          <w:highlight w:val="none"/>
        </w:rPr>
        <w:t xml:space="preserve">并加盖投标单位公章</w:t>
      </w:r>
      <w:r>
        <w:rPr>
          <w:rFonts w:hint="eastAsia" w:ascii="宋体" w:hAnsi="宋体"/>
          <w:color w:val="auto"/>
          <w:sz w:val="24"/>
          <w:szCs w:val="24"/>
          <w:highlight w:val="none"/>
        </w:rPr>
        <w:t xml:space="preserve">，不提供</w:t>
      </w:r>
      <w:r>
        <w:rPr>
          <w:rFonts w:hint="eastAsia" w:ascii="宋体" w:hAnsi="宋体"/>
          <w:color w:val="auto"/>
          <w:sz w:val="24"/>
          <w:szCs w:val="24"/>
          <w:highlight w:val="none"/>
          <w:lang w:val="en-US" w:eastAsia="zh-CN"/>
        </w:rPr>
        <w:t xml:space="preserve">或提供的不全</w:t>
      </w:r>
      <w:r>
        <w:rPr>
          <w:rFonts w:hint="eastAsia" w:ascii="宋体" w:hAnsi="宋体"/>
          <w:color w:val="auto"/>
          <w:sz w:val="24"/>
          <w:szCs w:val="24"/>
          <w:highlight w:val="none"/>
        </w:rPr>
        <w:t xml:space="preserve">此项不得分。</w:t>
      </w:r>
      <w:r>
        <w:rPr>
          <w:rFonts w:hint="eastAsia" w:ascii="宋体" w:hAnsi="宋体" w:cs="宋体"/>
          <w:color w:val="auto"/>
          <w:sz w:val="24"/>
          <w:szCs w:val="24"/>
          <w:highlight w:val="none"/>
          <w:lang w:val="en-US" w:eastAsia="zh-CN"/>
        </w:rPr>
        <w:t xml:space="preserve">本项</w:t>
      </w:r>
      <w:r>
        <w:rPr>
          <w:rFonts w:hint="eastAsia" w:ascii="宋体" w:hAnsi="宋体"/>
          <w:color w:val="auto"/>
          <w:sz w:val="24"/>
          <w:szCs w:val="24"/>
          <w:highlight w:val="none"/>
        </w:rPr>
        <w:t xml:space="preserve">最高2分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项目经理具有类似项目保安服务2年以上</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含2年</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管理工作经验的得</w:t>
      </w:r>
      <w:r>
        <w:rPr>
          <w:rFonts w:hint="eastAsia" w:ascii="宋体" w:hAnsi="宋体"/>
          <w:color w:val="auto"/>
          <w:sz w:val="24"/>
          <w:szCs w:val="24"/>
          <w:highlight w:val="none"/>
          <w:lang w:val="en-US" w:eastAsia="zh-CN"/>
        </w:rPr>
        <w:t xml:space="preserve">3</w:t>
      </w:r>
      <w:r>
        <w:rPr>
          <w:rFonts w:ascii="宋体" w:hAnsi="宋体"/>
          <w:color w:val="auto"/>
          <w:sz w:val="24"/>
          <w:szCs w:val="24"/>
          <w:highlight w:val="none"/>
        </w:rPr>
        <w:t xml:space="preserve">分，2年以下的得1分</w:t>
      </w:r>
      <w:r>
        <w:rPr>
          <w:rFonts w:hint="eastAsia" w:ascii="宋体" w:hAnsi="宋体"/>
          <w:color w:val="auto"/>
          <w:sz w:val="24"/>
          <w:szCs w:val="24"/>
          <w:highlight w:val="none"/>
        </w:rPr>
        <w:t xml:space="preserve">，投标文件提供证明材料</w:t>
      </w:r>
      <w:r>
        <w:rPr>
          <w:rFonts w:hint="eastAsia" w:ascii="宋体" w:hAnsi="宋体"/>
          <w:color w:val="auto"/>
          <w:sz w:val="24"/>
          <w:szCs w:val="24"/>
          <w:highlight w:val="none"/>
          <w:lang w:val="en-US" w:eastAsia="zh-CN"/>
        </w:rPr>
        <w:t xml:space="preserve">及近</w:t>
      </w:r>
      <w:r>
        <w:rPr>
          <w:rFonts w:hint="eastAsia" w:ascii="宋体" w:hAnsi="宋体"/>
          <w:color w:val="auto"/>
          <w:sz w:val="24"/>
          <w:szCs w:val="24"/>
          <w:highlight w:val="none"/>
        </w:rPr>
        <w:t xml:space="preserve">三个月</w:t>
      </w:r>
      <w:r>
        <w:rPr>
          <w:rFonts w:hint="eastAsia" w:ascii="宋体" w:hAnsi="宋体"/>
          <w:color w:val="auto"/>
          <w:sz w:val="24"/>
          <w:szCs w:val="24"/>
          <w:highlight w:val="none"/>
          <w:lang w:eastAsia="zh-CN"/>
        </w:rPr>
        <w:t xml:space="preserve">投标单位</w:t>
      </w:r>
      <w:r>
        <w:rPr>
          <w:rFonts w:hint="eastAsia" w:ascii="宋体" w:hAnsi="宋体"/>
          <w:color w:val="auto"/>
          <w:sz w:val="24"/>
          <w:szCs w:val="24"/>
          <w:highlight w:val="none"/>
        </w:rPr>
        <w:t xml:space="preserve">为其缴纳的社保缴纳证明</w:t>
      </w:r>
      <w:r>
        <w:rPr>
          <w:rFonts w:hint="eastAsia" w:ascii="宋体" w:hAnsi="宋体"/>
          <w:color w:val="auto"/>
          <w:sz w:val="24"/>
          <w:szCs w:val="24"/>
          <w:highlight w:val="none"/>
          <w:lang w:val="en-US" w:eastAsia="zh-CN"/>
        </w:rPr>
        <w:t xml:space="preserve">复印件</w:t>
      </w:r>
      <w:r>
        <w:rPr>
          <w:rFonts w:hint="eastAsia" w:ascii="宋体" w:hAnsi="宋体"/>
          <w:color w:val="auto"/>
          <w:sz w:val="24"/>
          <w:szCs w:val="24"/>
          <w:highlight w:val="none"/>
        </w:rPr>
        <w:t xml:space="preserve">并加盖投标单位公章</w:t>
      </w:r>
      <w:r>
        <w:rPr>
          <w:rFonts w:hint="eastAsia" w:ascii="宋体" w:hAnsi="宋体"/>
          <w:color w:val="auto"/>
          <w:sz w:val="24"/>
          <w:szCs w:val="24"/>
          <w:highlight w:val="none"/>
        </w:rPr>
        <w:t xml:space="preserve">，不提供</w:t>
      </w:r>
      <w:r>
        <w:rPr>
          <w:rFonts w:hint="eastAsia" w:ascii="宋体" w:hAnsi="宋体"/>
          <w:color w:val="auto"/>
          <w:sz w:val="24"/>
          <w:szCs w:val="24"/>
          <w:highlight w:val="none"/>
          <w:lang w:val="en-US" w:eastAsia="zh-CN"/>
        </w:rPr>
        <w:t xml:space="preserve">或提供的不全</w:t>
      </w:r>
      <w:r>
        <w:rPr>
          <w:rFonts w:hint="eastAsia" w:ascii="宋体" w:hAnsi="宋体"/>
          <w:color w:val="auto"/>
          <w:sz w:val="24"/>
          <w:szCs w:val="24"/>
          <w:highlight w:val="none"/>
        </w:rPr>
        <w:t xml:space="preserve">此项不得分。</w:t>
      </w:r>
      <w:r>
        <w:rPr>
          <w:rFonts w:hint="eastAsia" w:ascii="宋体" w:hAnsi="宋体" w:cs="宋体"/>
          <w:color w:val="auto"/>
          <w:sz w:val="24"/>
          <w:szCs w:val="24"/>
          <w:highlight w:val="none"/>
          <w:lang w:val="en-US" w:eastAsia="zh-CN"/>
        </w:rPr>
        <w:t xml:space="preserve">本项</w:t>
      </w:r>
      <w:r>
        <w:rPr>
          <w:rFonts w:hint="eastAsia" w:ascii="宋体" w:hAnsi="宋体"/>
          <w:color w:val="auto"/>
          <w:sz w:val="24"/>
          <w:szCs w:val="24"/>
          <w:highlight w:val="none"/>
        </w:rPr>
        <w:t xml:space="preserve">最高</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（5）项目经理具有自2021年1月1日以来获得过与本项目相关</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政府部门颁发的荣誉证书的得</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分</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投标文件提供</w:t>
      </w:r>
      <w:r>
        <w:rPr>
          <w:rFonts w:hint="eastAsia" w:ascii="宋体" w:hAnsi="宋体"/>
          <w:color w:val="auto"/>
          <w:sz w:val="24"/>
          <w:szCs w:val="24"/>
          <w:highlight w:val="none"/>
          <w:lang w:val="en-US" w:eastAsia="zh-CN"/>
        </w:rPr>
        <w:t xml:space="preserve">荣誉证书及近</w:t>
      </w:r>
      <w:r>
        <w:rPr>
          <w:rFonts w:hint="eastAsia" w:ascii="宋体" w:hAnsi="宋体"/>
          <w:color w:val="auto"/>
          <w:sz w:val="24"/>
          <w:szCs w:val="24"/>
          <w:highlight w:val="none"/>
        </w:rPr>
        <w:t xml:space="preserve">三个月</w:t>
      </w:r>
      <w:r>
        <w:rPr>
          <w:rFonts w:hint="eastAsia" w:ascii="宋体" w:hAnsi="宋体"/>
          <w:color w:val="auto"/>
          <w:sz w:val="24"/>
          <w:szCs w:val="24"/>
          <w:highlight w:val="none"/>
          <w:lang w:eastAsia="zh-CN"/>
        </w:rPr>
        <w:t xml:space="preserve">投标单位</w:t>
      </w:r>
      <w:r>
        <w:rPr>
          <w:rFonts w:hint="eastAsia" w:ascii="宋体" w:hAnsi="宋体"/>
          <w:color w:val="auto"/>
          <w:sz w:val="24"/>
          <w:szCs w:val="24"/>
          <w:highlight w:val="none"/>
        </w:rPr>
        <w:t xml:space="preserve">为其缴纳的社保缴纳证明</w:t>
      </w:r>
      <w:r>
        <w:rPr>
          <w:rFonts w:hint="eastAsia" w:ascii="宋体" w:hAnsi="宋体"/>
          <w:color w:val="auto"/>
          <w:sz w:val="24"/>
          <w:szCs w:val="24"/>
          <w:highlight w:val="none"/>
          <w:lang w:val="en-US" w:eastAsia="zh-CN"/>
        </w:rPr>
        <w:t xml:space="preserve">复印件</w:t>
      </w:r>
      <w:r>
        <w:rPr>
          <w:rFonts w:hint="eastAsia" w:ascii="宋体" w:hAnsi="宋体"/>
          <w:color w:val="auto"/>
          <w:sz w:val="24"/>
          <w:szCs w:val="24"/>
          <w:highlight w:val="none"/>
        </w:rPr>
        <w:t xml:space="preserve">并加盖投标单位公章</w:t>
      </w:r>
      <w:r>
        <w:rPr>
          <w:rFonts w:hint="eastAsia" w:ascii="宋体" w:hAnsi="宋体"/>
          <w:color w:val="auto"/>
          <w:sz w:val="24"/>
          <w:szCs w:val="24"/>
          <w:highlight w:val="none"/>
        </w:rPr>
        <w:t xml:space="preserve">，不提供</w:t>
      </w:r>
      <w:r>
        <w:rPr>
          <w:rFonts w:hint="eastAsia" w:ascii="宋体" w:hAnsi="宋体"/>
          <w:color w:val="auto"/>
          <w:sz w:val="24"/>
          <w:szCs w:val="24"/>
          <w:highlight w:val="none"/>
          <w:lang w:val="en-US" w:eastAsia="zh-CN"/>
        </w:rPr>
        <w:t xml:space="preserve">或提供的不全</w:t>
      </w:r>
      <w:r>
        <w:rPr>
          <w:rFonts w:hint="eastAsia" w:ascii="宋体" w:hAnsi="宋体"/>
          <w:color w:val="auto"/>
          <w:sz w:val="24"/>
          <w:szCs w:val="24"/>
          <w:highlight w:val="none"/>
        </w:rPr>
        <w:t xml:space="preserve">此项不得分。</w:t>
      </w:r>
      <w:r>
        <w:rPr>
          <w:rFonts w:hint="eastAsia" w:ascii="宋体" w:hAnsi="宋体" w:cs="宋体"/>
          <w:color w:val="auto"/>
          <w:sz w:val="24"/>
          <w:szCs w:val="24"/>
          <w:highlight w:val="none"/>
          <w:lang w:val="en-US" w:eastAsia="zh-CN"/>
        </w:rPr>
        <w:t xml:space="preserve">本项</w:t>
      </w:r>
      <w:r>
        <w:rPr>
          <w:rFonts w:hint="eastAsia" w:ascii="宋体" w:hAnsi="宋体"/>
          <w:color w:val="auto"/>
          <w:sz w:val="24"/>
          <w:szCs w:val="24"/>
          <w:highlight w:val="none"/>
        </w:rPr>
        <w:t xml:space="preserve">最高</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2.项目组其他人员（除项目经理外）情况比较：6分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投标单位拟派的保安员（除项目经理外）具有四级及以上建（构）筑物消防员证</w:t>
      </w:r>
      <w:r>
        <w:rPr>
          <w:rFonts w:hint="eastAsia" w:ascii="宋体" w:hAnsi="宋体"/>
          <w:color w:val="auto"/>
          <w:sz w:val="24"/>
          <w:szCs w:val="24"/>
          <w:highlight w:val="none"/>
        </w:rPr>
        <w:t xml:space="preserve">或消防设施操作员证</w:t>
      </w:r>
      <w:r>
        <w:rPr>
          <w:rFonts w:ascii="宋体" w:hAnsi="宋体"/>
          <w:color w:val="auto"/>
          <w:sz w:val="24"/>
          <w:szCs w:val="24"/>
          <w:highlight w:val="none"/>
        </w:rPr>
        <w:t xml:space="preserve">的有一人得2分</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具有初级建（构）筑物消防员证</w:t>
      </w:r>
      <w:r>
        <w:rPr>
          <w:rFonts w:hint="eastAsia" w:ascii="宋体" w:hAnsi="宋体"/>
          <w:color w:val="auto"/>
          <w:sz w:val="24"/>
          <w:szCs w:val="24"/>
          <w:highlight w:val="none"/>
        </w:rPr>
        <w:t xml:space="preserve">或消防设施操作员证</w:t>
      </w:r>
      <w:r>
        <w:rPr>
          <w:rFonts w:ascii="宋体" w:hAnsi="宋体"/>
          <w:color w:val="auto"/>
          <w:sz w:val="24"/>
          <w:szCs w:val="24"/>
          <w:highlight w:val="none"/>
        </w:rPr>
        <w:t xml:space="preserve">的有一人得1分</w:t>
      </w:r>
      <w:r>
        <w:rPr>
          <w:rFonts w:hint="eastAsia" w:ascii="宋体" w:hAnsi="宋体"/>
          <w:color w:val="auto"/>
          <w:sz w:val="24"/>
          <w:szCs w:val="24"/>
          <w:highlight w:val="none"/>
        </w:rPr>
        <w:t xml:space="preserve">，投标文件提供</w:t>
      </w:r>
      <w:r>
        <w:rPr>
          <w:rFonts w:hint="eastAsia" w:ascii="宋体" w:hAnsi="宋体"/>
          <w:color w:val="auto"/>
          <w:sz w:val="24"/>
          <w:szCs w:val="24"/>
          <w:highlight w:val="none"/>
          <w:lang w:val="en-US" w:eastAsia="zh-CN"/>
        </w:rPr>
        <w:t xml:space="preserve">相关</w:t>
      </w:r>
      <w:r>
        <w:rPr>
          <w:rFonts w:hint="eastAsia" w:ascii="宋体" w:hAnsi="宋体"/>
          <w:color w:val="auto"/>
          <w:sz w:val="24"/>
          <w:szCs w:val="24"/>
          <w:highlight w:val="none"/>
        </w:rPr>
        <w:t xml:space="preserve">证书</w:t>
      </w:r>
      <w:r>
        <w:rPr>
          <w:rFonts w:hint="eastAsia" w:ascii="宋体" w:hAnsi="宋体"/>
          <w:color w:val="auto"/>
          <w:sz w:val="24"/>
          <w:szCs w:val="24"/>
          <w:highlight w:val="none"/>
          <w:lang w:val="en-US" w:eastAsia="zh-CN"/>
        </w:rPr>
        <w:t xml:space="preserve">及近</w:t>
      </w:r>
      <w:r>
        <w:rPr>
          <w:rFonts w:hint="eastAsia" w:ascii="宋体" w:hAnsi="宋体"/>
          <w:color w:val="auto"/>
          <w:sz w:val="24"/>
          <w:szCs w:val="24"/>
          <w:highlight w:val="none"/>
        </w:rPr>
        <w:t xml:space="preserve">三个月</w:t>
      </w:r>
      <w:r>
        <w:rPr>
          <w:rFonts w:hint="eastAsia" w:ascii="宋体" w:hAnsi="宋体"/>
          <w:color w:val="auto"/>
          <w:sz w:val="24"/>
          <w:szCs w:val="24"/>
          <w:highlight w:val="none"/>
          <w:lang w:eastAsia="zh-CN"/>
        </w:rPr>
        <w:t xml:space="preserve">投标单位</w:t>
      </w:r>
      <w:r>
        <w:rPr>
          <w:rFonts w:hint="eastAsia" w:ascii="宋体" w:hAnsi="宋体"/>
          <w:color w:val="auto"/>
          <w:sz w:val="24"/>
          <w:szCs w:val="24"/>
          <w:highlight w:val="none"/>
        </w:rPr>
        <w:t xml:space="preserve">为其缴纳的社保缴纳证明</w:t>
      </w:r>
      <w:r>
        <w:rPr>
          <w:rFonts w:hint="eastAsia" w:ascii="宋体" w:hAnsi="宋体"/>
          <w:color w:val="auto"/>
          <w:sz w:val="24"/>
          <w:szCs w:val="24"/>
          <w:highlight w:val="none"/>
          <w:lang w:val="en-US" w:eastAsia="zh-CN"/>
        </w:rPr>
        <w:t xml:space="preserve">复印件</w:t>
      </w:r>
      <w:r>
        <w:rPr>
          <w:rFonts w:hint="eastAsia" w:ascii="宋体" w:hAnsi="宋体"/>
          <w:color w:val="auto"/>
          <w:sz w:val="24"/>
          <w:szCs w:val="24"/>
          <w:highlight w:val="none"/>
        </w:rPr>
        <w:t xml:space="preserve">并加盖投标单位公章</w:t>
      </w:r>
      <w:r>
        <w:rPr>
          <w:rFonts w:hint="eastAsia" w:ascii="宋体" w:hAnsi="宋体"/>
          <w:color w:val="auto"/>
          <w:sz w:val="24"/>
          <w:szCs w:val="24"/>
          <w:highlight w:val="none"/>
        </w:rPr>
        <w:t xml:space="preserve">，不提供</w:t>
      </w:r>
      <w:r>
        <w:rPr>
          <w:rFonts w:hint="eastAsia" w:ascii="宋体" w:hAnsi="宋体"/>
          <w:color w:val="auto"/>
          <w:sz w:val="24"/>
          <w:szCs w:val="24"/>
          <w:highlight w:val="none"/>
          <w:lang w:val="en-US" w:eastAsia="zh-CN"/>
        </w:rPr>
        <w:t xml:space="preserve">或提供的不全</w:t>
      </w:r>
      <w:r>
        <w:rPr>
          <w:rFonts w:hint="eastAsia" w:ascii="宋体" w:hAnsi="宋体"/>
          <w:color w:val="auto"/>
          <w:sz w:val="24"/>
          <w:szCs w:val="24"/>
          <w:highlight w:val="none"/>
        </w:rPr>
        <w:t xml:space="preserve">此项不得分。</w:t>
      </w:r>
      <w:r>
        <w:rPr>
          <w:rFonts w:hint="eastAsia" w:ascii="宋体" w:hAnsi="宋体" w:cs="宋体"/>
          <w:color w:val="auto"/>
          <w:sz w:val="24"/>
          <w:szCs w:val="24"/>
          <w:highlight w:val="none"/>
          <w:lang w:val="en-US" w:eastAsia="zh-CN"/>
        </w:rPr>
        <w:t xml:space="preserve">本项</w:t>
      </w:r>
      <w:r>
        <w:rPr>
          <w:rFonts w:ascii="宋体" w:hAnsi="宋体"/>
          <w:color w:val="auto"/>
          <w:sz w:val="24"/>
          <w:szCs w:val="24"/>
          <w:highlight w:val="none"/>
        </w:rPr>
        <w:t xml:space="preserve">最高</w:t>
      </w:r>
      <w:r>
        <w:rPr>
          <w:rFonts w:hint="eastAsia" w:ascii="宋体" w:hAnsi="宋体"/>
          <w:color w:val="auto"/>
          <w:sz w:val="24"/>
          <w:szCs w:val="24"/>
          <w:highlight w:val="none"/>
        </w:rPr>
        <w:t xml:space="preserve">2分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投标单位拟派的保安员（除项目经理外） 具有退伍军人证的，有一人得</w:t>
      </w:r>
      <w:r>
        <w:rPr>
          <w:rFonts w:hint="eastAsia" w:ascii="宋体" w:hAnsi="宋体"/>
          <w:color w:val="auto"/>
          <w:sz w:val="24"/>
          <w:szCs w:val="24"/>
          <w:highlight w:val="none"/>
          <w:lang w:val="en-US" w:eastAsia="zh-CN"/>
        </w:rPr>
        <w:t xml:space="preserve">1</w:t>
      </w:r>
      <w:r>
        <w:rPr>
          <w:rFonts w:ascii="宋体" w:hAnsi="宋体"/>
          <w:color w:val="auto"/>
          <w:sz w:val="24"/>
          <w:szCs w:val="24"/>
          <w:highlight w:val="none"/>
        </w:rPr>
        <w:t xml:space="preserve">分，</w:t>
      </w:r>
      <w:r>
        <w:rPr>
          <w:rFonts w:hint="eastAsia" w:ascii="宋体" w:hAnsi="宋体"/>
          <w:color w:val="auto"/>
          <w:sz w:val="24"/>
          <w:szCs w:val="24"/>
          <w:highlight w:val="none"/>
        </w:rPr>
        <w:t xml:space="preserve">投标文件提供证书</w:t>
      </w:r>
      <w:r>
        <w:rPr>
          <w:rFonts w:hint="eastAsia" w:ascii="宋体" w:hAnsi="宋体"/>
          <w:color w:val="auto"/>
          <w:sz w:val="24"/>
          <w:szCs w:val="24"/>
          <w:highlight w:val="none"/>
          <w:lang w:val="en-US" w:eastAsia="zh-CN"/>
        </w:rPr>
        <w:t xml:space="preserve">及近</w:t>
      </w:r>
      <w:r>
        <w:rPr>
          <w:rFonts w:hint="eastAsia" w:ascii="宋体" w:hAnsi="宋体"/>
          <w:color w:val="auto"/>
          <w:sz w:val="24"/>
          <w:szCs w:val="24"/>
          <w:highlight w:val="none"/>
        </w:rPr>
        <w:t xml:space="preserve">三个月</w:t>
      </w:r>
      <w:r>
        <w:rPr>
          <w:rFonts w:hint="eastAsia" w:ascii="宋体" w:hAnsi="宋体"/>
          <w:color w:val="auto"/>
          <w:sz w:val="24"/>
          <w:szCs w:val="24"/>
          <w:highlight w:val="none"/>
          <w:lang w:eastAsia="zh-CN"/>
        </w:rPr>
        <w:t xml:space="preserve">投标单位</w:t>
      </w:r>
      <w:r>
        <w:rPr>
          <w:rFonts w:hint="eastAsia" w:ascii="宋体" w:hAnsi="宋体"/>
          <w:color w:val="auto"/>
          <w:sz w:val="24"/>
          <w:szCs w:val="24"/>
          <w:highlight w:val="none"/>
        </w:rPr>
        <w:t xml:space="preserve">为其缴纳的社保缴纳证明</w:t>
      </w:r>
      <w:r>
        <w:rPr>
          <w:rFonts w:hint="eastAsia" w:ascii="宋体" w:hAnsi="宋体"/>
          <w:color w:val="auto"/>
          <w:sz w:val="24"/>
          <w:szCs w:val="24"/>
          <w:highlight w:val="none"/>
          <w:lang w:val="en-US" w:eastAsia="zh-CN"/>
        </w:rPr>
        <w:t xml:space="preserve">复印件</w:t>
      </w:r>
      <w:r>
        <w:rPr>
          <w:rFonts w:hint="eastAsia" w:ascii="宋体" w:hAnsi="宋体"/>
          <w:color w:val="auto"/>
          <w:sz w:val="24"/>
          <w:szCs w:val="24"/>
          <w:highlight w:val="none"/>
        </w:rPr>
        <w:t xml:space="preserve">并加盖投标单位公章</w:t>
      </w:r>
      <w:r>
        <w:rPr>
          <w:rFonts w:hint="eastAsia" w:ascii="宋体" w:hAnsi="宋体"/>
          <w:color w:val="auto"/>
          <w:sz w:val="24"/>
          <w:szCs w:val="24"/>
          <w:highlight w:val="none"/>
        </w:rPr>
        <w:t xml:space="preserve">，不提供</w:t>
      </w:r>
      <w:r>
        <w:rPr>
          <w:rFonts w:hint="eastAsia" w:ascii="宋体" w:hAnsi="宋体"/>
          <w:color w:val="auto"/>
          <w:sz w:val="24"/>
          <w:szCs w:val="24"/>
          <w:highlight w:val="none"/>
          <w:lang w:val="en-US" w:eastAsia="zh-CN"/>
        </w:rPr>
        <w:t xml:space="preserve">或提供的不全</w:t>
      </w:r>
      <w:r>
        <w:rPr>
          <w:rFonts w:hint="eastAsia" w:ascii="宋体" w:hAnsi="宋体"/>
          <w:color w:val="auto"/>
          <w:sz w:val="24"/>
          <w:szCs w:val="24"/>
          <w:highlight w:val="none"/>
        </w:rPr>
        <w:t xml:space="preserve">此项不得分。</w:t>
      </w:r>
      <w:r>
        <w:rPr>
          <w:rFonts w:hint="eastAsia" w:ascii="宋体" w:hAnsi="宋体" w:cs="宋体"/>
          <w:color w:val="auto"/>
          <w:sz w:val="24"/>
          <w:szCs w:val="24"/>
          <w:highlight w:val="none"/>
          <w:lang w:val="en-US" w:eastAsia="zh-CN"/>
        </w:rPr>
        <w:t xml:space="preserve">本项</w:t>
      </w:r>
      <w:r>
        <w:rPr>
          <w:rFonts w:ascii="宋体" w:hAnsi="宋体"/>
          <w:color w:val="auto"/>
          <w:sz w:val="24"/>
          <w:szCs w:val="24"/>
          <w:highlight w:val="none"/>
        </w:rPr>
        <w:t xml:space="preserve">最高</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投标单位拟派的保安员（除项目经理外）具有四级及以上保安员证书的，有一人得</w:t>
      </w:r>
      <w:r>
        <w:rPr>
          <w:rFonts w:hint="eastAsia" w:ascii="宋体" w:hAnsi="宋体"/>
          <w:color w:val="auto"/>
          <w:sz w:val="24"/>
          <w:szCs w:val="24"/>
          <w:highlight w:val="none"/>
          <w:lang w:val="en-US" w:eastAsia="zh-CN"/>
        </w:rPr>
        <w:t xml:space="preserve">1</w:t>
      </w:r>
      <w:r>
        <w:rPr>
          <w:rFonts w:ascii="宋体" w:hAnsi="宋体"/>
          <w:color w:val="auto"/>
          <w:sz w:val="24"/>
          <w:szCs w:val="24"/>
          <w:highlight w:val="none"/>
        </w:rPr>
        <w:t xml:space="preserve">分，</w:t>
      </w:r>
      <w:r>
        <w:rPr>
          <w:rFonts w:hint="eastAsia" w:ascii="宋体" w:hAnsi="宋体"/>
          <w:color w:val="auto"/>
          <w:sz w:val="24"/>
          <w:szCs w:val="24"/>
          <w:highlight w:val="none"/>
        </w:rPr>
        <w:t xml:space="preserve">投标文件提供证书</w:t>
      </w:r>
      <w:r>
        <w:rPr>
          <w:rFonts w:hint="eastAsia" w:ascii="宋体" w:hAnsi="宋体"/>
          <w:color w:val="auto"/>
          <w:sz w:val="24"/>
          <w:szCs w:val="24"/>
          <w:highlight w:val="none"/>
          <w:lang w:val="en-US" w:eastAsia="zh-CN"/>
        </w:rPr>
        <w:t xml:space="preserve">及近</w:t>
      </w:r>
      <w:r>
        <w:rPr>
          <w:rFonts w:hint="eastAsia" w:ascii="宋体" w:hAnsi="宋体"/>
          <w:color w:val="auto"/>
          <w:sz w:val="24"/>
          <w:szCs w:val="24"/>
          <w:highlight w:val="none"/>
        </w:rPr>
        <w:t xml:space="preserve">三个月</w:t>
      </w:r>
      <w:r>
        <w:rPr>
          <w:rFonts w:hint="eastAsia" w:ascii="宋体" w:hAnsi="宋体"/>
          <w:color w:val="auto"/>
          <w:sz w:val="24"/>
          <w:szCs w:val="24"/>
          <w:highlight w:val="none"/>
          <w:lang w:eastAsia="zh-CN"/>
        </w:rPr>
        <w:t xml:space="preserve">投标单位</w:t>
      </w:r>
      <w:r>
        <w:rPr>
          <w:rFonts w:hint="eastAsia" w:ascii="宋体" w:hAnsi="宋体"/>
          <w:color w:val="auto"/>
          <w:sz w:val="24"/>
          <w:szCs w:val="24"/>
          <w:highlight w:val="none"/>
        </w:rPr>
        <w:t xml:space="preserve">为其缴纳的社保缴纳证明</w:t>
      </w:r>
      <w:r>
        <w:rPr>
          <w:rFonts w:hint="eastAsia" w:ascii="宋体" w:hAnsi="宋体"/>
          <w:color w:val="auto"/>
          <w:sz w:val="24"/>
          <w:szCs w:val="24"/>
          <w:highlight w:val="none"/>
          <w:lang w:val="en-US" w:eastAsia="zh-CN"/>
        </w:rPr>
        <w:t xml:space="preserve">复印件</w:t>
      </w:r>
      <w:r>
        <w:rPr>
          <w:rFonts w:hint="eastAsia" w:ascii="宋体" w:hAnsi="宋体"/>
          <w:color w:val="auto"/>
          <w:sz w:val="24"/>
          <w:szCs w:val="24"/>
          <w:highlight w:val="none"/>
        </w:rPr>
        <w:t xml:space="preserve">并加盖投标单位公章</w:t>
      </w:r>
      <w:r>
        <w:rPr>
          <w:rFonts w:hint="eastAsia" w:ascii="宋体" w:hAnsi="宋体"/>
          <w:color w:val="auto"/>
          <w:sz w:val="24"/>
          <w:szCs w:val="24"/>
          <w:highlight w:val="none"/>
        </w:rPr>
        <w:t xml:space="preserve">，不提供</w:t>
      </w:r>
      <w:r>
        <w:rPr>
          <w:rFonts w:hint="eastAsia" w:ascii="宋体" w:hAnsi="宋体"/>
          <w:color w:val="auto"/>
          <w:sz w:val="24"/>
          <w:szCs w:val="24"/>
          <w:highlight w:val="none"/>
          <w:lang w:val="en-US" w:eastAsia="zh-CN"/>
        </w:rPr>
        <w:t xml:space="preserve">或提供的不全</w:t>
      </w:r>
      <w:r>
        <w:rPr>
          <w:rFonts w:hint="eastAsia" w:ascii="宋体" w:hAnsi="宋体"/>
          <w:color w:val="auto"/>
          <w:sz w:val="24"/>
          <w:szCs w:val="24"/>
          <w:highlight w:val="none"/>
        </w:rPr>
        <w:t xml:space="preserve">此项不得分。</w:t>
      </w:r>
      <w:r>
        <w:rPr>
          <w:rFonts w:hint="eastAsia" w:ascii="宋体" w:hAnsi="宋体" w:cs="宋体"/>
          <w:color w:val="auto"/>
          <w:sz w:val="24"/>
          <w:szCs w:val="24"/>
          <w:highlight w:val="none"/>
          <w:lang w:val="en-US" w:eastAsia="zh-CN"/>
        </w:rPr>
        <w:t xml:space="preserve">本项</w:t>
      </w:r>
      <w:r>
        <w:rPr>
          <w:rFonts w:ascii="宋体" w:hAnsi="宋体"/>
          <w:color w:val="auto"/>
          <w:sz w:val="24"/>
          <w:szCs w:val="24"/>
          <w:highlight w:val="none"/>
        </w:rPr>
        <w:t xml:space="preserve">最高2分</w:t>
      </w:r>
      <w:r/>
    </w:p>
    <w:p>
      <w:pPr>
        <w:ind w:firstLine="48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（四）投标单位综合实力：（</w:t>
      </w:r>
      <w:r>
        <w:rPr>
          <w:rFonts w:ascii="宋体" w:hAnsi="宋体"/>
          <w:b/>
          <w:bCs/>
          <w:color w:val="auto"/>
          <w:sz w:val="24"/>
          <w:szCs w:val="24"/>
          <w:highlight w:val="none"/>
        </w:rPr>
        <w:t xml:space="preserve">1</w:t>
      </w:r>
      <w:r>
        <w:rPr>
          <w:rFonts w:hint="eastAsia" w:ascii="宋体" w:hAnsi="宋体"/>
          <w:b/>
          <w:bCs/>
          <w:color w:val="auto"/>
          <w:sz w:val="24"/>
          <w:szCs w:val="24"/>
          <w:highlight w:val="none"/>
        </w:rPr>
        <w:t xml:space="preserve">0</w:t>
      </w:r>
      <w:r>
        <w:rPr>
          <w:rFonts w:ascii="宋体" w:hAnsi="宋体"/>
          <w:b/>
          <w:bCs/>
          <w:color w:val="auto"/>
          <w:sz w:val="24"/>
          <w:szCs w:val="24"/>
          <w:highlight w:val="none"/>
        </w:rPr>
        <w:t xml:space="preserve">分）</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ascii="宋体" w:hAnsi="宋体"/>
          <w:color w:val="auto"/>
          <w:sz w:val="24"/>
          <w:szCs w:val="24"/>
          <w:highlight w:val="none"/>
        </w:rPr>
        <w:t xml:space="preserve">投标单位具有有效期内的质量体系认证、环境体系认证、职业健康安全体系认证的，每提供一</w:t>
      </w:r>
      <w:r>
        <w:rPr>
          <w:rFonts w:hint="eastAsia" w:ascii="宋体" w:hAnsi="宋体"/>
          <w:color w:val="auto"/>
          <w:sz w:val="24"/>
          <w:szCs w:val="24"/>
          <w:highlight w:val="none"/>
        </w:rPr>
        <w:t xml:space="preserve">个证书</w:t>
      </w:r>
      <w:r>
        <w:rPr>
          <w:rFonts w:ascii="宋体" w:hAnsi="宋体"/>
          <w:color w:val="auto"/>
          <w:sz w:val="24"/>
          <w:szCs w:val="24"/>
          <w:highlight w:val="none"/>
        </w:rPr>
        <w:t xml:space="preserve">得1分</w:t>
      </w:r>
      <w:r>
        <w:rPr>
          <w:rFonts w:hint="eastAsia" w:ascii="宋体" w:hAnsi="宋体"/>
          <w:color w:val="auto"/>
          <w:sz w:val="24"/>
          <w:szCs w:val="24"/>
          <w:highlight w:val="none"/>
        </w:rPr>
        <w:t xml:space="preserve">，投标文件中提供证书复印件，须同时提供在中国国家认证认可监督管理委员会网站查询记录的网页截图，不提供或提供的不全此项不得分。</w:t>
      </w:r>
      <w:r>
        <w:rPr>
          <w:rFonts w:hint="eastAsia" w:ascii="宋体" w:hAnsi="宋体" w:cs="宋体"/>
          <w:color w:val="auto"/>
          <w:sz w:val="24"/>
          <w:szCs w:val="24"/>
          <w:highlight w:val="none"/>
          <w:lang w:val="en-US" w:eastAsia="zh-CN"/>
        </w:rPr>
        <w:t xml:space="preserve">本项</w:t>
      </w:r>
      <w:r>
        <w:rPr>
          <w:rFonts w:ascii="宋体" w:hAnsi="宋体"/>
          <w:color w:val="auto"/>
          <w:sz w:val="24"/>
          <w:szCs w:val="24"/>
          <w:highlight w:val="none"/>
        </w:rPr>
        <w:t xml:space="preserve">最高3分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投标单位获得过政府部门颁发的与本项目相关的国家级先进保安服务相关证书的得4分，提供省级证书的得2分，提供市级证书的得1分，限评1项，以最高等级计分，不重复计分，投标文件中提供对应证书扫描件，不提供此项不得分。</w:t>
      </w:r>
      <w:r>
        <w:rPr>
          <w:rFonts w:hint="eastAsia" w:ascii="宋体" w:hAnsi="宋体" w:cs="宋体"/>
          <w:color w:val="auto"/>
          <w:sz w:val="24"/>
          <w:szCs w:val="24"/>
          <w:highlight w:val="none"/>
          <w:lang w:val="en-US" w:eastAsia="zh-CN"/>
        </w:rPr>
        <w:t xml:space="preserve">本项</w:t>
      </w:r>
      <w:r>
        <w:rPr>
          <w:rFonts w:hint="eastAsia" w:ascii="宋体" w:hAnsi="宋体"/>
          <w:color w:val="auto"/>
          <w:sz w:val="24"/>
          <w:szCs w:val="24"/>
          <w:highlight w:val="none"/>
        </w:rPr>
        <w:t xml:space="preserve">最高4分</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w:t>
      </w:r>
      <w:r>
        <w:rPr>
          <w:rFonts w:ascii="宋体" w:hAnsi="宋体"/>
          <w:color w:val="auto"/>
          <w:sz w:val="24"/>
          <w:szCs w:val="24"/>
          <w:highlight w:val="none"/>
        </w:rPr>
        <w:t xml:space="preserve">投标单位自2021年1月1日</w:t>
      </w:r>
      <w:r>
        <w:rPr>
          <w:rFonts w:hint="eastAsia" w:ascii="宋体" w:hAnsi="宋体"/>
          <w:color w:val="auto"/>
          <w:sz w:val="24"/>
          <w:szCs w:val="24"/>
          <w:highlight w:val="none"/>
          <w:lang w:val="en-US" w:eastAsia="zh-CN"/>
        </w:rPr>
        <w:t xml:space="preserve">至今</w:t>
      </w:r>
      <w:r>
        <w:rPr>
          <w:rFonts w:hint="eastAsia" w:ascii="宋体" w:hAnsi="宋体"/>
          <w:color w:val="auto"/>
          <w:sz w:val="24"/>
          <w:szCs w:val="24"/>
          <w:highlight w:val="none"/>
        </w:rPr>
        <w:t xml:space="preserve">完成的</w:t>
      </w:r>
      <w:r>
        <w:rPr>
          <w:rFonts w:ascii="宋体" w:hAnsi="宋体"/>
          <w:color w:val="auto"/>
          <w:sz w:val="24"/>
          <w:szCs w:val="24"/>
          <w:highlight w:val="none"/>
        </w:rPr>
        <w:t xml:space="preserve">（以合同签订日期</w:t>
      </w:r>
      <w:r>
        <w:rPr>
          <w:rFonts w:hint="eastAsia" w:ascii="宋体" w:hAnsi="宋体"/>
          <w:color w:val="auto"/>
          <w:sz w:val="24"/>
          <w:szCs w:val="24"/>
          <w:highlight w:val="none"/>
        </w:rPr>
        <w:t xml:space="preserve">为准</w:t>
      </w:r>
      <w:r>
        <w:rPr>
          <w:rFonts w:ascii="宋体" w:hAnsi="宋体"/>
          <w:color w:val="auto"/>
          <w:sz w:val="24"/>
          <w:szCs w:val="24"/>
          <w:highlight w:val="none"/>
        </w:rPr>
        <w:t xml:space="preserve">）类似服务</w:t>
      </w:r>
      <w:r>
        <w:rPr>
          <w:rFonts w:hint="eastAsia" w:ascii="宋体" w:hAnsi="宋体"/>
          <w:color w:val="auto"/>
          <w:sz w:val="24"/>
          <w:szCs w:val="24"/>
          <w:highlight w:val="none"/>
          <w:lang w:val="en-US" w:eastAsia="zh-CN"/>
        </w:rPr>
        <w:t xml:space="preserve">项目</w:t>
      </w:r>
      <w:r>
        <w:rPr>
          <w:rFonts w:ascii="宋体" w:hAnsi="宋体"/>
          <w:color w:val="auto"/>
          <w:sz w:val="24"/>
          <w:szCs w:val="24"/>
          <w:highlight w:val="none"/>
        </w:rPr>
        <w:t xml:space="preserve">业绩的，每提供一个</w:t>
      </w:r>
      <w:r>
        <w:rPr>
          <w:rFonts w:hint="eastAsia" w:ascii="宋体" w:hAnsi="宋体"/>
          <w:color w:val="auto"/>
          <w:sz w:val="24"/>
          <w:szCs w:val="24"/>
          <w:highlight w:val="none"/>
          <w:lang w:val="en-US" w:eastAsia="zh-CN"/>
        </w:rPr>
        <w:t xml:space="preserve">项目</w:t>
      </w:r>
      <w:r>
        <w:rPr>
          <w:rFonts w:hint="eastAsia" w:ascii="宋体" w:hAnsi="宋体"/>
          <w:color w:val="auto"/>
          <w:sz w:val="24"/>
          <w:szCs w:val="24"/>
          <w:highlight w:val="none"/>
        </w:rPr>
        <w:t xml:space="preserve">业绩合同</w:t>
      </w:r>
      <w:r>
        <w:rPr>
          <w:rFonts w:hint="eastAsia" w:ascii="宋体" w:hAnsi="宋体"/>
          <w:color w:val="auto"/>
          <w:sz w:val="24"/>
          <w:szCs w:val="24"/>
          <w:highlight w:val="none"/>
          <w:lang w:val="en-US" w:eastAsia="zh-CN"/>
        </w:rPr>
        <w:t xml:space="preserve">的</w:t>
      </w:r>
      <w:r>
        <w:rPr>
          <w:rFonts w:ascii="宋体" w:hAnsi="宋体"/>
          <w:color w:val="auto"/>
          <w:sz w:val="24"/>
          <w:szCs w:val="24"/>
          <w:highlight w:val="none"/>
        </w:rPr>
        <w:t xml:space="preserve">得1分</w:t>
      </w:r>
      <w:r>
        <w:rPr>
          <w:rFonts w:hint="eastAsia" w:ascii="宋体" w:hAnsi="宋体"/>
          <w:color w:val="auto"/>
          <w:sz w:val="24"/>
          <w:szCs w:val="24"/>
          <w:highlight w:val="none"/>
        </w:rPr>
        <w:t xml:space="preserve">，投标文件中提供</w:t>
      </w:r>
      <w:r>
        <w:rPr>
          <w:rFonts w:hint="eastAsia" w:ascii="宋体" w:hAnsi="宋体"/>
          <w:color w:val="auto"/>
          <w:sz w:val="24"/>
          <w:szCs w:val="24"/>
          <w:highlight w:val="none"/>
          <w:lang w:val="en-US" w:eastAsia="zh-CN"/>
        </w:rPr>
        <w:t xml:space="preserve">项目</w:t>
      </w:r>
      <w:r>
        <w:rPr>
          <w:rFonts w:hint="eastAsia" w:ascii="宋体" w:hAnsi="宋体"/>
          <w:color w:val="auto"/>
          <w:sz w:val="24"/>
          <w:szCs w:val="24"/>
          <w:highlight w:val="none"/>
        </w:rPr>
        <w:t xml:space="preserve">业绩合同</w:t>
      </w:r>
      <w:r>
        <w:rPr>
          <w:rFonts w:hint="eastAsia" w:ascii="宋体" w:hAnsi="宋体"/>
          <w:color w:val="auto"/>
          <w:sz w:val="24"/>
          <w:szCs w:val="24"/>
          <w:highlight w:val="none"/>
          <w:lang w:val="en-US" w:eastAsia="zh-CN"/>
        </w:rPr>
        <w:t xml:space="preserve">及对应合同50%的发票</w:t>
      </w:r>
      <w:r>
        <w:rPr>
          <w:rFonts w:hint="eastAsia" w:ascii="宋体" w:hAnsi="宋体"/>
          <w:color w:val="auto"/>
          <w:sz w:val="24"/>
          <w:szCs w:val="24"/>
          <w:highlight w:val="none"/>
        </w:rPr>
        <w:t xml:space="preserve">扫描件，不提供</w:t>
      </w:r>
      <w:r>
        <w:rPr>
          <w:rFonts w:hint="eastAsia" w:ascii="宋体" w:hAnsi="宋体"/>
          <w:color w:val="auto"/>
          <w:sz w:val="24"/>
          <w:szCs w:val="24"/>
          <w:highlight w:val="none"/>
          <w:lang w:val="en-US" w:eastAsia="zh-CN"/>
        </w:rPr>
        <w:t xml:space="preserve">或提供的不全</w:t>
      </w:r>
      <w:r>
        <w:rPr>
          <w:rFonts w:hint="eastAsia" w:ascii="宋体" w:hAnsi="宋体"/>
          <w:color w:val="auto"/>
          <w:sz w:val="24"/>
          <w:szCs w:val="24"/>
          <w:highlight w:val="none"/>
        </w:rPr>
        <w:t xml:space="preserve">此项不得分。</w:t>
      </w:r>
      <w:r>
        <w:rPr>
          <w:rFonts w:hint="eastAsia" w:ascii="宋体" w:hAnsi="宋体" w:cs="宋体"/>
          <w:color w:val="auto"/>
          <w:sz w:val="24"/>
          <w:szCs w:val="24"/>
          <w:highlight w:val="none"/>
          <w:lang w:val="en-US" w:eastAsia="zh-CN"/>
        </w:rPr>
        <w:t xml:space="preserve">本项</w:t>
      </w:r>
      <w:r>
        <w:rPr>
          <w:rFonts w:ascii="宋体" w:hAnsi="宋体"/>
          <w:color w:val="auto"/>
          <w:sz w:val="24"/>
          <w:szCs w:val="24"/>
          <w:highlight w:val="none"/>
        </w:rPr>
        <w:t xml:space="preserve">最高3分</w:t>
      </w:r>
      <w:r/>
    </w:p>
    <w:p>
      <w:pPr>
        <w:ind w:firstLine="367"/>
        <w:rPr>
          <w:rFonts w:ascii="宋体" w:hAnsi="宋体" w:cs="宋体"/>
          <w:b/>
          <w:bCs/>
          <w:color w:val="auto"/>
          <w:sz w:val="24"/>
          <w:szCs w:val="24"/>
          <w:highlight w:val="none"/>
        </w:rPr>
      </w:pPr>
      <w:r>
        <w:rPr>
          <w:rFonts w:ascii="宋体" w:hAnsi="宋体" w:cs="宋体"/>
          <w:b/>
          <w:bCs/>
          <w:color w:val="auto"/>
          <w:sz w:val="24"/>
          <w:szCs w:val="24"/>
          <w:highlight w:val="none"/>
        </w:rPr>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备注：</w:t>
      </w:r>
      <w:r/>
    </w:p>
    <w:p>
      <w:pPr>
        <w:numPr>
          <w:ilvl w:val="0"/>
          <w:numId w:val="2"/>
        </w:numPr>
        <w:ind w:firstLine="480"/>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针对评分标准中评分的每一条，投标人均应提供相关资料并作出相应说明供评委评判，不提供相关资料的视为不具备该项得分的条件，资料须编好目录及页码。</w:t>
      </w:r>
      <w:r/>
    </w:p>
    <w:p>
      <w:pPr>
        <w:numPr>
          <w:ilvl w:val="0"/>
          <w:numId w:val="2"/>
        </w:numPr>
        <w:ind w:firstLine="480"/>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投标文件中如出现前后不一致时，评委有权请投标人澄清说明，澄清说明事项涉及评分时，评委有权酌情扣分。</w:t>
      </w:r>
      <w:r/>
    </w:p>
    <w:p>
      <w:pPr>
        <w:numPr>
          <w:ilvl w:val="0"/>
          <w:numId w:val="2"/>
        </w:numPr>
        <w:ind w:firstLine="480"/>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pStyle w:val="883"/>
        <w:ind w:firstLine="0"/>
        <w:rPr>
          <w:rFonts w:ascii="宋体" w:hAnsi="宋体"/>
          <w:b/>
          <w:color w:val="auto"/>
          <w:sz w:val="24"/>
          <w:szCs w:val="24"/>
          <w:highlight w:val="none"/>
        </w:rPr>
      </w:pPr>
      <w:r>
        <w:rPr>
          <w:rFonts w:ascii="宋体" w:hAnsi="宋体"/>
          <w:b/>
          <w:color w:val="auto"/>
          <w:sz w:val="24"/>
          <w:szCs w:val="24"/>
          <w:highlight w:val="none"/>
        </w:rPr>
      </w:r>
      <w:r/>
    </w:p>
    <w:p>
      <w:pPr>
        <w:ind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
          <w:color w:val="auto"/>
          <w:sz w:val="24"/>
          <w:szCs w:val="24"/>
          <w:highlight w:val="none"/>
        </w:rPr>
        <w:t xml:space="preserve">三、政府采购政策：</w:t>
      </w:r>
      <w:r/>
    </w:p>
    <w:p>
      <w:pPr>
        <w:ind w:firstLine="480"/>
        <w:spacing w:line="360" w:lineRule="auto"/>
        <w:tabs>
          <w:tab w:val="left" w:pos="28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针对中小型企业的评审：</w:t>
      </w:r>
      <w:r/>
    </w:p>
    <w:p>
      <w:pPr>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（1）本项目专门面向中小企业采购。</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（2）依据《政府采购促进中小企业发展管理办法》规定享受扶持政策获得政府采购合同的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小微企业不得将合同分包给大中型企业</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中型企业不得将合同分包给大型企业。</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（3）本项目采购标的对应的中小企业划型标准规定所属行业为：</w:t>
      </w:r>
      <w:r>
        <w:rPr>
          <w:rFonts w:hint="eastAsia" w:ascii="宋体" w:hAnsi="宋体" w:cs="宋体"/>
          <w:b/>
          <w:bCs w:val="0"/>
          <w:color w:val="auto"/>
          <w:sz w:val="24"/>
          <w:szCs w:val="24"/>
          <w:highlight w:val="none"/>
          <w:u w:val="single"/>
        </w:rPr>
        <w:t xml:space="preserve">租赁和商务服务业</w:t>
      </w:r>
      <w:r>
        <w:rPr>
          <w:rFonts w:hint="eastAsia" w:ascii="宋体" w:hAnsi="宋体" w:eastAsia="宋体" w:cs="宋体"/>
          <w:b/>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Style w:val="985"/>
          <w:rFonts w:hint="eastAsia" w:ascii="宋体" w:hAnsi="宋体" w:eastAsia="宋体" w:cs="宋体"/>
          <w:bCs/>
          <w:color w:val="auto"/>
          <w:sz w:val="24"/>
          <w:szCs w:val="24"/>
          <w:highlight w:val="none"/>
          <w:lang w:val="en-US" w:eastAsia="zh-CN"/>
        </w:rPr>
        <w:t xml:space="preserve">中小企业参加政府采购活动，应当出具《政府采购促进中小企业发展管理办法》附件规定《中小企业声明函》，否则不得享受相关中小企业扶持政策。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注：在货物采购项目中</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供应商提供的货物既有中小企业制造货物</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也有大型企业制造货物的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不享受《政府采购促进中小企业发展管理办法》规定的中小企业扶持政策。若供应商提供的《中小企业声明函》为虚假声明则视同提供虚假材料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按政府采购相关规定处理并报请政府监管部门给予行政处罚。</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未按</w:t>
      </w:r>
      <w:r>
        <w:rPr>
          <w:rFonts w:hint="eastAsia" w:ascii="宋体" w:hAnsi="宋体" w:eastAsia="宋体" w:cs="宋体"/>
          <w:b w:val="0"/>
          <w:bCs w:val="0"/>
          <w:color w:val="auto"/>
          <w:sz w:val="24"/>
          <w:szCs w:val="24"/>
          <w:highlight w:val="none"/>
        </w:rPr>
        <w:t xml:space="preserve">本项目采购标的对应的中小企业划型标准规定所属行业</w:t>
      </w:r>
      <w:r>
        <w:rPr>
          <w:rFonts w:hint="eastAsia" w:ascii="宋体" w:hAnsi="宋体" w:eastAsia="宋体" w:cs="宋体"/>
          <w:b w:val="0"/>
          <w:bCs w:val="0"/>
          <w:color w:val="auto"/>
          <w:sz w:val="24"/>
          <w:szCs w:val="24"/>
          <w:highlight w:val="none"/>
          <w:lang w:eastAsia="zh-CN"/>
        </w:rPr>
        <w:t xml:space="preserve">承诺的</w:t>
      </w:r>
      <w:r>
        <w:rPr>
          <w:rFonts w:hint="eastAsia" w:ascii="宋体" w:hAnsi="宋体" w:eastAsia="宋体" w:cs="宋体"/>
          <w:b w:val="0"/>
          <w:bCs w:val="0"/>
          <w:color w:val="auto"/>
          <w:sz w:val="24"/>
          <w:szCs w:val="24"/>
          <w:highlight w:val="none"/>
        </w:rPr>
        <w:t xml:space="preserve">《中小企业声明函》</w:t>
      </w:r>
      <w:r>
        <w:rPr>
          <w:rFonts w:hint="eastAsia" w:ascii="宋体" w:hAnsi="宋体" w:eastAsia="宋体" w:cs="宋体"/>
          <w:b w:val="0"/>
          <w:bCs w:val="0"/>
          <w:color w:val="auto"/>
          <w:sz w:val="24"/>
          <w:szCs w:val="24"/>
          <w:highlight w:val="none"/>
          <w:lang w:eastAsia="zh-CN"/>
        </w:rPr>
        <w:t xml:space="preserve">为无效</w:t>
      </w:r>
      <w:r>
        <w:rPr>
          <w:rFonts w:hint="eastAsia" w:ascii="宋体" w:hAnsi="宋体" w:eastAsia="宋体" w:cs="宋体"/>
          <w:b w:val="0"/>
          <w:bCs w:val="0"/>
          <w:color w:val="auto"/>
          <w:sz w:val="24"/>
          <w:szCs w:val="24"/>
          <w:highlight w:val="none"/>
        </w:rPr>
        <w:t xml:space="preserve">《中小企业声明函》</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、针对监狱企业的评审：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根据财政部、司法部《关于政府采购支持监狱企业发展有关问题的通知》（财库〔2014〕68号）的规定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对属于监狱企业的供应商给予评审：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符合《关于政府采购支持监狱企业发展有关问题的通知》（财库〔2014〕68号）条件的监狱企业参加政府采购活动时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应当提供由省级以上监狱管理局、戒毒管理局（含新疆生产建设兵团）出具的属于监狱企业的证明文件。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、针对残疾人福利性单位的评审：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根据财政部、民政部、中国残疾人联合会《关于促进残疾人就业政府采购政策的通知》（财库〔2017〕141号）</w:t>
      </w:r>
      <w:r>
        <w:rPr>
          <w:rFonts w:hint="eastAsia" w:ascii="宋体" w:hAnsi="宋体" w:eastAsia="宋体" w:cs="宋体"/>
          <w:bCs/>
          <w:color w:val="auto"/>
          <w:sz w:val="24"/>
          <w:szCs w:val="24"/>
          <w:highlight w:val="none"/>
        </w:rPr>
        <w:t xml:space="preserve">的规定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对属于残疾人福利性单位的供应商给予评审：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根据供应商提供的《残疾人福利性单位声明函》。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（1）供应商对上述声明的真实性负责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若供应商提供的《残疾人福利性单位声明函》与事实不符的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依照《政府采购法》第七十七条第一款的规定追究法律责任。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（2）供应商为残疾人福利性单位的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采购代理机构将随中标结果同时公告其《残疾人福利性单位声明函》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接受社会监督。</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、上述针对中小型企业、监狱企业和残疾人福利性单位的评审政策不重复享受。</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82"/>
        <w:jc w:val="left"/>
        <w:rPr>
          <w:color w:val="auto"/>
          <w:highlight w:val="none"/>
        </w:rPr>
      </w:pPr>
      <w:r>
        <w:rPr>
          <w:color w:val="auto"/>
          <w:highlight w:val="none"/>
        </w:rPr>
      </w:r>
      <w:r/>
    </w:p>
    <w:p>
      <w:pPr>
        <w:ind w:firstLine="480"/>
        <w:jc w:val="right"/>
        <w:spacing w:line="360" w:lineRule="auto"/>
        <w:rPr>
          <w:rFonts w:ascii="宋体" w:cs="宋体"/>
          <w:color w:val="auto"/>
          <w:sz w:val="24"/>
          <w:szCs w:val="24"/>
          <w:highlight w:val="none"/>
        </w:rPr>
      </w:pPr>
      <w:r>
        <w:rPr>
          <w:rFonts w:hint="eastAsia" w:ascii="宋体" w:cs="宋体"/>
          <w:color w:val="auto"/>
          <w:sz w:val="24"/>
          <w:szCs w:val="24"/>
          <w:highlight w:val="none"/>
        </w:rPr>
        <w:t xml:space="preserve">（全文完）</w:t>
      </w:r>
      <w:r/>
    </w:p>
    <w:sectPr>
      <w:headerReference w:type="default" r:id="rId9"/>
      <w:footerReference w:type="default" r:id="rId10"/>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font>
  <w:font w:name="Wingdings">
    <w:panose1 w:val="05000000000000000000"/>
  </w:font>
  <w:font w:name="黑体">
    <w:panose1 w:val="02010609060101010101"/>
  </w:font>
  <w:font w:name="Symbol">
    <w:panose1 w:val="05050102010706020507"/>
  </w:font>
  <w:font w:name="楷体">
    <w:panose1 w:val="02010609060101010101"/>
  </w:font>
  <w:font w:name="Tahoma">
    <w:panose1 w:val="020B0604030504040204"/>
  </w:font>
  <w:font w:name="Courier New">
    <w:panose1 w:val="02070309020205020404"/>
  </w:font>
  <w:font w:name="仿宋">
    <w:panose1 w:val="02010609060101010101"/>
  </w:font>
  <w:font w:name="Cambria">
    <w:panose1 w:val="02040503050406030204"/>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_GB2312">
    <w:panose1 w:val="020B0503020202020204"/>
  </w:font>
  <w:font w:name="Times New Roman">
    <w:panose1 w:val="02020603050405020304"/>
  </w:font>
  <w:font w:name="KaiTi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right="360"/>
      <w:rPr>
        <w:rFonts w:ascii="宋体"/>
        <w:sz w:val="21"/>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91"/>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1"/>
                    </w:pPr>
                    <w:r>
                      <w:fldChar w:fldCharType="begin"/>
                    </w:r>
                    <w:r>
                      <w:instrText xml:space="preserve"> PAGE  \* MERGEFORMAT </w:instrText>
                    </w:r>
                    <w:r>
                      <w:fldChar w:fldCharType="separate"/>
                    </w:r>
                    <w:r>
                      <w:t xml:space="preserve">2</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429895" cy="17272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429895" cy="172720"/>
                      </a:xfrm>
                      <a:prstGeom prst="rect">
                        <a:avLst/>
                      </a:prstGeom>
                      <a:noFill/>
                      <a:ln>
                        <a:noFill/>
                        <a:miter/>
                      </a:ln>
                    </wps:spPr>
                    <wps:txbx>
                      <w:txbxContent>
                        <w:p>
                          <w:pPr>
                            <w:rPr>
                              <w:sz w:val="18"/>
                            </w:rPr>
                          </w:pPr>
                          <w:r>
                            <w:rPr>
                              <w:sz w:val="18"/>
                            </w:rPr>
                          </w:r>
                          <w:r/>
                        </w:p>
                      </w:txbxContent>
                    </wps:txbx>
                    <wps:bodyPr wrap="none" lIns="0" tIns="0" rIns="0" bIns="0" upright="1">
                      <a:spAutoFit/>
                    </wps:bodyPr>
                  </wps:wsp>
                </a:graphicData>
              </a:graphic>
            </wp:anchor>
          </w:drawing>
        </mc:Choice>
        <mc:Fallback>
          <w:pict>
            <v:shape id="shape 1" o:spid="_x0000_s1" o:spt="1" type="#_x0000_t1" style="position:absolute;z-index:251660288;o:allowoverlap:true;o:allowincell:true;mso-position-horizontal-relative:margin;mso-position-horizontal:right;mso-position-vertical-relative:text;margin-top:0.0pt;mso-position-vertical:absolute;width:33.9pt;height:13.6pt;mso-wrap-distance-left:9.0pt;mso-wrap-distance-top:0.0pt;mso-wrap-distance-right:9.0pt;mso-wrap-distance-bottom:0.0pt;visibility:visible;" filled="f" stroked="f">
              <v:textbox inset="0,0,0,0">
                <w:txbxContent>
                  <w:p>
                    <w:pPr>
                      <w:rPr>
                        <w:sz w:val="18"/>
                      </w:rPr>
                    </w:pPr>
                    <w:r>
                      <w:rPr>
                        <w:sz w:val="18"/>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both"/>
      <w:rPr>
        <w:rFonts w:hint="eastAsia" w:eastAsia="宋体"/>
        <w:lang w:eastAsia="zh-CN"/>
      </w:rPr>
    </w:pPr>
    <w:r>
      <w:rPr>
        <w:rFonts w:hint="eastAsia"/>
      </w:rPr>
      <w:t xml:space="preserve">招标文件                                                                </w:t>
    </w:r>
    <w:r>
      <w:rPr>
        <w:rFonts w:hint="eastAsia"/>
        <w:lang w:val="en-US" w:eastAsia="zh-CN"/>
      </w:rPr>
      <w:t xml:space="preserve">  </w:t>
    </w:r>
    <w:r>
      <w:rPr>
        <w:rFonts w:hint="eastAsia"/>
      </w:rPr>
      <w:t xml:space="preserve">  标号：</w:t>
    </w:r>
    <w:r>
      <w:rPr>
        <w:rFonts w:hint="eastAsia"/>
        <w:lang w:eastAsia="zh-CN"/>
      </w:rPr>
      <w:t xml:space="preserve">JSZC-320500-SZZJ-G2025-0052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1277" w:hanging="567"/>
      </w:pPr>
    </w:lvl>
    <w:lvl w:ilvl="2">
      <w:start w:val="1"/>
      <w:numFmt w:val="decimal"/>
      <w:isLgl w:val="false"/>
      <w:suff w:val="tab"/>
      <w:lvlText w:val="%1.%2.%3"/>
      <w:lvlJc w:val="left"/>
      <w:pPr>
        <w:ind w:left="992"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6">
    <w:name w:val="Heading 1 Char"/>
    <w:basedOn w:val="879"/>
    <w:link w:val="874"/>
    <w:uiPriority w:val="9"/>
    <w:rPr>
      <w:rFonts w:ascii="Arial" w:hAnsi="Arial" w:eastAsia="Arial" w:cs="Arial"/>
      <w:sz w:val="40"/>
      <w:szCs w:val="40"/>
    </w:rPr>
  </w:style>
  <w:style w:type="character" w:styleId="707">
    <w:name w:val="Heading 2 Char"/>
    <w:basedOn w:val="879"/>
    <w:link w:val="875"/>
    <w:uiPriority w:val="9"/>
    <w:rPr>
      <w:rFonts w:ascii="Arial" w:hAnsi="Arial" w:eastAsia="Arial" w:cs="Arial"/>
      <w:sz w:val="34"/>
    </w:rPr>
  </w:style>
  <w:style w:type="character" w:styleId="708">
    <w:name w:val="Heading 3 Char"/>
    <w:basedOn w:val="879"/>
    <w:link w:val="876"/>
    <w:uiPriority w:val="9"/>
    <w:rPr>
      <w:rFonts w:ascii="Arial" w:hAnsi="Arial" w:eastAsia="Arial" w:cs="Arial"/>
      <w:sz w:val="30"/>
      <w:szCs w:val="30"/>
    </w:rPr>
  </w:style>
  <w:style w:type="character" w:styleId="709">
    <w:name w:val="Heading 4 Char"/>
    <w:basedOn w:val="879"/>
    <w:link w:val="877"/>
    <w:uiPriority w:val="9"/>
    <w:rPr>
      <w:rFonts w:ascii="Arial" w:hAnsi="Arial" w:eastAsia="Arial" w:cs="Arial"/>
      <w:b/>
      <w:bCs/>
      <w:sz w:val="26"/>
      <w:szCs w:val="26"/>
    </w:rPr>
  </w:style>
  <w:style w:type="character" w:styleId="710">
    <w:name w:val="Heading 5 Char"/>
    <w:basedOn w:val="879"/>
    <w:link w:val="878"/>
    <w:uiPriority w:val="9"/>
    <w:rPr>
      <w:rFonts w:ascii="Arial" w:hAnsi="Arial" w:eastAsia="Arial" w:cs="Arial"/>
      <w:b/>
      <w:bCs/>
      <w:sz w:val="24"/>
      <w:szCs w:val="24"/>
    </w:rPr>
  </w:style>
  <w:style w:type="paragraph" w:styleId="711">
    <w:name w:val="Heading 6"/>
    <w:basedOn w:val="873"/>
    <w:next w:val="873"/>
    <w:link w:val="712"/>
    <w:uiPriority w:val="9"/>
    <w:unhideWhenUsed/>
    <w:qFormat/>
    <w:pPr>
      <w:keepLines/>
      <w:keepNext/>
      <w:spacing w:before="320" w:after="200"/>
      <w:outlineLvl w:val="5"/>
    </w:pPr>
    <w:rPr>
      <w:rFonts w:ascii="Arial" w:hAnsi="Arial" w:eastAsia="Arial" w:cs="Arial"/>
      <w:b/>
      <w:bCs/>
      <w:sz w:val="22"/>
      <w:szCs w:val="22"/>
    </w:rPr>
  </w:style>
  <w:style w:type="character" w:styleId="712">
    <w:name w:val="Heading 6 Char"/>
    <w:basedOn w:val="879"/>
    <w:link w:val="711"/>
    <w:uiPriority w:val="9"/>
    <w:rPr>
      <w:rFonts w:ascii="Arial" w:hAnsi="Arial" w:eastAsia="Arial" w:cs="Arial"/>
      <w:b/>
      <w:bCs/>
      <w:sz w:val="22"/>
      <w:szCs w:val="22"/>
    </w:rPr>
  </w:style>
  <w:style w:type="paragraph" w:styleId="713">
    <w:name w:val="Heading 7"/>
    <w:basedOn w:val="873"/>
    <w:next w:val="873"/>
    <w:link w:val="714"/>
    <w:uiPriority w:val="9"/>
    <w:unhideWhenUsed/>
    <w:qFormat/>
    <w:pPr>
      <w:keepLines/>
      <w:keepNext/>
      <w:spacing w:before="320" w:after="200"/>
      <w:outlineLvl w:val="6"/>
    </w:pPr>
    <w:rPr>
      <w:rFonts w:ascii="Arial" w:hAnsi="Arial" w:eastAsia="Arial" w:cs="Arial"/>
      <w:b/>
      <w:bCs/>
      <w:i/>
      <w:iCs/>
      <w:sz w:val="22"/>
      <w:szCs w:val="22"/>
    </w:rPr>
  </w:style>
  <w:style w:type="character" w:styleId="714">
    <w:name w:val="Heading 7 Char"/>
    <w:basedOn w:val="879"/>
    <w:link w:val="713"/>
    <w:uiPriority w:val="9"/>
    <w:rPr>
      <w:rFonts w:ascii="Arial" w:hAnsi="Arial" w:eastAsia="Arial" w:cs="Arial"/>
      <w:b/>
      <w:bCs/>
      <w:i/>
      <w:iCs/>
      <w:sz w:val="22"/>
      <w:szCs w:val="22"/>
    </w:rPr>
  </w:style>
  <w:style w:type="paragraph" w:styleId="715">
    <w:name w:val="Heading 8"/>
    <w:basedOn w:val="873"/>
    <w:next w:val="873"/>
    <w:link w:val="716"/>
    <w:uiPriority w:val="9"/>
    <w:unhideWhenUsed/>
    <w:qFormat/>
    <w:pPr>
      <w:keepLines/>
      <w:keepNext/>
      <w:spacing w:before="320" w:after="200"/>
      <w:outlineLvl w:val="7"/>
    </w:pPr>
    <w:rPr>
      <w:rFonts w:ascii="Arial" w:hAnsi="Arial" w:eastAsia="Arial" w:cs="Arial"/>
      <w:i/>
      <w:iCs/>
      <w:sz w:val="22"/>
      <w:szCs w:val="22"/>
    </w:rPr>
  </w:style>
  <w:style w:type="character" w:styleId="716">
    <w:name w:val="Heading 8 Char"/>
    <w:basedOn w:val="879"/>
    <w:link w:val="715"/>
    <w:uiPriority w:val="9"/>
    <w:rPr>
      <w:rFonts w:ascii="Arial" w:hAnsi="Arial" w:eastAsia="Arial" w:cs="Arial"/>
      <w:i/>
      <w:iCs/>
      <w:sz w:val="22"/>
      <w:szCs w:val="22"/>
    </w:rPr>
  </w:style>
  <w:style w:type="paragraph" w:styleId="717">
    <w:name w:val="Heading 9"/>
    <w:basedOn w:val="873"/>
    <w:next w:val="873"/>
    <w:link w:val="718"/>
    <w:uiPriority w:val="9"/>
    <w:unhideWhenUsed/>
    <w:qFormat/>
    <w:pPr>
      <w:keepLines/>
      <w:keepNext/>
      <w:spacing w:before="320" w:after="200"/>
      <w:outlineLvl w:val="8"/>
    </w:pPr>
    <w:rPr>
      <w:rFonts w:ascii="Arial" w:hAnsi="Arial" w:eastAsia="Arial" w:cs="Arial"/>
      <w:i/>
      <w:iCs/>
      <w:sz w:val="21"/>
      <w:szCs w:val="21"/>
    </w:rPr>
  </w:style>
  <w:style w:type="character" w:styleId="718">
    <w:name w:val="Heading 9 Char"/>
    <w:basedOn w:val="879"/>
    <w:link w:val="717"/>
    <w:uiPriority w:val="9"/>
    <w:rPr>
      <w:rFonts w:ascii="Arial" w:hAnsi="Arial" w:eastAsia="Arial" w:cs="Arial"/>
      <w:i/>
      <w:iCs/>
      <w:sz w:val="21"/>
      <w:szCs w:val="21"/>
    </w:rPr>
  </w:style>
  <w:style w:type="paragraph" w:styleId="719">
    <w:name w:val="No Spacing"/>
    <w:uiPriority w:val="1"/>
    <w:qFormat/>
    <w:pPr>
      <w:spacing w:before="0" w:after="0" w:line="240" w:lineRule="auto"/>
    </w:pPr>
  </w:style>
  <w:style w:type="paragraph" w:styleId="720">
    <w:name w:val="Title"/>
    <w:basedOn w:val="873"/>
    <w:next w:val="873"/>
    <w:link w:val="721"/>
    <w:uiPriority w:val="10"/>
    <w:qFormat/>
    <w:pPr>
      <w:contextualSpacing/>
      <w:spacing w:before="300" w:after="200"/>
    </w:pPr>
    <w:rPr>
      <w:sz w:val="48"/>
      <w:szCs w:val="48"/>
    </w:rPr>
  </w:style>
  <w:style w:type="character" w:styleId="721">
    <w:name w:val="Title Char"/>
    <w:basedOn w:val="879"/>
    <w:link w:val="720"/>
    <w:uiPriority w:val="10"/>
    <w:rPr>
      <w:sz w:val="48"/>
      <w:szCs w:val="48"/>
    </w:rPr>
  </w:style>
  <w:style w:type="paragraph" w:styleId="722">
    <w:name w:val="Subtitle"/>
    <w:basedOn w:val="873"/>
    <w:next w:val="873"/>
    <w:link w:val="723"/>
    <w:uiPriority w:val="11"/>
    <w:qFormat/>
    <w:pPr>
      <w:spacing w:before="200" w:after="200"/>
    </w:pPr>
    <w:rPr>
      <w:sz w:val="24"/>
      <w:szCs w:val="24"/>
    </w:rPr>
  </w:style>
  <w:style w:type="character" w:styleId="723">
    <w:name w:val="Subtitle Char"/>
    <w:basedOn w:val="879"/>
    <w:link w:val="722"/>
    <w:uiPriority w:val="11"/>
    <w:rPr>
      <w:sz w:val="24"/>
      <w:szCs w:val="24"/>
    </w:rPr>
  </w:style>
  <w:style w:type="paragraph" w:styleId="724">
    <w:name w:val="Quote"/>
    <w:basedOn w:val="873"/>
    <w:next w:val="873"/>
    <w:link w:val="725"/>
    <w:uiPriority w:val="29"/>
    <w:qFormat/>
    <w:pPr>
      <w:ind w:left="720" w:right="720"/>
    </w:pPr>
    <w:rPr>
      <w:i/>
    </w:rPr>
  </w:style>
  <w:style w:type="character" w:styleId="725">
    <w:name w:val="Quote Char"/>
    <w:link w:val="724"/>
    <w:uiPriority w:val="29"/>
    <w:rPr>
      <w:i/>
    </w:rPr>
  </w:style>
  <w:style w:type="paragraph" w:styleId="726">
    <w:name w:val="Intense Quote"/>
    <w:basedOn w:val="873"/>
    <w:next w:val="873"/>
    <w:link w:val="7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7">
    <w:name w:val="Intense Quote Char"/>
    <w:link w:val="726"/>
    <w:uiPriority w:val="30"/>
    <w:rPr>
      <w:i/>
    </w:rPr>
  </w:style>
  <w:style w:type="character" w:styleId="728">
    <w:name w:val="Header Char"/>
    <w:basedOn w:val="879"/>
    <w:link w:val="892"/>
    <w:uiPriority w:val="99"/>
  </w:style>
  <w:style w:type="character" w:styleId="729">
    <w:name w:val="Footer Char"/>
    <w:basedOn w:val="879"/>
    <w:link w:val="891"/>
    <w:uiPriority w:val="99"/>
  </w:style>
  <w:style w:type="paragraph" w:styleId="730">
    <w:name w:val="Caption"/>
    <w:basedOn w:val="873"/>
    <w:next w:val="873"/>
    <w:uiPriority w:val="35"/>
    <w:semiHidden/>
    <w:unhideWhenUsed/>
    <w:qFormat/>
    <w:pPr>
      <w:spacing w:line="276" w:lineRule="auto"/>
    </w:pPr>
    <w:rPr>
      <w:b/>
      <w:bCs/>
      <w:color w:val="4f81bd" w:themeColor="accent1"/>
      <w:sz w:val="18"/>
      <w:szCs w:val="18"/>
    </w:rPr>
  </w:style>
  <w:style w:type="character" w:styleId="731">
    <w:name w:val="Caption Char"/>
    <w:basedOn w:val="730"/>
    <w:link w:val="891"/>
    <w:uiPriority w:val="99"/>
  </w:style>
  <w:style w:type="table" w:styleId="732">
    <w:name w:val="Table Grid"/>
    <w:basedOn w:val="88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3">
    <w:name w:val="Table Grid Light"/>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4">
    <w:name w:val="Plain Table 1"/>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basedOn w:val="8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basedOn w:val="8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1 Light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1">
    <w:name w:val="Grid Table 1 Light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2">
    <w:name w:val="Grid Table 1 Light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3">
    <w:name w:val="Grid Table 1 Light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4">
    <w:name w:val="Grid Table 1 Light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5">
    <w:name w:val="Grid Table 1 Light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6">
    <w:name w:val="Grid Table 2"/>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2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8">
    <w:name w:val="Grid Table 2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2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2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2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2">
    <w:name w:val="Grid Table 2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3">
    <w:name w:val="Grid Table 3"/>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basedOn w:val="8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4 - Accent 1"/>
    <w:basedOn w:val="88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2">
    <w:name w:val="Grid Table 4 - Accent 2"/>
    <w:basedOn w:val="88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3">
    <w:name w:val="Grid Table 4 - Accent 3"/>
    <w:basedOn w:val="88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4">
    <w:name w:val="Grid Table 4 - Accent 4"/>
    <w:basedOn w:val="88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5">
    <w:name w:val="Grid Table 4 - Accent 5"/>
    <w:basedOn w:val="88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6">
    <w:name w:val="Grid Table 4 - Accent 6"/>
    <w:basedOn w:val="88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7">
    <w:name w:val="Grid Table 5 Dark"/>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5 Dark- Accent 1"/>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9">
    <w:name w:val="Grid Table 5 Dark - Accent 2"/>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0">
    <w:name w:val="Grid Table 5 Dark - Accent 3"/>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1">
    <w:name w:val="Grid Table 5 Dark- Accent 4"/>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2">
    <w:name w:val="Grid Table 5 Dark - Accent 5"/>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3">
    <w:name w:val="Grid Table 5 Dark - Accent 6"/>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4">
    <w:name w:val="Grid Table 6 Colorful"/>
    <w:basedOn w:val="8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6 Colorful - Accent 1"/>
    <w:basedOn w:val="88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6">
    <w:name w:val="Grid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7">
    <w:name w:val="Grid Table 6 Colorful - Accent 3"/>
    <w:basedOn w:val="88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8">
    <w:name w:val="Grid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9">
    <w:name w:val="Grid Table 6 Colorful - Accent 5"/>
    <w:basedOn w:val="88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6 Colorful - Accent 6"/>
    <w:basedOn w:val="88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7 Colorful"/>
    <w:basedOn w:val="8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Grid Table 7 Colorful - Accent 1"/>
    <w:basedOn w:val="88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3">
    <w:name w:val="Grid Table 7 Colorful - Accent 2"/>
    <w:basedOn w:val="88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7 Colorful - Accent 3"/>
    <w:basedOn w:val="88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7 Colorful - Accent 4"/>
    <w:basedOn w:val="88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7 Colorful - Accent 5"/>
    <w:basedOn w:val="88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7">
    <w:name w:val="Grid Table 7 Colorful - Accent 6"/>
    <w:basedOn w:val="88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8">
    <w:name w:val="List Table 1 Light"/>
    <w:basedOn w:val="8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1 Light - Accent 1"/>
    <w:basedOn w:val="88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0">
    <w:name w:val="List Table 1 Light - Accent 2"/>
    <w:basedOn w:val="88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1">
    <w:name w:val="List Table 1 Light - Accent 3"/>
    <w:basedOn w:val="88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2">
    <w:name w:val="List Table 1 Light - Accent 4"/>
    <w:basedOn w:val="88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3">
    <w:name w:val="List Table 1 Light - Accent 5"/>
    <w:basedOn w:val="88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4">
    <w:name w:val="List Table 1 Light - Accent 6"/>
    <w:basedOn w:val="88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5">
    <w:name w:val="List Table 2"/>
    <w:basedOn w:val="8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2 - Accent 1"/>
    <w:basedOn w:val="88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7">
    <w:name w:val="List Table 2 - Accent 2"/>
    <w:basedOn w:val="88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8">
    <w:name w:val="List Table 2 - Accent 3"/>
    <w:basedOn w:val="88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9">
    <w:name w:val="List Table 2 - Accent 4"/>
    <w:basedOn w:val="88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0">
    <w:name w:val="List Table 2 - Accent 5"/>
    <w:basedOn w:val="88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1">
    <w:name w:val="List Table 2 - Accent 6"/>
    <w:basedOn w:val="88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2">
    <w:name w:val="List Table 3"/>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3 - Accent 1"/>
    <w:basedOn w:val="88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3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5">
    <w:name w:val="List Table 3 - Accent 3"/>
    <w:basedOn w:val="88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6">
    <w:name w:val="List Table 3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7">
    <w:name w:val="List Table 3 - Accent 5"/>
    <w:basedOn w:val="88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8">
    <w:name w:val="List Table 3 - Accent 6"/>
    <w:basedOn w:val="88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9">
    <w:name w:val="List Table 4"/>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 Accent 1"/>
    <w:basedOn w:val="88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4 - Accent 2"/>
    <w:basedOn w:val="88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2">
    <w:name w:val="List Table 4 - Accent 3"/>
    <w:basedOn w:val="88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3">
    <w:name w:val="List Table 4 - Accent 4"/>
    <w:basedOn w:val="88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4">
    <w:name w:val="List Table 4 - Accent 5"/>
    <w:basedOn w:val="88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5">
    <w:name w:val="List Table 4 - Accent 6"/>
    <w:basedOn w:val="88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6">
    <w:name w:val="List Table 5 Dark"/>
    <w:basedOn w:val="8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1"/>
    <w:basedOn w:val="88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2"/>
    <w:basedOn w:val="88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3"/>
    <w:basedOn w:val="88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4"/>
    <w:basedOn w:val="88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5"/>
    <w:basedOn w:val="88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6"/>
    <w:basedOn w:val="88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6 Colorful"/>
    <w:basedOn w:val="8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4">
    <w:name w:val="List Table 6 Colorful - Accent 1"/>
    <w:basedOn w:val="88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5">
    <w:name w:val="List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6">
    <w:name w:val="List Table 6 Colorful - Accent 3"/>
    <w:basedOn w:val="88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7">
    <w:name w:val="List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8">
    <w:name w:val="List Table 6 Colorful - Accent 5"/>
    <w:basedOn w:val="88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9">
    <w:name w:val="List Table 6 Colorful - Accent 6"/>
    <w:basedOn w:val="88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0">
    <w:name w:val="List Table 7 Colorful"/>
    <w:basedOn w:val="8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1">
    <w:name w:val="List Table 7 Colorful - Accent 1"/>
    <w:basedOn w:val="88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2">
    <w:name w:val="List Table 7 Colorful - Accent 2"/>
    <w:basedOn w:val="88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3">
    <w:name w:val="List Table 7 Colorful - Accent 3"/>
    <w:basedOn w:val="88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4">
    <w:name w:val="List Table 7 Colorful - Accent 4"/>
    <w:basedOn w:val="88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5">
    <w:name w:val="List Table 7 Colorful - Accent 5"/>
    <w:basedOn w:val="88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6">
    <w:name w:val="List Table 7 Colorful - Accent 6"/>
    <w:basedOn w:val="88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7">
    <w:name w:val="Lined - Accent"/>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Lined - Accent 1"/>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Lined - Accent 2"/>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Lined - Accent 3"/>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Lined - Accent 4"/>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Lined - Accent 5"/>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Lined - Accent 6"/>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amp; Lined - Accent"/>
    <w:basedOn w:val="88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Bordered &amp; Lined - Accent 1"/>
    <w:basedOn w:val="88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Bordered &amp; Lined - Accent 2"/>
    <w:basedOn w:val="88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Bordered &amp; Lined - Accent 3"/>
    <w:basedOn w:val="88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Bordered &amp; Lined - Accent 4"/>
    <w:basedOn w:val="88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Bordered &amp; Lined - Accent 5"/>
    <w:basedOn w:val="88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Bordered &amp; Lined - Accent 6"/>
    <w:basedOn w:val="88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w:basedOn w:val="88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2">
    <w:name w:val="Bordered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3">
    <w:name w:val="Bordered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4">
    <w:name w:val="Bordered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5">
    <w:name w:val="Bordered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6">
    <w:name w:val="Bordered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7">
    <w:name w:val="Bordered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8">
    <w:name w:val="footnote text"/>
    <w:basedOn w:val="873"/>
    <w:link w:val="859"/>
    <w:uiPriority w:val="99"/>
    <w:semiHidden/>
    <w:unhideWhenUsed/>
    <w:pPr>
      <w:spacing w:after="40" w:line="240" w:lineRule="auto"/>
    </w:pPr>
    <w:rPr>
      <w:sz w:val="18"/>
    </w:rPr>
  </w:style>
  <w:style w:type="character" w:styleId="859">
    <w:name w:val="Footnote Text Char"/>
    <w:link w:val="858"/>
    <w:uiPriority w:val="99"/>
    <w:rPr>
      <w:sz w:val="18"/>
    </w:rPr>
  </w:style>
  <w:style w:type="character" w:styleId="860">
    <w:name w:val="footnote reference"/>
    <w:basedOn w:val="879"/>
    <w:uiPriority w:val="99"/>
    <w:unhideWhenUsed/>
    <w:rPr>
      <w:vertAlign w:val="superscript"/>
    </w:rPr>
  </w:style>
  <w:style w:type="paragraph" w:styleId="861">
    <w:name w:val="endnote text"/>
    <w:basedOn w:val="873"/>
    <w:link w:val="862"/>
    <w:uiPriority w:val="99"/>
    <w:semiHidden/>
    <w:unhideWhenUsed/>
    <w:pPr>
      <w:spacing w:after="0" w:line="240" w:lineRule="auto"/>
    </w:pPr>
    <w:rPr>
      <w:sz w:val="20"/>
    </w:rPr>
  </w:style>
  <w:style w:type="character" w:styleId="862">
    <w:name w:val="Endnote Text Char"/>
    <w:link w:val="861"/>
    <w:uiPriority w:val="99"/>
    <w:rPr>
      <w:sz w:val="20"/>
    </w:rPr>
  </w:style>
  <w:style w:type="character" w:styleId="863">
    <w:name w:val="endnote reference"/>
    <w:basedOn w:val="879"/>
    <w:uiPriority w:val="99"/>
    <w:semiHidden/>
    <w:unhideWhenUsed/>
    <w:rPr>
      <w:vertAlign w:val="superscript"/>
    </w:r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81"/>
    <w:uiPriority w:val="0"/>
    <w:qFormat/>
    <w:pPr>
      <w:jc w:val="both"/>
      <w:widowControl w:val="off"/>
    </w:pPr>
    <w:rPr>
      <w:rFonts w:ascii="Calibri" w:hAnsi="Calibri" w:eastAsia="宋体" w:cs="Times New Roman"/>
      <w:sz w:val="21"/>
      <w:szCs w:val="22"/>
      <w:lang w:val="en-US" w:eastAsia="zh-CN" w:bidi="ar-SA"/>
    </w:rPr>
  </w:style>
  <w:style w:type="paragraph" w:styleId="874">
    <w:name w:val="Heading 1"/>
    <w:basedOn w:val="873"/>
    <w:next w:val="873"/>
    <w:link w:val="903"/>
    <w:uiPriority w:val="99"/>
    <w:qFormat/>
    <w:pPr>
      <w:keepLines/>
      <w:keepNext/>
      <w:spacing w:before="340" w:after="330" w:line="578" w:lineRule="auto"/>
      <w:outlineLvl w:val="0"/>
    </w:pPr>
    <w:rPr>
      <w:b/>
      <w:sz w:val="44"/>
      <w:szCs w:val="20"/>
    </w:rPr>
  </w:style>
  <w:style w:type="paragraph" w:styleId="875">
    <w:name w:val="Heading 2"/>
    <w:basedOn w:val="873"/>
    <w:next w:val="873"/>
    <w:link w:val="904"/>
    <w:uiPriority w:val="99"/>
    <w:qFormat/>
    <w:pPr>
      <w:keepLines/>
      <w:keepNext/>
      <w:spacing w:before="260" w:after="260" w:line="415" w:lineRule="auto"/>
      <w:outlineLvl w:val="1"/>
    </w:pPr>
    <w:rPr>
      <w:rFonts w:ascii="Cambria" w:hAnsi="Cambria"/>
      <w:b/>
      <w:sz w:val="32"/>
      <w:szCs w:val="20"/>
    </w:rPr>
  </w:style>
  <w:style w:type="paragraph" w:styleId="876">
    <w:name w:val="Heading 3"/>
    <w:basedOn w:val="873"/>
    <w:next w:val="873"/>
    <w:link w:val="905"/>
    <w:uiPriority w:val="99"/>
    <w:qFormat/>
    <w:pPr>
      <w:keepLines/>
      <w:keepNext/>
      <w:spacing w:before="260" w:after="260" w:line="415" w:lineRule="auto"/>
      <w:outlineLvl w:val="2"/>
    </w:pPr>
    <w:rPr>
      <w:b/>
      <w:sz w:val="32"/>
      <w:szCs w:val="20"/>
    </w:rPr>
  </w:style>
  <w:style w:type="paragraph" w:styleId="877">
    <w:name w:val="Heading 4"/>
    <w:basedOn w:val="873"/>
    <w:next w:val="873"/>
    <w:link w:val="906"/>
    <w:uiPriority w:val="99"/>
    <w:qFormat/>
    <w:pPr>
      <w:keepLines/>
      <w:keepNext/>
      <w:spacing w:before="280" w:after="290" w:line="377" w:lineRule="auto"/>
      <w:outlineLvl w:val="3"/>
    </w:pPr>
    <w:rPr>
      <w:rFonts w:ascii="Cambria" w:hAnsi="Cambria"/>
      <w:b/>
      <w:sz w:val="28"/>
      <w:szCs w:val="20"/>
    </w:rPr>
  </w:style>
  <w:style w:type="paragraph" w:styleId="878">
    <w:name w:val="Heading 5"/>
    <w:basedOn w:val="873"/>
    <w:next w:val="873"/>
    <w:link w:val="907"/>
    <w:uiPriority w:val="99"/>
    <w:qFormat/>
    <w:pPr>
      <w:keepLines/>
      <w:keepNext/>
      <w:spacing w:before="280" w:after="290" w:line="377" w:lineRule="auto"/>
      <w:outlineLvl w:val="4"/>
    </w:pPr>
    <w:rPr>
      <w:b/>
      <w:sz w:val="28"/>
      <w:szCs w:val="20"/>
    </w:rPr>
  </w:style>
  <w:style w:type="character" w:styleId="879" w:default="1">
    <w:name w:val="Default Paragraph Font"/>
    <w:uiPriority w:val="1"/>
    <w:semiHidden/>
    <w:unhideWhenUsed/>
    <w:qFormat/>
  </w:style>
  <w:style w:type="table" w:styleId="880" w:default="1">
    <w:name w:val="Normal Table"/>
    <w:uiPriority w:val="99"/>
    <w:semiHidden/>
    <w:unhideWhenUsed/>
    <w:qFormat/>
    <w:tblPr>
      <w:tblCellMar>
        <w:left w:w="108" w:type="dxa"/>
        <w:top w:w="0" w:type="dxa"/>
        <w:right w:w="108" w:type="dxa"/>
        <w:bottom w:w="0" w:type="dxa"/>
      </w:tblCellMar>
    </w:tblPr>
  </w:style>
  <w:style w:type="paragraph" w:styleId="881">
    <w:name w:val="Body Text Indent"/>
    <w:basedOn w:val="873"/>
    <w:next w:val="882"/>
    <w:link w:val="909"/>
    <w:uiPriority w:val="99"/>
    <w:qFormat/>
    <w:pPr>
      <w:ind w:left="570"/>
      <w:spacing w:line="520" w:lineRule="exact"/>
    </w:pPr>
    <w:rPr>
      <w:sz w:val="20"/>
      <w:szCs w:val="20"/>
    </w:rPr>
  </w:style>
  <w:style w:type="paragraph" w:styleId="882">
    <w:name w:val="envelope return"/>
    <w:basedOn w:val="873"/>
    <w:uiPriority w:val="0"/>
    <w:qFormat/>
    <w:rPr>
      <w:rFonts w:ascii="Arial" w:hAnsi="Arial"/>
    </w:rPr>
  </w:style>
  <w:style w:type="paragraph" w:styleId="883">
    <w:name w:val="Normal Indent"/>
    <w:basedOn w:val="873"/>
    <w:next w:val="873"/>
    <w:link w:val="973"/>
    <w:uiPriority w:val="99"/>
    <w:qFormat/>
    <w:pPr>
      <w:ind w:firstLine="420"/>
      <w:jc w:val="left"/>
    </w:pPr>
    <w:rPr>
      <w:sz w:val="22"/>
      <w:szCs w:val="20"/>
    </w:rPr>
  </w:style>
  <w:style w:type="paragraph" w:styleId="884">
    <w:name w:val="Document Map"/>
    <w:basedOn w:val="873"/>
    <w:uiPriority w:val="0"/>
    <w:qFormat/>
    <w:pPr>
      <w:shd w:val="clear" w:color="auto" w:fill="000080"/>
    </w:pPr>
  </w:style>
  <w:style w:type="paragraph" w:styleId="885">
    <w:name w:val="annotation text"/>
    <w:basedOn w:val="873"/>
    <w:link w:val="908"/>
    <w:uiPriority w:val="99"/>
    <w:qFormat/>
    <w:pPr>
      <w:jc w:val="left"/>
    </w:pPr>
    <w:rPr>
      <w:sz w:val="20"/>
      <w:szCs w:val="20"/>
    </w:rPr>
  </w:style>
  <w:style w:type="paragraph" w:styleId="886">
    <w:name w:val="Body Text"/>
    <w:basedOn w:val="873"/>
    <w:next w:val="883"/>
    <w:uiPriority w:val="1"/>
    <w:qFormat/>
    <w:pPr>
      <w:ind w:left="220"/>
    </w:pPr>
    <w:rPr>
      <w:rFonts w:ascii="仿宋" w:hAnsi="仿宋" w:eastAsia="仿宋" w:cs="仿宋"/>
      <w:sz w:val="32"/>
      <w:szCs w:val="32"/>
      <w:lang w:val="zh-CN" w:bidi="zh-CN"/>
    </w:rPr>
  </w:style>
  <w:style w:type="paragraph" w:styleId="887">
    <w:name w:val="Plain Text"/>
    <w:basedOn w:val="873"/>
    <w:link w:val="910"/>
    <w:uiPriority w:val="99"/>
    <w:qFormat/>
    <w:rPr>
      <w:rFonts w:ascii="宋体" w:hAnsi="Courier New"/>
      <w:szCs w:val="20"/>
    </w:rPr>
  </w:style>
  <w:style w:type="paragraph" w:styleId="888">
    <w:name w:val="Date"/>
    <w:basedOn w:val="873"/>
    <w:next w:val="873"/>
    <w:link w:val="911"/>
    <w:uiPriority w:val="99"/>
    <w:qFormat/>
    <w:rPr>
      <w:sz w:val="20"/>
      <w:szCs w:val="20"/>
    </w:rPr>
  </w:style>
  <w:style w:type="paragraph" w:styleId="889">
    <w:name w:val="Body Text Indent 2"/>
    <w:basedOn w:val="873"/>
    <w:link w:val="912"/>
    <w:uiPriority w:val="99"/>
    <w:qFormat/>
    <w:pPr>
      <w:ind w:firstLine="208"/>
      <w:spacing w:line="360" w:lineRule="auto"/>
      <w:tabs>
        <w:tab w:val="left" w:pos="0" w:leader="none"/>
      </w:tabs>
    </w:pPr>
    <w:rPr>
      <w:sz w:val="20"/>
      <w:szCs w:val="20"/>
    </w:rPr>
  </w:style>
  <w:style w:type="paragraph" w:styleId="890">
    <w:name w:val="Balloon Text"/>
    <w:basedOn w:val="873"/>
    <w:link w:val="913"/>
    <w:uiPriority w:val="99"/>
    <w:qFormat/>
    <w:rPr>
      <w:sz w:val="2"/>
      <w:szCs w:val="20"/>
    </w:rPr>
  </w:style>
  <w:style w:type="paragraph" w:styleId="891">
    <w:name w:val="Footer"/>
    <w:basedOn w:val="873"/>
    <w:link w:val="914"/>
    <w:uiPriority w:val="99"/>
    <w:qFormat/>
    <w:pPr>
      <w:jc w:val="left"/>
      <w:tabs>
        <w:tab w:val="center" w:pos="4153" w:leader="none"/>
        <w:tab w:val="right" w:pos="8306" w:leader="none"/>
      </w:tabs>
    </w:pPr>
    <w:rPr>
      <w:sz w:val="18"/>
      <w:szCs w:val="20"/>
    </w:rPr>
  </w:style>
  <w:style w:type="paragraph" w:styleId="892">
    <w:name w:val="Header"/>
    <w:basedOn w:val="873"/>
    <w:link w:val="915"/>
    <w:uiPriority w:val="99"/>
    <w:qFormat/>
    <w:pPr>
      <w:jc w:val="center"/>
      <w:tabs>
        <w:tab w:val="center" w:pos="4153" w:leader="none"/>
        <w:tab w:val="right" w:pos="8306" w:leader="none"/>
      </w:tabs>
      <w:pBdr>
        <w:bottom w:val="single" w:color="auto" w:sz="6" w:space="1"/>
      </w:pBdr>
    </w:pPr>
    <w:rPr>
      <w:sz w:val="18"/>
      <w:szCs w:val="20"/>
    </w:rPr>
  </w:style>
  <w:style w:type="paragraph" w:styleId="893">
    <w:name w:val="toc 1"/>
    <w:basedOn w:val="873"/>
    <w:next w:val="873"/>
    <w:uiPriority w:val="99"/>
    <w:qFormat/>
    <w:pPr>
      <w:tabs>
        <w:tab w:val="right" w:pos="9026" w:leader="dot"/>
      </w:tabs>
    </w:pPr>
    <w:rPr>
      <w:rFonts w:ascii="宋体"/>
      <w:sz w:val="24"/>
    </w:rPr>
  </w:style>
  <w:style w:type="paragraph" w:styleId="894">
    <w:name w:val="toc 2"/>
    <w:basedOn w:val="873"/>
    <w:next w:val="873"/>
    <w:uiPriority w:val="99"/>
    <w:semiHidden/>
    <w:qFormat/>
    <w:pPr>
      <w:ind w:left="420"/>
    </w:pPr>
  </w:style>
  <w:style w:type="paragraph" w:styleId="895">
    <w:name w:val="Normal (Web)"/>
    <w:basedOn w:val="873"/>
    <w:uiPriority w:val="99"/>
    <w:qFormat/>
    <w:pPr>
      <w:jc w:val="left"/>
      <w:spacing w:before="100" w:beforeAutospacing="1" w:after="100" w:afterAutospacing="1"/>
      <w:widowControl/>
    </w:pPr>
    <w:rPr>
      <w:rFonts w:ascii="宋体" w:cs="宋体"/>
      <w:sz w:val="24"/>
      <w:szCs w:val="24"/>
    </w:rPr>
  </w:style>
  <w:style w:type="paragraph" w:styleId="896">
    <w:name w:val="annotation subject"/>
    <w:basedOn w:val="885"/>
    <w:next w:val="885"/>
    <w:link w:val="916"/>
    <w:uiPriority w:val="99"/>
    <w:qFormat/>
    <w:rPr>
      <w:b/>
    </w:rPr>
  </w:style>
  <w:style w:type="paragraph" w:styleId="897">
    <w:name w:val="Body Text First Indent 2"/>
    <w:basedOn w:val="881"/>
    <w:uiPriority w:val="0"/>
    <w:qFormat/>
    <w:pPr>
      <w:ind w:left="0" w:firstLine="420"/>
      <w:spacing w:line="480" w:lineRule="exact"/>
    </w:pPr>
    <w:rPr>
      <w:sz w:val="24"/>
    </w:rPr>
  </w:style>
  <w:style w:type="character" w:styleId="898">
    <w:name w:val="FollowedHyperlink"/>
    <w:basedOn w:val="879"/>
    <w:uiPriority w:val="99"/>
    <w:qFormat/>
    <w:rPr>
      <w:rFonts w:cs="Times New Roman"/>
      <w:color w:val="800080"/>
      <w:u w:val="single"/>
    </w:rPr>
  </w:style>
  <w:style w:type="character" w:styleId="899">
    <w:name w:val="Hyperlink"/>
    <w:basedOn w:val="879"/>
    <w:uiPriority w:val="99"/>
    <w:qFormat/>
    <w:rPr>
      <w:rFonts w:cs="Times New Roman"/>
      <w:color w:val="0000ff"/>
      <w:u w:val="single"/>
    </w:rPr>
  </w:style>
  <w:style w:type="character" w:styleId="900">
    <w:name w:val="annotation reference"/>
    <w:basedOn w:val="879"/>
    <w:uiPriority w:val="99"/>
    <w:qFormat/>
    <w:rPr>
      <w:rFonts w:cs="Times New Roman"/>
      <w:sz w:val="21"/>
    </w:rPr>
  </w:style>
  <w:style w:type="paragraph" w:styleId="901" w:customStyle="1">
    <w:name w:val="段"/>
    <w:next w:val="873"/>
    <w:uiPriority w:val="99"/>
    <w:qFormat/>
    <w:pPr>
      <w:ind w:firstLine="200"/>
      <w:jc w:val="both"/>
      <w:spacing w:line="360" w:lineRule="auto"/>
    </w:pPr>
    <w:rPr>
      <w:rFonts w:ascii="宋体" w:hAnsi="Times New Roman" w:eastAsia="宋体" w:cs="Times New Roman"/>
      <w:sz w:val="24"/>
      <w:szCs w:val="22"/>
      <w:lang w:val="en-US" w:eastAsia="zh-CN" w:bidi="ar-SA"/>
    </w:rPr>
  </w:style>
  <w:style w:type="paragraph" w:styleId="902" w:customStyle="1">
    <w:name w:val="Default"/>
    <w:uiPriority w:val="99"/>
    <w:qFormat/>
    <w:pPr>
      <w:widowControl w:val="off"/>
    </w:pPr>
    <w:rPr>
      <w:rFonts w:ascii="微软雅黑" w:hAnsi="Calibri" w:eastAsia="微软雅黑" w:cs="微软雅黑"/>
      <w:color w:val="000000"/>
      <w:sz w:val="24"/>
      <w:szCs w:val="24"/>
      <w:lang w:val="en-US" w:eastAsia="zh-CN" w:bidi="ar-SA"/>
    </w:rPr>
  </w:style>
  <w:style w:type="character" w:styleId="903" w:customStyle="1">
    <w:name w:val="标题 1 Char"/>
    <w:basedOn w:val="879"/>
    <w:link w:val="874"/>
    <w:uiPriority w:val="99"/>
    <w:qFormat/>
    <w:rPr>
      <w:rFonts w:ascii="Calibri" w:hAnsi="Calibri"/>
      <w:b/>
      <w:sz w:val="44"/>
    </w:rPr>
  </w:style>
  <w:style w:type="character" w:styleId="904" w:customStyle="1">
    <w:name w:val="标题 2 Char"/>
    <w:basedOn w:val="879"/>
    <w:link w:val="875"/>
    <w:uiPriority w:val="99"/>
    <w:semiHidden/>
    <w:qFormat/>
    <w:rPr>
      <w:rFonts w:ascii="Cambria" w:hAnsi="Cambria" w:eastAsia="宋体"/>
      <w:b/>
      <w:sz w:val="32"/>
    </w:rPr>
  </w:style>
  <w:style w:type="character" w:styleId="905" w:customStyle="1">
    <w:name w:val="标题 3 Char"/>
    <w:basedOn w:val="879"/>
    <w:link w:val="876"/>
    <w:uiPriority w:val="99"/>
    <w:semiHidden/>
    <w:qFormat/>
    <w:rPr>
      <w:rFonts w:ascii="Calibri" w:hAnsi="Calibri"/>
      <w:b/>
      <w:sz w:val="32"/>
    </w:rPr>
  </w:style>
  <w:style w:type="character" w:styleId="906" w:customStyle="1">
    <w:name w:val="标题 4 Char"/>
    <w:basedOn w:val="879"/>
    <w:link w:val="877"/>
    <w:uiPriority w:val="99"/>
    <w:semiHidden/>
    <w:qFormat/>
    <w:rPr>
      <w:rFonts w:ascii="Cambria" w:hAnsi="Cambria" w:eastAsia="宋体"/>
      <w:b/>
      <w:sz w:val="28"/>
    </w:rPr>
  </w:style>
  <w:style w:type="character" w:styleId="907" w:customStyle="1">
    <w:name w:val="标题 5 Char"/>
    <w:basedOn w:val="879"/>
    <w:link w:val="878"/>
    <w:uiPriority w:val="99"/>
    <w:semiHidden/>
    <w:qFormat/>
    <w:rPr>
      <w:rFonts w:ascii="Calibri" w:hAnsi="Calibri"/>
      <w:b/>
      <w:sz w:val="28"/>
    </w:rPr>
  </w:style>
  <w:style w:type="character" w:styleId="908" w:customStyle="1">
    <w:name w:val="批注文字 Char"/>
    <w:basedOn w:val="879"/>
    <w:link w:val="885"/>
    <w:uiPriority w:val="99"/>
    <w:semiHidden/>
    <w:qFormat/>
    <w:rPr>
      <w:rFonts w:ascii="Calibri" w:hAnsi="Calibri"/>
    </w:rPr>
  </w:style>
  <w:style w:type="character" w:styleId="909" w:customStyle="1">
    <w:name w:val="正文文本缩进 Char"/>
    <w:basedOn w:val="879"/>
    <w:link w:val="881"/>
    <w:uiPriority w:val="99"/>
    <w:semiHidden/>
    <w:qFormat/>
    <w:rPr>
      <w:rFonts w:ascii="Calibri" w:hAnsi="Calibri"/>
    </w:rPr>
  </w:style>
  <w:style w:type="character" w:styleId="910" w:customStyle="1">
    <w:name w:val="纯文本 Char"/>
    <w:basedOn w:val="879"/>
    <w:link w:val="887"/>
    <w:uiPriority w:val="99"/>
    <w:semiHidden/>
    <w:qFormat/>
    <w:rPr>
      <w:rFonts w:ascii="宋体" w:hAnsi="Courier New"/>
      <w:sz w:val="21"/>
    </w:rPr>
  </w:style>
  <w:style w:type="character" w:styleId="911" w:customStyle="1">
    <w:name w:val="日期 Char"/>
    <w:basedOn w:val="879"/>
    <w:link w:val="888"/>
    <w:uiPriority w:val="99"/>
    <w:semiHidden/>
    <w:qFormat/>
    <w:rPr>
      <w:rFonts w:ascii="Calibri" w:hAnsi="Calibri"/>
    </w:rPr>
  </w:style>
  <w:style w:type="character" w:styleId="912" w:customStyle="1">
    <w:name w:val="正文文本缩进 2 Char"/>
    <w:basedOn w:val="879"/>
    <w:link w:val="889"/>
    <w:uiPriority w:val="99"/>
    <w:semiHidden/>
    <w:qFormat/>
    <w:rPr>
      <w:rFonts w:ascii="Calibri" w:hAnsi="Calibri"/>
    </w:rPr>
  </w:style>
  <w:style w:type="character" w:styleId="913" w:customStyle="1">
    <w:name w:val="批注框文本 Char"/>
    <w:basedOn w:val="879"/>
    <w:link w:val="890"/>
    <w:uiPriority w:val="99"/>
    <w:semiHidden/>
    <w:qFormat/>
    <w:rPr>
      <w:rFonts w:ascii="Calibri" w:hAnsi="Calibri"/>
      <w:sz w:val="2"/>
    </w:rPr>
  </w:style>
  <w:style w:type="character" w:styleId="914" w:customStyle="1">
    <w:name w:val="页脚 Char"/>
    <w:basedOn w:val="879"/>
    <w:link w:val="891"/>
    <w:uiPriority w:val="99"/>
    <w:semiHidden/>
    <w:qFormat/>
    <w:rPr>
      <w:rFonts w:ascii="Calibri" w:hAnsi="Calibri"/>
      <w:sz w:val="18"/>
    </w:rPr>
  </w:style>
  <w:style w:type="character" w:styleId="915" w:customStyle="1">
    <w:name w:val="页眉 Char"/>
    <w:basedOn w:val="879"/>
    <w:link w:val="892"/>
    <w:uiPriority w:val="99"/>
    <w:semiHidden/>
    <w:qFormat/>
    <w:rPr>
      <w:rFonts w:ascii="Calibri" w:hAnsi="Calibri"/>
      <w:sz w:val="18"/>
    </w:rPr>
  </w:style>
  <w:style w:type="character" w:styleId="916" w:customStyle="1">
    <w:name w:val="批注主题 Char"/>
    <w:basedOn w:val="908"/>
    <w:link w:val="896"/>
    <w:uiPriority w:val="99"/>
    <w:semiHidden/>
    <w:qFormat/>
    <w:rPr>
      <w:rFonts w:ascii="Calibri" w:hAnsi="Calibri"/>
      <w:b/>
    </w:rPr>
  </w:style>
  <w:style w:type="paragraph" w:styleId="917" w:customStyle="1">
    <w:name w:val="Char"/>
    <w:basedOn w:val="873"/>
    <w:uiPriority w:val="99"/>
    <w:qFormat/>
    <w:rPr>
      <w:rFonts w:ascii="Tahoma" w:hAnsi="Tahoma"/>
      <w:sz w:val="24"/>
    </w:rPr>
  </w:style>
  <w:style w:type="paragraph" w:styleId="918" w:customStyle="1">
    <w:name w:val="标题 1GM"/>
    <w:basedOn w:val="874"/>
    <w:uiPriority w:val="99"/>
    <w:qFormat/>
    <w:pPr>
      <w:spacing w:before="0" w:after="0" w:line="360" w:lineRule="auto"/>
      <w:outlineLvl w:val="1"/>
    </w:pPr>
    <w:rPr>
      <w:rFonts w:ascii="楷体" w:eastAsia="楷体"/>
      <w:color w:val="000000"/>
      <w:sz w:val="30"/>
      <w:szCs w:val="30"/>
    </w:rPr>
  </w:style>
  <w:style w:type="paragraph" w:styleId="919" w:customStyle="1">
    <w:name w:val="默认段落字体 Para Char Char Char Char"/>
    <w:basedOn w:val="873"/>
    <w:uiPriority w:val="99"/>
    <w:qFormat/>
    <w:rPr>
      <w:rFonts w:ascii="Times New Roman" w:hAnsi="Times New Roman"/>
      <w:szCs w:val="24"/>
    </w:rPr>
  </w:style>
  <w:style w:type="paragraph" w:styleId="920" w:customStyle="1">
    <w:name w:val="纯文本1"/>
    <w:basedOn w:val="873"/>
    <w:uiPriority w:val="99"/>
    <w:qFormat/>
    <w:rPr>
      <w:rFonts w:ascii="宋体"/>
    </w:rPr>
  </w:style>
  <w:style w:type="paragraph" w:styleId="921" w:customStyle="1">
    <w:name w:val="p17"/>
    <w:uiPriority w:val="99"/>
    <w:qFormat/>
    <w:pPr>
      <w:ind w:firstLine="420"/>
    </w:pPr>
    <w:rPr>
      <w:rFonts w:ascii="宋体" w:hAnsi="Times New Roman" w:eastAsia="宋体" w:cs="宋体"/>
      <w:lang w:val="en-US" w:eastAsia="zh-CN" w:bidi="ar-SA"/>
    </w:rPr>
  </w:style>
  <w:style w:type="paragraph" w:styleId="922" w:customStyle="1">
    <w:name w:val="纯文本2"/>
    <w:basedOn w:val="873"/>
    <w:uiPriority w:val="99"/>
    <w:qFormat/>
    <w:rPr>
      <w:rFonts w:ascii="宋体"/>
      <w:sz w:val="28"/>
    </w:rPr>
  </w:style>
  <w:style w:type="paragraph" w:styleId="923" w:customStyle="1">
    <w:name w:val="p0"/>
    <w:basedOn w:val="873"/>
    <w:uiPriority w:val="99"/>
    <w:qFormat/>
  </w:style>
  <w:style w:type="paragraph" w:styleId="924" w:customStyle="1">
    <w:name w:val="纯文本111"/>
    <w:basedOn w:val="873"/>
    <w:uiPriority w:val="99"/>
    <w:qFormat/>
    <w:rPr>
      <w:rFonts w:ascii="宋体"/>
    </w:rPr>
  </w:style>
  <w:style w:type="paragraph" w:styleId="925" w:customStyle="1">
    <w:name w:val="无间隔1"/>
    <w:uiPriority w:val="99"/>
    <w:qFormat/>
    <w:pPr>
      <w:jc w:val="both"/>
      <w:widowControl w:val="off"/>
    </w:pPr>
    <w:rPr>
      <w:rFonts w:ascii="Calibri" w:hAnsi="Calibri" w:eastAsia="宋体" w:cs="Times New Roman"/>
      <w:sz w:val="21"/>
      <w:szCs w:val="22"/>
      <w:lang w:val="en-US" w:eastAsia="zh-CN" w:bidi="ar-SA"/>
    </w:rPr>
  </w:style>
  <w:style w:type="character" w:styleId="926" w:customStyle="1">
    <w:name w:val="font51"/>
    <w:uiPriority w:val="99"/>
    <w:qFormat/>
    <w:rPr>
      <w:rFonts w:ascii="宋体" w:eastAsia="宋体"/>
      <w:color w:val="000000"/>
      <w:sz w:val="24"/>
      <w:u w:val="none"/>
      <w:vertAlign w:val="superscript"/>
    </w:rPr>
  </w:style>
  <w:style w:type="character" w:styleId="927" w:customStyle="1">
    <w:name w:val="font81"/>
    <w:uiPriority w:val="99"/>
    <w:qFormat/>
    <w:rPr>
      <w:rFonts w:ascii="宋体" w:eastAsia="宋体"/>
      <w:color w:val="000000"/>
      <w:sz w:val="20"/>
      <w:u w:val="none"/>
    </w:rPr>
  </w:style>
  <w:style w:type="character" w:styleId="928" w:customStyle="1">
    <w:name w:val="font31"/>
    <w:uiPriority w:val="99"/>
    <w:qFormat/>
    <w:rPr>
      <w:rFonts w:ascii="宋体" w:eastAsia="宋体"/>
      <w:color w:val="000000"/>
      <w:sz w:val="20"/>
      <w:u w:val="none"/>
    </w:rPr>
  </w:style>
  <w:style w:type="character" w:styleId="929" w:customStyle="1">
    <w:name w:val="font41"/>
    <w:uiPriority w:val="99"/>
    <w:qFormat/>
    <w:rPr>
      <w:rFonts w:ascii="黑体" w:eastAsia="黑体"/>
      <w:color w:val="000000"/>
      <w:sz w:val="24"/>
      <w:u w:val="none"/>
    </w:rPr>
  </w:style>
  <w:style w:type="character" w:styleId="930" w:customStyle="1">
    <w:name w:val="font11"/>
    <w:uiPriority w:val="99"/>
    <w:qFormat/>
    <w:rPr>
      <w:rFonts w:ascii="宋体" w:eastAsia="宋体"/>
      <w:color w:val="000000"/>
      <w:sz w:val="20"/>
      <w:u w:val="none"/>
    </w:rPr>
  </w:style>
  <w:style w:type="character" w:styleId="931" w:customStyle="1">
    <w:name w:val="font91"/>
    <w:uiPriority w:val="99"/>
    <w:qFormat/>
    <w:rPr>
      <w:rFonts w:ascii="宋体" w:eastAsia="宋体"/>
      <w:b/>
      <w:color w:val="000000"/>
      <w:sz w:val="18"/>
      <w:u w:val="none"/>
    </w:rPr>
  </w:style>
  <w:style w:type="character" w:styleId="932" w:customStyle="1">
    <w:name w:val="font61"/>
    <w:uiPriority w:val="99"/>
    <w:qFormat/>
    <w:rPr>
      <w:rFonts w:ascii="宋体" w:eastAsia="宋体"/>
      <w:color w:val="000000"/>
      <w:sz w:val="18"/>
      <w:u w:val="none"/>
    </w:rPr>
  </w:style>
  <w:style w:type="paragraph" w:styleId="933" w:customStyle="1">
    <w:name w:val="纯文本11"/>
    <w:basedOn w:val="873"/>
    <w:uiPriority w:val="99"/>
    <w:qFormat/>
    <w:rPr>
      <w:rFonts w:ascii="宋体"/>
    </w:rPr>
  </w:style>
  <w:style w:type="paragraph" w:styleId="934" w:customStyle="1">
    <w:name w:val="列出段落1"/>
    <w:basedOn w:val="873"/>
    <w:uiPriority w:val="99"/>
    <w:qFormat/>
    <w:pPr>
      <w:ind w:firstLine="200"/>
    </w:pPr>
  </w:style>
  <w:style w:type="paragraph" w:styleId="935" w:customStyle="1">
    <w:name w:val="000左齐平"/>
    <w:basedOn w:val="873"/>
    <w:uiPriority w:val="99"/>
    <w:qFormat/>
    <w:pPr>
      <w:jc w:val="left"/>
    </w:pPr>
    <w:rPr>
      <w:color w:val="000000"/>
    </w:rPr>
  </w:style>
  <w:style w:type="character" w:styleId="936" w:customStyle="1">
    <w:name w:val="font21"/>
    <w:uiPriority w:val="99"/>
    <w:qFormat/>
    <w:rPr>
      <w:rFonts w:ascii="宋体" w:eastAsia="宋体"/>
      <w:color w:val="000000"/>
      <w:sz w:val="18"/>
      <w:u w:val="none"/>
    </w:rPr>
  </w:style>
  <w:style w:type="character" w:styleId="937" w:customStyle="1">
    <w:name w:val="font112"/>
    <w:uiPriority w:val="99"/>
    <w:qFormat/>
    <w:rPr>
      <w:rFonts w:ascii="宋体" w:eastAsia="宋体"/>
      <w:color w:val="000000"/>
      <w:sz w:val="18"/>
      <w:u w:val="none"/>
    </w:rPr>
  </w:style>
  <w:style w:type="paragraph" w:styleId="938" w:customStyle="1">
    <w:name w:val="Char1"/>
    <w:basedOn w:val="873"/>
    <w:uiPriority w:val="99"/>
    <w:qFormat/>
    <w:rPr>
      <w:rFonts w:ascii="Times New Roman" w:hAnsi="Times New Roman"/>
      <w:szCs w:val="24"/>
    </w:rPr>
  </w:style>
  <w:style w:type="paragraph" w:styleId="939" w:customStyle="1">
    <w:name w:val="*正文"/>
    <w:basedOn w:val="873"/>
    <w:uiPriority w:val="99"/>
    <w:qFormat/>
    <w:pPr>
      <w:ind w:firstLine="200"/>
      <w:jc w:val="left"/>
      <w:spacing w:line="360" w:lineRule="auto"/>
    </w:pPr>
    <w:rPr>
      <w:rFonts w:ascii="宋体" w:cs="??_GB2312"/>
      <w:sz w:val="24"/>
      <w:szCs w:val="24"/>
    </w:rPr>
  </w:style>
  <w:style w:type="paragraph" w:styleId="940" w:customStyle="1">
    <w:name w:val="reader-word-layer reader-word-s1-1"/>
    <w:basedOn w:val="873"/>
    <w:uiPriority w:val="99"/>
    <w:qFormat/>
    <w:pPr>
      <w:jc w:val="left"/>
      <w:spacing w:before="100" w:beforeAutospacing="1" w:after="100" w:afterAutospacing="1"/>
      <w:widowControl/>
    </w:pPr>
    <w:rPr>
      <w:rFonts w:ascii="宋体" w:cs="宋体"/>
      <w:sz w:val="24"/>
    </w:rPr>
  </w:style>
  <w:style w:type="character" w:styleId="941" w:customStyle="1">
    <w:name w:val="font01"/>
    <w:uiPriority w:val="99"/>
    <w:qFormat/>
    <w:rPr>
      <w:rFonts w:ascii="宋体" w:eastAsia="宋体"/>
      <w:color w:val="000000"/>
      <w:sz w:val="20"/>
      <w:u w:val="none"/>
    </w:rPr>
  </w:style>
  <w:style w:type="paragraph" w:styleId="942" w:customStyle="1">
    <w:name w:val="列出段落2"/>
    <w:basedOn w:val="873"/>
    <w:uiPriority w:val="99"/>
    <w:qFormat/>
    <w:pPr>
      <w:ind w:firstLine="200"/>
    </w:pPr>
    <w:rPr>
      <w:rFonts w:ascii="Times New Roman" w:hAnsi="Times New Roman"/>
      <w:szCs w:val="24"/>
    </w:rPr>
  </w:style>
  <w:style w:type="paragraph" w:styleId="943" w:customStyle="1">
    <w:name w:val="font5"/>
    <w:basedOn w:val="873"/>
    <w:uiPriority w:val="99"/>
    <w:qFormat/>
    <w:pPr>
      <w:jc w:val="left"/>
      <w:spacing w:before="100" w:beforeAutospacing="1" w:after="100" w:afterAutospacing="1"/>
      <w:widowControl/>
    </w:pPr>
    <w:rPr>
      <w:rFonts w:ascii="宋体" w:cs="宋体"/>
      <w:sz w:val="18"/>
      <w:szCs w:val="18"/>
    </w:rPr>
  </w:style>
  <w:style w:type="paragraph" w:styleId="944" w:customStyle="1">
    <w:name w:val="font6"/>
    <w:basedOn w:val="873"/>
    <w:uiPriority w:val="99"/>
    <w:qFormat/>
    <w:pPr>
      <w:jc w:val="left"/>
      <w:spacing w:before="100" w:beforeAutospacing="1" w:after="100" w:afterAutospacing="1"/>
      <w:widowControl/>
    </w:pPr>
    <w:rPr>
      <w:rFonts w:ascii="宋体" w:cs="宋体"/>
      <w:b/>
      <w:bCs/>
      <w:sz w:val="20"/>
      <w:szCs w:val="20"/>
    </w:rPr>
  </w:style>
  <w:style w:type="paragraph" w:styleId="945" w:customStyle="1">
    <w:name w:val="font7"/>
    <w:basedOn w:val="873"/>
    <w:uiPriority w:val="99"/>
    <w:qFormat/>
    <w:pPr>
      <w:jc w:val="left"/>
      <w:spacing w:before="100" w:beforeAutospacing="1" w:after="100" w:afterAutospacing="1"/>
      <w:widowControl/>
    </w:pPr>
    <w:rPr>
      <w:rFonts w:ascii="宋体" w:cs="宋体"/>
      <w:sz w:val="20"/>
      <w:szCs w:val="20"/>
    </w:rPr>
  </w:style>
  <w:style w:type="paragraph" w:styleId="946" w:customStyle="1">
    <w:name w:val="xl71"/>
    <w:basedOn w:val="873"/>
    <w:uiPriority w:val="99"/>
    <w:qFormat/>
    <w:pPr>
      <w:jc w:val="left"/>
      <w:spacing w:before="100" w:beforeAutospacing="1" w:after="100" w:afterAutospacing="1"/>
      <w:widowControl/>
    </w:pPr>
    <w:rPr>
      <w:rFonts w:ascii="宋体" w:cs="宋体"/>
      <w:sz w:val="24"/>
      <w:szCs w:val="24"/>
    </w:rPr>
  </w:style>
  <w:style w:type="paragraph" w:styleId="947" w:customStyle="1">
    <w:name w:val="xl72"/>
    <w:basedOn w:val="873"/>
    <w:uiPriority w:val="99"/>
    <w:qFormat/>
    <w:pPr>
      <w:jc w:val="center"/>
      <w:spacing w:before="100" w:beforeAutospacing="1" w:after="100" w:afterAutospacing="1"/>
      <w:widowControl/>
    </w:pPr>
    <w:rPr>
      <w:rFonts w:ascii="宋体" w:cs="宋体"/>
      <w:sz w:val="24"/>
      <w:szCs w:val="24"/>
    </w:rPr>
  </w:style>
  <w:style w:type="paragraph" w:styleId="948" w:customStyle="1">
    <w:name w:val="xl73"/>
    <w:basedOn w:val="873"/>
    <w:uiPriority w:val="99"/>
    <w:qFormat/>
    <w:pPr>
      <w:jc w:val="left"/>
      <w:spacing w:before="100" w:beforeAutospacing="1" w:after="100" w:afterAutospacing="1"/>
      <w:widowControl/>
    </w:pPr>
    <w:rPr>
      <w:rFonts w:ascii="宋体" w:cs="宋体"/>
      <w:sz w:val="18"/>
      <w:szCs w:val="18"/>
    </w:rPr>
  </w:style>
  <w:style w:type="paragraph" w:styleId="949" w:customStyle="1">
    <w:name w:val="xl74"/>
    <w:basedOn w:val="873"/>
    <w:uiPriority w:val="99"/>
    <w:qFormat/>
    <w:pPr>
      <w:jc w:val="left"/>
      <w:spacing w:before="100" w:beforeAutospacing="1" w:after="100" w:afterAutospacing="1"/>
      <w:widowControl/>
    </w:pPr>
    <w:rPr>
      <w:rFonts w:ascii="宋体" w:cs="宋体"/>
      <w:b/>
      <w:bCs/>
      <w:sz w:val="20"/>
      <w:szCs w:val="20"/>
    </w:rPr>
  </w:style>
  <w:style w:type="paragraph" w:styleId="950" w:customStyle="1">
    <w:name w:val="xl75"/>
    <w:basedOn w:val="873"/>
    <w:uiPriority w:val="99"/>
    <w:qFormat/>
    <w:pPr>
      <w:jc w:val="left"/>
      <w:spacing w:before="100" w:beforeAutospacing="1" w:after="100" w:afterAutospacing="1"/>
      <w:widowControl/>
    </w:pPr>
    <w:rPr>
      <w:rFonts w:ascii="宋体" w:cs="宋体"/>
      <w:b/>
      <w:bCs/>
      <w:sz w:val="18"/>
      <w:szCs w:val="18"/>
    </w:rPr>
  </w:style>
  <w:style w:type="paragraph" w:styleId="951" w:customStyle="1">
    <w:name w:val="xl76"/>
    <w:basedOn w:val="87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18"/>
      <w:szCs w:val="18"/>
    </w:rPr>
  </w:style>
  <w:style w:type="paragraph" w:styleId="952" w:customStyle="1">
    <w:name w:val="xl77"/>
    <w:basedOn w:val="87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18"/>
      <w:szCs w:val="18"/>
    </w:rPr>
  </w:style>
  <w:style w:type="paragraph" w:styleId="953" w:customStyle="1">
    <w:name w:val="xl78"/>
    <w:basedOn w:val="873"/>
    <w:uiPriority w:val="99"/>
    <w:qFormat/>
    <w:pPr>
      <w:jc w:val="center"/>
      <w:spacing w:before="100" w:beforeAutospacing="1" w:after="100" w:afterAutospacing="1"/>
      <w:widowControl/>
    </w:pPr>
    <w:rPr>
      <w:rFonts w:ascii="宋体" w:cs="宋体"/>
      <w:b/>
      <w:bCs/>
      <w:sz w:val="20"/>
      <w:szCs w:val="20"/>
    </w:rPr>
  </w:style>
  <w:style w:type="paragraph" w:styleId="954" w:customStyle="1">
    <w:name w:val="xl79"/>
    <w:basedOn w:val="873"/>
    <w:uiPriority w:val="99"/>
    <w:qFormat/>
    <w:pPr>
      <w:jc w:val="right"/>
      <w:spacing w:before="100" w:beforeAutospacing="1" w:after="100" w:afterAutospacing="1"/>
      <w:widowControl/>
    </w:pPr>
    <w:rPr>
      <w:rFonts w:ascii="宋体" w:cs="宋体"/>
      <w:sz w:val="18"/>
      <w:szCs w:val="18"/>
    </w:rPr>
  </w:style>
  <w:style w:type="paragraph" w:styleId="955" w:customStyle="1">
    <w:name w:val="xl80"/>
    <w:basedOn w:val="87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b/>
      <w:bCs/>
      <w:sz w:val="20"/>
      <w:szCs w:val="20"/>
    </w:rPr>
  </w:style>
  <w:style w:type="paragraph" w:styleId="956" w:customStyle="1">
    <w:name w:val="xl81"/>
    <w:basedOn w:val="87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b/>
      <w:bCs/>
      <w:sz w:val="20"/>
      <w:szCs w:val="20"/>
    </w:rPr>
  </w:style>
  <w:style w:type="paragraph" w:styleId="957" w:customStyle="1">
    <w:name w:val="xl82"/>
    <w:basedOn w:val="873"/>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cs="宋体"/>
      <w:b/>
      <w:bCs/>
      <w:sz w:val="20"/>
      <w:szCs w:val="20"/>
    </w:rPr>
  </w:style>
  <w:style w:type="paragraph" w:styleId="958" w:customStyle="1">
    <w:name w:val="xl83"/>
    <w:basedOn w:val="873"/>
    <w:uiPriority w:val="99"/>
    <w:qFormat/>
    <w:pPr>
      <w:jc w:val="left"/>
      <w:spacing w:before="100" w:beforeAutospacing="1" w:after="100" w:afterAutospacing="1"/>
      <w:widowControl/>
      <w:pBdr>
        <w:top w:val="single" w:color="auto" w:sz="4" w:space="0"/>
        <w:bottom w:val="single" w:color="auto" w:sz="4" w:space="0"/>
      </w:pBdr>
    </w:pPr>
    <w:rPr>
      <w:rFonts w:ascii="宋体" w:cs="宋体"/>
      <w:b/>
      <w:bCs/>
      <w:sz w:val="20"/>
      <w:szCs w:val="20"/>
    </w:rPr>
  </w:style>
  <w:style w:type="paragraph" w:styleId="959" w:customStyle="1">
    <w:name w:val="xl84"/>
    <w:basedOn w:val="873"/>
    <w:uiPriority w:val="99"/>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cs="宋体"/>
      <w:b/>
      <w:bCs/>
      <w:sz w:val="20"/>
      <w:szCs w:val="20"/>
    </w:rPr>
  </w:style>
  <w:style w:type="paragraph" w:styleId="960" w:customStyle="1">
    <w:name w:val="xl85"/>
    <w:basedOn w:val="873"/>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cs="宋体"/>
      <w:sz w:val="18"/>
      <w:szCs w:val="18"/>
    </w:rPr>
  </w:style>
  <w:style w:type="paragraph" w:styleId="961" w:customStyle="1">
    <w:name w:val="xl86"/>
    <w:basedOn w:val="87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18"/>
      <w:szCs w:val="18"/>
    </w:rPr>
  </w:style>
  <w:style w:type="paragraph" w:styleId="962" w:customStyle="1">
    <w:name w:val="xl87"/>
    <w:basedOn w:val="87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18"/>
      <w:szCs w:val="18"/>
    </w:rPr>
  </w:style>
  <w:style w:type="paragraph" w:styleId="963" w:customStyle="1">
    <w:name w:val="xl88"/>
    <w:basedOn w:val="873"/>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cs="宋体"/>
      <w:sz w:val="18"/>
      <w:szCs w:val="18"/>
    </w:rPr>
  </w:style>
  <w:style w:type="paragraph" w:styleId="964" w:customStyle="1">
    <w:name w:val="xl89"/>
    <w:basedOn w:val="873"/>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cs="宋体"/>
      <w:b/>
      <w:bCs/>
      <w:sz w:val="20"/>
      <w:szCs w:val="20"/>
    </w:rPr>
  </w:style>
  <w:style w:type="paragraph" w:styleId="965" w:customStyle="1">
    <w:name w:val="xl90"/>
    <w:basedOn w:val="873"/>
    <w:uiPriority w:val="99"/>
    <w:qFormat/>
    <w:pPr>
      <w:jc w:val="left"/>
      <w:spacing w:before="100" w:beforeAutospacing="1" w:after="100" w:afterAutospacing="1"/>
      <w:widowControl/>
      <w:pBdr>
        <w:top w:val="single" w:color="auto" w:sz="4" w:space="0"/>
        <w:bottom w:val="single" w:color="auto" w:sz="4" w:space="0"/>
      </w:pBdr>
    </w:pPr>
    <w:rPr>
      <w:rFonts w:ascii="宋体" w:cs="宋体"/>
      <w:b/>
      <w:bCs/>
      <w:sz w:val="20"/>
      <w:szCs w:val="20"/>
    </w:rPr>
  </w:style>
  <w:style w:type="paragraph" w:styleId="966" w:customStyle="1">
    <w:name w:val="xl91"/>
    <w:basedOn w:val="873"/>
    <w:uiPriority w:val="99"/>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cs="宋体"/>
      <w:b/>
      <w:bCs/>
      <w:sz w:val="20"/>
      <w:szCs w:val="20"/>
    </w:rPr>
  </w:style>
  <w:style w:type="paragraph" w:styleId="967" w:customStyle="1">
    <w:name w:val="xl92"/>
    <w:basedOn w:val="873"/>
    <w:uiPriority w:val="99"/>
    <w:qFormat/>
    <w:pPr>
      <w:jc w:val="center"/>
      <w:spacing w:before="100" w:beforeAutospacing="1" w:after="100" w:afterAutospacing="1"/>
      <w:widowControl/>
      <w:pBdr>
        <w:left w:val="single" w:color="auto" w:sz="4" w:space="0"/>
        <w:right w:val="single" w:color="auto" w:sz="4" w:space="0"/>
      </w:pBdr>
    </w:pPr>
    <w:rPr>
      <w:rFonts w:ascii="宋体" w:cs="宋体"/>
      <w:sz w:val="18"/>
      <w:szCs w:val="18"/>
    </w:rPr>
  </w:style>
  <w:style w:type="paragraph" w:styleId="968" w:customStyle="1">
    <w:name w:val="xl93"/>
    <w:basedOn w:val="873"/>
    <w:uiPriority w:val="99"/>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cs="宋体"/>
      <w:sz w:val="20"/>
      <w:szCs w:val="20"/>
    </w:rPr>
  </w:style>
  <w:style w:type="paragraph" w:styleId="969" w:customStyle="1">
    <w:name w:val="xl94"/>
    <w:basedOn w:val="873"/>
    <w:uiPriority w:val="99"/>
    <w:qFormat/>
    <w:pPr>
      <w:jc w:val="center"/>
      <w:spacing w:before="100" w:beforeAutospacing="1" w:after="100" w:afterAutospacing="1"/>
      <w:widowControl/>
      <w:pBdr>
        <w:top w:val="single" w:color="auto" w:sz="4" w:space="0"/>
        <w:bottom w:val="single" w:color="auto" w:sz="4" w:space="0"/>
      </w:pBdr>
    </w:pPr>
    <w:rPr>
      <w:rFonts w:ascii="宋体" w:cs="宋体"/>
      <w:sz w:val="20"/>
      <w:szCs w:val="20"/>
    </w:rPr>
  </w:style>
  <w:style w:type="paragraph" w:styleId="970" w:customStyle="1">
    <w:name w:val="1"/>
    <w:basedOn w:val="873"/>
    <w:next w:val="942"/>
    <w:uiPriority w:val="99"/>
    <w:qFormat/>
    <w:pPr>
      <w:ind w:firstLine="200"/>
    </w:pPr>
    <w:rPr>
      <w:rFonts w:ascii="Times New Roman" w:hAnsi="Times New Roman"/>
      <w:szCs w:val="24"/>
    </w:rPr>
  </w:style>
  <w:style w:type="paragraph" w:styleId="971" w:customStyle="1">
    <w:name w:val="纯文本3"/>
    <w:basedOn w:val="873"/>
    <w:uiPriority w:val="99"/>
    <w:qFormat/>
    <w:rPr>
      <w:rFonts w:ascii="宋体" w:hAnsi="Courier New" w:eastAsia="KaiTi_GB2312"/>
      <w:sz w:val="28"/>
      <w:szCs w:val="20"/>
    </w:rPr>
  </w:style>
  <w:style w:type="paragraph" w:styleId="972">
    <w:name w:val="List Paragraph"/>
    <w:basedOn w:val="873"/>
    <w:uiPriority w:val="99"/>
    <w:qFormat/>
    <w:pPr>
      <w:ind w:firstLine="420"/>
    </w:pPr>
  </w:style>
  <w:style w:type="character" w:styleId="973" w:customStyle="1">
    <w:name w:val="正文缩进 Char"/>
    <w:link w:val="883"/>
    <w:uiPriority w:val="99"/>
    <w:qFormat/>
    <w:rPr>
      <w:rFonts w:ascii="Calibri" w:hAnsi="Calibri"/>
      <w:sz w:val="22"/>
    </w:rPr>
  </w:style>
  <w:style w:type="paragraph" w:styleId="974" w:customStyle="1">
    <w:name w:val="msolistparagraph"/>
    <w:basedOn w:val="873"/>
    <w:uiPriority w:val="99"/>
    <w:qFormat/>
    <w:pPr>
      <w:ind w:firstLine="420"/>
      <w:spacing w:line="360" w:lineRule="auto"/>
    </w:pPr>
    <w:rPr>
      <w:sz w:val="28"/>
      <w:szCs w:val="28"/>
    </w:rPr>
  </w:style>
  <w:style w:type="character" w:styleId="975" w:customStyle="1">
    <w:name w:val="正文缩进字符"/>
    <w:uiPriority w:val="99"/>
    <w:qFormat/>
    <w:rPr>
      <w:rFonts w:eastAsia="KaiTi_GB2312"/>
      <w:sz w:val="24"/>
      <w:lang w:val="en-US" w:eastAsia="zh-CN"/>
    </w:rPr>
  </w:style>
  <w:style w:type="paragraph" w:styleId="976" w:customStyle="1">
    <w:name w:val="纯文本4"/>
    <w:basedOn w:val="873"/>
    <w:uiPriority w:val="99"/>
    <w:qFormat/>
    <w:rPr>
      <w:rFonts w:ascii="宋体" w:hAnsi="Courier New"/>
    </w:rPr>
  </w:style>
  <w:style w:type="paragraph" w:styleId="977" w:customStyle="1">
    <w:name w:val="正文 A"/>
    <w:uiPriority w:val="0"/>
    <w:qFormat/>
    <w:pPr>
      <w:jc w:val="both"/>
      <w:widowControl w:val="off"/>
    </w:pPr>
    <w:rPr>
      <w:rFonts w:ascii="Times New Roman" w:hAnsi="Times New Roman" w:eastAsia="Arial Unicode MS" w:cs="Arial Unicode MS"/>
      <w:color w:val="000000"/>
      <w:sz w:val="26"/>
      <w:szCs w:val="26"/>
      <w:lang w:val="en-US" w:eastAsia="zh-CN" w:bidi="ar-SA"/>
    </w:rPr>
  </w:style>
  <w:style w:type="paragraph" w:styleId="978" w:customStyle="1">
    <w:name w:val="正文2"/>
    <w:uiPriority w:val="0"/>
    <w:qFormat/>
    <w:pPr>
      <w:jc w:val="both"/>
      <w:widowControl w:val="off"/>
    </w:pPr>
    <w:rPr>
      <w:rFonts w:ascii="Calibri" w:hAnsi="Calibri" w:eastAsia="宋体" w:cs="Times New Roman"/>
      <w:sz w:val="21"/>
      <w:szCs w:val="24"/>
      <w:lang w:val="en-US" w:eastAsia="zh-CN" w:bidi="ar-SA"/>
    </w:rPr>
  </w:style>
  <w:style w:type="paragraph" w:styleId="979" w:customStyle="1">
    <w:name w:val="首行缩进"/>
    <w:basedOn w:val="873"/>
    <w:uiPriority w:val="0"/>
    <w:qFormat/>
    <w:pPr>
      <w:ind w:firstLine="480"/>
      <w:spacing w:line="360" w:lineRule="auto"/>
    </w:pPr>
    <w:rPr>
      <w:sz w:val="24"/>
      <w:lang w:val="zh-CN"/>
    </w:rPr>
  </w:style>
  <w:style w:type="paragraph" w:styleId="980" w:customStyle="1">
    <w:name w:val="纯文本5"/>
    <w:basedOn w:val="873"/>
    <w:uiPriority w:val="0"/>
    <w:qFormat/>
    <w:rPr>
      <w:rFonts w:ascii="宋体" w:hAnsi="Courier New"/>
    </w:rPr>
  </w:style>
  <w:style w:type="paragraph" w:styleId="981" w:customStyle="1">
    <w:name w:val="Table Paragraph"/>
    <w:basedOn w:val="873"/>
    <w:uiPriority w:val="1"/>
    <w:qFormat/>
    <w:pPr>
      <w:jc w:val="left"/>
    </w:pPr>
    <w:rPr>
      <w:rFonts w:ascii="宋体" w:hAnsi="宋体" w:cs="宋体"/>
      <w:sz w:val="22"/>
      <w:lang w:eastAsia="en-US"/>
    </w:rPr>
  </w:style>
  <w:style w:type="paragraph" w:styleId="982" w:customStyle="1">
    <w:name w:val="Plain Text1"/>
    <w:basedOn w:val="873"/>
    <w:uiPriority w:val="99"/>
    <w:qFormat/>
    <w:rPr>
      <w:rFonts w:ascii="宋体" w:hAnsi="宋体"/>
    </w:rPr>
  </w:style>
  <w:style w:type="paragraph" w:styleId="983" w:customStyle="1">
    <w:name w:val="纯文本6"/>
    <w:basedOn w:val="873"/>
    <w:uiPriority w:val="99"/>
    <w:qFormat/>
    <w:rPr>
      <w:rFonts w:ascii="宋体" w:hAnsi="Courier New" w:eastAsia="KaiTi_GB2312"/>
      <w:sz w:val="26"/>
      <w:szCs w:val="20"/>
    </w:rPr>
  </w:style>
  <w:style w:type="paragraph" w:styleId="984" w:customStyle="1">
    <w:name w:val="+正文"/>
    <w:uiPriority w:val="0"/>
    <w:qFormat/>
    <w:pPr>
      <w:ind w:firstLine="200"/>
      <w:jc w:val="both"/>
      <w:spacing w:line="360" w:lineRule="auto"/>
      <w:widowControl w:val="off"/>
    </w:pPr>
    <w:rPr>
      <w:rFonts w:ascii="Times New Roman" w:hAnsi="Times New Roman" w:eastAsia="宋体" w:cs="Times New Roman"/>
      <w:sz w:val="24"/>
      <w:lang w:val="en-US" w:eastAsia="zh-CN" w:bidi="ar-SA"/>
    </w:rPr>
  </w:style>
  <w:style w:type="character" w:styleId="985" w:customStyle="1">
    <w:name w:val="NormalCharacter"/>
    <w:link w:val="986"/>
    <w:uiPriority w:val="0"/>
    <w:qFormat/>
    <w:rPr>
      <w:sz w:val="20"/>
    </w:rPr>
  </w:style>
  <w:style w:type="paragraph" w:styleId="986" w:customStyle="1">
    <w:name w:val="UserStyle_4"/>
    <w:basedOn w:val="873"/>
    <w:link w:val="985"/>
    <w:uiPriority w:val="99"/>
    <w:qFormat/>
    <w:rPr>
      <w:sz w:val="20"/>
    </w:rPr>
  </w:style>
  <w:style w:type="numbering" w:styleId="9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4097"/>
    <customShpInfo spid="_x0000_s409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4.2详细设备清单及参数</dc:title>
  <dc:creator>user</dc:creator>
  <cp:lastModifiedBy>沈鹰</cp:lastModifiedBy>
  <cp:revision>22</cp:revision>
  <dcterms:created xsi:type="dcterms:W3CDTF">2019-10-28T02:55:00Z</dcterms:created>
  <dcterms:modified xsi:type="dcterms:W3CDTF">2025-10-22T05:41:07Z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670A7D4F02224F4883C54F20E21738CA</vt:lpwstr>
  </property>
  <property fmtid="{D5CDD505-2E9C-101B-9397-08002B2CF9AE}" pid="4" name="KSOTemplateDocerSaveRecord">
    <vt:lpwstr>eyJoZGlkIjoiZTg1ZjBiYjczODk3ZDAxZTcxNzhmZTc1ZjVmOWU3NDAiLCJ1c2VySWQiOiI0MTgxMDg2MzUifQ==</vt:lpwstr>
  </property>
</Properties>
</file>