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
          <w:bCs/>
          <w:color w:val="auto"/>
          <w:spacing w:val="20"/>
          <w:sz w:val="44"/>
          <w:szCs w:val="44"/>
          <w:highlight w:val="none"/>
        </w:rPr>
      </w:pPr>
      <w:r>
        <w:rPr>
          <w:rFonts w:ascii="宋体" w:hAnsi="宋体" w:cs="宋体"/>
          <w:b/>
          <w:bCs/>
          <w:color w:val="auto"/>
          <w:spacing w:val="20"/>
          <w:sz w:val="44"/>
          <w:szCs w:val="44"/>
          <w:highlight w:val="none"/>
        </w:rPr>
      </w:r>
      <w:r/>
    </w:p>
    <w:p>
      <w:pPr>
        <w:jc w:val="center"/>
        <w:keepLines w:val="0"/>
        <w:keepNext w:val="0"/>
        <w:pageBreakBefore w:val="0"/>
        <w:spacing w:line="360" w:lineRule="auto"/>
        <w:widowControl w:val="off"/>
        <w:rPr>
          <w:rFonts w:hint="eastAsia" w:ascii="宋体" w:hAnsi="宋体" w:eastAsia="宋体" w:cs="___WRD_EMBED_SUB_347"/>
          <w:b/>
          <w:bCs/>
          <w:color w:val="auto"/>
          <w:spacing w:val="0"/>
          <w:sz w:val="44"/>
          <w:szCs w:val="44"/>
          <w:highlight w:val="none"/>
          <w:lang w:eastAsia="zh-CN"/>
        </w:rPr>
      </w:pPr>
      <w:r>
        <w:rPr>
          <w:rFonts w:hint="eastAsia" w:ascii="宋体" w:hAnsi="宋体" w:cs="宋体"/>
          <w:b/>
          <w:bCs/>
          <w:color w:val="auto"/>
          <w:spacing w:val="0"/>
          <w:sz w:val="44"/>
          <w:szCs w:val="44"/>
          <w:highlight w:val="none"/>
          <w:lang w:eastAsia="zh-CN"/>
        </w:rPr>
        <w:t xml:space="preserve">通州湾示范区农药包装废弃物、废旧地膜回收、农药零差率统一配供服务项目</w:t>
      </w:r>
      <w:r/>
    </w:p>
    <w:p>
      <w:pPr>
        <w:jc w:val="center"/>
        <w:spacing w:line="500" w:lineRule="exact"/>
        <w:rPr>
          <w:rFonts w:ascii="宋体" w:hAnsi="宋体" w:cs="___WRD_EMBED_SUB_347"/>
          <w:b/>
          <w:bCs/>
          <w:color w:val="auto"/>
          <w:spacing w:val="20"/>
          <w:sz w:val="48"/>
          <w:szCs w:val="48"/>
          <w:highlight w:val="none"/>
        </w:rPr>
      </w:pPr>
      <w:r>
        <w:rPr>
          <w:rFonts w:ascii="宋体" w:hAnsi="宋体" w:cs="___WRD_EMBED_SUB_347"/>
          <w:b/>
          <w:bCs/>
          <w:color w:val="auto"/>
          <w:spacing w:val="20"/>
          <w:sz w:val="48"/>
          <w:szCs w:val="48"/>
          <w:highlight w:val="none"/>
        </w:rPr>
      </w:r>
      <w:r/>
    </w:p>
    <w:p>
      <w:pPr>
        <w:jc w:val="center"/>
        <w:spacing w:line="500" w:lineRule="exact"/>
        <w:rPr>
          <w:rFonts w:ascii="宋体" w:hAnsi="宋体" w:cs="___WRD_EMBED_SUB_347"/>
          <w:b/>
          <w:bCs/>
          <w:color w:val="auto"/>
          <w:spacing w:val="20"/>
          <w:sz w:val="48"/>
          <w:szCs w:val="48"/>
          <w:highlight w:val="none"/>
        </w:rPr>
      </w:pPr>
      <w:r>
        <w:rPr>
          <w:rFonts w:ascii="宋体" w:hAnsi="宋体" w:cs="___WRD_EMBED_SUB_347"/>
          <w:b/>
          <w:bCs/>
          <w:color w:val="auto"/>
          <w:spacing w:val="20"/>
          <w:sz w:val="48"/>
          <w:szCs w:val="48"/>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jc w:val="center"/>
        <w:spacing w:line="500" w:lineRule="exact"/>
        <w:rPr>
          <w:rFonts w:ascii="宋体" w:hAnsi="宋体"/>
          <w:b/>
          <w:bCs/>
          <w:color w:val="auto"/>
          <w:spacing w:val="20"/>
          <w:sz w:val="48"/>
          <w:szCs w:val="48"/>
          <w:highlight w:val="none"/>
        </w:rPr>
      </w:pPr>
      <w:r>
        <w:rPr>
          <w:rFonts w:ascii="宋体" w:hAnsi="宋体"/>
          <w:b/>
          <w:bCs/>
          <w:color w:val="auto"/>
          <w:spacing w:val="20"/>
          <w:sz w:val="48"/>
          <w:szCs w:val="48"/>
          <w:highlight w:val="none"/>
        </w:rPr>
      </w:r>
      <w:r/>
    </w:p>
    <w:p>
      <w:pPr>
        <w:jc w:val="center"/>
        <w:rPr>
          <w:rFonts w:ascii="宋体" w:hAnsi="宋体"/>
          <w:bCs/>
          <w:color w:val="auto"/>
          <w:sz w:val="100"/>
          <w:szCs w:val="100"/>
          <w:highlight w:val="none"/>
        </w:rPr>
      </w:pPr>
      <w:r>
        <w:rPr>
          <w:rFonts w:hint="eastAsia" w:ascii="宋体" w:hAnsi="宋体"/>
          <w:bCs/>
          <w:color w:val="auto"/>
          <w:sz w:val="100"/>
          <w:szCs w:val="100"/>
          <w:highlight w:val="none"/>
        </w:rPr>
        <w:t xml:space="preserve">招标文件</w:t>
      </w:r>
      <w:r/>
    </w:p>
    <w:p>
      <w:pPr>
        <w:pStyle w:val="654"/>
        <w:spacing w:line="500" w:lineRule="exact"/>
        <w:rPr>
          <w:rFonts w:ascii="宋体" w:hAnsi="宋体"/>
          <w:b w:val="0"/>
          <w:bCs/>
          <w:color w:val="auto"/>
          <w:highlight w:val="none"/>
        </w:rPr>
      </w:pPr>
      <w:r>
        <w:rPr>
          <w:rFonts w:ascii="宋体" w:hAnsi="宋体"/>
          <w:b w:val="0"/>
          <w:bCs/>
          <w:color w:val="auto"/>
          <w:highlight w:val="none"/>
        </w:rPr>
      </w:r>
      <w:r/>
    </w:p>
    <w:p>
      <w:pPr>
        <w:pStyle w:val="654"/>
        <w:jc w:val="center"/>
        <w:spacing w:line="500" w:lineRule="exact"/>
        <w:rPr>
          <w:rFonts w:hint="eastAsia" w:ascii="宋体" w:hAnsi="宋体" w:eastAsia="宋体"/>
          <w:b w:val="0"/>
          <w:bCs/>
          <w:color w:val="auto"/>
          <w:sz w:val="36"/>
          <w:szCs w:val="36"/>
          <w:highlight w:val="none"/>
          <w:lang w:eastAsia="zh-CN"/>
        </w:rPr>
      </w:pPr>
      <w:r>
        <w:rPr>
          <w:rFonts w:hint="eastAsia" w:ascii="宋体" w:hAnsi="宋体"/>
          <w:b w:val="0"/>
          <w:bCs/>
          <w:color w:val="auto"/>
          <w:sz w:val="36"/>
          <w:szCs w:val="36"/>
          <w:highlight w:val="none"/>
        </w:rPr>
        <w:t xml:space="preserve">项目编号</w:t>
      </w:r>
      <w:r>
        <w:rPr>
          <w:rFonts w:hint="eastAsia" w:ascii="宋体" w:hAnsi="宋体"/>
          <w:b w:val="0"/>
          <w:bCs/>
          <w:color w:val="auto"/>
          <w:sz w:val="36"/>
          <w:szCs w:val="36"/>
          <w:highlight w:val="none"/>
          <w:lang w:eastAsia="zh-CN"/>
        </w:rPr>
        <w:t xml:space="preserve">：JSZC-320692-JSGH-G2024-0060</w:t>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spacing w:line="500" w:lineRule="exact"/>
        <w:rPr>
          <w:rFonts w:ascii="宋体" w:hAnsi="宋体"/>
          <w:color w:val="auto"/>
          <w:sz w:val="32"/>
          <w:highlight w:val="none"/>
        </w:rPr>
      </w:pPr>
      <w:r>
        <w:rPr>
          <w:rFonts w:ascii="宋体" w:hAnsi="宋体"/>
          <w:color w:val="auto"/>
          <w:sz w:val="32"/>
          <w:highlight w:val="none"/>
        </w:rPr>
      </w:r>
      <w:r/>
    </w:p>
    <w:p>
      <w:pPr>
        <w:spacing w:line="500" w:lineRule="exact"/>
        <w:rPr>
          <w:rFonts w:ascii="宋体" w:hAnsi="宋体"/>
          <w:color w:val="auto"/>
          <w:sz w:val="32"/>
          <w:highlight w:val="none"/>
        </w:rPr>
      </w:pPr>
      <w:r>
        <w:rPr>
          <w:rFonts w:ascii="宋体" w:hAnsi="宋体"/>
          <w:color w:val="auto"/>
          <w:sz w:val="32"/>
          <w:highlight w:val="none"/>
        </w:rPr>
      </w:r>
      <w:r/>
    </w:p>
    <w:p>
      <w:pPr>
        <w:spacing w:line="500" w:lineRule="exact"/>
        <w:rPr>
          <w:rFonts w:ascii="宋体" w:hAnsi="宋体"/>
          <w:color w:val="auto"/>
          <w:sz w:val="32"/>
          <w:highlight w:val="none"/>
        </w:rPr>
      </w:pPr>
      <w:r>
        <w:rPr>
          <w:rFonts w:ascii="宋体" w:hAnsi="宋体"/>
          <w:color w:val="auto"/>
          <w:sz w:val="32"/>
          <w:highlight w:val="none"/>
        </w:rPr>
      </w:r>
      <w:r/>
    </w:p>
    <w:p>
      <w:pPr>
        <w:spacing w:line="500" w:lineRule="exact"/>
        <w:rPr>
          <w:rFonts w:ascii="宋体" w:hAnsi="宋体"/>
          <w:color w:val="auto"/>
          <w:sz w:val="32"/>
          <w:highlight w:val="none"/>
        </w:rPr>
      </w:pPr>
      <w:r>
        <w:rPr>
          <w:rFonts w:ascii="宋体" w:hAnsi="宋体"/>
          <w:color w:val="auto"/>
          <w:sz w:val="32"/>
          <w:highlight w:val="none"/>
        </w:rPr>
      </w:r>
      <w:r/>
    </w:p>
    <w:p>
      <w:pPr>
        <w:spacing w:line="500" w:lineRule="exact"/>
        <w:rPr>
          <w:rFonts w:ascii="宋体" w:hAnsi="宋体"/>
          <w:color w:val="auto"/>
          <w:sz w:val="32"/>
          <w:highlight w:val="none"/>
        </w:rPr>
      </w:pPr>
      <w:r>
        <w:rPr>
          <w:rFonts w:ascii="宋体" w:hAnsi="宋体"/>
          <w:color w:val="auto"/>
          <w:sz w:val="32"/>
          <w:highlight w:val="none"/>
        </w:rPr>
      </w:r>
      <w:r/>
    </w:p>
    <w:p>
      <w:pPr>
        <w:pStyle w:val="1061"/>
        <w:rPr>
          <w:color w:val="auto"/>
          <w:highlight w:val="none"/>
        </w:rPr>
      </w:pPr>
      <w:r>
        <w:rPr>
          <w:color w:val="auto"/>
          <w:highlight w:val="none"/>
        </w:rPr>
      </w:r>
      <w:r/>
    </w:p>
    <w:p>
      <w:pPr>
        <w:ind w:right="-601" w:firstLine="128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w:t>
      </w:r>
      <w:r>
        <w:rPr>
          <w:rFonts w:hint="eastAsia" w:ascii="宋体" w:hAnsi="宋体" w:cs="宋体"/>
          <w:color w:val="auto"/>
          <w:sz w:val="32"/>
          <w:szCs w:val="32"/>
          <w:highlight w:val="none"/>
        </w:rPr>
        <w:t xml:space="preserve">南通市通州区三余镇人民政府</w:t>
      </w:r>
      <w:r/>
    </w:p>
    <w:p>
      <w:pPr>
        <w:ind w:right="-601" w:firstLine="128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代理机构</w:t>
      </w:r>
      <w:r>
        <w:rPr>
          <w:rFonts w:hint="eastAsia" w:ascii="宋体" w:hAnsi="宋体" w:cs="宋体"/>
          <w:color w:val="auto"/>
          <w:sz w:val="32"/>
          <w:szCs w:val="32"/>
          <w:highlight w:val="none"/>
          <w:lang w:eastAsia="zh-CN"/>
        </w:rPr>
        <w:t xml:space="preserve">：江苏广和工程咨询有限公司</w:t>
      </w:r>
      <w:r/>
    </w:p>
    <w:p>
      <w:pPr>
        <w:ind w:right="-601"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lang w:eastAsia="zh-CN"/>
        </w:rPr>
        <w:t xml:space="preserve">日期：</w:t>
      </w:r>
      <w:r>
        <w:rPr>
          <w:rFonts w:hint="eastAsia" w:ascii="宋体" w:hAnsi="宋体" w:cs="宋体"/>
          <w:color w:val="auto"/>
          <w:sz w:val="32"/>
          <w:szCs w:val="32"/>
          <w:highlight w:val="none"/>
        </w:rPr>
        <w:t xml:space="preserve">二○二四年</w:t>
      </w:r>
      <w:r>
        <w:rPr>
          <w:rFonts w:hint="eastAsia" w:ascii="宋体" w:hAnsi="宋体" w:cs="宋体"/>
          <w:color w:val="auto"/>
          <w:sz w:val="32"/>
          <w:szCs w:val="32"/>
          <w:highlight w:val="none"/>
          <w:lang w:eastAsia="zh-CN"/>
        </w:rPr>
        <w:t xml:space="preserve">十二</w:t>
      </w:r>
      <w:r>
        <w:rPr>
          <w:rFonts w:hint="eastAsia" w:ascii="宋体" w:hAnsi="宋体" w:cs="宋体"/>
          <w:color w:val="auto"/>
          <w:sz w:val="32"/>
          <w:szCs w:val="32"/>
          <w:highlight w:val="none"/>
        </w:rPr>
        <w:t xml:space="preserve">月</w:t>
      </w:r>
      <w:bookmarkStart w:id="262" w:name="_GoBack"/>
      <w:r/>
      <w:bookmarkEnd w:id="262"/>
      <w:r/>
      <w:r/>
    </w:p>
    <w:p>
      <w:pPr>
        <w:pStyle w:val="668"/>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669"/>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olor w:val="auto"/>
          <w:sz w:val="44"/>
          <w:szCs w:val="44"/>
          <w:highlight w:val="none"/>
        </w:rPr>
        <w:sectPr>
          <w:footnotePr/>
          <w:endnotePr/>
          <w:type w:val="nextPage"/>
          <w:pgSz w:w="11906" w:h="16838" w:orient="portrait"/>
          <w:pgMar w:top="1361" w:right="1361" w:bottom="1361" w:left="1361" w:header="851" w:footer="992" w:gutter="0"/>
          <w:pgNumType w:start="0"/>
          <w:cols w:num="1" w:sep="0" w:space="1701" w:equalWidth="1"/>
          <w:docGrid w:linePitch="360"/>
        </w:sectPr>
      </w:pPr>
      <w:r>
        <w:rPr>
          <w:rFonts w:hint="eastAsia" w:ascii="宋体" w:hAnsi="宋体"/>
          <w:color w:val="auto"/>
          <w:sz w:val="44"/>
          <w:szCs w:val="44"/>
          <w:highlight w:val="none"/>
        </w:rPr>
      </w:r>
      <w:r/>
    </w:p>
    <w:p>
      <w:pPr>
        <w:jc w:val="center"/>
        <w:spacing w:line="360" w:lineRule="auto"/>
        <w:rPr>
          <w:rFonts w:ascii="宋体" w:hAnsi="宋体"/>
          <w:color w:val="auto"/>
          <w:sz w:val="32"/>
          <w:szCs w:val="32"/>
          <w:highlight w:val="none"/>
        </w:rPr>
      </w:pPr>
      <w:r>
        <w:rPr>
          <w:rFonts w:hint="eastAsia" w:ascii="宋体" w:hAnsi="宋体"/>
          <w:color w:val="auto"/>
          <w:sz w:val="44"/>
          <w:szCs w:val="44"/>
          <w:highlight w:val="none"/>
        </w:rPr>
        <w:t xml:space="preserve">目 录</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第一部分  投标邀请</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第二部分  投标须知</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第三部分  项目需求</w:t>
      </w:r>
      <w:r/>
    </w:p>
    <w:p>
      <w:pPr>
        <w:ind w:firstLine="640"/>
        <w:spacing w:line="360" w:lineRule="auto"/>
        <w:tabs>
          <w:tab w:val="left" w:pos="7740" w:leader="none"/>
        </w:tabs>
        <w:rPr>
          <w:rFonts w:ascii="宋体" w:hAnsi="宋体"/>
          <w:color w:val="auto"/>
          <w:sz w:val="32"/>
          <w:szCs w:val="32"/>
          <w:highlight w:val="none"/>
        </w:rPr>
      </w:pPr>
      <w:r>
        <w:rPr>
          <w:rFonts w:hint="eastAsia" w:ascii="宋体" w:hAnsi="宋体"/>
          <w:color w:val="auto"/>
          <w:sz w:val="32"/>
          <w:szCs w:val="32"/>
          <w:highlight w:val="none"/>
        </w:rPr>
        <w:t xml:space="preserve">第四部分  合同条款及格式</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color w:val="auto"/>
          <w:sz w:val="32"/>
          <w:szCs w:val="32"/>
          <w:highlight w:val="none"/>
        </w:rPr>
        <w:t xml:space="preserve">第五部分  </w:t>
      </w:r>
      <w:r>
        <w:rPr>
          <w:rFonts w:hint="eastAsia" w:ascii="宋体" w:hAnsi="宋体"/>
          <w:bCs/>
          <w:color w:val="auto"/>
          <w:sz w:val="32"/>
          <w:szCs w:val="32"/>
          <w:highlight w:val="none"/>
        </w:rPr>
        <w:t xml:space="preserve">开标和评标</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第六部分  投标文件格式</w:t>
      </w:r>
      <w:r/>
    </w:p>
    <w:p>
      <w:pPr>
        <w:spacing w:line="500" w:lineRule="exact"/>
        <w:rPr>
          <w:rFonts w:ascii="宋体" w:hAnsi="宋体"/>
          <w:b/>
          <w:color w:val="auto"/>
          <w:sz w:val="32"/>
          <w:szCs w:val="32"/>
          <w:highlight w:val="none"/>
        </w:rPr>
      </w:pPr>
      <w:r>
        <w:rPr>
          <w:rFonts w:ascii="宋体" w:hAnsi="宋体"/>
          <w:b/>
          <w:color w:val="auto"/>
          <w:sz w:val="32"/>
          <w:szCs w:val="32"/>
          <w:highlight w:val="none"/>
        </w:rPr>
      </w:r>
      <w:r/>
    </w:p>
    <w:p>
      <w:pPr>
        <w:spacing w:line="500" w:lineRule="exact"/>
        <w:tabs>
          <w:tab w:val="left" w:pos="7740" w:leader="none"/>
        </w:tabs>
        <w:rPr>
          <w:rFonts w:ascii="宋体" w:hAnsi="宋体"/>
          <w:b/>
          <w:color w:val="auto"/>
          <w:spacing w:val="2"/>
          <w:sz w:val="32"/>
          <w:szCs w:val="32"/>
          <w:highlight w:val="none"/>
        </w:rPr>
      </w:pPr>
      <w:r>
        <w:rPr>
          <w:rFonts w:ascii="宋体" w:hAnsi="宋体"/>
          <w:b/>
          <w:color w:val="auto"/>
          <w:spacing w:val="2"/>
          <w:sz w:val="32"/>
          <w:szCs w:val="32"/>
          <w:highlight w:val="none"/>
        </w:rPr>
      </w:r>
      <w:r/>
    </w:p>
    <w:p>
      <w:pPr>
        <w:spacing w:line="500" w:lineRule="exact"/>
        <w:tabs>
          <w:tab w:val="left" w:pos="7740" w:leader="none"/>
        </w:tabs>
        <w:rPr>
          <w:rFonts w:ascii="宋体" w:hAnsi="宋体"/>
          <w:b/>
          <w:color w:val="auto"/>
          <w:spacing w:val="2"/>
          <w:sz w:val="32"/>
          <w:szCs w:val="32"/>
          <w:highlight w:val="none"/>
        </w:rPr>
      </w:pPr>
      <w:r>
        <w:rPr>
          <w:rFonts w:ascii="宋体" w:hAnsi="宋体"/>
          <w:b/>
          <w:color w:val="auto"/>
          <w:spacing w:val="2"/>
          <w:sz w:val="32"/>
          <w:szCs w:val="32"/>
          <w:highlight w:val="none"/>
        </w:rPr>
      </w:r>
      <w:r/>
    </w:p>
    <w:p>
      <w:pPr>
        <w:spacing w:line="500" w:lineRule="exact"/>
        <w:tabs>
          <w:tab w:val="left" w:pos="7740" w:leader="none"/>
        </w:tabs>
        <w:rPr>
          <w:rFonts w:ascii="宋体" w:hAnsi="宋体"/>
          <w:b/>
          <w:bCs/>
          <w:color w:val="auto"/>
          <w:sz w:val="32"/>
          <w:szCs w:val="32"/>
          <w:highlight w:val="none"/>
        </w:rPr>
      </w:pPr>
      <w:r>
        <w:rPr>
          <w:rFonts w:ascii="宋体" w:hAnsi="宋体"/>
          <w:b/>
          <w:bCs/>
          <w:color w:val="auto"/>
          <w:sz w:val="32"/>
          <w:szCs w:val="32"/>
          <w:highlight w:val="none"/>
        </w:rPr>
      </w:r>
      <w:r/>
    </w:p>
    <w:p>
      <w:pPr>
        <w:spacing w:line="500" w:lineRule="exact"/>
        <w:rPr>
          <w:rFonts w:ascii="宋体" w:hAnsi="宋体"/>
          <w:b/>
          <w:color w:val="auto"/>
          <w:sz w:val="44"/>
          <w:szCs w:val="44"/>
          <w:highlight w:val="none"/>
        </w:rPr>
        <w:outlineLvl w:val="0"/>
      </w:pPr>
      <w:r>
        <w:rPr>
          <w:rFonts w:ascii="宋体" w:hAnsi="宋体"/>
          <w:b/>
          <w:color w:val="auto"/>
          <w:sz w:val="44"/>
          <w:szCs w:val="44"/>
          <w:highlight w:val="none"/>
        </w:rPr>
      </w:r>
      <w:r/>
    </w:p>
    <w:p>
      <w:pPr>
        <w:spacing w:line="500" w:lineRule="exact"/>
        <w:rPr>
          <w:rFonts w:ascii="宋体" w:hAnsi="宋体"/>
          <w:color w:val="auto"/>
          <w:sz w:val="44"/>
          <w:szCs w:val="44"/>
          <w:highlight w:val="none"/>
        </w:rPr>
        <w:outlineLvl w:val="0"/>
      </w:pPr>
      <w:r>
        <w:rPr>
          <w:rFonts w:ascii="宋体" w:hAnsi="宋体"/>
          <w:color w:val="auto"/>
          <w:sz w:val="44"/>
          <w:szCs w:val="44"/>
          <w:highlight w:val="none"/>
        </w:rPr>
      </w:r>
      <w:r/>
    </w:p>
    <w:p>
      <w:pPr>
        <w:spacing w:line="500" w:lineRule="exact"/>
        <w:rPr>
          <w:rFonts w:ascii="宋体" w:hAnsi="宋体"/>
          <w:color w:val="auto"/>
          <w:sz w:val="44"/>
          <w:szCs w:val="44"/>
          <w:highlight w:val="none"/>
        </w:rPr>
        <w:outlineLvl w:val="0"/>
      </w:pPr>
      <w:r>
        <w:rPr>
          <w:rFonts w:ascii="宋体" w:hAnsi="宋体"/>
          <w:color w:val="auto"/>
          <w:sz w:val="44"/>
          <w:szCs w:val="44"/>
          <w:highlight w:val="none"/>
        </w:rPr>
      </w:r>
      <w:r/>
    </w:p>
    <w:p>
      <w:pPr>
        <w:spacing w:line="500" w:lineRule="exact"/>
        <w:rPr>
          <w:rFonts w:ascii="宋体" w:hAnsi="宋体"/>
          <w:color w:val="auto"/>
          <w:sz w:val="44"/>
          <w:szCs w:val="44"/>
          <w:highlight w:val="none"/>
        </w:rPr>
        <w:outlineLvl w:val="0"/>
      </w:pPr>
      <w:r>
        <w:rPr>
          <w:rFonts w:ascii="宋体" w:hAnsi="宋体"/>
          <w:color w:val="auto"/>
          <w:sz w:val="44"/>
          <w:szCs w:val="44"/>
          <w:highlight w:val="none"/>
        </w:rPr>
      </w:r>
      <w:r/>
    </w:p>
    <w:p>
      <w:pPr>
        <w:spacing w:line="500" w:lineRule="exact"/>
        <w:rPr>
          <w:rFonts w:ascii="宋体" w:hAnsi="宋体"/>
          <w:color w:val="auto"/>
          <w:sz w:val="44"/>
          <w:szCs w:val="44"/>
          <w:highlight w:val="none"/>
        </w:rPr>
        <w:outlineLvl w:val="0"/>
      </w:pPr>
      <w:r>
        <w:rPr>
          <w:rFonts w:ascii="宋体" w:hAnsi="宋体"/>
          <w:color w:val="auto"/>
          <w:sz w:val="44"/>
          <w:szCs w:val="44"/>
          <w:highlight w:val="none"/>
        </w:rPr>
      </w:r>
      <w:r/>
    </w:p>
    <w:p>
      <w:pPr>
        <w:spacing w:line="500" w:lineRule="exact"/>
        <w:rPr>
          <w:rFonts w:ascii="宋体" w:hAnsi="宋体"/>
          <w:color w:val="auto"/>
          <w:sz w:val="44"/>
          <w:szCs w:val="44"/>
          <w:highlight w:val="none"/>
        </w:rPr>
        <w:outlineLvl w:val="0"/>
      </w:pPr>
      <w:r>
        <w:rPr>
          <w:rFonts w:ascii="宋体" w:hAnsi="宋体"/>
          <w:color w:val="auto"/>
          <w:sz w:val="44"/>
          <w:szCs w:val="44"/>
          <w:highlight w:val="none"/>
        </w:rPr>
      </w:r>
      <w:r/>
    </w:p>
    <w:p>
      <w:pPr>
        <w:spacing w:line="500" w:lineRule="exact"/>
        <w:rPr>
          <w:rFonts w:ascii="宋体" w:hAnsi="宋体"/>
          <w:color w:val="auto"/>
          <w:sz w:val="44"/>
          <w:szCs w:val="44"/>
          <w:highlight w:val="none"/>
        </w:rPr>
        <w:outlineLvl w:val="0"/>
      </w:pPr>
      <w:r>
        <w:rPr>
          <w:rFonts w:ascii="宋体" w:hAnsi="宋体"/>
          <w:color w:val="auto"/>
          <w:sz w:val="44"/>
          <w:szCs w:val="44"/>
          <w:highlight w:val="none"/>
        </w:rPr>
      </w:r>
      <w:r/>
    </w:p>
    <w:p>
      <w:pPr>
        <w:spacing w:line="500" w:lineRule="exact"/>
        <w:rPr>
          <w:rFonts w:ascii="宋体" w:hAnsi="宋体"/>
          <w:color w:val="auto"/>
          <w:sz w:val="44"/>
          <w:szCs w:val="44"/>
          <w:highlight w:val="none"/>
        </w:rPr>
        <w:outlineLvl w:val="0"/>
      </w:pPr>
      <w:r>
        <w:rPr>
          <w:rFonts w:ascii="宋体" w:hAnsi="宋体"/>
          <w:color w:val="auto"/>
          <w:sz w:val="44"/>
          <w:szCs w:val="44"/>
          <w:highlight w:val="none"/>
        </w:rPr>
      </w:r>
      <w:r/>
    </w:p>
    <w:p>
      <w:pPr>
        <w:spacing w:line="500" w:lineRule="exact"/>
        <w:rPr>
          <w:rFonts w:ascii="宋体" w:hAnsi="宋体"/>
          <w:color w:val="auto"/>
          <w:sz w:val="44"/>
          <w:szCs w:val="44"/>
          <w:highlight w:val="none"/>
        </w:rPr>
        <w:outlineLvl w:val="0"/>
      </w:pPr>
      <w:r>
        <w:rPr>
          <w:rFonts w:ascii="宋体" w:hAnsi="宋体"/>
          <w:color w:val="auto"/>
          <w:sz w:val="44"/>
          <w:szCs w:val="44"/>
          <w:highlight w:val="none"/>
        </w:rPr>
      </w:r>
      <w:r/>
    </w:p>
    <w:p>
      <w:pPr>
        <w:jc w:val="center"/>
        <w:spacing w:line="500" w:lineRule="exact"/>
        <w:rPr>
          <w:rFonts w:ascii="宋体" w:hAnsi="宋体"/>
          <w:bCs/>
          <w:color w:val="auto"/>
          <w:sz w:val="36"/>
          <w:szCs w:val="36"/>
          <w:highlight w:val="none"/>
        </w:rPr>
        <w:outlineLvl w:val="0"/>
      </w:pPr>
      <w:r>
        <w:rPr>
          <w:rFonts w:ascii="宋体" w:hAnsi="宋体"/>
          <w:bCs/>
          <w:color w:val="auto"/>
          <w:sz w:val="36"/>
          <w:szCs w:val="36"/>
          <w:highlight w:val="none"/>
        </w:rPr>
      </w:r>
      <w:r/>
    </w:p>
    <w:p>
      <w:pPr>
        <w:jc w:val="center"/>
        <w:spacing w:line="500" w:lineRule="exact"/>
        <w:rPr>
          <w:rFonts w:ascii="宋体" w:hAnsi="宋体"/>
          <w:bCs/>
          <w:color w:val="auto"/>
          <w:sz w:val="36"/>
          <w:szCs w:val="36"/>
          <w:highlight w:val="none"/>
        </w:rPr>
        <w:outlineLvl w:val="0"/>
      </w:pPr>
      <w:r>
        <w:rPr>
          <w:rFonts w:ascii="宋体" w:hAnsi="宋体"/>
          <w:bCs/>
          <w:color w:val="auto"/>
          <w:sz w:val="36"/>
          <w:szCs w:val="36"/>
          <w:highlight w:val="none"/>
        </w:rPr>
      </w:r>
      <w:r/>
    </w:p>
    <w:p>
      <w:pPr>
        <w:jc w:val="center"/>
        <w:spacing w:line="500" w:lineRule="exact"/>
        <w:rPr>
          <w:rFonts w:ascii="宋体" w:hAnsi="宋体"/>
          <w:bCs/>
          <w:color w:val="auto"/>
          <w:sz w:val="36"/>
          <w:szCs w:val="36"/>
          <w:highlight w:val="none"/>
        </w:rPr>
        <w:outlineLvl w:val="0"/>
      </w:pPr>
      <w:r>
        <w:rPr>
          <w:rFonts w:ascii="宋体" w:hAnsi="宋体"/>
          <w:bCs/>
          <w:color w:val="auto"/>
          <w:sz w:val="36"/>
          <w:szCs w:val="36"/>
          <w:highlight w:val="none"/>
        </w:rPr>
      </w:r>
      <w:r/>
    </w:p>
    <w:p>
      <w:pPr>
        <w:jc w:val="center"/>
        <w:spacing w:before="120" w:after="120" w:line="360" w:lineRule="auto"/>
        <w:rPr>
          <w:rFonts w:ascii="宋体" w:hAnsi="宋体"/>
          <w:bCs/>
          <w:color w:val="auto"/>
          <w:sz w:val="36"/>
          <w:szCs w:val="36"/>
          <w:highlight w:val="none"/>
        </w:rPr>
        <w:outlineLvl w:val="0"/>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第一部分  </w:t>
      </w:r>
      <w:bookmarkStart w:id="0" w:name="OLE_LINK5"/>
      <w:r/>
      <w:bookmarkStart w:id="1" w:name="OLE_LINK7"/>
      <w:r>
        <w:rPr>
          <w:rFonts w:hint="eastAsia" w:ascii="宋体" w:hAnsi="宋体"/>
          <w:bCs/>
          <w:color w:val="auto"/>
          <w:sz w:val="36"/>
          <w:szCs w:val="36"/>
          <w:highlight w:val="none"/>
        </w:rPr>
        <w:t xml:space="preserve">投标邀请</w:t>
      </w:r>
      <w:r/>
    </w:p>
    <w:p>
      <w:pPr>
        <w:ind w:firstLine="482"/>
        <w:jc w:val="left"/>
        <w:spacing w:line="360" w:lineRule="auto"/>
        <w:rPr>
          <w:rFonts w:ascii="宋体" w:hAnsi="宋体"/>
          <w:color w:val="auto"/>
          <w:sz w:val="24"/>
          <w:highlight w:val="none"/>
        </w:rPr>
      </w:pPr>
      <w:r/>
      <w:bookmarkStart w:id="2" w:name="OLE_LINK6"/>
      <w:r>
        <w:rPr>
          <w:rFonts w:hint="eastAsia" w:ascii="宋体" w:hAnsi="宋体"/>
          <w:b/>
          <w:bCs/>
          <w:color w:val="auto"/>
          <w:sz w:val="24"/>
          <w:highlight w:val="none"/>
          <w:lang w:eastAsia="zh-CN"/>
        </w:rPr>
        <w:t xml:space="preserve">江苏广和工程咨询有限公司</w:t>
      </w:r>
      <w:r>
        <w:rPr>
          <w:rFonts w:hint="eastAsia" w:ascii="宋体" w:hAnsi="宋体" w:cs="___WRD_EMBED_SUB_348"/>
          <w:b/>
          <w:bCs/>
          <w:color w:val="auto"/>
          <w:sz w:val="24"/>
          <w:highlight w:val="none"/>
        </w:rPr>
        <w:t xml:space="preserve">（以下称采购代理机构）受南通市通州区三余镇人民政府（以下称采购人）的委托</w:t>
      </w:r>
      <w:r>
        <w:rPr>
          <w:rFonts w:ascii="宋体" w:hAnsi="宋体"/>
          <w:color w:val="auto"/>
          <w:sz w:val="24"/>
          <w:highlight w:val="none"/>
        </w:rPr>
        <w:t xml:space="preserve">就[</w:t>
      </w:r>
      <w:r>
        <w:rPr>
          <w:rFonts w:hint="eastAsia" w:ascii="宋体" w:hAnsi="宋体"/>
          <w:color w:val="auto"/>
          <w:sz w:val="24"/>
          <w:highlight w:val="none"/>
          <w:lang w:eastAsia="zh-CN"/>
        </w:rPr>
        <w:t xml:space="preserve">通州湾示范区农药包装废弃物、废旧地膜回收、农药零差率统一配供服务项目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：JSZC-320692-JSGH-G2024-0060</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)进行公开招标采购，欢迎符合条件的供应商投标。</w:t>
      </w:r>
      <w:r/>
    </w:p>
    <w:p>
      <w:pPr>
        <w:ind w:firstLine="480"/>
        <w:jc w:val="left"/>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ascii="宋体" w:hAnsi="宋体"/>
          <w:color w:val="auto"/>
          <w:sz w:val="24"/>
          <w:highlight w:val="none"/>
        </w:rPr>
        <w:t xml:space="preserve">项目概况</w:t>
      </w:r>
      <w:r/>
    </w:p>
    <w:p>
      <w:pPr>
        <w:ind w:firstLine="480"/>
        <w:jc w:val="left"/>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通州湾示范区农药包装废弃物、废旧地膜回收、农药零差率统一配供服务项目</w:t>
      </w:r>
      <w:r>
        <w:rPr>
          <w:rFonts w:ascii="宋体" w:hAnsi="宋体"/>
          <w:color w:val="auto"/>
          <w:sz w:val="24"/>
          <w:highlight w:val="none"/>
        </w:rPr>
        <w:t xml:space="preserve">的潜在投标人应在</w:t>
      </w:r>
      <w:r>
        <w:rPr>
          <w:rFonts w:hint="eastAsia" w:ascii="宋体" w:hAnsi="宋体"/>
          <w:color w:val="auto"/>
          <w:sz w:val="24"/>
          <w:highlight w:val="none"/>
          <w:u w:val="single"/>
        </w:rPr>
        <w:t xml:space="preserve">江苏政府采购网</w:t>
      </w:r>
      <w:r>
        <w:rPr>
          <w:rFonts w:ascii="宋体" w:hAnsi="宋体"/>
          <w:color w:val="auto"/>
          <w:sz w:val="24"/>
          <w:highlight w:val="none"/>
        </w:rPr>
        <w:t xml:space="preserve">获取招标文件，并于</w:t>
      </w:r>
      <w:r>
        <w:rPr>
          <w:rFonts w:hint="eastAsia" w:ascii="宋体" w:hAnsi="宋体"/>
          <w:b/>
          <w:bCs/>
          <w:color w:val="auto"/>
          <w:sz w:val="24"/>
          <w:highlight w:val="none"/>
          <w:u w:val="single"/>
          <w:lang w:val="en-US" w:eastAsia="zh-CN"/>
        </w:rPr>
        <w:t xml:space="preserve">2025</w:t>
      </w:r>
      <w:r>
        <w:rPr>
          <w:rFonts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1</w:t>
      </w:r>
      <w:r>
        <w:rPr>
          <w:rFonts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u w:val="single"/>
        </w:rPr>
        <w:t xml:space="preserve">日09点3</w:t>
      </w:r>
      <w:r>
        <w:rPr>
          <w:rFonts w:hint="eastAsia" w:ascii="宋体" w:hAnsi="宋体"/>
          <w:b/>
          <w:bCs/>
          <w:color w:val="auto"/>
          <w:sz w:val="24"/>
          <w:highlight w:val="none"/>
          <w:u w:val="single"/>
        </w:rPr>
        <w:t xml:space="preserve">0</w:t>
      </w:r>
      <w:r>
        <w:rPr>
          <w:rFonts w:ascii="宋体" w:hAnsi="宋体"/>
          <w:b/>
          <w:bCs/>
          <w:color w:val="auto"/>
          <w:sz w:val="24"/>
          <w:highlight w:val="none"/>
          <w:u w:val="single"/>
        </w:rPr>
        <w:t xml:space="preserve">分</w:t>
      </w:r>
      <w:r>
        <w:rPr>
          <w:rFonts w:ascii="宋体" w:hAnsi="宋体"/>
          <w:color w:val="auto"/>
          <w:sz w:val="24"/>
          <w:highlight w:val="none"/>
        </w:rPr>
        <w:t xml:space="preserve">（北京时间）前递交投标文件。</w:t>
      </w:r>
      <w:r/>
    </w:p>
    <w:p>
      <w:pPr>
        <w:ind w:firstLine="482"/>
        <w:jc w:val="left"/>
        <w:keepLines w:val="0"/>
        <w:keepNext w:val="0"/>
        <w:pageBreakBefore w:val="0"/>
        <w:spacing w:line="360" w:lineRule="auto"/>
        <w:rPr>
          <w:rFonts w:ascii="宋体" w:hAnsi="宋体"/>
          <w:b/>
          <w:color w:val="auto"/>
          <w:sz w:val="24"/>
          <w:highlight w:val="none"/>
        </w:rPr>
      </w:pPr>
      <w:r>
        <w:rPr>
          <w:rFonts w:ascii="宋体" w:hAnsi="宋体"/>
          <w:b/>
          <w:color w:val="auto"/>
          <w:sz w:val="24"/>
          <w:highlight w:val="none"/>
        </w:rPr>
        <w:t xml:space="preserve"> 一、项目基本情况</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：JSZC-320692-JSGH-G2024-0060</w:t>
      </w:r>
      <w:r/>
    </w:p>
    <w:p>
      <w:pPr>
        <w:ind w:firstLine="480"/>
        <w:jc w:val="left"/>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2.</w:t>
      </w: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：通州湾示范区农药包装废弃物、废旧地膜回收、农药零差率统一配供服务项目</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项目类型</w:t>
      </w:r>
      <w:r>
        <w:rPr>
          <w:rFonts w:hint="eastAsia" w:ascii="宋体" w:hAnsi="宋体"/>
          <w:color w:val="auto"/>
          <w:sz w:val="24"/>
          <w:szCs w:val="24"/>
          <w:highlight w:val="none"/>
          <w:lang w:eastAsia="zh-CN"/>
        </w:rPr>
        <w:t xml:space="preserve">：服务</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所属行业</w:t>
      </w:r>
      <w:r>
        <w:rPr>
          <w:rFonts w:hint="eastAsia" w:ascii="宋体" w:hAnsi="宋体"/>
          <w:color w:val="auto"/>
          <w:sz w:val="24"/>
          <w:szCs w:val="24"/>
          <w:highlight w:val="none"/>
          <w:lang w:eastAsia="zh-CN"/>
        </w:rPr>
        <w:t xml:space="preserve">：其他未列明行业</w:t>
      </w:r>
      <w:r/>
    </w:p>
    <w:p>
      <w:pPr>
        <w:ind w:firstLine="480"/>
        <w:jc w:val="left"/>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ascii="宋体" w:hAnsi="宋体"/>
          <w:color w:val="auto"/>
          <w:sz w:val="24"/>
          <w:highlight w:val="none"/>
        </w:rPr>
        <w:t xml:space="preserve">预算金额</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117.4</w:t>
      </w:r>
      <w:r>
        <w:rPr>
          <w:rFonts w:hint="eastAsia" w:ascii="宋体" w:hAnsi="宋体"/>
          <w:color w:val="auto"/>
          <w:sz w:val="24"/>
          <w:highlight w:val="none"/>
        </w:rPr>
        <w:t xml:space="preserve">万元</w:t>
      </w:r>
      <w:r>
        <w:rPr>
          <w:rFonts w:hint="eastAsia" w:ascii="宋体" w:hAnsi="宋体"/>
          <w:color w:val="auto"/>
          <w:sz w:val="24"/>
          <w:highlight w:val="none"/>
          <w:lang w:eastAsia="zh-CN"/>
        </w:rPr>
        <w:t xml:space="preserve">。</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.最高限价</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117.4</w:t>
      </w:r>
      <w:r>
        <w:rPr>
          <w:rFonts w:hint="eastAsia" w:ascii="宋体" w:hAnsi="宋体"/>
          <w:b/>
          <w:bCs/>
          <w:color w:val="auto"/>
          <w:sz w:val="24"/>
          <w:highlight w:val="none"/>
        </w:rPr>
        <w:t xml:space="preserve">万元，报价超过最高限价的为无效投标。</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ascii="宋体" w:hAnsi="宋体"/>
          <w:color w:val="auto"/>
          <w:sz w:val="24"/>
          <w:highlight w:val="none"/>
        </w:rPr>
        <w:t xml:space="preserve">采购需求</w:t>
      </w:r>
      <w:r>
        <w:rPr>
          <w:rFonts w:hint="eastAsia" w:ascii="宋体" w:hAnsi="宋体"/>
          <w:color w:val="auto"/>
          <w:sz w:val="24"/>
          <w:highlight w:val="none"/>
          <w:lang w:eastAsia="zh-CN"/>
        </w:rPr>
        <w:t xml:space="preserve">：</w:t>
      </w:r>
      <w:r>
        <w:rPr>
          <w:rFonts w:hint="eastAsia" w:ascii="宋体" w:hAnsi="宋体" w:cs="宋体"/>
          <w:color w:val="auto"/>
          <w:sz w:val="24"/>
          <w:highlight w:val="none"/>
        </w:rPr>
        <w:t xml:space="preserve">详见招标文件第三部分项目需求</w:t>
      </w:r>
      <w:r>
        <w:rPr>
          <w:rFonts w:ascii="宋体" w:hAnsi="宋体"/>
          <w:color w:val="auto"/>
          <w:sz w:val="24"/>
          <w:highlight w:val="none"/>
        </w:rPr>
        <w:t xml:space="preserve">，请仔细研究。</w:t>
      </w:r>
      <w:r/>
    </w:p>
    <w:p>
      <w:pPr>
        <w:ind w:firstLine="480"/>
        <w:jc w:val="left"/>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.合同履行期限</w:t>
      </w:r>
      <w:r>
        <w:rPr>
          <w:rFonts w:hint="eastAsia" w:ascii="宋体" w:hAnsi="宋体" w:cs="宋体"/>
          <w:color w:val="auto"/>
          <w:sz w:val="24"/>
          <w:highlight w:val="none"/>
          <w:lang w:eastAsia="zh-CN"/>
        </w:rPr>
        <w:t xml:space="preserve">：一年</w:t>
      </w:r>
      <w:r>
        <w:rPr>
          <w:rFonts w:hint="eastAsia" w:ascii="宋体" w:hAnsi="宋体" w:eastAsia="宋体"/>
          <w:b w:val="0"/>
          <w:bCs w:val="0"/>
          <w:color w:val="auto"/>
          <w:sz w:val="24"/>
          <w:szCs w:val="24"/>
          <w:highlight w:val="none"/>
        </w:rPr>
        <w:t xml:space="preserve">。</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ascii="宋体" w:hAnsi="宋体"/>
          <w:color w:val="auto"/>
          <w:sz w:val="24"/>
          <w:highlight w:val="none"/>
        </w:rPr>
        <w:t xml:space="preserve">本项目（是/否）接受联合体投标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否</w:t>
      </w:r>
      <w:r>
        <w:rPr>
          <w:rFonts w:ascii="宋体" w:hAnsi="宋体"/>
          <w:color w:val="auto"/>
          <w:sz w:val="24"/>
          <w:highlight w:val="none"/>
        </w:rPr>
        <w:t xml:space="preserve">。</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w:t>
      </w:r>
      <w:r>
        <w:rPr>
          <w:rFonts w:ascii="宋体" w:hAnsi="宋体"/>
          <w:color w:val="auto"/>
          <w:sz w:val="24"/>
          <w:highlight w:val="none"/>
        </w:rPr>
        <w:t xml:space="preserve">本项目（是/否）接受</w:t>
      </w:r>
      <w:r>
        <w:rPr>
          <w:rFonts w:hint="eastAsia" w:ascii="宋体" w:hAnsi="宋体"/>
          <w:color w:val="auto"/>
          <w:sz w:val="24"/>
          <w:highlight w:val="none"/>
        </w:rPr>
        <w:t xml:space="preserve">分包</w:t>
      </w:r>
      <w:r>
        <w:rPr>
          <w:rFonts w:hint="eastAsia" w:ascii="宋体" w:hAnsi="宋体"/>
          <w:color w:val="auto"/>
          <w:sz w:val="24"/>
          <w:highlight w:val="none"/>
          <w:lang w:eastAsia="zh-CN"/>
        </w:rPr>
        <w:t xml:space="preserve">：</w:t>
      </w:r>
      <w:r>
        <w:rPr>
          <w:rFonts w:ascii="宋体" w:hAnsi="宋体"/>
          <w:color w:val="auto"/>
          <w:sz w:val="24"/>
          <w:highlight w:val="none"/>
        </w:rPr>
        <w:t xml:space="preserve">否。</w:t>
      </w:r>
      <w:r/>
    </w:p>
    <w:p>
      <w:pPr>
        <w:ind w:firstLine="482"/>
        <w:jc w:val="left"/>
        <w:keepLines w:val="0"/>
        <w:keepNext w:val="0"/>
        <w:pageBreakBefore w:val="0"/>
        <w:spacing w:line="360" w:lineRule="auto"/>
        <w:rPr>
          <w:rFonts w:hint="eastAsia" w:ascii="宋体" w:hAnsi="宋体" w:eastAsia="宋体"/>
          <w:b/>
          <w:color w:val="auto"/>
          <w:sz w:val="24"/>
          <w:highlight w:val="none"/>
          <w:lang w:eastAsia="zh-CN"/>
        </w:rPr>
      </w:pPr>
      <w:r>
        <w:rPr>
          <w:rFonts w:ascii="宋体" w:hAnsi="宋体"/>
          <w:b/>
          <w:color w:val="auto"/>
          <w:sz w:val="24"/>
          <w:highlight w:val="none"/>
        </w:rPr>
        <w:t xml:space="preserve">二、申请人的资格要求</w:t>
      </w:r>
      <w:r>
        <w:rPr>
          <w:rFonts w:hint="eastAsia" w:ascii="宋体" w:hAnsi="宋体"/>
          <w:b/>
          <w:color w:val="auto"/>
          <w:sz w:val="24"/>
          <w:highlight w:val="none"/>
          <w:lang w:eastAsia="zh-CN"/>
        </w:rPr>
        <w:t xml:space="preserve">：</w:t>
      </w:r>
      <w:r/>
    </w:p>
    <w:p>
      <w:pPr>
        <w:ind w:firstLine="48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p>
    <w:p>
      <w:pPr>
        <w:ind w:firstLine="480"/>
        <w:keepLines w:val="0"/>
        <w:keepNext w:val="0"/>
        <w:pageBreakBefore w:val="0"/>
        <w:spacing w:line="360" w:lineRule="auto"/>
        <w:rPr>
          <w:rFonts w:ascii="宋体" w:hAnsi="宋体" w:eastAsia="宋体"/>
          <w:b/>
          <w:bCs/>
          <w:color w:val="auto"/>
          <w:sz w:val="24"/>
          <w:szCs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落实政府采购政策需满足的资格要求</w:t>
      </w:r>
      <w:r>
        <w:rPr>
          <w:rFonts w:hint="eastAsia" w:ascii="宋体" w:hAnsi="宋体"/>
          <w:color w:val="auto"/>
          <w:sz w:val="24"/>
          <w:highlight w:val="none"/>
          <w:lang w:eastAsia="zh-CN"/>
        </w:rPr>
        <w:t xml:space="preserve">：</w:t>
      </w:r>
      <w:r>
        <w:rPr>
          <w:rFonts w:hint="eastAsia" w:ascii="宋体" w:hAnsi="宋体"/>
          <w:b/>
          <w:bCs/>
          <w:color w:val="auto"/>
          <w:sz w:val="24"/>
          <w:highlight w:val="none"/>
          <w:u w:val="single"/>
        </w:rPr>
        <w:t xml:space="preserve">本项目专门面向中小企业采购（供应商应为中小微企业或监狱企业或残疾人福利性单位。）</w:t>
      </w:r>
      <w:r>
        <w:rPr>
          <w:rFonts w:hint="eastAsia" w:ascii="宋体" w:hAnsi="宋体" w:eastAsia="宋体"/>
          <w:b w:val="0"/>
          <w:bCs w:val="0"/>
          <w:color w:val="auto"/>
          <w:sz w:val="24"/>
          <w:szCs w:val="24"/>
          <w:highlight w:val="none"/>
          <w:u w:val="none"/>
        </w:rPr>
        <w:t xml:space="preserve">。</w:t>
      </w:r>
      <w:r/>
    </w:p>
    <w:p>
      <w:pPr>
        <w:ind w:firstLine="480"/>
        <w:jc w:val="left"/>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.本项目的特定资格要求</w:t>
      </w:r>
      <w:r>
        <w:rPr>
          <w:rFonts w:hint="eastAsia" w:ascii="宋体" w:hAnsi="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w:t>
      </w:r>
      <w:r>
        <w:rPr>
          <w:rFonts w:hint="eastAsia" w:ascii="宋体" w:hAnsi="宋体"/>
          <w:color w:val="auto"/>
          <w:sz w:val="24"/>
          <w:szCs w:val="24"/>
          <w:highlight w:val="none"/>
          <w:lang w:eastAsia="zh-CN"/>
        </w:rPr>
        <w:t xml:space="preserve">响应供应商</w:t>
      </w:r>
      <w:r>
        <w:rPr>
          <w:rFonts w:hint="eastAsia" w:ascii="宋体" w:hAnsi="宋体" w:eastAsia="宋体"/>
          <w:color w:val="auto"/>
          <w:sz w:val="24"/>
          <w:szCs w:val="24"/>
          <w:highlight w:val="none"/>
        </w:rPr>
        <w:t xml:space="preserve">应为</w:t>
      </w:r>
      <w:r>
        <w:rPr>
          <w:rFonts w:hint="eastAsia" w:ascii="宋体" w:hAnsi="宋体" w:eastAsia="宋体"/>
          <w:color w:val="auto"/>
          <w:sz w:val="24"/>
          <w:szCs w:val="24"/>
          <w:highlight w:val="none"/>
          <w:lang w:eastAsia="zh-CN"/>
        </w:rPr>
        <w:t xml:space="preserve">农药包装废弃物、废旧地膜回收、农药零差率统一配供</w:t>
      </w:r>
      <w:r>
        <w:rPr>
          <w:rFonts w:hint="eastAsia" w:ascii="宋体" w:hAnsi="宋体"/>
          <w:color w:val="auto"/>
          <w:sz w:val="24"/>
          <w:szCs w:val="24"/>
          <w:highlight w:val="none"/>
          <w:lang w:eastAsia="zh-CN"/>
        </w:rPr>
        <w:t xml:space="preserve">的实施且</w:t>
      </w:r>
      <w:r>
        <w:rPr>
          <w:rFonts w:hint="eastAsia" w:ascii="宋体" w:hAnsi="宋体" w:eastAsia="宋体"/>
          <w:color w:val="auto"/>
          <w:sz w:val="24"/>
          <w:szCs w:val="24"/>
          <w:highlight w:val="none"/>
        </w:rPr>
        <w:t xml:space="preserve">具有</w:t>
      </w:r>
      <w:r>
        <w:rPr>
          <w:rFonts w:hint="eastAsia" w:ascii="宋体" w:hAnsi="宋体"/>
          <w:color w:val="auto"/>
          <w:sz w:val="24"/>
          <w:szCs w:val="24"/>
          <w:highlight w:val="none"/>
          <w:lang w:eastAsia="zh-CN"/>
        </w:rPr>
        <w:t xml:space="preserve">经</w:t>
      </w:r>
      <w:r>
        <w:rPr>
          <w:rFonts w:hint="eastAsia" w:ascii="宋体" w:hAnsi="宋体"/>
          <w:b/>
          <w:bCs/>
          <w:color w:val="auto"/>
          <w:sz w:val="24"/>
          <w:szCs w:val="24"/>
          <w:highlight w:val="none"/>
          <w:lang w:eastAsia="zh-CN"/>
        </w:rPr>
        <w:t xml:space="preserve">主管</w:t>
      </w:r>
      <w:r>
        <w:rPr>
          <w:rFonts w:hint="eastAsia" w:ascii="宋体" w:hAnsi="宋体"/>
          <w:b/>
          <w:bCs/>
          <w:color w:val="auto"/>
          <w:sz w:val="24"/>
          <w:szCs w:val="24"/>
          <w:highlight w:val="none"/>
          <w:lang w:val="en-US" w:eastAsia="zh-CN"/>
        </w:rPr>
        <w:t xml:space="preserve">部门</w:t>
      </w:r>
      <w:r>
        <w:rPr>
          <w:rFonts w:hint="eastAsia" w:ascii="宋体" w:hAnsi="宋体"/>
          <w:b/>
          <w:bCs/>
          <w:color w:val="auto"/>
          <w:sz w:val="24"/>
          <w:szCs w:val="24"/>
          <w:highlight w:val="none"/>
          <w:lang w:eastAsia="zh-CN"/>
        </w:rPr>
        <w:t xml:space="preserve">审批合格的</w:t>
      </w:r>
      <w:r>
        <w:rPr>
          <w:rFonts w:hint="eastAsia" w:ascii="宋体" w:hAnsi="宋体" w:eastAsia="宋体"/>
          <w:b/>
          <w:bCs/>
          <w:color w:val="auto"/>
          <w:sz w:val="24"/>
          <w:szCs w:val="24"/>
          <w:highlight w:val="none"/>
        </w:rPr>
        <w:t xml:space="preserve">农药经营许可证</w:t>
      </w:r>
      <w:r>
        <w:rPr>
          <w:rFonts w:hint="eastAsia" w:ascii="宋体" w:hAnsi="宋体" w:eastAsia="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hint="eastAsia" w:ascii="宋体" w:hAnsi="宋体" w:cs="Times New Roman"/>
          <w:color w:val="auto"/>
          <w:sz w:val="24"/>
          <w:szCs w:val="24"/>
          <w:highlight w:val="none"/>
          <w:lang w:val="en-US" w:eastAsia="zh-CN"/>
        </w:rPr>
        <w:t xml:space="preserve">投标文件递交截止时间，</w:t>
      </w:r>
      <w:r>
        <w:rPr>
          <w:rFonts w:hint="eastAsia" w:ascii="宋体" w:hAnsi="宋体" w:eastAsia="宋体" w:cs="Times New Roman"/>
          <w:color w:val="auto"/>
          <w:sz w:val="24"/>
          <w:szCs w:val="24"/>
          <w:highlight w:val="none"/>
        </w:rPr>
        <w:t xml:space="preserve">未被“信用中国”</w:t>
      </w:r>
      <w:r>
        <w:rPr>
          <w:rFonts w:hint="eastAsia" w:ascii="宋体" w:hAnsi="宋体" w:cs="Times New Roman"/>
          <w:color w:val="auto"/>
          <w:sz w:val="24"/>
          <w:szCs w:val="24"/>
          <w:highlight w:val="none"/>
          <w:lang w:eastAsia="zh-CN"/>
        </w:rPr>
        <w:t xml:space="preserve">网站</w:t>
      </w:r>
      <w:r>
        <w:rPr>
          <w:rFonts w:hint="eastAsia" w:ascii="宋体" w:hAnsi="宋体" w:eastAsia="宋体" w:cs="Times New Roman"/>
          <w:color w:val="auto"/>
          <w:sz w:val="24"/>
          <w:szCs w:val="24"/>
          <w:highlight w:val="none"/>
        </w:rPr>
        <w:t xml:space="preserve">（www.creditchina.gov.cn）列入失信被执行人、重大税收违法案件当事人名单、政府采购严重失信行为记录名单</w:t>
      </w:r>
      <w:r>
        <w:rPr>
          <w:rFonts w:hint="eastAsia" w:ascii="宋体" w:hAnsi="宋体" w:cs="Times New Roman"/>
          <w:color w:val="auto"/>
          <w:sz w:val="24"/>
          <w:szCs w:val="24"/>
          <w:highlight w:val="none"/>
          <w:lang w:eastAsia="zh-CN"/>
        </w:rPr>
        <w:t xml:space="preserve">。</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本项目不接受联合体投标。</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【特别提醒】</w:t>
      </w:r>
      <w:r>
        <w:rPr>
          <w:rFonts w:hint="eastAsia" w:ascii="宋体" w:hAnsi="宋体" w:cs="宋体"/>
          <w:color w:val="auto"/>
          <w:sz w:val="24"/>
          <w:highlight w:val="none"/>
        </w:rPr>
        <w:t xml:space="preserve">单位负责人为同一人或者存在直接控股、管理关系的不同供应商，不得参加同一合同项下的政府采购活动。法定代表人为同一个人的两个及两个以上法人，母公司、全资子公司及其控股公司，都不得参加同一合同项目的采购活动。</w:t>
      </w:r>
      <w:r/>
    </w:p>
    <w:p>
      <w:pPr>
        <w:ind w:firstLine="482"/>
        <w:jc w:val="left"/>
        <w:keepLines w:val="0"/>
        <w:keepNext w:val="0"/>
        <w:pageBreakBefore w:val="0"/>
        <w:spacing w:line="360" w:lineRule="auto"/>
        <w:rPr>
          <w:rFonts w:ascii="宋体" w:hAnsi="宋体"/>
          <w:b/>
          <w:color w:val="auto"/>
          <w:sz w:val="24"/>
          <w:highlight w:val="none"/>
        </w:rPr>
      </w:pPr>
      <w:r>
        <w:rPr>
          <w:rFonts w:ascii="宋体" w:hAnsi="宋体"/>
          <w:b/>
          <w:color w:val="auto"/>
          <w:sz w:val="24"/>
          <w:highlight w:val="none"/>
        </w:rPr>
        <w:t xml:space="preserve">三、获取招标文件</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1.时间</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自本公告发布之日起至</w:t>
      </w: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日</w:t>
      </w:r>
      <w:r>
        <w:rPr>
          <w:rFonts w:ascii="宋体" w:hAnsi="宋体"/>
          <w:color w:val="auto"/>
          <w:sz w:val="24"/>
          <w:highlight w:val="none"/>
        </w:rPr>
        <w:t xml:space="preserve">09</w:t>
      </w:r>
      <w:r>
        <w:rPr>
          <w:rFonts w:hint="eastAsia" w:ascii="宋体" w:hAnsi="宋体"/>
          <w:color w:val="auto"/>
          <w:sz w:val="24"/>
          <w:highlight w:val="none"/>
        </w:rPr>
        <w:t xml:space="preserve">时</w:t>
      </w:r>
      <w:r>
        <w:rPr>
          <w:rFonts w:ascii="宋体" w:hAnsi="宋体"/>
          <w:color w:val="auto"/>
          <w:sz w:val="24"/>
          <w:highlight w:val="none"/>
        </w:rPr>
        <w:t xml:space="preserve">30</w:t>
      </w:r>
      <w:r>
        <w:rPr>
          <w:rFonts w:hint="eastAsia" w:ascii="宋体" w:hAnsi="宋体"/>
          <w:color w:val="auto"/>
          <w:sz w:val="24"/>
          <w:highlight w:val="none"/>
        </w:rPr>
        <w:t xml:space="preserve">分（北京时间）。</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2.地点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网上注册登记成功后“苏采云”系统内免费下载。</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3.方式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自行下载。</w:t>
      </w:r>
      <w:r/>
    </w:p>
    <w:p>
      <w:pPr>
        <w:ind w:firstLine="482"/>
        <w:jc w:val="left"/>
        <w:keepLines w:val="0"/>
        <w:keepNext w:val="0"/>
        <w:pageBreakBefore w:val="0"/>
        <w:spacing w:line="360" w:lineRule="auto"/>
        <w:rPr>
          <w:rFonts w:ascii="宋体" w:hAnsi="宋体"/>
          <w:b/>
          <w:color w:val="auto"/>
          <w:sz w:val="24"/>
          <w:highlight w:val="none"/>
        </w:rPr>
      </w:pPr>
      <w:r>
        <w:rPr>
          <w:rFonts w:ascii="宋体" w:hAnsi="宋体"/>
          <w:b/>
          <w:color w:val="auto"/>
          <w:sz w:val="24"/>
          <w:highlight w:val="none"/>
        </w:rPr>
        <w:t xml:space="preserve">四、提交投标文件截止时间、</w:t>
      </w:r>
      <w:r>
        <w:rPr>
          <w:rFonts w:hint="eastAsia" w:ascii="宋体" w:hAnsi="宋体"/>
          <w:b/>
          <w:color w:val="auto"/>
          <w:sz w:val="24"/>
          <w:highlight w:val="none"/>
        </w:rPr>
        <w:t xml:space="preserve">开标时间和</w:t>
      </w:r>
      <w:r>
        <w:rPr>
          <w:rFonts w:ascii="宋体" w:hAnsi="宋体"/>
          <w:b/>
          <w:color w:val="auto"/>
          <w:sz w:val="24"/>
          <w:highlight w:val="none"/>
        </w:rPr>
        <w:t xml:space="preserve">地点</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提交投标文件截止时间及开标时间</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2025</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日</w:t>
      </w:r>
      <w:r>
        <w:rPr>
          <w:rFonts w:ascii="宋体" w:hAnsi="宋体"/>
          <w:color w:val="auto"/>
          <w:sz w:val="24"/>
          <w:highlight w:val="none"/>
          <w:u w:val="single"/>
        </w:rPr>
        <w:t xml:space="preserve">09</w:t>
      </w:r>
      <w:r>
        <w:rPr>
          <w:rFonts w:hint="eastAsia" w:ascii="宋体" w:hAnsi="宋体"/>
          <w:color w:val="auto"/>
          <w:sz w:val="24"/>
          <w:highlight w:val="none"/>
          <w:u w:val="single"/>
        </w:rPr>
        <w:t xml:space="preserve">点</w:t>
      </w:r>
      <w:r>
        <w:rPr>
          <w:rFonts w:ascii="宋体" w:hAnsi="宋体"/>
          <w:color w:val="auto"/>
          <w:sz w:val="24"/>
          <w:highlight w:val="none"/>
          <w:u w:val="single"/>
        </w:rPr>
        <w:t xml:space="preserve">30</w:t>
      </w:r>
      <w:r>
        <w:rPr>
          <w:rFonts w:hint="eastAsia" w:ascii="宋体" w:hAnsi="宋体"/>
          <w:color w:val="auto"/>
          <w:sz w:val="24"/>
          <w:highlight w:val="none"/>
          <w:u w:val="single"/>
        </w:rPr>
        <w:t xml:space="preserve">分</w:t>
      </w:r>
      <w:r>
        <w:rPr>
          <w:rFonts w:hint="eastAsia" w:ascii="宋体" w:hAnsi="宋体"/>
          <w:color w:val="auto"/>
          <w:sz w:val="24"/>
          <w:highlight w:val="none"/>
        </w:rPr>
        <w:t xml:space="preserve">（北京时间）；逾时，“苏采云”系统将拒绝接受上传投标文件电子文档。</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提交投标文件地点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“苏采云”系统（网址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//jszfcg.jsczt.cn/）。</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线上开标地点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“苏采云”系统（网址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//jszfcg.jsczt.cn/）“开标大厅”。</w:t>
      </w:r>
      <w:r/>
    </w:p>
    <w:p>
      <w:pPr>
        <w:ind w:firstLine="482"/>
        <w:jc w:val="left"/>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五</w:t>
      </w:r>
      <w:r>
        <w:rPr>
          <w:rFonts w:ascii="宋体" w:hAnsi="宋体"/>
          <w:b/>
          <w:color w:val="auto"/>
          <w:sz w:val="24"/>
          <w:highlight w:val="none"/>
        </w:rPr>
        <w:t xml:space="preserve">、公告期限</w:t>
      </w:r>
      <w:r/>
    </w:p>
    <w:p>
      <w:pPr>
        <w:ind w:firstLine="48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2"/>
        <w:jc w:val="left"/>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六</w:t>
      </w:r>
      <w:r>
        <w:rPr>
          <w:rFonts w:ascii="宋体" w:hAnsi="宋体"/>
          <w:b/>
          <w:color w:val="auto"/>
          <w:sz w:val="24"/>
          <w:highlight w:val="none"/>
        </w:rPr>
        <w:t xml:space="preserve">、其他补充事宜</w:t>
      </w:r>
      <w:r/>
    </w:p>
    <w:p>
      <w:pPr>
        <w:ind w:firstLine="48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投标保证金</w:t>
      </w:r>
      <w:r>
        <w:rPr>
          <w:rFonts w:hint="eastAsia" w:ascii="宋体" w:hAnsi="宋体"/>
          <w:color w:val="auto"/>
          <w:sz w:val="24"/>
          <w:highlight w:val="none"/>
          <w:lang w:eastAsia="zh-CN"/>
        </w:rPr>
        <w:t xml:space="preserve">：</w:t>
      </w:r>
      <w:r>
        <w:rPr>
          <w:rFonts w:ascii="宋体" w:hAnsi="宋体"/>
          <w:color w:val="auto"/>
          <w:sz w:val="24"/>
          <w:highlight w:val="none"/>
        </w:rPr>
        <w:t xml:space="preserve">免收</w:t>
      </w:r>
      <w:r>
        <w:rPr>
          <w:rFonts w:hint="eastAsia" w:ascii="宋体" w:hAnsi="宋体"/>
          <w:color w:val="auto"/>
          <w:sz w:val="24"/>
          <w:highlight w:val="none"/>
        </w:rPr>
        <w:t xml:space="preserve">。</w:t>
      </w:r>
      <w:r/>
    </w:p>
    <w:p>
      <w:pPr>
        <w:ind w:firstLine="48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项目</w:t>
      </w:r>
      <w:r>
        <w:rPr>
          <w:rFonts w:hint="eastAsia" w:ascii="宋体" w:hAnsi="宋体"/>
          <w:color w:val="auto"/>
          <w:sz w:val="24"/>
          <w:highlight w:val="none"/>
        </w:rPr>
        <w:t xml:space="preserve">开标</w:t>
      </w:r>
      <w:r>
        <w:rPr>
          <w:rFonts w:ascii="宋体" w:hAnsi="宋体"/>
          <w:color w:val="auto"/>
          <w:sz w:val="24"/>
          <w:highlight w:val="none"/>
        </w:rPr>
        <w:t xml:space="preserve">活动模式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不见面远程开标模式，投标人在各自地点通过不见面交易系统参加开标会。</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3.项目演示、样品、答辩等（如有请描述）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对项目需求部分（供应商资格要求、项目需求、评分标准）的询问、质疑请向采购人提出，由采购人负责答复；对项目招标文件其它部分的询问请向请向招标文件制作人或项目采购经办人提出；对在“电子交易平台”操作阶段的询问请向交易系统软件维护人员提出。</w:t>
      </w:r>
      <w:r/>
    </w:p>
    <w:p>
      <w:pPr>
        <w:ind w:firstLine="480"/>
        <w:jc w:val="left"/>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5.有关本次招标的事项若存在变动或修改，均以江苏政府采购网发布的更正或补充通知为准，敬请及时关注。</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7.潜在供应商访问电子招标响应交易平台的网络地址和方法</w:t>
      </w:r>
      <w:r>
        <w:rPr>
          <w:rFonts w:hint="eastAsia" w:ascii="宋体" w:hAnsi="宋体"/>
          <w:color w:val="auto"/>
          <w:sz w:val="24"/>
          <w:highlight w:val="none"/>
          <w:lang w:eastAsia="zh-CN"/>
        </w:rPr>
        <w:t xml:space="preserve">：</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8.潜在供应商访问“苏采云”系统的网络地址和方法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“苏采云”系统的网址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//jszfcg.jsczt.cn/。</w:t>
      </w:r>
      <w:r/>
    </w:p>
    <w:p>
      <w:pPr>
        <w:ind w:firstLine="480"/>
        <w:jc w:val="left"/>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9.“CA数字证书”的获取</w:t>
      </w:r>
      <w:r>
        <w:rPr>
          <w:rFonts w:hint="eastAsia" w:ascii="宋体" w:hAnsi="宋体"/>
          <w:color w:val="auto"/>
          <w:sz w:val="24"/>
          <w:highlight w:val="none"/>
          <w:lang w:eastAsia="zh-CN"/>
        </w:rPr>
        <w:t xml:space="preserve">：</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响应供应商需办理“CA数字证书”，CA办理指南及“苏采云”操作手册可至江苏政府采购网―办事指南-资料下载中心下载。</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通过苏采云系统首页（http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//jszfcg.jscz.gov.cn/）的“苏采云控件驱动下载”，选择“政务CA、方正签章控件驱动安装包及安装说明”下载安装，具体安装方法详见下载文件内的《安装说明》。</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bCs/>
          <w:color w:val="auto"/>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http</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//www.ccgp-jiangsu.gov.cn/jiangsu/zlxz/ee/ee3a4bc5a3454aa2b0d9312230633ce9.html。</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10.采购文件（后缀名为“.kedt”）、供应商操作手册及政府采购客户端工具可通过“苏采云”系统--已报名项目--报名详情页面内相应链接进行下载。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11.采购人或采购代理机构将数据电文形式的采购文件加载至“苏采云”系统，供潜在供应商下载或者查阅。 </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12.请潜在供应商提前安装相应的控件（详见《江苏省政府采购管理交易系统（苏采云）供应商操作手册》）并登录“苏采云”系统参与不见面开评标。</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14.投标文件的解密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开标当天投标人应及时登录“苏采云”不见面开标大厅，并在规定时间内自行实施远程解密。</w:t>
      </w:r>
      <w:r>
        <w:rPr>
          <w:rFonts w:hint="eastAsia" w:ascii="宋体" w:hAnsi="宋体"/>
          <w:b/>
          <w:color w:val="auto"/>
          <w:sz w:val="24"/>
          <w:highlight w:val="none"/>
        </w:rPr>
        <w:t xml:space="preserve">投标人解密时间限定为投标文件解密指令发出后30分钟（投标人应当充分考虑网络延时造成的本地网络计时不一致风险，提前完成解密动作）。</w:t>
      </w:r>
      <w:r>
        <w:rPr>
          <w:rFonts w:hint="eastAsia" w:ascii="宋体" w:hAnsi="宋体"/>
          <w:b/>
          <w:bCs/>
          <w:color w:val="auto"/>
          <w:sz w:val="24"/>
          <w:highlight w:val="none"/>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olor w:val="auto"/>
          <w:sz w:val="24"/>
          <w:highlight w:val="none"/>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2"/>
        <w:jc w:val="left"/>
        <w:keepLines w:val="0"/>
        <w:keepNext w:val="0"/>
        <w:pageBreakBefore w:val="0"/>
        <w:spacing w:line="360" w:lineRule="auto"/>
        <w:rPr>
          <w:rFonts w:hint="eastAsia" w:ascii="宋体" w:hAnsi="宋体"/>
          <w:b/>
          <w:color w:val="auto"/>
          <w:sz w:val="24"/>
          <w:highlight w:val="none"/>
        </w:rPr>
      </w:pPr>
      <w:r>
        <w:rPr>
          <w:rFonts w:hint="eastAsia" w:ascii="宋体" w:hAnsi="宋体"/>
          <w:b/>
          <w:color w:val="auto"/>
          <w:sz w:val="24"/>
          <w:highlight w:val="none"/>
        </w:rPr>
        <w:t xml:space="preserve">注</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如潜在供应商未按上述要求操作，将自行承担所产生的风险。</w:t>
      </w:r>
      <w:r/>
    </w:p>
    <w:p>
      <w:pPr>
        <w:ind w:firstLine="482"/>
        <w:jc w:val="left"/>
        <w:keepLines w:val="0"/>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rPr>
        <w:t xml:space="preserve">七</w:t>
      </w:r>
      <w:r>
        <w:rPr>
          <w:rFonts w:ascii="宋体" w:hAnsi="宋体"/>
          <w:b/>
          <w:bCs/>
          <w:color w:val="auto"/>
          <w:sz w:val="24"/>
          <w:highlight w:val="none"/>
        </w:rPr>
        <w:t xml:space="preserve">、对本次</w:t>
      </w:r>
      <w:r>
        <w:rPr>
          <w:rFonts w:hint="eastAsia" w:ascii="宋体" w:hAnsi="宋体"/>
          <w:b/>
          <w:bCs/>
          <w:color w:val="auto"/>
          <w:sz w:val="24"/>
          <w:highlight w:val="none"/>
        </w:rPr>
        <w:t xml:space="preserve">招标</w:t>
      </w:r>
      <w:r>
        <w:rPr>
          <w:rFonts w:ascii="宋体" w:hAnsi="宋体"/>
          <w:b/>
          <w:bCs/>
          <w:color w:val="auto"/>
          <w:sz w:val="24"/>
          <w:highlight w:val="none"/>
        </w:rPr>
        <w:t xml:space="preserve">提出询问，请按以下方式联系。</w:t>
      </w:r>
      <w:r/>
    </w:p>
    <w:p>
      <w:pPr>
        <w:ind w:firstLine="47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1.采购人信息</w:t>
      </w:r>
      <w:r/>
    </w:p>
    <w:p>
      <w:pPr>
        <w:ind w:firstLine="47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南通市通州区三余镇人民政府</w:t>
      </w:r>
      <w:r/>
    </w:p>
    <w:p>
      <w:pPr>
        <w:ind w:firstLine="47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南通市通州湾示范区</w:t>
      </w:r>
      <w:r/>
    </w:p>
    <w:p>
      <w:pPr>
        <w:ind w:firstLine="470"/>
        <w:jc w:val="left"/>
        <w:keepLines w:val="0"/>
        <w:keepNext w:val="0"/>
        <w:pageBreakBefore w:val="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联系人</w:t>
      </w:r>
      <w:r>
        <w:rPr>
          <w:rFonts w:hint="eastAsia" w:ascii="宋体" w:hAnsi="宋体"/>
          <w:color w:val="auto"/>
          <w:sz w:val="24"/>
          <w:highlight w:val="none"/>
          <w:lang w:eastAsia="zh-CN"/>
        </w:rPr>
        <w:t xml:space="preserve">：刘先生</w:t>
      </w:r>
      <w:r>
        <w:rPr>
          <w:rFonts w:hint="eastAsia" w:ascii="宋体" w:hAnsi="宋体"/>
          <w:color w:val="auto"/>
          <w:sz w:val="24"/>
          <w:highlight w:val="none"/>
          <w:lang w:val="en-US" w:eastAsia="zh-CN"/>
        </w:rPr>
        <w:t xml:space="preserve">  </w:t>
      </w:r>
      <w:r/>
    </w:p>
    <w:p>
      <w:pPr>
        <w:ind w:firstLine="47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联系方式</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13813757540</w:t>
      </w:r>
      <w:r>
        <w:rPr>
          <w:rFonts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ind w:firstLine="47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2.采购代理机构信息</w:t>
      </w:r>
      <w:r/>
    </w:p>
    <w:p>
      <w:pPr>
        <w:ind w:firstLine="470"/>
        <w:jc w:val="left"/>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：江苏广和工程咨询有限公司</w:t>
      </w:r>
      <w:r/>
    </w:p>
    <w:p>
      <w:pPr>
        <w:ind w:firstLine="47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南通市经济技术开发区中央路</w:t>
      </w:r>
      <w:r>
        <w:rPr>
          <w:rFonts w:hint="eastAsia" w:ascii="宋体" w:hAnsi="宋体" w:eastAsia="宋体" w:cs="宋体"/>
          <w:color w:val="auto"/>
          <w:sz w:val="24"/>
          <w:szCs w:val="24"/>
          <w:highlight w:val="none"/>
          <w:lang w:val="en-US" w:eastAsia="zh-CN"/>
        </w:rPr>
        <w:t xml:space="preserve">25号新星商厦12楼</w:t>
      </w:r>
      <w:r/>
    </w:p>
    <w:p>
      <w:pPr>
        <w:ind w:firstLine="47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：朱仲英</w:t>
      </w:r>
      <w:r>
        <w:rPr>
          <w:rFonts w:hint="eastAsia" w:ascii="宋体" w:hAnsi="宋体"/>
          <w:color w:val="auto"/>
          <w:sz w:val="24"/>
          <w:highlight w:val="none"/>
          <w:lang w:val="en-US" w:eastAsia="zh-CN"/>
        </w:rPr>
        <w:t xml:space="preserve">/陈玲玲</w:t>
      </w:r>
      <w:r/>
    </w:p>
    <w:p>
      <w:pPr>
        <w:ind w:firstLine="47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电话</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0513-85920810-803</w:t>
      </w:r>
      <w:r>
        <w:rPr>
          <w:rFonts w:hint="eastAsia" w:ascii="宋体" w:hAnsi="宋体"/>
          <w:color w:val="auto"/>
          <w:sz w:val="24"/>
          <w:szCs w:val="24"/>
          <w:highlight w:val="none"/>
          <w:lang w:val="en-US" w:eastAsia="zh-CN"/>
        </w:rPr>
        <w:t xml:space="preserve">  13485117652/15862772806</w:t>
      </w:r>
      <w:r/>
    </w:p>
    <w:p>
      <w:pPr>
        <w:ind w:firstLine="470"/>
        <w:jc w:val="left"/>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电子邮箱</w:t>
      </w:r>
      <w:r>
        <w:rPr>
          <w:rFonts w:hint="eastAsia" w:ascii="宋体" w:hAnsi="宋体"/>
          <w:color w:val="auto"/>
          <w:sz w:val="24"/>
          <w:highlight w:val="none"/>
          <w:lang w:eastAsia="zh-CN"/>
        </w:rPr>
        <w:t xml:space="preserve">：ntgs1101@126.com</w:t>
      </w:r>
      <w:r/>
    </w:p>
    <w:p>
      <w:pPr>
        <w:ind w:firstLine="47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3.项目联系方式</w:t>
      </w:r>
      <w:r/>
    </w:p>
    <w:p>
      <w:pPr>
        <w:ind w:firstLine="47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招标</w:t>
      </w:r>
      <w:r>
        <w:rPr>
          <w:rFonts w:ascii="宋体" w:hAnsi="宋体"/>
          <w:color w:val="auto"/>
          <w:sz w:val="24"/>
          <w:highlight w:val="none"/>
        </w:rPr>
        <w:t xml:space="preserve">文件制作人</w:t>
      </w:r>
      <w:r>
        <w:rPr>
          <w:rFonts w:hint="eastAsia" w:ascii="宋体" w:hAnsi="宋体"/>
          <w:color w:val="auto"/>
          <w:sz w:val="24"/>
          <w:highlight w:val="none"/>
          <w:lang w:eastAsia="zh-CN"/>
        </w:rPr>
        <w:t xml:space="preserve">：</w:t>
      </w:r>
      <w:r>
        <w:rPr>
          <w:rFonts w:ascii="宋体" w:hAnsi="宋体"/>
          <w:color w:val="auto"/>
          <w:sz w:val="24"/>
          <w:highlight w:val="none"/>
        </w:rPr>
        <w:t xml:space="preserve"> </w:t>
      </w:r>
      <w:r>
        <w:rPr>
          <w:rFonts w:hint="eastAsia" w:ascii="宋体" w:hAnsi="宋体"/>
          <w:color w:val="auto"/>
          <w:sz w:val="24"/>
          <w:highlight w:val="none"/>
          <w:lang w:eastAsia="zh-CN"/>
        </w:rPr>
        <w:t xml:space="preserve">朱仲英</w:t>
      </w:r>
      <w:r>
        <w:rPr>
          <w:rFonts w:hint="eastAsia" w:ascii="宋体" w:hAnsi="宋体"/>
          <w:color w:val="auto"/>
          <w:sz w:val="24"/>
          <w:highlight w:val="none"/>
          <w:lang w:val="en-US" w:eastAsia="zh-CN"/>
        </w:rPr>
        <w:t xml:space="preserve">/陈玲玲</w:t>
      </w:r>
      <w:r>
        <w:rPr>
          <w:rFonts w:ascii="宋体" w:hAnsi="宋体"/>
          <w:color w:val="auto"/>
          <w:sz w:val="24"/>
          <w:highlight w:val="none"/>
        </w:rPr>
        <w:t xml:space="preserve">（</w:t>
      </w:r>
      <w:r>
        <w:rPr>
          <w:rFonts w:hint="eastAsia" w:ascii="宋体" w:hAnsi="宋体"/>
          <w:color w:val="auto"/>
          <w:sz w:val="24"/>
          <w:szCs w:val="24"/>
          <w:highlight w:val="none"/>
          <w:lang w:val="en-US" w:eastAsia="zh-CN"/>
        </w:rPr>
        <w:t xml:space="preserve">13485117652/15862772806</w:t>
      </w:r>
      <w:r>
        <w:rPr>
          <w:rFonts w:ascii="宋体" w:hAnsi="宋体"/>
          <w:color w:val="auto"/>
          <w:sz w:val="24"/>
          <w:highlight w:val="none"/>
        </w:rPr>
        <w:t xml:space="preserve">）</w:t>
      </w:r>
      <w:r/>
    </w:p>
    <w:p>
      <w:pPr>
        <w:ind w:firstLine="470"/>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项目</w:t>
      </w:r>
      <w:r>
        <w:rPr>
          <w:rFonts w:hint="eastAsia" w:ascii="宋体" w:hAnsi="宋体"/>
          <w:color w:val="auto"/>
          <w:sz w:val="24"/>
          <w:highlight w:val="none"/>
        </w:rPr>
        <w:t xml:space="preserve">采购</w:t>
      </w:r>
      <w:r>
        <w:rPr>
          <w:rFonts w:ascii="宋体" w:hAnsi="宋体"/>
          <w:color w:val="auto"/>
          <w:sz w:val="24"/>
          <w:highlight w:val="none"/>
        </w:rPr>
        <w:t xml:space="preserve">经办人</w:t>
      </w:r>
      <w:r>
        <w:rPr>
          <w:rFonts w:hint="eastAsia" w:ascii="宋体" w:hAnsi="宋体"/>
          <w:color w:val="auto"/>
          <w:sz w:val="24"/>
          <w:highlight w:val="none"/>
          <w:lang w:eastAsia="zh-CN"/>
        </w:rPr>
        <w:t xml:space="preserve">：朱仲英</w:t>
      </w:r>
      <w:r>
        <w:rPr>
          <w:rFonts w:hint="eastAsia" w:ascii="宋体" w:hAnsi="宋体"/>
          <w:color w:val="auto"/>
          <w:sz w:val="24"/>
          <w:highlight w:val="none"/>
          <w:lang w:val="en-US" w:eastAsia="zh-CN"/>
        </w:rPr>
        <w:t xml:space="preserve">/陈玲玲</w:t>
      </w:r>
      <w:r>
        <w:rPr>
          <w:rFonts w:ascii="宋体" w:hAnsi="宋体"/>
          <w:color w:val="auto"/>
          <w:sz w:val="24"/>
          <w:highlight w:val="none"/>
        </w:rPr>
        <w:t xml:space="preserve">（</w:t>
      </w:r>
      <w:r>
        <w:rPr>
          <w:rFonts w:hint="eastAsia" w:ascii="宋体" w:hAnsi="宋体"/>
          <w:color w:val="auto"/>
          <w:sz w:val="24"/>
          <w:szCs w:val="24"/>
          <w:highlight w:val="none"/>
          <w:lang w:val="en-US" w:eastAsia="zh-CN"/>
        </w:rPr>
        <w:t xml:space="preserve">13485117652/15862772806</w:t>
      </w:r>
      <w:r>
        <w:rPr>
          <w:rFonts w:ascii="宋体" w:hAnsi="宋体"/>
          <w:color w:val="auto"/>
          <w:sz w:val="24"/>
          <w:highlight w:val="none"/>
        </w:rPr>
        <w:t xml:space="preserve">）</w:t>
      </w:r>
      <w:r/>
    </w:p>
    <w:p>
      <w:pPr>
        <w:ind w:firstLine="47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软件技术支持电话</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0519-86722801、0519-86722806</w:t>
      </w:r>
      <w:r/>
    </w:p>
    <w:p>
      <w:pPr>
        <w:jc w:val="center"/>
        <w:spacing w:before="120" w:after="120" w:line="360" w:lineRule="auto"/>
        <w:rPr>
          <w:rFonts w:ascii="宋体" w:hAnsi="宋体"/>
          <w:bCs/>
          <w:color w:val="auto"/>
          <w:sz w:val="36"/>
          <w:szCs w:val="36"/>
          <w:highlight w:val="none"/>
        </w:rPr>
        <w:outlineLvl w:val="0"/>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第二部分  投标须知</w:t>
      </w:r>
      <w:r/>
    </w:p>
    <w:p>
      <w:pPr>
        <w:pStyle w:val="651"/>
        <w:spacing w:before="0" w:after="0" w:line="500" w:lineRule="exact"/>
        <w:rPr>
          <w:rFonts w:ascii="宋体" w:hAnsi="宋体"/>
          <w:color w:val="auto"/>
          <w:sz w:val="24"/>
          <w:szCs w:val="24"/>
          <w:highlight w:val="none"/>
        </w:rPr>
      </w:pPr>
      <w:r/>
      <w:bookmarkStart w:id="3" w:name="_Toc16938519"/>
      <w:r/>
      <w:bookmarkStart w:id="4" w:name="_Toc20823275"/>
      <w:r/>
      <w:bookmarkStart w:id="5" w:name="_Toc120614214"/>
      <w:r/>
      <w:bookmarkStart w:id="6" w:name="_Toc513029203"/>
      <w:r>
        <w:rPr>
          <w:rFonts w:ascii="宋体" w:hAnsi="宋体"/>
          <w:color w:val="auto"/>
          <w:sz w:val="24"/>
          <w:szCs w:val="24"/>
          <w:highlight w:val="none"/>
        </w:rPr>
        <w:t xml:space="preserve">（一）总则</w:t>
      </w:r>
      <w:bookmarkEnd w:id="3"/>
      <w:r/>
      <w:bookmarkEnd w:id="4"/>
      <w:r/>
      <w:bookmarkEnd w:id="5"/>
      <w:r/>
      <w:bookmarkEnd w:id="6"/>
      <w:r/>
      <w:r/>
    </w:p>
    <w:p>
      <w:pPr>
        <w:pStyle w:val="652"/>
        <w:ind w:firstLine="480"/>
        <w:jc w:val="left"/>
        <w:spacing w:line="360" w:lineRule="auto"/>
        <w:rPr>
          <w:rFonts w:ascii="宋体" w:hAnsi="宋体" w:eastAsia="宋体"/>
          <w:b/>
          <w:bCs/>
          <w:color w:val="auto"/>
          <w:sz w:val="24"/>
          <w:szCs w:val="24"/>
          <w:highlight w:val="none"/>
        </w:rPr>
      </w:pPr>
      <w:r/>
      <w:bookmarkStart w:id="7" w:name="_Hlt16619475"/>
      <w:r/>
      <w:bookmarkEnd w:id="7"/>
      <w:r/>
      <w:bookmarkStart w:id="8" w:name="_Toc458694821"/>
      <w:r/>
      <w:bookmarkStart w:id="9" w:name="_Toc16938520"/>
      <w:r/>
      <w:bookmarkStart w:id="10" w:name="_Toc20823276"/>
      <w:r/>
      <w:bookmarkStart w:id="11" w:name="_Toc513029204"/>
      <w:r>
        <w:rPr>
          <w:rFonts w:ascii="宋体" w:hAnsi="宋体" w:eastAsia="宋体"/>
          <w:color w:val="auto"/>
          <w:sz w:val="24"/>
          <w:szCs w:val="24"/>
          <w:highlight w:val="none"/>
        </w:rPr>
        <w:t xml:space="preserve">1</w:t>
      </w:r>
      <w:bookmarkEnd w:id="8"/>
      <w:r>
        <w:rPr>
          <w:rFonts w:ascii="宋体" w:hAnsi="宋体" w:eastAsia="宋体"/>
          <w:color w:val="auto"/>
          <w:sz w:val="24"/>
          <w:szCs w:val="24"/>
          <w:highlight w:val="none"/>
        </w:rPr>
        <w:t xml:space="preserve">.招标方式</w:t>
      </w:r>
      <w:bookmarkEnd w:id="9"/>
      <w:r/>
      <w:bookmarkEnd w:id="10"/>
      <w:r/>
      <w:bookmarkEnd w:id="11"/>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1.1本次招标采取公开招标方式，本招标文件仅适用于招标公告中所述项目。</w:t>
      </w:r>
      <w:r/>
    </w:p>
    <w:p>
      <w:pPr>
        <w:pStyle w:val="652"/>
        <w:ind w:firstLine="480"/>
        <w:jc w:val="left"/>
        <w:spacing w:line="360" w:lineRule="auto"/>
        <w:rPr>
          <w:rFonts w:ascii="宋体" w:hAnsi="宋体" w:eastAsia="宋体"/>
          <w:b/>
          <w:bCs/>
          <w:color w:val="auto"/>
          <w:sz w:val="24"/>
          <w:szCs w:val="24"/>
          <w:highlight w:val="none"/>
        </w:rPr>
      </w:pPr>
      <w:r/>
      <w:bookmarkStart w:id="12" w:name="_Toc20823277"/>
      <w:r/>
      <w:bookmarkStart w:id="13" w:name="_Toc16938521"/>
      <w:r/>
      <w:bookmarkStart w:id="14" w:name="_Toc513029205"/>
      <w:r>
        <w:rPr>
          <w:rFonts w:ascii="宋体" w:hAnsi="宋体" w:eastAsia="宋体"/>
          <w:color w:val="auto"/>
          <w:sz w:val="24"/>
          <w:szCs w:val="24"/>
          <w:highlight w:val="none"/>
        </w:rPr>
        <w:t xml:space="preserve">2.合格的投标人</w:t>
      </w:r>
      <w:bookmarkEnd w:id="12"/>
      <w:r/>
      <w:bookmarkEnd w:id="13"/>
      <w:r/>
      <w:bookmarkEnd w:id="14"/>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2.1满足招标公告中供应商的资格要求的规定。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2.2满足本文件实质性条款的规定。</w:t>
      </w:r>
      <w:r/>
    </w:p>
    <w:p>
      <w:pPr>
        <w:pStyle w:val="652"/>
        <w:ind w:firstLine="480"/>
        <w:jc w:val="left"/>
        <w:spacing w:line="360" w:lineRule="auto"/>
        <w:rPr>
          <w:rFonts w:ascii="宋体" w:hAnsi="宋体" w:eastAsia="宋体"/>
          <w:b/>
          <w:bCs/>
          <w:color w:val="auto"/>
          <w:sz w:val="24"/>
          <w:szCs w:val="24"/>
          <w:highlight w:val="none"/>
        </w:rPr>
      </w:pPr>
      <w:r/>
      <w:bookmarkStart w:id="15" w:name="_Toc513029206"/>
      <w:r/>
      <w:bookmarkStart w:id="16" w:name="_Toc16938522"/>
      <w:r/>
      <w:bookmarkStart w:id="17" w:name="_Toc20823278"/>
      <w:r>
        <w:rPr>
          <w:rFonts w:ascii="宋体" w:hAnsi="宋体" w:eastAsia="宋体"/>
          <w:color w:val="auto"/>
          <w:sz w:val="24"/>
          <w:szCs w:val="24"/>
          <w:highlight w:val="none"/>
        </w:rPr>
        <w:t xml:space="preserve">3.适用法律</w:t>
      </w:r>
      <w:bookmarkEnd w:id="15"/>
      <w:r/>
      <w:bookmarkEnd w:id="16"/>
      <w:r/>
      <w:bookmarkEnd w:id="17"/>
      <w:r/>
      <w:r/>
    </w:p>
    <w:p>
      <w:pPr>
        <w:ind w:firstLine="420"/>
        <w:jc w:val="left"/>
        <w:spacing w:line="360" w:lineRule="auto"/>
        <w:rPr>
          <w:rFonts w:ascii="宋体" w:hAnsi="宋体"/>
          <w:color w:val="auto"/>
          <w:sz w:val="24"/>
          <w:highlight w:val="none"/>
        </w:rPr>
      </w:pPr>
      <w:r>
        <w:rPr>
          <w:rFonts w:ascii="宋体" w:hAnsi="宋体"/>
          <w:color w:val="auto"/>
          <w:sz w:val="24"/>
          <w:highlight w:val="none"/>
        </w:rPr>
        <w:t xml:space="preserve">3.1本次招标及由此产生的合同受中华人民共和国有关的法律法规制约和保护。</w:t>
      </w:r>
      <w:r/>
    </w:p>
    <w:p>
      <w:pPr>
        <w:pStyle w:val="652"/>
        <w:ind w:firstLine="480"/>
        <w:jc w:val="left"/>
        <w:spacing w:line="360" w:lineRule="auto"/>
        <w:rPr>
          <w:rFonts w:ascii="宋体" w:hAnsi="宋体" w:eastAsia="宋体"/>
          <w:b/>
          <w:bCs/>
          <w:color w:val="auto"/>
          <w:sz w:val="24"/>
          <w:szCs w:val="24"/>
          <w:highlight w:val="none"/>
        </w:rPr>
      </w:pPr>
      <w:r/>
      <w:bookmarkStart w:id="18" w:name="_Toc513029207"/>
      <w:r/>
      <w:bookmarkStart w:id="19" w:name="_Toc462564067"/>
      <w:r/>
      <w:bookmarkStart w:id="20" w:name="_Toc20823279"/>
      <w:r/>
      <w:bookmarkStart w:id="21" w:name="_Toc16938523"/>
      <w:r>
        <w:rPr>
          <w:rFonts w:ascii="宋体" w:hAnsi="宋体" w:eastAsia="宋体"/>
          <w:color w:val="auto"/>
          <w:sz w:val="24"/>
          <w:szCs w:val="24"/>
          <w:highlight w:val="none"/>
        </w:rPr>
        <w:t xml:space="preserve">4.投标费用</w:t>
      </w:r>
      <w:bookmarkEnd w:id="18"/>
      <w:r/>
      <w:bookmarkEnd w:id="19"/>
      <w:r/>
      <w:bookmarkEnd w:id="20"/>
      <w:r/>
      <w:bookmarkEnd w:id="21"/>
      <w:r/>
      <w:r/>
    </w:p>
    <w:p>
      <w:pPr>
        <w:ind w:firstLine="480"/>
        <w:jc w:val="left"/>
        <w:spacing w:line="360" w:lineRule="auto"/>
        <w:rPr>
          <w:rFonts w:ascii="宋体" w:hAnsi="宋体"/>
          <w:color w:val="auto"/>
          <w:sz w:val="24"/>
          <w:highlight w:val="none"/>
        </w:rPr>
      </w:pPr>
      <w:r>
        <w:rPr>
          <w:rFonts w:ascii="宋体" w:hAnsi="宋体"/>
          <w:bCs/>
          <w:color w:val="auto"/>
          <w:sz w:val="24"/>
          <w:highlight w:val="none"/>
        </w:rPr>
        <w:t xml:space="preserve">4.1</w:t>
      </w:r>
      <w:r>
        <w:rPr>
          <w:rFonts w:ascii="宋体" w:hAnsi="宋体"/>
          <w:color w:val="auto"/>
          <w:sz w:val="24"/>
          <w:highlight w:val="none"/>
        </w:rPr>
        <w:t xml:space="preserve">投标人应自行承担所有与参加投标有关的费用，无论投标过程中的做法和结果如何，</w:t>
      </w:r>
      <w:r>
        <w:rPr>
          <w:rFonts w:hint="eastAsia" w:ascii="宋体" w:hAnsi="宋体"/>
          <w:b/>
          <w:bCs/>
          <w:color w:val="auto"/>
          <w:sz w:val="24"/>
          <w:highlight w:val="none"/>
        </w:rPr>
        <w:t xml:space="preserve">采购人</w:t>
      </w:r>
      <w:r>
        <w:rPr>
          <w:rFonts w:ascii="宋体" w:hAnsi="宋体"/>
          <w:color w:val="auto"/>
          <w:sz w:val="24"/>
          <w:highlight w:val="none"/>
        </w:rPr>
        <w:t xml:space="preserve">在任何情况下均无义务和责任承担这些费用。</w:t>
      </w:r>
      <w:r/>
    </w:p>
    <w:p>
      <w:pPr>
        <w:ind w:firstLine="480"/>
        <w:jc w:val="left"/>
        <w:spacing w:line="360" w:lineRule="auto"/>
        <w:rPr>
          <w:rFonts w:ascii="宋体" w:hAnsi="宋体" w:cs="宋体"/>
          <w:color w:val="auto"/>
          <w:sz w:val="24"/>
          <w:highlight w:val="none"/>
        </w:rPr>
      </w:pPr>
      <w:r>
        <w:rPr>
          <w:rFonts w:ascii="宋体" w:hAnsi="宋体"/>
          <w:color w:val="auto"/>
          <w:sz w:val="24"/>
          <w:highlight w:val="none"/>
        </w:rPr>
        <w:t xml:space="preserve">4.2</w:t>
      </w:r>
      <w:r>
        <w:rPr>
          <w:rFonts w:hint="eastAsia" w:ascii="宋体" w:hAnsi="宋体" w:cs="宋体"/>
          <w:color w:val="auto"/>
          <w:sz w:val="24"/>
          <w:highlight w:val="none"/>
        </w:rPr>
        <w:t xml:space="preserve">本项目的招标代理费用</w:t>
      </w:r>
      <w:r>
        <w:rPr>
          <w:rFonts w:hint="eastAsia" w:ascii="宋体" w:hAnsi="宋体" w:cs="宋体"/>
          <w:color w:val="auto"/>
          <w:sz w:val="24"/>
          <w:highlight w:val="none"/>
          <w:lang w:eastAsia="zh-CN"/>
        </w:rPr>
        <w:t xml:space="preserve">、评审费（按实结算）</w:t>
      </w:r>
      <w:r>
        <w:rPr>
          <w:rFonts w:hint="eastAsia" w:ascii="宋体" w:hAnsi="宋体" w:cs="宋体"/>
          <w:color w:val="auto"/>
          <w:sz w:val="24"/>
          <w:highlight w:val="none"/>
        </w:rPr>
        <w:t xml:space="preserve">由中标人承担，由投标人在投标报价时综合考虑并包含在报价内（不单列），招标代理费的计费基数为中标金额。由中标人在领取中标通知书前一次性支付给采购代理机构。</w:t>
      </w:r>
      <w:r>
        <w:rPr>
          <w:rFonts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根据以下收费标准计算招标代理费，30万元以下的当少于1500元时，按1500元计取招标代理费；30-50万元（不含）当少于1800元时，按1800元计取招标代理费；50（含）-100万元（不含）当少于2500元时，按2500元计取招标代理费；100万元（含）以上的项目，一律按5000元计取招标代理费。</w:t>
      </w:r>
      <w:r/>
    </w:p>
    <w:tbl>
      <w:tblPr>
        <w:tblStyle w:val="65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9"/>
        <w:gridCol w:w="5286"/>
      </w:tblGrid>
      <w:tr>
        <w:trPr/>
        <w:tc>
          <w:tcPr>
            <w:tcW w:w="4619" w:type="dxa"/>
            <w:textDirection w:val="lrTb"/>
            <w:noWrap w:val="false"/>
          </w:tcPr>
          <w:p>
            <w:pPr>
              <w:spacing w:line="480" w:lineRule="exact"/>
              <w:rPr>
                <w:rFonts w:ascii="宋体" w:hAnsi="宋体" w:cs="宋体"/>
                <w:color w:val="auto"/>
                <w:sz w:val="24"/>
                <w:highlight w:val="none"/>
              </w:rPr>
              <w:outlineLvl w:val="1"/>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579755</wp:posOffset>
                      </wp:positionH>
                      <wp:positionV relativeFrom="paragraph">
                        <wp:posOffset>1905</wp:posOffset>
                      </wp:positionV>
                      <wp:extent cx="2273300" cy="897255"/>
                      <wp:effectExtent l="3175" t="7620" r="9525" b="9525"/>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2273300" cy="897254"/>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xy;visibility:visible;" from="45.6pt,0.1pt" to="224.7pt,70.8pt" fillcolor="#FFFFFF" strokecolor="#000000" strokeweight="1.25pt"/>
                  </w:pict>
                </mc:Fallback>
              </mc:AlternateContent>
            </w:r>
            <w:r>
              <w:rPr>
                <w:rFonts w:hint="eastAsia" w:ascii="宋体" w:hAnsi="宋体" w:cs="宋体"/>
                <w:color w:val="auto"/>
                <w:sz w:val="24"/>
                <w:highlight w:val="none"/>
              </w:rPr>
              <w:t xml:space="preserve">                  服务类型</w:t>
            </w:r>
            <w:r/>
          </w:p>
          <w:p>
            <w:pPr>
              <w:spacing w:line="480" w:lineRule="exact"/>
              <w:rPr>
                <w:rFonts w:ascii="宋体" w:hAnsi="宋体" w:cs="宋体"/>
                <w:color w:val="auto"/>
                <w:sz w:val="24"/>
                <w:highlight w:val="none"/>
              </w:rPr>
              <w:outlineLvl w:val="1"/>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wp:posOffset>
                      </wp:positionH>
                      <wp:positionV relativeFrom="paragraph">
                        <wp:posOffset>182880</wp:posOffset>
                      </wp:positionV>
                      <wp:extent cx="2926715" cy="419100"/>
                      <wp:effectExtent l="1270" t="7620" r="5715" b="1143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2926715" cy="419100"/>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xy;visibility:visible;" from="-4.8pt,14.4pt" to="225.6pt,47.4pt" fillcolor="#FFFFFF" strokecolor="#000000" strokeweight="1.25pt"/>
                  </w:pict>
                </mc:Fallback>
              </mc:AlternateContent>
            </w:r>
            <w:r>
              <w:rPr>
                <w:rFonts w:hint="eastAsia" w:ascii="宋体" w:hAnsi="宋体" w:cs="宋体"/>
                <w:color w:val="auto"/>
                <w:sz w:val="24"/>
                <w:highlight w:val="none"/>
              </w:rPr>
              <w:t xml:space="preserve">         费    率</w:t>
            </w:r>
            <w:r/>
          </w:p>
          <w:p>
            <w:pP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中标金额（万元)</w:t>
            </w:r>
            <w:r/>
          </w:p>
        </w:tc>
        <w:tc>
          <w:tcPr>
            <w:tcW w:w="5286" w:type="dxa"/>
            <w:vAlign w:val="center"/>
            <w:textDirection w:val="lrTb"/>
            <w:noWrap w:val="false"/>
          </w:tcPr>
          <w:p>
            <w:pPr>
              <w:jc w:val="cente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示范区</w:t>
            </w:r>
            <w:r/>
          </w:p>
          <w:p>
            <w:pPr>
              <w:jc w:val="cente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货物、服务类招标</w:t>
            </w:r>
            <w:r/>
          </w:p>
        </w:tc>
      </w:tr>
      <w:tr>
        <w:trPr/>
        <w:tc>
          <w:tcPr>
            <w:tcW w:w="4619" w:type="dxa"/>
            <w:textDirection w:val="lrTb"/>
            <w:noWrap w:val="false"/>
          </w:tcPr>
          <w:p>
            <w:pP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30以下</w:t>
            </w:r>
            <w:r/>
          </w:p>
        </w:tc>
        <w:tc>
          <w:tcPr>
            <w:tcW w:w="5286" w:type="dxa"/>
            <w:vAlign w:val="center"/>
            <w:textDirection w:val="lrTb"/>
            <w:noWrap w:val="false"/>
          </w:tcPr>
          <w:p>
            <w:pPr>
              <w:jc w:val="cente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0.6%</w:t>
            </w:r>
            <w:r/>
          </w:p>
        </w:tc>
      </w:tr>
      <w:tr>
        <w:trPr/>
        <w:tc>
          <w:tcPr>
            <w:tcW w:w="4619" w:type="dxa"/>
            <w:textDirection w:val="lrTb"/>
            <w:noWrap w:val="false"/>
          </w:tcPr>
          <w:p>
            <w:pP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30-50（不含）</w:t>
            </w:r>
            <w:r/>
          </w:p>
        </w:tc>
        <w:tc>
          <w:tcPr>
            <w:tcW w:w="5286" w:type="dxa"/>
            <w:vAlign w:val="center"/>
            <w:textDirection w:val="lrTb"/>
            <w:noWrap w:val="false"/>
          </w:tcPr>
          <w:p>
            <w:pPr>
              <w:jc w:val="cente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0.5%</w:t>
            </w:r>
            <w:r/>
          </w:p>
        </w:tc>
      </w:tr>
      <w:tr>
        <w:trPr/>
        <w:tc>
          <w:tcPr>
            <w:tcW w:w="4619" w:type="dxa"/>
            <w:textDirection w:val="lrTb"/>
            <w:noWrap w:val="false"/>
          </w:tcPr>
          <w:p>
            <w:pP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50（含）-100（不含）</w:t>
            </w:r>
            <w:r/>
          </w:p>
        </w:tc>
        <w:tc>
          <w:tcPr>
            <w:tcW w:w="5286" w:type="dxa"/>
            <w:vAlign w:val="center"/>
            <w:textDirection w:val="lrTb"/>
            <w:noWrap w:val="false"/>
          </w:tcPr>
          <w:p>
            <w:pPr>
              <w:jc w:val="center"/>
              <w:spacing w:line="480" w:lineRule="exact"/>
              <w:rPr>
                <w:rFonts w:ascii="宋体" w:hAnsi="宋体" w:cs="宋体"/>
                <w:color w:val="auto"/>
                <w:sz w:val="24"/>
                <w:highlight w:val="none"/>
              </w:rPr>
              <w:outlineLvl w:val="1"/>
            </w:pPr>
            <w:r>
              <w:rPr>
                <w:rFonts w:hint="eastAsia" w:ascii="宋体" w:hAnsi="宋体" w:cs="宋体"/>
                <w:color w:val="auto"/>
                <w:sz w:val="24"/>
                <w:highlight w:val="none"/>
              </w:rPr>
              <w:t xml:space="preserve">0.4%</w:t>
            </w:r>
            <w:r/>
          </w:p>
        </w:tc>
      </w:tr>
      <w:tr>
        <w:trPr/>
        <w:tc>
          <w:tcPr>
            <w:tcW w:w="4619" w:type="dxa"/>
            <w:textDirection w:val="lrTb"/>
            <w:noWrap w:val="false"/>
          </w:tcPr>
          <w:p>
            <w:pPr>
              <w:spacing w:line="480" w:lineRule="exact"/>
              <w:rPr>
                <w:rFonts w:ascii="宋体" w:hAnsi="宋体" w:cs="宋体"/>
                <w:b w:val="0"/>
                <w:bCs w:val="0"/>
                <w:color w:val="auto"/>
                <w:sz w:val="24"/>
                <w:highlight w:val="none"/>
              </w:rPr>
              <w:outlineLvl w:val="1"/>
            </w:pPr>
            <w:r>
              <w:rPr>
                <w:rFonts w:hint="eastAsia" w:ascii="宋体" w:hAnsi="宋体" w:cs="宋体"/>
                <w:b w:val="0"/>
                <w:bCs w:val="0"/>
                <w:color w:val="auto"/>
                <w:sz w:val="24"/>
                <w:highlight w:val="none"/>
              </w:rPr>
              <w:t xml:space="preserve">100（含）以上</w:t>
            </w:r>
            <w:r/>
          </w:p>
        </w:tc>
        <w:tc>
          <w:tcPr>
            <w:tcW w:w="5286" w:type="dxa"/>
            <w:vAlign w:val="center"/>
            <w:textDirection w:val="lrTb"/>
            <w:noWrap w:val="false"/>
          </w:tcPr>
          <w:p>
            <w:pPr>
              <w:jc w:val="center"/>
              <w:spacing w:line="480" w:lineRule="exact"/>
              <w:rPr>
                <w:rFonts w:ascii="宋体" w:hAnsi="宋体" w:cs="宋体"/>
                <w:b w:val="0"/>
                <w:bCs w:val="0"/>
                <w:color w:val="auto"/>
                <w:sz w:val="24"/>
                <w:highlight w:val="none"/>
              </w:rPr>
              <w:outlineLvl w:val="1"/>
            </w:pPr>
            <w:r>
              <w:rPr>
                <w:rFonts w:hint="eastAsia" w:ascii="宋体" w:hAnsi="宋体" w:cs="宋体"/>
                <w:b w:val="0"/>
                <w:bCs w:val="0"/>
                <w:color w:val="auto"/>
                <w:sz w:val="24"/>
                <w:highlight w:val="none"/>
              </w:rPr>
              <w:t xml:space="preserve">5000元</w:t>
            </w:r>
            <w:r/>
          </w:p>
        </w:tc>
      </w:tr>
    </w:tbl>
    <w:p>
      <w:pPr>
        <w:pStyle w:val="652"/>
        <w:ind w:firstLine="482"/>
        <w:jc w:val="left"/>
        <w:keepLines w:val="0"/>
        <w:keepNext/>
        <w:pageBreakBefore w:val="0"/>
        <w:spacing w:before="181" w:line="360" w:lineRule="auto"/>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5.1</w:t>
      </w:r>
      <w:r>
        <w:rPr>
          <w:rFonts w:hint="eastAsia" w:ascii="宋体" w:hAnsi="宋体" w:cs="宋体"/>
          <w:color w:val="auto"/>
          <w:sz w:val="24"/>
          <w:highlight w:val="none"/>
        </w:rPr>
        <w:t xml:space="preserve">投标人一旦参加本项目采购活动，即被认为接受了本招标文件的规定和约束。</w:t>
      </w:r>
      <w:r/>
    </w:p>
    <w:p>
      <w:pPr>
        <w:pStyle w:val="652"/>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6.招标文件的解释</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6.1</w:t>
      </w:r>
      <w:r>
        <w:rPr>
          <w:rFonts w:hint="eastAsia" w:ascii="宋体" w:hAnsi="宋体" w:cs="宋体"/>
          <w:b/>
          <w:bCs/>
          <w:color w:val="auto"/>
          <w:sz w:val="24"/>
          <w:highlight w:val="none"/>
        </w:rPr>
        <w:t xml:space="preserve">招标文件需求部分（供应商资格要求、项目需求、商务技术评分标准）由采购人解释，其它部分由代理机构解释。</w:t>
      </w:r>
      <w:r/>
    </w:p>
    <w:p>
      <w:pPr>
        <w:pStyle w:val="651"/>
        <w:jc w:val="left"/>
        <w:spacing w:before="0" w:after="0" w:line="360" w:lineRule="auto"/>
        <w:rPr>
          <w:rFonts w:ascii="宋体" w:hAnsi="宋体" w:cs="宋体"/>
          <w:color w:val="auto"/>
          <w:sz w:val="24"/>
          <w:szCs w:val="24"/>
          <w:highlight w:val="none"/>
        </w:rPr>
      </w:pPr>
      <w:r/>
      <w:bookmarkStart w:id="22" w:name="_Toc120614215"/>
      <w:r/>
      <w:bookmarkStart w:id="23" w:name="_Toc20823281"/>
      <w:r/>
      <w:bookmarkStart w:id="24" w:name="_Toc16938525"/>
      <w:r/>
      <w:bookmarkStart w:id="25" w:name="_Toc513029209"/>
      <w:r>
        <w:rPr>
          <w:rFonts w:hint="eastAsia" w:ascii="宋体" w:hAnsi="宋体" w:cs="宋体"/>
          <w:color w:val="auto"/>
          <w:sz w:val="24"/>
          <w:szCs w:val="24"/>
          <w:highlight w:val="none"/>
        </w:rPr>
        <w:t xml:space="preserve">（二）招标文件</w:t>
      </w:r>
      <w:bookmarkEnd w:id="22"/>
      <w:r/>
      <w:bookmarkEnd w:id="23"/>
      <w:r/>
      <w:bookmarkEnd w:id="24"/>
      <w:r/>
      <w:bookmarkEnd w:id="25"/>
      <w:r/>
      <w:r/>
    </w:p>
    <w:p>
      <w:pPr>
        <w:pStyle w:val="652"/>
        <w:ind w:firstLine="480"/>
        <w:jc w:val="left"/>
        <w:spacing w:line="360" w:lineRule="auto"/>
        <w:rPr>
          <w:rFonts w:ascii="宋体" w:hAnsi="宋体" w:eastAsia="宋体" w:cs="宋体"/>
          <w:bCs/>
          <w:color w:val="auto"/>
          <w:sz w:val="24"/>
          <w:szCs w:val="24"/>
          <w:highlight w:val="none"/>
        </w:rPr>
      </w:pPr>
      <w:r/>
      <w:bookmarkStart w:id="26" w:name="_Toc513029210"/>
      <w:r/>
      <w:bookmarkStart w:id="27" w:name="_Toc16938526"/>
      <w:r/>
      <w:bookmarkStart w:id="28" w:name="_Toc20823282"/>
      <w:r>
        <w:rPr>
          <w:rFonts w:hint="eastAsia" w:ascii="宋体" w:hAnsi="宋体" w:eastAsia="宋体" w:cs="宋体"/>
          <w:color w:val="auto"/>
          <w:sz w:val="24"/>
          <w:szCs w:val="24"/>
          <w:highlight w:val="none"/>
        </w:rPr>
        <w:t xml:space="preserve">1.招标文件构成</w:t>
      </w:r>
      <w:bookmarkEnd w:id="26"/>
      <w:r/>
      <w:bookmarkEnd w:id="27"/>
      <w:r/>
      <w:bookmarkEnd w:id="28"/>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1.1</w:t>
      </w:r>
      <w:r>
        <w:rPr>
          <w:rFonts w:hint="eastAsia" w:ascii="宋体" w:hAnsi="宋体" w:cs="宋体"/>
          <w:color w:val="auto"/>
          <w:sz w:val="24"/>
          <w:highlight w:val="none"/>
        </w:rPr>
        <w:t xml:space="preserve">招标文件由以下部分组成</w:t>
      </w:r>
      <w:r>
        <w:rPr>
          <w:rFonts w:hint="eastAsia" w:ascii="宋体" w:hAnsi="宋体" w:cs="宋体"/>
          <w:color w:val="auto"/>
          <w:sz w:val="24"/>
          <w:highlight w:val="none"/>
          <w:lang w:eastAsia="zh-CN"/>
        </w:rPr>
        <w:t xml:space="preserve">：</w:t>
      </w:r>
      <w:r/>
    </w:p>
    <w:p>
      <w:pPr>
        <w:ind w:firstLine="36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投标邀请</w:t>
      </w:r>
      <w:r/>
    </w:p>
    <w:p>
      <w:pPr>
        <w:ind w:firstLine="3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（2）投标须知</w:t>
      </w:r>
      <w:r/>
    </w:p>
    <w:p>
      <w:pPr>
        <w:ind w:firstLine="3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（3）项目需求</w:t>
      </w:r>
      <w:r/>
    </w:p>
    <w:p>
      <w:pPr>
        <w:ind w:firstLine="3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）合同条款及格式</w:t>
      </w:r>
      <w:r/>
    </w:p>
    <w:p>
      <w:pPr>
        <w:ind w:firstLine="3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）开标和评标</w:t>
      </w:r>
      <w:r/>
    </w:p>
    <w:p>
      <w:pPr>
        <w:ind w:firstLine="3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）投标文件格式</w:t>
      </w:r>
      <w:r/>
    </w:p>
    <w:p>
      <w:pPr>
        <w:ind w:firstLine="3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）附件（如有）</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w:t>
      </w:r>
      <w:r>
        <w:rPr>
          <w:rFonts w:hint="eastAsia" w:ascii="宋体" w:hAnsi="宋体" w:cs="宋体"/>
          <w:bCs/>
          <w:color w:val="auto"/>
          <w:sz w:val="24"/>
          <w:highlight w:val="none"/>
        </w:rPr>
        <w:t xml:space="preserve">代理机构</w:t>
      </w:r>
      <w:r>
        <w:rPr>
          <w:rFonts w:hint="eastAsia" w:ascii="宋体" w:hAnsi="宋体" w:cs="宋体"/>
          <w:color w:val="auto"/>
          <w:sz w:val="24"/>
          <w:highlight w:val="none"/>
        </w:rPr>
        <w:t xml:space="preserve">联系解决。</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2"/>
        <w:ind w:firstLine="480"/>
        <w:jc w:val="left"/>
        <w:spacing w:line="360" w:lineRule="auto"/>
        <w:rPr>
          <w:rFonts w:ascii="宋体" w:hAnsi="宋体" w:eastAsia="宋体" w:cs="宋体"/>
          <w:bCs/>
          <w:color w:val="auto"/>
          <w:sz w:val="24"/>
          <w:szCs w:val="24"/>
          <w:highlight w:val="none"/>
        </w:rPr>
      </w:pPr>
      <w:r/>
      <w:bookmarkStart w:id="29" w:name="_Toc513029211"/>
      <w:r/>
      <w:bookmarkStart w:id="30" w:name="_Toc462564070"/>
      <w:r/>
      <w:bookmarkStart w:id="31" w:name="_Toc16938527"/>
      <w:r/>
      <w:bookmarkStart w:id="32" w:name="_Toc20823283"/>
      <w:r>
        <w:rPr>
          <w:rFonts w:hint="eastAsia" w:ascii="宋体" w:hAnsi="宋体" w:eastAsia="宋体" w:cs="宋体"/>
          <w:color w:val="auto"/>
          <w:sz w:val="24"/>
          <w:szCs w:val="24"/>
          <w:highlight w:val="none"/>
        </w:rPr>
        <w:t xml:space="preserve">2.招标文件的澄清</w:t>
      </w:r>
      <w:bookmarkEnd w:id="29"/>
      <w:r/>
      <w:bookmarkEnd w:id="30"/>
      <w:r/>
      <w:bookmarkEnd w:id="31"/>
      <w:r/>
      <w:bookmarkEnd w:id="32"/>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2.1</w:t>
      </w:r>
      <w:r>
        <w:rPr>
          <w:rFonts w:hint="eastAsia" w:ascii="宋体" w:hAnsi="宋体" w:cs="宋体"/>
          <w:color w:val="auto"/>
          <w:sz w:val="24"/>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2.2采购人视情组织答疑会</w:t>
      </w:r>
      <w:r/>
    </w:p>
    <w:p>
      <w:pPr>
        <w:pStyle w:val="652"/>
        <w:ind w:firstLine="480"/>
        <w:jc w:val="left"/>
        <w:spacing w:line="360" w:lineRule="auto"/>
        <w:rPr>
          <w:rFonts w:ascii="宋体" w:hAnsi="宋体" w:eastAsia="宋体" w:cs="宋体"/>
          <w:bCs/>
          <w:color w:val="auto"/>
          <w:sz w:val="24"/>
          <w:szCs w:val="24"/>
          <w:highlight w:val="none"/>
        </w:rPr>
      </w:pPr>
      <w:r/>
      <w:bookmarkStart w:id="33" w:name="_Toc16938528"/>
      <w:r/>
      <w:bookmarkStart w:id="34" w:name="_Toc20823284"/>
      <w:r/>
      <w:bookmarkStart w:id="35" w:name="_Toc462564071"/>
      <w:r/>
      <w:bookmarkStart w:id="36" w:name="_Toc513029212"/>
      <w:r>
        <w:rPr>
          <w:rFonts w:hint="eastAsia" w:ascii="宋体" w:hAnsi="宋体" w:eastAsia="宋体" w:cs="宋体"/>
          <w:color w:val="auto"/>
          <w:sz w:val="24"/>
          <w:szCs w:val="24"/>
          <w:highlight w:val="none"/>
        </w:rPr>
        <w:t xml:space="preserve">3.招标文件的修改</w:t>
      </w:r>
      <w:bookmarkEnd w:id="33"/>
      <w:r/>
      <w:bookmarkEnd w:id="34"/>
      <w:r/>
      <w:bookmarkEnd w:id="35"/>
      <w:r/>
      <w:bookmarkEnd w:id="36"/>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3.1</w:t>
      </w:r>
      <w:r>
        <w:rPr>
          <w:rFonts w:hint="eastAsia" w:ascii="宋体" w:hAnsi="宋体" w:cs="宋体"/>
          <w:color w:val="auto"/>
          <w:sz w:val="24"/>
          <w:highlight w:val="none"/>
        </w:rPr>
        <w:t xml:space="preserve">在提交投标文件截止时间前，</w:t>
      </w:r>
      <w:r>
        <w:rPr>
          <w:rFonts w:hint="eastAsia" w:ascii="宋体" w:hAnsi="宋体" w:cs="宋体"/>
          <w:bCs/>
          <w:color w:val="auto"/>
          <w:sz w:val="24"/>
          <w:highlight w:val="none"/>
        </w:rPr>
        <w:t xml:space="preserve">采购人或代理机构</w:t>
      </w:r>
      <w:r>
        <w:rPr>
          <w:rFonts w:hint="eastAsia" w:ascii="宋体" w:hAnsi="宋体" w:cs="宋体"/>
          <w:color w:val="auto"/>
          <w:sz w:val="24"/>
          <w:highlight w:val="none"/>
        </w:rPr>
        <w:t xml:space="preserve">可以对招标文件进行修改。</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3.2采购人或代理机构</w:t>
      </w:r>
      <w:r>
        <w:rPr>
          <w:rFonts w:hint="eastAsia" w:ascii="宋体" w:hAnsi="宋体" w:cs="宋体"/>
          <w:color w:val="auto"/>
          <w:sz w:val="24"/>
          <w:highlight w:val="none"/>
        </w:rPr>
        <w:t xml:space="preserve">有权按照法定的要求推迟提交投标文件截止日期和开标日期。</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3.3</w:t>
      </w:r>
      <w:r>
        <w:rPr>
          <w:rFonts w:hint="eastAsia" w:ascii="宋体" w:hAnsi="宋体" w:cs="宋体"/>
          <w:color w:val="auto"/>
          <w:sz w:val="24"/>
          <w:highlight w:val="none"/>
        </w:rPr>
        <w:t xml:space="preserve">招标文件的修改将在江苏政府采购网公布，补充文件将作为招标文件的组成部分，并对投标人具有约束力。</w:t>
      </w:r>
      <w:bookmarkStart w:id="37" w:name="_Toc120614216"/>
      <w:r/>
      <w:bookmarkStart w:id="38" w:name="_Toc513029213"/>
      <w:r/>
      <w:bookmarkStart w:id="39" w:name="_Toc20823285"/>
      <w:r/>
      <w:bookmarkStart w:id="40" w:name="_Toc16938529"/>
      <w:r/>
      <w:bookmarkStart w:id="41" w:name="_Toc462564072"/>
      <w:r/>
      <w:r/>
    </w:p>
    <w:p>
      <w:pPr>
        <w:ind w:firstLine="480"/>
        <w:jc w:val="left"/>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3.4</w:t>
      </w:r>
      <w:r>
        <w:rPr>
          <w:rFonts w:hint="eastAsia" w:ascii="宋体" w:hAnsi="宋体" w:cs="宋体"/>
          <w:b/>
          <w:color w:val="auto"/>
          <w:sz w:val="24"/>
          <w:highlight w:val="none"/>
          <w:u w:val="single"/>
        </w:rPr>
        <w:t xml:space="preserve">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3.5投标人对采购人（或采购代理机构）提供的招标文件所做出的推论、解释和结论，采购人（或采购代理机构）概不负责。投标人由于对招标文件的任何推论和误解以及采购人（或采购代理机构）对有关问题的口头解释所造成的后果，均由各潜在投标人自负。</w:t>
      </w:r>
      <w:r/>
    </w:p>
    <w:p>
      <w:pPr>
        <w:pStyle w:val="652"/>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4.采购项目涉及到的现场勘察</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招标</w:t>
      </w:r>
      <w:r>
        <w:rPr>
          <w:rFonts w:ascii="宋体" w:hAnsi="宋体" w:cs="宋体"/>
          <w:bCs/>
          <w:color w:val="auto"/>
          <w:sz w:val="24"/>
          <w:highlight w:val="none"/>
        </w:rPr>
        <w:t xml:space="preserve">文件所提供的项目相关数据仅做参考，根据自身需要，</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可在</w:t>
      </w:r>
      <w:r>
        <w:rPr>
          <w:rFonts w:hint="eastAsia" w:ascii="宋体" w:hAnsi="宋体" w:cs="宋体"/>
          <w:color w:val="auto"/>
          <w:sz w:val="24"/>
          <w:highlight w:val="none"/>
        </w:rPr>
        <w:t xml:space="preserve">提交投标文件截止</w:t>
      </w:r>
      <w:r>
        <w:rPr>
          <w:rFonts w:ascii="宋体" w:hAnsi="宋体" w:cs="宋体"/>
          <w:bCs/>
          <w:color w:val="auto"/>
          <w:sz w:val="24"/>
          <w:highlight w:val="none"/>
        </w:rPr>
        <w:t xml:space="preserve">之日前对有关现场和周围环境进行勘察，以获取编制</w:t>
      </w:r>
      <w:r>
        <w:rPr>
          <w:rFonts w:hint="eastAsia" w:ascii="宋体" w:hAnsi="宋体" w:cs="宋体"/>
          <w:color w:val="auto"/>
          <w:sz w:val="24"/>
          <w:highlight w:val="none"/>
        </w:rPr>
        <w:t xml:space="preserve">投标</w:t>
      </w:r>
      <w:r>
        <w:rPr>
          <w:rFonts w:ascii="宋体" w:hAnsi="宋体" w:cs="宋体"/>
          <w:bCs/>
          <w:color w:val="auto"/>
          <w:sz w:val="24"/>
          <w:highlight w:val="none"/>
        </w:rPr>
        <w:t xml:space="preserve">文件和签署合同所需的信息。勘察现场所发生的费用由</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自己承担。</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2采购人向</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提供的有关现场的资料和数据，是采购人现有的并认为能使</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可利用的资料。采购人对</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由此而做出的推论、理解和结论概不负责。</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3经采购人允许，</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可为勘察目的进入采购人的项目现场，但</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不得因此使采购人承担有关的责任和蒙受损失。</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应承担勘察现场的责任和风险。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4</w:t>
      </w:r>
      <w:r>
        <w:rPr>
          <w:rFonts w:hint="eastAsia" w:ascii="宋体" w:hAnsi="宋体" w:cs="宋体"/>
          <w:color w:val="auto"/>
          <w:sz w:val="24"/>
          <w:highlight w:val="none"/>
        </w:rPr>
        <w:t xml:space="preserve">投标人</w:t>
      </w:r>
      <w:r>
        <w:rPr>
          <w:rFonts w:ascii="宋体" w:hAnsi="宋体" w:cs="宋体"/>
          <w:bCs/>
          <w:color w:val="auto"/>
          <w:sz w:val="24"/>
          <w:highlight w:val="none"/>
        </w:rPr>
        <w:t xml:space="preserve">应认真踏勘现场。在现场勘察时，熟悉</w:t>
      </w:r>
      <w:r>
        <w:rPr>
          <w:rFonts w:hint="eastAsia" w:ascii="宋体" w:hAnsi="宋体" w:cs="宋体"/>
          <w:bCs/>
          <w:color w:val="auto"/>
          <w:sz w:val="24"/>
          <w:highlight w:val="none"/>
        </w:rPr>
        <w:t xml:space="preserve">作业现场</w:t>
      </w:r>
      <w:r>
        <w:rPr>
          <w:rFonts w:ascii="宋体" w:hAnsi="宋体" w:cs="宋体"/>
          <w:bCs/>
          <w:color w:val="auto"/>
          <w:sz w:val="24"/>
          <w:highlight w:val="none"/>
        </w:rPr>
        <w:t xml:space="preserve">、现场周围交通道路等情况，以获得一切可能影响其</w:t>
      </w:r>
      <w:r>
        <w:rPr>
          <w:rFonts w:hint="eastAsia" w:ascii="宋体" w:hAnsi="宋体" w:cs="宋体"/>
          <w:bCs/>
          <w:color w:val="auto"/>
          <w:sz w:val="24"/>
          <w:highlight w:val="none"/>
        </w:rPr>
        <w:t xml:space="preserve">投标</w:t>
      </w:r>
      <w:r>
        <w:rPr>
          <w:rFonts w:ascii="宋体" w:hAnsi="宋体" w:cs="宋体"/>
          <w:bCs/>
          <w:color w:val="auto"/>
          <w:sz w:val="24"/>
          <w:highlight w:val="none"/>
        </w:rPr>
        <w:t xml:space="preserve">的直接资料。</w:t>
      </w:r>
      <w:r>
        <w:rPr>
          <w:rFonts w:hint="eastAsia" w:ascii="宋体" w:hAnsi="宋体" w:cs="宋体"/>
          <w:bCs/>
          <w:color w:val="auto"/>
          <w:sz w:val="24"/>
          <w:highlight w:val="none"/>
        </w:rPr>
        <w:t xml:space="preserve">投标人中标</w:t>
      </w:r>
      <w:r>
        <w:rPr>
          <w:rFonts w:ascii="宋体" w:hAnsi="宋体" w:cs="宋体"/>
          <w:bCs/>
          <w:color w:val="auto"/>
          <w:sz w:val="24"/>
          <w:highlight w:val="none"/>
        </w:rPr>
        <w:t xml:space="preserve">后，不得以不完全了解现场情况为理由而向采购人提出任何索赔的要求，对此采购人不承担任何责任并将不作任何答复与考虑。</w:t>
      </w:r>
      <w:r/>
    </w:p>
    <w:p>
      <w:pPr>
        <w:ind w:firstLine="480"/>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bookmarkEnd w:id="37"/>
      <w:r/>
      <w:bookmarkEnd w:id="38"/>
      <w:r/>
      <w:bookmarkEnd w:id="39"/>
      <w:r/>
      <w:bookmarkEnd w:id="40"/>
      <w:r/>
      <w:bookmarkEnd w:id="41"/>
      <w:r/>
      <w:bookmarkStart w:id="42" w:name="_Toc513029214"/>
      <w:r/>
      <w:bookmarkStart w:id="43" w:name="_Toc462564073"/>
      <w:r/>
      <w:bookmarkStart w:id="44" w:name="_Toc20823286"/>
      <w:r/>
      <w:bookmarkStart w:id="45" w:name="_Toc16938530"/>
      <w:r/>
      <w:r/>
    </w:p>
    <w:p>
      <w:pPr>
        <w:pStyle w:val="652"/>
        <w:ind w:firstLine="480"/>
        <w:jc w:val="left"/>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1.投标文件的语言及度量衡单位</w:t>
      </w:r>
      <w:bookmarkEnd w:id="42"/>
      <w:r/>
      <w:bookmarkEnd w:id="43"/>
      <w:r/>
      <w:bookmarkEnd w:id="44"/>
      <w:r/>
      <w:bookmarkEnd w:id="45"/>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1.1</w:t>
      </w:r>
      <w:r>
        <w:rPr>
          <w:rFonts w:hint="eastAsia" w:ascii="宋体" w:hAnsi="宋体" w:cs="宋体"/>
          <w:color w:val="auto"/>
          <w:sz w:val="24"/>
          <w:highlight w:val="none"/>
        </w:rPr>
        <w:t xml:space="preserve">投标人提交的投标文件以及投标人与</w:t>
      </w:r>
      <w:r>
        <w:rPr>
          <w:rFonts w:hint="eastAsia" w:ascii="宋体" w:hAnsi="宋体" w:cs="宋体"/>
          <w:bCs/>
          <w:color w:val="auto"/>
          <w:sz w:val="24"/>
          <w:highlight w:val="none"/>
        </w:rPr>
        <w:t xml:space="preserve">采购人或代理机构</w:t>
      </w:r>
      <w:r>
        <w:rPr>
          <w:rFonts w:hint="eastAsia" w:ascii="宋体" w:hAnsi="宋体" w:cs="宋体"/>
          <w:color w:val="auto"/>
          <w:sz w:val="24"/>
          <w:highlight w:val="none"/>
        </w:rPr>
        <w:t xml:space="preserve">就有关投标的所有来往通知、函件和文件均应使用</w:t>
      </w:r>
      <w:r>
        <w:rPr>
          <w:rFonts w:hint="eastAsia" w:ascii="宋体" w:hAnsi="宋体" w:cs="宋体"/>
          <w:bCs/>
          <w:color w:val="auto"/>
          <w:sz w:val="24"/>
          <w:highlight w:val="none"/>
        </w:rPr>
        <w:t xml:space="preserve">简体中文</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1.2</w:t>
      </w:r>
      <w:r>
        <w:rPr>
          <w:rFonts w:hint="eastAsia" w:ascii="宋体" w:hAnsi="宋体" w:cs="宋体"/>
          <w:color w:val="auto"/>
          <w:sz w:val="24"/>
          <w:highlight w:val="none"/>
        </w:rPr>
        <w:t xml:space="preserve">除技术性能另有规定外，投标文件所使用的度量衡单位，均须采用国家法定计量单位。</w:t>
      </w:r>
      <w:bookmarkStart w:id="46" w:name="_Toc513029215"/>
      <w:r/>
      <w:bookmarkStart w:id="47" w:name="_Toc16938531"/>
      <w:r/>
      <w:bookmarkStart w:id="48" w:name="_Toc20823287"/>
      <w:r/>
      <w:bookmarkStart w:id="49" w:name="_Toc462564074"/>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2.投标文件构成</w:t>
      </w:r>
      <w:bookmarkEnd w:id="46"/>
      <w:r/>
      <w:bookmarkEnd w:id="47"/>
      <w:r/>
      <w:bookmarkEnd w:id="48"/>
      <w:r/>
      <w:bookmarkEnd w:id="49"/>
      <w:r/>
      <w:bookmarkStart w:id="50" w:name="_Hlt26954838"/>
      <w:r/>
      <w:bookmarkEnd w:id="50"/>
      <w:r/>
      <w:bookmarkStart w:id="51" w:name="_Hlt26670360"/>
      <w:r/>
      <w:bookmarkEnd w:id="51"/>
      <w:r/>
      <w:bookmarkStart w:id="52" w:name="_Hlt26668975"/>
      <w:r/>
      <w:bookmarkEnd w:id="52"/>
      <w:r/>
      <w:bookmarkStart w:id="53" w:name="_Toc49090511"/>
      <w:r/>
      <w:bookmarkStart w:id="54" w:name="_Toc14577360"/>
      <w:r/>
      <w:r/>
    </w:p>
    <w:p>
      <w:pPr>
        <w:numPr>
          <w:ilvl w:val="0"/>
          <w:numId w:val="0"/>
        </w:num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 投标人编写的投标文件应包括资格证明文件、符合性证明文件、开标一览表、技术部分正负偏离表、商务部分正负偏离表、其他证明文件等部分，</w:t>
      </w:r>
      <w:r>
        <w:rPr>
          <w:rFonts w:hint="eastAsia" w:ascii="宋体" w:hAnsi="宋体" w:eastAsia="宋体" w:cs="宋体"/>
          <w:b/>
          <w:bCs/>
          <w:color w:val="auto"/>
          <w:sz w:val="24"/>
          <w:highlight w:val="none"/>
        </w:rPr>
        <w:t xml:space="preserve">具体详见系统内电子投标文件组成</w:t>
      </w:r>
      <w:r>
        <w:rPr>
          <w:rFonts w:hint="eastAsia" w:ascii="宋体" w:hAnsi="宋体" w:eastAsia="宋体" w:cs="宋体"/>
          <w:color w:val="auto"/>
          <w:sz w:val="24"/>
          <w:highlight w:val="none"/>
        </w:rPr>
        <w:t xml:space="preserve">。供应商按“第六部分 投标文件格式”要求编写投标文件。</w:t>
      </w:r>
      <w:r/>
    </w:p>
    <w:p>
      <w:pPr>
        <w:pStyle w:val="652"/>
        <w:ind w:firstLine="480"/>
        <w:jc w:val="left"/>
        <w:spacing w:line="360" w:lineRule="auto"/>
        <w:rPr>
          <w:rFonts w:ascii="宋体" w:hAnsi="宋体" w:cs="宋体"/>
          <w:color w:val="auto"/>
          <w:sz w:val="28"/>
          <w:szCs w:val="28"/>
          <w:highlight w:val="none"/>
        </w:rPr>
      </w:pPr>
      <w:r>
        <w:rPr>
          <w:rFonts w:hint="eastAsia" w:ascii="宋体" w:hAnsi="宋体" w:eastAsia="宋体" w:cs="宋体"/>
          <w:color w:val="auto"/>
          <w:sz w:val="24"/>
          <w:highlight w:val="none"/>
        </w:rPr>
        <w:t xml:space="preserve">2.2如标书制作工具中格式和内容与“江苏政府采购网”发布的招标文件不一致，请以“江苏政府采购网”发布的招标文件为准。</w:t>
      </w:r>
      <w:r/>
    </w:p>
    <w:p>
      <w:pPr>
        <w:pStyle w:val="652"/>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3.投标有效期</w:t>
      </w:r>
      <w:bookmarkEnd w:id="53"/>
      <w:r/>
      <w:bookmarkEnd w:id="54"/>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3.1投标有效期为采购人规定的开标之日后</w:t>
      </w:r>
      <w:r>
        <w:rPr>
          <w:rFonts w:hint="eastAsia" w:ascii="宋体" w:hAnsi="宋体" w:cs="宋体"/>
          <w:color w:val="auto"/>
          <w:sz w:val="24"/>
          <w:highlight w:val="none"/>
          <w:u w:val="single"/>
        </w:rPr>
        <w:t xml:space="preserve">六十（60）天</w:t>
      </w:r>
      <w:r>
        <w:rPr>
          <w:rFonts w:hint="eastAsia" w:ascii="宋体" w:hAnsi="宋体" w:cs="宋体"/>
          <w:bCs/>
          <w:color w:val="auto"/>
          <w:sz w:val="24"/>
          <w:highlight w:val="none"/>
        </w:rPr>
        <w:t xml:space="preserve">。投标有效期比规定短的将被视为非响应性投标而予以拒绝。</w:t>
      </w:r>
      <w:r/>
    </w:p>
    <w:p>
      <w:pPr>
        <w:pStyle w:val="652"/>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4.投标有效期的延长</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4.1在特殊情况下，采购人于原投标有效期满之前，可向投标人提出延长投标有效期的要求。这种要求与答复均应采用书面形式。投标人可以拒绝</w:t>
      </w:r>
      <w:r>
        <w:rPr>
          <w:rFonts w:hint="eastAsia" w:ascii="宋体" w:hAnsi="宋体" w:cs="宋体"/>
          <w:color w:val="auto"/>
          <w:sz w:val="24"/>
          <w:highlight w:val="none"/>
        </w:rPr>
        <w:t xml:space="preserve">采购人</w:t>
      </w:r>
      <w:r>
        <w:rPr>
          <w:rFonts w:hint="eastAsia" w:ascii="宋体" w:hAnsi="宋体" w:cs="宋体"/>
          <w:bCs/>
          <w:color w:val="auto"/>
          <w:sz w:val="24"/>
          <w:highlight w:val="none"/>
        </w:rPr>
        <w:t xml:space="preserve">的这一要求而放弃投标，同意延长投标有效期的投标人既不能要求也不允许修改其投标文件。</w:t>
      </w:r>
      <w:r>
        <w:rPr>
          <w:rFonts w:hint="eastAsia" w:ascii="宋体" w:hAnsi="宋体" w:cs="宋体"/>
          <w:color w:val="auto"/>
          <w:sz w:val="24"/>
          <w:highlight w:val="none"/>
        </w:rPr>
        <w:t xml:space="preserve">受投标有效期约束的所有权利与义务均延长至新的有效期</w:t>
      </w:r>
      <w:r>
        <w:rPr>
          <w:rFonts w:hint="eastAsia" w:ascii="宋体" w:hAnsi="宋体" w:cs="宋体"/>
          <w:bCs/>
          <w:color w:val="auto"/>
          <w:sz w:val="24"/>
          <w:highlight w:val="none"/>
        </w:rPr>
        <w:t xml:space="preserve">。</w:t>
      </w:r>
      <w:r/>
    </w:p>
    <w:p>
      <w:pPr>
        <w:pStyle w:val="652"/>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5.电子投标文件其他要求</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5.1电子招标投标交易平台（即“苏采云”系统）相关要求是本采购文件的组成部分。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5.2投标人应对CA证书妥善保管，如被他人盗用投标，因此带来的结果均由投标人自行承担。</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5.3投标人应当对招标文件提出的实质性要求和条件作出实质性响应，并在电子投标系统逐条应答。</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5.4投标人应对要求提供的资格证明文件（如资质证书、资格证书）、技术资料（如白皮书、彩页、手册、检测报告等）扫描上传至投标系统。</w:t>
      </w:r>
      <w:r/>
    </w:p>
    <w:p>
      <w:pPr>
        <w:pStyle w:val="652"/>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6.投标人应当在招标文件要求</w:t>
      </w:r>
      <w:r>
        <w:rPr>
          <w:rFonts w:hint="eastAsia" w:ascii="宋体" w:hAnsi="宋体" w:eastAsia="宋体" w:cs="宋体"/>
          <w:color w:val="auto"/>
          <w:sz w:val="24"/>
          <w:highlight w:val="none"/>
        </w:rPr>
        <w:t xml:space="preserve">提交投标文件截止</w:t>
      </w:r>
      <w:r>
        <w:rPr>
          <w:rFonts w:hint="eastAsia" w:ascii="宋体" w:hAnsi="宋体" w:eastAsia="宋体" w:cs="宋体"/>
          <w:bCs/>
          <w:color w:val="auto"/>
          <w:sz w:val="24"/>
          <w:highlight w:val="none"/>
        </w:rPr>
        <w:t xml:space="preserve">时间前，将投标文件提交至“苏采云”系统，逾期提交的投标文件，“苏采云”系统将自动拒收。各投标人应在规定时间内凭CA证书进行网上解密。</w:t>
      </w:r>
      <w:r/>
    </w:p>
    <w:p>
      <w:pPr>
        <w:ind w:firstLine="482"/>
        <w:jc w:val="left"/>
        <w:keepLines/>
        <w:keepNext/>
        <w:spacing w:line="360" w:lineRule="auto"/>
        <w:rPr>
          <w:rFonts w:ascii="宋体" w:hAnsi="宋体" w:cs="宋体"/>
          <w:b/>
          <w:bCs/>
          <w:color w:val="auto"/>
          <w:sz w:val="24"/>
          <w:highlight w:val="none"/>
        </w:rPr>
        <w:outlineLvl w:val="2"/>
      </w:pPr>
      <w:r/>
      <w:bookmarkStart w:id="55" w:name="_Hlt26954852"/>
      <w:r/>
      <w:bookmarkEnd w:id="55"/>
      <w:r/>
      <w:bookmarkStart w:id="56" w:name="_Hlt26954739"/>
      <w:r/>
      <w:bookmarkEnd w:id="56"/>
      <w:r/>
      <w:bookmarkStart w:id="57" w:name="_Toc120614217"/>
      <w:r/>
      <w:bookmarkStart w:id="58" w:name="_Toc16938540"/>
      <w:r/>
      <w:bookmarkStart w:id="59" w:name="_Toc513029224"/>
      <w:r/>
      <w:bookmarkStart w:id="60" w:name="_Toc20823296"/>
      <w:r/>
      <w:bookmarkStart w:id="61" w:name="_Toc16938545"/>
      <w:r/>
      <w:bookmarkStart w:id="62" w:name="_Toc120614218"/>
      <w:r/>
      <w:bookmarkStart w:id="63" w:name="_Toc513029229"/>
      <w:r/>
      <w:bookmarkStart w:id="64" w:name="_Toc20823301"/>
      <w:r>
        <w:rPr>
          <w:rFonts w:hint="eastAsia" w:ascii="宋体" w:hAnsi="宋体" w:cs="宋体"/>
          <w:b/>
          <w:bCs/>
          <w:color w:val="auto"/>
          <w:sz w:val="24"/>
          <w:highlight w:val="none"/>
        </w:rPr>
        <w:t xml:space="preserve">（四）投标文件的提交</w:t>
      </w:r>
      <w:bookmarkEnd w:id="57"/>
      <w:r/>
      <w:bookmarkEnd w:id="58"/>
      <w:r/>
      <w:bookmarkEnd w:id="59"/>
      <w:r/>
      <w:bookmarkEnd w:id="60"/>
      <w:r/>
      <w:r/>
    </w:p>
    <w:p>
      <w:pPr>
        <w:ind w:firstLine="480"/>
        <w:jc w:val="left"/>
        <w:spacing w:line="360" w:lineRule="auto"/>
        <w:rPr>
          <w:rFonts w:ascii="宋体" w:hAnsi="宋体" w:cs="宋体"/>
          <w:bCs/>
          <w:color w:val="auto"/>
          <w:sz w:val="24"/>
          <w:highlight w:val="none"/>
        </w:rPr>
      </w:pPr>
      <w:r/>
      <w:bookmarkStart w:id="65" w:name="_Toc462564084"/>
      <w:r/>
      <w:bookmarkStart w:id="66" w:name="_Toc16938541"/>
      <w:r/>
      <w:bookmarkStart w:id="67" w:name="_Toc513029225"/>
      <w:r/>
      <w:bookmarkStart w:id="68" w:name="_Toc20823297"/>
      <w:r>
        <w:rPr>
          <w:rFonts w:hint="eastAsia" w:ascii="宋体" w:hAnsi="宋体" w:cs="宋体"/>
          <w:bCs/>
          <w:color w:val="auto"/>
          <w:sz w:val="24"/>
          <w:highlight w:val="none"/>
        </w:rPr>
        <w:t xml:space="preserve">1.投标文件</w:t>
      </w:r>
      <w:bookmarkEnd w:id="65"/>
      <w:r/>
      <w:bookmarkEnd w:id="66"/>
      <w:r/>
      <w:bookmarkEnd w:id="67"/>
      <w:r/>
      <w:bookmarkEnd w:id="68"/>
      <w:r>
        <w:rPr>
          <w:rFonts w:hint="eastAsia" w:ascii="宋体" w:hAnsi="宋体" w:cs="宋体"/>
          <w:bCs/>
          <w:color w:val="auto"/>
          <w:sz w:val="24"/>
          <w:highlight w:val="none"/>
        </w:rPr>
        <w:t xml:space="preserve">的提交</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1.1线上提交与接收地点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投标人应当通过“苏采云”系统提交数据电文形式的投标文件（即电子投标），“苏采云”系统自动接收。</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电子投标文件应由其法定代表人或被授权人在规定的网上投标时间内，凭CA证书登录“苏采云”系统在线编制投标文件（电子数据），并在提交投标文件截止时间之前上传投标文件。投标人应在达到开标时间后，使用CA数字证书解密各自投标文件。</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2.提交投标文件截止日期</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2.1投标人上传电子投标文件的时间不得迟于采购公告中规定的提交投标文件截止时间。</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投标人应充分考虑到网络环境、网络带宽等风险因素，如因投标人自身原因造成的电子投标文件上传不成功由投标人自行承担全部责任。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2.2采购人或采购代理机构可以按照规定，通过修改投标文件酌情延长提交投标文件截止日期，在此情况下，投标人的所有权利和义务以及投标人受制的截止日期均应以延长后新的截止日期为准。</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3.投标文件的密封（加密）要求</w:t>
      </w:r>
      <w:r>
        <w:rPr>
          <w:rFonts w:hint="eastAsia" w:ascii="宋体" w:hAnsi="宋体" w:cs="宋体"/>
          <w:bCs/>
          <w:color w:val="auto"/>
          <w:sz w:val="24"/>
          <w:highlight w:val="none"/>
          <w:lang w:eastAsia="zh-CN"/>
        </w:rPr>
        <w:t xml:space="preserve">：</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3.2投标人须通过“苏采云”系统提供的政府采购客户端工具（使用“CA数字证书”）加盖电子签章。</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说明</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投标人应在用CA数字证书以及自备的能够登录“苏采云”系统的电脑，在达到开标时间后，使用CA数字证书解密各自投标文件。</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3.3投标人未按规定加密的投标文件，“苏采云”系统将拒收并提示。</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4.投标文件的拒收</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4.1采购人（或采购代理机构）拒绝接收在其规定的提交投标文件截止时间后上传的任何投标文件。</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5.投标文件的撤回和修改</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5.1投标文件的撤回</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5.1.1电子投标文件的撤回</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投标人可在提交投标文件截止时间前，撤回其投标文件，具体操作方法见“苏采云”系统供应商操作手册。</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5.1.2投标人撤回电子投标文件，则认为其不再参与本项目投标活动。</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5.2投标文件的修改</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投标人可在提交投标文件截止时间前，对其电子投标文件进行修改。具体操作方法见“苏采云”系统供应商操作手册。</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5.3在提交投标文件截止时间之后，投标人不得对其电子投标文件作任何修改。</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5.4在提交投标文件截止时间至招标文件中规定的投标有效期满之间的这段时间内，投标人不得撤回其投标文件。</w:t>
      </w:r>
      <w:r/>
    </w:p>
    <w:p>
      <w:pPr>
        <w:pStyle w:val="651"/>
        <w:jc w:val="left"/>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（五）投标报价</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1.本项目不接受任何有选择的报价</w:t>
      </w:r>
      <w:r>
        <w:rPr>
          <w:rFonts w:hint="eastAsia" w:ascii="宋体" w:hAnsi="宋体" w:cs="宋体"/>
          <w:bCs/>
          <w:color w:val="auto"/>
          <w:sz w:val="24"/>
          <w:highlight w:val="none"/>
          <w:lang w:eastAsia="zh-CN"/>
        </w:rPr>
        <w:t xml:space="preserve">。</w:t>
      </w:r>
      <w:r>
        <w:rPr>
          <w:rFonts w:hint="eastAsia" w:ascii="宋体" w:hAnsi="宋体" w:cs="宋体"/>
          <w:b/>
          <w:bCs w:val="0"/>
          <w:color w:val="auto"/>
          <w:sz w:val="24"/>
          <w:highlight w:val="none"/>
          <w:u w:val="single"/>
          <w:lang w:eastAsia="zh-CN"/>
        </w:rPr>
        <w:t xml:space="preserve">本项目价格不参与评审，投标时价格统一按最高限价填写，填写金额为</w:t>
      </w:r>
      <w:r>
        <w:rPr>
          <w:rFonts w:hint="eastAsia" w:ascii="宋体" w:hAnsi="宋体" w:cs="宋体"/>
          <w:b/>
          <w:bCs w:val="0"/>
          <w:color w:val="auto"/>
          <w:sz w:val="24"/>
          <w:highlight w:val="none"/>
          <w:u w:val="single"/>
          <w:lang w:val="en-US" w:eastAsia="zh-CN"/>
        </w:rPr>
        <w:t xml:space="preserve">117.4万元</w:t>
      </w:r>
      <w:r>
        <w:rPr>
          <w:rFonts w:hint="eastAsia" w:ascii="宋体" w:hAnsi="宋体" w:cs="宋体"/>
          <w:bCs/>
          <w:color w:val="auto"/>
          <w:sz w:val="24"/>
          <w:highlight w:val="none"/>
        </w:rPr>
        <w:t xml:space="preserve">。</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.供应商应结合招标文件、项目需求、技术要求、技术规范、作业现场的环境等，考虑本项目各项费用风险，周密调研。</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应详细阅读招标文件的全部内容，根据采购项目需求，准确制定相关工作方案等，必须对本采购项目全部进行报价，如有漏项，视同对本项目的优惠。不按招标文件的要求提供投标文件，导致报价无效，按无效投标处理。</w:t>
      </w:r>
      <w:r/>
    </w:p>
    <w:p>
      <w:pPr>
        <w:pStyle w:val="651"/>
        <w:jc w:val="left"/>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（六）开标与评标</w:t>
      </w:r>
      <w:bookmarkEnd w:id="61"/>
      <w:r/>
      <w:bookmarkEnd w:id="62"/>
      <w:r/>
      <w:bookmarkEnd w:id="63"/>
      <w:r/>
      <w:bookmarkEnd w:id="64"/>
      <w:r/>
      <w:r/>
    </w:p>
    <w:p>
      <w:pPr>
        <w:ind w:firstLine="480"/>
        <w:jc w:val="left"/>
        <w:spacing w:line="360" w:lineRule="auto"/>
        <w:rPr>
          <w:rFonts w:ascii="宋体" w:hAnsi="宋体" w:cs="宋体"/>
          <w:bCs/>
          <w:color w:val="auto"/>
          <w:sz w:val="24"/>
          <w:highlight w:val="none"/>
        </w:rPr>
      </w:pPr>
      <w:r/>
      <w:bookmarkStart w:id="69" w:name="_Toc20823303"/>
      <w:r/>
      <w:bookmarkStart w:id="70" w:name="_Toc16938547"/>
      <w:r/>
      <w:bookmarkStart w:id="71" w:name="_Toc513029231"/>
      <w:r>
        <w:rPr>
          <w:rFonts w:hint="eastAsia" w:ascii="宋体" w:hAnsi="宋体" w:cs="宋体"/>
          <w:bCs/>
          <w:color w:val="auto"/>
          <w:sz w:val="24"/>
          <w:highlight w:val="none"/>
        </w:rPr>
        <w:t xml:space="preserve">1.开标仪式</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1.1采购代理</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highlight w:val="none"/>
        </w:rPr>
        <w:t xml:space="preserve">。投标人应当按照《江苏省政府采购管理交易系统（苏采云）供应商操作手册》规定，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开标当天投标人应及时登录“苏采云”不见面开标大厅，并在规定时间内自行实施远程解密。</w:t>
      </w:r>
      <w:r>
        <w:rPr>
          <w:rFonts w:hint="eastAsia" w:ascii="宋体" w:hAnsi="宋体"/>
          <w:b/>
          <w:color w:val="auto"/>
          <w:sz w:val="24"/>
          <w:highlight w:val="none"/>
          <w:u w:val="single"/>
        </w:rPr>
        <w:t xml:space="preserve">投标人解密时间限定为投标文件解密指令发出后30分钟（投标人应当充分考虑网络延时造成的本地网络计时不一致风险，提前完成解密动作）。</w:t>
      </w:r>
      <w:r>
        <w:rPr>
          <w:rFonts w:hint="eastAsia" w:ascii="宋体" w:hAnsi="宋体"/>
          <w:b/>
          <w:bCs/>
          <w:color w:val="auto"/>
          <w:sz w:val="24"/>
          <w:highlight w:val="none"/>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olor w:val="auto"/>
          <w:sz w:val="24"/>
          <w:highlight w:val="none"/>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1.2开标仪式由采购代理机构组织。苏采云系统将自动对项目进行开标，并宣布各投标人名称和投标价格。</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1.3投标人在开标过程中涉及到的投标文件解密、开标结果确认等工作，应按照《</w:t>
      </w:r>
      <w:r>
        <w:rPr>
          <w:rFonts w:hint="eastAsia" w:ascii="宋体" w:hAnsi="宋体"/>
          <w:color w:val="auto"/>
          <w:sz w:val="24"/>
          <w:highlight w:val="none"/>
        </w:rPr>
        <w:t xml:space="preserve">江苏省政府采购管理交易系统（苏采云）供应商操作手册</w:t>
      </w:r>
      <w:r>
        <w:rPr>
          <w:rFonts w:hint="eastAsia" w:ascii="宋体" w:hAnsi="宋体" w:cs="宋体"/>
          <w:color w:val="auto"/>
          <w:sz w:val="24"/>
          <w:highlight w:val="none"/>
        </w:rPr>
        <w:t xml:space="preserve">》规定执行。</w:t>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2.评标委员会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 开标后，采购</w:t>
      </w:r>
      <w:r>
        <w:rPr>
          <w:rFonts w:hint="eastAsia" w:ascii="宋体" w:hAnsi="宋体" w:cs="宋体"/>
          <w:bCs/>
          <w:color w:val="auto"/>
          <w:sz w:val="24"/>
          <w:highlight w:val="none"/>
        </w:rPr>
        <w:t xml:space="preserve">代理机构</w:t>
      </w:r>
      <w:r>
        <w:rPr>
          <w:rFonts w:hint="eastAsia" w:ascii="宋体" w:hAnsi="宋体" w:cs="宋体"/>
          <w:color w:val="auto"/>
          <w:sz w:val="24"/>
          <w:highlight w:val="none"/>
        </w:rPr>
        <w:t xml:space="preserve">将立即组织评标委员会（以下简称评委会）进行评标。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 </w:t>
      </w:r>
      <w:r>
        <w:rPr>
          <w:rFonts w:hint="eastAsia" w:ascii="宋体" w:hAnsi="宋体"/>
          <w:color w:val="auto"/>
          <w:sz w:val="24"/>
          <w:highlight w:val="none"/>
        </w:rPr>
        <w:t xml:space="preserve">评委会由采购人代表和有关技术、经济等方面的专家组成，且人员构成符合政府采购有关规定。</w:t>
      </w:r>
      <w:r>
        <w:rPr>
          <w:rFonts w:hint="eastAsia" w:ascii="宋体" w:hAnsi="宋体" w:cs="宋体"/>
          <w:color w:val="auto"/>
          <w:sz w:val="24"/>
          <w:highlight w:val="none"/>
        </w:rPr>
        <w:t xml:space="preserve">评标专家应当从政府采购评审专家库内相关专业的专家名单中随机抽取。情况特殊、通过随机方式难以确定合适的评标专家的，经主管预算单位同意，可以自行选定评标专家。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2.3评委会独立工作，负责评审所有投标文件并确定中标侯选人。</w:t>
      </w:r>
      <w:r/>
    </w:p>
    <w:p>
      <w:pPr>
        <w:pStyle w:val="652"/>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3.评标过程的保密与公正</w:t>
      </w:r>
      <w:bookmarkEnd w:id="69"/>
      <w:r/>
      <w:bookmarkEnd w:id="70"/>
      <w:r/>
      <w:bookmarkEnd w:id="71"/>
      <w:r/>
      <w:r/>
    </w:p>
    <w:p>
      <w:pPr>
        <w:ind w:firstLine="480"/>
        <w:jc w:val="left"/>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3.1评委会、采购人和采购代理机构工作人员、相关监督人员等与评标工作有关的人员，对评标情况以及在评标过程中获悉的国家秘密、商业秘密负有保密责任。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3.2在评标过程中，投标人不得以任何行为影响评标过程，否则其投标文件将被作为无效投标文件。</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3.3公开开标后，直至向中标人授予合同时止，凡是与审查、澄清、评价和比较投标的有关资料以及授标建议等，采购人、评委、</w:t>
      </w:r>
      <w:r>
        <w:rPr>
          <w:rFonts w:hint="eastAsia" w:ascii="宋体" w:hAnsi="宋体" w:cs="宋体"/>
          <w:color w:val="auto"/>
          <w:sz w:val="24"/>
          <w:highlight w:val="none"/>
        </w:rPr>
        <w:t xml:space="preserve">代理机构</w:t>
      </w:r>
      <w:r>
        <w:rPr>
          <w:rFonts w:hint="eastAsia" w:ascii="宋体" w:hAnsi="宋体" w:cs="宋体"/>
          <w:bCs/>
          <w:color w:val="auto"/>
          <w:sz w:val="24"/>
          <w:highlight w:val="none"/>
        </w:rPr>
        <w:t xml:space="preserve">均不得向投标人或与评标无关的其他人员透露。</w:t>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3.4在评标期间，</w:t>
      </w:r>
      <w:r>
        <w:rPr>
          <w:rFonts w:hint="eastAsia" w:ascii="宋体" w:hAnsi="宋体" w:cs="宋体"/>
          <w:bCs/>
          <w:color w:val="auto"/>
          <w:sz w:val="24"/>
          <w:highlight w:val="none"/>
        </w:rPr>
        <w:t xml:space="preserve">采购人或代理机构</w:t>
      </w:r>
      <w:r>
        <w:rPr>
          <w:rFonts w:hint="eastAsia" w:ascii="宋体" w:hAnsi="宋体" w:cs="宋体"/>
          <w:color w:val="auto"/>
          <w:sz w:val="24"/>
          <w:highlight w:val="none"/>
        </w:rPr>
        <w:t xml:space="preserve">将设专门人员与投标人联系。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3.5</w:t>
      </w:r>
      <w:r>
        <w:rPr>
          <w:rFonts w:hint="eastAsia" w:ascii="宋体" w:hAnsi="宋体" w:cs="宋体"/>
          <w:bCs/>
          <w:color w:val="auto"/>
          <w:sz w:val="24"/>
          <w:highlight w:val="none"/>
        </w:rPr>
        <w:t xml:space="preserve">采购人、代理机构</w:t>
      </w:r>
      <w:r>
        <w:rPr>
          <w:rFonts w:hint="eastAsia" w:ascii="宋体" w:hAnsi="宋体" w:cs="宋体"/>
          <w:color w:val="auto"/>
          <w:sz w:val="24"/>
          <w:highlight w:val="none"/>
        </w:rPr>
        <w:t xml:space="preserve">和评标委员会不向未中标的投标人解释未中标原因，也不公布评标过程中的相关细节。</w:t>
      </w:r>
      <w:bookmarkStart w:id="72" w:name="_Toc16938548"/>
      <w:r/>
      <w:bookmarkStart w:id="73" w:name="_Toc20823304"/>
      <w:r/>
      <w:bookmarkStart w:id="74" w:name="_Toc513029232"/>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3.6采用综合评分法的项目，未中标的投标人可于中标结果公告期限届满之日起通过苏采云系统查看自己的评审得分及排序情况。</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4.投标的澄清</w:t>
      </w:r>
      <w:bookmarkEnd w:id="72"/>
      <w:r/>
      <w:bookmarkEnd w:id="73"/>
      <w:r/>
      <w:bookmarkEnd w:id="74"/>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4.1评标期间，评委会对投标文件中含义不明确、同类问题表述不一致或者有明显文字和计算错误的内容 ，有权要求投标人作出必要的澄清、说明或者补正。</w:t>
      </w:r>
      <w:r/>
    </w:p>
    <w:p>
      <w:pPr>
        <w:pStyle w:val="652"/>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52"/>
        <w:ind w:firstLine="480"/>
        <w:jc w:val="left"/>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4.3接到评委会澄清、说明和补正要求的投标人如未按规定做出澄清、说明和补正，其风险由投标人自行承担。</w:t>
      </w:r>
      <w:r/>
    </w:p>
    <w:p>
      <w:pPr>
        <w:pStyle w:val="652"/>
        <w:ind w:firstLine="480"/>
        <w:jc w:val="left"/>
        <w:spacing w:line="360" w:lineRule="auto"/>
        <w:rPr>
          <w:rFonts w:ascii="宋体" w:hAnsi="宋体" w:eastAsia="宋体" w:cs="宋体"/>
          <w:bCs/>
          <w:color w:val="auto"/>
          <w:sz w:val="24"/>
          <w:szCs w:val="24"/>
          <w:highlight w:val="none"/>
        </w:rPr>
      </w:pPr>
      <w:r/>
      <w:bookmarkStart w:id="75" w:name="_Toc513029233"/>
      <w:r/>
      <w:bookmarkStart w:id="76" w:name="_Toc20823305"/>
      <w:r/>
      <w:bookmarkStart w:id="77" w:name="_Toc16938549"/>
      <w:r>
        <w:rPr>
          <w:rFonts w:hint="eastAsia" w:ascii="宋体" w:hAnsi="宋体" w:eastAsia="宋体" w:cs="宋体"/>
          <w:color w:val="auto"/>
          <w:sz w:val="24"/>
          <w:szCs w:val="24"/>
          <w:highlight w:val="none"/>
        </w:rPr>
        <w:t xml:space="preserve">5.对投标文件的初审</w:t>
      </w:r>
      <w:bookmarkEnd w:id="75"/>
      <w:r/>
      <w:bookmarkEnd w:id="76"/>
      <w:r/>
      <w:bookmarkEnd w:id="77"/>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w:t>
      </w:r>
      <w:r>
        <w:rPr>
          <w:rFonts w:hint="eastAsia" w:ascii="宋体" w:hAnsi="宋体" w:cs="宋体"/>
          <w:bCs/>
          <w:color w:val="auto"/>
          <w:sz w:val="24"/>
          <w:highlight w:val="none"/>
        </w:rPr>
        <w:t xml:space="preserve">投标文件初审分为资格审查和符合性审查。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5.1.1资格审查</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依据法律法规和招标文件的规定，由采购人对投标文件中的资格审查证明材料进行审查。资格审查的结论，采购人以书面形式向评委会进行反馈。</w:t>
      </w:r>
      <w:r/>
    </w:p>
    <w:p>
      <w:pPr>
        <w:ind w:firstLine="482"/>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
          <w:bCs w:val="0"/>
          <w:color w:val="auto"/>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auto"/>
          <w:sz w:val="24"/>
          <w:highlight w:val="none"/>
        </w:rPr>
        <w:t xml:space="preserve">。</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5.1.2符合性审查</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5.1.3未通过资格审查或符合性审查的投标人，采购代理将在苏采云系统中告知未通过资格审查或符合性审查的原因，评标结束后，采购代理将不再告知未通过资格审查或符合性审查的原因。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5.4</w:t>
      </w:r>
      <w:r>
        <w:rPr>
          <w:rFonts w:hint="eastAsia" w:ascii="宋体" w:hAnsi="宋体" w:cs="宋体"/>
          <w:bCs/>
          <w:color w:val="auto"/>
          <w:sz w:val="24"/>
          <w:highlight w:val="none"/>
        </w:rPr>
        <w:t xml:space="preserve">评委会将对确定为实质性响应的投标进行进一步审核，确定其是否有计算上或累加上的算术错误，修正错误的原则如下</w:t>
      </w:r>
      <w:r>
        <w:rPr>
          <w:rFonts w:hint="eastAsia" w:ascii="宋体" w:hAnsi="宋体" w:cs="宋体"/>
          <w:bCs/>
          <w:color w:val="auto"/>
          <w:sz w:val="24"/>
          <w:highlight w:val="none"/>
          <w:lang w:eastAsia="zh-CN"/>
        </w:rPr>
        <w:t xml:space="preserve">：</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（1）投标文件中开标一览表内容与投标文件中相应内容不一致的，以开标一览表为准。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（2）大写金额和小写金额不一致的，以大写金额为准。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（3）单价金额小数点或者百分比有明显错位的，以开标一览表的总价为准，并修改单价。</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（4）总价金额与按单价汇总金额不一致的，以单价金额计算结果为准。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同时出现两种以上错误的，按照前款规定的顺序修正。</w:t>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5.5</w:t>
      </w:r>
      <w:r>
        <w:rPr>
          <w:rFonts w:hint="eastAsia" w:ascii="宋体" w:hAnsi="宋体" w:cs="宋体"/>
          <w:bCs/>
          <w:color w:val="auto"/>
          <w:sz w:val="24"/>
          <w:highlight w:val="none"/>
        </w:rPr>
        <w:t xml:space="preserve">评委会将按上述修正错误的方法调整投标文件中的报价，并通过苏采云系统告知投标人，调整后的价格应对投标人具有约束力。如果投标人不接受修正后的价格，则其投标将被拒绝。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cs="宋体"/>
          <w:color w:val="auto"/>
          <w:sz w:val="24"/>
          <w:highlight w:val="none"/>
        </w:rPr>
      </w:pPr>
      <w:r/>
      <w:bookmarkStart w:id="78" w:name="_Toc16938550"/>
      <w:r/>
      <w:bookmarkStart w:id="79" w:name="_Toc513029234"/>
      <w:r/>
      <w:bookmarkStart w:id="80" w:name="_Toc20823306"/>
      <w:r>
        <w:rPr>
          <w:rFonts w:hint="eastAsia" w:ascii="宋体" w:hAnsi="宋体" w:cs="宋体"/>
          <w:color w:val="auto"/>
          <w:sz w:val="24"/>
          <w:highlight w:val="none"/>
        </w:rPr>
        <w:t xml:space="preserve">5.6</w:t>
      </w:r>
      <w:r>
        <w:rPr>
          <w:rFonts w:hint="eastAsia" w:ascii="宋体" w:hAnsi="宋体"/>
          <w:color w:val="auto"/>
          <w:sz w:val="24"/>
          <w:highlight w:val="none"/>
        </w:rPr>
        <w:t xml:space="preserve">投标人在开、评标全过程中应保持通讯畅通，及时登录苏采云系统查阅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并安排专人与采购中心及评标委员会联系。</w:t>
      </w:r>
      <w:bookmarkEnd w:id="78"/>
      <w:r/>
      <w:bookmarkEnd w:id="79"/>
      <w:r/>
      <w:bookmarkEnd w:id="80"/>
      <w:r/>
      <w:r/>
    </w:p>
    <w:p>
      <w:pPr>
        <w:pStyle w:val="652"/>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6.无效投标条款和废标条款</w:t>
      </w:r>
      <w:r/>
    </w:p>
    <w:p>
      <w:pPr>
        <w:ind w:firstLine="480"/>
        <w:jc w:val="left"/>
        <w:spacing w:line="360" w:lineRule="auto"/>
        <w:tabs>
          <w:tab w:val="left" w:pos="6555" w:leader="none"/>
          <w:tab w:val="right" w:pos="8306" w:leader="none"/>
        </w:tabs>
        <w:rPr>
          <w:rFonts w:ascii="宋体" w:hAnsi="宋体" w:cs="宋体"/>
          <w:b/>
          <w:color w:val="auto"/>
          <w:sz w:val="24"/>
          <w:highlight w:val="none"/>
        </w:rPr>
      </w:pPr>
      <w:r/>
      <w:bookmarkStart w:id="81" w:name="_Toc16938551"/>
      <w:r/>
      <w:bookmarkStart w:id="82" w:name="_Toc513029235"/>
      <w:r/>
      <w:bookmarkStart w:id="83" w:name="_Toc20823307"/>
      <w:r>
        <w:rPr>
          <w:rFonts w:hint="eastAsia" w:ascii="宋体" w:hAnsi="宋体" w:cs="宋体"/>
          <w:bCs/>
          <w:color w:val="auto"/>
          <w:sz w:val="24"/>
          <w:highlight w:val="none"/>
        </w:rPr>
        <w:t xml:space="preserve">6.1无效投标条款</w:t>
      </w:r>
      <w:r>
        <w:rPr>
          <w:rFonts w:hint="eastAsia" w:ascii="宋体" w:hAnsi="宋体" w:cs="宋体"/>
          <w:bCs/>
          <w:color w:val="auto"/>
          <w:sz w:val="24"/>
          <w:highlight w:val="none"/>
        </w:rPr>
        <w:tab/>
      </w:r>
      <w:r>
        <w:rPr>
          <w:rFonts w:hint="eastAsia" w:ascii="宋体" w:hAnsi="宋体" w:cs="宋体"/>
          <w:b/>
          <w:color w:val="auto"/>
          <w:sz w:val="24"/>
          <w:highlight w:val="none"/>
        </w:rPr>
        <w:tab/>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6.1.1投标人在苏采云系统规定的时间内未成功解密电子投标文件的。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6.1.2投标人未按照招标文件要求上传电子投标文件的。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6.1.3同一投标人提交两个（含两个）以上不同的投标报价的。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6.1.4投标人不具备招标文件中规定资格要求的。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6.1.5投标报价超过项目最高限价的。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6.1.6</w:t>
      </w:r>
      <w:r>
        <w:rPr>
          <w:rFonts w:hint="eastAsia" w:ascii="宋体" w:hAnsi="宋体"/>
          <w:bCs/>
          <w:color w:val="auto"/>
          <w:sz w:val="24"/>
          <w:highlight w:val="none"/>
        </w:rPr>
        <w:t xml:space="preserve">未通过符合性审查的。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6.1.7</w:t>
      </w:r>
      <w:r>
        <w:rPr>
          <w:rFonts w:hint="eastAsia" w:ascii="宋体" w:hAnsi="宋体"/>
          <w:bCs/>
          <w:color w:val="auto"/>
          <w:sz w:val="24"/>
          <w:highlight w:val="none"/>
        </w:rPr>
        <w:t xml:space="preserve">不符合招标文件中规定的其他实质性要求和条件的。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6.1.8</w:t>
      </w:r>
      <w:r>
        <w:rPr>
          <w:rFonts w:hint="eastAsia" w:ascii="宋体" w:hAnsi="宋体"/>
          <w:bCs/>
          <w:color w:val="auto"/>
          <w:sz w:val="24"/>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6.1.9</w:t>
      </w:r>
      <w:r>
        <w:rPr>
          <w:rFonts w:hint="eastAsia" w:ascii="宋体" w:hAnsi="宋体"/>
          <w:bCs/>
          <w:color w:val="auto"/>
          <w:sz w:val="24"/>
          <w:highlight w:val="none"/>
        </w:rPr>
        <w:t xml:space="preserve">投标文件含有采购人不能接受的附加条件的。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6.1.10</w:t>
      </w:r>
      <w:r>
        <w:rPr>
          <w:rFonts w:hint="eastAsia" w:ascii="宋体" w:hAnsi="宋体"/>
          <w:bCs/>
          <w:color w:val="auto"/>
          <w:sz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6.1.11</w:t>
      </w:r>
      <w:r>
        <w:rPr>
          <w:rFonts w:hint="eastAsia" w:ascii="宋体" w:hAnsi="宋体"/>
          <w:bCs/>
          <w:color w:val="auto"/>
          <w:sz w:val="24"/>
          <w:highlight w:val="none"/>
        </w:rPr>
        <w:t xml:space="preserve">投标文件未按照招标文件要求进行签章。</w:t>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6.1.12</w:t>
      </w:r>
      <w:r>
        <w:rPr>
          <w:rFonts w:hint="eastAsia" w:ascii="宋体" w:hAnsi="宋体"/>
          <w:bCs/>
          <w:color w:val="auto"/>
          <w:sz w:val="24"/>
          <w:highlight w:val="none"/>
        </w:rPr>
        <w:t xml:space="preserve">其他法律、法规及本招标文件规定的属无效投标的情形。</w:t>
      </w:r>
      <w:r/>
    </w:p>
    <w:p>
      <w:pPr>
        <w:ind w:firstLine="480"/>
        <w:jc w:val="left"/>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6.2废标条款</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6.2.1符合专业条件的投标人或者对招标文件作实质响应的投标人不足三家的。</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6.2.2出现影响采购公正的违法、违规行为的。</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6.2.3因重大变故，采购任务取消的。</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6.2.4评标委员会认定招标文件存在歧义、重大缺陷导致评标工作无法进行。</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6.2.5</w:t>
      </w:r>
      <w:r>
        <w:rPr>
          <w:rFonts w:hint="eastAsia" w:ascii="宋体" w:hAnsi="宋体"/>
          <w:bCs/>
          <w:color w:val="auto"/>
          <w:sz w:val="24"/>
          <w:highlight w:val="none"/>
        </w:rPr>
        <w:t xml:space="preserve">因</w:t>
      </w:r>
      <w:r>
        <w:rPr>
          <w:rFonts w:hint="eastAsia" w:ascii="宋体" w:hAnsi="宋体"/>
          <w:color w:val="auto"/>
          <w:sz w:val="24"/>
          <w:highlight w:val="none"/>
        </w:rPr>
        <w:t xml:space="preserve">苏采云系统</w:t>
      </w:r>
      <w:r>
        <w:rPr>
          <w:rFonts w:ascii="宋体" w:hAnsi="宋体"/>
          <w:bCs/>
          <w:color w:val="auto"/>
          <w:sz w:val="24"/>
          <w:highlight w:val="none"/>
        </w:rPr>
        <w:t xml:space="preserve">系统故障原因造成开标不成功</w:t>
      </w:r>
      <w:r>
        <w:rPr>
          <w:rFonts w:hint="eastAsia" w:ascii="宋体" w:hAnsi="宋体"/>
          <w:bCs/>
          <w:color w:val="auto"/>
          <w:sz w:val="24"/>
          <w:highlight w:val="none"/>
        </w:rPr>
        <w:t xml:space="preserve">的</w:t>
      </w:r>
      <w:r>
        <w:rPr>
          <w:rFonts w:ascii="宋体" w:hAnsi="宋体"/>
          <w:bCs/>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6.3 提交投标文件截止时间结束后参加投标的投标人不足三家的处理</w:t>
      </w:r>
      <w:r>
        <w:rPr>
          <w:rFonts w:hint="eastAsia" w:ascii="宋体" w:hAnsi="宋体" w:cs="宋体"/>
          <w:bCs/>
          <w:color w:val="auto"/>
          <w:sz w:val="24"/>
          <w:highlight w:val="none"/>
          <w:lang w:eastAsia="zh-CN"/>
        </w:rPr>
        <w:t xml:space="preserve">：</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6.3.1如出现提交投标文件截止时间结束后参加投标的投标人或者在评标期间对招标文件做出实质响应的投标人不足三家情况，按政府采购相关规定执行。</w:t>
      </w:r>
      <w:bookmarkEnd w:id="81"/>
      <w:r/>
      <w:bookmarkEnd w:id="82"/>
      <w:r/>
      <w:bookmarkEnd w:id="83"/>
      <w:r/>
      <w:bookmarkStart w:id="84" w:name="_Toc120614219"/>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（七）定标</w:t>
      </w:r>
      <w:bookmarkEnd w:id="84"/>
      <w:r/>
      <w:bookmarkStart w:id="85" w:name="_Toc20823310"/>
      <w:r/>
      <w:bookmarkStart w:id="86" w:name="_Toc16938554"/>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1.确定</w:t>
      </w:r>
      <w:bookmarkEnd w:id="85"/>
      <w:r/>
      <w:bookmarkEnd w:id="86"/>
      <w:r>
        <w:rPr>
          <w:rFonts w:hint="eastAsia" w:ascii="宋体" w:hAnsi="宋体" w:cs="宋体"/>
          <w:color w:val="auto"/>
          <w:sz w:val="24"/>
          <w:highlight w:val="none"/>
        </w:rPr>
        <w:t xml:space="preserve">中标单位</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1.1中标候选人的选取原则和数量见招标文件第五部分规定。 </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w:t>
      </w:r>
      <w:r>
        <w:rPr>
          <w:rFonts w:ascii="宋体" w:hAnsi="宋体"/>
          <w:color w:val="auto"/>
          <w:sz w:val="24"/>
          <w:highlight w:val="none"/>
        </w:rPr>
        <w:t xml:space="preserve">采购人委托评标委员会直接</w:t>
      </w:r>
      <w:r>
        <w:rPr>
          <w:rFonts w:hint="eastAsia" w:ascii="宋体" w:hAnsi="宋体"/>
          <w:bCs/>
          <w:color w:val="auto"/>
          <w:sz w:val="24"/>
          <w:highlight w:val="none"/>
        </w:rPr>
        <w:t xml:space="preserve">确定中标人。</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1.3采购人或采购代理机构将在“江苏政府采购网”发布中标公告，公告期限为1个工作日。</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1.4若有充分证据证明，中标人出现下列情况之一的，一经查实，将被取消中标资格</w:t>
      </w:r>
      <w:r>
        <w:rPr>
          <w:rFonts w:hint="eastAsia" w:ascii="宋体" w:hAnsi="宋体" w:cs="宋体"/>
          <w:bCs/>
          <w:color w:val="auto"/>
          <w:sz w:val="24"/>
          <w:highlight w:val="none"/>
          <w:lang w:eastAsia="zh-CN"/>
        </w:rPr>
        <w:t xml:space="preserve">：</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1.4.1提供虚假材料谋取中标的。</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1.4.2</w:t>
      </w:r>
      <w:bookmarkStart w:id="87" w:name="_Hlk107999356"/>
      <w:r>
        <w:rPr>
          <w:rFonts w:hint="eastAsia" w:ascii="宋体" w:hAnsi="宋体"/>
          <w:color w:val="auto"/>
          <w:sz w:val="24"/>
          <w:highlight w:val="none"/>
        </w:rPr>
        <w:t xml:space="preserve">向采购人、采购代理机构行贿或者提供其他不正当利益的。</w:t>
      </w:r>
      <w:bookmarkEnd w:id="87"/>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1.4.3属于本文件规定的无效条件，但在评标过程中又未被评委会发现的。</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1.4.4与采购人或者其他投标人恶意串通的。</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1.4.5采取不正当手段诋毁、排挤其他投标人的。</w:t>
      </w:r>
      <w:r/>
    </w:p>
    <w:p>
      <w:pPr>
        <w:ind w:firstLine="480"/>
        <w:jc w:val="left"/>
        <w:spacing w:line="360" w:lineRule="auto"/>
        <w:rPr>
          <w:rFonts w:hint="eastAsia" w:ascii="宋体" w:hAnsi="宋体" w:eastAsia="宋体" w:cs="宋体"/>
          <w:color w:val="auto"/>
          <w:sz w:val="24"/>
          <w:highlight w:val="none"/>
          <w:lang w:eastAsia="zh-CN"/>
        </w:rPr>
      </w:pPr>
      <w:r/>
      <w:bookmarkStart w:id="88" w:name="_Toc200451960"/>
      <w:r>
        <w:rPr>
          <w:rFonts w:hint="eastAsia" w:ascii="宋体" w:hAnsi="宋体" w:cs="宋体"/>
          <w:color w:val="auto"/>
          <w:sz w:val="24"/>
          <w:highlight w:val="none"/>
        </w:rPr>
        <w:t xml:space="preserve">1.5.有下列情形之一的，视为投标人串通投标，投标无效</w:t>
      </w:r>
      <w:r>
        <w:rPr>
          <w:rFonts w:hint="eastAsia" w:ascii="宋体" w:hAnsi="宋体" w:cs="宋体"/>
          <w:color w:val="auto"/>
          <w:sz w:val="24"/>
          <w:highlight w:val="none"/>
          <w:lang w:eastAsia="zh-CN"/>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1.5.1不同投标人的投标文件由同一单位或者个人编制；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1.5.2不同投标人委托同一单位或者个人办理投标事宜；</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1.5.3不同投标人的投标文件载明的项目管理成员或者联系人员为同一人；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1.5.4不同投标人的投标文件异常一致或者投标报价呈规律性差异；</w:t>
      </w:r>
      <w:r/>
    </w:p>
    <w:p>
      <w:pPr>
        <w:pStyle w:val="652"/>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2.质疑处理</w:t>
      </w:r>
      <w:bookmarkEnd w:id="88"/>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 提出质疑的投标人应当是参与所质疑项目采购活动的投标人。潜在投标人依法获取其可质疑的招标文件的，可以对招标文件提出质疑。</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2.2投标人认为招标文件、采购过程和采购结果使自己的权益受到损害的，可以在知道或应知其权益受到损害之日起七个工作日内，以书面形式向采购人提出质疑。上述应知其权益受到损害之日，是指</w:t>
      </w:r>
      <w:r>
        <w:rPr>
          <w:rFonts w:hint="eastAsia" w:ascii="宋体" w:hAnsi="宋体" w:cs="宋体"/>
          <w:color w:val="auto"/>
          <w:sz w:val="24"/>
          <w:highlight w:val="none"/>
          <w:lang w:eastAsia="zh-CN"/>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2.2.1对可以质疑的招标文件提出质疑的，为收到招标文件之日或者招标文件公告期限届满之日；</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　　2.2.2对采购过程提出质疑的，为各采购程序环节结束之日；</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　　2.2.3对中标或者成交结果提出质疑的，为中标或者成交结果公告期限届满之日。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投标人应当在法定质疑期内一次性提出针对同一采购程序环节的质疑。投标人如在法定期限内对同一采购程序环节提出多次质疑的，采购人、采购代理机构将只对供应商第一次质疑作出答复。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2.3质疑函必须按照本招标文件中《质疑函范本》要求的格式和内容进行填写。</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投标人如组成联合体参加投标，则《质疑函范本》中要求签字、盖章、加盖公章之处，联合体各方均须按要求签字、盖章、加盖公章。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供应商（含潜在供应商）对采购方式、采购需求、投标人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采购人及采购代理机构只接收以纸质原件形式送达的质疑。若采用邮寄方式提交质疑的，采购人和采购代理机构不接受未填写快递运单的快件。</w:t>
      </w:r>
      <w:r/>
    </w:p>
    <w:p>
      <w:pPr>
        <w:ind w:firstLine="480"/>
        <w:jc w:val="left"/>
        <w:spacing w:line="360" w:lineRule="auto"/>
        <w:rPr>
          <w:rFonts w:ascii="宋体" w:hAnsi="宋体" w:cs="宋体"/>
          <w:color w:val="auto"/>
          <w:sz w:val="24"/>
          <w:highlight w:val="none"/>
        </w:rPr>
      </w:pPr>
      <w:r>
        <w:rPr>
          <w:rFonts w:hint="eastAsia" w:ascii="宋体" w:hAnsi="宋体"/>
          <w:color w:val="auto"/>
          <w:sz w:val="24"/>
          <w:highlight w:val="none"/>
        </w:rPr>
        <w:t xml:space="preserve">采购人、采购代理机构质疑接收人及联系方式见招标文件第一章。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2.5 以下情形的质疑不予受理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2.5.1 内容不符合《政府采购质疑和投诉办法》第十二条规定的质疑。</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2.5.2 超出政府采购法定期限的质疑。</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2.5.3</w:t>
      </w:r>
      <w:r>
        <w:rPr>
          <w:rFonts w:hint="eastAsia" w:ascii="宋体" w:hAnsi="宋体"/>
          <w:color w:val="auto"/>
          <w:sz w:val="24"/>
          <w:highlight w:val="none"/>
        </w:rPr>
        <w:t xml:space="preserve">以传真、电子邮件等方式递交的非原件形式的质疑。</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2.5.4未参加投标活动的投标人或在投标活动中自身权益未受到损害的投标人所提出的质疑。</w:t>
      </w:r>
      <w:r/>
    </w:p>
    <w:p>
      <w:pPr>
        <w:ind w:firstLine="468"/>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2.5.5</w:t>
      </w:r>
      <w:r>
        <w:rPr>
          <w:rFonts w:hint="eastAsia" w:ascii="宋体" w:hAnsi="宋体"/>
          <w:color w:val="auto"/>
          <w:sz w:val="24"/>
          <w:highlight w:val="none"/>
        </w:rPr>
        <w:t xml:space="preserve">供应商组成联合体参加投标，联合体中任何一方或多方未按要求签字、盖章、加盖公章的质疑。</w:t>
      </w:r>
      <w:r/>
    </w:p>
    <w:p>
      <w:pPr>
        <w:ind w:firstLine="468"/>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468"/>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3．中标通知书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3.2中标通知书将是合同的一个组成部分。对采购人和中标人均具有法律效力。中标通知书发出后，采购人改变中标结果的，或者中标人放弃中标项目的，应当依法承担法律责任。</w:t>
      </w:r>
      <w:r/>
    </w:p>
    <w:p>
      <w:pPr>
        <w:pStyle w:val="651"/>
        <w:jc w:val="left"/>
        <w:spacing w:before="0" w:after="0" w:line="360" w:lineRule="auto"/>
        <w:rPr>
          <w:rFonts w:ascii="宋体" w:hAnsi="宋体" w:cs="宋体"/>
          <w:color w:val="auto"/>
          <w:sz w:val="24"/>
          <w:szCs w:val="24"/>
          <w:highlight w:val="none"/>
        </w:rPr>
      </w:pPr>
      <w:r/>
      <w:bookmarkStart w:id="89" w:name="_Toc120614220"/>
      <w:r/>
      <w:bookmarkStart w:id="90" w:name="_Toc16938552"/>
      <w:r/>
      <w:bookmarkStart w:id="91" w:name="_Toc513029236"/>
      <w:r/>
      <w:bookmarkStart w:id="92" w:name="_Toc20823308"/>
      <w:r>
        <w:rPr>
          <w:rFonts w:hint="eastAsia" w:ascii="宋体" w:hAnsi="宋体" w:cs="宋体"/>
          <w:color w:val="auto"/>
          <w:sz w:val="24"/>
          <w:szCs w:val="24"/>
          <w:highlight w:val="none"/>
        </w:rPr>
        <w:t xml:space="preserve">（八）授予合同</w:t>
      </w:r>
      <w:bookmarkEnd w:id="89"/>
      <w:r/>
      <w:bookmarkEnd w:id="90"/>
      <w:bookmarkEnd w:id="91"/>
      <w:bookmarkEnd w:id="92"/>
      <w:r/>
    </w:p>
    <w:p>
      <w:pPr>
        <w:pStyle w:val="652"/>
        <w:ind w:firstLine="480"/>
        <w:jc w:val="left"/>
        <w:spacing w:line="360" w:lineRule="auto"/>
        <w:rPr>
          <w:rFonts w:ascii="宋体" w:hAnsi="宋体" w:eastAsia="宋体" w:cs="宋体"/>
          <w:b/>
          <w:color w:val="auto"/>
          <w:sz w:val="24"/>
          <w:szCs w:val="24"/>
          <w:highlight w:val="none"/>
        </w:rPr>
      </w:pPr>
      <w:r/>
      <w:bookmarkStart w:id="93" w:name="_Toc16938553"/>
      <w:r/>
      <w:bookmarkStart w:id="94" w:name="_Toc513029237"/>
      <w:r/>
      <w:bookmarkStart w:id="95" w:name="_Toc20823309"/>
      <w:r>
        <w:rPr>
          <w:rFonts w:hint="eastAsia" w:ascii="宋体" w:hAnsi="宋体" w:eastAsia="宋体" w:cs="宋体"/>
          <w:color w:val="auto"/>
          <w:sz w:val="24"/>
          <w:szCs w:val="24"/>
          <w:highlight w:val="none"/>
        </w:rPr>
        <w:t xml:space="preserve">1.签订合同</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w:t>
      </w:r>
      <w:r>
        <w:rPr>
          <w:rFonts w:hint="eastAsia" w:ascii="宋体" w:hAnsi="宋体" w:cs="宋体"/>
          <w:color w:val="auto"/>
          <w:sz w:val="24"/>
          <w:highlight w:val="none"/>
        </w:rPr>
        <w:t xml:space="preserve">.l中标人应当在中标通知书发出之日起三十日内，按照招标文件确定的事项与采购人签订政府采购合同。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1.2招标文件、中标人的投标文件及招标过程中有关澄清、承诺文件均应作为合同附件。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签订合同后，中标人不得将合同标的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pStyle w:val="652"/>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2.服务（包含与服务相关的货物）的追加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olor w:val="auto"/>
          <w:sz w:val="24"/>
          <w:highlight w:val="none"/>
        </w:rPr>
        <w:t xml:space="preserve">政府采购合同履行中，采购人需追加与合同标的相同的服务（包含与服务相关的货物），在不改变合同其他条款的前提下，可以与中标人协商签订补充合同，但所有</w:t>
      </w:r>
      <w:r>
        <w:rPr>
          <w:rFonts w:hint="eastAsia" w:ascii="宋体" w:hAnsi="宋体" w:cs="宋体"/>
          <w:color w:val="auto"/>
          <w:sz w:val="24"/>
          <w:highlight w:val="none"/>
        </w:rPr>
        <w:t xml:space="preserve">补充合同的采购金额不超过原合同金额10%。</w:t>
      </w:r>
      <w:bookmarkEnd w:id="93"/>
      <w:r/>
      <w:bookmarkEnd w:id="94"/>
      <w:r/>
      <w:bookmarkEnd w:id="95"/>
      <w:r/>
      <w:r/>
    </w:p>
    <w:p>
      <w:pPr>
        <w:numPr>
          <w:ilvl w:val="0"/>
          <w:numId w:val="0"/>
        </w:numPr>
        <w:ind w:left="0" w:firstLine="480"/>
        <w:jc w:val="left"/>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highlight w:val="none"/>
        </w:rPr>
        <w:t xml:space="preserve">政府采购合同信用融资扶持政策</w:t>
      </w:r>
      <w:r/>
    </w:p>
    <w:p>
      <w:pPr>
        <w:numPr>
          <w:ilvl w:val="0"/>
          <w:numId w:val="0"/>
        </w:numPr>
        <w:ind w:left="0" w:firstLine="48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3.1根据</w:t>
      </w:r>
      <w:r>
        <w:rPr>
          <w:rFonts w:hint="eastAsia" w:ascii="宋体" w:hAnsi="宋体" w:cs="宋体"/>
          <w:b/>
          <w:color w:val="auto"/>
          <w:sz w:val="24"/>
          <w:highlight w:val="none"/>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numPr>
          <w:ilvl w:val="0"/>
          <w:numId w:val="0"/>
        </w:numPr>
        <w:ind w:left="0" w:firstLine="480"/>
        <w:jc w:val="left"/>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3.2根据《关于深入开展南通市政府采购线上合同信用融资业务的通知》（通财购〔2022〕68号），成交供应商可通过中征应收账款融资服务平台（简称“中征平台”）办理“政采贷”融资贷款，具体业务操作流程如下</w:t>
      </w:r>
      <w:r>
        <w:rPr>
          <w:rFonts w:hint="eastAsia" w:ascii="宋体" w:hAnsi="宋体" w:cs="宋体"/>
          <w:b/>
          <w:color w:val="auto"/>
          <w:sz w:val="24"/>
          <w:highlight w:val="none"/>
          <w:lang w:eastAsia="zh-CN"/>
        </w:rPr>
        <w:t xml:space="preserve">：</w:t>
      </w:r>
      <w:r/>
    </w:p>
    <w:p>
      <w:pPr>
        <w:numPr>
          <w:ilvl w:val="0"/>
          <w:numId w:val="0"/>
        </w:numPr>
        <w:ind w:left="0" w:firstLine="48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3.2.1确定融资意向。成交供应商取得成交通知书后，联系意向金融机构，商治融资事项，确定融资意向。</w:t>
      </w:r>
      <w:r/>
    </w:p>
    <w:p>
      <w:pPr>
        <w:numPr>
          <w:ilvl w:val="0"/>
          <w:numId w:val="0"/>
        </w:numPr>
        <w:ind w:left="0" w:firstLine="480"/>
        <w:jc w:val="left"/>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3.2.2签订采购合同。成交供应商与采购人签订政府采购合同时，应将自身融资需求告知采购人或其委托的采购代理机构，提醒 (或协助 ) 其当天在“苏采云”上传合同的同时将“供应商是否融资”选为“是”</w:t>
      </w:r>
      <w:r>
        <w:rPr>
          <w:rFonts w:hint="eastAsia" w:ascii="宋体" w:hAnsi="宋体" w:cs="宋体"/>
          <w:b/>
          <w:color w:val="auto"/>
          <w:sz w:val="24"/>
          <w:highlight w:val="none"/>
          <w:lang w:eastAsia="zh-CN"/>
        </w:rPr>
        <w:t xml:space="preserve">。</w:t>
      </w:r>
      <w:r/>
    </w:p>
    <w:p>
      <w:pPr>
        <w:numPr>
          <w:ilvl w:val="0"/>
          <w:numId w:val="0"/>
        </w:numPr>
        <w:ind w:left="0" w:firstLine="48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3.2.3提交融资申请。成交供应商登录“中征平台”进行用户注册，查看“政采贷”融资产品，向确定合作的金融机构提交融资申请。</w:t>
      </w:r>
      <w:r/>
    </w:p>
    <w:p>
      <w:pPr>
        <w:numPr>
          <w:ilvl w:val="0"/>
          <w:numId w:val="0"/>
        </w:numPr>
        <w:ind w:left="0" w:firstLine="480"/>
        <w:jc w:val="left"/>
        <w:spacing w:line="360" w:lineRule="auto"/>
        <w:rPr>
          <w:color w:val="auto"/>
          <w:highlight w:val="none"/>
        </w:rPr>
      </w:pPr>
      <w:r>
        <w:rPr>
          <w:rFonts w:hint="eastAsia" w:ascii="宋体" w:hAnsi="宋体" w:cs="宋体"/>
          <w:b/>
          <w:color w:val="auto"/>
          <w:sz w:val="24"/>
          <w:highlight w:val="none"/>
        </w:rPr>
        <w:t xml:space="preserve">3.2.4确认回款账户。金融机构填写需要锁定的回款账户信息后成交供应商应登录“中征平台”确认账户信息，以实现回款账户的锁定。</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olor w:val="auto"/>
          <w:highlight w:val="none"/>
        </w:rPr>
        <w:sectPr>
          <w:footerReference w:type="default" r:id="rId10"/>
          <w:footnotePr/>
          <w:endnotePr/>
          <w:type w:val="nextPage"/>
          <w:pgSz w:w="11906" w:h="16838" w:orient="portrait"/>
          <w:pgMar w:top="1587" w:right="1417" w:bottom="1587" w:left="1417" w:header="851" w:footer="992" w:gutter="0"/>
          <w:pgNumType w:start="1"/>
          <w:cols w:num="1" w:sep="0" w:space="1701" w:equalWidth="1"/>
          <w:docGrid w:linePitch="360"/>
        </w:sectPr>
      </w:pPr>
      <w:r>
        <w:rPr>
          <w:rFonts w:ascii="宋体" w:hAnsi="宋体"/>
          <w:color w:val="auto"/>
          <w:highlight w:val="none"/>
        </w:rPr>
      </w:r>
      <w:r/>
    </w:p>
    <w:p>
      <w:pPr>
        <w:jc w:val="left"/>
        <w:keepLines w:val="0"/>
        <w:keepNext w:val="0"/>
        <w:pageBreakBefore w:val="0"/>
        <w:spacing w:line="360" w:lineRule="auto"/>
        <w:widowControl w:val="off"/>
        <w:tabs>
          <w:tab w:val="left" w:pos="2607" w:leader="none"/>
          <w:tab w:val="center" w:pos="4596" w:leader="none"/>
        </w:tabs>
        <w:rPr>
          <w:rFonts w:ascii="宋体" w:hAnsi="宋体"/>
          <w:bCs/>
          <w:color w:val="auto"/>
          <w:sz w:val="36"/>
          <w:szCs w:val="36"/>
          <w:highlight w:val="none"/>
        </w:rPr>
        <w:outlineLvl w:val="0"/>
      </w:pPr>
      <w:r>
        <w:rPr>
          <w:rFonts w:hint="eastAsia" w:ascii="宋体" w:hAnsi="宋体"/>
          <w:bCs/>
          <w:color w:val="auto"/>
          <w:sz w:val="36"/>
          <w:szCs w:val="36"/>
          <w:highlight w:val="none"/>
          <w:lang w:eastAsia="zh-CN"/>
        </w:rPr>
        <w:tab/>
      </w:r>
      <w:r>
        <w:rPr>
          <w:rFonts w:hint="eastAsia" w:ascii="宋体" w:hAnsi="宋体"/>
          <w:bCs/>
          <w:color w:val="auto"/>
          <w:sz w:val="36"/>
          <w:szCs w:val="36"/>
          <w:highlight w:val="none"/>
        </w:rPr>
        <w:t xml:space="preserve">第三部分  项目需求</w:t>
      </w:r>
      <w:r/>
    </w:p>
    <w:p>
      <w:pPr>
        <w:ind w:firstLine="482"/>
        <w:jc w:val="left"/>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投标人在制作投标文件时仔细研究采购需求说明。采购需求包括技术要求和商务要求</w:t>
      </w:r>
      <w:r>
        <w:rPr>
          <w:rFonts w:hint="eastAsia" w:ascii="宋体" w:hAnsi="宋体" w:cs="宋体"/>
          <w:b/>
          <w:color w:val="auto"/>
          <w:sz w:val="24"/>
          <w:highlight w:val="none"/>
          <w:lang w:val="zh-CN" w:eastAsia="zh-CN"/>
        </w:rPr>
        <w:t xml:space="preserve">：</w:t>
      </w:r>
      <w:r>
        <w:rPr>
          <w:rFonts w:hint="eastAsia" w:ascii="宋体" w:hAnsi="宋体" w:cs="宋体"/>
          <w:b/>
          <w:color w:val="auto"/>
          <w:sz w:val="24"/>
          <w:highlight w:val="none"/>
          <w:lang w:val="zh-CN"/>
        </w:rPr>
        <w:t xml:space="preserve">技术要求是指对采购标的功能和质量要求，包括性能、材料、结构、外观、安全，或者服务内容和标准等</w:t>
      </w:r>
      <w:r>
        <w:rPr>
          <w:rFonts w:hint="eastAsia" w:ascii="宋体" w:hAnsi="宋体" w:cs="宋体"/>
          <w:b/>
          <w:color w:val="auto"/>
          <w:sz w:val="24"/>
          <w:highlight w:val="none"/>
          <w:lang w:val="zh-CN" w:eastAsia="zh-CN"/>
        </w:rPr>
        <w:t xml:space="preserve">；</w:t>
      </w:r>
      <w:r>
        <w:rPr>
          <w:rFonts w:hint="eastAsia" w:ascii="宋体" w:hAnsi="宋体" w:cs="宋体"/>
          <w:b/>
          <w:color w:val="auto"/>
          <w:sz w:val="24"/>
          <w:highlight w:val="none"/>
          <w:lang w:val="zh-CN"/>
        </w:rPr>
        <w:t xml:space="preserve">商务要求是指取得采购标的的时间、地点、财务和服务要求，包括交付（实施）的时间（期限）和地点（范围），付款条件（进度和方法），包装和运输，售后服务，保险等。</w:t>
      </w:r>
      <w:r/>
    </w:p>
    <w:p>
      <w:pPr>
        <w:ind w:firstLine="482"/>
        <w:jc w:val="left"/>
        <w:spacing w:line="360" w:lineRule="auto"/>
        <w:rPr>
          <w:rFonts w:ascii="宋体" w:hAnsi="宋体" w:cs="宋体"/>
          <w:color w:val="auto"/>
          <w:sz w:val="24"/>
          <w:highlight w:val="none"/>
          <w:lang w:val="zh-CN"/>
        </w:rPr>
      </w:pPr>
      <w:r>
        <w:rPr>
          <w:rFonts w:hint="eastAsia" w:ascii="宋体" w:hAnsi="宋体" w:cs="宋体"/>
          <w:b/>
          <w:color w:val="auto"/>
          <w:sz w:val="24"/>
          <w:highlight w:val="none"/>
          <w:lang w:val="zh-CN"/>
        </w:rPr>
        <w:t xml:space="preserve">投标人不能简单照搬照抄招标文件项目需求说明中的技术、商务要求，必须</w:t>
      </w:r>
      <w:r>
        <w:rPr>
          <w:rFonts w:hint="eastAsia" w:ascii="宋体" w:hAnsi="宋体" w:cs="宋体"/>
          <w:b/>
          <w:color w:val="auto"/>
          <w:sz w:val="24"/>
          <w:highlight w:val="none"/>
          <w:lang w:val="zh-CN" w:eastAsia="zh-CN"/>
        </w:rPr>
        <w:t xml:space="preserve">做</w:t>
      </w:r>
      <w:r>
        <w:rPr>
          <w:rFonts w:hint="eastAsia" w:ascii="宋体" w:hAnsi="宋体" w:cs="宋体"/>
          <w:b/>
          <w:color w:val="auto"/>
          <w:sz w:val="24"/>
          <w:highlight w:val="none"/>
          <w:lang w:val="zh-CN"/>
        </w:rPr>
        <w:t xml:space="preserve">实事求是</w:t>
      </w:r>
      <w:r>
        <w:rPr>
          <w:rFonts w:hint="eastAsia" w:ascii="宋体" w:hAnsi="宋体" w:cs="宋体"/>
          <w:b/>
          <w:color w:val="auto"/>
          <w:sz w:val="24"/>
          <w:highlight w:val="none"/>
          <w:lang w:val="zh-CN" w:eastAsia="zh-CN"/>
        </w:rPr>
        <w:t xml:space="preserve">地</w:t>
      </w:r>
      <w:r>
        <w:rPr>
          <w:rFonts w:hint="eastAsia" w:ascii="宋体" w:hAnsi="宋体" w:cs="宋体"/>
          <w:b/>
          <w:color w:val="auto"/>
          <w:sz w:val="24"/>
          <w:highlight w:val="none"/>
          <w:lang w:val="zh-CN"/>
        </w:rPr>
        <w:t xml:space="preserve">响应。如投标人提供的货物和服务同采购人提出的项目需求说明中的技术、商务要求不同的，必须在《商务部分正负偏离表》和《技术部分正负偏离表》上明示。</w:t>
      </w:r>
      <w:r>
        <w:rPr>
          <w:rFonts w:hint="eastAsia" w:ascii="宋体" w:hAnsi="宋体" w:cs="宋体"/>
          <w:b/>
          <w:bCs/>
          <w:color w:val="auto"/>
          <w:sz w:val="24"/>
          <w:highlight w:val="none"/>
          <w:lang w:val="zh-CN"/>
        </w:rPr>
        <w:t xml:space="preserve">如照搬照抄</w:t>
      </w:r>
      <w:r>
        <w:rPr>
          <w:rFonts w:hint="eastAsia" w:ascii="宋体" w:hAnsi="宋体" w:cs="宋体"/>
          <w:b/>
          <w:bCs/>
          <w:color w:val="auto"/>
          <w:sz w:val="24"/>
          <w:highlight w:val="none"/>
        </w:rPr>
        <w:t xml:space="preserve">上述内容</w:t>
      </w:r>
      <w:r>
        <w:rPr>
          <w:rFonts w:hint="eastAsia" w:ascii="宋体" w:hAnsi="宋体" w:cs="宋体"/>
          <w:b/>
          <w:bCs/>
          <w:color w:val="auto"/>
          <w:sz w:val="24"/>
          <w:highlight w:val="none"/>
          <w:lang w:val="zh-CN"/>
        </w:rPr>
        <w:t xml:space="preserve">的，中标人</w:t>
      </w:r>
      <w:r>
        <w:rPr>
          <w:rFonts w:hint="eastAsia" w:ascii="宋体" w:hAnsi="宋体" w:cs="宋体"/>
          <w:b/>
          <w:bCs/>
          <w:color w:val="auto"/>
          <w:sz w:val="24"/>
          <w:highlight w:val="none"/>
        </w:rPr>
        <w:t xml:space="preserve">在同采购人</w:t>
      </w:r>
      <w:r>
        <w:rPr>
          <w:rFonts w:hint="eastAsia" w:ascii="宋体" w:hAnsi="宋体" w:cs="宋体"/>
          <w:b/>
          <w:bCs/>
          <w:color w:val="auto"/>
          <w:sz w:val="24"/>
          <w:highlight w:val="none"/>
          <w:lang w:val="zh-CN"/>
        </w:rPr>
        <w:t xml:space="preserve">签订合同和履约环节中不得提出异议，一切后果和损失由中标人</w:t>
      </w:r>
      <w:r>
        <w:rPr>
          <w:rFonts w:hint="eastAsia" w:ascii="宋体" w:hAnsi="宋体" w:cs="宋体"/>
          <w:b/>
          <w:bCs/>
          <w:color w:val="auto"/>
          <w:sz w:val="24"/>
          <w:highlight w:val="none"/>
        </w:rPr>
        <w:t xml:space="preserve">自行</w:t>
      </w:r>
      <w:r>
        <w:rPr>
          <w:rFonts w:hint="eastAsia" w:ascii="宋体" w:hAnsi="宋体" w:cs="宋体"/>
          <w:b/>
          <w:bCs/>
          <w:color w:val="auto"/>
          <w:sz w:val="24"/>
          <w:highlight w:val="none"/>
          <w:lang w:val="zh-CN"/>
        </w:rPr>
        <w:t xml:space="preserve">承担。</w:t>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val="zh-CN"/>
        </w:rPr>
        <w:t xml:space="preserve">投标</w:t>
      </w:r>
      <w:r>
        <w:rPr>
          <w:rFonts w:hint="eastAsia" w:ascii="宋体" w:hAnsi="宋体" w:cs="宋体"/>
          <w:color w:val="auto"/>
          <w:sz w:val="24"/>
          <w:highlight w:val="none"/>
          <w:u w:val="single"/>
        </w:rPr>
        <w:t xml:space="preserve">人</w:t>
      </w:r>
      <w:r>
        <w:rPr>
          <w:rFonts w:hint="eastAsia" w:ascii="宋体" w:hAnsi="宋体" w:cs="宋体"/>
          <w:color w:val="auto"/>
          <w:sz w:val="24"/>
          <w:highlight w:val="none"/>
          <w:u w:val="single"/>
          <w:lang w:val="zh-CN"/>
        </w:rPr>
        <w:t xml:space="preserve">参与投标即视作其承诺完全响应</w:t>
      </w:r>
      <w:r>
        <w:rPr>
          <w:rFonts w:hint="eastAsia" w:ascii="宋体" w:hAnsi="宋体" w:cs="宋体"/>
          <w:color w:val="auto"/>
          <w:sz w:val="24"/>
          <w:highlight w:val="none"/>
          <w:u w:val="single"/>
        </w:rPr>
        <w:t xml:space="preserve">采购</w:t>
      </w:r>
      <w:r>
        <w:rPr>
          <w:rFonts w:hint="eastAsia" w:ascii="宋体" w:hAnsi="宋体" w:cs="宋体"/>
          <w:color w:val="auto"/>
          <w:sz w:val="24"/>
          <w:highlight w:val="none"/>
          <w:u w:val="single"/>
          <w:lang w:val="zh-CN"/>
        </w:rPr>
        <w:t xml:space="preserve">人在本次招标过程中提出的各项技术及经济要求。在中标后</w:t>
      </w:r>
      <w:r>
        <w:rPr>
          <w:rFonts w:hint="eastAsia" w:ascii="宋体" w:hAnsi="宋体" w:cs="宋体"/>
          <w:color w:val="auto"/>
          <w:sz w:val="24"/>
          <w:highlight w:val="none"/>
          <w:u w:val="single"/>
        </w:rPr>
        <w:t xml:space="preserve">投标人</w:t>
      </w:r>
      <w:r>
        <w:rPr>
          <w:rFonts w:hint="eastAsia" w:ascii="宋体" w:hAnsi="宋体" w:cs="宋体"/>
          <w:color w:val="auto"/>
          <w:sz w:val="24"/>
          <w:highlight w:val="none"/>
          <w:u w:val="single"/>
          <w:lang w:val="zh-CN"/>
        </w:rPr>
        <w:t xml:space="preserve">以任何理由不响应本招标文件的，将按违约处理。</w:t>
      </w:r>
      <w:r/>
    </w:p>
    <w:p>
      <w:pPr>
        <w:spacing w:line="360" w:lineRule="auto"/>
        <w:rPr>
          <w:rFonts w:ascii="宋体" w:hAnsi="宋体"/>
          <w:b/>
          <w:bCs/>
          <w:color w:val="auto"/>
          <w:sz w:val="24"/>
          <w:highlight w:val="none"/>
        </w:rPr>
      </w:pPr>
      <w:r/>
      <w:bookmarkStart w:id="96" w:name="十、其他相关的要求"/>
      <w:r/>
      <w:bookmarkEnd w:id="96"/>
      <w:r>
        <w:rPr>
          <w:rFonts w:hint="eastAsia" w:ascii="宋体" w:hAnsi="宋体"/>
          <w:b/>
          <w:bCs/>
          <w:color w:val="auto"/>
          <w:sz w:val="24"/>
          <w:highlight w:val="none"/>
        </w:rPr>
        <w:t xml:space="preserve">一、采购需求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（一）指导思想</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以习近平新时代中国特色社会主义思想为指导，认真贯彻落实乡村振兴战略和中央、省、市农村工作会议精神，按照农业农村高质量发展要求，坚持绿色生产、可持续发展理念，以降低农业生产成本、保护农业生态环境和保障农产品质量安全为目的，引导农户使用高效、低毒、低残留环境友好型农药和标准地膜，促进农业绿色发展，推进农村人居环境整治，助力美丽乡村建设。</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（二）目标任务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通过开展</w:t>
      </w:r>
      <w:r>
        <w:rPr>
          <w:rFonts w:hint="eastAsia" w:ascii="宋体" w:hAnsi="宋体" w:cs="宋体"/>
          <w:color w:val="auto"/>
          <w:sz w:val="24"/>
          <w:szCs w:val="24"/>
          <w:highlight w:val="none"/>
          <w:lang w:val="en-US" w:eastAsia="zh-CN"/>
        </w:rPr>
        <w:t xml:space="preserve">农药包装废弃物、废旧地膜回收、农药零差率统一配供服务</w:t>
      </w:r>
      <w:r>
        <w:rPr>
          <w:rFonts w:hint="eastAsia" w:ascii="宋体" w:hAnsi="宋体" w:eastAsia="宋体" w:cs="宋体"/>
          <w:color w:val="auto"/>
          <w:sz w:val="24"/>
          <w:szCs w:val="24"/>
          <w:highlight w:val="none"/>
          <w:lang w:val="en-US" w:eastAsia="zh-CN"/>
        </w:rPr>
        <w:t xml:space="preserve">等相关工作，不断增强农药使用主体环保意识，基本杜绝废弃物乱扔乱弃现象。</w:t>
      </w:r>
      <w:r>
        <w:rPr>
          <w:rFonts w:hint="eastAsia" w:ascii="宋体" w:hAnsi="宋体" w:cs="宋体"/>
          <w:color w:val="auto"/>
          <w:sz w:val="24"/>
          <w:szCs w:val="24"/>
          <w:highlight w:val="none"/>
          <w:lang w:val="en-US" w:eastAsia="zh-CN"/>
        </w:rPr>
        <w:t xml:space="preserve">三余镇</w:t>
      </w:r>
      <w:r>
        <w:rPr>
          <w:rFonts w:hint="eastAsia" w:ascii="宋体" w:hAnsi="宋体" w:eastAsia="宋体" w:cs="宋体"/>
          <w:color w:val="auto"/>
          <w:sz w:val="24"/>
          <w:szCs w:val="24"/>
          <w:highlight w:val="none"/>
          <w:lang w:val="en-US" w:eastAsia="zh-CN"/>
        </w:rPr>
        <w:t xml:space="preserve">范围内水稻、小麦、玉米、</w:t>
      </w:r>
      <w:r>
        <w:rPr>
          <w:rFonts w:hint="eastAsia" w:ascii="宋体" w:hAnsi="宋体" w:cs="宋体"/>
          <w:color w:val="auto"/>
          <w:sz w:val="24"/>
          <w:szCs w:val="24"/>
          <w:highlight w:val="none"/>
          <w:lang w:val="en-US" w:eastAsia="zh-CN"/>
        </w:rPr>
        <w:t xml:space="preserve">蔬</w:t>
      </w:r>
      <w:r>
        <w:rPr>
          <w:rFonts w:hint="eastAsia" w:ascii="宋体" w:hAnsi="宋体" w:eastAsia="宋体" w:cs="宋体"/>
          <w:color w:val="auto"/>
          <w:sz w:val="24"/>
          <w:szCs w:val="24"/>
          <w:highlight w:val="none"/>
          <w:lang w:val="en-US" w:eastAsia="zh-CN"/>
        </w:rPr>
        <w:t xml:space="preserve">菜等主要农作物用药实现集中采购零差率统一配供，促进</w:t>
      </w:r>
      <w:r>
        <w:rPr>
          <w:rFonts w:hint="eastAsia" w:ascii="宋体" w:hAnsi="宋体" w:cs="宋体"/>
          <w:color w:val="auto"/>
          <w:sz w:val="24"/>
          <w:szCs w:val="24"/>
          <w:highlight w:val="none"/>
          <w:lang w:val="en-US" w:eastAsia="zh-CN"/>
        </w:rPr>
        <w:t xml:space="preserve">三余镇</w:t>
      </w:r>
      <w:r>
        <w:rPr>
          <w:rFonts w:hint="eastAsia" w:ascii="宋体" w:hAnsi="宋体" w:eastAsia="宋体" w:cs="宋体"/>
          <w:color w:val="auto"/>
          <w:sz w:val="24"/>
          <w:szCs w:val="24"/>
          <w:highlight w:val="none"/>
          <w:lang w:val="en-US" w:eastAsia="zh-CN"/>
        </w:rPr>
        <w:t xml:space="preserve">农药零差率配供覆盖面进一步延伸。进一步规范废弃物回收网点建设与运行，完善回收、处置体系，全面推进农药包装废弃物回收，农药包装废弃物、废旧</w:t>
      </w:r>
      <w:r>
        <w:rPr>
          <w:rFonts w:hint="eastAsia" w:ascii="宋体" w:hAnsi="宋体" w:cs="宋体"/>
          <w:color w:val="auto"/>
          <w:sz w:val="24"/>
          <w:szCs w:val="24"/>
          <w:highlight w:val="none"/>
          <w:lang w:val="en-US" w:eastAsia="zh-CN"/>
        </w:rPr>
        <w:t xml:space="preserve">地膜</w:t>
      </w:r>
      <w:r>
        <w:rPr>
          <w:rFonts w:hint="eastAsia" w:ascii="宋体" w:hAnsi="宋体" w:eastAsia="宋体" w:cs="宋体"/>
          <w:color w:val="auto"/>
          <w:sz w:val="24"/>
          <w:szCs w:val="24"/>
          <w:highlight w:val="none"/>
          <w:lang w:val="en-US" w:eastAsia="zh-CN"/>
        </w:rPr>
        <w:t xml:space="preserve">回收率达到90%以上，无害化处置率达到100%。实现</w:t>
      </w:r>
      <w:r>
        <w:rPr>
          <w:rFonts w:hint="eastAsia" w:ascii="宋体" w:hAnsi="宋体" w:cs="宋体"/>
          <w:color w:val="auto"/>
          <w:sz w:val="24"/>
          <w:szCs w:val="24"/>
          <w:highlight w:val="none"/>
          <w:lang w:val="en-US" w:eastAsia="zh-CN"/>
        </w:rPr>
        <w:t xml:space="preserve">农</w:t>
      </w:r>
      <w:r>
        <w:rPr>
          <w:rFonts w:hint="eastAsia" w:ascii="宋体" w:hAnsi="宋体" w:eastAsia="宋体" w:cs="宋体"/>
          <w:color w:val="auto"/>
          <w:sz w:val="24"/>
          <w:szCs w:val="24"/>
          <w:highlight w:val="none"/>
          <w:lang w:val="en-US" w:eastAsia="zh-CN"/>
        </w:rPr>
        <w:t xml:space="preserve">药包装废弃物、废旧地膜有价回收、安全储运、无害化、资源化处置。</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（三）工作举措</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按照“政府引导、主体运作、财政扶持”的方式，农药零差率配供、废弃物收集转运按照“六个统一”原则执行。</w:t>
      </w:r>
      <w:r/>
    </w:p>
    <w:p>
      <w:pPr>
        <w:numPr>
          <w:ilvl w:val="0"/>
          <w:numId w:val="0"/>
        </w:numPr>
        <w:ind w:firstLine="482"/>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统一实施主体。</w:t>
      </w:r>
      <w:r>
        <w:rPr>
          <w:rFonts w:hint="eastAsia" w:ascii="宋体" w:hAnsi="宋体" w:cs="宋体"/>
          <w:color w:val="auto"/>
          <w:sz w:val="24"/>
          <w:szCs w:val="24"/>
          <w:highlight w:val="none"/>
          <w:lang w:val="en-US" w:eastAsia="zh-CN"/>
        </w:rPr>
        <w:t xml:space="preserve">农药包装废弃物、废旧地膜回收、农药零差率统一配供服务实施主体通过招标方式确定。</w:t>
      </w:r>
      <w:r/>
    </w:p>
    <w:p>
      <w:pPr>
        <w:numPr>
          <w:ilvl w:val="0"/>
          <w:numId w:val="0"/>
        </w:numPr>
        <w:ind w:firstLine="482"/>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统一农药采购。</w:t>
      </w:r>
      <w:r>
        <w:rPr>
          <w:rFonts w:hint="eastAsia" w:ascii="宋体" w:hAnsi="宋体" w:cs="宋体"/>
          <w:color w:val="auto"/>
          <w:sz w:val="24"/>
          <w:szCs w:val="24"/>
          <w:highlight w:val="none"/>
          <w:lang w:val="en-US" w:eastAsia="zh-CN"/>
        </w:rPr>
        <w:t xml:space="preserve">实施主体对主要农作物病虫草防控农药品种进行采购，确定供货单位。对急需临时调整的农药品种由通州湾示范区农业农村工作办公室及时通知，并由实施主体执行临时采购或议标采购。</w:t>
      </w:r>
      <w:r/>
    </w:p>
    <w:p>
      <w:pPr>
        <w:numPr>
          <w:ilvl w:val="0"/>
          <w:numId w:val="0"/>
        </w:numPr>
        <w:ind w:firstLine="482"/>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统一集中配送。</w:t>
      </w:r>
      <w:r>
        <w:rPr>
          <w:rFonts w:hint="eastAsia" w:ascii="宋体" w:hAnsi="宋体" w:cs="宋体"/>
          <w:color w:val="auto"/>
          <w:sz w:val="24"/>
          <w:szCs w:val="24"/>
          <w:highlight w:val="none"/>
          <w:lang w:val="en-US" w:eastAsia="zh-CN"/>
        </w:rPr>
        <w:t xml:space="preserve">实施主体将零差率农药配送至各配供点，配供点按照配供要求进行销售并做好用药指导和台账记录。实施主体对各配供点的销售情况进行指导和监管。</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cs="宋体"/>
          <w:b/>
          <w:bCs/>
          <w:color w:val="auto"/>
          <w:sz w:val="24"/>
          <w:szCs w:val="24"/>
          <w:highlight w:val="none"/>
          <w:lang w:val="en-US" w:eastAsia="zh-CN"/>
        </w:rPr>
        <w:t xml:space="preserve">统一销售和回收补贴。</w:t>
      </w:r>
      <w:r>
        <w:rPr>
          <w:rFonts w:hint="eastAsia" w:ascii="宋体" w:hAnsi="宋体" w:cs="宋体"/>
          <w:color w:val="auto"/>
          <w:sz w:val="24"/>
          <w:szCs w:val="24"/>
          <w:highlight w:val="none"/>
          <w:lang w:val="en-US" w:eastAsia="zh-CN"/>
        </w:rPr>
        <w:t xml:space="preserve">为确保实施主体的正常运转，对农药零差率配供、包装废弃物收集转运费用由镇财政补贴。集中配送的农药按照招标的标的价或议标价实行零差率配送到配供点零差价销售。对实施主体按农药终端销售按20%的利润予以补贴；其中实施主体8%，终端销售网点12%；对实施主体按</w:t>
      </w:r>
      <w:r>
        <w:rPr>
          <w:rFonts w:hint="eastAsia" w:ascii="宋体" w:hAnsi="宋体" w:eastAsia="宋体" w:cs="宋体"/>
          <w:color w:val="auto"/>
          <w:sz w:val="24"/>
          <w:szCs w:val="24"/>
          <w:highlight w:val="none"/>
          <w:lang w:val="en-US" w:eastAsia="zh-CN"/>
        </w:rPr>
        <w:t xml:space="preserve">农药瓶0.32元/瓶、农药袋0.22元/袋</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农药支0.17元/支</w:t>
      </w:r>
      <w:r>
        <w:rPr>
          <w:rFonts w:hint="eastAsia" w:ascii="宋体" w:hAnsi="宋体" w:cs="宋体"/>
          <w:color w:val="auto"/>
          <w:sz w:val="24"/>
          <w:szCs w:val="24"/>
          <w:highlight w:val="none"/>
          <w:lang w:val="en-US" w:eastAsia="zh-CN"/>
        </w:rPr>
        <w:t xml:space="preserve">、废旧地膜3.2元/kg进行补贴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lang w:val="en-US" w:eastAsia="zh-CN"/>
        </w:rPr>
        <w:t xml:space="preserve">实施主体通过农药经营网点及村级子点</w:t>
      </w:r>
      <w:r>
        <w:rPr>
          <w:rFonts w:hint="eastAsia" w:ascii="宋体" w:hAnsi="宋体" w:cs="宋体"/>
          <w:color w:val="auto"/>
          <w:sz w:val="24"/>
          <w:szCs w:val="24"/>
          <w:highlight w:val="none"/>
          <w:lang w:val="en-US" w:eastAsia="zh-CN"/>
        </w:rPr>
        <w:t xml:space="preserve">按以下标准进行补贴：</w:t>
      </w:r>
      <w:r/>
    </w:p>
    <w:tbl>
      <w:tblPr>
        <w:tblStyle w:val="700"/>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2052"/>
        <w:gridCol w:w="2088"/>
        <w:gridCol w:w="1926"/>
        <w:gridCol w:w="1692"/>
      </w:tblGrid>
      <w:tr>
        <w:trPr>
          <w:cantSplit/>
          <w:jc w:val="center"/>
          <w:trHeight w:val="550"/>
        </w:trPr>
        <w:tc>
          <w:tcPr>
            <w:tcW w:w="1701" w:type="dxa"/>
            <w:vAlign w:val="center"/>
            <w:vMerge w:val="restart"/>
            <w:textDirection w:val="lrTb"/>
            <w:noWrap w:val="false"/>
          </w:tcPr>
          <w:p>
            <w:pPr>
              <w:numPr>
                <w:ilvl w:val="0"/>
                <w:numId w:val="0"/>
              </w:numPr>
              <w:jc w:val="center"/>
              <w:keepLines w:val="0"/>
              <w:keepNext w:val="0"/>
              <w:pageBreakBefore w:val="0"/>
              <w:spacing w:line="320" w:lineRule="exact"/>
              <w:widowControl w:val="off"/>
              <w:rPr>
                <w:rFonts w:hint="default"/>
                <w:b/>
                <w:bCs/>
                <w:color w:val="auto"/>
                <w:sz w:val="24"/>
                <w:szCs w:val="24"/>
                <w:highlight w:val="none"/>
                <w:lang w:val="en-US" w:eastAsia="zh-CN"/>
              </w:rPr>
              <w:outlineLvl w:val="0"/>
            </w:pPr>
            <w:r>
              <w:rPr>
                <w:rFonts w:hint="eastAsia"/>
                <w:b/>
                <w:bCs/>
                <w:color w:val="auto"/>
                <w:sz w:val="24"/>
                <w:szCs w:val="24"/>
                <w:highlight w:val="none"/>
                <w:lang w:val="en-US" w:eastAsia="zh-CN"/>
              </w:rPr>
              <w:t xml:space="preserve">项目</w:t>
            </w:r>
            <w:r/>
          </w:p>
        </w:tc>
        <w:tc>
          <w:tcPr>
            <w:gridSpan w:val="4"/>
            <w:tcW w:w="7758"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cs="宋体"/>
                <w:b/>
                <w:bCs/>
                <w:color w:val="auto"/>
                <w:sz w:val="24"/>
                <w:szCs w:val="24"/>
                <w:highlight w:val="none"/>
                <w:vertAlign w:val="baseline"/>
                <w:lang w:val="en-US" w:eastAsia="zh-CN"/>
              </w:rPr>
              <w:outlineLvl w:val="0"/>
            </w:pPr>
            <w:r>
              <w:rPr>
                <w:rFonts w:hint="eastAsia" w:ascii="宋体" w:hAnsi="宋体" w:cs="宋体"/>
                <w:b/>
                <w:bCs/>
                <w:color w:val="auto"/>
                <w:sz w:val="24"/>
                <w:szCs w:val="24"/>
                <w:highlight w:val="none"/>
                <w:vertAlign w:val="baseline"/>
                <w:lang w:val="en-US" w:eastAsia="zh-CN"/>
              </w:rPr>
              <w:t xml:space="preserve">补贴对象</w:t>
            </w:r>
            <w:r/>
          </w:p>
        </w:tc>
      </w:tr>
      <w:tr>
        <w:trPr>
          <w:cantSplit/>
          <w:jc w:val="center"/>
          <w:trHeight w:val="550"/>
        </w:trPr>
        <w:tc>
          <w:tcPr>
            <w:tcW w:w="1701" w:type="dxa"/>
            <w:vAlign w:val="center"/>
            <w:vMerge w:val="continue"/>
            <w:textDirection w:val="lrTb"/>
            <w:noWrap w:val="false"/>
          </w:tcPr>
          <w:p>
            <w:pPr>
              <w:numPr>
                <w:ilvl w:val="0"/>
                <w:numId w:val="0"/>
              </w:numPr>
              <w:jc w:val="center"/>
              <w:keepLines w:val="0"/>
              <w:keepNext w:val="0"/>
              <w:pageBreakBefore w:val="0"/>
              <w:spacing w:line="320" w:lineRule="exact"/>
              <w:widowControl w:val="off"/>
              <w:rPr>
                <w:rFonts w:hint="eastAsia"/>
                <w:b/>
                <w:bCs/>
                <w:color w:val="auto"/>
                <w:sz w:val="24"/>
                <w:szCs w:val="24"/>
                <w:highlight w:val="none"/>
                <w:lang w:val="en-US" w:eastAsia="zh-CN"/>
              </w:rPr>
              <w:outlineLvl w:val="0"/>
            </w:pPr>
            <w:r>
              <w:rPr>
                <w:rFonts w:hint="eastAsia"/>
                <w:b/>
                <w:bCs/>
                <w:color w:val="auto"/>
                <w:sz w:val="24"/>
                <w:szCs w:val="24"/>
                <w:highlight w:val="none"/>
                <w:lang w:val="en-US" w:eastAsia="zh-CN"/>
              </w:rPr>
            </w:r>
            <w:r/>
          </w:p>
        </w:tc>
        <w:tc>
          <w:tcPr>
            <w:tcW w:w="2052"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b/>
                <w:bCs/>
                <w:color w:val="auto"/>
                <w:sz w:val="24"/>
                <w:szCs w:val="24"/>
                <w:highlight w:val="none"/>
                <w:vertAlign w:val="baseline"/>
                <w:lang w:val="en-US" w:eastAsia="zh-CN"/>
              </w:rPr>
              <w:outlineLvl w:val="0"/>
            </w:pPr>
            <w:r>
              <w:rPr>
                <w:rFonts w:hint="eastAsia" w:ascii="宋体" w:hAnsi="宋体" w:cs="宋体"/>
                <w:b/>
                <w:bCs/>
                <w:color w:val="auto"/>
                <w:sz w:val="24"/>
                <w:szCs w:val="24"/>
                <w:highlight w:val="none"/>
                <w:vertAlign w:val="baseline"/>
                <w:lang w:val="en-US" w:eastAsia="zh-CN"/>
              </w:rPr>
              <w:t xml:space="preserve">农户</w:t>
            </w:r>
            <w:r/>
          </w:p>
        </w:tc>
        <w:tc>
          <w:tcPr>
            <w:tcW w:w="2088"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宋体" w:hAnsi="宋体" w:eastAsia="宋体" w:cs="宋体"/>
                <w:b/>
                <w:bCs/>
                <w:color w:val="auto"/>
                <w:sz w:val="24"/>
                <w:szCs w:val="24"/>
                <w:highlight w:val="none"/>
                <w:vertAlign w:val="baseline"/>
                <w:lang w:val="en-US" w:eastAsia="zh-CN"/>
              </w:rPr>
              <w:outlineLvl w:val="0"/>
            </w:pPr>
            <w:r>
              <w:rPr>
                <w:rFonts w:hint="eastAsia" w:ascii="宋体" w:hAnsi="宋体" w:cs="宋体"/>
                <w:b/>
                <w:bCs/>
                <w:color w:val="auto"/>
                <w:sz w:val="24"/>
                <w:szCs w:val="24"/>
                <w:highlight w:val="none"/>
                <w:vertAlign w:val="baseline"/>
                <w:lang w:val="en-US" w:eastAsia="zh-CN"/>
              </w:rPr>
              <w:t xml:space="preserve">销售网点(门店)</w:t>
            </w:r>
            <w:r/>
          </w:p>
        </w:tc>
        <w:tc>
          <w:tcPr>
            <w:tcW w:w="1926"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b/>
                <w:bCs/>
                <w:color w:val="auto"/>
                <w:sz w:val="24"/>
                <w:szCs w:val="24"/>
                <w:highlight w:val="none"/>
                <w:vertAlign w:val="baseline"/>
                <w:lang w:val="en-US" w:eastAsia="zh-CN"/>
              </w:rPr>
              <w:outlineLvl w:val="0"/>
            </w:pPr>
            <w:r>
              <w:rPr>
                <w:rFonts w:hint="eastAsia" w:ascii="宋体" w:hAnsi="宋体" w:cs="宋体"/>
                <w:b/>
                <w:bCs/>
                <w:color w:val="auto"/>
                <w:sz w:val="24"/>
                <w:szCs w:val="24"/>
                <w:highlight w:val="none"/>
                <w:vertAlign w:val="baseline"/>
                <w:lang w:val="en-US" w:eastAsia="zh-CN"/>
              </w:rPr>
              <w:t xml:space="preserve">经营主体</w:t>
            </w:r>
            <w:r/>
          </w:p>
        </w:tc>
        <w:tc>
          <w:tcPr>
            <w:tcW w:w="1692"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cs="宋体"/>
                <w:b/>
                <w:bCs/>
                <w:color w:val="auto"/>
                <w:sz w:val="24"/>
                <w:szCs w:val="24"/>
                <w:highlight w:val="none"/>
                <w:vertAlign w:val="baseline"/>
                <w:lang w:val="en-US" w:eastAsia="zh-CN"/>
              </w:rPr>
              <w:outlineLvl w:val="0"/>
            </w:pPr>
            <w:r>
              <w:rPr>
                <w:rFonts w:hint="eastAsia" w:ascii="宋体" w:hAnsi="宋体" w:cs="宋体"/>
                <w:b/>
                <w:bCs/>
                <w:color w:val="auto"/>
                <w:sz w:val="24"/>
                <w:szCs w:val="24"/>
                <w:highlight w:val="none"/>
                <w:vertAlign w:val="baseline"/>
                <w:lang w:val="en-US" w:eastAsia="zh-CN"/>
              </w:rPr>
              <w:t xml:space="preserve">加工企业</w:t>
            </w:r>
            <w:r/>
          </w:p>
        </w:tc>
      </w:tr>
      <w:tr>
        <w:trPr>
          <w:cantSplit/>
          <w:jc w:val="center"/>
          <w:trHeight w:val="638"/>
        </w:trPr>
        <w:tc>
          <w:tcPr>
            <w:tcW w:w="1701"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cs="宋体"/>
                <w:color w:val="auto"/>
                <w:sz w:val="24"/>
                <w:szCs w:val="24"/>
                <w:highlight w:val="none"/>
                <w:vertAlign w:val="baseline"/>
                <w:lang w:val="en-US" w:eastAsia="zh-CN"/>
              </w:rPr>
              <w:t xml:space="preserve">农药空瓶</w:t>
            </w:r>
            <w:r/>
          </w:p>
        </w:tc>
        <w:tc>
          <w:tcPr>
            <w:tcW w:w="2052"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宋体" w:hAnsi="宋体" w:eastAsia="宋体" w:cs="宋体"/>
                <w:color w:val="auto"/>
                <w:sz w:val="24"/>
                <w:szCs w:val="24"/>
                <w:highlight w:val="none"/>
                <w:vertAlign w:val="baseline"/>
                <w:lang w:val="en-US" w:eastAsia="zh-CN"/>
              </w:rPr>
              <w:outlineLvl w:val="0"/>
            </w:pPr>
            <w:r>
              <w:rPr>
                <w:rFonts w:hint="eastAsia" w:ascii="宋体" w:hAnsi="宋体" w:cs="宋体"/>
                <w:color w:val="auto"/>
                <w:sz w:val="24"/>
                <w:szCs w:val="24"/>
                <w:highlight w:val="none"/>
                <w:vertAlign w:val="baseline"/>
                <w:lang w:val="en-US" w:eastAsia="zh-CN"/>
              </w:rPr>
              <w:t xml:space="preserve">0</w:t>
            </w:r>
            <w:r>
              <w:rPr>
                <w:rFonts w:hint="eastAsia" w:ascii="宋体" w:hAnsi="宋体" w:eastAsia="宋体" w:cs="宋体"/>
                <w:color w:val="auto"/>
                <w:sz w:val="24"/>
                <w:szCs w:val="24"/>
                <w:highlight w:val="none"/>
                <w:lang w:val="en-US" w:eastAsia="zh-CN"/>
              </w:rPr>
              <w:t xml:space="preserve">.20元/瓶</w:t>
            </w:r>
            <w:r/>
          </w:p>
        </w:tc>
        <w:tc>
          <w:tcPr>
            <w:tcW w:w="2088"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0.05元/瓶</w:t>
            </w:r>
            <w:r/>
          </w:p>
        </w:tc>
        <w:tc>
          <w:tcPr>
            <w:tcW w:w="1926"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0.07元/瓶</w:t>
            </w:r>
            <w:r/>
          </w:p>
        </w:tc>
        <w:tc>
          <w:tcPr>
            <w:tcW w:w="1692"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w:t>
            </w:r>
            <w:r/>
          </w:p>
        </w:tc>
      </w:tr>
      <w:tr>
        <w:trPr>
          <w:cantSplit/>
          <w:jc w:val="center"/>
          <w:trHeight w:val="578"/>
        </w:trPr>
        <w:tc>
          <w:tcPr>
            <w:tcW w:w="1701"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cs="宋体"/>
                <w:color w:val="auto"/>
                <w:sz w:val="24"/>
                <w:szCs w:val="24"/>
                <w:highlight w:val="none"/>
                <w:vertAlign w:val="baseline"/>
                <w:lang w:val="en-US" w:eastAsia="zh-CN"/>
              </w:rPr>
              <w:t xml:space="preserve">农药空袋</w:t>
            </w:r>
            <w:r/>
          </w:p>
        </w:tc>
        <w:tc>
          <w:tcPr>
            <w:tcW w:w="2052"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0.10元/袋</w:t>
            </w:r>
            <w:r/>
          </w:p>
        </w:tc>
        <w:tc>
          <w:tcPr>
            <w:tcW w:w="2088"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0.05元/袋</w:t>
            </w:r>
            <w:r/>
          </w:p>
        </w:tc>
        <w:tc>
          <w:tcPr>
            <w:tcW w:w="1926"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0.07元/袋</w:t>
            </w:r>
            <w:r/>
          </w:p>
        </w:tc>
        <w:tc>
          <w:tcPr>
            <w:tcW w:w="1692"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w:t>
            </w:r>
            <w:r/>
          </w:p>
        </w:tc>
      </w:tr>
      <w:tr>
        <w:trPr>
          <w:cantSplit/>
          <w:jc w:val="center"/>
          <w:trHeight w:val="593"/>
        </w:trPr>
        <w:tc>
          <w:tcPr>
            <w:tcW w:w="1701"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cs="宋体"/>
                <w:color w:val="auto"/>
                <w:sz w:val="24"/>
                <w:szCs w:val="24"/>
                <w:highlight w:val="none"/>
                <w:vertAlign w:val="baseline"/>
                <w:lang w:val="en-US" w:eastAsia="zh-CN"/>
              </w:rPr>
              <w:t xml:space="preserve">农药空支</w:t>
            </w:r>
            <w:r/>
          </w:p>
        </w:tc>
        <w:tc>
          <w:tcPr>
            <w:tcW w:w="2052"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0.05元/支</w:t>
            </w:r>
            <w:r/>
          </w:p>
        </w:tc>
        <w:tc>
          <w:tcPr>
            <w:tcW w:w="2088"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0.05元/支</w:t>
            </w:r>
            <w:r/>
          </w:p>
        </w:tc>
        <w:tc>
          <w:tcPr>
            <w:tcW w:w="1926"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0.07元/支</w:t>
            </w:r>
            <w:r/>
          </w:p>
        </w:tc>
        <w:tc>
          <w:tcPr>
            <w:tcW w:w="1692" w:type="dxa"/>
            <w:vAlign w:val="center"/>
            <w:textDirection w:val="lrTb"/>
            <w:noWrap w:val="false"/>
          </w:tcPr>
          <w:p>
            <w:pPr>
              <w:numPr>
                <w:ilvl w:val="0"/>
                <w:numId w:val="0"/>
              </w:num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w:t>
            </w:r>
            <w:r/>
          </w:p>
        </w:tc>
      </w:tr>
      <w:tr>
        <w:trPr>
          <w:cantSplit/>
          <w:jc w:val="center"/>
          <w:trHeight w:val="626"/>
        </w:trPr>
        <w:tc>
          <w:tcPr>
            <w:tcW w:w="1701"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cs="宋体"/>
                <w:color w:val="auto"/>
                <w:sz w:val="24"/>
                <w:szCs w:val="24"/>
                <w:highlight w:val="none"/>
                <w:vertAlign w:val="baseline"/>
                <w:lang w:val="en-US" w:eastAsia="zh-CN"/>
              </w:rPr>
              <w:t xml:space="preserve">废旧地膜</w:t>
            </w:r>
            <w:r/>
          </w:p>
        </w:tc>
        <w:tc>
          <w:tcPr>
            <w:tcW w:w="2052"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eastAsia="宋体" w:cs="宋体"/>
                <w:color w:val="auto"/>
                <w:sz w:val="24"/>
                <w:szCs w:val="24"/>
                <w:highlight w:val="none"/>
                <w:lang w:val="en-US" w:eastAsia="zh-CN"/>
              </w:rPr>
              <w:t xml:space="preserve">1.60</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val="en-US" w:eastAsia="zh-CN"/>
              </w:rPr>
              <w:t xml:space="preserve">/kg</w:t>
            </w:r>
            <w:r/>
          </w:p>
        </w:tc>
        <w:tc>
          <w:tcPr>
            <w:tcW w:w="2088"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.60</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val="en-US" w:eastAsia="zh-CN"/>
              </w:rPr>
              <w:t xml:space="preserve">/kg</w:t>
            </w:r>
            <w:r/>
          </w:p>
        </w:tc>
        <w:tc>
          <w:tcPr>
            <w:tcW w:w="1926"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auto"/>
                <w:sz w:val="24"/>
                <w:szCs w:val="24"/>
                <w:highlight w:val="none"/>
                <w:vertAlign w:val="baseline"/>
                <w:lang w:val="en-US" w:eastAsia="zh-CN"/>
              </w:rPr>
              <w:outlineLvl w:val="0"/>
            </w:pP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.60</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val="en-US" w:eastAsia="zh-CN"/>
              </w:rPr>
              <w:t xml:space="preserve">/kg</w:t>
            </w:r>
            <w:r/>
          </w:p>
        </w:tc>
        <w:tc>
          <w:tcPr>
            <w:tcW w:w="1692"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val="en-US" w:eastAsia="zh-CN"/>
              </w:rPr>
              <w:t xml:space="preserve">/kg。</w:t>
            </w:r>
            <w:r/>
          </w:p>
        </w:tc>
      </w:tr>
    </w:tbl>
    <w:p>
      <w:pPr>
        <w:ind w:firstLine="482"/>
        <w:jc w:val="both"/>
        <w:keepLines w:val="0"/>
        <w:keepNext w:val="0"/>
        <w:pageBreakBefore w:val="0"/>
        <w:spacing w:before="181" w:line="360" w:lineRule="auto"/>
        <w:widowControl w:val="off"/>
        <w:rPr>
          <w:rFonts w:hint="eastAsia" w:ascii="宋体" w:hAnsi="宋体" w:eastAsia="宋体" w:cs="宋体"/>
          <w:b/>
          <w:bCs/>
          <w:color w:val="auto"/>
          <w:sz w:val="24"/>
          <w:szCs w:val="24"/>
          <w:highlight w:val="none"/>
          <w:u w:val="single"/>
          <w:lang w:eastAsia="zh-CN"/>
        </w:rPr>
        <w:outlineLvl w:val="0"/>
      </w:pPr>
      <w:r>
        <w:rPr>
          <w:rFonts w:hint="eastAsia" w:ascii="宋体" w:hAnsi="宋体" w:cs="宋体"/>
          <w:b/>
          <w:bCs/>
          <w:color w:val="auto"/>
          <w:sz w:val="24"/>
          <w:szCs w:val="24"/>
          <w:highlight w:val="none"/>
          <w:lang w:val="en-US" w:eastAsia="zh-CN"/>
        </w:rPr>
        <w:t xml:space="preserve">统一回收和处置</w:t>
      </w:r>
      <w:r>
        <w:rPr>
          <w:rFonts w:hint="eastAsia" w:ascii="宋体" w:hAnsi="宋体" w:cs="宋体"/>
          <w:color w:val="auto"/>
          <w:sz w:val="24"/>
          <w:szCs w:val="24"/>
          <w:highlight w:val="none"/>
          <w:lang w:val="en-US" w:eastAsia="zh-CN"/>
        </w:rPr>
        <w:t xml:space="preserve">。回收范围仅限三余镇实际销售使用所产生的废弃物。实施主体负责全区范围内废弃物的回收、中转、整理、存储、委托集中运输处理，定期或达到一定库存时进行集中处理；各子点负责销售区域内废弃物的回收、分类、管理。回收点统一配置各类统一醒目的标识标牌，包括子点标志、农药销售价格公示牌、废弃物相应的回收桶(袋)等。经营实施主体定期巡回收集至回收点，委托有资质的公司集中进行无害化处理，防止二次污染。</w:t>
      </w:r>
      <w:r>
        <w:rPr>
          <w:rFonts w:ascii="宋体" w:hAnsi="宋体" w:eastAsia="宋体" w:cs="宋体"/>
          <w:b/>
          <w:bCs/>
          <w:color w:val="auto"/>
          <w:sz w:val="24"/>
          <w:szCs w:val="24"/>
          <w:highlight w:val="none"/>
          <w:u w:val="single"/>
        </w:rPr>
        <w:t xml:space="preserve">废弃农药包装物回收、无害化处理(运输及处理费用)费用由</w:t>
      </w:r>
      <w:r>
        <w:rPr>
          <w:rFonts w:hint="eastAsia" w:ascii="宋体" w:hAnsi="宋体" w:cs="宋体"/>
          <w:b/>
          <w:bCs/>
          <w:color w:val="auto"/>
          <w:sz w:val="24"/>
          <w:szCs w:val="24"/>
          <w:highlight w:val="none"/>
          <w:u w:val="single"/>
          <w:lang w:eastAsia="zh-CN"/>
        </w:rPr>
        <w:t xml:space="preserve">镇</w:t>
      </w:r>
      <w:r>
        <w:rPr>
          <w:rFonts w:ascii="宋体" w:hAnsi="宋体" w:eastAsia="宋体" w:cs="宋体"/>
          <w:b/>
          <w:bCs/>
          <w:color w:val="auto"/>
          <w:sz w:val="24"/>
          <w:szCs w:val="24"/>
          <w:highlight w:val="none"/>
          <w:u w:val="single"/>
        </w:rPr>
        <w:t xml:space="preserve">财政全额</w:t>
      </w:r>
      <w:r>
        <w:rPr>
          <w:rFonts w:hint="eastAsia" w:ascii="宋体" w:hAnsi="宋体" w:cs="宋体"/>
          <w:b/>
          <w:bCs/>
          <w:color w:val="auto"/>
          <w:sz w:val="24"/>
          <w:szCs w:val="24"/>
          <w:highlight w:val="none"/>
          <w:u w:val="single"/>
          <w:lang w:eastAsia="zh-CN"/>
        </w:rPr>
        <w:t xml:space="preserve">承担。</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bookmarkStart w:id="97" w:name="_Toc9512"/>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、服务标准</w:t>
      </w:r>
      <w:bookmarkEnd w:id="97"/>
      <w:r>
        <w:rPr>
          <w:rFonts w:hint="eastAsia" w:ascii="宋体" w:hAnsi="宋体" w:cs="宋体"/>
          <w:b/>
          <w:bCs/>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cs="宋体"/>
          <w:b w:val="0"/>
          <w:bCs w:val="0"/>
          <w:color w:val="auto"/>
          <w:sz w:val="24"/>
          <w:szCs w:val="24"/>
          <w:highlight w:val="none"/>
          <w:lang w:val="en-US" w:eastAsia="zh-CN"/>
        </w:rPr>
        <w:t xml:space="preserve">1.中标</w:t>
      </w:r>
      <w:r>
        <w:rPr>
          <w:rFonts w:hint="eastAsia" w:ascii="宋体" w:hAnsi="宋体" w:eastAsia="宋体" w:cs="宋体"/>
          <w:b w:val="0"/>
          <w:bCs w:val="0"/>
          <w:color w:val="auto"/>
          <w:sz w:val="24"/>
          <w:szCs w:val="24"/>
          <w:highlight w:val="none"/>
          <w:lang w:val="en-US" w:eastAsia="zh-CN"/>
        </w:rPr>
        <w:t xml:space="preserve">人应采取必要的安全措施保证服务工作的安全，并承担服务过程中产生的全部安全风险。</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cs="宋体"/>
          <w:b w:val="0"/>
          <w:bCs w:val="0"/>
          <w:color w:val="auto"/>
          <w:sz w:val="24"/>
          <w:szCs w:val="24"/>
          <w:highlight w:val="none"/>
          <w:lang w:val="en-US" w:eastAsia="zh-CN"/>
        </w:rPr>
        <w:t xml:space="preserve">2.中标</w:t>
      </w:r>
      <w:r>
        <w:rPr>
          <w:rFonts w:hint="eastAsia" w:ascii="宋体" w:hAnsi="宋体" w:eastAsia="宋体" w:cs="宋体"/>
          <w:b w:val="0"/>
          <w:bCs w:val="0"/>
          <w:color w:val="auto"/>
          <w:sz w:val="24"/>
          <w:szCs w:val="24"/>
          <w:highlight w:val="none"/>
          <w:lang w:val="en-US" w:eastAsia="zh-CN"/>
        </w:rPr>
        <w:t xml:space="preserve">人必须保证所提供的农药产品符合国家相应质量要求，供货时必须随产品提供出厂材料，包括但不限于检验报告（复印件）、产品合格证（原件）</w:t>
      </w:r>
      <w:r>
        <w:rPr>
          <w:rFonts w:hint="eastAsia" w:ascii="宋体" w:hAnsi="宋体" w:cs="宋体"/>
          <w:b w:val="0"/>
          <w:bCs w:val="0"/>
          <w:color w:val="auto"/>
          <w:sz w:val="24"/>
          <w:szCs w:val="24"/>
          <w:highlight w:val="none"/>
          <w:lang w:val="en-US" w:eastAsia="zh-CN"/>
        </w:rPr>
        <w:t xml:space="preserve">等</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所有产品的技术标准按国家标准执行，无国家标准的，按行业标准执行，无国家和行业标准的，按企业标准执行；但在</w:t>
      </w:r>
      <w:r>
        <w:rPr>
          <w:rFonts w:hint="eastAsia" w:ascii="宋体" w:hAnsi="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val="en-US" w:eastAsia="zh-CN"/>
        </w:rPr>
        <w:t xml:space="preserve">文件中有特别要求的，按</w:t>
      </w:r>
      <w:r>
        <w:rPr>
          <w:rFonts w:hint="eastAsia" w:ascii="宋体" w:hAnsi="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val="en-US" w:eastAsia="zh-CN"/>
        </w:rPr>
        <w:t xml:space="preserve">文件中规定的要求执行，并且符合相关法律、法规规定的要求。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在项目采购或实施过程中，如国家标准修改，应按照新国家标准实施；如本</w:t>
      </w:r>
      <w:r>
        <w:rPr>
          <w:rFonts w:hint="eastAsia" w:ascii="宋体" w:hAnsi="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val="en-US" w:eastAsia="zh-CN"/>
        </w:rPr>
        <w:t xml:space="preserve">文件规定高于国家标准，无论新旧标准，均按本</w:t>
      </w:r>
      <w:r>
        <w:rPr>
          <w:rFonts w:hint="eastAsia" w:ascii="宋体" w:hAnsi="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val="en-US" w:eastAsia="zh-CN"/>
        </w:rPr>
        <w:t xml:space="preserve">文件规定实施；如本</w:t>
      </w:r>
      <w:r>
        <w:rPr>
          <w:rFonts w:hint="eastAsia" w:ascii="宋体" w:hAnsi="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val="en-US" w:eastAsia="zh-CN"/>
        </w:rPr>
        <w:t xml:space="preserve">文件规定低于国家标准，无论新旧标准，均按国家标准规定实施。如本</w:t>
      </w:r>
      <w:r>
        <w:rPr>
          <w:rFonts w:hint="eastAsia" w:ascii="宋体" w:hAnsi="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val="en-US" w:eastAsia="zh-CN"/>
        </w:rPr>
        <w:t xml:space="preserve">文件内有内容相互矛盾，以高标准高要求的为准。以上有关风险等由供应商自行考虑并承担。</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lang w:eastAsia="zh-CN"/>
        </w:rPr>
        <w:t xml:space="preserve">、合同履行期限</w:t>
      </w:r>
      <w:r>
        <w:rPr>
          <w:rFonts w:hint="eastAsia" w:ascii="宋体" w:hAnsi="宋体" w:cs="宋体"/>
          <w:b/>
          <w:bCs/>
          <w:color w:val="auto"/>
          <w:sz w:val="24"/>
          <w:szCs w:val="24"/>
          <w:highlight w:val="none"/>
          <w:lang w:eastAsia="zh-CN"/>
        </w:rPr>
        <w:t xml:space="preserve">和地点</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cs="宋体"/>
          <w:color w:val="auto"/>
          <w:sz w:val="24"/>
          <w:szCs w:val="24"/>
          <w:highlight w:val="none"/>
          <w:lang w:val="en-US" w:eastAsia="zh-CN"/>
        </w:rPr>
        <w:t xml:space="preserve">1.合同履行期限：</w:t>
      </w:r>
      <w:r>
        <w:rPr>
          <w:rFonts w:hint="eastAsia" w:ascii="宋体" w:hAnsi="宋体" w:eastAsia="宋体" w:cs="宋体"/>
          <w:color w:val="auto"/>
          <w:sz w:val="24"/>
          <w:szCs w:val="24"/>
          <w:highlight w:val="none"/>
          <w:lang w:eastAsia="zh-CN"/>
        </w:rPr>
        <w:t xml:space="preserve">一年。</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2.合同履行地点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通州湾示范区三余镇采购人指定地点。</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四、验收、核查及付款</w:t>
      </w:r>
      <w:r>
        <w:rPr>
          <w:rFonts w:hint="eastAsia" w:ascii="宋体" w:hAnsi="宋体" w:cs="宋体"/>
          <w:b/>
          <w:bCs/>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b/>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对农药零差率统一配供、废弃农药包装物和</w:t>
      </w:r>
      <w:r>
        <w:rPr>
          <w:rFonts w:hint="eastAsia" w:ascii="宋体" w:hAnsi="宋体" w:eastAsia="宋体" w:cs="宋体"/>
          <w:color w:val="auto"/>
          <w:sz w:val="24"/>
          <w:szCs w:val="24"/>
          <w:highlight w:val="none"/>
          <w:lang w:eastAsia="zh-CN"/>
        </w:rPr>
        <w:t xml:space="preserve">地膜</w:t>
      </w:r>
      <w:r>
        <w:rPr>
          <w:rFonts w:ascii="宋体" w:hAnsi="宋体" w:eastAsia="宋体" w:cs="宋体"/>
          <w:color w:val="auto"/>
          <w:sz w:val="24"/>
          <w:szCs w:val="24"/>
          <w:highlight w:val="none"/>
        </w:rPr>
        <w:t xml:space="preserve">回收处理工作</w:t>
      </w:r>
      <w:r>
        <w:rPr>
          <w:rFonts w:hint="eastAsia" w:ascii="宋体" w:hAnsi="宋体" w:eastAsia="宋体" w:cs="宋体"/>
          <w:color w:val="auto"/>
          <w:sz w:val="24"/>
          <w:szCs w:val="24"/>
          <w:highlight w:val="none"/>
          <w:lang w:eastAsia="zh-CN"/>
        </w:rPr>
        <w:t xml:space="preserve">进行验收、检查，</w:t>
      </w:r>
      <w:r>
        <w:rPr>
          <w:rFonts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采购人</w:t>
      </w:r>
      <w:r>
        <w:rPr>
          <w:rFonts w:ascii="宋体" w:hAnsi="宋体" w:eastAsia="宋体" w:cs="宋体"/>
          <w:color w:val="auto"/>
          <w:sz w:val="24"/>
          <w:szCs w:val="24"/>
          <w:highlight w:val="none"/>
        </w:rPr>
        <w:t xml:space="preserve">会同镇</w:t>
      </w:r>
      <w:r>
        <w:rPr>
          <w:rFonts w:hint="eastAsia" w:ascii="宋体" w:hAnsi="宋体" w:eastAsia="宋体" w:cs="宋体"/>
          <w:color w:val="auto"/>
          <w:sz w:val="24"/>
          <w:szCs w:val="24"/>
          <w:highlight w:val="none"/>
          <w:lang w:eastAsia="zh-CN"/>
        </w:rPr>
        <w:t xml:space="preserve">农业、财政等部门按总量</w:t>
      </w:r>
      <w:r>
        <w:rPr>
          <w:rFonts w:hint="eastAsia" w:ascii="宋体" w:hAnsi="宋体" w:eastAsia="宋体" w:cs="宋体"/>
          <w:color w:val="auto"/>
          <w:sz w:val="24"/>
          <w:szCs w:val="24"/>
          <w:highlight w:val="none"/>
          <w:lang w:val="en-US" w:eastAsia="zh-CN"/>
        </w:rPr>
        <w:t xml:space="preserve">2%进行抽检，</w:t>
      </w:r>
      <w:r>
        <w:rPr>
          <w:rFonts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eastAsia="zh-CN"/>
        </w:rPr>
        <w:t xml:space="preserve">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处置一批次</w:t>
      </w:r>
      <w:r>
        <w:rPr>
          <w:rFonts w:ascii="宋体" w:hAnsi="宋体" w:eastAsia="宋体" w:cs="宋体"/>
          <w:color w:val="auto"/>
          <w:sz w:val="24"/>
          <w:szCs w:val="24"/>
          <w:highlight w:val="none"/>
        </w:rPr>
        <w:t xml:space="preserve">拨付一次</w:t>
      </w:r>
      <w:r>
        <w:rPr>
          <w:rFonts w:hint="eastAsia" w:ascii="宋体" w:hAnsi="宋体" w:eastAsia="宋体" w:cs="宋体"/>
          <w:color w:val="auto"/>
          <w:sz w:val="24"/>
          <w:szCs w:val="24"/>
          <w:highlight w:val="none"/>
          <w:lang w:eastAsia="zh-CN"/>
        </w:rPr>
        <w:t xml:space="preserve">资金</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采购人应</w:t>
      </w:r>
      <w:r>
        <w:rPr>
          <w:rFonts w:ascii="宋体" w:hAnsi="宋体" w:eastAsia="宋体" w:cs="宋体"/>
          <w:color w:val="auto"/>
          <w:sz w:val="24"/>
          <w:szCs w:val="24"/>
          <w:highlight w:val="none"/>
        </w:rPr>
        <w:t xml:space="preserve">加强对销售回收环节的日常监管，对提供虚假台账、报表等违规行为的，追缴相关补贴资金和扣减相关费用，取消经营主体资格，情节严重构成犯罪的移交司法机关处理。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五、其他要求</w:t>
      </w:r>
      <w:r>
        <w:rPr>
          <w:rFonts w:hint="eastAsia" w:ascii="宋体" w:hAnsi="宋体" w:cs="宋体"/>
          <w:b/>
          <w:bCs/>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ascii="宋体" w:hAnsi="宋体" w:eastAsia="宋体" w:cs="宋体"/>
          <w:color w:val="auto"/>
          <w:sz w:val="24"/>
          <w:szCs w:val="24"/>
          <w:highlight w:val="none"/>
        </w:rPr>
        <w:t xml:space="preserve">零差率配送及农业废弃物回收中心实行</w:t>
      </w:r>
      <w:r>
        <w:rPr>
          <w:rFonts w:hint="eastAsia" w:ascii="宋体" w:hAnsi="宋体" w:eastAsia="宋体" w:cs="宋体"/>
          <w:color w:val="auto"/>
          <w:sz w:val="24"/>
          <w:szCs w:val="24"/>
          <w:highlight w:val="none"/>
          <w:lang w:eastAsia="zh-CN"/>
        </w:rPr>
        <w:t xml:space="preserve">公示制度</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所有销售配送的农药需录入管理平台，购买配送的农药时，经营店及时录入农户基本情况、种植规模及购买数量等基本信息，所购农药废弃包装物需原途径回收，并负责辖区内</w:t>
      </w:r>
      <w:r>
        <w:rPr>
          <w:rFonts w:hint="eastAsia" w:ascii="宋体" w:hAnsi="宋体" w:eastAsia="宋体" w:cs="宋体"/>
          <w:color w:val="auto"/>
          <w:sz w:val="24"/>
          <w:szCs w:val="24"/>
          <w:highlight w:val="none"/>
          <w:lang w:eastAsia="zh-CN"/>
        </w:rPr>
        <w:t xml:space="preserve">地</w:t>
      </w:r>
      <w:r>
        <w:rPr>
          <w:rFonts w:ascii="宋体" w:hAnsi="宋体" w:eastAsia="宋体" w:cs="宋体"/>
          <w:color w:val="auto"/>
          <w:sz w:val="24"/>
          <w:szCs w:val="24"/>
          <w:highlight w:val="none"/>
        </w:rPr>
        <w:t xml:space="preserve">膜回收的信息管理工作。</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t xml:space="preserve">六、出现下列情形之一，由中标人承担相应的责任及损失</w:t>
      </w:r>
      <w:r>
        <w:rPr>
          <w:rFonts w:hint="eastAsia" w:ascii="宋体" w:hAnsi="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1.中标人经营劣质农药或假农药的按照《农药管理条例》第五十五、五十六条规定承担所有责任和经济损失，情节严重的采购人有权解除合同并承担给采购人造成的所有损失。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2.中标人未能提供或不能完全提供配送农药产品合格证和进货发票造成验收入库延误或退厂的责任，由中标人负责。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3.由于农药滞销造成积压致使农药过期失效造成的经济损失由中标人承担。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4.在库农药出现原箱农药短少，残损、批号混装而未标识等问题，由中标人承担。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5.由于各销售网点进货、退货而引发农药损失由中标人负责。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6.由于中标人因配送农药的质量、品种、价格等原因造成客户投诉及农药损失的由中标人负责。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7.正常情况下中标人延误配送农药送达需求客户，由此造成的责任损失由中标人负责解决。</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8.经中标人验收合格入库农药，因中标人储存、养护、保管不当等原因造成农药受潮、霉变、包装损坏等损失，由中标人承担。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9.在农药配送、理货上架、分拣包装、运输装卸过程中发生因中标人人为因素的农药残损、丢失及差错等责任事故造成的经济损失，由中标人承担。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10.由于中标人责任造成客户因送货超出时效、发错农药、送错地点、服务纠纷等服务态度及质量方面投诉造成责任损失，由中标人负责解决。</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11.中标人在储存、运输、使用农药过程中发生重大事故的由中标人负责。</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七</w:t>
      </w:r>
      <w:r>
        <w:rPr>
          <w:rFonts w:hint="eastAsia" w:ascii="宋体" w:hAnsi="宋体" w:cs="宋体"/>
          <w:b/>
          <w:bCs/>
          <w:color w:val="auto"/>
          <w:sz w:val="24"/>
          <w:highlight w:val="none"/>
        </w:rPr>
        <w:t xml:space="preserve">、履约保证金</w:t>
      </w:r>
      <w:r>
        <w:rPr>
          <w:rFonts w:hint="eastAsia" w:ascii="宋体" w:hAnsi="宋体" w:cs="宋体"/>
          <w:b/>
          <w:bCs/>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
          <w:bCs/>
          <w:color w:val="auto"/>
          <w:sz w:val="24"/>
          <w:highlight w:val="none"/>
        </w:rPr>
        <w:t xml:space="preserve">、本项目中标后的履约保证金为项目中标价的</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，中标供应商的履约保证金须在中标通知书发出之日起至合同签订前汇入采购单位账户（应当以支票、汇票或者金融机构、担保机构出具的保函等非现金形式提交），</w:t>
      </w:r>
      <w:r>
        <w:rPr>
          <w:rFonts w:hint="eastAsia" w:ascii="宋体" w:hAnsi="宋体" w:cs="宋体"/>
          <w:color w:val="auto"/>
          <w:sz w:val="24"/>
          <w:highlight w:val="none"/>
          <w:lang w:val="zh-CN"/>
        </w:rPr>
        <w:t xml:space="preserve">待履约完成后无息退还。</w:t>
      </w:r>
      <w:r>
        <w:rPr>
          <w:rFonts w:hint="eastAsia" w:ascii="宋体" w:hAnsi="宋体" w:cs="宋体"/>
          <w:color w:val="auto"/>
          <w:sz w:val="24"/>
          <w:highlight w:val="none"/>
        </w:rPr>
        <w:t xml:space="preserve">中标供应商凭成交通知书与采购单位签订合同。超期或未有协商，则视为自动放弃成交资格。</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2、成交供应商全部履约合同义务，经采购单位验收合格无质量、进度等问题的，采购人在验收合格后一次性退还履约保证金；采购人若无故逾期退还履约保证金的，按照逾期部分的每日0.05%支付违约金。</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、发生以下情况的，履约保证金不予退还或部分退还</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line="360" w:lineRule="auto"/>
        <w:rPr>
          <w:color w:val="auto"/>
          <w:highlight w:val="none"/>
        </w:rPr>
      </w:pPr>
      <w:r>
        <w:rPr>
          <w:rFonts w:hint="eastAsia" w:ascii="宋体" w:hAnsi="宋体" w:cs="宋体"/>
          <w:color w:val="auto"/>
          <w:sz w:val="24"/>
          <w:highlight w:val="none"/>
        </w:rPr>
        <w:t xml:space="preserve">b.中标供应商在履约过程中发生违约行为，给采购单位造成损失的，采购单位有权在成交供应商缴纳的履约保证金中予以扣款，以弥补采购单位经济损失，不足的部分成交供应商另外补齐。</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bookmarkEnd w:id="0"/>
      <w:bookmarkEnd w:id="1"/>
      <w:bookmarkEnd w:id="2"/>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spacing w:line="360" w:lineRule="auto"/>
        <w:tabs>
          <w:tab w:val="left" w:pos="7740" w:leader="none"/>
        </w:tabs>
        <w:rPr>
          <w:rFonts w:ascii="宋体" w:hAnsi="宋体"/>
          <w:b/>
          <w:bCs/>
          <w:color w:val="auto"/>
          <w:sz w:val="32"/>
          <w:szCs w:val="32"/>
          <w:highlight w:val="none"/>
        </w:rPr>
      </w:pPr>
      <w:r>
        <w:rPr>
          <w:rFonts w:hint="eastAsia" w:ascii="宋体" w:hAnsi="宋体"/>
          <w:b/>
          <w:bCs/>
          <w:color w:val="auto"/>
          <w:sz w:val="32"/>
          <w:szCs w:val="32"/>
          <w:highlight w:val="none"/>
        </w:rPr>
        <w:t xml:space="preserve">第四部分  合同条款及格式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u w:val="single"/>
          <w:lang w:val="en-US" w:eastAsia="zh-CN"/>
        </w:rPr>
        <w:t xml:space="preserve">南通市通州区三余镇人民政府</w:t>
      </w:r>
      <w:r>
        <w:rPr>
          <w:rFonts w:hint="eastAsia" w:asciiTheme="minorEastAsia" w:hAnsiTheme="minorEastAsia" w:eastAsiaTheme="minorEastAsia" w:cstheme="minorEastAsia"/>
          <w:b w:val="0"/>
          <w:bCs w:val="0"/>
          <w:color w:val="auto"/>
          <w:sz w:val="24"/>
          <w:szCs w:val="24"/>
          <w:highlight w:val="none"/>
        </w:rPr>
        <w:t xml:space="preserve">以</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lang w:eastAsia="zh-CN"/>
        </w:rPr>
        <w:t xml:space="preserve">公开招标</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rPr>
        <w:t xml:space="preserve">方式</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通州湾示范区农药包装废弃物、废旧地膜回收、农药零差率统一配供服务项目 </w:t>
      </w:r>
      <w:r>
        <w:rPr>
          <w:rFonts w:hint="eastAsia" w:asciiTheme="minorEastAsia" w:hAnsiTheme="minorEastAsia" w:eastAsiaTheme="minorEastAsia" w:cstheme="minorEastAsia"/>
          <w:color w:val="auto"/>
          <w:sz w:val="24"/>
          <w:szCs w:val="24"/>
          <w:highlight w:val="none"/>
        </w:rPr>
        <w:t xml:space="preserve">进行了采购。经</w:t>
      </w:r>
      <w:r>
        <w:rPr>
          <w:rFonts w:hint="eastAsia" w:asciiTheme="minorEastAsia" w:hAnsiTheme="minorEastAsia" w:eastAsiaTheme="minorEastAsia" w:cstheme="minorEastAsia"/>
          <w:color w:val="auto"/>
          <w:sz w:val="24"/>
          <w:szCs w:val="24"/>
          <w:highlight w:val="none"/>
          <w:u w:val="none"/>
        </w:rPr>
        <w:t xml:space="preserve">评标委员会</w:t>
      </w:r>
      <w:r>
        <w:rPr>
          <w:rFonts w:hint="eastAsia" w:asciiTheme="minorEastAsia" w:hAnsiTheme="minorEastAsia" w:eastAsiaTheme="minorEastAsia" w:cstheme="minorEastAsia"/>
          <w:color w:val="auto"/>
          <w:sz w:val="24"/>
          <w:szCs w:val="24"/>
          <w:highlight w:val="none"/>
        </w:rPr>
        <w:t xml:space="preserve">评定，</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为该项目中标供应商。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lang w:val="zh-CN"/>
        </w:rPr>
        <w:t xml:space="preserve">根据《中华人民共和国民法典》、《中华人民共和国政府采购法》等相关法律法规之规定，按照平等、自愿、公平和诚实信用的原则，经</w:t>
      </w:r>
      <w:r>
        <w:rPr>
          <w:rFonts w:hint="eastAsia" w:asciiTheme="minorEastAsia" w:hAnsiTheme="minorEastAsia" w:eastAsiaTheme="minorEastAsia" w:cstheme="minorEastAsia"/>
          <w:color w:val="auto"/>
          <w:sz w:val="24"/>
          <w:szCs w:val="24"/>
          <w:highlight w:val="none"/>
          <w:u w:val="single"/>
          <w:lang w:val="en-US" w:eastAsia="zh-CN"/>
        </w:rPr>
        <w:t xml:space="preserve"> 南通市通州区三余镇人民政府  </w:t>
      </w:r>
      <w:r>
        <w:rPr>
          <w:rFonts w:hint="eastAsia" w:asciiTheme="minorEastAsia" w:hAnsiTheme="minorEastAsia" w:eastAsiaTheme="minorEastAsia" w:cstheme="minorEastAsia"/>
          <w:color w:val="auto"/>
          <w:sz w:val="24"/>
          <w:szCs w:val="24"/>
          <w:highlight w:val="none"/>
          <w:lang w:val="zh-CN"/>
        </w:rPr>
        <w:t xml:space="preserve">(以下简称：甲方)和</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(以下简称：乙方)协商一致，约定以下合同</w:t>
      </w:r>
      <w:r>
        <w:rPr>
          <w:rFonts w:hint="eastAsia" w:asciiTheme="minorEastAsia" w:hAnsiTheme="minorEastAsia" w:eastAsiaTheme="minorEastAsia" w:cstheme="minorEastAsia"/>
          <w:color w:val="auto"/>
          <w:sz w:val="24"/>
          <w:szCs w:val="24"/>
          <w:highlight w:val="none"/>
        </w:rPr>
        <w:t xml:space="preserve">条款，以兹共同遵守、全面履行。</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bookmarkStart w:id="98" w:name="_Toc15367"/>
      <w:r/>
      <w:bookmarkStart w:id="99" w:name="_Toc19273"/>
      <w:r/>
      <w:bookmarkStart w:id="100" w:name="_Toc28855"/>
      <w:r/>
      <w:bookmarkStart w:id="101" w:name="_Toc22967"/>
      <w:r/>
      <w:bookmarkStart w:id="102" w:name="_Toc20421"/>
      <w:r>
        <w:rPr>
          <w:rFonts w:hint="eastAsia" w:asciiTheme="minorEastAsia" w:hAnsiTheme="minorEastAsia" w:eastAsiaTheme="minorEastAsia" w:cstheme="minorEastAsia"/>
          <w:b/>
          <w:color w:val="auto"/>
          <w:sz w:val="24"/>
          <w:szCs w:val="24"/>
          <w:highlight w:val="none"/>
        </w:rPr>
        <w:t xml:space="preserve">1.1 合同组成部分</w:t>
      </w:r>
      <w:bookmarkEnd w:id="98"/>
      <w:r/>
      <w:bookmarkEnd w:id="99"/>
      <w:r/>
      <w:bookmarkEnd w:id="100"/>
      <w:r/>
      <w:bookmarkEnd w:id="101"/>
      <w:r/>
      <w:bookmarkEnd w:id="102"/>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0"/>
      </w:pPr>
      <w:r>
        <w:rPr>
          <w:rFonts w:hint="eastAsia" w:asciiTheme="minorEastAsia" w:hAnsiTheme="minorEastAsia" w:eastAsiaTheme="minorEastAsia" w:cstheme="minorEastAsia"/>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1.1.1 本合同及其补充合同、变更协议；</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1.1.2 中标通知书；</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1.1.3 投标文件（含澄清或者说明文件）；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1.1.4 招标文件（含澄清或者修改文件）；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1.1.5 其他相关采购文件。</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03" w:name="_Toc6773"/>
      <w:r/>
      <w:bookmarkStart w:id="104" w:name="_Toc2918"/>
      <w:r/>
      <w:bookmarkStart w:id="105" w:name="_Toc18585"/>
      <w:r/>
      <w:bookmarkStart w:id="106" w:name="_Toc6311"/>
      <w:r/>
      <w:bookmarkStart w:id="107" w:name="_Toc22185"/>
      <w:r>
        <w:rPr>
          <w:rFonts w:hint="eastAsia" w:asciiTheme="minorEastAsia" w:hAnsiTheme="minorEastAsia" w:eastAsiaTheme="minorEastAsia" w:cstheme="minorEastAsia"/>
          <w:b/>
          <w:color w:val="auto"/>
          <w:sz w:val="24"/>
          <w:szCs w:val="24"/>
          <w:highlight w:val="none"/>
        </w:rPr>
        <w:t xml:space="preserve">1.2 标的</w:t>
      </w:r>
      <w:bookmarkEnd w:id="103"/>
      <w:r/>
      <w:bookmarkEnd w:id="104"/>
      <w:r/>
      <w:bookmarkEnd w:id="105"/>
      <w:r/>
      <w:bookmarkEnd w:id="106"/>
      <w:r/>
      <w:bookmarkEnd w:id="107"/>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outlineLvl w:val="0"/>
      </w:pPr>
      <w:r>
        <w:rPr>
          <w:rFonts w:hint="eastAsia" w:asciiTheme="minorEastAsia" w:hAnsiTheme="minorEastAsia" w:eastAsiaTheme="minorEastAsia" w:cstheme="minorEastAsia"/>
          <w:color w:val="auto"/>
          <w:sz w:val="24"/>
          <w:szCs w:val="24"/>
          <w:highlight w:val="none"/>
        </w:rPr>
        <w:t xml:space="preserve">1.2.1 标的名称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u w:val="single"/>
          <w:lang w:eastAsia="zh-CN"/>
        </w:rPr>
        <w:t xml:space="preserve">通州湾示范区农药包装废弃物、废旧地膜回收、农药零差率统一配供服务项目</w:t>
      </w:r>
      <w:r>
        <w:rPr>
          <w:rFonts w:hint="eastAsia" w:asciiTheme="minorEastAsia" w:hAnsiTheme="minorEastAsia" w:eastAsiaTheme="minorEastAsia" w:cstheme="minorEastAsia"/>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lang w:eastAsia="zh-CN"/>
        </w:rPr>
        <w:outlineLvl w:val="0"/>
      </w:pPr>
      <w:r>
        <w:rPr>
          <w:rFonts w:hint="eastAsia" w:asciiTheme="minorEastAsia" w:hAnsiTheme="minorEastAsia" w:eastAsiaTheme="minorEastAsia" w:cstheme="minorEastAsia"/>
          <w:color w:val="auto"/>
          <w:sz w:val="24"/>
          <w:szCs w:val="24"/>
          <w:highlight w:val="none"/>
        </w:rPr>
        <w:t xml:space="preserve">1.2.2 标的</w:t>
      </w:r>
      <w:r>
        <w:rPr>
          <w:rFonts w:hint="eastAsia" w:asciiTheme="minorEastAsia" w:hAnsiTheme="minorEastAsia" w:eastAsiaTheme="minorEastAsia" w:cstheme="minorEastAsia"/>
          <w:color w:val="auto"/>
          <w:sz w:val="24"/>
          <w:szCs w:val="24"/>
          <w:highlight w:val="none"/>
          <w:lang w:eastAsia="zh-CN"/>
        </w:rPr>
        <w:t xml:space="preserve">内容：</w:t>
      </w:r>
      <w:r>
        <w:rPr>
          <w:rFonts w:hint="eastAsia" w:asciiTheme="minorEastAsia" w:hAnsiTheme="minorEastAsia" w:eastAsiaTheme="minorEastAsia" w:cstheme="minorEastAsia"/>
          <w:color w:val="auto"/>
          <w:sz w:val="24"/>
          <w:szCs w:val="24"/>
          <w:highlight w:val="none"/>
          <w:u w:val="single"/>
          <w:lang w:eastAsia="zh-CN"/>
        </w:rPr>
        <w:t xml:space="preserve">详见招标文件</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1.2.3 标的质量</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rPr>
        <w:t xml:space="preserve">及时配供到位、及时回收到位</w:t>
      </w:r>
      <w:r>
        <w:rPr>
          <w:rFonts w:hint="eastAsia" w:asciiTheme="minorEastAsia" w:hAnsiTheme="minorEastAsia" w:eastAsiaTheme="minorEastAsia" w:cstheme="minorEastAsia"/>
          <w:color w:val="auto"/>
          <w:sz w:val="24"/>
          <w:szCs w:val="24"/>
          <w:highlight w:val="none"/>
        </w:rPr>
        <w:t xml:space="preserve">。</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08" w:name="_Toc1386"/>
      <w:r/>
      <w:bookmarkStart w:id="109" w:name="_Toc5635"/>
      <w:r/>
      <w:bookmarkStart w:id="110" w:name="_Toc4929"/>
      <w:r/>
      <w:bookmarkStart w:id="111" w:name="_Toc21124"/>
      <w:r/>
      <w:bookmarkStart w:id="112" w:name="_Toc13918"/>
      <w:r>
        <w:rPr>
          <w:rFonts w:hint="eastAsia" w:asciiTheme="minorEastAsia" w:hAnsiTheme="minorEastAsia" w:eastAsiaTheme="minorEastAsia" w:cstheme="minorEastAsia"/>
          <w:b/>
          <w:color w:val="auto"/>
          <w:sz w:val="24"/>
          <w:szCs w:val="24"/>
          <w:highlight w:val="none"/>
        </w:rPr>
        <w:t xml:space="preserve">1.3 价款</w:t>
      </w:r>
      <w:bookmarkEnd w:id="108"/>
      <w:r/>
      <w:bookmarkEnd w:id="109"/>
      <w:r/>
      <w:bookmarkEnd w:id="110"/>
      <w:r/>
      <w:bookmarkEnd w:id="111"/>
      <w:r/>
      <w:bookmarkEnd w:id="112"/>
      <w:r/>
      <w:r/>
    </w:p>
    <w:p>
      <w:pPr>
        <w:ind w:firstLine="482"/>
        <w:keepLines w:val="0"/>
        <w:keepNext w:val="0"/>
        <w:pageBreakBefore w:val="0"/>
        <w:spacing w:line="360" w:lineRule="auto"/>
        <w:widowControl w:val="off"/>
        <w:rPr>
          <w:rFonts w:hint="default" w:ascii="宋体" w:hAnsi="宋体" w:eastAsia="宋体" w:cs="宋体"/>
          <w:b/>
          <w:bCs/>
          <w:color w:val="auto"/>
          <w:sz w:val="24"/>
          <w:szCs w:val="24"/>
          <w:highlight w:val="none"/>
          <w:u w:val="single"/>
          <w:lang w:val="en-US" w:eastAsia="zh-CN"/>
        </w:rPr>
        <w:outlineLvl w:val="0"/>
      </w:pPr>
      <w:r/>
      <w:bookmarkStart w:id="113" w:name="_Toc14993"/>
      <w:r/>
      <w:bookmarkStart w:id="114" w:name="_Toc3654"/>
      <w:r/>
      <w:bookmarkStart w:id="115" w:name="_Toc30158"/>
      <w:r/>
      <w:bookmarkStart w:id="116" w:name="_Toc26916"/>
      <w:r/>
      <w:bookmarkStart w:id="117" w:name="_Toc30506"/>
      <w:r>
        <w:rPr>
          <w:rFonts w:hint="eastAsia" w:ascii="宋体" w:hAnsi="宋体" w:eastAsia="宋体" w:cs="宋体"/>
          <w:b/>
          <w:bCs/>
          <w:color w:val="auto"/>
          <w:sz w:val="24"/>
          <w:szCs w:val="24"/>
          <w:highlight w:val="none"/>
          <w:u w:val="none"/>
          <w:lang w:val="en-US" w:eastAsia="zh-CN"/>
        </w:rPr>
        <w:t xml:space="preserve">1.3.1合同价款</w:t>
      </w:r>
      <w:r>
        <w:rPr>
          <w:rFonts w:hint="eastAsia" w:ascii="宋体" w:hAnsi="宋体" w:cs="宋体"/>
          <w:b/>
          <w:bCs/>
          <w:color w:val="auto"/>
          <w:sz w:val="24"/>
          <w:szCs w:val="24"/>
          <w:highlight w:val="none"/>
          <w:u w:val="none"/>
          <w:lang w:val="en-US" w:eastAsia="zh-CN"/>
        </w:rPr>
        <w:t xml:space="preserve">：暂定117.4万元，具体以实际结算费用为准。</w:t>
      </w:r>
      <w:r>
        <w:rPr>
          <w:rFonts w:hint="eastAsia" w:ascii="宋体" w:hAnsi="宋体" w:eastAsia="宋体" w:cs="宋体"/>
          <w:b/>
          <w:bCs/>
          <w:color w:val="auto"/>
          <w:sz w:val="24"/>
          <w:szCs w:val="24"/>
          <w:highlight w:val="none"/>
          <w:u w:val="none"/>
          <w:lang w:val="en-US" w:eastAsia="zh-CN"/>
        </w:rPr>
        <w:t xml:space="preserve"> </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rPr>
          <w:rFonts w:hint="eastAsia" w:asciiTheme="minorEastAsia" w:hAnsiTheme="minorEastAsia" w:eastAsiaTheme="minorEastAsia" w:cstheme="minorEastAsia"/>
          <w:b/>
          <w:color w:val="auto"/>
          <w:sz w:val="24"/>
          <w:szCs w:val="24"/>
          <w:highlight w:val="none"/>
        </w:rPr>
        <w:t xml:space="preserve">1.4 付款方式和发票开具方式</w:t>
      </w:r>
      <w:bookmarkEnd w:id="113"/>
      <w:r/>
      <w:bookmarkEnd w:id="114"/>
      <w:r/>
      <w:bookmarkEnd w:id="115"/>
      <w:r/>
      <w:bookmarkEnd w:id="116"/>
      <w:r/>
      <w:bookmarkEnd w:id="117"/>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outlineLvl w:val="0"/>
      </w:pPr>
      <w:r>
        <w:rPr>
          <w:rFonts w:hint="eastAsia" w:asciiTheme="minorEastAsia" w:hAnsiTheme="minorEastAsia" w:eastAsiaTheme="minorEastAsia" w:cstheme="minorEastAsia"/>
          <w:color w:val="auto"/>
          <w:sz w:val="24"/>
          <w:szCs w:val="24"/>
          <w:highlight w:val="none"/>
        </w:rPr>
        <w:t xml:space="preserve">1.4.1付款方式</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u w:val="single"/>
        </w:rPr>
        <w:t xml:space="preserve">对农药零差率统一配供、废弃农药包装物和</w:t>
      </w:r>
      <w:r>
        <w:rPr>
          <w:rFonts w:hint="eastAsia" w:asciiTheme="minorEastAsia" w:hAnsiTheme="minorEastAsia" w:eastAsiaTheme="minorEastAsia" w:cstheme="minorEastAsia"/>
          <w:b/>
          <w:bCs/>
          <w:color w:val="auto"/>
          <w:sz w:val="24"/>
          <w:szCs w:val="24"/>
          <w:highlight w:val="none"/>
          <w:u w:val="single"/>
          <w:lang w:eastAsia="zh-CN"/>
        </w:rPr>
        <w:t xml:space="preserve">地膜</w:t>
      </w:r>
      <w:r>
        <w:rPr>
          <w:rFonts w:hint="eastAsia" w:asciiTheme="minorEastAsia" w:hAnsiTheme="minorEastAsia" w:eastAsiaTheme="minorEastAsia" w:cstheme="minorEastAsia"/>
          <w:b/>
          <w:bCs/>
          <w:color w:val="auto"/>
          <w:sz w:val="24"/>
          <w:szCs w:val="24"/>
          <w:highlight w:val="none"/>
          <w:u w:val="single"/>
        </w:rPr>
        <w:t xml:space="preserve">回收处理工作</w:t>
      </w:r>
      <w:r>
        <w:rPr>
          <w:rFonts w:hint="eastAsia" w:asciiTheme="minorEastAsia" w:hAnsiTheme="minorEastAsia" w:eastAsiaTheme="minorEastAsia" w:cstheme="minorEastAsia"/>
          <w:b/>
          <w:bCs/>
          <w:color w:val="auto"/>
          <w:sz w:val="24"/>
          <w:szCs w:val="24"/>
          <w:highlight w:val="none"/>
          <w:u w:val="single"/>
          <w:lang w:eastAsia="zh-CN"/>
        </w:rPr>
        <w:t xml:space="preserve">进行验收、检查，</w:t>
      </w:r>
      <w:r>
        <w:rPr>
          <w:rFonts w:hint="eastAsia" w:asciiTheme="minorEastAsia" w:hAnsiTheme="minorEastAsia" w:eastAsiaTheme="minorEastAsia" w:cstheme="minorEastAsia"/>
          <w:b/>
          <w:bCs/>
          <w:color w:val="auto"/>
          <w:sz w:val="24"/>
          <w:szCs w:val="24"/>
          <w:highlight w:val="none"/>
          <w:u w:val="single"/>
        </w:rPr>
        <w:t xml:space="preserve">由</w:t>
      </w:r>
      <w:r>
        <w:rPr>
          <w:rFonts w:hint="eastAsia" w:asciiTheme="minorEastAsia" w:hAnsiTheme="minorEastAsia" w:eastAsiaTheme="minorEastAsia" w:cstheme="minorEastAsia"/>
          <w:b/>
          <w:bCs/>
          <w:color w:val="auto"/>
          <w:sz w:val="24"/>
          <w:szCs w:val="24"/>
          <w:highlight w:val="none"/>
          <w:u w:val="single"/>
          <w:lang w:eastAsia="zh-CN"/>
        </w:rPr>
        <w:t xml:space="preserve">甲方</w:t>
      </w:r>
      <w:r>
        <w:rPr>
          <w:rFonts w:hint="eastAsia" w:asciiTheme="minorEastAsia" w:hAnsiTheme="minorEastAsia" w:eastAsiaTheme="minorEastAsia" w:cstheme="minorEastAsia"/>
          <w:b/>
          <w:bCs/>
          <w:color w:val="auto"/>
          <w:sz w:val="24"/>
          <w:szCs w:val="24"/>
          <w:highlight w:val="none"/>
          <w:u w:val="single"/>
        </w:rPr>
        <w:t xml:space="preserve">会同三余镇</w:t>
      </w:r>
      <w:r>
        <w:rPr>
          <w:rFonts w:hint="eastAsia" w:asciiTheme="minorEastAsia" w:hAnsiTheme="minorEastAsia" w:eastAsiaTheme="minorEastAsia" w:cstheme="minorEastAsia"/>
          <w:b/>
          <w:bCs/>
          <w:color w:val="auto"/>
          <w:sz w:val="24"/>
          <w:szCs w:val="24"/>
          <w:highlight w:val="none"/>
          <w:u w:val="single"/>
          <w:lang w:eastAsia="zh-CN"/>
        </w:rPr>
        <w:t xml:space="preserve">农业、财政等部门按总量</w:t>
      </w:r>
      <w:r>
        <w:rPr>
          <w:rFonts w:hint="eastAsia" w:asciiTheme="minorEastAsia" w:hAnsiTheme="minorEastAsia" w:eastAsiaTheme="minorEastAsia" w:cstheme="minorEastAsia"/>
          <w:b/>
          <w:bCs/>
          <w:color w:val="auto"/>
          <w:sz w:val="24"/>
          <w:szCs w:val="24"/>
          <w:highlight w:val="none"/>
          <w:u w:val="single"/>
          <w:lang w:val="en-US" w:eastAsia="zh-CN"/>
        </w:rPr>
        <w:t xml:space="preserve">2%进行抽检，每验收、处置一批次拨付一次资金</w:t>
      </w:r>
      <w:r>
        <w:rPr>
          <w:rFonts w:hint="eastAsia" w:asciiTheme="minorEastAsia" w:hAnsiTheme="minorEastAsia" w:eastAsiaTheme="minorEastAsia" w:cstheme="minorEastAsia"/>
          <w:b/>
          <w:bCs/>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1.4.2 发票开具方式</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符合财政要求的增值税发票 </w:t>
      </w:r>
      <w:r>
        <w:rPr>
          <w:rFonts w:hint="eastAsia" w:asciiTheme="minorEastAsia" w:hAnsiTheme="minorEastAsia" w:eastAsiaTheme="minorEastAsia" w:cstheme="minorEastAsia"/>
          <w:color w:val="auto"/>
          <w:sz w:val="24"/>
          <w:szCs w:val="24"/>
          <w:highlight w:val="none"/>
        </w:rPr>
        <w:t xml:space="preserve">。</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en-US" w:eastAsia="zh-CN"/>
        </w:rPr>
        <w:outlineLvl w:val="0"/>
      </w:pPr>
      <w:r/>
      <w:bookmarkStart w:id="118" w:name="_Toc3625"/>
      <w:r/>
      <w:bookmarkStart w:id="119" w:name="_Toc4760"/>
      <w:r/>
      <w:bookmarkStart w:id="120" w:name="_Toc31421"/>
      <w:r/>
      <w:bookmarkStart w:id="121" w:name="_Toc11108"/>
      <w:r/>
      <w:bookmarkStart w:id="122" w:name="_Toc8772"/>
      <w:r>
        <w:rPr>
          <w:rFonts w:hint="eastAsia" w:asciiTheme="minorEastAsia" w:hAnsiTheme="minorEastAsia" w:eastAsiaTheme="minorEastAsia" w:cstheme="minorEastAsia"/>
          <w:b/>
          <w:color w:val="auto"/>
          <w:sz w:val="24"/>
          <w:szCs w:val="24"/>
          <w:highlight w:val="none"/>
        </w:rPr>
        <w:t xml:space="preserve">1.5 履行期限、地点和方式</w:t>
      </w:r>
      <w:bookmarkEnd w:id="118"/>
      <w:r/>
      <w:bookmarkEnd w:id="119"/>
      <w:r/>
      <w:bookmarkEnd w:id="120"/>
      <w:r/>
      <w:bookmarkEnd w:id="121"/>
      <w:r/>
      <w:bookmarkEnd w:id="122"/>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outlineLvl w:val="0"/>
      </w:pPr>
      <w:r>
        <w:rPr>
          <w:rFonts w:hint="eastAsia" w:asciiTheme="minorEastAsia" w:hAnsiTheme="minorEastAsia" w:eastAsiaTheme="minorEastAsia" w:cstheme="minorEastAsia"/>
          <w:color w:val="auto"/>
          <w:sz w:val="24"/>
          <w:szCs w:val="24"/>
          <w:highlight w:val="none"/>
        </w:rPr>
        <w:t xml:space="preserve">1.5.1 履行期限</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u w:val="single"/>
          <w:lang w:val="en-US" w:eastAsia="zh-CN"/>
        </w:rPr>
        <w:t xml:space="preserve">1</w:t>
      </w:r>
      <w:r>
        <w:rPr>
          <w:rFonts w:hint="eastAsia" w:asciiTheme="minorEastAsia" w:hAnsiTheme="minorEastAsia" w:eastAsiaTheme="minorEastAsia" w:cstheme="minorEastAsia"/>
          <w:b/>
          <w:bCs/>
          <w:color w:val="auto"/>
          <w:sz w:val="24"/>
          <w:szCs w:val="24"/>
          <w:highlight w:val="none"/>
          <w:u w:val="single"/>
          <w:lang w:eastAsia="zh-CN"/>
        </w:rPr>
        <w:t xml:space="preserve">年。合同日期</w:t>
      </w:r>
      <w:r>
        <w:rPr>
          <w:rFonts w:hint="eastAsia" w:asciiTheme="minorEastAsia" w:hAnsiTheme="minorEastAsia" w:eastAsiaTheme="minorEastAsia" w:cstheme="minorEastAsia"/>
          <w:b/>
          <w:bCs/>
          <w:color w:val="auto"/>
          <w:sz w:val="24"/>
          <w:szCs w:val="24"/>
          <w:highlight w:val="none"/>
          <w:u w:val="single"/>
          <w:lang w:val="en-US" w:eastAsia="zh-CN"/>
        </w:rPr>
        <w:t xml:space="preserve">    年  月  日起至    年   月  日止</w:t>
      </w:r>
      <w:r>
        <w:rPr>
          <w:rFonts w:hint="eastAsia" w:asciiTheme="minorEastAsia" w:hAnsiTheme="minorEastAsia" w:eastAsiaTheme="minorEastAsia" w:cstheme="minorEastAsia"/>
          <w:b/>
          <w:bCs/>
          <w:color w:val="auto"/>
          <w:sz w:val="24"/>
          <w:szCs w:val="24"/>
          <w:highlight w:val="none"/>
          <w:u w:val="single"/>
          <w:lang w:eastAsia="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1.5.2 履行地点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eastAsia="zh-CN"/>
        </w:rPr>
        <w:t xml:space="preserve">通州湾示范区三余镇</w:t>
      </w:r>
      <w:r>
        <w:rPr>
          <w:rFonts w:hint="eastAsia" w:asciiTheme="minorEastAsia" w:hAnsiTheme="minorEastAsia" w:eastAsiaTheme="minorEastAsia" w:cstheme="minorEastAsia"/>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1.5.3 履行方式</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rPr>
        <w:t xml:space="preserve">可以通过合同，落实网点配供回收职责，并进行考核奖惩</w:t>
      </w:r>
      <w:r>
        <w:rPr>
          <w:rFonts w:hint="eastAsia" w:asciiTheme="minorEastAsia" w:hAnsiTheme="minorEastAsia" w:eastAsiaTheme="minorEastAsia" w:cstheme="minorEastAsia"/>
          <w:color w:val="auto"/>
          <w:sz w:val="24"/>
          <w:szCs w:val="24"/>
          <w:highlight w:val="none"/>
        </w:rPr>
        <w:t xml:space="preserve">。</w:t>
      </w:r>
      <w:r/>
    </w:p>
    <w:p>
      <w:pPr>
        <w:ind w:firstLine="482"/>
        <w:jc w:val="both"/>
        <w:keepLines w:val="0"/>
        <w:keepNext w:val="0"/>
        <w:pageBreakBefore w:val="0"/>
        <w:spacing w:line="360" w:lineRule="auto"/>
        <w:widowControl w:val="off"/>
        <w:rPr>
          <w:rFonts w:hint="default" w:asciiTheme="minorEastAsia" w:hAnsiTheme="minorEastAsia" w:eastAsiaTheme="minorEastAsia" w:cstheme="minorEastAsia"/>
          <w:b/>
          <w:color w:val="auto"/>
          <w:sz w:val="24"/>
          <w:szCs w:val="24"/>
          <w:highlight w:val="none"/>
          <w:lang w:val="en-US" w:eastAsia="zh-CN"/>
        </w:rPr>
        <w:outlineLvl w:val="0"/>
      </w:pPr>
      <w:r/>
      <w:bookmarkStart w:id="123" w:name="_Toc3079"/>
      <w:r/>
      <w:bookmarkStart w:id="124" w:name="_Toc2375"/>
      <w:r/>
      <w:bookmarkStart w:id="125" w:name="_Toc24662"/>
      <w:r/>
      <w:bookmarkStart w:id="126" w:name="_Toc8586"/>
      <w:r/>
      <w:bookmarkStart w:id="127" w:name="_Toc5698"/>
      <w:r>
        <w:rPr>
          <w:rFonts w:hint="eastAsia" w:asciiTheme="minorEastAsia" w:hAnsiTheme="minorEastAsia" w:eastAsiaTheme="minorEastAsia" w:cstheme="minorEastAsia"/>
          <w:b/>
          <w:color w:val="auto"/>
          <w:sz w:val="24"/>
          <w:szCs w:val="24"/>
          <w:highlight w:val="none"/>
          <w:lang w:val="en-US" w:eastAsia="zh-CN"/>
        </w:rPr>
        <w:t xml:space="preserve">1.6甲方的权利、义务与责任</w:t>
      </w:r>
      <w:r/>
    </w:p>
    <w:p>
      <w:pPr>
        <w:numPr>
          <w:ilvl w:val="0"/>
          <w:numId w:val="0"/>
        </w:numPr>
        <w:ind w:firstLine="480"/>
        <w:jc w:val="both"/>
        <w:keepLines w:val="0"/>
        <w:keepNext w:val="0"/>
        <w:pageBreakBefore w:val="0"/>
        <w:spacing w:line="360" w:lineRule="auto"/>
        <w:widowControl w:val="off"/>
        <w:rPr>
          <w:rFonts w:hint="default"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1.6.1甲方的权利、义务</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甲方有权要求乙方保守商业秘密的义务和及时反馈配送信息、客户意见等信息的权力。</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rPr>
        <w:outlineLvl w:val="0"/>
      </w:pPr>
      <w:r>
        <w:rPr>
          <w:rFonts w:hint="eastAsia" w:asciiTheme="minorEastAsia" w:hAnsiTheme="minorEastAsia" w:eastAsiaTheme="minorEastAsia" w:cstheme="minorEastAsia"/>
          <w:b w:val="0"/>
          <w:bCs/>
          <w:color w:val="auto"/>
          <w:sz w:val="24"/>
          <w:szCs w:val="24"/>
          <w:highlight w:val="none"/>
        </w:rPr>
        <w:t xml:space="preserve">2、甲方有权加强销售和回收各个环节的日常监管，对存在提供虚假台帐，报表等违规行为的，立即追缴相关补贴资金，扣减押金，取消乙方的实施主体资格，情节严重构成犯罪的，移交司法机关处理。</w:t>
      </w:r>
      <w:r/>
    </w:p>
    <w:p>
      <w:pPr>
        <w:numPr>
          <w:ilvl w:val="0"/>
          <w:numId w:val="0"/>
        </w:num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en-US" w:eastAsia="zh-CN"/>
        </w:rPr>
        <w:outlineLvl w:val="0"/>
      </w:pPr>
      <w:r>
        <w:rPr>
          <w:rFonts w:hint="eastAsia" w:asciiTheme="minorEastAsia" w:hAnsiTheme="minorEastAsia" w:eastAsiaTheme="minorEastAsia" w:cstheme="minorEastAsia"/>
          <w:b/>
          <w:color w:val="auto"/>
          <w:sz w:val="24"/>
          <w:szCs w:val="24"/>
          <w:highlight w:val="none"/>
          <w:lang w:val="en-US" w:eastAsia="zh-CN"/>
        </w:rPr>
        <w:t xml:space="preserve">1.6.2乙方的权利义务</w:t>
      </w:r>
      <w:r/>
    </w:p>
    <w:p>
      <w:pPr>
        <w:numPr>
          <w:ilvl w:val="0"/>
          <w:numId w:val="2"/>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在乙方为甲方进行农药配送过程中发生下列情况乙方有拒收、拒配，并保留向区有关监管部门反馈的权利：</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A、属于《农药管理条例》第四十四条、四十五条假农药和劣质农药的有权拒收。</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B、超过产品质量保证期限的农药产品有权拒收。</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C、农药产品与产品标签或者说明书、产品质量合格证不一致的有权拒收。</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D、在配送过程中，对在库农药遇有客户投诉农药质量问题或各种媒体信息披露为不能出售的品种，乙方有停止配送的权利。</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2、有按合同规定收取财政补贴的权利。</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3、有主动配合甲方解决在农药配送各环节中的问题的义务。</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4、有及时向甲方反馈其配送信息、农药信息、客户信息的义务。</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1.6.3乙方的责任</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出现下列情形之一，由乙方承担相应的责任及损失：</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1、乙方经营劣质农药或假农药的按照《农药管理条例》第五十五、五十六条规定承担所有责任和经济损失，情节严重的甲方有权解除合同并承担给甲方造成的所有损失。</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2、乙方未能提供或不能完全提供配送农药产品合格证和进货发票造成验收入库延误或退厂的责任，由乙方负责。</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3、由于农药滞销造成积压致使农药过期失效造成的经济损失由乙方承担。</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4、在库农药出现原箱农药短少，残损、批号混装而未标识等问题，由乙方承担。</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5、由于各销售网点进货、退货而引发农药损失由乙方负责。</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6、由于乙方因配送农药的质量、品种、价格等原因造成客户投诉及农药损失的由乙方负责。</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7、正常情况下乙方延误配送农药送达需求客户，由此造成的责任损失由乙方负责解决。</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8、经乙方验收合格入库农药，因乙方储存、养护、保管不当等原因造成农药受潮、霉变、包装损坏等损失，由乙方承担。</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9、在农药配送、理货上架、分拣包装、运输装卸过程中发生因乙方人为因素的农药残损、丢失及差错等贵任事故造成的经济损失，由乙方承担。</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10、由于乙方责任造成客户因送货超出时效、发错农药、送错地点、服务纠纷等服务态度及质量方面的投诉造成责任损失，由乙方负责解决。</w:t>
      </w:r>
      <w:r/>
    </w:p>
    <w:p>
      <w:pPr>
        <w:ind w:firstLine="480"/>
        <w:jc w:val="both"/>
        <w:keepLines w:val="0"/>
        <w:keepNext w:val="0"/>
        <w:pageBreakBefore w:val="0"/>
        <w:spacing w:line="360" w:lineRule="auto"/>
        <w:widowControl w:val="off"/>
        <w:rPr>
          <w:rFonts w:hint="default"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11、乙方在存储、运输、使用农药过程中发生重大事故的由乙方负责。</w:t>
      </w:r>
      <w:r/>
    </w:p>
    <w:p>
      <w:pPr>
        <w:ind w:firstLine="480"/>
        <w:jc w:val="both"/>
        <w:keepLines w:val="0"/>
        <w:keepNext w:val="0"/>
        <w:pageBreakBefore w:val="0"/>
        <w:spacing w:line="360" w:lineRule="auto"/>
        <w:widowControl w:val="off"/>
        <w:rPr>
          <w:rFonts w:hint="default" w:asciiTheme="minorEastAsia" w:hAnsiTheme="minorEastAsia" w:eastAsiaTheme="minorEastAsia" w:cstheme="minorEastAsia"/>
          <w:b w:val="0"/>
          <w:bCs/>
          <w:color w:val="auto"/>
          <w:sz w:val="24"/>
          <w:szCs w:val="24"/>
          <w:highlight w:val="none"/>
          <w:lang w:val="en-US" w:eastAsia="zh-CN"/>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1.6.4对乙方时间进度要求：由双方结合项目实际予以确认。</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outlineLvl w:val="0"/>
      </w:pPr>
      <w:r>
        <w:rPr>
          <w:rFonts w:hint="eastAsia" w:asciiTheme="minorEastAsia" w:hAnsiTheme="minorEastAsia" w:eastAsiaTheme="minorEastAsia" w:cstheme="minorEastAsia"/>
          <w:b/>
          <w:color w:val="auto"/>
          <w:sz w:val="24"/>
          <w:szCs w:val="24"/>
          <w:highlight w:val="none"/>
        </w:rPr>
        <w:t xml:space="preserve">1.</w:t>
      </w:r>
      <w:r>
        <w:rPr>
          <w:rFonts w:hint="eastAsia" w:asciiTheme="minorEastAsia" w:hAnsiTheme="minorEastAsia" w:eastAsiaTheme="minorEastAsia" w:cstheme="minorEastAsia"/>
          <w:b/>
          <w:color w:val="auto"/>
          <w:sz w:val="24"/>
          <w:szCs w:val="24"/>
          <w:highlight w:val="none"/>
          <w:lang w:val="en-US" w:eastAsia="zh-CN"/>
        </w:rPr>
        <w:t xml:space="preserve">7</w:t>
      </w:r>
      <w:r>
        <w:rPr>
          <w:rFonts w:hint="eastAsia" w:asciiTheme="minorEastAsia" w:hAnsiTheme="minorEastAsia" w:eastAsiaTheme="minorEastAsia" w:cstheme="minorEastAsia"/>
          <w:b/>
          <w:color w:val="auto"/>
          <w:sz w:val="24"/>
          <w:szCs w:val="24"/>
          <w:highlight w:val="none"/>
        </w:rPr>
        <w:t xml:space="preserve"> 违约责任</w:t>
      </w:r>
      <w:bookmarkEnd w:id="123"/>
      <w:r/>
      <w:bookmarkEnd w:id="124"/>
      <w:r/>
      <w:bookmarkEnd w:id="125"/>
      <w:r/>
      <w:bookmarkEnd w:id="126"/>
      <w:r/>
      <w:bookmarkEnd w:id="127"/>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 除不可抗力外，如果乙方没有按照本合同约定的期限、地点和方式履行，那么甲方可要求乙方支付违约金，违约金按每迟延履行一日的应提供而未提供服务价格的</w:t>
      </w:r>
      <w:r>
        <w:rPr>
          <w:rFonts w:hint="eastAsia" w:asciiTheme="minorEastAsia" w:hAnsiTheme="minorEastAsia" w:eastAsiaTheme="minorEastAsia" w:cstheme="minorEastAsia"/>
          <w:color w:val="auto"/>
          <w:sz w:val="24"/>
          <w:szCs w:val="24"/>
          <w:highlight w:val="none"/>
          <w:u w:val="single"/>
        </w:rPr>
        <w:t xml:space="preserve">5</w:t>
      </w:r>
      <w:r>
        <w:rPr>
          <w:rFonts w:hint="eastAsia" w:asciiTheme="minorEastAsia" w:hAnsiTheme="minorEastAsia" w:eastAsiaTheme="minorEastAsia" w:cstheme="minorEastAsia"/>
          <w:color w:val="auto"/>
          <w:sz w:val="24"/>
          <w:szCs w:val="24"/>
          <w:highlight w:val="none"/>
        </w:rPr>
        <w:t xml:space="preserve">%计算，最高限额为本合同总价的</w:t>
      </w:r>
      <w:r>
        <w:rPr>
          <w:rFonts w:hint="eastAsia" w:asciiTheme="minorEastAsia" w:hAnsiTheme="minorEastAsia" w:eastAsiaTheme="minorEastAsia" w:cstheme="minorEastAsia"/>
          <w:color w:val="auto"/>
          <w:sz w:val="24"/>
          <w:szCs w:val="24"/>
          <w:highlight w:val="none"/>
          <w:u w:val="single"/>
        </w:rPr>
        <w:t xml:space="preserve">30</w:t>
      </w:r>
      <w:r>
        <w:rPr>
          <w:rFonts w:hint="eastAsia" w:asciiTheme="minorEastAsia" w:hAnsiTheme="minorEastAsia" w:eastAsiaTheme="minorEastAsia" w:cstheme="minorEastAsia"/>
          <w:color w:val="auto"/>
          <w:sz w:val="24"/>
          <w:szCs w:val="24"/>
          <w:highlight w:val="none"/>
        </w:rPr>
        <w:t xml:space="preserve">%；迟延履行的违约金计算数额达到前述最高限额之日起，甲方有权在要求乙方支付违约金的同时，书面通知乙方解除本合同；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各网点登记有交售人身份信息、交售日期、数量及交售人签名的收购台账；实施主体与回收企业签订的合同；每次解缴的废弃</w:t>
      </w:r>
      <w:r>
        <w:rPr>
          <w:rFonts w:hint="eastAsia" w:asciiTheme="minorEastAsia" w:hAnsiTheme="minorEastAsia" w:eastAsiaTheme="minorEastAsia" w:cstheme="minorEastAsia"/>
          <w:color w:val="auto"/>
          <w:sz w:val="24"/>
          <w:szCs w:val="24"/>
          <w:highlight w:val="none"/>
          <w:lang w:eastAsia="zh-CN"/>
        </w:rPr>
        <w:t xml:space="preserve">地膜</w:t>
      </w:r>
      <w:r>
        <w:rPr>
          <w:rFonts w:hint="eastAsia" w:asciiTheme="minorEastAsia" w:hAnsiTheme="minorEastAsia" w:eastAsiaTheme="minorEastAsia" w:cstheme="minorEastAsia"/>
          <w:color w:val="auto"/>
          <w:sz w:val="24"/>
          <w:szCs w:val="24"/>
          <w:highlight w:val="none"/>
        </w:rPr>
        <w:t xml:space="preserve">数量清单及结算单等。</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 除不可抗力外，任何一方未能履行本合同约定的其他主要义务，经催告后在合理期限内仍未履行的，或者任何一方有其他违约行为致使不能实现合同目的的，或者任何一方有腐败行为（即</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提供或给予或接受或索取任何财物或其他好处或者采取其他不正当手段来影响对方当事人在合同签订、履行过程中的行为）或者欺诈行为（即</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以谎报事实或隐瞒真相的方法来影响对方当事人在合同签订、履行过程中的行为）的，对方当事人可以书面通知违约方解除本合同；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 如果出现政府采购监督管理部门在处理投诉事项期间，书面通知甲方暂停采购活动的情形，或者询问或质疑事项可能影响中标结果的，导致甲方中止履行合同的情形，均不视为甲方违约。</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28" w:name="_Toc18683"/>
      <w:r/>
      <w:bookmarkStart w:id="129" w:name="_Toc26807"/>
      <w:r/>
      <w:bookmarkStart w:id="130" w:name="_Toc30329"/>
      <w:r/>
      <w:bookmarkStart w:id="131" w:name="_Toc32454"/>
      <w:r/>
      <w:bookmarkStart w:id="132" w:name="_Toc9497"/>
      <w:r>
        <w:rPr>
          <w:rFonts w:hint="eastAsia" w:asciiTheme="minorEastAsia" w:hAnsiTheme="minorEastAsia" w:eastAsiaTheme="minorEastAsia" w:cstheme="minorEastAsia"/>
          <w:b/>
          <w:color w:val="auto"/>
          <w:sz w:val="24"/>
          <w:szCs w:val="24"/>
          <w:highlight w:val="none"/>
          <w:lang w:val="en-US" w:eastAsia="zh-CN"/>
        </w:rPr>
        <w:t xml:space="preserve">1.8</w:t>
      </w:r>
      <w:r>
        <w:rPr>
          <w:rFonts w:hint="eastAsia" w:asciiTheme="minorEastAsia" w:hAnsiTheme="minorEastAsia" w:eastAsiaTheme="minorEastAsia" w:cstheme="minorEastAsia"/>
          <w:b/>
          <w:color w:val="auto"/>
          <w:sz w:val="24"/>
          <w:szCs w:val="24"/>
          <w:highlight w:val="none"/>
        </w:rPr>
        <w:t xml:space="preserve">合同争议的解决</w:t>
      </w:r>
      <w:bookmarkEnd w:id="128"/>
      <w:r/>
      <w:bookmarkEnd w:id="129"/>
      <w:r/>
      <w:bookmarkEnd w:id="130"/>
      <w:r/>
      <w:bookmarkEnd w:id="131"/>
      <w:r/>
      <w:bookmarkEnd w:id="132"/>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0"/>
      </w:pPr>
      <w:r>
        <w:rPr>
          <w:rFonts w:hint="eastAsia" w:asciiTheme="minorEastAsia" w:hAnsiTheme="minorEastAsia" w:eastAsiaTheme="minorEastAsia" w:cstheme="minorEastAsia"/>
          <w:color w:val="auto"/>
          <w:sz w:val="24"/>
          <w:szCs w:val="24"/>
          <w:highlight w:val="none"/>
        </w:rPr>
        <w:t xml:space="preserve">本合同履行过程中发生的任何争议，双方当事人均可通过和解或者调解解决；不愿和解、调解或者和解、调解不成的，可以选择下列第种方式解决</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.1 将争议提交仲裁委员会依申请仲裁时其现行有效的仲裁规则裁决；</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.2 向</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 xml:space="preserve">合同履行地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人民法院起诉。</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33" w:name="_Toc16417"/>
      <w:r/>
      <w:bookmarkStart w:id="134" w:name="_Toc15827"/>
      <w:r/>
      <w:bookmarkStart w:id="135" w:name="_Toc26227"/>
      <w:r/>
      <w:bookmarkStart w:id="136" w:name="_Toc12273"/>
      <w:r/>
      <w:bookmarkStart w:id="137" w:name="_Toc23784"/>
      <w:r>
        <w:rPr>
          <w:rFonts w:hint="eastAsia" w:asciiTheme="minorEastAsia" w:hAnsiTheme="minorEastAsia" w:eastAsiaTheme="minorEastAsia" w:cstheme="minorEastAsia"/>
          <w:b/>
          <w:color w:val="auto"/>
          <w:sz w:val="24"/>
          <w:szCs w:val="24"/>
          <w:highlight w:val="none"/>
        </w:rPr>
        <w:t xml:space="preserve">1.8 合同生效</w:t>
      </w:r>
      <w:bookmarkEnd w:id="133"/>
      <w:r/>
      <w:bookmarkEnd w:id="134"/>
      <w:r/>
      <w:bookmarkEnd w:id="135"/>
      <w:r/>
      <w:bookmarkEnd w:id="136"/>
      <w:r/>
      <w:bookmarkEnd w:id="137"/>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本合同自双方当事人盖章或者签字时生效。</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rPr>
          <w:rFonts w:hint="eastAsia" w:asciiTheme="minorEastAsia" w:hAnsiTheme="minorEastAsia" w:eastAsiaTheme="minorEastAsia" w:cstheme="minorEastAsia"/>
          <w:b/>
          <w:color w:val="auto"/>
          <w:sz w:val="24"/>
          <w:szCs w:val="24"/>
          <w:highlight w:val="none"/>
        </w:rPr>
        <w:t xml:space="preserve">第二部分 </w:t>
      </w:r>
      <w:r>
        <w:rPr>
          <w:rFonts w:hint="eastAsia" w:asciiTheme="minorEastAsia" w:hAnsiTheme="minorEastAsia" w:eastAsiaTheme="minorEastAsia" w:cstheme="minorEastAsia"/>
          <w:b/>
          <w:color w:val="auto"/>
          <w:sz w:val="24"/>
          <w:szCs w:val="24"/>
          <w:highlight w:val="none"/>
          <w:lang w:eastAsia="zh-CN"/>
        </w:rPr>
        <w:t xml:space="preserve">其他</w:t>
      </w:r>
      <w:r>
        <w:rPr>
          <w:rFonts w:hint="eastAsia" w:asciiTheme="minorEastAsia" w:hAnsiTheme="minorEastAsia" w:eastAsiaTheme="minorEastAsia" w:cstheme="minorEastAsia"/>
          <w:b/>
          <w:color w:val="auto"/>
          <w:sz w:val="24"/>
          <w:szCs w:val="24"/>
          <w:highlight w:val="none"/>
        </w:rPr>
        <w:t xml:space="preserve">条款</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38" w:name="_Toc487900349"/>
      <w:r/>
      <w:bookmarkStart w:id="139" w:name="_Ref467379195"/>
      <w:r/>
      <w:bookmarkStart w:id="140" w:name="_Toc14021"/>
      <w:r/>
      <w:bookmarkStart w:id="141" w:name="_Ref467379205"/>
      <w:r/>
      <w:bookmarkStart w:id="142" w:name="_Ref467379225"/>
      <w:r/>
      <w:bookmarkStart w:id="143" w:name="_Toc19680"/>
      <w:r/>
      <w:bookmarkStart w:id="144" w:name="_Ref467378499"/>
      <w:r/>
      <w:bookmarkStart w:id="145" w:name="_Ref467379109"/>
      <w:r/>
      <w:bookmarkStart w:id="146" w:name="_Ref467378404"/>
      <w:r/>
      <w:bookmarkStart w:id="147" w:name="_Ref467379214"/>
      <w:r/>
      <w:bookmarkStart w:id="148" w:name="_Ref467379094"/>
      <w:r/>
      <w:bookmarkStart w:id="149" w:name="_Toc31297"/>
      <w:r/>
      <w:bookmarkStart w:id="150" w:name="_Ref467378463"/>
      <w:r/>
      <w:bookmarkStart w:id="151" w:name="_Toc25079"/>
      <w:r/>
      <w:bookmarkStart w:id="152" w:name="_Toc259093669"/>
      <w:r/>
      <w:bookmarkStart w:id="153" w:name="_Toc279701240"/>
      <w:r/>
      <w:bookmarkStart w:id="154" w:name="_Ref467379101"/>
      <w:r/>
      <w:bookmarkStart w:id="155" w:name="_Toc5228"/>
      <w:r>
        <w:rPr>
          <w:rFonts w:hint="eastAsia" w:asciiTheme="minorEastAsia" w:hAnsiTheme="minorEastAsia" w:eastAsiaTheme="minorEastAsia" w:cstheme="minorEastAsia"/>
          <w:b/>
          <w:color w:val="auto"/>
          <w:sz w:val="24"/>
          <w:szCs w:val="24"/>
          <w:highlight w:val="none"/>
        </w:rPr>
        <w:t xml:space="preserve">2.1 定义</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0"/>
      </w:pPr>
      <w:r>
        <w:rPr>
          <w:rFonts w:hint="eastAsia" w:asciiTheme="minorEastAsia" w:hAnsiTheme="minorEastAsia" w:eastAsiaTheme="minorEastAsia" w:cstheme="minorEastAsia"/>
          <w:color w:val="auto"/>
          <w:sz w:val="24"/>
          <w:szCs w:val="24"/>
          <w:highlight w:val="none"/>
        </w:rPr>
        <w:t xml:space="preserve">本合同中的下列词语应按以下内容进行解释</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2.1.1 “合同”系指采购人和中标供应商签订的载明双方当事人所达成的协议，并包括所有的附件、附录和构成合同的其他文件。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2.1.2 “合同价”系指根据合同约定，中标供应商在完全履行合同义务后，采购人应支付给中标供应商的价格。</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bookmarkStart w:id="156" w:name="_Ref467378840"/>
      <w:r>
        <w:rPr>
          <w:rFonts w:hint="eastAsia" w:asciiTheme="minorEastAsia" w:hAnsiTheme="minorEastAsia" w:eastAsiaTheme="minorEastAsia" w:cstheme="minorEastAsia"/>
          <w:color w:val="auto"/>
          <w:sz w:val="24"/>
          <w:szCs w:val="24"/>
          <w:highlight w:val="none"/>
        </w:rPr>
        <w:t xml:space="preserve">2.1.4 “甲方”系指与中标供应商签署合同的采购人</w:t>
      </w:r>
      <w:bookmarkEnd w:id="156"/>
      <w:r>
        <w:rPr>
          <w:rFonts w:hint="eastAsia" w:asciiTheme="minorEastAsia" w:hAnsiTheme="minorEastAsia" w:eastAsiaTheme="minorEastAsia" w:cstheme="minorEastAsia"/>
          <w:color w:val="auto"/>
          <w:sz w:val="24"/>
          <w:szCs w:val="24"/>
          <w:highlight w:val="none"/>
        </w:rPr>
        <w:t xml:space="preserve">；采购人委托采购代理机构代表其与乙方签订合同的，采购人的授权委托书作为合同附件。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bookmarkStart w:id="157" w:name="_Ref467379400"/>
      <w:r>
        <w:rPr>
          <w:rFonts w:hint="eastAsia" w:asciiTheme="minorEastAsia" w:hAnsiTheme="minorEastAsia" w:eastAsiaTheme="minorEastAsia" w:cstheme="minorEastAsia"/>
          <w:color w:val="auto"/>
          <w:sz w:val="24"/>
          <w:szCs w:val="24"/>
          <w:highlight w:val="none"/>
        </w:rPr>
        <w:t xml:space="preserve">2.1.5 “乙方”系指根据合同约定提供服务的中标供应商</w:t>
      </w:r>
      <w:bookmarkEnd w:id="157"/>
      <w:r>
        <w:rPr>
          <w:rFonts w:hint="eastAsia" w:asciiTheme="minorEastAsia" w:hAnsiTheme="minorEastAsia" w:eastAsiaTheme="minorEastAsia" w:cstheme="minorEastAsia"/>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bookmarkStart w:id="158" w:name="_Ref467379436"/>
      <w:r>
        <w:rPr>
          <w:rFonts w:hint="eastAsia" w:asciiTheme="minorEastAsia" w:hAnsiTheme="minorEastAsia" w:eastAsiaTheme="minorEastAsia" w:cstheme="minorEastAsia"/>
          <w:color w:val="auto"/>
          <w:sz w:val="24"/>
          <w:szCs w:val="24"/>
          <w:highlight w:val="none"/>
        </w:rPr>
        <w:t xml:space="preserve">2.1.6 “现场”系指合同约定提供服务的地点。</w:t>
      </w:r>
      <w:bookmarkEnd w:id="158"/>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59" w:name="_Toc3769"/>
      <w:r/>
      <w:bookmarkStart w:id="160" w:name="_Toc259093670"/>
      <w:r/>
      <w:bookmarkStart w:id="161" w:name="_Toc23289"/>
      <w:r/>
      <w:bookmarkStart w:id="162" w:name="_Toc31402"/>
      <w:r/>
      <w:bookmarkStart w:id="163" w:name="_Toc487900350"/>
      <w:r/>
      <w:bookmarkStart w:id="164" w:name="_Toc16752"/>
      <w:r/>
      <w:bookmarkStart w:id="165" w:name="_Toc19539"/>
      <w:r/>
      <w:bookmarkStart w:id="166" w:name="_Toc279701241"/>
      <w:r>
        <w:rPr>
          <w:rFonts w:hint="eastAsia" w:asciiTheme="minorEastAsia" w:hAnsiTheme="minorEastAsia" w:eastAsiaTheme="minorEastAsia" w:cstheme="minorEastAsia"/>
          <w:b/>
          <w:color w:val="auto"/>
          <w:sz w:val="24"/>
          <w:szCs w:val="24"/>
          <w:highlight w:val="none"/>
        </w:rPr>
        <w:t xml:space="preserve">2.2 技术规范</w:t>
      </w:r>
      <w:bookmarkEnd w:id="159"/>
      <w:r/>
      <w:bookmarkEnd w:id="160"/>
      <w:r/>
      <w:bookmarkEnd w:id="161"/>
      <w:r/>
      <w:bookmarkEnd w:id="162"/>
      <w:r/>
      <w:bookmarkEnd w:id="163"/>
      <w:r/>
      <w:bookmarkEnd w:id="164"/>
      <w:r/>
      <w:bookmarkEnd w:id="165"/>
      <w:r/>
      <w:bookmarkEnd w:id="166"/>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67" w:name="_Toc9161"/>
      <w:r/>
      <w:bookmarkStart w:id="168" w:name="_Toc487900351"/>
      <w:r/>
      <w:bookmarkStart w:id="169" w:name="_Toc13673"/>
      <w:r/>
      <w:bookmarkStart w:id="170" w:name="_Toc27945"/>
      <w:r/>
      <w:bookmarkStart w:id="171" w:name="_Toc12412"/>
      <w:r/>
      <w:bookmarkStart w:id="172" w:name="_Toc259093671"/>
      <w:r/>
      <w:bookmarkStart w:id="173" w:name="_Toc279701242"/>
      <w:r/>
      <w:bookmarkStart w:id="174" w:name="_Toc4133"/>
      <w:r>
        <w:rPr>
          <w:rFonts w:hint="eastAsia" w:asciiTheme="minorEastAsia" w:hAnsiTheme="minorEastAsia" w:eastAsiaTheme="minorEastAsia" w:cstheme="minorEastAsia"/>
          <w:b/>
          <w:color w:val="auto"/>
          <w:sz w:val="24"/>
          <w:szCs w:val="24"/>
          <w:highlight w:val="none"/>
        </w:rPr>
        <w:t xml:space="preserve">2.3 知识产权</w:t>
      </w:r>
      <w:bookmarkEnd w:id="167"/>
      <w:r/>
      <w:bookmarkEnd w:id="168"/>
      <w:r/>
      <w:bookmarkEnd w:id="169"/>
      <w:r/>
      <w:bookmarkEnd w:id="170"/>
      <w:r/>
      <w:bookmarkEnd w:id="171"/>
      <w:r/>
      <w:bookmarkEnd w:id="172"/>
      <w:r/>
      <w:bookmarkEnd w:id="173"/>
      <w:r/>
      <w:bookmarkEnd w:id="174"/>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rPr>
          <w:rFonts w:hint="eastAsia" w:asciiTheme="minorEastAsia" w:hAnsiTheme="minorEastAsia" w:eastAsiaTheme="minorEastAsia" w:cstheme="minorEastAsia"/>
          <w:b/>
          <w:color w:val="auto"/>
          <w:sz w:val="24"/>
          <w:szCs w:val="24"/>
          <w:highlight w:val="none"/>
        </w:rPr>
        <w:t xml:space="preserve">2.4 履约检查和问题反馈</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bookmarkStart w:id="175" w:name="_Ref467379657"/>
      <w:r>
        <w:rPr>
          <w:rFonts w:hint="eastAsia" w:asciiTheme="minorEastAsia" w:hAnsiTheme="minorEastAsia" w:eastAsiaTheme="minorEastAsia" w:cstheme="minorEastAsia"/>
          <w:color w:val="auto"/>
          <w:sz w:val="24"/>
          <w:szCs w:val="24"/>
          <w:highlight w:val="none"/>
        </w:rPr>
        <w:t xml:space="preserve">2.4.1</w:t>
      </w:r>
      <w:bookmarkEnd w:id="175"/>
      <w:r/>
      <w:bookmarkStart w:id="176" w:name="_Toc186431854"/>
      <w:r/>
      <w:bookmarkStart w:id="177" w:name="_Toc487900357"/>
      <w:r/>
      <w:bookmarkStart w:id="178" w:name="_Ref467379793"/>
      <w:r/>
      <w:bookmarkStart w:id="179" w:name="_Toc259093676"/>
      <w:r/>
      <w:bookmarkStart w:id="180" w:name="_Ref467379807"/>
      <w:r/>
      <w:bookmarkStart w:id="181" w:name="_Toc279701247"/>
      <w:r>
        <w:rPr>
          <w:rFonts w:hint="eastAsia" w:asciiTheme="minorEastAsia" w:hAnsiTheme="minorEastAsia" w:eastAsiaTheme="minorEastAsia" w:cstheme="minorEastAsia"/>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2.4.2 合同履行期间，甲方有权将履行过程中出现的问题反馈给乙方，双方当事人应以书面形式约定需要完善和改进的内容</w:t>
      </w:r>
      <w:bookmarkEnd w:id="176"/>
      <w:r/>
      <w:bookmarkStart w:id="182" w:name="_Toc186431855"/>
      <w:r>
        <w:rPr>
          <w:rFonts w:hint="eastAsia" w:asciiTheme="minorEastAsia" w:hAnsiTheme="minorEastAsia" w:eastAsiaTheme="minorEastAsia" w:cstheme="minorEastAsia"/>
          <w:color w:val="auto"/>
          <w:sz w:val="24"/>
          <w:szCs w:val="24"/>
          <w:highlight w:val="none"/>
        </w:rPr>
        <w:t xml:space="preserve">。</w:t>
      </w:r>
      <w:bookmarkEnd w:id="177"/>
      <w:bookmarkEnd w:id="178"/>
      <w:bookmarkEnd w:id="179"/>
      <w:bookmarkEnd w:id="180"/>
      <w:bookmarkEnd w:id="181"/>
      <w:bookmarkEnd w:id="182"/>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83" w:name="_Ref467379923"/>
      <w:r/>
      <w:bookmarkStart w:id="184" w:name="_Ref467379852"/>
      <w:r/>
      <w:bookmarkStart w:id="185" w:name="_Toc259093677"/>
      <w:r/>
      <w:bookmarkStart w:id="186" w:name="_Toc279701248"/>
      <w:r/>
      <w:bookmarkStart w:id="187" w:name="_Ref467379863"/>
      <w:r/>
      <w:bookmarkStart w:id="188" w:name="_Toc487900358"/>
      <w:r/>
      <w:bookmarkStart w:id="189" w:name="_Toc16163"/>
      <w:r/>
      <w:bookmarkStart w:id="190" w:name="_Toc30507"/>
      <w:r/>
      <w:bookmarkStart w:id="191" w:name="_Toc13467"/>
      <w:r/>
      <w:bookmarkStart w:id="192" w:name="_Toc18990"/>
      <w:r/>
      <w:bookmarkStart w:id="193" w:name="_Toc13154"/>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lang w:val="en-US" w:eastAsia="zh-CN"/>
        </w:rPr>
        <w:t xml:space="preserve">5</w:t>
      </w:r>
      <w:r>
        <w:rPr>
          <w:rFonts w:hint="eastAsia" w:asciiTheme="minorEastAsia" w:hAnsiTheme="minorEastAsia" w:eastAsiaTheme="minorEastAsia" w:cstheme="minorEastAsia"/>
          <w:b/>
          <w:color w:val="auto"/>
          <w:sz w:val="24"/>
          <w:szCs w:val="24"/>
          <w:highlight w:val="none"/>
        </w:rPr>
        <w:t xml:space="preserve"> 技术资料</w:t>
      </w:r>
      <w:bookmarkEnd w:id="183"/>
      <w:r/>
      <w:bookmarkEnd w:id="184"/>
      <w:r/>
      <w:bookmarkEnd w:id="185"/>
      <w:r/>
      <w:bookmarkEnd w:id="186"/>
      <w:r/>
      <w:bookmarkEnd w:id="187"/>
      <w:r/>
      <w:bookmarkEnd w:id="188"/>
      <w:r>
        <w:rPr>
          <w:rFonts w:hint="eastAsia" w:asciiTheme="minorEastAsia" w:hAnsiTheme="minorEastAsia" w:eastAsiaTheme="minorEastAsia" w:cstheme="minorEastAsia"/>
          <w:b/>
          <w:color w:val="auto"/>
          <w:sz w:val="24"/>
          <w:szCs w:val="24"/>
          <w:highlight w:val="none"/>
        </w:rPr>
        <w:t xml:space="preserve">和保密义务</w:t>
      </w:r>
      <w:bookmarkEnd w:id="189"/>
      <w:r/>
      <w:bookmarkEnd w:id="190"/>
      <w:r/>
      <w:bookmarkEnd w:id="191"/>
      <w:r/>
      <w:bookmarkEnd w:id="192"/>
      <w:r/>
      <w:bookmarkEnd w:id="193"/>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 乙方有权依据合同约定和项目需要，向甲方了解有关情况，调阅有关资料等，甲方应予积极配合；</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.2 乙方有义务妥善保管和保护由甲方提供的前款信息和资料等；</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94" w:name="_Toc19069"/>
      <w:r/>
      <w:bookmarkStart w:id="195" w:name="_Toc487900362"/>
      <w:r/>
      <w:bookmarkStart w:id="196" w:name="_Toc259093681"/>
      <w:r/>
      <w:bookmarkStart w:id="197" w:name="_Toc279701252"/>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lang w:val="en-US" w:eastAsia="zh-CN"/>
        </w:rPr>
        <w:t xml:space="preserve">6</w:t>
      </w:r>
      <w:r>
        <w:rPr>
          <w:rFonts w:hint="eastAsia" w:asciiTheme="minorEastAsia" w:hAnsiTheme="minorEastAsia" w:eastAsiaTheme="minorEastAsia" w:cstheme="minorEastAsia"/>
          <w:b/>
          <w:color w:val="auto"/>
          <w:sz w:val="24"/>
          <w:szCs w:val="24"/>
          <w:highlight w:val="none"/>
        </w:rPr>
        <w:t xml:space="preserve"> 质量保证</w:t>
      </w:r>
      <w:bookmarkEnd w:id="194"/>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.1 乙方应建立和完善履行合同的内部质量保证体系，并提供相关内部规章制度给甲方，以便甲方进行监督检查；</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.2 乙方应保证履行合同的人员数量和素质、软件和硬件设备的配置、场地、环境和设施等满足全面履行合同的要求，并应接受甲方的监督检查。</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98" w:name="_Toc22267"/>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lang w:val="en-US" w:eastAsia="zh-CN"/>
        </w:rPr>
        <w:t xml:space="preserve">7</w:t>
      </w:r>
      <w:r>
        <w:rPr>
          <w:rFonts w:hint="eastAsia" w:asciiTheme="minorEastAsia" w:hAnsiTheme="minorEastAsia" w:eastAsiaTheme="minorEastAsia" w:cstheme="minorEastAsia"/>
          <w:b/>
          <w:color w:val="auto"/>
          <w:sz w:val="24"/>
          <w:szCs w:val="24"/>
          <w:highlight w:val="none"/>
        </w:rPr>
        <w:t xml:space="preserve"> 延迟</w:t>
      </w:r>
      <w:bookmarkEnd w:id="195"/>
      <w:r/>
      <w:bookmarkEnd w:id="196"/>
      <w:r/>
      <w:bookmarkEnd w:id="197"/>
      <w:r>
        <w:rPr>
          <w:rFonts w:hint="eastAsia" w:asciiTheme="minorEastAsia" w:hAnsiTheme="minorEastAsia" w:eastAsiaTheme="minorEastAsia" w:cstheme="minorEastAsia"/>
          <w:b/>
          <w:color w:val="auto"/>
          <w:sz w:val="24"/>
          <w:szCs w:val="24"/>
          <w:highlight w:val="none"/>
        </w:rPr>
        <w:t xml:space="preserve">履行</w:t>
      </w:r>
      <w:bookmarkEnd w:id="198"/>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199" w:name="_Toc10611"/>
      <w:r/>
      <w:bookmarkStart w:id="200" w:name="_Toc259093683"/>
      <w:r/>
      <w:bookmarkStart w:id="201" w:name="_Toc487900364"/>
      <w:r/>
      <w:bookmarkStart w:id="202" w:name="_Ref467378121"/>
      <w:r/>
      <w:bookmarkStart w:id="203" w:name="_Toc279701254"/>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lang w:val="en-US" w:eastAsia="zh-CN"/>
        </w:rPr>
        <w:t xml:space="preserve">8</w:t>
      </w:r>
      <w:r>
        <w:rPr>
          <w:rFonts w:hint="eastAsia" w:asciiTheme="minorEastAsia" w:hAnsiTheme="minorEastAsia" w:eastAsiaTheme="minorEastAsia" w:cstheme="minorEastAsia"/>
          <w:b/>
          <w:color w:val="auto"/>
          <w:sz w:val="24"/>
          <w:szCs w:val="24"/>
          <w:highlight w:val="none"/>
        </w:rPr>
        <w:t xml:space="preserve"> 合同变更</w:t>
      </w:r>
      <w:bookmarkEnd w:id="199"/>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.2 合同继续履行将损害国家利益和社会公共利益的，双方当事人应当以书面形式变更合同。有过错的一方应当承担赔偿责任，双方当事人都有过错的，各自承担相应的责任。</w:t>
      </w:r>
      <w:bookmarkStart w:id="204" w:name="_Toc279701259"/>
      <w:r/>
      <w:bookmarkStart w:id="205" w:name="_Toc259093688"/>
      <w:r/>
      <w:bookmarkStart w:id="206" w:name="_Toc487900369"/>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207" w:name="_Toc10663"/>
      <w:r/>
      <w:bookmarkStart w:id="208" w:name="_Toc26689"/>
      <w:r/>
      <w:bookmarkStart w:id="209" w:name="_Toc42"/>
      <w:r/>
      <w:bookmarkStart w:id="210" w:name="_Toc21830"/>
      <w:r/>
      <w:bookmarkStart w:id="211" w:name="_Toc23368"/>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lang w:val="en-US" w:eastAsia="zh-CN"/>
        </w:rPr>
        <w:t xml:space="preserve">9</w:t>
      </w:r>
      <w:r>
        <w:rPr>
          <w:rFonts w:hint="eastAsia" w:asciiTheme="minorEastAsia" w:hAnsiTheme="minorEastAsia" w:eastAsiaTheme="minorEastAsia" w:cstheme="minorEastAsia"/>
          <w:b/>
          <w:color w:val="auto"/>
          <w:sz w:val="24"/>
          <w:szCs w:val="24"/>
          <w:highlight w:val="none"/>
        </w:rPr>
        <w:t xml:space="preserve"> 合同转让</w:t>
      </w:r>
      <w:bookmarkEnd w:id="204"/>
      <w:r/>
      <w:bookmarkEnd w:id="205"/>
      <w:r/>
      <w:bookmarkEnd w:id="206"/>
      <w:r>
        <w:rPr>
          <w:rFonts w:hint="eastAsia" w:asciiTheme="minorEastAsia" w:hAnsiTheme="minorEastAsia" w:eastAsiaTheme="minorEastAsia" w:cstheme="minorEastAsia"/>
          <w:b/>
          <w:color w:val="auto"/>
          <w:sz w:val="24"/>
          <w:szCs w:val="24"/>
          <w:highlight w:val="none"/>
        </w:rPr>
        <w:t xml:space="preserve">和分包</w:t>
      </w:r>
      <w:bookmarkEnd w:id="207"/>
      <w:r/>
      <w:bookmarkEnd w:id="208"/>
      <w:r/>
      <w:bookmarkEnd w:id="209"/>
      <w:r/>
      <w:bookmarkEnd w:id="210"/>
      <w:r/>
      <w:bookmarkEnd w:id="211"/>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合同的权利义务依法不得转让，但经甲方同意，乙方可以依法采取分包方式履行合同，即</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212" w:name="_Toc14371"/>
      <w:r/>
      <w:bookmarkStart w:id="213" w:name="_Toc25571"/>
      <w:r/>
      <w:bookmarkStart w:id="214" w:name="_Toc32494"/>
      <w:r/>
      <w:bookmarkStart w:id="215" w:name="_Toc26633"/>
      <w:r/>
      <w:bookmarkStart w:id="216" w:name="_Toc4720"/>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lang w:val="en-US" w:eastAsia="zh-CN"/>
        </w:rPr>
        <w:t xml:space="preserve">10</w:t>
      </w:r>
      <w:r>
        <w:rPr>
          <w:rFonts w:hint="eastAsia" w:asciiTheme="minorEastAsia" w:hAnsiTheme="minorEastAsia" w:eastAsiaTheme="minorEastAsia" w:cstheme="minorEastAsia"/>
          <w:b/>
          <w:color w:val="auto"/>
          <w:sz w:val="24"/>
          <w:szCs w:val="24"/>
          <w:highlight w:val="none"/>
        </w:rPr>
        <w:t xml:space="preserve"> 不可抗力</w:t>
      </w:r>
      <w:bookmarkEnd w:id="212"/>
      <w:r/>
      <w:bookmarkEnd w:id="213"/>
      <w:r/>
      <w:bookmarkEnd w:id="214"/>
      <w:r/>
      <w:bookmarkEnd w:id="215"/>
      <w:r/>
      <w:bookmarkEnd w:id="216"/>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.1如果任何一方遭遇法律规定的不可抗力，致使合同履行受阻时，履行合同的期限应予延长，延长的期限应相当于不可抗力所影响的时间；</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.2 因不可抗力致使不能实现合同目的的，当事人可以解除合同；</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217" w:name="_Toc279701255"/>
      <w:r/>
      <w:bookmarkStart w:id="218" w:name="_Toc14115"/>
      <w:r/>
      <w:bookmarkStart w:id="219" w:name="_Toc3638"/>
      <w:r/>
      <w:bookmarkStart w:id="220" w:name="_Toc25783"/>
      <w:r/>
      <w:bookmarkStart w:id="221" w:name="_Toc24465"/>
      <w:r/>
      <w:bookmarkStart w:id="222" w:name="_Toc487900365"/>
      <w:r/>
      <w:bookmarkStart w:id="223" w:name="_Toc259093684"/>
      <w:r/>
      <w:bookmarkStart w:id="224" w:name="_Toc23854"/>
      <w:r>
        <w:rPr>
          <w:rFonts w:hint="eastAsia" w:asciiTheme="minorEastAsia" w:hAnsiTheme="minorEastAsia" w:eastAsiaTheme="minorEastAsia" w:cstheme="minorEastAsia"/>
          <w:b/>
          <w:color w:val="auto"/>
          <w:sz w:val="24"/>
          <w:szCs w:val="24"/>
          <w:highlight w:val="none"/>
        </w:rPr>
        <w:t xml:space="preserve">2.1</w:t>
      </w:r>
      <w:r>
        <w:rPr>
          <w:rFonts w:hint="eastAsia" w:asciiTheme="minorEastAsia" w:hAnsiTheme="minorEastAsia" w:eastAsiaTheme="minorEastAsia" w:cstheme="minorEastAsia"/>
          <w:b/>
          <w:color w:val="auto"/>
          <w:sz w:val="24"/>
          <w:szCs w:val="24"/>
          <w:highlight w:val="none"/>
          <w:lang w:val="en-US" w:eastAsia="zh-CN"/>
        </w:rPr>
        <w:t xml:space="preserve">1</w:t>
      </w:r>
      <w:r>
        <w:rPr>
          <w:rFonts w:hint="eastAsia" w:asciiTheme="minorEastAsia" w:hAnsiTheme="minorEastAsia" w:eastAsiaTheme="minorEastAsia" w:cstheme="minorEastAsia"/>
          <w:b/>
          <w:color w:val="auto"/>
          <w:sz w:val="24"/>
          <w:szCs w:val="24"/>
          <w:highlight w:val="none"/>
        </w:rPr>
        <w:t xml:space="preserve"> 税费</w:t>
      </w:r>
      <w:bookmarkEnd w:id="217"/>
      <w:r/>
      <w:bookmarkEnd w:id="218"/>
      <w:r/>
      <w:bookmarkEnd w:id="219"/>
      <w:r/>
      <w:bookmarkEnd w:id="220"/>
      <w:r/>
      <w:bookmarkEnd w:id="221"/>
      <w:r/>
      <w:bookmarkEnd w:id="222"/>
      <w:r/>
      <w:bookmarkEnd w:id="223"/>
      <w:r/>
      <w:bookmarkEnd w:id="224"/>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与合同有关的一切税费，均按照中华人民共和国法律的相关规定缴纳。</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225" w:name="_Toc279701258"/>
      <w:r/>
      <w:bookmarkStart w:id="226" w:name="_Toc26883"/>
      <w:r/>
      <w:bookmarkStart w:id="227" w:name="_Toc259093687"/>
      <w:r/>
      <w:bookmarkStart w:id="228" w:name="_Toc25525"/>
      <w:r/>
      <w:bookmarkStart w:id="229" w:name="_Toc14814"/>
      <w:r/>
      <w:bookmarkStart w:id="230" w:name="_Toc30105"/>
      <w:r/>
      <w:bookmarkStart w:id="231" w:name="_Toc7315"/>
      <w:r/>
      <w:bookmarkStart w:id="232" w:name="_Toc487900368"/>
      <w:r>
        <w:rPr>
          <w:rFonts w:hint="eastAsia" w:asciiTheme="minorEastAsia" w:hAnsiTheme="minorEastAsia" w:eastAsiaTheme="minorEastAsia" w:cstheme="minorEastAsia"/>
          <w:b/>
          <w:color w:val="auto"/>
          <w:sz w:val="24"/>
          <w:szCs w:val="24"/>
          <w:highlight w:val="none"/>
        </w:rPr>
        <w:t xml:space="preserve">2.1</w:t>
      </w:r>
      <w:r>
        <w:rPr>
          <w:rFonts w:hint="eastAsia" w:asciiTheme="minorEastAsia" w:hAnsiTheme="minorEastAsia" w:eastAsiaTheme="minorEastAsia" w:cstheme="minorEastAsia"/>
          <w:b/>
          <w:color w:val="auto"/>
          <w:sz w:val="24"/>
          <w:szCs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 乙方破产</w:t>
      </w:r>
      <w:bookmarkEnd w:id="225"/>
      <w:r/>
      <w:bookmarkEnd w:id="226"/>
      <w:r/>
      <w:bookmarkEnd w:id="227"/>
      <w:r/>
      <w:bookmarkEnd w:id="228"/>
      <w:r/>
      <w:bookmarkEnd w:id="229"/>
      <w:r/>
      <w:bookmarkEnd w:id="230"/>
      <w:r/>
      <w:bookmarkEnd w:id="231"/>
      <w:r/>
      <w:bookmarkEnd w:id="232"/>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233" w:name="_Toc1123"/>
      <w:r/>
      <w:bookmarkStart w:id="234" w:name="_Toc23323"/>
      <w:r/>
      <w:bookmarkStart w:id="235" w:name="_Toc2016"/>
      <w:r>
        <w:rPr>
          <w:rFonts w:hint="eastAsia" w:asciiTheme="minorEastAsia" w:hAnsiTheme="minorEastAsia" w:eastAsiaTheme="minorEastAsia" w:cstheme="minorEastAsia"/>
          <w:b/>
          <w:color w:val="auto"/>
          <w:sz w:val="24"/>
          <w:szCs w:val="24"/>
          <w:highlight w:val="none"/>
        </w:rPr>
        <w:t xml:space="preserve">2.1</w:t>
      </w:r>
      <w:r>
        <w:rPr>
          <w:rFonts w:hint="eastAsia" w:asciiTheme="minorEastAsia" w:hAnsiTheme="minorEastAsia" w:eastAsiaTheme="minorEastAsia" w:cstheme="minorEastAsia"/>
          <w:b/>
          <w:color w:val="auto"/>
          <w:sz w:val="24"/>
          <w:szCs w:val="24"/>
          <w:highlight w:val="none"/>
          <w:lang w:val="en-US" w:eastAsia="zh-CN"/>
        </w:rPr>
        <w:t xml:space="preserve">3</w:t>
      </w:r>
      <w:r>
        <w:rPr>
          <w:rFonts w:hint="eastAsia" w:asciiTheme="minorEastAsia" w:hAnsiTheme="minorEastAsia" w:eastAsiaTheme="minorEastAsia" w:cstheme="minorEastAsia"/>
          <w:b/>
          <w:color w:val="auto"/>
          <w:sz w:val="24"/>
          <w:szCs w:val="24"/>
          <w:highlight w:val="none"/>
        </w:rPr>
        <w:t xml:space="preserve"> 合同中止、终止</w:t>
      </w:r>
      <w:bookmarkEnd w:id="233"/>
      <w:r/>
      <w:bookmarkEnd w:id="234"/>
      <w:r/>
      <w:bookmarkEnd w:id="235"/>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.1 双方当事人不得擅自中止或者终止合同；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.2合同继续履行将损害国家利益和社会公共利益的，双方当事人应当中止或者终止合同。有过错的一方应当承担赔偿责任，双方当事人都有过错的，各自承担相应的责任。</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236" w:name="_Toc14525"/>
      <w:r/>
      <w:bookmarkStart w:id="237" w:name="_Toc1969"/>
      <w:r/>
      <w:bookmarkStart w:id="238" w:name="_Toc17363"/>
      <w:r>
        <w:rPr>
          <w:rFonts w:hint="eastAsia" w:asciiTheme="minorEastAsia" w:hAnsiTheme="minorEastAsia" w:eastAsiaTheme="minorEastAsia" w:cstheme="minorEastAsia"/>
          <w:b/>
          <w:color w:val="auto"/>
          <w:sz w:val="24"/>
          <w:szCs w:val="24"/>
          <w:highlight w:val="none"/>
        </w:rPr>
        <w:t xml:space="preserve">2.1</w:t>
      </w:r>
      <w:r>
        <w:rPr>
          <w:rFonts w:hint="eastAsia" w:asciiTheme="minorEastAsia" w:hAnsiTheme="minorEastAsia" w:eastAsiaTheme="minorEastAsia" w:cstheme="minorEastAsia"/>
          <w:b/>
          <w:color w:val="auto"/>
          <w:sz w:val="24"/>
          <w:szCs w:val="24"/>
          <w:highlight w:val="none"/>
          <w:lang w:val="en-US" w:eastAsia="zh-CN"/>
        </w:rPr>
        <w:t xml:space="preserve">4</w:t>
      </w:r>
      <w:r>
        <w:rPr>
          <w:rFonts w:hint="eastAsia" w:asciiTheme="minorEastAsia" w:hAnsiTheme="minorEastAsia" w:eastAsiaTheme="minorEastAsia" w:cstheme="minorEastAsia"/>
          <w:b/>
          <w:color w:val="auto"/>
          <w:sz w:val="24"/>
          <w:szCs w:val="24"/>
          <w:highlight w:val="none"/>
        </w:rPr>
        <w:t xml:space="preserve"> 检验和验收</w:t>
      </w:r>
      <w:bookmarkEnd w:id="236"/>
      <w:r/>
      <w:bookmarkEnd w:id="237"/>
      <w:r/>
      <w:bookmarkEnd w:id="238"/>
      <w:r/>
      <w:r/>
    </w:p>
    <w:p>
      <w:pPr>
        <w:ind w:firstLine="480"/>
        <w:jc w:val="both"/>
        <w:keepLines w:val="0"/>
        <w:keepNext w:val="0"/>
        <w:pageBreakBefore w:val="0"/>
        <w:spacing w:line="360" w:lineRule="auto"/>
        <w:widowControl w:val="off"/>
        <w:tabs>
          <w:tab w:val="left" w:pos="360" w:leader="none"/>
          <w:tab w:val="left" w:pos="540" w:leader="none"/>
          <w:tab w:val="left" w:pos="1080" w:leader="none"/>
        </w:tabs>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 乙方按照</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的约定，定期提交服务报告，甲方</w:t>
      </w:r>
      <w:r>
        <w:rPr>
          <w:rFonts w:hint="eastAsia" w:asciiTheme="minorEastAsia" w:hAnsiTheme="minorEastAsia" w:eastAsiaTheme="minorEastAsia" w:cstheme="minorEastAsia"/>
          <w:color w:val="auto"/>
          <w:sz w:val="24"/>
          <w:szCs w:val="24"/>
          <w:highlight w:val="none"/>
          <w:lang w:eastAsia="zh-CN"/>
        </w:rPr>
        <w:t xml:space="preserve">及时组织</w:t>
      </w:r>
      <w:r>
        <w:rPr>
          <w:rFonts w:hint="eastAsia" w:asciiTheme="minorEastAsia" w:hAnsiTheme="minorEastAsia" w:eastAsiaTheme="minorEastAsia" w:cstheme="minorEastAsia"/>
          <w:color w:val="auto"/>
          <w:sz w:val="24"/>
          <w:szCs w:val="24"/>
          <w:highlight w:val="none"/>
        </w:rPr>
        <w:t xml:space="preserve">进行定期验收；</w:t>
      </w:r>
      <w:r/>
    </w:p>
    <w:p>
      <w:pPr>
        <w:ind w:firstLine="480"/>
        <w:jc w:val="both"/>
        <w:keepLines w:val="0"/>
        <w:keepNext w:val="0"/>
        <w:pageBreakBefore w:val="0"/>
        <w:spacing w:line="360" w:lineRule="auto"/>
        <w:widowControl w:val="off"/>
        <w:tabs>
          <w:tab w:val="left" w:pos="360" w:leader="none"/>
          <w:tab w:val="left" w:pos="540" w:leader="none"/>
          <w:tab w:val="left" w:pos="1080" w:leader="none"/>
        </w:tabs>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.2 合同期满或者履行完毕后，甲方有权组织（包括依法邀请国家认可的质量检测机构参加）对乙方履约的验收，即</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按照合同约定的标准，组织对乙方履约情况的验收，并出具验收书；向社会公众提供的公共服务项目，验收时应当邀请服务对象参与并出具意见，验收结果应当向社会公告；</w:t>
      </w:r>
      <w:r/>
    </w:p>
    <w:p>
      <w:pPr>
        <w:ind w:firstLine="480"/>
        <w:jc w:val="both"/>
        <w:keepLines w:val="0"/>
        <w:keepNext w:val="0"/>
        <w:pageBreakBefore w:val="0"/>
        <w:spacing w:line="360" w:lineRule="auto"/>
        <w:widowControl w:val="off"/>
        <w:tabs>
          <w:tab w:val="left" w:pos="360" w:leader="none"/>
          <w:tab w:val="left" w:pos="540" w:leader="none"/>
          <w:tab w:val="left" w:pos="1080" w:leader="none"/>
        </w:tabs>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.3 检验和验收标准、程序等具体内容以及前述验收书的效力详见</w:t>
      </w:r>
      <w:r>
        <w:rPr>
          <w:rFonts w:hint="eastAsia" w:asciiTheme="minorEastAsia" w:hAnsiTheme="minorEastAsia" w:eastAsiaTheme="minorEastAsia" w:cstheme="minorEastAsia"/>
          <w:b w:val="0"/>
          <w:bCs/>
          <w:color w:val="auto"/>
          <w:sz w:val="24"/>
          <w:szCs w:val="24"/>
          <w:highlight w:val="none"/>
          <w:u w:val="none"/>
          <w:lang w:eastAsia="zh-CN"/>
        </w:rPr>
        <w:t xml:space="preserve">相关约定</w:t>
      </w:r>
      <w:r>
        <w:rPr>
          <w:rFonts w:hint="eastAsia" w:asciiTheme="minorEastAsia" w:hAnsiTheme="minorEastAsia" w:eastAsiaTheme="minorEastAsia" w:cstheme="minorEastAsia"/>
          <w:color w:val="auto"/>
          <w:sz w:val="24"/>
          <w:szCs w:val="24"/>
          <w:highlight w:val="none"/>
        </w:rPr>
        <w:t xml:space="preserve">。</w:t>
      </w:r>
      <w:bookmarkEnd w:id="200"/>
      <w:bookmarkEnd w:id="201"/>
      <w:bookmarkEnd w:id="202"/>
      <w:bookmarkEnd w:id="203"/>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239" w:name="_Toc487900371"/>
      <w:r/>
      <w:bookmarkStart w:id="240" w:name="_Toc259093690"/>
      <w:r/>
      <w:bookmarkStart w:id="241" w:name="_Toc279701261"/>
      <w:r/>
      <w:bookmarkStart w:id="242" w:name="_Toc31892"/>
      <w:r/>
      <w:bookmarkStart w:id="243" w:name="_Toc2308"/>
      <w:r/>
      <w:bookmarkStart w:id="244" w:name="_Toc12666"/>
      <w:r/>
      <w:bookmarkStart w:id="245" w:name="_Toc9808"/>
      <w:r/>
      <w:bookmarkStart w:id="246" w:name="_Toc25198"/>
      <w:r>
        <w:rPr>
          <w:rFonts w:hint="eastAsia" w:asciiTheme="minorEastAsia" w:hAnsiTheme="minorEastAsia" w:eastAsiaTheme="minorEastAsia" w:cstheme="minorEastAsia"/>
          <w:b/>
          <w:color w:val="auto"/>
          <w:sz w:val="24"/>
          <w:szCs w:val="24"/>
          <w:highlight w:val="none"/>
        </w:rPr>
        <w:t xml:space="preserve">2.1</w:t>
      </w:r>
      <w:r>
        <w:rPr>
          <w:rFonts w:hint="eastAsia" w:asciiTheme="minorEastAsia" w:hAnsiTheme="minorEastAsia" w:eastAsiaTheme="minorEastAsia" w:cstheme="minorEastAsia"/>
          <w:b/>
          <w:color w:val="auto"/>
          <w:sz w:val="24"/>
          <w:szCs w:val="24"/>
          <w:highlight w:val="none"/>
          <w:lang w:val="en-US" w:eastAsia="zh-CN"/>
        </w:rPr>
        <w:t xml:space="preserve">5</w:t>
      </w:r>
      <w:r>
        <w:rPr>
          <w:rFonts w:hint="eastAsia" w:asciiTheme="minorEastAsia" w:hAnsiTheme="minorEastAsia" w:eastAsiaTheme="minorEastAsia" w:cstheme="minorEastAsia"/>
          <w:b/>
          <w:color w:val="auto"/>
          <w:sz w:val="24"/>
          <w:szCs w:val="24"/>
          <w:highlight w:val="none"/>
        </w:rPr>
        <w:t xml:space="preserve"> 通知</w:t>
      </w:r>
      <w:bookmarkEnd w:id="239"/>
      <w:r/>
      <w:bookmarkEnd w:id="240"/>
      <w:r/>
      <w:bookmarkEnd w:id="241"/>
      <w:r>
        <w:rPr>
          <w:rFonts w:hint="eastAsia" w:asciiTheme="minorEastAsia" w:hAnsiTheme="minorEastAsia" w:eastAsiaTheme="minorEastAsia" w:cstheme="minorEastAsia"/>
          <w:b/>
          <w:color w:val="auto"/>
          <w:sz w:val="24"/>
          <w:szCs w:val="24"/>
          <w:highlight w:val="none"/>
        </w:rPr>
        <w:t xml:space="preserve">和送达</w:t>
      </w:r>
      <w:bookmarkEnd w:id="242"/>
      <w:r/>
      <w:bookmarkEnd w:id="243"/>
      <w:r/>
      <w:bookmarkEnd w:id="244"/>
      <w:r/>
      <w:bookmarkEnd w:id="245"/>
      <w:r/>
      <w:bookmarkEnd w:id="246"/>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bookmarkStart w:id="247" w:name="_Toc29220"/>
      <w:r/>
      <w:bookmarkStart w:id="248" w:name="_Toc7073"/>
      <w:r/>
      <w:bookmarkStart w:id="249" w:name="_Toc259093691"/>
      <w:r/>
      <w:bookmarkStart w:id="250" w:name="_Toc279701262"/>
      <w:r/>
      <w:bookmarkStart w:id="251" w:name="_Toc487900372"/>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 任何一方因履行合同而以合同第一部分尾部所列明的发出的所有通知、文件、材料，均视为已向对方当事人送达；任何一方变更上述送达方式或者地址的，应于</w:t>
      </w:r>
      <w:r>
        <w:rPr>
          <w:rFonts w:hint="eastAsia" w:asciiTheme="minorEastAsia" w:hAnsiTheme="minorEastAsia" w:eastAsiaTheme="minorEastAsia" w:cstheme="minorEastAsia"/>
          <w:color w:val="auto"/>
          <w:sz w:val="24"/>
          <w:szCs w:val="24"/>
          <w:highlight w:val="none"/>
          <w:u w:val="single"/>
        </w:rPr>
        <w:t xml:space="preserve"> 3</w:t>
      </w:r>
      <w:r>
        <w:rPr>
          <w:rFonts w:hint="eastAsia" w:asciiTheme="minorEastAsia" w:hAnsiTheme="minorEastAsia" w:eastAsiaTheme="minorEastAsia" w:cstheme="minorEastAsia"/>
          <w:color w:val="auto"/>
          <w:sz w:val="24"/>
          <w:szCs w:val="24"/>
          <w:highlight w:val="none"/>
        </w:rPr>
        <w:t xml:space="preserve">个工作日内书面通知对方当事人，在对方当事人收到有关变更通知之前，变更前的约定送达方式或者地址仍视为有效。</w:t>
      </w:r>
      <w:bookmarkEnd w:id="247"/>
      <w:r/>
      <w:bookmarkEnd w:id="248"/>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bookmarkStart w:id="252" w:name="_Toc18401"/>
      <w:r/>
      <w:bookmarkStart w:id="253" w:name="_Toc27674"/>
      <w:r>
        <w:rPr>
          <w:rFonts w:hint="eastAsia" w:asciiTheme="minorEastAsia" w:hAnsiTheme="minorEastAsia" w:eastAsiaTheme="minorEastAsia" w:cstheme="minorEastAsia"/>
          <w:color w:val="auto"/>
          <w:sz w:val="24"/>
          <w:szCs w:val="24"/>
          <w:highlight w:val="none"/>
        </w:rPr>
        <w:t xml:space="preserve">2.1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2"/>
      <w:r/>
      <w:bookmarkEnd w:id="253"/>
      <w:r/>
      <w:bookmarkEnd w:id="249"/>
      <w:bookmarkEnd w:id="250"/>
      <w:bookmarkEnd w:id="251"/>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bookmarkStart w:id="254" w:name="_Toc20808"/>
      <w:r/>
      <w:bookmarkStart w:id="255" w:name="_Toc259093692"/>
      <w:r/>
      <w:bookmarkStart w:id="256" w:name="_Toc28906"/>
      <w:r/>
      <w:bookmarkStart w:id="257" w:name="_Toc27644"/>
      <w:r/>
      <w:bookmarkStart w:id="258" w:name="_Toc12254"/>
      <w:r/>
      <w:bookmarkStart w:id="259" w:name="_Toc279701263"/>
      <w:r/>
      <w:bookmarkStart w:id="260" w:name="_Toc5063"/>
      <w:r/>
      <w:bookmarkStart w:id="261" w:name="_Toc487900373"/>
      <w:r>
        <w:rPr>
          <w:rFonts w:hint="eastAsia" w:asciiTheme="minorEastAsia" w:hAnsiTheme="minorEastAsia" w:eastAsiaTheme="minorEastAsia" w:cstheme="minorEastAsia"/>
          <w:b/>
          <w:color w:val="auto"/>
          <w:sz w:val="24"/>
          <w:szCs w:val="24"/>
          <w:highlight w:val="none"/>
        </w:rPr>
        <w:t xml:space="preserve">2.1</w:t>
      </w:r>
      <w:r>
        <w:rPr>
          <w:rFonts w:hint="eastAsia" w:asciiTheme="minorEastAsia" w:hAnsiTheme="minorEastAsia" w:eastAsiaTheme="minorEastAsia" w:cstheme="minorEastAsia"/>
          <w:b/>
          <w:color w:val="auto"/>
          <w:sz w:val="24"/>
          <w:szCs w:val="24"/>
          <w:highlight w:val="none"/>
          <w:lang w:val="en-US" w:eastAsia="zh-CN"/>
        </w:rPr>
        <w:t xml:space="preserve">6</w:t>
      </w:r>
      <w:r>
        <w:rPr>
          <w:rFonts w:hint="eastAsia" w:asciiTheme="minorEastAsia" w:hAnsiTheme="minorEastAsia" w:eastAsiaTheme="minorEastAsia" w:cstheme="minorEastAsia"/>
          <w:b/>
          <w:color w:val="auto"/>
          <w:sz w:val="24"/>
          <w:szCs w:val="24"/>
          <w:highlight w:val="none"/>
        </w:rPr>
        <w:t xml:space="preserve"> 合同使用的文字和适用的法律</w:t>
      </w:r>
      <w:bookmarkEnd w:id="254"/>
      <w:r/>
      <w:bookmarkEnd w:id="255"/>
      <w:r/>
      <w:bookmarkEnd w:id="256"/>
      <w:r/>
      <w:bookmarkEnd w:id="257"/>
      <w:r/>
      <w:bookmarkEnd w:id="258"/>
      <w:r/>
      <w:bookmarkEnd w:id="259"/>
      <w:r/>
      <w:bookmarkEnd w:id="260"/>
      <w:r/>
      <w:bookmarkEnd w:id="261"/>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16</w:t>
      </w:r>
      <w:r>
        <w:rPr>
          <w:rFonts w:hint="eastAsia" w:asciiTheme="minorEastAsia" w:hAnsiTheme="minorEastAsia" w:eastAsiaTheme="minorEastAsia" w:cstheme="minorEastAsia"/>
          <w:color w:val="auto"/>
          <w:sz w:val="24"/>
          <w:szCs w:val="24"/>
          <w:highlight w:val="none"/>
        </w:rPr>
        <w:t xml:space="preserve">.1 合同使用汉语书就、变更和解释；</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16</w:t>
      </w:r>
      <w:r>
        <w:rPr>
          <w:rFonts w:hint="eastAsia" w:asciiTheme="minorEastAsia" w:hAnsiTheme="minorEastAsia" w:eastAsiaTheme="minorEastAsia" w:cstheme="minorEastAsia"/>
          <w:color w:val="auto"/>
          <w:sz w:val="24"/>
          <w:szCs w:val="24"/>
          <w:highlight w:val="none"/>
        </w:rPr>
        <w:t xml:space="preserve">.2 合同适用中华人民共和国法律。</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outlineLvl w:val="0"/>
      </w:pPr>
      <w:r>
        <w:rPr>
          <w:rFonts w:hint="eastAsia" w:asciiTheme="minorEastAsia" w:hAnsiTheme="minorEastAsia" w:eastAsiaTheme="minorEastAsia" w:cstheme="minorEastAsia"/>
          <w:b/>
          <w:color w:val="auto"/>
          <w:sz w:val="24"/>
          <w:szCs w:val="24"/>
          <w:highlight w:val="none"/>
        </w:rPr>
        <w:t xml:space="preserve">2.1</w:t>
      </w:r>
      <w:r>
        <w:rPr>
          <w:rFonts w:hint="eastAsia" w:asciiTheme="minorEastAsia" w:hAnsiTheme="minorEastAsia" w:eastAsiaTheme="minorEastAsia" w:cstheme="minorEastAsia"/>
          <w:b/>
          <w:color w:val="auto"/>
          <w:sz w:val="24"/>
          <w:szCs w:val="24"/>
          <w:highlight w:val="none"/>
          <w:lang w:val="en-US" w:eastAsia="zh-CN"/>
        </w:rPr>
        <w:t xml:space="preserve">7</w:t>
      </w:r>
      <w:r>
        <w:rPr>
          <w:rFonts w:hint="eastAsia" w:asciiTheme="minorEastAsia" w:hAnsiTheme="minorEastAsia" w:eastAsiaTheme="minorEastAsia" w:cstheme="minorEastAsia"/>
          <w:b/>
          <w:color w:val="auto"/>
          <w:sz w:val="24"/>
          <w:szCs w:val="24"/>
          <w:highlight w:val="none"/>
        </w:rPr>
        <w:t xml:space="preserve"> 合同份数</w:t>
      </w:r>
      <w:r/>
    </w:p>
    <w:p>
      <w:pPr>
        <w:ind w:firstLine="480"/>
        <w:jc w:val="both"/>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0"/>
      </w:pPr>
      <w:r>
        <w:rPr>
          <w:rFonts w:hint="eastAsia" w:asciiTheme="minorEastAsia" w:hAnsiTheme="minorEastAsia" w:eastAsiaTheme="minorEastAsia" w:cstheme="minorEastAsia"/>
          <w:color w:val="auto"/>
          <w:sz w:val="24"/>
          <w:szCs w:val="24"/>
          <w:highlight w:val="none"/>
          <w:lang w:eastAsia="zh-CN"/>
        </w:rPr>
        <w:t xml:space="preserve">本合同一式六份，甲方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份，乙方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份。</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color w:val="auto"/>
          <w:sz w:val="24"/>
          <w:szCs w:val="24"/>
          <w:highlight w:val="none"/>
          <w:lang w:val="zh-CN"/>
        </w:rPr>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b/>
          <w:color w:val="auto"/>
          <w:sz w:val="24"/>
          <w:szCs w:val="24"/>
          <w:highlight w:val="none"/>
          <w:lang w:val="zh-CN"/>
        </w:rPr>
        <w:t xml:space="preserve">甲方</w:t>
      </w:r>
      <w:r>
        <w:rPr>
          <w:rFonts w:hint="eastAsia" w:asciiTheme="minorEastAsia" w:hAnsiTheme="minorEastAsia" w:eastAsiaTheme="minorEastAsia" w:cstheme="minorEastAsia"/>
          <w:color w:val="auto"/>
          <w:sz w:val="24"/>
          <w:szCs w:val="24"/>
          <w:highlight w:val="none"/>
          <w:lang w:val="zh-CN"/>
        </w:rPr>
        <w:t xml:space="preserve">：（盖章）                            </w:t>
      </w:r>
      <w:r>
        <w:rPr>
          <w:rFonts w:hint="eastAsia" w:asciiTheme="minorEastAsia" w:hAnsiTheme="minorEastAsia" w:eastAsiaTheme="minorEastAsia" w:cstheme="minorEastAsia"/>
          <w:b/>
          <w:color w:val="auto"/>
          <w:sz w:val="24"/>
          <w:szCs w:val="24"/>
          <w:highlight w:val="none"/>
          <w:lang w:val="zh-CN"/>
        </w:rPr>
        <w:t xml:space="preserve">乙方</w:t>
      </w:r>
      <w:r>
        <w:rPr>
          <w:rFonts w:hint="eastAsia" w:asciiTheme="minorEastAsia" w:hAnsiTheme="minorEastAsia" w:eastAsiaTheme="minorEastAsia" w:cstheme="minorEastAsia"/>
          <w:color w:val="auto"/>
          <w:sz w:val="24"/>
          <w:szCs w:val="24"/>
          <w:highlight w:val="none"/>
          <w:lang w:val="zh-CN"/>
        </w:rPr>
        <w:t xml:space="preserve">：（盖章）</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color w:val="auto"/>
          <w:sz w:val="24"/>
          <w:szCs w:val="24"/>
          <w:highlight w:val="none"/>
          <w:lang w:val="zh-CN"/>
        </w:rPr>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color w:val="auto"/>
          <w:sz w:val="24"/>
          <w:szCs w:val="24"/>
          <w:highlight w:val="none"/>
          <w:lang w:val="zh-CN"/>
        </w:rPr>
        <w:t xml:space="preserve">法定代表人或                             法定代表人</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color w:val="auto"/>
          <w:sz w:val="24"/>
          <w:szCs w:val="24"/>
          <w:highlight w:val="none"/>
          <w:lang w:val="zh-CN"/>
        </w:rPr>
        <w:t xml:space="preserve">授权代表（签字或盖章）：                  或授权代表（签字或盖章）：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color w:val="auto"/>
          <w:sz w:val="24"/>
          <w:szCs w:val="24"/>
          <w:highlight w:val="none"/>
          <w:lang w:val="zh-CN"/>
        </w:rPr>
      </w:r>
      <w:r/>
    </w:p>
    <w:p>
      <w:pPr>
        <w:ind w:firstLine="480"/>
        <w:jc w:val="both"/>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0"/>
      </w:pPr>
      <w:r>
        <w:rPr>
          <w:rFonts w:hint="eastAsia" w:asciiTheme="minorEastAsia" w:hAnsiTheme="minorEastAsia" w:eastAsiaTheme="minorEastAsia" w:cstheme="minorEastAsia"/>
          <w:color w:val="auto"/>
          <w:sz w:val="24"/>
          <w:szCs w:val="24"/>
          <w:highlight w:val="none"/>
          <w:lang w:val="zh-CN"/>
        </w:rPr>
        <w:t xml:space="preserve">联系人：                       </w:t>
      </w:r>
      <w:r>
        <w:rPr>
          <w:rFonts w:hint="eastAsia" w:asciiTheme="minorEastAsia" w:hAnsiTheme="minorEastAsia" w:eastAsiaTheme="minorEastAsia" w:cstheme="minorEastAsia"/>
          <w:color w:val="auto"/>
          <w:sz w:val="24"/>
          <w:szCs w:val="24"/>
          <w:highlight w:val="none"/>
          <w:lang w:val="en-US" w:eastAsia="zh-CN"/>
        </w:rPr>
        <w:t xml:space="preserve">          联系人：</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color w:val="auto"/>
          <w:sz w:val="24"/>
          <w:szCs w:val="24"/>
          <w:highlight w:val="none"/>
          <w:lang w:val="zh-CN"/>
        </w:rPr>
        <w:t xml:space="preserve">邮政编码：                               邮政编码：</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color w:val="auto"/>
          <w:sz w:val="24"/>
          <w:szCs w:val="24"/>
          <w:highlight w:val="none"/>
          <w:lang w:val="zh-CN"/>
        </w:rPr>
        <w:t xml:space="preserve">电话：                                    电话：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0"/>
      </w:pPr>
      <w:r>
        <w:rPr>
          <w:rFonts w:hint="eastAsia" w:asciiTheme="minorEastAsia" w:hAnsiTheme="minorEastAsia" w:eastAsiaTheme="minorEastAsia" w:cstheme="minorEastAsia"/>
          <w:color w:val="auto"/>
          <w:sz w:val="24"/>
          <w:szCs w:val="24"/>
          <w:highlight w:val="none"/>
          <w:lang w:val="zh-CN"/>
        </w:rPr>
        <w:t xml:space="preserve">传真：                                    传真：</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lang w:val="zh-CN"/>
        </w:rPr>
        <w:t xml:space="preserve">电子邮箱：                               电子邮箱：</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开户银行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开户银行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开户名称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开户名称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0"/>
      </w:pPr>
      <w:r>
        <w:rPr>
          <w:rFonts w:hint="eastAsia" w:asciiTheme="minorEastAsia" w:hAnsiTheme="minorEastAsia" w:eastAsiaTheme="minorEastAsia" w:cstheme="minorEastAsia"/>
          <w:color w:val="auto"/>
          <w:sz w:val="24"/>
          <w:szCs w:val="24"/>
          <w:highlight w:val="none"/>
        </w:rPr>
        <w:t xml:space="preserve">开户账号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开户账号</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r>
      <w:r/>
    </w:p>
    <w:p>
      <w:pPr>
        <w:pStyle w:val="699"/>
        <w:rPr>
          <w:color w:val="auto"/>
          <w:highlight w:val="none"/>
        </w:rPr>
      </w:pPr>
      <w:r>
        <w:rPr>
          <w:color w:val="auto"/>
          <w:highlight w:val="none"/>
        </w:rPr>
      </w:r>
      <w:r/>
    </w:p>
    <w:p>
      <w:pPr>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（采购人保留对合同修改、调整的权利）</w:t>
      </w:r>
      <w:r/>
    </w:p>
    <w:p>
      <w:pPr>
        <w:pStyle w:val="668"/>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9"/>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8"/>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9"/>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8"/>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9"/>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8"/>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9"/>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8"/>
        <w:rPr>
          <w:rFonts w:hint="eastAsia" w:ascii="宋体" w:hAnsi="宋体"/>
          <w:bCs/>
          <w:color w:val="auto"/>
          <w:sz w:val="36"/>
          <w:szCs w:val="36"/>
          <w:highlight w:val="none"/>
          <w:lang w:eastAsia="zh-CN"/>
        </w:rPr>
      </w:pPr>
      <w:r>
        <w:rPr>
          <w:rFonts w:hint="eastAsia" w:ascii="宋体" w:hAnsi="宋体"/>
          <w:bCs/>
          <w:color w:val="auto"/>
          <w:sz w:val="36"/>
          <w:szCs w:val="36"/>
          <w:highlight w:val="none"/>
          <w:lang w:eastAsia="zh-CN"/>
        </w:rPr>
      </w:r>
      <w:r/>
    </w:p>
    <w:p>
      <w:pPr>
        <w:pStyle w:val="669"/>
        <w:rPr>
          <w:rFonts w:hint="eastAsia"/>
          <w:color w:val="auto"/>
          <w:highlight w:val="none"/>
          <w:lang w:eastAsia="zh-CN"/>
        </w:rPr>
      </w:pPr>
      <w:r>
        <w:rPr>
          <w:rFonts w:hint="eastAsia"/>
          <w:color w:val="auto"/>
          <w:highlight w:val="none"/>
          <w:lang w:eastAsia="zh-CN"/>
        </w:rPr>
      </w:r>
      <w:r/>
    </w:p>
    <w:p>
      <w:pPr>
        <w:jc w:val="center"/>
        <w:rPr>
          <w:rFonts w:hint="eastAsia" w:ascii="宋体" w:hAnsi="宋体"/>
          <w:bCs/>
          <w:color w:val="auto"/>
          <w:sz w:val="36"/>
          <w:szCs w:val="36"/>
          <w:highlight w:val="none"/>
        </w:rPr>
      </w:pPr>
      <w:r>
        <w:rPr>
          <w:rFonts w:hint="eastAsia" w:ascii="宋体" w:hAnsi="宋体"/>
          <w:bCs/>
          <w:color w:val="auto"/>
          <w:sz w:val="36"/>
          <w:szCs w:val="36"/>
          <w:highlight w:val="none"/>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rPr>
          <w:rFonts w:ascii="宋体" w:hAnsi="宋体"/>
          <w:bCs/>
          <w:color w:val="auto"/>
          <w:sz w:val="36"/>
          <w:szCs w:val="36"/>
          <w:highlight w:val="none"/>
        </w:rPr>
      </w:pPr>
      <w:r>
        <w:rPr>
          <w:rFonts w:hint="eastAsia" w:ascii="宋体" w:hAnsi="宋体"/>
          <w:bCs/>
          <w:color w:val="auto"/>
          <w:sz w:val="36"/>
          <w:szCs w:val="36"/>
          <w:highlight w:val="none"/>
        </w:rPr>
        <w:t xml:space="preserve">第五部分  开标和评标</w:t>
      </w:r>
      <w:r/>
    </w:p>
    <w:p>
      <w:pPr>
        <w:pStyle w:val="922"/>
        <w:ind w:left="0" w:right="0" w:firstLine="482"/>
        <w:jc w:val="left"/>
        <w:spacing w:before="0" w:after="0"/>
        <w:rPr>
          <w:rFonts w:ascii="宋体" w:hAnsi="宋体"/>
          <w:b/>
          <w:color w:val="auto"/>
          <w:highlight w:val="none"/>
        </w:rPr>
      </w:pPr>
      <w:r>
        <w:rPr>
          <w:rFonts w:ascii="宋体" w:hAnsi="宋体"/>
          <w:b/>
          <w:color w:val="auto"/>
          <w:highlight w:val="none"/>
        </w:rPr>
        <w:t xml:space="preserve">一、开标</w:t>
      </w:r>
      <w:r/>
    </w:p>
    <w:p>
      <w:pPr>
        <w:ind w:firstLine="480"/>
        <w:jc w:val="left"/>
        <w:spacing w:line="360" w:lineRule="auto"/>
        <w:tabs>
          <w:tab w:val="left" w:pos="3585" w:leader="none"/>
        </w:tabs>
        <w:rPr>
          <w:rFonts w:ascii="宋体" w:hAnsi="宋体"/>
          <w:color w:val="auto"/>
          <w:sz w:val="24"/>
          <w:highlight w:val="none"/>
        </w:rPr>
      </w:pPr>
      <w:r>
        <w:rPr>
          <w:rFonts w:hint="eastAsia" w:ascii="宋体" w:hAnsi="宋体"/>
          <w:color w:val="auto"/>
          <w:sz w:val="24"/>
          <w:highlight w:val="none"/>
        </w:rPr>
        <w:t xml:space="preserve">本项目采用不见面远程开标模式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投标人在各自地点通过苏采云系统及时登录不见面开标大厅，参加开标会。</w:t>
      </w:r>
      <w:r/>
    </w:p>
    <w:p>
      <w:pPr>
        <w:pStyle w:val="922"/>
        <w:ind w:left="0" w:right="0" w:firstLine="482"/>
        <w:jc w:val="left"/>
        <w:spacing w:before="0" w:after="0"/>
        <w:rPr>
          <w:rFonts w:ascii="宋体" w:hAnsi="宋体"/>
          <w:b/>
          <w:color w:val="auto"/>
          <w:highlight w:val="none"/>
        </w:rPr>
      </w:pPr>
      <w:r>
        <w:rPr>
          <w:rFonts w:ascii="宋体" w:hAnsi="宋体"/>
          <w:b/>
          <w:color w:val="auto"/>
          <w:highlight w:val="none"/>
        </w:rPr>
        <w:t xml:space="preserve">二、评标流程和评标标准</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采用综合评分法</w:t>
      </w:r>
      <w:r>
        <w:rPr>
          <w:rFonts w:hint="eastAsia" w:ascii="宋体" w:hAnsi="宋体"/>
          <w:color w:val="auto"/>
          <w:sz w:val="24"/>
          <w:highlight w:val="none"/>
        </w:rPr>
        <w:t xml:space="preserve">，总分值为100分</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评标结果按评审后</w:t>
      </w:r>
      <w:r>
        <w:rPr>
          <w:rFonts w:hint="eastAsia" w:ascii="宋体" w:hAnsi="宋体"/>
          <w:color w:val="auto"/>
          <w:sz w:val="24"/>
          <w:highlight w:val="none"/>
        </w:rPr>
        <w:t xml:space="preserve">总</w:t>
      </w:r>
      <w:r>
        <w:rPr>
          <w:rFonts w:ascii="宋体" w:hAnsi="宋体"/>
          <w:color w:val="auto"/>
          <w:sz w:val="24"/>
          <w:highlight w:val="none"/>
        </w:rPr>
        <w:t xml:space="preserve">得分由高到低顺序排列</w:t>
      </w:r>
      <w:r>
        <w:rPr>
          <w:rFonts w:hint="eastAsia" w:ascii="宋体" w:hAnsi="宋体"/>
          <w:color w:val="auto"/>
          <w:sz w:val="24"/>
          <w:highlight w:val="none"/>
        </w:rPr>
        <w:t xml:space="preserve">，确定中标候选人名单并按顺序确定中标人</w:t>
      </w:r>
      <w:r>
        <w:rPr>
          <w:rFonts w:ascii="宋体" w:hAnsi="宋体"/>
          <w:color w:val="auto"/>
          <w:sz w:val="24"/>
          <w:highlight w:val="none"/>
        </w:rPr>
        <w:t xml:space="preserve">。得分相同的，按</w:t>
      </w:r>
      <w:r>
        <w:rPr>
          <w:rFonts w:hint="eastAsia" w:ascii="宋体" w:hAnsi="宋体"/>
          <w:color w:val="auto"/>
          <w:sz w:val="24"/>
          <w:highlight w:val="none"/>
          <w:lang w:eastAsia="zh-CN"/>
        </w:rPr>
        <w:t xml:space="preserve">商务技术部分得分</w:t>
      </w:r>
      <w:r>
        <w:rPr>
          <w:rFonts w:ascii="宋体" w:hAnsi="宋体"/>
          <w:color w:val="auto"/>
          <w:sz w:val="24"/>
          <w:highlight w:val="none"/>
        </w:rPr>
        <w:t xml:space="preserve">由低到高顺序排列</w:t>
      </w:r>
      <w:r>
        <w:rPr>
          <w:rFonts w:hint="eastAsia" w:ascii="宋体" w:hAnsi="宋体"/>
          <w:color w:val="auto"/>
          <w:sz w:val="24"/>
          <w:highlight w:val="none"/>
          <w:lang w:eastAsia="zh-CN"/>
        </w:rPr>
        <w:t xml:space="preserve">；</w:t>
      </w:r>
      <w:r>
        <w:rPr>
          <w:rFonts w:ascii="宋体" w:hAnsi="宋体"/>
          <w:color w:val="auto"/>
          <w:sz w:val="24"/>
          <w:highlight w:val="none"/>
        </w:rPr>
        <w:t xml:space="preserve">得分且</w:t>
      </w:r>
      <w:r>
        <w:rPr>
          <w:rFonts w:hint="eastAsia" w:ascii="宋体" w:hAnsi="宋体"/>
          <w:color w:val="auto"/>
          <w:sz w:val="24"/>
          <w:highlight w:val="none"/>
          <w:lang w:eastAsia="zh-CN"/>
        </w:rPr>
        <w:t xml:space="preserve">商务技术部分得分均</w:t>
      </w:r>
      <w:r>
        <w:rPr>
          <w:rFonts w:ascii="宋体" w:hAnsi="宋体"/>
          <w:color w:val="auto"/>
          <w:sz w:val="24"/>
          <w:highlight w:val="none"/>
        </w:rPr>
        <w:t xml:space="preserve">相同的</w:t>
      </w:r>
      <w:r>
        <w:rPr>
          <w:rFonts w:hint="eastAsia" w:ascii="宋体" w:hAnsi="宋体"/>
          <w:color w:val="auto"/>
          <w:sz w:val="24"/>
          <w:highlight w:val="none"/>
          <w:lang w:eastAsia="zh-CN"/>
        </w:rPr>
        <w:t xml:space="preserve">，则由采购人代表抽签确定</w:t>
      </w:r>
      <w:r>
        <w:rPr>
          <w:rFonts w:ascii="宋体" w:hAnsi="宋体"/>
          <w:color w:val="auto"/>
          <w:sz w:val="24"/>
          <w:highlight w:val="none"/>
        </w:rPr>
        <w:t xml:space="preserve">。投标文件满足招标文件全部实质性要求，</w:t>
      </w:r>
      <w:r>
        <w:rPr>
          <w:rFonts w:hint="eastAsia" w:ascii="宋体" w:hAnsi="宋体"/>
          <w:color w:val="auto"/>
          <w:sz w:val="24"/>
          <w:highlight w:val="none"/>
        </w:rPr>
        <w:t xml:space="preserve">且按照评审因素的量化指标评审得分最高的投标人为排名第一的中标候选人。</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评委在认真审阅投标文件的基础上，根据各投标文件的响应程度独立评判，不得统一打分。</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（一）采购人（代表）对投标人资格进行审查。</w:t>
      </w:r>
      <w:r/>
    </w:p>
    <w:p>
      <w:pPr>
        <w:pStyle w:val="919"/>
        <w:ind w:firstLine="480"/>
        <w:jc w:val="left"/>
        <w:spacing w:line="360" w:lineRule="auto"/>
        <w:rPr>
          <w:rFonts w:ascii="宋体" w:eastAsia="宋体"/>
          <w:color w:val="auto"/>
          <w:sz w:val="24"/>
          <w:szCs w:val="24"/>
          <w:highlight w:val="none"/>
        </w:rPr>
      </w:pPr>
      <w:r>
        <w:rPr>
          <w:rFonts w:ascii="宋体" w:eastAsia="宋体"/>
          <w:color w:val="auto"/>
          <w:sz w:val="24"/>
          <w:szCs w:val="24"/>
          <w:highlight w:val="none"/>
        </w:rPr>
        <w:t xml:space="preserve">投标人资格不合格的，其投标文件判定为无效投标文件。</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（二）评标委员会对符合资格投标人的投标文件进行符合性审查。</w:t>
      </w:r>
      <w:r/>
    </w:p>
    <w:p>
      <w:pPr>
        <w:pStyle w:val="919"/>
        <w:ind w:firstLine="480"/>
        <w:jc w:val="left"/>
        <w:spacing w:line="360" w:lineRule="auto"/>
        <w:rPr>
          <w:rFonts w:ascii="宋体" w:eastAsia="宋体"/>
          <w:color w:val="auto"/>
          <w:sz w:val="24"/>
          <w:szCs w:val="24"/>
          <w:highlight w:val="none"/>
        </w:rPr>
      </w:pPr>
      <w:r>
        <w:rPr>
          <w:rFonts w:ascii="宋体" w:eastAsia="宋体"/>
          <w:color w:val="auto"/>
          <w:sz w:val="24"/>
          <w:szCs w:val="24"/>
          <w:highlight w:val="none"/>
        </w:rPr>
        <w:t xml:space="preserve">未通过符合性审查的投标文件，将被判为不满足招标文件实质性要求。 </w:t>
      </w:r>
      <w:r/>
    </w:p>
    <w:p>
      <w:pPr>
        <w:ind w:firstLine="482"/>
        <w:jc w:val="left"/>
        <w:spacing w:line="360" w:lineRule="auto"/>
        <w:tabs>
          <w:tab w:val="left" w:pos="900" w:leader="none"/>
        </w:tabs>
        <w:rPr>
          <w:rFonts w:ascii="宋体" w:hAnsi="宋体"/>
          <w:bCs/>
          <w:color w:val="auto"/>
          <w:sz w:val="24"/>
          <w:highlight w:val="none"/>
        </w:rPr>
      </w:pPr>
      <w:r>
        <w:rPr>
          <w:rFonts w:ascii="宋体" w:hAnsi="宋体"/>
          <w:b/>
          <w:color w:val="auto"/>
          <w:sz w:val="24"/>
          <w:highlight w:val="none"/>
        </w:rPr>
        <w:t xml:space="preserve">（</w:t>
      </w:r>
      <w:r>
        <w:rPr>
          <w:rFonts w:ascii="宋体" w:hAnsi="宋体"/>
          <w:b/>
          <w:color w:val="auto"/>
          <w:sz w:val="24"/>
          <w:highlight w:val="none"/>
          <w:lang w:val="zh-CN"/>
        </w:rPr>
        <w:t xml:space="preserve">三</w:t>
      </w:r>
      <w:r>
        <w:rPr>
          <w:rFonts w:ascii="宋体" w:hAnsi="宋体"/>
          <w:b/>
          <w:color w:val="auto"/>
          <w:sz w:val="24"/>
          <w:highlight w:val="none"/>
        </w:rPr>
        <w:t xml:space="preserve">）</w:t>
      </w:r>
      <w:r>
        <w:rPr>
          <w:rFonts w:ascii="宋体" w:hAnsi="宋体"/>
          <w:b/>
          <w:color w:val="auto"/>
          <w:sz w:val="24"/>
          <w:highlight w:val="none"/>
          <w:lang w:val="zh-CN"/>
        </w:rPr>
        <w:t xml:space="preserve">商务技术分</w:t>
      </w:r>
      <w:r>
        <w:rPr>
          <w:rFonts w:hint="eastAsia" w:ascii="宋体" w:hAnsi="宋体"/>
          <w:color w:val="auto"/>
          <w:sz w:val="24"/>
          <w:highlight w:val="none"/>
          <w:lang w:val="zh-CN"/>
        </w:rPr>
        <w:t xml:space="preserve">：</w:t>
      </w:r>
      <w:r>
        <w:rPr>
          <w:rFonts w:hint="eastAsia" w:ascii="宋体" w:hAnsi="宋体"/>
          <w:b/>
          <w:bCs/>
          <w:color w:val="auto"/>
          <w:sz w:val="24"/>
          <w:highlight w:val="none"/>
          <w:lang w:val="en-US" w:eastAsia="zh-CN"/>
        </w:rPr>
        <w:t xml:space="preserve">90</w:t>
      </w:r>
      <w:r>
        <w:rPr>
          <w:rFonts w:ascii="宋体" w:hAnsi="宋体"/>
          <w:b/>
          <w:bCs/>
          <w:color w:val="auto"/>
          <w:sz w:val="24"/>
          <w:highlight w:val="none"/>
          <w:lang w:val="zh-CN"/>
        </w:rPr>
        <w:t xml:space="preserve">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各投标人得分为评委会成员评分的算术平均分，分值四舍五入保留两位小数。</w:t>
      </w:r>
      <w:r/>
    </w:p>
    <w:tbl>
      <w:tblPr>
        <w:tblStyle w:val="659"/>
        <w:tblW w:w="9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536"/>
        <w:gridCol w:w="751"/>
        <w:gridCol w:w="6728"/>
      </w:tblGrid>
      <w:tr>
        <w:trPr>
          <w:trHeight w:val="445"/>
        </w:trPr>
        <w:tc>
          <w:tcPr>
            <w:tcW w:w="692"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序号</w:t>
            </w:r>
            <w:r/>
          </w:p>
        </w:tc>
        <w:tc>
          <w:tcPr>
            <w:tcW w:w="1536"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评分点名称</w:t>
            </w:r>
            <w:r/>
          </w:p>
        </w:tc>
        <w:tc>
          <w:tcPr>
            <w:tcW w:w="751"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分值</w:t>
            </w:r>
            <w:r/>
          </w:p>
        </w:tc>
        <w:tc>
          <w:tcPr>
            <w:tcW w:w="6728"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评</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 xml:space="preserve">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 xml:space="preserve">标</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 xml:space="preserve">准</w:t>
            </w:r>
            <w:r/>
          </w:p>
        </w:tc>
      </w:tr>
      <w:tr>
        <w:trPr>
          <w:trHeight w:val="1876"/>
        </w:trPr>
        <w:tc>
          <w:tcPr>
            <w:tcW w:w="692"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zh-CN" w:eastAsia="zh-CN"/>
              </w:rPr>
              <w:t xml:space="preserve">1</w:t>
            </w:r>
            <w:r/>
          </w:p>
        </w:tc>
        <w:tc>
          <w:tcPr>
            <w:tcW w:w="1536"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color w:val="auto"/>
                <w:sz w:val="21"/>
                <w:szCs w:val="21"/>
                <w:highlight w:val="none"/>
                <w:u w:val="none"/>
                <w:lang w:val="en-US" w:eastAsia="zh-CN" w:bidi="ar"/>
              </w:rPr>
              <w:t xml:space="preserve">农药废弃物回收场地</w:t>
            </w:r>
            <w:r/>
          </w:p>
        </w:tc>
        <w:tc>
          <w:tcPr>
            <w:tcW w:w="751"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728" w:type="dxa"/>
            <w:vAlign w:val="center"/>
            <w:textDirection w:val="lrTb"/>
            <w:noWrap w:val="false"/>
          </w:tcPr>
          <w:p>
            <w:pPr>
              <w:ind w:left="42" w:right="42"/>
              <w:jc w:val="both"/>
              <w:keepLines w:val="0"/>
              <w:keepNext w:val="0"/>
              <w:pageBreakBefore w:val="0"/>
              <w:spacing w:line="320" w:lineRule="exact"/>
              <w:widowControl/>
              <w:rPr>
                <w:rFonts w:hint="eastAsia" w:ascii="宋体" w:hAnsi="宋体" w:eastAsia="宋体" w:cs="宋体"/>
                <w:i w:val="0"/>
                <w:color w:val="auto"/>
                <w:sz w:val="21"/>
                <w:szCs w:val="21"/>
                <w:highlight w:val="none"/>
                <w:u w:val="none"/>
                <w:lang w:eastAsia="zh-CN"/>
              </w:rPr>
              <w:suppressLineNumbers w:val="0"/>
            </w:pPr>
            <w:r>
              <w:rPr>
                <w:rFonts w:hint="eastAsia" w:ascii="宋体" w:hAnsi="宋体" w:eastAsia="宋体" w:cs="宋体"/>
                <w:i w:val="0"/>
                <w:color w:val="auto"/>
                <w:sz w:val="21"/>
                <w:szCs w:val="21"/>
                <w:highlight w:val="none"/>
                <w:u w:val="none"/>
                <w:lang w:eastAsia="zh-CN"/>
              </w:rPr>
              <w:t xml:space="preserve">面积＜</w:t>
            </w:r>
            <w:r>
              <w:rPr>
                <w:rFonts w:hint="eastAsia" w:ascii="宋体" w:hAnsi="宋体" w:eastAsia="宋体" w:cs="宋体"/>
                <w:i w:val="0"/>
                <w:color w:val="auto"/>
                <w:sz w:val="21"/>
                <w:szCs w:val="21"/>
                <w:highlight w:val="none"/>
                <w:u w:val="none"/>
                <w:lang w:val="en-US" w:eastAsia="zh-CN"/>
              </w:rPr>
              <w:t xml:space="preserve">300平方米的，得1分，没有的不得分；</w:t>
            </w:r>
            <w:r/>
          </w:p>
          <w:p>
            <w:pPr>
              <w:ind w:left="42" w:right="42"/>
              <w:jc w:val="both"/>
              <w:keepLines w:val="0"/>
              <w:keepNext w:val="0"/>
              <w:pageBreakBefore w:val="0"/>
              <w:spacing w:line="320" w:lineRule="exact"/>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eastAsia="zh-CN"/>
              </w:rPr>
              <w:t xml:space="preserve">面积≥</w:t>
            </w:r>
            <w:r>
              <w:rPr>
                <w:rFonts w:hint="eastAsia" w:ascii="宋体" w:hAnsi="宋体" w:eastAsia="宋体" w:cs="宋体"/>
                <w:i w:val="0"/>
                <w:color w:val="auto"/>
                <w:sz w:val="21"/>
                <w:szCs w:val="21"/>
                <w:highlight w:val="none"/>
                <w:u w:val="none"/>
                <w:lang w:val="en-US" w:eastAsia="zh-CN"/>
              </w:rPr>
              <w:t xml:space="preserve">300平方米的，得4分；</w:t>
            </w:r>
            <w:r/>
          </w:p>
          <w:p>
            <w:pPr>
              <w:ind w:left="42" w:right="42"/>
              <w:jc w:val="both"/>
              <w:keepLines w:val="0"/>
              <w:keepNext w:val="0"/>
              <w:pageBreakBefore w:val="0"/>
              <w:spacing w:line="320" w:lineRule="exact"/>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eastAsia="zh-CN"/>
              </w:rPr>
              <w:t xml:space="preserve">面积≥</w:t>
            </w:r>
            <w:r>
              <w:rPr>
                <w:rFonts w:hint="eastAsia" w:ascii="宋体" w:hAnsi="宋体" w:eastAsia="宋体" w:cs="宋体"/>
                <w:i w:val="0"/>
                <w:color w:val="auto"/>
                <w:sz w:val="21"/>
                <w:szCs w:val="21"/>
                <w:highlight w:val="none"/>
                <w:u w:val="none"/>
                <w:lang w:val="en-US" w:eastAsia="zh-CN"/>
              </w:rPr>
              <w:t xml:space="preserve">500平方米的，得7分；</w:t>
            </w:r>
            <w:r/>
          </w:p>
          <w:p>
            <w:pPr>
              <w:ind w:left="42" w:right="42"/>
              <w:jc w:val="both"/>
              <w:keepLines w:val="0"/>
              <w:keepNext w:val="0"/>
              <w:pageBreakBefore w:val="0"/>
              <w:spacing w:line="320" w:lineRule="exact"/>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eastAsia="zh-CN"/>
              </w:rPr>
              <w:t xml:space="preserve">面积≥</w:t>
            </w:r>
            <w:r>
              <w:rPr>
                <w:rFonts w:hint="eastAsia" w:ascii="宋体" w:hAnsi="宋体" w:eastAsia="宋体" w:cs="宋体"/>
                <w:i w:val="0"/>
                <w:color w:val="auto"/>
                <w:sz w:val="21"/>
                <w:szCs w:val="21"/>
                <w:highlight w:val="none"/>
                <w:u w:val="none"/>
                <w:lang w:val="en-US" w:eastAsia="zh-CN"/>
              </w:rPr>
              <w:t xml:space="preserve">700平方米的，得10分；</w:t>
            </w:r>
            <w:r/>
          </w:p>
          <w:p>
            <w:pPr>
              <w:ind w:left="42" w:right="42"/>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提供农药废弃物回收场地面积的佐证材料。</w:t>
            </w:r>
            <w:r/>
          </w:p>
        </w:tc>
      </w:tr>
      <w:tr>
        <w:trPr>
          <w:trHeight w:val="1695"/>
        </w:trPr>
        <w:tc>
          <w:tcPr>
            <w:tcW w:w="692"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36"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企业仓储条件（含门面）</w:t>
            </w:r>
            <w:r/>
          </w:p>
        </w:tc>
        <w:tc>
          <w:tcPr>
            <w:tcW w:w="751"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728" w:type="dxa"/>
            <w:vAlign w:val="top"/>
            <w:textDirection w:val="lrTb"/>
            <w:noWrap w:val="false"/>
          </w:tcPr>
          <w:p>
            <w:pPr>
              <w:ind w:left="42" w:right="42"/>
              <w:jc w:val="both"/>
              <w:keepLines w:val="0"/>
              <w:keepNext w:val="0"/>
              <w:pageBreakBefore w:val="0"/>
              <w:spacing w:line="320" w:lineRule="exact"/>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仓库与门面总面积＜300平方米得1分，没有的不得分；</w:t>
            </w:r>
            <w:r/>
          </w:p>
          <w:p>
            <w:pPr>
              <w:ind w:left="42" w:right="42"/>
              <w:jc w:val="both"/>
              <w:keepLines w:val="0"/>
              <w:keepNext w:val="0"/>
              <w:pageBreakBefore w:val="0"/>
              <w:spacing w:line="320" w:lineRule="exact"/>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仓库与门面总面积</w:t>
            </w:r>
            <w:r>
              <w:rPr>
                <w:rFonts w:hint="eastAsia" w:ascii="宋体" w:hAnsi="宋体" w:eastAsia="宋体" w:cs="宋体"/>
                <w:i w:val="0"/>
                <w:color w:val="auto"/>
                <w:sz w:val="21"/>
                <w:szCs w:val="21"/>
                <w:highlight w:val="none"/>
                <w:u w:val="none"/>
                <w:lang w:eastAsia="zh-CN"/>
              </w:rPr>
              <w:t xml:space="preserve">≥</w:t>
            </w:r>
            <w:r>
              <w:rPr>
                <w:rFonts w:hint="eastAsia" w:ascii="宋体" w:hAnsi="宋体" w:eastAsia="宋体" w:cs="宋体"/>
                <w:i w:val="0"/>
                <w:color w:val="auto"/>
                <w:sz w:val="21"/>
                <w:szCs w:val="21"/>
                <w:highlight w:val="none"/>
                <w:u w:val="none"/>
                <w:lang w:val="en-US" w:eastAsia="zh-CN"/>
              </w:rPr>
              <w:t xml:space="preserve">300平方米的，得4分；</w:t>
            </w:r>
            <w:r/>
          </w:p>
          <w:p>
            <w:pPr>
              <w:ind w:left="42" w:right="42"/>
              <w:jc w:val="both"/>
              <w:keepLines w:val="0"/>
              <w:keepNext w:val="0"/>
              <w:pageBreakBefore w:val="0"/>
              <w:spacing w:line="320" w:lineRule="exact"/>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仓库与门面总面积</w:t>
            </w:r>
            <w:r>
              <w:rPr>
                <w:rFonts w:hint="eastAsia" w:ascii="宋体" w:hAnsi="宋体" w:eastAsia="宋体" w:cs="宋体"/>
                <w:i w:val="0"/>
                <w:color w:val="auto"/>
                <w:sz w:val="21"/>
                <w:szCs w:val="21"/>
                <w:highlight w:val="none"/>
                <w:u w:val="none"/>
                <w:lang w:eastAsia="zh-CN"/>
              </w:rPr>
              <w:t xml:space="preserve">≥</w:t>
            </w:r>
            <w:r>
              <w:rPr>
                <w:rFonts w:hint="eastAsia" w:ascii="宋体" w:hAnsi="宋体" w:eastAsia="宋体" w:cs="宋体"/>
                <w:i w:val="0"/>
                <w:color w:val="auto"/>
                <w:sz w:val="21"/>
                <w:szCs w:val="21"/>
                <w:highlight w:val="none"/>
                <w:u w:val="none"/>
                <w:lang w:val="en-US" w:eastAsia="zh-CN"/>
              </w:rPr>
              <w:t xml:space="preserve">500平方米的，得7分；</w:t>
            </w:r>
            <w:r/>
          </w:p>
          <w:p>
            <w:pPr>
              <w:ind w:left="42" w:right="42"/>
              <w:jc w:val="both"/>
              <w:keepLines w:val="0"/>
              <w:keepNext w:val="0"/>
              <w:pageBreakBefore w:val="0"/>
              <w:spacing w:line="320" w:lineRule="exact"/>
              <w:widowControl/>
              <w:rPr>
                <w:rFonts w:hint="eastAsia" w:ascii="宋体" w:hAnsi="宋体" w:eastAsia="宋体" w:cs="宋体"/>
                <w:i w:val="0"/>
                <w:color w:val="auto"/>
                <w:sz w:val="21"/>
                <w:szCs w:val="21"/>
                <w:highlight w:val="none"/>
                <w:u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仓库与门面总面积</w:t>
            </w:r>
            <w:r>
              <w:rPr>
                <w:rFonts w:hint="eastAsia" w:ascii="宋体" w:hAnsi="宋体" w:eastAsia="宋体" w:cs="宋体"/>
                <w:i w:val="0"/>
                <w:color w:val="auto"/>
                <w:sz w:val="21"/>
                <w:szCs w:val="21"/>
                <w:highlight w:val="none"/>
                <w:u w:val="none"/>
                <w:lang w:eastAsia="zh-CN"/>
              </w:rPr>
              <w:t xml:space="preserve">≥</w:t>
            </w:r>
            <w:r>
              <w:rPr>
                <w:rFonts w:hint="eastAsia" w:ascii="宋体" w:hAnsi="宋体" w:eastAsia="宋体" w:cs="宋体"/>
                <w:i w:val="0"/>
                <w:color w:val="auto"/>
                <w:sz w:val="21"/>
                <w:szCs w:val="21"/>
                <w:highlight w:val="none"/>
                <w:u w:val="none"/>
                <w:lang w:val="en-US" w:eastAsia="zh-CN"/>
              </w:rPr>
              <w:t xml:space="preserve">800平方米的，得10分；</w:t>
            </w:r>
            <w:r/>
          </w:p>
          <w:p>
            <w:pPr>
              <w:ind w:left="42" w:right="42"/>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color w:val="auto"/>
                <w:sz w:val="21"/>
                <w:szCs w:val="21"/>
                <w:highlight w:val="none"/>
                <w:u w:val="none"/>
                <w:lang w:val="en-US" w:eastAsia="zh-CN"/>
              </w:rPr>
              <w:t xml:space="preserve">提供面积的证明材料。</w:t>
            </w:r>
            <w:r/>
          </w:p>
        </w:tc>
      </w:tr>
      <w:tr>
        <w:trPr>
          <w:trHeight w:val="1070"/>
        </w:trPr>
        <w:tc>
          <w:tcPr>
            <w:tcW w:w="692"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shd w:val="clear" w:color="auto" w:fill="auto"/>
            <w:tcW w:w="1536"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业绩</w:t>
            </w:r>
            <w:r/>
          </w:p>
        </w:tc>
        <w:tc>
          <w:tcPr>
            <w:shd w:val="clear" w:color="auto" w:fill="auto"/>
            <w:tcW w:w="7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W w:w="6728"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投标人自2022年1月1日以来已完成的类似项目业绩（以合同签订日期为准），提供完整合同扫描件，每提供一个得5分，本项目最多得10分。</w:t>
            </w:r>
            <w:r/>
          </w:p>
        </w:tc>
      </w:tr>
      <w:tr>
        <w:trPr>
          <w:trHeight w:val="3630"/>
        </w:trPr>
        <w:tc>
          <w:tcPr>
            <w:tcW w:w="692" w:type="dxa"/>
            <w:vAlign w:val="center"/>
            <w:textDirection w:val="lrTb"/>
            <w:noWrap w:val="false"/>
          </w:tcPr>
          <w:p>
            <w:pPr>
              <w:ind w:firstLine="0"/>
              <w:jc w:val="center"/>
              <w:keepLines w:val="0"/>
              <w:keepNext w:val="0"/>
              <w:pageBreakBefore w:val="0"/>
              <w:spacing w:line="32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W w:w="1536"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总体方案</w:t>
            </w:r>
            <w:r/>
          </w:p>
        </w:tc>
        <w:tc>
          <w:tcPr>
            <w:shd w:val="clear" w:color="auto" w:fill="auto"/>
            <w:tcW w:w="7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W w:w="6728"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针对本项目需求提出总体方案，包括但不限于本项目建设背景、实施基本原则、目标任务、实施要求等方面。</w:t>
            </w:r>
            <w:r/>
          </w:p>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方案完善、细节清晰、专业性强、可操作性高、与用户需求贴合度高的得10分；</w:t>
            </w:r>
            <w:r/>
          </w:p>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方案较为完善、细节较清晰、专业性较强、可操作性较高、与用户需求贴合度较高的得7分；</w:t>
            </w:r>
            <w:r/>
          </w:p>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方案可行、但细节考虑、专业性一般、具备可操作性较高、满足用户基本需求的得4分；</w:t>
            </w:r>
            <w:r/>
          </w:p>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提供方案不完善、目标不清晰、专业性不强、可操作性不高、与用户需求贴合度不高的得1分；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未提供或不符合本项目需求的，不得分。</w:t>
            </w:r>
            <w:r/>
          </w:p>
        </w:tc>
      </w:tr>
      <w:tr>
        <w:trPr>
          <w:trHeight w:val="2015"/>
        </w:trPr>
        <w:tc>
          <w:tcPr>
            <w:tcW w:w="692"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1536"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仓库管理制度</w:t>
            </w:r>
            <w:r/>
          </w:p>
        </w:tc>
        <w:tc>
          <w:tcPr>
            <w:tcW w:w="7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728"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根据各投标</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的仓库管理制度进行综合评审</w:t>
            </w:r>
            <w:r>
              <w:rPr>
                <w:rFonts w:hint="eastAsia" w:ascii="宋体" w:hAnsi="宋体" w:cs="宋体"/>
                <w:b/>
                <w:bCs/>
                <w:color w:val="auto"/>
                <w:sz w:val="21"/>
                <w:szCs w:val="21"/>
                <w:highlight w:val="none"/>
                <w:lang w:val="en-US" w:eastAsia="zh-CN"/>
              </w:rPr>
              <w:t xml:space="preserve">：</w:t>
            </w:r>
            <w:r/>
          </w:p>
          <w:p>
            <w:pPr>
              <w:jc w:val="left"/>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仓库管理制度可操作性比较强、比较科学合理的得10分。</w:t>
            </w:r>
            <w:r/>
          </w:p>
          <w:p>
            <w:pPr>
              <w:jc w:val="left"/>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仓库管理制度可操作性较强、较科学合理的得7分。</w:t>
            </w:r>
            <w:r/>
          </w:p>
          <w:p>
            <w:pPr>
              <w:jc w:val="left"/>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仓库管理制度可操作性强、科学合理的得4分。</w:t>
            </w:r>
            <w:r/>
          </w:p>
          <w:p>
            <w:pPr>
              <w:jc w:val="left"/>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仓库管理制度可操作性不大、缺乏科学合理性的得1分。</w:t>
            </w:r>
            <w:r/>
          </w:p>
          <w:p>
            <w:pPr>
              <w:numPr>
                <w:ilvl w:val="0"/>
                <w:numId w:val="0"/>
              </w:numPr>
              <w:jc w:val="left"/>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未提供的或全部不符合的不得分。</w:t>
            </w:r>
            <w:r/>
          </w:p>
        </w:tc>
      </w:tr>
      <w:tr>
        <w:trPr>
          <w:trHeight w:val="2060"/>
        </w:trPr>
        <w:tc>
          <w:tcPr>
            <w:tcW w:w="692" w:type="dxa"/>
            <w:vAlign w:val="center"/>
            <w:textDirection w:val="lrTb"/>
            <w:noWrap w:val="false"/>
          </w:tcPr>
          <w:p>
            <w:pPr>
              <w:ind w:firstLine="0"/>
              <w:jc w:val="center"/>
              <w:keepLines w:val="0"/>
              <w:keepNext w:val="0"/>
              <w:pageBreakBefore w:val="0"/>
              <w:spacing w:line="32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536"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配送计划</w:t>
            </w:r>
            <w:r/>
          </w:p>
        </w:tc>
        <w:tc>
          <w:tcPr>
            <w:tcW w:w="7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728" w:type="dxa"/>
            <w:vAlign w:val="center"/>
            <w:textDirection w:val="lrTb"/>
            <w:noWrap w:val="false"/>
          </w:tcPr>
          <w:p>
            <w:pPr>
              <w:jc w:val="both"/>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根据各投标</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的配送计划进行综合评审</w:t>
            </w:r>
            <w:r>
              <w:rPr>
                <w:rFonts w:hint="eastAsia" w:ascii="宋体" w:hAnsi="宋体" w:cs="宋体"/>
                <w:b/>
                <w:bCs/>
                <w:color w:val="auto"/>
                <w:sz w:val="21"/>
                <w:szCs w:val="21"/>
                <w:highlight w:val="none"/>
                <w:lang w:val="en-US" w:eastAsia="zh-CN"/>
              </w:rPr>
              <w:t xml:space="preserve">：</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配送计划合理可行、时间安排符合农作物生长特点的得10分；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配送计划较为合理、时间安排一般符合农作物生长特点的得7分；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配送计划不太合理、时间安排不太符合农作物生长特点的得4分；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配送计划内容缺失或较为笼统得1分；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未提供的或全部不符合的不得分。</w:t>
            </w:r>
            <w:r/>
          </w:p>
        </w:tc>
      </w:tr>
      <w:tr>
        <w:trPr>
          <w:trHeight w:val="2120"/>
        </w:trPr>
        <w:tc>
          <w:tcPr>
            <w:tcW w:w="692"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1536"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配送流程及制度</w:t>
            </w:r>
            <w:r/>
          </w:p>
        </w:tc>
        <w:tc>
          <w:tcPr>
            <w:tcW w:w="7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6728" w:type="dxa"/>
            <w:vAlign w:val="center"/>
            <w:textDirection w:val="lrTb"/>
            <w:noWrap w:val="false"/>
          </w:tcPr>
          <w:p>
            <w:pPr>
              <w:jc w:val="both"/>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根据各投标</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的配送流程及制度进行综合评审</w:t>
            </w:r>
            <w:r>
              <w:rPr>
                <w:rFonts w:hint="eastAsia" w:ascii="宋体" w:hAnsi="宋体" w:cs="宋体"/>
                <w:b/>
                <w:bCs/>
                <w:color w:val="auto"/>
                <w:sz w:val="21"/>
                <w:szCs w:val="21"/>
                <w:highlight w:val="none"/>
                <w:lang w:val="en-US" w:eastAsia="zh-CN"/>
              </w:rPr>
              <w:t xml:space="preserve">：</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配送操作流程及管理制度可操作性比较强、比较科学合理的得10分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配送操作流程及管理制度可操作性强、科学合理的得7分;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配送操作流程及管理制度可操作性一般、较为科学的得4分；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配送操作流程及管理制度内容缺失或较为笼统得1分；</w:t>
            </w:r>
            <w:r/>
          </w:p>
          <w:p>
            <w:pPr>
              <w:jc w:val="both"/>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未提供的或全部不符合的不得分。</w:t>
            </w:r>
            <w:r/>
          </w:p>
        </w:tc>
      </w:tr>
      <w:tr>
        <w:trPr>
          <w:trHeight w:val="744"/>
        </w:trPr>
        <w:tc>
          <w:tcPr>
            <w:tcW w:w="692" w:type="dxa"/>
            <w:vAlign w:val="center"/>
            <w:textDirection w:val="lrTb"/>
            <w:noWrap w:val="false"/>
          </w:tcPr>
          <w:p>
            <w:pPr>
              <w:ind w:firstLine="0"/>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1536"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农药包装废弃物回收处理</w:t>
            </w:r>
            <w:r/>
          </w:p>
        </w:tc>
        <w:tc>
          <w:tcPr>
            <w:tcW w:w="751"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shd w:val="clear" w:color="auto" w:fill="auto"/>
            <w:tcW w:w="6728"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根据各投标单位的回收流程、可操作性、便利性及</w:t>
            </w:r>
            <w:r>
              <w:rPr>
                <w:rFonts w:hint="eastAsia" w:ascii="宋体" w:hAnsi="宋体" w:cs="宋体"/>
                <w:b/>
                <w:bCs/>
                <w:color w:val="auto"/>
                <w:sz w:val="21"/>
                <w:szCs w:val="21"/>
                <w:highlight w:val="none"/>
                <w:lang w:val="en-US" w:eastAsia="zh-CN"/>
              </w:rPr>
              <w:t xml:space="preserve">回收</w:t>
            </w:r>
            <w:r>
              <w:rPr>
                <w:rFonts w:hint="eastAsia" w:ascii="宋体" w:hAnsi="宋体" w:eastAsia="宋体" w:cs="宋体"/>
                <w:b/>
                <w:bCs/>
                <w:color w:val="auto"/>
                <w:sz w:val="21"/>
                <w:szCs w:val="21"/>
                <w:highlight w:val="none"/>
                <w:lang w:val="en-US" w:eastAsia="zh-CN"/>
              </w:rPr>
              <w:t xml:space="preserve">制度进行综合评审:</w:t>
            </w:r>
            <w:r/>
          </w:p>
          <w:p>
            <w:pPr>
              <w:jc w:val="left"/>
              <w:keepLines w:val="0"/>
              <w:keepNext w:val="0"/>
              <w:pageBreakBefore w:val="0"/>
              <w:spacing w:line="32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内容比较详细、具体，可操作性比较强，回收中心位置设置比较合理、科学的</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得20分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2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内容较详细具体，可操作性较强、回收中心位置设置较合理、科学的</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得12分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2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内容一般，可操作性一般、回收中心位置设置缺乏合理</w:t>
            </w:r>
            <w:r>
              <w:rPr>
                <w:rFonts w:hint="eastAsia" w:ascii="宋体" w:hAnsi="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lang w:val="en-US" w:eastAsia="zh-CN"/>
              </w:rPr>
              <w:t xml:space="preserve">、科学</w:t>
            </w:r>
            <w:r>
              <w:rPr>
                <w:rFonts w:hint="eastAsia" w:ascii="宋体" w:hAnsi="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得5分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2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内容与本项目契合度不高得1分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未提供的或全部不符合的不得分。</w:t>
            </w:r>
            <w:r/>
          </w:p>
        </w:tc>
      </w:tr>
    </w:tbl>
    <w:p>
      <w:pPr>
        <w:ind w:firstLine="482"/>
        <w:jc w:val="left"/>
        <w:spacing w:line="360" w:lineRule="auto"/>
        <w:rPr>
          <w:rFonts w:ascii="宋体" w:hAnsi="宋体" w:cs="宋体"/>
          <w:color w:val="auto"/>
          <w:szCs w:val="21"/>
          <w:highlight w:val="none"/>
        </w:rPr>
      </w:pPr>
      <w:r>
        <w:rPr>
          <w:rFonts w:ascii="宋体" w:hAnsi="宋体"/>
          <w:b/>
          <w:bCs/>
          <w:color w:val="auto"/>
          <w:sz w:val="24"/>
          <w:highlight w:val="none"/>
        </w:rPr>
        <w:t xml:space="preserve">（四）</w:t>
      </w:r>
      <w:r>
        <w:rPr>
          <w:rFonts w:hint="eastAsia" w:ascii="宋体" w:hAnsi="宋体"/>
          <w:b/>
          <w:bCs/>
          <w:color w:val="auto"/>
          <w:sz w:val="24"/>
          <w:highlight w:val="none"/>
        </w:rPr>
        <w:t xml:space="preserve">价格分</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lang w:val="zh-CN"/>
        </w:rPr>
        <w:t xml:space="preserve">分</w:t>
      </w:r>
      <w:r/>
    </w:p>
    <w:p>
      <w:pPr>
        <w:ind w:firstLine="480"/>
        <w:jc w:val="both"/>
        <w:keepLines w:val="0"/>
        <w:keepNext w:val="0"/>
        <w:pageBreakBefore w:val="0"/>
        <w:spacing w:line="360" w:lineRule="auto"/>
        <w:widowControl w:val="off"/>
        <w:rPr>
          <w:rFonts w:hint="eastAsia" w:ascii="宋体" w:hAnsi="宋体" w:eastAsia="宋体"/>
          <w:color w:val="auto"/>
          <w:sz w:val="24"/>
          <w:highlight w:val="none"/>
          <w:lang w:eastAsia="zh-CN"/>
        </w:rPr>
      </w:pPr>
      <w:r>
        <w:rPr>
          <w:rFonts w:ascii="宋体" w:hAnsi="宋体"/>
          <w:color w:val="auto"/>
          <w:sz w:val="24"/>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color w:val="auto"/>
          <w:sz w:val="24"/>
          <w:highlight w:val="none"/>
          <w:lang w:eastAsia="zh-CN"/>
        </w:rPr>
        <w:t xml:space="preserve">：</w:t>
      </w:r>
      <w:r/>
    </w:p>
    <w:p>
      <w:pPr>
        <w:pStyle w:val="698"/>
        <w:ind w:firstLine="480"/>
        <w:jc w:val="both"/>
        <w:keepLines w:val="0"/>
        <w:keepNext w:val="0"/>
        <w:pageBreakBefore w:val="0"/>
        <w:spacing w:after="0" w:line="360" w:lineRule="auto"/>
        <w:widowControl w:val="off"/>
        <w:rPr>
          <w:rFonts w:ascii="宋体" w:hAnsi="宋体"/>
          <w:color w:val="auto"/>
          <w:highlight w:val="none"/>
        </w:rPr>
      </w:pPr>
      <w:r>
        <w:rPr>
          <w:rFonts w:ascii="宋体" w:hAnsi="宋体"/>
          <w:color w:val="auto"/>
          <w:highlight w:val="none"/>
        </w:rPr>
        <w:t xml:space="preserve">投标报价得分=（评标基准价/投标报价）×</w:t>
      </w:r>
      <w:r>
        <w:rPr>
          <w:rFonts w:hint="eastAsia" w:ascii="宋体" w:hAnsi="宋体"/>
          <w:color w:val="auto"/>
          <w:highlight w:val="none"/>
          <w:lang w:val="en-US" w:eastAsia="zh-CN"/>
        </w:rPr>
        <w:t xml:space="preserve">1</w:t>
      </w:r>
      <w:r>
        <w:rPr>
          <w:rFonts w:hint="eastAsia" w:ascii="宋体" w:hAnsi="宋体"/>
          <w:color w:val="auto"/>
          <w:highlight w:val="none"/>
        </w:rPr>
        <w:t xml:space="preserve">0</w:t>
      </w:r>
      <w:r>
        <w:rPr>
          <w:rFonts w:ascii="宋体" w:hAnsi="宋体"/>
          <w:color w:val="auto"/>
          <w:highlight w:val="none"/>
        </w:rPr>
        <w:t xml:space="preserve">%×100</w:t>
      </w:r>
      <w:r/>
    </w:p>
    <w:p>
      <w:pPr>
        <w:pStyle w:val="698"/>
        <w:ind w:firstLine="482"/>
        <w:jc w:val="both"/>
        <w:keepLines w:val="0"/>
        <w:keepNext w:val="0"/>
        <w:pageBreakBefore w:val="0"/>
        <w:spacing w:after="0" w:line="360" w:lineRule="auto"/>
        <w:widowControl w:val="off"/>
        <w:rPr>
          <w:rFonts w:hint="default" w:ascii="宋体" w:hAnsi="宋体" w:eastAsia="宋体"/>
          <w:b/>
          <w:bCs/>
          <w:color w:val="auto"/>
          <w:highlight w:val="none"/>
          <w:u w:val="single"/>
          <w:lang w:val="en-US" w:eastAsia="zh-CN"/>
        </w:rPr>
      </w:pPr>
      <w:r>
        <w:rPr>
          <w:rFonts w:hint="eastAsia" w:ascii="宋体" w:hAnsi="宋体"/>
          <w:b/>
          <w:bCs/>
          <w:color w:val="auto"/>
          <w:highlight w:val="none"/>
          <w:u w:val="single"/>
          <w:lang w:eastAsia="zh-CN"/>
        </w:rPr>
        <w:t xml:space="preserve">特别说明：本项目价格不参与评审，所有投标供应均按满分（</w:t>
      </w:r>
      <w:r>
        <w:rPr>
          <w:rFonts w:hint="eastAsia" w:ascii="宋体" w:hAnsi="宋体"/>
          <w:b/>
          <w:bCs/>
          <w:color w:val="auto"/>
          <w:highlight w:val="none"/>
          <w:u w:val="single"/>
          <w:lang w:val="en-US" w:eastAsia="zh-CN"/>
        </w:rPr>
        <w:t xml:space="preserve">10分</w:t>
      </w:r>
      <w:r>
        <w:rPr>
          <w:rFonts w:hint="eastAsia" w:ascii="宋体" w:hAnsi="宋体"/>
          <w:b/>
          <w:bCs/>
          <w:color w:val="auto"/>
          <w:highlight w:val="none"/>
          <w:u w:val="single"/>
          <w:lang w:eastAsia="zh-CN"/>
        </w:rPr>
        <w:t xml:space="preserve">）计入。投标时价格统一按最高限价填写，填写金额为</w:t>
      </w:r>
      <w:r>
        <w:rPr>
          <w:rFonts w:hint="eastAsia" w:ascii="宋体" w:hAnsi="宋体"/>
          <w:b/>
          <w:bCs/>
          <w:color w:val="auto"/>
          <w:highlight w:val="none"/>
          <w:u w:val="single"/>
          <w:lang w:val="en-US" w:eastAsia="zh-CN"/>
        </w:rPr>
        <w:t xml:space="preserve">117.4万元</w:t>
      </w:r>
      <w:r>
        <w:rPr>
          <w:rFonts w:hint="eastAsia" w:ascii="宋体" w:hAnsi="宋体"/>
          <w:b/>
          <w:bCs/>
          <w:color w:val="auto"/>
          <w:highlight w:val="none"/>
          <w:u w:val="single"/>
          <w:lang w:eastAsia="zh-CN"/>
        </w:rPr>
        <w:t xml:space="preserve">。</w:t>
      </w:r>
      <w:r/>
    </w:p>
    <w:p>
      <w:pPr>
        <w:ind w:firstLine="482"/>
        <w:jc w:val="both"/>
        <w:keepLines w:val="0"/>
        <w:keepNext w:val="0"/>
        <w:pageBreakBefore w:val="0"/>
        <w:spacing w:line="360" w:lineRule="auto"/>
        <w:widowControl w:val="off"/>
        <w:rPr>
          <w:rFonts w:ascii="宋体" w:hAnsi="宋体"/>
          <w:b/>
          <w:bCs/>
          <w:color w:val="auto"/>
          <w:sz w:val="24"/>
          <w:highlight w:val="none"/>
        </w:rPr>
      </w:pPr>
      <w:r>
        <w:rPr>
          <w:rFonts w:ascii="宋体" w:hAnsi="宋体"/>
          <w:b/>
          <w:color w:val="auto"/>
          <w:sz w:val="24"/>
          <w:highlight w:val="none"/>
        </w:rPr>
        <w:t xml:space="preserve">（</w:t>
      </w:r>
      <w:r>
        <w:rPr>
          <w:rFonts w:ascii="宋体" w:hAnsi="宋体"/>
          <w:b/>
          <w:bCs/>
          <w:color w:val="auto"/>
          <w:sz w:val="24"/>
          <w:highlight w:val="none"/>
        </w:rPr>
        <w:t xml:space="preserve">五</w:t>
      </w:r>
      <w:r>
        <w:rPr>
          <w:rFonts w:ascii="宋体" w:hAnsi="宋体"/>
          <w:b/>
          <w:color w:val="auto"/>
          <w:sz w:val="24"/>
          <w:highlight w:val="none"/>
        </w:rPr>
        <w:t xml:space="preserve">）</w:t>
      </w:r>
      <w:r>
        <w:rPr>
          <w:rFonts w:ascii="宋体" w:hAnsi="宋体"/>
          <w:b/>
          <w:bCs/>
          <w:color w:val="auto"/>
          <w:sz w:val="24"/>
          <w:highlight w:val="none"/>
        </w:rPr>
        <w:t xml:space="preserve">政府采购政策功能落实</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1、小微型企业价格扣除</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（1）本项目对小型和微型企业产品给予</w:t>
      </w:r>
      <w:r>
        <w:rPr>
          <w:rFonts w:hint="eastAsia" w:ascii="宋体" w:hAnsi="宋体"/>
          <w:b/>
          <w:color w:val="auto"/>
          <w:sz w:val="24"/>
          <w:highlight w:val="none"/>
        </w:rPr>
        <w:t xml:space="preserve">10</w:t>
      </w:r>
      <w:r>
        <w:rPr>
          <w:rFonts w:ascii="宋体" w:hAnsi="宋体"/>
          <w:b/>
          <w:color w:val="auto"/>
          <w:sz w:val="24"/>
          <w:highlight w:val="none"/>
        </w:rPr>
        <w:t xml:space="preserve">%</w:t>
      </w:r>
      <w:r>
        <w:rPr>
          <w:rFonts w:ascii="宋体" w:hAnsi="宋体"/>
          <w:bCs/>
          <w:color w:val="auto"/>
          <w:sz w:val="24"/>
          <w:highlight w:val="none"/>
        </w:rPr>
        <w:t xml:space="preserve">的扣除价格，用扣除后的价格参与评审。</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投标人</w:t>
      </w:r>
      <w:r>
        <w:rPr>
          <w:rFonts w:ascii="宋体" w:hAnsi="宋体"/>
          <w:bCs/>
          <w:color w:val="auto"/>
          <w:sz w:val="24"/>
          <w:highlight w:val="none"/>
        </w:rPr>
        <w:t xml:space="preserve">需按照</w:t>
      </w:r>
      <w:r>
        <w:rPr>
          <w:rFonts w:hint="eastAsia" w:ascii="宋体" w:hAnsi="宋体"/>
          <w:bCs/>
          <w:color w:val="auto"/>
          <w:sz w:val="24"/>
          <w:highlight w:val="none"/>
        </w:rPr>
        <w:t xml:space="preserve">招标文件的要求</w:t>
      </w:r>
      <w:r>
        <w:rPr>
          <w:rFonts w:ascii="宋体" w:hAnsi="宋体"/>
          <w:bCs/>
          <w:color w:val="auto"/>
          <w:sz w:val="24"/>
          <w:highlight w:val="none"/>
        </w:rPr>
        <w:t xml:space="preserve">提供相应的《中小企业声明函》。</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（3）企业标准请参照《关于印发中小企业划型标准规定的通知》（工信部联企业[2011]300号）文件规定自行填写。</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2、残疾人福利单位价格扣除</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本项目对残疾人福利性单位视同小型、微型企业</w:t>
      </w:r>
      <w:r>
        <w:rPr>
          <w:rFonts w:ascii="宋体" w:hAnsi="宋体"/>
          <w:bCs/>
          <w:color w:val="auto"/>
          <w:sz w:val="24"/>
          <w:highlight w:val="none"/>
        </w:rPr>
        <w:t xml:space="preserve">，给予</w:t>
      </w:r>
      <w:r>
        <w:rPr>
          <w:rFonts w:hint="eastAsia" w:ascii="宋体" w:hAnsi="宋体"/>
          <w:b/>
          <w:color w:val="auto"/>
          <w:sz w:val="24"/>
          <w:highlight w:val="none"/>
        </w:rPr>
        <w:t xml:space="preserve">10</w:t>
      </w:r>
      <w:r>
        <w:rPr>
          <w:rFonts w:ascii="宋体" w:hAnsi="宋体"/>
          <w:b/>
          <w:color w:val="auto"/>
          <w:sz w:val="24"/>
          <w:highlight w:val="none"/>
        </w:rPr>
        <w:t xml:space="preserve">%</w:t>
      </w:r>
      <w:r>
        <w:rPr>
          <w:rFonts w:ascii="宋体" w:hAnsi="宋体"/>
          <w:bCs/>
          <w:color w:val="auto"/>
          <w:sz w:val="24"/>
          <w:highlight w:val="none"/>
        </w:rPr>
        <w:t xml:space="preserve">的价格扣除，用扣除后的价格参与评审。</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（2）残疾人福利单位需按照</w:t>
      </w:r>
      <w:r>
        <w:rPr>
          <w:rFonts w:hint="eastAsia" w:ascii="宋体" w:hAnsi="宋体"/>
          <w:bCs/>
          <w:color w:val="auto"/>
          <w:sz w:val="24"/>
          <w:highlight w:val="none"/>
        </w:rPr>
        <w:t xml:space="preserve">招标</w:t>
      </w:r>
      <w:r>
        <w:rPr>
          <w:rFonts w:ascii="宋体" w:hAnsi="宋体"/>
          <w:bCs/>
          <w:color w:val="auto"/>
          <w:sz w:val="24"/>
          <w:highlight w:val="none"/>
        </w:rPr>
        <w:t xml:space="preserve">文件的要求提供《残疾人福利性单位声明函》。</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（3）残疾人福利单位标准请参照《关于促进残疾人就业政府采购政策的通知》（财库〔2017〕141号）。</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3、监狱和戒毒企业价格扣除</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（1）本项目对监狱和戒毒企业（简称监狱企业）</w:t>
      </w:r>
      <w:r>
        <w:rPr>
          <w:rFonts w:hint="eastAsia" w:ascii="宋体" w:hAnsi="宋体"/>
          <w:bCs/>
          <w:color w:val="auto"/>
          <w:sz w:val="24"/>
          <w:highlight w:val="none"/>
        </w:rPr>
        <w:t xml:space="preserve">视同小型、微型企业，</w:t>
      </w:r>
      <w:r>
        <w:rPr>
          <w:rFonts w:ascii="宋体" w:hAnsi="宋体"/>
          <w:bCs/>
          <w:color w:val="auto"/>
          <w:sz w:val="24"/>
          <w:highlight w:val="none"/>
        </w:rPr>
        <w:t xml:space="preserve">给予</w:t>
      </w:r>
      <w:r>
        <w:rPr>
          <w:rFonts w:hint="eastAsia" w:ascii="宋体" w:hAnsi="宋体"/>
          <w:b/>
          <w:color w:val="auto"/>
          <w:sz w:val="24"/>
          <w:highlight w:val="none"/>
        </w:rPr>
        <w:t xml:space="preserve">10</w:t>
      </w:r>
      <w:r>
        <w:rPr>
          <w:rFonts w:ascii="宋体" w:hAnsi="宋体"/>
          <w:b/>
          <w:color w:val="auto"/>
          <w:sz w:val="24"/>
          <w:highlight w:val="none"/>
        </w:rPr>
        <w:t xml:space="preserve">%</w:t>
      </w:r>
      <w:r>
        <w:rPr>
          <w:rFonts w:ascii="宋体" w:hAnsi="宋体"/>
          <w:bCs/>
          <w:color w:val="auto"/>
          <w:sz w:val="24"/>
          <w:highlight w:val="none"/>
        </w:rPr>
        <w:t xml:space="preserve">的价格扣除，用扣除后的价格参与评审。</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bCs/>
          <w:color w:val="auto"/>
          <w:sz w:val="24"/>
          <w:highlight w:val="none"/>
        </w:rPr>
        <w:t xml:space="preserve">投标人</w:t>
      </w:r>
      <w:r>
        <w:rPr>
          <w:rFonts w:ascii="宋体" w:hAnsi="宋体"/>
          <w:bCs/>
          <w:color w:val="auto"/>
          <w:sz w:val="24"/>
          <w:highlight w:val="none"/>
        </w:rPr>
        <w:t xml:space="preserve">如不提供上述证明文件，价格将不做相应扣除。</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（3）监狱企业标准请参照《关于政府采购支持监狱企业发展有关问题的通知》（财库[2014]68号）。</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4、残疾人福利单位、监狱企业属于小型、微型企业的，不重复享受政策。</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t xml:space="preserve">6、联合体各方均为小型、微型企业（残疾人福利单位、监狱企业）的，联合体享受</w:t>
      </w:r>
      <w:r>
        <w:rPr>
          <w:rFonts w:hint="eastAsia" w:ascii="宋体" w:hAnsi="宋体"/>
          <w:b/>
          <w:color w:val="auto"/>
          <w:sz w:val="24"/>
          <w:highlight w:val="none"/>
        </w:rPr>
        <w:t xml:space="preserve">10</w:t>
      </w:r>
      <w:r>
        <w:rPr>
          <w:rFonts w:ascii="宋体" w:hAnsi="宋体"/>
          <w:b/>
          <w:color w:val="auto"/>
          <w:sz w:val="24"/>
          <w:highlight w:val="none"/>
        </w:rPr>
        <w:t xml:space="preserve">%</w:t>
      </w:r>
      <w:r>
        <w:rPr>
          <w:rFonts w:ascii="宋体" w:hAnsi="宋体"/>
          <w:bCs/>
          <w:color w:val="auto"/>
          <w:sz w:val="24"/>
          <w:highlight w:val="none"/>
        </w:rPr>
        <w:t xml:space="preserve">价格扣除，用扣除后的价格参与评审。</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7</w:t>
      </w:r>
      <w:r>
        <w:rPr>
          <w:rFonts w:ascii="宋体" w:hAnsi="宋体"/>
          <w:bCs/>
          <w:color w:val="auto"/>
          <w:sz w:val="24"/>
          <w:highlight w:val="none"/>
        </w:rPr>
        <w:t xml:space="preserve">、根据《江苏省政府采购信用管理暂行办法》的规定，</w:t>
      </w:r>
      <w:r>
        <w:rPr>
          <w:rFonts w:hint="eastAsia" w:ascii="宋体" w:hAnsi="宋体"/>
          <w:bCs/>
          <w:color w:val="auto"/>
          <w:sz w:val="24"/>
          <w:highlight w:val="none"/>
        </w:rPr>
        <w:t xml:space="preserve">投标人</w:t>
      </w:r>
      <w:r>
        <w:rPr>
          <w:rFonts w:ascii="宋体" w:hAnsi="宋体"/>
          <w:bCs/>
          <w:color w:val="auto"/>
          <w:sz w:val="24"/>
          <w:highlight w:val="none"/>
        </w:rPr>
        <w:t xml:space="preserve">信用评价结果为三星的扣2分，评价结果为二星的扣3分，评价结果为一星的扣4分。</w:t>
      </w:r>
      <w:r/>
    </w:p>
    <w:p>
      <w:pPr>
        <w:ind w:firstLine="482"/>
        <w:jc w:val="both"/>
        <w:keepLines w:val="0"/>
        <w:keepNext w:val="0"/>
        <w:pageBreakBefore w:val="0"/>
        <w:spacing w:line="360" w:lineRule="auto"/>
        <w:widowControl w:val="off"/>
        <w:rPr>
          <w:rFonts w:ascii="宋体" w:hAnsi="宋体"/>
          <w:b/>
          <w:bCs w:val="0"/>
          <w:color w:val="auto"/>
          <w:sz w:val="24"/>
          <w:highlight w:val="none"/>
          <w:u w:val="single"/>
        </w:rPr>
      </w:pPr>
      <w:r>
        <w:rPr>
          <w:rFonts w:hint="eastAsia" w:ascii="宋体" w:hAnsi="宋体"/>
          <w:b/>
          <w:bCs w:val="0"/>
          <w:color w:val="auto"/>
          <w:sz w:val="24"/>
          <w:highlight w:val="none"/>
          <w:u w:val="single"/>
        </w:rPr>
        <w:t xml:space="preserve">8、专门面向中小企业采购的项目或者采购包，不再执行价格评审优惠的扶持政策。</w:t>
      </w:r>
      <w:r/>
    </w:p>
    <w:p>
      <w:pPr>
        <w:ind w:firstLine="482"/>
        <w:jc w:val="both"/>
        <w:keepLines w:val="0"/>
        <w:keepNext w:val="0"/>
        <w:pageBreakBefore w:val="0"/>
        <w:spacing w:line="360" w:lineRule="auto"/>
        <w:widowControl w:val="off"/>
        <w:rPr>
          <w:rFonts w:ascii="宋体" w:hAnsi="宋体"/>
          <w:bCs/>
          <w:color w:val="auto"/>
          <w:sz w:val="24"/>
          <w:highlight w:val="none"/>
        </w:rPr>
      </w:pPr>
      <w:r>
        <w:rPr>
          <w:rFonts w:ascii="宋体" w:hAnsi="宋体"/>
          <w:b/>
          <w:color w:val="auto"/>
          <w:sz w:val="24"/>
          <w:highlight w:val="none"/>
        </w:rPr>
        <w:t xml:space="preserve">（六）中标人的确定</w:t>
      </w:r>
      <w:r/>
    </w:p>
    <w:p>
      <w:pPr>
        <w:ind w:firstLine="480"/>
        <w:jc w:val="both"/>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评委会汇总各评委评分后，按照</w:t>
      </w:r>
      <w:r>
        <w:rPr>
          <w:rFonts w:hint="eastAsia" w:ascii="宋体" w:hAnsi="宋体"/>
          <w:color w:val="auto"/>
          <w:sz w:val="24"/>
          <w:highlight w:val="none"/>
        </w:rPr>
        <w:t xml:space="preserve">总</w:t>
      </w:r>
      <w:r>
        <w:rPr>
          <w:rFonts w:ascii="宋体" w:hAnsi="宋体"/>
          <w:color w:val="auto"/>
          <w:sz w:val="24"/>
          <w:highlight w:val="none"/>
        </w:rPr>
        <w:t xml:space="preserve">得分从高到低的顺序推荐三名中标候选人，并编写评标报告。</w:t>
      </w:r>
      <w:r/>
    </w:p>
    <w:p>
      <w:pPr>
        <w:ind w:firstLine="480"/>
        <w:jc w:val="both"/>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采购人委托评标委员会直接确定</w:t>
      </w:r>
      <w:r>
        <w:rPr>
          <w:rFonts w:hint="eastAsia" w:ascii="宋体" w:hAnsi="宋体"/>
          <w:color w:val="auto"/>
          <w:sz w:val="24"/>
          <w:highlight w:val="none"/>
        </w:rPr>
        <w:t xml:space="preserve">中标人。</w:t>
      </w:r>
      <w:r>
        <w:rPr>
          <w:rFonts w:ascii="宋体" w:hAnsi="宋体"/>
          <w:color w:val="auto"/>
          <w:sz w:val="24"/>
          <w:highlight w:val="none"/>
        </w:rPr>
        <w:t xml:space="preserve"> </w:t>
      </w:r>
      <w:r/>
    </w:p>
    <w:p>
      <w:pPr>
        <w:ind w:firstLine="482"/>
        <w:jc w:val="both"/>
        <w:keepLines w:val="0"/>
        <w:keepNext w:val="0"/>
        <w:pageBreakBefore w:val="0"/>
        <w:spacing w:line="360" w:lineRule="auto"/>
        <w:widowControl w:val="off"/>
        <w:rPr>
          <w:rFonts w:ascii="宋体" w:hAnsi="宋体"/>
          <w:b/>
          <w:color w:val="auto"/>
          <w:sz w:val="24"/>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七</w:t>
      </w:r>
      <w:r>
        <w:rPr>
          <w:rFonts w:ascii="宋体" w:hAnsi="宋体"/>
          <w:b/>
          <w:color w:val="auto"/>
          <w:sz w:val="24"/>
          <w:highlight w:val="none"/>
        </w:rPr>
        <w:t xml:space="preserve">）公告中标结果</w:t>
      </w:r>
      <w:r/>
    </w:p>
    <w:p>
      <w:pPr>
        <w:ind w:firstLine="480"/>
        <w:jc w:val="both"/>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自确定中标人之日起2个工作日内，在江苏政府采购网公告中标结果，公告期限为1个工作日。</w:t>
      </w:r>
      <w:r/>
    </w:p>
    <w:p>
      <w:pPr>
        <w:ind w:firstLine="482"/>
        <w:jc w:val="both"/>
        <w:keepLines w:val="0"/>
        <w:keepNext w:val="0"/>
        <w:pageBreakBefore w:val="0"/>
        <w:spacing w:line="360" w:lineRule="auto"/>
        <w:widowControl w:val="off"/>
        <w:rPr>
          <w:rFonts w:ascii="宋体" w:hAnsi="宋体"/>
          <w:b/>
          <w:bCs/>
          <w:color w:val="auto"/>
          <w:sz w:val="24"/>
          <w:highlight w:val="none"/>
        </w:rPr>
      </w:pPr>
      <w:r>
        <w:rPr>
          <w:rFonts w:ascii="宋体" w:hAnsi="宋体"/>
          <w:b/>
          <w:color w:val="auto"/>
          <w:sz w:val="24"/>
          <w:highlight w:val="none"/>
        </w:rPr>
        <w:t xml:space="preserve">（</w:t>
      </w:r>
      <w:r>
        <w:rPr>
          <w:rFonts w:hint="eastAsia" w:ascii="宋体" w:hAnsi="宋体"/>
          <w:b/>
          <w:bCs/>
          <w:color w:val="auto"/>
          <w:sz w:val="24"/>
          <w:highlight w:val="none"/>
        </w:rPr>
        <w:t xml:space="preserve">八</w:t>
      </w:r>
      <w:r>
        <w:rPr>
          <w:rFonts w:ascii="宋体" w:hAnsi="宋体"/>
          <w:b/>
          <w:color w:val="auto"/>
          <w:sz w:val="24"/>
          <w:highlight w:val="none"/>
        </w:rPr>
        <w:t xml:space="preserve">）</w:t>
      </w:r>
      <w:r>
        <w:rPr>
          <w:rFonts w:ascii="宋体" w:hAnsi="宋体"/>
          <w:b/>
          <w:bCs/>
          <w:color w:val="auto"/>
          <w:sz w:val="24"/>
          <w:highlight w:val="none"/>
        </w:rPr>
        <w:t xml:space="preserve">发放中标通知书</w:t>
      </w:r>
      <w:r/>
    </w:p>
    <w:p>
      <w:pPr>
        <w:ind w:firstLine="480"/>
        <w:jc w:val="both"/>
        <w:keepLines w:val="0"/>
        <w:keepNext w:val="0"/>
        <w:pageBreakBefore w:val="0"/>
        <w:spacing w:line="360" w:lineRule="auto"/>
        <w:widowControl w:val="off"/>
        <w:rPr>
          <w:rFonts w:ascii="宋体" w:hAnsi="宋体"/>
          <w:bCs/>
          <w:color w:val="auto"/>
          <w:sz w:val="24"/>
          <w:highlight w:val="none"/>
        </w:rPr>
      </w:pPr>
      <w:r>
        <w:rPr>
          <w:rFonts w:ascii="宋体" w:hAnsi="宋体"/>
          <w:color w:val="auto"/>
          <w:sz w:val="24"/>
          <w:highlight w:val="none"/>
        </w:rPr>
        <w:t xml:space="preserve">公告中标结果的同时，</w:t>
      </w:r>
      <w:r>
        <w:rPr>
          <w:rFonts w:hint="eastAsia" w:ascii="宋体" w:hAnsi="宋体" w:cs="宋体"/>
          <w:color w:val="auto"/>
          <w:sz w:val="24"/>
          <w:highlight w:val="none"/>
        </w:rPr>
        <w:t xml:space="preserve">采购人或采购代理机构</w:t>
      </w:r>
      <w:r>
        <w:rPr>
          <w:rFonts w:ascii="宋体" w:hAnsi="宋体"/>
          <w:bCs/>
          <w:color w:val="auto"/>
          <w:sz w:val="24"/>
          <w:highlight w:val="none"/>
        </w:rPr>
        <w:t xml:space="preserve">向中标</w:t>
      </w:r>
      <w:r>
        <w:rPr>
          <w:rFonts w:hint="eastAsia" w:ascii="宋体" w:hAnsi="宋体"/>
          <w:bCs/>
          <w:color w:val="auto"/>
          <w:sz w:val="24"/>
          <w:highlight w:val="none"/>
        </w:rPr>
        <w:t xml:space="preserve">人</w:t>
      </w:r>
      <w:r>
        <w:rPr>
          <w:rFonts w:ascii="宋体" w:hAnsi="宋体"/>
          <w:bCs/>
          <w:color w:val="auto"/>
          <w:sz w:val="24"/>
          <w:highlight w:val="none"/>
        </w:rPr>
        <w:t xml:space="preserve">发放中标通知书。</w:t>
      </w:r>
      <w:r/>
    </w:p>
    <w:p>
      <w:pPr>
        <w:ind w:firstLine="480"/>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keepLines w:val="0"/>
        <w:keepNext w:val="0"/>
        <w:pageBreakBefore w:val="0"/>
        <w:spacing w:line="360" w:lineRule="auto"/>
        <w:widowControl w:val="off"/>
        <w:rPr>
          <w:rFonts w:ascii="宋体" w:hAnsi="宋体"/>
          <w:color w:val="auto"/>
          <w:sz w:val="28"/>
          <w:szCs w:val="28"/>
          <w:highlight w:val="none"/>
        </w:rPr>
      </w:pPr>
      <w:r>
        <w:rPr>
          <w:rFonts w:ascii="宋体" w:hAnsi="宋体"/>
          <w:color w:val="auto"/>
          <w:sz w:val="24"/>
          <w:highlight w:val="none"/>
        </w:rPr>
        <w:t xml:space="preserve">中标通知书发出后，采购人不得违法改变中标结果，中标</w:t>
      </w:r>
      <w:r>
        <w:rPr>
          <w:rFonts w:hint="eastAsia" w:ascii="宋体" w:hAnsi="宋体"/>
          <w:color w:val="auto"/>
          <w:sz w:val="24"/>
          <w:highlight w:val="none"/>
        </w:rPr>
        <w:t xml:space="preserve">人</w:t>
      </w:r>
      <w:r>
        <w:rPr>
          <w:rFonts w:ascii="宋体" w:hAnsi="宋体"/>
          <w:color w:val="auto"/>
          <w:sz w:val="24"/>
          <w:highlight w:val="none"/>
        </w:rPr>
        <w:t xml:space="preserve">无正当理由不得放弃中标。</w:t>
      </w:r>
      <w:r/>
    </w:p>
    <w:p>
      <w:pPr>
        <w:jc w:val="center"/>
        <w:spacing w:before="156" w:after="156" w:line="360" w:lineRule="auto"/>
        <w:rPr>
          <w:rFonts w:ascii="宋体" w:hAnsi="宋体"/>
          <w:bCs/>
          <w:color w:val="auto"/>
          <w:sz w:val="36"/>
          <w:szCs w:val="36"/>
          <w:highlight w:val="none"/>
        </w:rPr>
        <w:outlineLvl w:val="0"/>
      </w:pPr>
      <w:r>
        <w:rPr>
          <w:rFonts w:hint="eastAsia" w:ascii="宋体" w:hAnsi="宋体"/>
          <w:bCs/>
          <w:color w:val="auto"/>
          <w:sz w:val="36"/>
          <w:szCs w:val="36"/>
          <w:highlight w:val="none"/>
        </w:rPr>
        <w:t xml:space="preserve">第六部分  投标文件格式</w:t>
      </w:r>
      <w:r/>
    </w:p>
    <w:p>
      <w:pPr>
        <w:ind w:firstLine="482"/>
        <w:jc w:val="both"/>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eastAsia="宋体" w:cs="宋体"/>
          <w:b/>
          <w:color w:val="auto"/>
          <w:sz w:val="24"/>
          <w:szCs w:val="24"/>
          <w:highlight w:val="none"/>
        </w:rPr>
        <w:t xml:space="preserve">一、资格审查证明材料</w:t>
      </w:r>
      <w:r/>
    </w:p>
    <w:p>
      <w:pPr>
        <w:ind w:firstLine="480"/>
        <w:jc w:val="both"/>
        <w:keepLines w:val="0"/>
        <w:keepNext w:val="0"/>
        <w:pageBreakBefore w:val="0"/>
        <w:spacing w:line="360" w:lineRule="auto"/>
        <w:widowControl w:val="off"/>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投标人符合《政府采购法》第二十二条规定条件的声明函</w:t>
      </w:r>
      <w:r>
        <w:rPr>
          <w:rFonts w:hint="eastAsia" w:ascii="宋体" w:hAnsi="宋体" w:cs="宋体"/>
          <w:bCs/>
          <w:color w:val="auto"/>
          <w:sz w:val="24"/>
          <w:szCs w:val="24"/>
          <w:highlight w:val="none"/>
          <w:lang w:val="zh-CN"/>
        </w:rPr>
        <w:t xml:space="preserve">（格式见附件1）；</w:t>
      </w:r>
      <w:r/>
    </w:p>
    <w:p>
      <w:pPr>
        <w:ind w:firstLine="480"/>
        <w:jc w:val="both"/>
        <w:keepLines w:val="0"/>
        <w:keepNext w:val="0"/>
        <w:pageBreakBefore w:val="0"/>
        <w:spacing w:line="360" w:lineRule="auto"/>
        <w:widowControl w:val="off"/>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2.法定代表人身份证明，法定代表人的身份证复印件并加盖单位公章（格式见附件2）；</w:t>
      </w:r>
      <w:r/>
    </w:p>
    <w:p>
      <w:pPr>
        <w:ind w:firstLine="480"/>
        <w:jc w:val="both"/>
        <w:keepLines w:val="0"/>
        <w:keepNext w:val="0"/>
        <w:pageBreakBefore w:val="0"/>
        <w:spacing w:line="360" w:lineRule="auto"/>
        <w:widowControl w:val="off"/>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3.法定代表人授权委托书，代理人(被授权人)身份证复印件</w:t>
      </w:r>
      <w:r>
        <w:rPr>
          <w:rFonts w:hint="eastAsia" w:ascii="宋体" w:hAnsi="宋体" w:cs="宋体"/>
          <w:bCs/>
          <w:color w:val="auto"/>
          <w:sz w:val="24"/>
          <w:szCs w:val="24"/>
          <w:highlight w:val="none"/>
        </w:rPr>
        <w:t xml:space="preserve">并加盖单位</w:t>
      </w:r>
      <w:r>
        <w:rPr>
          <w:rFonts w:hint="eastAsia" w:ascii="宋体" w:hAnsi="宋体" w:cs="宋体"/>
          <w:bCs/>
          <w:color w:val="auto"/>
          <w:sz w:val="24"/>
          <w:szCs w:val="24"/>
          <w:highlight w:val="none"/>
          <w:lang w:val="zh-CN"/>
        </w:rPr>
        <w:t xml:space="preserve">公章（格式见附件3）；</w:t>
      </w:r>
      <w:r/>
    </w:p>
    <w:p>
      <w:pPr>
        <w:ind w:firstLine="480"/>
        <w:jc w:val="both"/>
        <w:keepLines w:val="0"/>
        <w:keepNext w:val="0"/>
        <w:pageBreakBefore w:val="0"/>
        <w:spacing w:line="360" w:lineRule="auto"/>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4.具有有效的法人或者其他组织的营业执照等证明文件；</w:t>
      </w:r>
      <w:r/>
    </w:p>
    <w:p>
      <w:pPr>
        <w:ind w:firstLine="480"/>
        <w:jc w:val="both"/>
        <w:keepLines w:val="0"/>
        <w:keepNext w:val="0"/>
        <w:pageBreakBefore w:val="0"/>
        <w:spacing w:line="360" w:lineRule="auto"/>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5.经主管部门审批合格的农药经营许可证；</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6.投标文件递交截止时间，</w:t>
      </w:r>
      <w:r>
        <w:rPr>
          <w:rFonts w:hint="eastAsia" w:ascii="宋体" w:hAnsi="宋体" w:eastAsia="宋体" w:cs="Times New Roman"/>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Times New Roman"/>
          <w:b/>
          <w:bCs/>
          <w:color w:val="auto"/>
          <w:sz w:val="24"/>
          <w:szCs w:val="24"/>
          <w:highlight w:val="none"/>
          <w:lang w:eastAsia="zh-CN"/>
        </w:rPr>
        <w:t xml:space="preserve">（无需提供资料，现场核查）</w:t>
      </w:r>
      <w:r/>
    </w:p>
    <w:p>
      <w:pPr>
        <w:ind w:firstLine="480"/>
        <w:jc w:val="both"/>
        <w:keepLines w:val="0"/>
        <w:keepNext w:val="0"/>
        <w:pageBreakBefore w:val="0"/>
        <w:spacing w:line="360" w:lineRule="auto"/>
        <w:widowControl w:val="off"/>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zh-CN"/>
        </w:rPr>
        <w:t xml:space="preserve">.供应商信用承诺书（格式见附件</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zh-CN"/>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.小型、微型企业声明函（格式见附件</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或</w:t>
      </w:r>
      <w:r>
        <w:rPr>
          <w:rFonts w:hint="eastAsia" w:ascii="宋体" w:hAnsi="宋体" w:cs="宋体"/>
          <w:bCs/>
          <w:color w:val="auto"/>
          <w:sz w:val="24"/>
          <w:szCs w:val="24"/>
          <w:highlight w:val="none"/>
        </w:rPr>
        <w:t xml:space="preserve">残疾人福利性单位声明函（格式见附件</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或</w:t>
      </w:r>
      <w:r>
        <w:rPr>
          <w:rFonts w:hint="eastAsia" w:ascii="宋体" w:hAnsi="宋体" w:cs="宋体"/>
          <w:bCs/>
          <w:color w:val="auto"/>
          <w:sz w:val="24"/>
          <w:szCs w:val="24"/>
          <w:highlight w:val="none"/>
        </w:rPr>
        <w:t xml:space="preserve">监狱和戒毒企业证明材料（格式见附件</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、商务技术文件</w:t>
      </w:r>
      <w:r/>
    </w:p>
    <w:p>
      <w:pPr>
        <w:ind w:firstLine="480"/>
        <w:jc w:val="both"/>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商务部分正负偏离表（格式见附件</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zh-CN"/>
        </w:rPr>
        <w:t xml:space="preserve">）；</w:t>
      </w:r>
      <w:r/>
    </w:p>
    <w:p>
      <w:pPr>
        <w:ind w:firstLine="480"/>
        <w:jc w:val="both"/>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技术部分正负偏离表（格式见附件</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zh-CN"/>
        </w:rPr>
        <w:t xml:space="preserve">）；</w:t>
      </w:r>
      <w:r/>
    </w:p>
    <w:p>
      <w:pPr>
        <w:ind w:firstLine="480"/>
        <w:jc w:val="both"/>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商务技术评分标准中须提供的相关得分佐证材料；</w:t>
      </w:r>
      <w:r/>
    </w:p>
    <w:p>
      <w:pPr>
        <w:ind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zh-CN" w:eastAsia="zh-CN"/>
        </w:rPr>
        <w:t xml:space="preserve">为方便评委评审，请投标人按评标办法中所涉及的事项顺序进行编制，可以补充相关材料；</w:t>
      </w:r>
      <w:r/>
    </w:p>
    <w:p>
      <w:pPr>
        <w:ind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zh-CN" w:eastAsia="zh-CN"/>
        </w:rPr>
        <w:t xml:space="preserve">评标办法中未涉及的事项，投标人认为需要提交的其他资料。</w:t>
      </w:r>
      <w:r/>
    </w:p>
    <w:p>
      <w:pPr>
        <w:ind w:firstLine="482"/>
        <w:jc w:val="both"/>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、价格文件</w:t>
      </w:r>
      <w:r/>
    </w:p>
    <w:p>
      <w:pPr>
        <w:pStyle w:val="698"/>
        <w:ind w:firstLine="480"/>
        <w:jc w:val="both"/>
        <w:keepLines w:val="0"/>
        <w:keepNext w:val="0"/>
        <w:pageBreakBefore w:val="0"/>
        <w:spacing w:after="0"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eastAsia"/>
          <w:color w:val="auto"/>
          <w:sz w:val="24"/>
          <w:szCs w:val="24"/>
          <w:highlight w:val="none"/>
        </w:rPr>
        <w:t xml:space="preserve">报价</w:t>
      </w:r>
      <w:r>
        <w:rPr>
          <w:rFonts w:hint="eastAsia"/>
          <w:color w:val="auto"/>
          <w:sz w:val="24"/>
          <w:szCs w:val="24"/>
          <w:highlight w:val="none"/>
          <w:lang w:eastAsia="zh-CN"/>
        </w:rPr>
        <w:t xml:space="preserve">一览表</w:t>
      </w:r>
      <w:r>
        <w:rPr>
          <w:rFonts w:hint="eastAsia" w:ascii="宋体" w:hAnsi="宋体" w:cs="宋体"/>
          <w:bCs/>
          <w:color w:val="auto"/>
          <w:sz w:val="24"/>
          <w:szCs w:val="24"/>
          <w:highlight w:val="none"/>
          <w:lang w:val="zh-CN"/>
        </w:rPr>
        <w:t xml:space="preserve">（格式见附件</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lang w:val="zh-CN"/>
        </w:rPr>
        <w:t xml:space="preserve">）</w:t>
      </w:r>
      <w:r/>
    </w:p>
    <w:p>
      <w:pPr>
        <w:pStyle w:val="698"/>
        <w:ind w:firstLine="480"/>
        <w:jc w:val="both"/>
        <w:keepLines w:val="0"/>
        <w:keepNext w:val="0"/>
        <w:pageBreakBefore w:val="0"/>
        <w:spacing w:after="0"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pStyle w:val="698"/>
        <w:ind w:firstLine="480"/>
        <w:jc w:val="both"/>
        <w:keepLines w:val="0"/>
        <w:keepNext w:val="0"/>
        <w:pageBreakBefore w:val="0"/>
        <w:spacing w:after="0"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pStyle w:val="698"/>
        <w:ind w:firstLine="480"/>
        <w:jc w:val="both"/>
        <w:keepLines w:val="0"/>
        <w:keepNext w:val="0"/>
        <w:pageBreakBefore w:val="0"/>
        <w:spacing w:after="0"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t xml:space="preserve">附件1</w:t>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投标人符合《政府采购法》第二十二条规定条件的声明函</w:t>
      </w:r>
      <w:r/>
    </w:p>
    <w:p>
      <w:pPr>
        <w:spacing w:line="460" w:lineRule="exact"/>
        <w:rPr>
          <w:rFonts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eastAsia="宋体"/>
          <w:b/>
          <w:bCs/>
          <w:color w:val="auto"/>
          <w:sz w:val="24"/>
          <w:highlight w:val="none"/>
          <w:lang w:eastAsia="zh-CN"/>
        </w:rPr>
      </w:pPr>
      <w:r>
        <w:rPr>
          <w:rFonts w:hint="eastAsia" w:ascii="宋体" w:hAnsi="宋体"/>
          <w:bCs/>
          <w:color w:val="auto"/>
          <w:sz w:val="24"/>
          <w:highlight w:val="none"/>
        </w:rPr>
        <w:t xml:space="preserve">我单位参加________________</w:t>
      </w:r>
      <w:r>
        <w:rPr>
          <w:rFonts w:hint="eastAsia" w:ascii="宋体" w:hAnsi="宋体"/>
          <w:bCs/>
          <w:color w:val="auto"/>
          <w:sz w:val="24"/>
          <w:szCs w:val="21"/>
          <w:highlight w:val="none"/>
        </w:rPr>
        <w:t xml:space="preserve">（项目名称），</w:t>
      </w:r>
      <w:r>
        <w:rPr>
          <w:rFonts w:hint="eastAsia" w:ascii="宋体" w:hAnsi="宋体"/>
          <w:bCs/>
          <w:color w:val="auto"/>
          <w:sz w:val="24"/>
          <w:highlight w:val="none"/>
        </w:rPr>
        <w:t xml:space="preserve">________________</w:t>
      </w:r>
      <w:r>
        <w:rPr>
          <w:rFonts w:hint="eastAsia" w:ascii="宋体" w:hAnsi="宋体"/>
          <w:bCs/>
          <w:color w:val="auto"/>
          <w:sz w:val="24"/>
          <w:szCs w:val="21"/>
          <w:highlight w:val="none"/>
        </w:rPr>
        <w:t xml:space="preserve">（项目编号）投标活动。针对《中华人民共和国政府采购法》第二十二条规定做出如下声明</w:t>
      </w:r>
      <w:r>
        <w:rPr>
          <w:rFonts w:hint="eastAsia" w:ascii="宋体" w:hAnsi="宋体"/>
          <w:bCs/>
          <w:color w:val="auto"/>
          <w:sz w:val="24"/>
          <w:szCs w:val="21"/>
          <w:highlight w:val="none"/>
          <w:lang w:eastAsia="zh-CN"/>
        </w:rPr>
        <w:t xml:space="preserve">：</w:t>
      </w:r>
      <w:r/>
    </w:p>
    <w:p>
      <w:pPr>
        <w:ind w:firstLine="482"/>
        <w:spacing w:line="520" w:lineRule="exact"/>
        <w:rPr>
          <w:rFonts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w:t>
      </w:r>
      <w:r/>
    </w:p>
    <w:p>
      <w:pPr>
        <w:spacing w:line="520" w:lineRule="exact"/>
        <w:rPr>
          <w:rFonts w:ascii="宋体" w:hAnsi="宋体"/>
          <w:color w:val="auto"/>
          <w:sz w:val="24"/>
          <w:highlight w:val="none"/>
        </w:rPr>
      </w:pPr>
      <w:r>
        <w:rPr>
          <w:rFonts w:hint="eastAsia" w:ascii="宋体" w:hAnsi="宋体"/>
          <w:color w:val="auto"/>
          <w:sz w:val="24"/>
          <w:highlight w:val="none"/>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.我单位满足法律、行政法规规定的其他条件。</w:t>
      </w:r>
      <w:r/>
    </w:p>
    <w:p>
      <w:pPr>
        <w:ind w:firstLine="482"/>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jc w:val="center"/>
        <w:spacing w:line="460" w:lineRule="exact"/>
        <w:rPr>
          <w:rFonts w:hint="eastAsia" w:ascii="宋体" w:hAnsi="宋体" w:eastAsia="宋体"/>
          <w:bCs/>
          <w:color w:val="auto"/>
          <w:sz w:val="24"/>
          <w:szCs w:val="21"/>
          <w:highlight w:val="none"/>
          <w:lang w:eastAsia="zh-CN"/>
        </w:rPr>
      </w:pPr>
      <w:r>
        <w:rPr>
          <w:rFonts w:hint="eastAsia" w:ascii="宋体" w:hAnsi="宋体"/>
          <w:bCs/>
          <w:color w:val="auto"/>
          <w:sz w:val="24"/>
          <w:szCs w:val="21"/>
          <w:highlight w:val="none"/>
        </w:rPr>
        <w:t xml:space="preserve">                                             承诺人名称（公章）</w:t>
      </w:r>
      <w:r>
        <w:rPr>
          <w:rFonts w:hint="eastAsia" w:ascii="宋体" w:hAnsi="宋体"/>
          <w:bCs/>
          <w:color w:val="auto"/>
          <w:sz w:val="24"/>
          <w:szCs w:val="21"/>
          <w:highlight w:val="none"/>
          <w:lang w:eastAsia="zh-CN"/>
        </w:rPr>
        <w:t xml:space="preserve">：</w:t>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rPr>
          <w:rFonts w:ascii="宋体" w:hAnsi="宋体"/>
          <w:color w:val="auto"/>
          <w:szCs w:val="21"/>
          <w:highlight w:val="none"/>
        </w:rPr>
      </w:pPr>
      <w:r>
        <w:rPr>
          <w:rFonts w:ascii="宋体" w:hAnsi="宋体"/>
          <w:color w:val="auto"/>
          <w:szCs w:val="21"/>
          <w:highlight w:val="none"/>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r>
      <w:r/>
    </w:p>
    <w:p>
      <w:pPr>
        <w:rPr>
          <w:rFonts w:ascii="宋体" w:hAnsi="宋体"/>
          <w:color w:val="auto"/>
          <w:sz w:val="32"/>
          <w:szCs w:val="32"/>
          <w:highlight w:val="none"/>
          <w:lang w:val="zh-CN"/>
        </w:rPr>
      </w:pPr>
      <w:r>
        <w:rPr>
          <w:rFonts w:ascii="宋体" w:hAnsi="宋体"/>
          <w:color w:val="auto"/>
          <w:sz w:val="32"/>
          <w:szCs w:val="32"/>
          <w:highlight w:val="none"/>
          <w:lang w:val="zh-CN"/>
        </w:rPr>
        <w:br w:type="page" w:clear="all"/>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t xml:space="preserve">附件2</w:t>
      </w:r>
      <w:r/>
    </w:p>
    <w:p>
      <w:pPr>
        <w:pStyle w:val="1016"/>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rPr>
        <w:t xml:space="preserve">先生/女士，身份证号码</w:t>
      </w:r>
      <w:r>
        <w:rPr>
          <w:rFonts w:hint="eastAsia" w:ascii="宋体" w:hAnsi="宋体"/>
          <w:color w:val="auto"/>
          <w:sz w:val="24"/>
          <w:highlight w:val="none"/>
          <w:lang w:eastAsia="zh-CN"/>
        </w:rPr>
        <w:t xml:space="preserve">：</w:t>
      </w:r>
      <w:r>
        <w:rPr>
          <w:rFonts w:ascii="宋体" w:hAnsi="宋体"/>
          <w:color w:val="auto"/>
          <w:sz w:val="24"/>
          <w:highlight w:val="none"/>
          <w:u w:val="single"/>
        </w:rPr>
        <w:t xml:space="preserve">        </w:t>
      </w:r>
      <w:r>
        <w:rPr>
          <w:rFonts w:hint="eastAsia" w:ascii="宋体" w:hAnsi="宋体"/>
          <w:color w:val="auto"/>
          <w:sz w:val="24"/>
          <w:highlight w:val="none"/>
        </w:rPr>
        <w:t xml:space="preserve">，</w:t>
      </w:r>
      <w:r>
        <w:rPr>
          <w:rFonts w:ascii="宋体" w:hAnsi="宋体"/>
          <w:color w:val="auto"/>
          <w:sz w:val="24"/>
          <w:highlight w:val="none"/>
        </w:rPr>
        <w:t xml:space="preserve"> </w:t>
      </w:r>
      <w:r>
        <w:rPr>
          <w:rFonts w:hint="eastAsia" w:ascii="宋体" w:hAnsi="宋体"/>
          <w:color w:val="auto"/>
          <w:sz w:val="24"/>
          <w:highlight w:val="none"/>
        </w:rPr>
        <w:t xml:space="preserve">现任我单位</w:t>
      </w:r>
      <w:r>
        <w:rPr>
          <w:rFonts w:ascii="宋体" w:hAnsi="宋体"/>
          <w:color w:val="auto"/>
          <w:sz w:val="24"/>
          <w:highlight w:val="none"/>
          <w:u w:val="single"/>
        </w:rPr>
        <w:t xml:space="preserve">        </w:t>
      </w:r>
      <w:r>
        <w:rPr>
          <w:rFonts w:hint="eastAsia" w:ascii="宋体" w:hAnsi="宋体"/>
          <w:color w:val="auto"/>
          <w:sz w:val="24"/>
          <w:highlight w:val="none"/>
        </w:rPr>
        <w:t xml:space="preserve">职务，为法定代表人，特此证明。</w:t>
      </w:r>
      <w:r/>
    </w:p>
    <w:p>
      <w:pPr>
        <w:jc w:val="left"/>
        <w:spacing w:line="480" w:lineRule="exact"/>
        <w:rPr>
          <w:rFonts w:ascii="宋体" w:hAnsi="宋体"/>
          <w:color w:val="auto"/>
          <w:sz w:val="24"/>
          <w:highlight w:val="none"/>
        </w:rPr>
      </w:pPr>
      <w:r>
        <w:rPr>
          <w:rFonts w:ascii="宋体" w:hAnsi="宋体"/>
          <w:color w:val="auto"/>
          <w:sz w:val="24"/>
          <w:highlight w:val="none"/>
        </w:rPr>
      </w:r>
      <w:r/>
    </w:p>
    <w:p>
      <w:pPr>
        <w:jc w:val="center"/>
        <w:spacing w:before="156" w:after="156" w:line="480" w:lineRule="exact"/>
        <w:rPr>
          <w:rFonts w:ascii="宋体" w:hAnsi="宋体"/>
          <w:bCs/>
          <w:color w:val="auto"/>
          <w:sz w:val="24"/>
          <w:szCs w:val="21"/>
          <w:highlight w:val="none"/>
        </w:rPr>
      </w:pPr>
      <w:r>
        <w:rPr>
          <w:rFonts w:hint="eastAsia" w:ascii="宋体" w:hAnsi="宋体"/>
          <w:color w:val="auto"/>
          <w:sz w:val="24"/>
          <w:highlight w:val="none"/>
        </w:rPr>
        <w:t xml:space="preserve">                        投标人名称（盖公章）</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bCs/>
          <w:color w:val="auto"/>
          <w:sz w:val="24"/>
          <w:szCs w:val="21"/>
          <w:highlight w:val="none"/>
        </w:rPr>
        <w:t xml:space="preserve">                </w:t>
      </w:r>
      <w:r/>
    </w:p>
    <w:p>
      <w:pPr>
        <w:jc w:val="center"/>
        <w:spacing w:before="156" w:after="156" w:line="480" w:lineRule="exact"/>
        <w:rPr>
          <w:rFonts w:ascii="宋体" w:hAnsi="宋体"/>
          <w:color w:val="auto"/>
          <w:sz w:val="24"/>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rPr>
          <w:rFonts w:hint="eastAsia" w:ascii="宋体" w:hAnsi="宋体"/>
          <w:color w:val="auto"/>
          <w:sz w:val="24"/>
          <w:highlight w:val="none"/>
        </w:rPr>
        <w:t xml:space="preserve">  </w:t>
      </w:r>
      <w:r/>
    </w:p>
    <w:p>
      <w:pPr>
        <w:rPr>
          <w:color w:val="auto"/>
          <w:highlight w:val="none"/>
          <w:u w:val="single"/>
        </w:rPr>
      </w:pPr>
      <w:r>
        <w:rPr>
          <w:rFonts w:hint="eastAsia"/>
          <w:color w:val="auto"/>
          <w:highlight w:val="none"/>
        </w:rPr>
        <w:t xml:space="preserve">        </w:t>
      </w:r>
      <w:r/>
    </w:p>
    <w:p>
      <w:pPr>
        <w:pStyle w:val="1070"/>
        <w:spacing w:line="600" w:lineRule="exact"/>
        <w:rPr>
          <w:rFonts w:ascii="宋体" w:hAnsi="宋体"/>
          <w:b/>
          <w:color w:val="auto"/>
          <w:sz w:val="24"/>
          <w:highlight w:val="none"/>
        </w:rPr>
      </w:pPr>
      <w:r>
        <w:rPr>
          <w:rFonts w:hint="eastAsia" w:ascii="宋体" w:hAnsi="宋体"/>
          <w:b/>
          <w:color w:val="auto"/>
          <w:sz w:val="24"/>
          <w:highlight w:val="none"/>
        </w:rPr>
        <w:t xml:space="preserve">附</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提供法定代表人的身份证复印件并加盖单位公章</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highlight w:val="none"/>
        </w:rPr>
      </w:pPr>
      <w:r>
        <w:rPr>
          <w:rFonts w:hint="eastAsia" w:ascii="宋体" w:hAnsi="宋体"/>
          <w:color w:val="auto"/>
          <w:highlight w:val="none"/>
        </w:rPr>
        <w:t xml:space="preserve">     </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t xml:space="preserve">附件3</w:t>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法定代表人授权委托书</w:t>
      </w:r>
      <w:r/>
    </w:p>
    <w:p>
      <w:pPr>
        <w:rPr>
          <w:rFonts w:ascii="宋体" w:hAnsi="宋体"/>
          <w:color w:val="auto"/>
          <w:sz w:val="32"/>
          <w:szCs w:val="32"/>
          <w:highlight w:val="none"/>
        </w:rPr>
      </w:pPr>
      <w:r>
        <w:rPr>
          <w:rFonts w:ascii="宋体" w:hAnsi="宋体"/>
          <w:color w:val="auto"/>
          <w:sz w:val="32"/>
          <w:szCs w:val="32"/>
          <w:highlight w:val="none"/>
        </w:rPr>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（姓名）系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（授权单位名称）的法定代表人，现委托</w:t>
      </w:r>
      <w:r/>
    </w:p>
    <w:p>
      <w:pPr>
        <w:rPr>
          <w:rFonts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（姓名）（身份证号</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）为我方代理人，以我方名义全权处理与</w:t>
      </w:r>
      <w:r/>
    </w:p>
    <w:p>
      <w:pPr>
        <w:rPr>
          <w:rFonts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采购项目（项目编号</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）有关的一切事务，其法律后果由我方承担。</w:t>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日起生效。代理人无转委托权。</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代理人(被授权人)</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u w:val="single"/>
        </w:rPr>
        <w:t xml:space="preserve">     </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授权单位名称（盖章）</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u w:val="single"/>
        </w:rPr>
        <w:t xml:space="preserve">     </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授权单位法定代表人（签字或盖章）</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u w:val="single"/>
        </w:rPr>
        <w:t xml:space="preserve">     </w:t>
      </w:r>
      <w:r/>
    </w:p>
    <w:p>
      <w:pPr>
        <w:jc w:val="right"/>
        <w:rPr>
          <w:rFonts w:ascii="宋体" w:hAnsi="宋体"/>
          <w:color w:val="auto"/>
          <w:sz w:val="28"/>
          <w:szCs w:val="28"/>
          <w:highlight w:val="none"/>
        </w:rPr>
      </w:pPr>
      <w:r>
        <w:rPr>
          <w:rFonts w:ascii="宋体" w:hAnsi="宋体"/>
          <w:color w:val="auto"/>
          <w:sz w:val="28"/>
          <w:szCs w:val="28"/>
          <w:highlight w:val="none"/>
        </w:rPr>
      </w:r>
      <w:r/>
    </w:p>
    <w:p>
      <w:pPr>
        <w:jc w:val="right"/>
        <w:rPr>
          <w:rFonts w:ascii="宋体" w:hAnsi="宋体"/>
          <w:color w:val="auto"/>
          <w:sz w:val="28"/>
          <w:szCs w:val="28"/>
          <w:highlight w:val="none"/>
        </w:rPr>
      </w:pPr>
      <w:r>
        <w:rPr>
          <w:rFonts w:hint="eastAsia" w:ascii="宋体" w:hAnsi="宋体"/>
          <w:color w:val="auto"/>
          <w:sz w:val="28"/>
          <w:szCs w:val="28"/>
          <w:highlight w:val="none"/>
        </w:rPr>
        <w:t xml:space="preserve">XXXX年XX月XX日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附</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提供代理人(被授权人)身份证复印件盖公章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rPr>
        <w:t xml:space="preserve">附件4</w:t>
      </w:r>
      <w:r/>
    </w:p>
    <w:p>
      <w:pPr>
        <w:jc w:val="center"/>
        <w:spacing w:before="240" w:line="312" w:lineRule="auto"/>
        <w:rPr>
          <w:rFonts w:ascii="宋体" w:hAnsi="宋体" w:cs="宋体"/>
          <w:b/>
          <w:color w:val="auto"/>
          <w:sz w:val="32"/>
          <w:szCs w:val="32"/>
          <w:highlight w:val="none"/>
          <w:lang w:bidi="ar"/>
        </w:rPr>
      </w:pPr>
      <w:r>
        <w:rPr>
          <w:rFonts w:hint="eastAsia" w:ascii="宋体" w:hAnsi="宋体" w:cs="宋体"/>
          <w:b/>
          <w:color w:val="auto"/>
          <w:sz w:val="32"/>
          <w:szCs w:val="32"/>
          <w:highlight w:val="none"/>
          <w:lang w:bidi="ar"/>
        </w:rPr>
        <w:t xml:space="preserve">供应商信用承诺书</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七、上述承诺已向本单位员工作了宣传教育；</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ind w:firstLine="4560"/>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2640"/>
        <w:jc w:val="center"/>
        <w:spacing w:line="360" w:lineRule="auto"/>
        <w:rPr>
          <w:rFonts w:ascii="宋体" w:hAnsi="宋体" w:cs="宋体"/>
          <w:color w:val="auto"/>
          <w:sz w:val="24"/>
          <w:highlight w:val="none"/>
          <w:u w:val="single"/>
          <w:lang w:val="zh-CN"/>
        </w:rPr>
      </w:pPr>
      <w:r>
        <w:rPr>
          <w:rFonts w:hint="eastAsia" w:ascii="宋体" w:hAnsi="宋体" w:cs="宋体"/>
          <w:color w:val="auto"/>
          <w:sz w:val="24"/>
          <w:highlight w:val="none"/>
          <w:lang w:bidi="ar"/>
        </w:rPr>
        <w:t xml:space="preserve"> </w:t>
      </w:r>
      <w:r>
        <w:rPr>
          <w:rFonts w:hint="eastAsia" w:ascii="宋体" w:hAnsi="宋体" w:cs="宋体"/>
          <w:color w:val="auto"/>
          <w:sz w:val="24"/>
          <w:highlight w:val="none"/>
          <w:lang w:val="zh-CN" w:bidi="ar"/>
        </w:rPr>
        <w:t xml:space="preserve">投标供应商全称(盖公章)：</w:t>
      </w:r>
      <w:r/>
    </w:p>
    <w:p>
      <w:pPr>
        <w:ind w:firstLine="4560"/>
        <w:spacing w:line="360" w:lineRule="auto"/>
        <w:rPr>
          <w:rFonts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firstLine="456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时间：  年  月   日</w:t>
      </w:r>
      <w:r/>
    </w:p>
    <w:p>
      <w:pPr>
        <w:contextualSpacing/>
        <w:spacing w:line="300" w:lineRule="auto"/>
        <w:rPr>
          <w:rFonts w:ascii="宋体" w:hAnsi="宋体"/>
          <w:color w:val="auto"/>
          <w:sz w:val="28"/>
          <w:szCs w:val="28"/>
          <w:highlight w:val="none"/>
        </w:rPr>
      </w:pPr>
      <w:r>
        <w:rPr>
          <w:rFonts w:ascii="宋体" w:hAnsi="宋体"/>
          <w:color w:val="auto"/>
          <w:sz w:val="28"/>
          <w:szCs w:val="28"/>
          <w:highlight w:val="none"/>
        </w:rPr>
      </w:r>
      <w:r/>
    </w:p>
    <w:p>
      <w:pPr>
        <w:contextualSpacing/>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300" w:lineRule="auto"/>
        <w:rPr>
          <w:rFonts w:hint="eastAsia" w:ascii="宋体" w:hAnsi="宋体" w:eastAsia="宋体"/>
          <w:color w:val="auto"/>
          <w:sz w:val="32"/>
          <w:szCs w:val="32"/>
          <w:highlight w:val="none"/>
          <w:lang w:eastAsia="zh-CN"/>
        </w:rPr>
        <w:outlineLvl w:val="0"/>
      </w:pPr>
      <w:r>
        <w:rPr>
          <w:rFonts w:ascii="宋体" w:hAnsi="宋体"/>
          <w:color w:val="auto"/>
          <w:sz w:val="32"/>
          <w:szCs w:val="32"/>
          <w:highlight w:val="none"/>
        </w:rPr>
        <w:br w:type="page" w:clear="all"/>
      </w: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5</w:t>
      </w:r>
      <w:r/>
    </w:p>
    <w:p>
      <w:pPr>
        <w:jc w:val="center"/>
        <w:spacing w:line="300" w:lineRule="auto"/>
        <w:rPr>
          <w:b/>
          <w:bCs/>
          <w:sz w:val="32"/>
          <w:szCs w:val="32"/>
          <w:lang w:bidi="zh-CN"/>
        </w:rPr>
        <w:outlineLvl w:val="0"/>
      </w:pPr>
      <w:r>
        <w:rPr>
          <w:b/>
          <w:bCs/>
          <w:sz w:val="32"/>
          <w:szCs w:val="32"/>
          <w:lang w:bidi="zh-CN"/>
        </w:rPr>
        <w:t xml:space="preserve">中小企业声明函（服务）</w:t>
      </w:r>
      <w:r/>
    </w:p>
    <w:p>
      <w:pPr>
        <w:ind w:firstLine="560"/>
        <w:keepLines w:val="0"/>
        <w:keepNext w:val="0"/>
        <w:pageBreakBefore w:val="0"/>
        <w:spacing w:before="181"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lang w:val="en-US" w:bidi="zh-CN"/>
        </w:rPr>
        <w:t xml:space="preserve"> </w:t>
      </w:r>
      <w:r>
        <w:rPr>
          <w:rFonts w:hint="eastAsia" w:ascii="宋体" w:hAnsi="宋体" w:eastAsia="宋体" w:cs="宋体"/>
          <w:sz w:val="28"/>
          <w:szCs w:val="28"/>
          <w:u w:val="single"/>
          <w:lang w:val="en-US" w:bidi="zh-CN"/>
        </w:rPr>
        <w:t xml:space="preserve"> 南通市通州区三余镇人民政府</w:t>
      </w:r>
      <w:r>
        <w:rPr>
          <w:rFonts w:hint="eastAsia" w:ascii="宋体" w:hAnsi="宋体" w:eastAsia="宋体" w:cs="宋体"/>
          <w:sz w:val="28"/>
          <w:szCs w:val="28"/>
          <w:u w:val="single"/>
          <w:lang w:bidi="zh-CN"/>
        </w:rPr>
        <w:t xml:space="preserve">（单位名称）</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val="en-US" w:eastAsia="zh-CN" w:bidi="zh-CN"/>
        </w:rPr>
        <w:t xml:space="preserve">通州湾示范区农药包装废弃物、废旧地膜回收、农药零差率统一配供服务项目</w:t>
      </w:r>
      <w:r>
        <w:rPr>
          <w:rFonts w:hint="eastAsia" w:ascii="宋体" w:hAnsi="宋体" w:eastAsia="宋体" w:cs="宋体"/>
          <w:sz w:val="28"/>
          <w:szCs w:val="28"/>
          <w:u w:val="single"/>
          <w:lang w:bidi="zh-CN"/>
        </w:rPr>
        <w:t xml:space="preserve">（项目名称）</w:t>
      </w:r>
      <w:r>
        <w:rPr>
          <w:rFonts w:hint="eastAsia" w:ascii="宋体" w:hAnsi="宋体" w:eastAsia="宋体" w:cs="宋体"/>
          <w:sz w:val="28"/>
          <w:szCs w:val="28"/>
          <w:lang w:bidi="zh-CN"/>
        </w:rPr>
        <w:t xml:space="preserve">采购活动，服务全部由符合政策要求的中小企业承接。相关企业的具体情况如下：</w:t>
      </w:r>
      <w:r/>
    </w:p>
    <w:p>
      <w:pPr>
        <w:numPr>
          <w:ilvl w:val="0"/>
          <w:numId w:val="3"/>
        </w:numPr>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val="en-US" w:eastAsia="zh-CN" w:bidi="zh-CN"/>
        </w:rPr>
        <w:t xml:space="preserve">通州湾示范区农药包装废弃物、废旧地膜回收、农药零差率统一配供服务项目</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val="en-US" w:eastAsia="zh-CN" w:bidi="zh-CN"/>
        </w:rPr>
        <w:t xml:space="preserve">其他未列明行业</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w:t>
      </w:r>
      <w:r>
        <w:rPr>
          <w:rFonts w:hint="eastAsia" w:ascii="宋体" w:hAnsi="宋体" w:eastAsia="宋体" w:cs="宋体"/>
          <w:sz w:val="28"/>
          <w:szCs w:val="28"/>
          <w:u w:val="non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non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cs="宋体"/>
          <w:color w:val="auto"/>
          <w:sz w:val="36"/>
          <w:szCs w:val="36"/>
          <w:highlight w:val="none"/>
        </w:rPr>
        <w:outlineLvl w:val="0"/>
      </w:pPr>
      <w:r>
        <w:rPr>
          <w:rFonts w:hint="eastAsia" w:ascii="宋体" w:hAnsi="宋体" w:cs="宋体"/>
          <w:color w:val="auto"/>
          <w:sz w:val="36"/>
          <w:szCs w:val="36"/>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lang w:eastAsia="zh-CN"/>
        </w:rPr>
      </w:r>
      <w:r/>
    </w:p>
    <w:p>
      <w:pPr>
        <w:ind w:left="0" w:right="0" w:firstLine="0"/>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w:t>
      </w:r>
      <w:r>
        <w:rPr>
          <w:rFonts w:hint="eastAsia" w:ascii="宋体" w:hAnsi="宋体" w:cs="宋体"/>
          <w:color w:val="auto"/>
          <w:sz w:val="21"/>
          <w:highlight w:val="none"/>
          <w:lang w:eastAsia="zh-CN"/>
        </w:rPr>
        <w:t xml:space="preserve">：</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1.从业人员、营业收入、资产总额填报上一年度数据，无上一年度数据的新成立企业可不填报。 </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color w:val="auto"/>
          <w:sz w:val="32"/>
          <w:szCs w:val="32"/>
          <w:highlight w:val="none"/>
        </w:rPr>
      </w:pPr>
      <w:r>
        <w:rPr>
          <w:rFonts w:ascii="宋体" w:hAnsi="宋体"/>
          <w:color w:val="auto"/>
          <w:sz w:val="32"/>
          <w:szCs w:val="32"/>
          <w:highlight w:val="none"/>
        </w:rPr>
        <w:br w:type="page" w:clear="all"/>
      </w:r>
      <w:r/>
    </w:p>
    <w:p>
      <w:pPr>
        <w:spacing w:line="300" w:lineRule="auto"/>
        <w:rPr>
          <w:rFonts w:hint="eastAsia" w:ascii="宋体" w:hAnsi="宋体" w:eastAsia="宋体"/>
          <w:color w:val="auto"/>
          <w:sz w:val="32"/>
          <w:szCs w:val="32"/>
          <w:highlight w:val="none"/>
          <w:lang w:eastAsia="zh-CN"/>
        </w:rPr>
        <w:outlineLvl w:val="0"/>
      </w:pP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6</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单位的项目编号为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项目采购活动由本单位提供服务。</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60"/>
        <w:jc w:val="center"/>
        <w:spacing w:line="588" w:lineRule="exact"/>
        <w:tabs>
          <w:tab w:val="left" w:pos="4860" w:leader="none"/>
        </w:tabs>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                            供应商全称（</w:t>
      </w:r>
      <w:r>
        <w:rPr>
          <w:rFonts w:hint="eastAsia" w:ascii="宋体" w:hAnsi="宋体"/>
          <w:color w:val="auto"/>
          <w:sz w:val="28"/>
          <w:szCs w:val="28"/>
          <w:highlight w:val="none"/>
          <w:lang w:eastAsia="zh-CN"/>
        </w:rPr>
        <w:t xml:space="preserve">盖公章</w:t>
      </w:r>
      <w:r>
        <w:rPr>
          <w:rFonts w:hint="eastAsia" w:ascii="宋体" w:hAnsi="宋体"/>
          <w:color w:val="auto"/>
          <w:sz w:val="28"/>
          <w:szCs w:val="28"/>
          <w:highlight w:val="none"/>
        </w:rPr>
        <w:t xml:space="preserve">）</w:t>
      </w:r>
      <w:r>
        <w:rPr>
          <w:rFonts w:hint="eastAsia" w:ascii="宋体" w:hAnsi="宋体"/>
          <w:color w:val="auto"/>
          <w:sz w:val="28"/>
          <w:szCs w:val="28"/>
          <w:highlight w:val="none"/>
          <w:lang w:eastAsia="zh-CN"/>
        </w:rPr>
        <w:t xml:space="preserve">：</w:t>
      </w:r>
      <w:r/>
    </w:p>
    <w:p>
      <w:pPr>
        <w:ind w:right="1560" w:firstLine="560"/>
        <w:jc w:val="center"/>
        <w:spacing w:line="588" w:lineRule="exact"/>
        <w:tabs>
          <w:tab w:val="left" w:pos="4860" w:leader="none"/>
        </w:tabs>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                       日  期</w:t>
      </w:r>
      <w:r>
        <w:rPr>
          <w:rFonts w:hint="eastAsia" w:ascii="宋体" w:hAnsi="宋体"/>
          <w:color w:val="auto"/>
          <w:sz w:val="28"/>
          <w:szCs w:val="28"/>
          <w:highlight w:val="none"/>
          <w:lang w:eastAsia="zh-CN"/>
        </w:rPr>
        <w:t xml:space="preserve">：</w:t>
      </w:r>
      <w:r/>
    </w:p>
    <w:p>
      <w:pPr>
        <w:pStyle w:val="698"/>
        <w:ind w:firstLine="292"/>
        <w:rPr>
          <w:rFonts w:ascii="宋体" w:hAnsi="宋体"/>
          <w:color w:val="auto"/>
          <w:spacing w:val="6"/>
          <w:sz w:val="28"/>
          <w:szCs w:val="28"/>
          <w:highlight w:val="none"/>
        </w:rPr>
      </w:pPr>
      <w:r>
        <w:rPr>
          <w:rFonts w:ascii="宋体" w:hAnsi="宋体"/>
          <w:color w:val="auto"/>
          <w:spacing w:val="6"/>
          <w:sz w:val="28"/>
          <w:szCs w:val="28"/>
          <w:highlight w:val="none"/>
        </w:rPr>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w:t>
      </w:r>
      <w:r/>
    </w:p>
    <w:p>
      <w:pPr>
        <w:ind w:firstLine="420"/>
        <w:jc w:val="left"/>
        <w:spacing w:line="360" w:lineRule="auto"/>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ascii="仿宋_GB2312" w:eastAsia="仿宋_GB2312"/>
          <w:color w:val="auto"/>
          <w:spacing w:val="6"/>
          <w:szCs w:val="21"/>
          <w:highlight w:val="none"/>
        </w:rPr>
      </w:pPr>
      <w:r>
        <w:rPr>
          <w:rFonts w:hint="eastAsia" w:ascii="宋体" w:hAnsi="宋体" w:cs="宋体"/>
          <w:color w:val="auto"/>
          <w:szCs w:val="21"/>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w:t>
      </w:r>
      <w:r/>
    </w:p>
    <w:p>
      <w:pPr>
        <w:rPr>
          <w:rFonts w:ascii="宋体" w:hAnsi="宋体"/>
          <w:color w:val="auto"/>
          <w:sz w:val="28"/>
          <w:szCs w:val="28"/>
          <w:highlight w:val="none"/>
        </w:rPr>
      </w:pPr>
      <w:r>
        <w:rPr>
          <w:rFonts w:ascii="宋体" w:hAnsi="宋体"/>
          <w:color w:val="auto"/>
          <w:sz w:val="28"/>
          <w:szCs w:val="28"/>
          <w:highlight w:val="none"/>
        </w:rPr>
      </w:r>
      <w:r/>
    </w:p>
    <w:p>
      <w:pPr>
        <w:spacing w:line="300" w:lineRule="auto"/>
        <w:rPr>
          <w:rFonts w:hint="eastAsia" w:ascii="宋体" w:hAnsi="宋体" w:eastAsia="宋体"/>
          <w:color w:val="auto"/>
          <w:sz w:val="32"/>
          <w:szCs w:val="32"/>
          <w:highlight w:val="none"/>
          <w:lang w:eastAsia="zh-CN"/>
        </w:rPr>
        <w:outlineLvl w:val="0"/>
      </w:pPr>
      <w:r>
        <w:rPr>
          <w:rFonts w:ascii="宋体" w:hAnsi="宋体"/>
          <w:color w:val="auto"/>
          <w:sz w:val="32"/>
          <w:szCs w:val="32"/>
          <w:highlight w:val="none"/>
        </w:rPr>
        <w:br w:type="page" w:clear="all"/>
      </w: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7</w:t>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w:t>
      </w:r>
      <w:r/>
    </w:p>
    <w:p>
      <w:pPr>
        <w:ind w:firstLine="420"/>
        <w:jc w:val="left"/>
        <w:spacing w:line="360" w:lineRule="auto"/>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pStyle w:val="698"/>
        <w:ind w:firstLine="240"/>
        <w:rPr>
          <w:color w:val="auto"/>
          <w:highlight w:val="none"/>
          <w:lang w:bidi="zh-CN"/>
        </w:rPr>
      </w:pPr>
      <w:r>
        <w:rPr>
          <w:color w:val="auto"/>
          <w:highlight w:val="none"/>
          <w:lang w:bidi="zh-CN"/>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pStyle w:val="698"/>
        <w:ind w:firstLine="240"/>
        <w:rPr>
          <w:color w:val="auto"/>
          <w:highlight w:val="none"/>
          <w:lang w:bidi="zh-CN"/>
        </w:rPr>
      </w:pPr>
      <w:r>
        <w:rPr>
          <w:color w:val="auto"/>
          <w:highlight w:val="none"/>
          <w:lang w:bidi="zh-CN"/>
        </w:rPr>
      </w:r>
      <w:r/>
    </w:p>
    <w:p>
      <w:pPr>
        <w:contextualSpacing/>
        <w:jc w:val="left"/>
        <w:spacing w:line="300" w:lineRule="auto"/>
        <w:rPr>
          <w:rFonts w:hint="eastAsia" w:ascii="宋体" w:hAnsi="宋体" w:eastAsia="宋体"/>
          <w:b/>
          <w:color w:val="auto"/>
          <w:sz w:val="32"/>
          <w:szCs w:val="32"/>
          <w:highlight w:val="none"/>
          <w:lang w:eastAsia="zh-CN"/>
        </w:rPr>
      </w:pP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8</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5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2718"/>
        <w:gridCol w:w="3502"/>
        <w:gridCol w:w="1932"/>
      </w:tblGrid>
      <w:tr>
        <w:trPr>
          <w:trHeight w:val="994"/>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商务要求</w:t>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4" w:space="0"/>
              <w:left w:val="single" w:color="auto" w:sz="4" w:space="0"/>
              <w:bottom w:val="single" w:color="auto" w:sz="4" w:space="0"/>
              <w:right w:val="single" w:color="auto" w:sz="4" w:space="0"/>
            </w:tcBorders>
            <w:tcW w:w="612"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548"/>
        </w:trPr>
        <w:tc>
          <w:tcPr>
            <w:tcBorders>
              <w:top w:val="single" w:color="auto" w:sz="4" w:space="0"/>
              <w:left w:val="single" w:color="auto" w:sz="4" w:space="0"/>
              <w:bottom w:val="single" w:color="auto" w:sz="4" w:space="0"/>
              <w:right w:val="single" w:color="auto" w:sz="4" w:space="0"/>
            </w:tcBorders>
            <w:tcW w:w="612"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400"/>
        </w:trPr>
        <w:tc>
          <w:tcPr>
            <w:tcBorders>
              <w:top w:val="single" w:color="auto" w:sz="4" w:space="0"/>
              <w:left w:val="single" w:color="auto" w:sz="4" w:space="0"/>
              <w:bottom w:val="single" w:color="auto" w:sz="4" w:space="0"/>
              <w:right w:val="single" w:color="auto" w:sz="4" w:space="0"/>
            </w:tcBorders>
            <w:tcW w:w="612"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419"/>
        </w:trPr>
        <w:tc>
          <w:tcPr>
            <w:tcBorders>
              <w:top w:val="single" w:color="auto" w:sz="4" w:space="0"/>
              <w:left w:val="single" w:color="auto" w:sz="4" w:space="0"/>
              <w:bottom w:val="single" w:color="auto" w:sz="4" w:space="0"/>
              <w:right w:val="single" w:color="auto" w:sz="4" w:space="0"/>
            </w:tcBorders>
            <w:tcW w:w="612"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bl>
    <w:p>
      <w:pPr>
        <w:contextualSpacing/>
        <w:spacing w:line="300" w:lineRule="auto"/>
        <w:rPr>
          <w:rFonts w:hint="eastAsia" w:ascii="宋体" w:hAnsi="宋体" w:eastAsia="宋体"/>
          <w:b/>
          <w:color w:val="auto"/>
          <w:sz w:val="24"/>
          <w:highlight w:val="none"/>
          <w:lang w:eastAsia="zh-CN"/>
        </w:rPr>
      </w:pPr>
      <w:r>
        <w:rPr>
          <w:rFonts w:hint="eastAsia" w:ascii="宋体" w:hAnsi="宋体"/>
          <w:b/>
          <w:color w:val="auto"/>
          <w:sz w:val="24"/>
          <w:highlight w:val="none"/>
        </w:rPr>
        <w:t xml:space="preserve">注</w:t>
      </w:r>
      <w:r>
        <w:rPr>
          <w:rFonts w:hint="eastAsia" w:ascii="宋体" w:hAnsi="宋体"/>
          <w:b/>
          <w:color w:val="auto"/>
          <w:sz w:val="24"/>
          <w:highlight w:val="none"/>
          <w:lang w:eastAsia="zh-CN"/>
        </w:rPr>
        <w:t xml:space="preserve">：</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3.投标人若提供其他增值服务，可以在表中自行据实填写。</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jc w:val="both"/>
        <w:keepLines w:val="0"/>
        <w:keepNext w:val="0"/>
        <w:pageBreakBefore w:val="0"/>
        <w:spacing w:line="360" w:lineRule="auto"/>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投标供应商全称(盖公章)</w:t>
      </w:r>
      <w:r>
        <w:rPr>
          <w:rFonts w:hint="eastAsia" w:ascii="宋体" w:hAnsi="宋体"/>
          <w:color w:val="auto"/>
          <w:sz w:val="28"/>
          <w:szCs w:val="28"/>
          <w:highlight w:val="none"/>
          <w:lang w:eastAsia="zh-CN"/>
        </w:rPr>
        <w:t xml:space="preserve">：</w:t>
      </w:r>
      <w:r/>
    </w:p>
    <w:p>
      <w:pPr>
        <w:jc w:val="both"/>
        <w:keepLines w:val="0"/>
        <w:keepNext w:val="0"/>
        <w:pageBreakBefore w:val="0"/>
        <w:spacing w:line="360" w:lineRule="auto"/>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法定代表人（签字或盖章）</w:t>
      </w:r>
      <w:r>
        <w:rPr>
          <w:rFonts w:hint="eastAsia" w:ascii="宋体" w:hAnsi="宋体"/>
          <w:color w:val="auto"/>
          <w:sz w:val="28"/>
          <w:szCs w:val="28"/>
          <w:highlight w:val="none"/>
          <w:lang w:eastAsia="zh-CN"/>
        </w:rPr>
        <w:t xml:space="preserve">：</w:t>
      </w:r>
      <w:r/>
    </w:p>
    <w:p>
      <w:pPr>
        <w:jc w:val="both"/>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时间</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  年  月   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hint="default" w:ascii="宋体" w:hAnsi="宋体" w:eastAsia="宋体"/>
          <w:color w:val="auto"/>
          <w:sz w:val="32"/>
          <w:szCs w:val="32"/>
          <w:highlight w:val="none"/>
          <w:lang w:val="en-US" w:eastAsia="zh-CN"/>
        </w:rPr>
      </w:pPr>
      <w:r>
        <w:rPr>
          <w:rFonts w:ascii="宋体" w:hAnsi="宋体"/>
          <w:color w:val="auto"/>
          <w:sz w:val="32"/>
          <w:szCs w:val="32"/>
          <w:highlight w:val="none"/>
        </w:rPr>
        <w:br w:type="page" w:clear="all"/>
      </w: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9</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5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2718"/>
        <w:gridCol w:w="3502"/>
        <w:gridCol w:w="1932"/>
      </w:tblGrid>
      <w:tr>
        <w:trPr>
          <w:trHeight w:val="994"/>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技术要求</w:t>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4" w:space="0"/>
              <w:left w:val="single" w:color="auto" w:sz="4" w:space="0"/>
              <w:bottom w:val="single" w:color="auto" w:sz="4" w:space="0"/>
              <w:right w:val="single" w:color="auto" w:sz="4" w:space="0"/>
            </w:tcBorders>
            <w:tcW w:w="612"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548"/>
        </w:trPr>
        <w:tc>
          <w:tcPr>
            <w:tcBorders>
              <w:top w:val="single" w:color="auto" w:sz="4" w:space="0"/>
              <w:left w:val="single" w:color="auto" w:sz="4" w:space="0"/>
              <w:bottom w:val="single" w:color="auto" w:sz="4" w:space="0"/>
              <w:right w:val="single" w:color="auto" w:sz="4" w:space="0"/>
            </w:tcBorders>
            <w:tcW w:w="612"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400"/>
        </w:trPr>
        <w:tc>
          <w:tcPr>
            <w:tcBorders>
              <w:top w:val="single" w:color="auto" w:sz="4" w:space="0"/>
              <w:left w:val="single" w:color="auto" w:sz="4" w:space="0"/>
              <w:bottom w:val="single" w:color="auto" w:sz="4" w:space="0"/>
              <w:right w:val="single" w:color="auto" w:sz="4" w:space="0"/>
            </w:tcBorders>
            <w:tcW w:w="612"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419"/>
        </w:trPr>
        <w:tc>
          <w:tcPr>
            <w:tcBorders>
              <w:top w:val="single" w:color="auto" w:sz="4" w:space="0"/>
              <w:left w:val="single" w:color="auto" w:sz="4" w:space="0"/>
              <w:bottom w:val="single" w:color="auto" w:sz="4" w:space="0"/>
              <w:right w:val="single" w:color="auto" w:sz="4" w:space="0"/>
            </w:tcBorders>
            <w:tcW w:w="612"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bl>
    <w:p>
      <w:pPr>
        <w:contextualSpacing/>
        <w:spacing w:line="300" w:lineRule="auto"/>
        <w:rPr>
          <w:rFonts w:hint="eastAsia" w:ascii="宋体" w:hAnsi="宋体" w:eastAsia="宋体"/>
          <w:b/>
          <w:color w:val="auto"/>
          <w:sz w:val="24"/>
          <w:highlight w:val="none"/>
          <w:lang w:eastAsia="zh-CN"/>
        </w:rPr>
      </w:pPr>
      <w:r>
        <w:rPr>
          <w:rFonts w:hint="eastAsia" w:ascii="宋体" w:hAnsi="宋体"/>
          <w:b/>
          <w:color w:val="auto"/>
          <w:sz w:val="24"/>
          <w:highlight w:val="none"/>
        </w:rPr>
        <w:t xml:space="preserve">注</w:t>
      </w:r>
      <w:r>
        <w:rPr>
          <w:rFonts w:hint="eastAsia" w:ascii="宋体" w:hAnsi="宋体"/>
          <w:b/>
          <w:color w:val="auto"/>
          <w:sz w:val="24"/>
          <w:highlight w:val="none"/>
          <w:lang w:eastAsia="zh-CN"/>
        </w:rPr>
        <w:t xml:space="preserve">：</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若提供其他增值服务，可以在表中自行据实填写。</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jc w:val="both"/>
        <w:keepLines w:val="0"/>
        <w:keepNext w:val="0"/>
        <w:pageBreakBefore w:val="0"/>
        <w:spacing w:line="360" w:lineRule="auto"/>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投标供应商全称(盖公章)</w:t>
      </w:r>
      <w:r>
        <w:rPr>
          <w:rFonts w:hint="eastAsia" w:ascii="宋体" w:hAnsi="宋体"/>
          <w:color w:val="auto"/>
          <w:sz w:val="28"/>
          <w:szCs w:val="28"/>
          <w:highlight w:val="none"/>
          <w:lang w:eastAsia="zh-CN"/>
        </w:rPr>
        <w:t xml:space="preserve">：</w:t>
      </w:r>
      <w:r/>
    </w:p>
    <w:p>
      <w:pPr>
        <w:jc w:val="both"/>
        <w:keepLines w:val="0"/>
        <w:keepNext w:val="0"/>
        <w:pageBreakBefore w:val="0"/>
        <w:spacing w:line="360" w:lineRule="auto"/>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法定代表人（签字或盖章）</w:t>
      </w:r>
      <w:r>
        <w:rPr>
          <w:rFonts w:hint="eastAsia" w:ascii="宋体" w:hAnsi="宋体"/>
          <w:color w:val="auto"/>
          <w:sz w:val="28"/>
          <w:szCs w:val="28"/>
          <w:highlight w:val="none"/>
          <w:lang w:eastAsia="zh-CN"/>
        </w:rPr>
        <w:t xml:space="preserve">：</w:t>
      </w:r>
      <w:r/>
    </w:p>
    <w:p>
      <w:pPr>
        <w:jc w:val="both"/>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时间</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  年  月   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olor w:val="auto"/>
          <w:sz w:val="32"/>
          <w:szCs w:val="32"/>
          <w:highlight w:val="none"/>
        </w:rPr>
      </w:pPr>
      <w:r>
        <w:rPr>
          <w:rFonts w:ascii="宋体" w:hAnsi="宋体"/>
          <w:color w:val="auto"/>
          <w:sz w:val="32"/>
          <w:szCs w:val="32"/>
          <w:highlight w:val="none"/>
        </w:rPr>
        <w:br w:type="page" w:clear="all"/>
      </w:r>
      <w:r/>
    </w:p>
    <w:p>
      <w:pPr>
        <w:spacing w:line="300" w:lineRule="auto"/>
        <w:rPr>
          <w:rFonts w:hint="eastAsia" w:ascii="宋体" w:hAnsi="宋体" w:eastAsia="宋体"/>
          <w:color w:val="auto"/>
          <w:sz w:val="32"/>
          <w:szCs w:val="32"/>
          <w:highlight w:val="none"/>
          <w:lang w:eastAsia="zh-CN"/>
        </w:rPr>
        <w:outlineLvl w:val="0"/>
      </w:pPr>
      <w:r>
        <w:rPr>
          <w:rFonts w:ascii="宋体" w:hAnsi="宋体"/>
          <w:color w:val="auto"/>
          <w:sz w:val="32"/>
          <w:szCs w:val="32"/>
          <w:highlight w:val="none"/>
        </w:rPr>
        <w:t xml:space="preserve">附件1</w:t>
      </w:r>
      <w:r>
        <w:rPr>
          <w:rFonts w:hint="eastAsia" w:ascii="宋体" w:hAnsi="宋体"/>
          <w:color w:val="auto"/>
          <w:sz w:val="32"/>
          <w:szCs w:val="32"/>
          <w:highlight w:val="none"/>
          <w:lang w:val="en-US" w:eastAsia="zh-CN"/>
        </w:rPr>
        <w:t xml:space="preserve">0</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报价一览表</w:t>
      </w:r>
      <w:r/>
    </w:p>
    <w:p>
      <w:pPr>
        <w:ind w:firstLine="480"/>
        <w:jc w:val="both"/>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pStyle w:val="1084"/>
        <w:ind w:firstLine="480"/>
        <w:spacing w:line="276"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供应商全称（加盖电子签章）</w:t>
      </w:r>
      <w:r>
        <w:rPr>
          <w:rFonts w:hint="eastAsia" w:ascii="宋体" w:hAnsi="宋体" w:cs="宋体"/>
          <w:color w:val="auto"/>
          <w:sz w:val="28"/>
          <w:szCs w:val="28"/>
          <w:highlight w:val="none"/>
          <w:lang w:eastAsia="zh-CN"/>
        </w:rPr>
        <w:t xml:space="preserve">：</w:t>
      </w:r>
      <w:r/>
    </w:p>
    <w:p>
      <w:pPr>
        <w:pStyle w:val="1084"/>
        <w:ind w:firstLine="480"/>
        <w:spacing w:line="276"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w:t>
      </w:r>
      <w:r/>
    </w:p>
    <w:tbl>
      <w:tblPr>
        <w:tblStyle w:val="1085"/>
        <w:tblW w:w="901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907"/>
        <w:gridCol w:w="3789"/>
        <w:gridCol w:w="1318"/>
      </w:tblGrid>
      <w:tr>
        <w:trPr>
          <w:jc w:val="center"/>
          <w:trHeight w:val="664"/>
        </w:trPr>
        <w:tc>
          <w:tcPr>
            <w:tcMar>
              <w:left w:w="15" w:type="dxa"/>
              <w:top w:w="15" w:type="dxa"/>
              <w:right w:w="15" w:type="dxa"/>
              <w:bottom w:w="15" w:type="dxa"/>
            </w:tcMar>
            <w:tcW w:w="3907" w:type="dxa"/>
            <w:vAlign w:val="center"/>
            <w:textDirection w:val="lrTb"/>
            <w:noWrap/>
          </w:tcPr>
          <w:p>
            <w:pPr>
              <w:pStyle w:val="1084"/>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项目名称</w:t>
            </w:r>
            <w:r/>
          </w:p>
        </w:tc>
        <w:tc>
          <w:tcPr>
            <w:tcMar>
              <w:left w:w="15" w:type="dxa"/>
              <w:top w:w="15" w:type="dxa"/>
              <w:right w:w="15" w:type="dxa"/>
              <w:bottom w:w="15" w:type="dxa"/>
            </w:tcMar>
            <w:tcW w:w="3789" w:type="dxa"/>
            <w:vAlign w:val="center"/>
            <w:textDirection w:val="lrTb"/>
            <w:noWrap/>
          </w:tcPr>
          <w:p>
            <w:pPr>
              <w:pStyle w:val="1084"/>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投标报价（万元）</w:t>
            </w:r>
            <w:r/>
          </w:p>
        </w:tc>
        <w:tc>
          <w:tcPr>
            <w:tcMar>
              <w:left w:w="15" w:type="dxa"/>
              <w:top w:w="15" w:type="dxa"/>
              <w:right w:w="15" w:type="dxa"/>
              <w:bottom w:w="15" w:type="dxa"/>
            </w:tcMar>
            <w:tcW w:w="1318" w:type="dxa"/>
            <w:vAlign w:val="center"/>
            <w:textDirection w:val="lrTb"/>
            <w:noWrap/>
          </w:tcPr>
          <w:p>
            <w:pPr>
              <w:pStyle w:val="1084"/>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备注</w:t>
            </w:r>
            <w:r/>
          </w:p>
        </w:tc>
      </w:tr>
      <w:tr>
        <w:trPr>
          <w:jc w:val="center"/>
          <w:trHeight w:val="1808"/>
        </w:trPr>
        <w:tc>
          <w:tcPr>
            <w:tcMar>
              <w:left w:w="15" w:type="dxa"/>
              <w:top w:w="15" w:type="dxa"/>
              <w:right w:w="15" w:type="dxa"/>
              <w:bottom w:w="15" w:type="dxa"/>
            </w:tcMar>
            <w:tcW w:w="3907" w:type="dxa"/>
            <w:vAlign w:val="center"/>
            <w:textDirection w:val="lrTb"/>
            <w:noWrap/>
          </w:tcPr>
          <w:p>
            <w:pPr>
              <w:pStyle w:val="1084"/>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通州湾示范区农药包装废弃物、废旧地膜回收、农药零差率统一配供服务项目</w:t>
            </w:r>
            <w:r/>
          </w:p>
        </w:tc>
        <w:tc>
          <w:tcPr>
            <w:tcMar>
              <w:left w:w="15" w:type="dxa"/>
              <w:top w:w="15" w:type="dxa"/>
              <w:right w:w="15" w:type="dxa"/>
              <w:bottom w:w="15" w:type="dxa"/>
            </w:tcMar>
            <w:tcW w:w="3789" w:type="dxa"/>
            <w:vAlign w:val="center"/>
            <w:textDirection w:val="lrTb"/>
            <w:noWrap/>
          </w:tcPr>
          <w:p>
            <w:pPr>
              <w:pStyle w:val="1084"/>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117.4</w:t>
            </w:r>
            <w:r/>
          </w:p>
        </w:tc>
        <w:tc>
          <w:tcPr>
            <w:tcMar>
              <w:left w:w="15" w:type="dxa"/>
              <w:top w:w="15" w:type="dxa"/>
              <w:right w:w="15" w:type="dxa"/>
              <w:bottom w:w="15" w:type="dxa"/>
            </w:tcMar>
            <w:tcW w:w="1318" w:type="dxa"/>
            <w:vAlign w:val="center"/>
            <w:textDirection w:val="lrTb"/>
            <w:noWrap/>
          </w:tcPr>
          <w:p>
            <w:pPr>
              <w:pStyle w:val="1084"/>
              <w:jc w:val="left"/>
              <w:rPr>
                <w:rFonts w:hint="eastAsia" w:ascii="宋体" w:hAnsi="宋体" w:eastAsia="宋体" w:cs="宋体"/>
                <w:color w:val="auto"/>
                <w:sz w:val="28"/>
                <w:szCs w:val="28"/>
                <w:highlight w:val="none"/>
                <w:lang w:eastAsia="zh-CN"/>
              </w:rPr>
            </w:pPr>
            <w:r>
              <w:rPr>
                <w:rFonts w:hint="eastAsia" w:ascii="宋体" w:hAnsi="宋体" w:cs="宋体"/>
                <w:color w:val="auto"/>
                <w:sz w:val="21"/>
                <w:szCs w:val="21"/>
                <w:highlight w:val="none"/>
                <w:lang w:eastAsia="zh-CN"/>
              </w:rPr>
              <w:t xml:space="preserve">报统一价，最终以实际结算为准。</w:t>
            </w:r>
            <w:r/>
          </w:p>
        </w:tc>
      </w:tr>
    </w:tbl>
    <w:p>
      <w:pPr>
        <w:pStyle w:val="1084"/>
        <w:rPr>
          <w:rFonts w:hint="eastAsia" w:ascii="宋体" w:hAnsi="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r>
      <w:r/>
    </w:p>
    <w:p>
      <w:pPr>
        <w:pStyle w:val="108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ascii="宋体" w:hAnsi="宋体"/>
          <w:color w:val="auto"/>
          <w:sz w:val="28"/>
          <w:szCs w:val="28"/>
          <w:highlight w:val="none"/>
        </w:rPr>
      </w:pPr>
      <w:r>
        <w:rPr>
          <w:rFonts w:ascii="宋体" w:hAnsi="宋体"/>
          <w:color w:val="auto"/>
          <w:sz w:val="28"/>
          <w:szCs w:val="28"/>
          <w:highlight w:val="none"/>
        </w:rPr>
      </w:r>
      <w:r/>
    </w:p>
    <w:p>
      <w:pPr>
        <w:jc w:val="both"/>
        <w:keepLines w:val="0"/>
        <w:keepNext w:val="0"/>
        <w:pageBreakBefore w:val="0"/>
        <w:spacing w:line="360" w:lineRule="auto"/>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投标供应商全称(盖公章)</w:t>
      </w:r>
      <w:r>
        <w:rPr>
          <w:rFonts w:hint="eastAsia" w:ascii="宋体" w:hAnsi="宋体"/>
          <w:color w:val="auto"/>
          <w:sz w:val="28"/>
          <w:szCs w:val="28"/>
          <w:highlight w:val="none"/>
          <w:lang w:eastAsia="zh-CN"/>
        </w:rPr>
        <w:t xml:space="preserve">：</w:t>
      </w:r>
      <w:r/>
    </w:p>
    <w:p>
      <w:pPr>
        <w:jc w:val="both"/>
        <w:keepLines w:val="0"/>
        <w:keepNext w:val="0"/>
        <w:pageBreakBefore w:val="0"/>
        <w:spacing w:line="360" w:lineRule="auto"/>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法定代表人（签字或盖章）</w:t>
      </w:r>
      <w:r>
        <w:rPr>
          <w:rFonts w:hint="eastAsia" w:ascii="宋体" w:hAnsi="宋体"/>
          <w:color w:val="auto"/>
          <w:sz w:val="28"/>
          <w:szCs w:val="28"/>
          <w:highlight w:val="none"/>
          <w:lang w:eastAsia="zh-CN"/>
        </w:rPr>
        <w:t xml:space="preserve">：</w:t>
      </w:r>
      <w:r/>
    </w:p>
    <w:p>
      <w:pPr>
        <w:jc w:val="both"/>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时间</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  年  月   日</w:t>
      </w:r>
      <w:r/>
    </w:p>
    <w:p>
      <w:pPr>
        <w:jc w:val="both"/>
        <w:rPr>
          <w:rFonts w:ascii="宋体" w:hAnsi="宋体"/>
          <w:color w:val="auto"/>
          <w:sz w:val="28"/>
          <w:szCs w:val="28"/>
          <w:highlight w:val="none"/>
        </w:rPr>
      </w:pPr>
      <w:r>
        <w:rPr>
          <w:rFonts w:ascii="宋体" w:hAnsi="宋体"/>
          <w:color w:val="auto"/>
          <w:sz w:val="28"/>
          <w:szCs w:val="28"/>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color w:val="auto"/>
          <w:highlight w:val="none"/>
        </w:rPr>
      </w:pPr>
      <w:r>
        <w:rPr>
          <w:color w:val="auto"/>
          <w:highlight w:val="none"/>
        </w:rPr>
      </w:r>
      <w:r/>
    </w:p>
    <w:p>
      <w:pPr>
        <w:pStyle w:val="698"/>
        <w:rPr>
          <w:rFonts w:hint="eastAsia"/>
          <w:color w:val="auto"/>
          <w:highlight w:val="none"/>
        </w:rPr>
      </w:pPr>
      <w:r>
        <w:rPr>
          <w:rFonts w:hint="eastAsia"/>
          <w:color w:val="auto"/>
          <w:highlight w:val="none"/>
        </w:rPr>
      </w:r>
      <w:r/>
    </w:p>
    <w:p>
      <w:pPr>
        <w:jc w:val="center"/>
        <w:rPr>
          <w:rFonts w:ascii="宋体" w:hAnsi="宋体" w:cs="仿宋"/>
          <w:bCs/>
          <w:color w:val="auto"/>
          <w:sz w:val="44"/>
          <w:szCs w:val="44"/>
          <w:highlight w:val="none"/>
        </w:rPr>
      </w:pPr>
      <w:r>
        <w:rPr>
          <w:rFonts w:ascii="宋体" w:hAnsi="宋体" w:cs="仿宋"/>
          <w:bCs/>
          <w:color w:val="auto"/>
          <w:sz w:val="44"/>
          <w:szCs w:val="44"/>
          <w:highlight w:val="none"/>
        </w:rPr>
      </w:r>
      <w:r/>
    </w:p>
    <w:p>
      <w:pPr>
        <w:jc w:val="center"/>
        <w:rPr>
          <w:rFonts w:ascii="宋体" w:hAnsi="宋体" w:cs="仿宋"/>
          <w:bCs/>
          <w:color w:val="auto"/>
          <w:sz w:val="44"/>
          <w:szCs w:val="44"/>
          <w:highlight w:val="none"/>
        </w:rPr>
      </w:pPr>
      <w:r>
        <w:rPr>
          <w:rFonts w:ascii="宋体" w:hAnsi="宋体" w:cs="仿宋"/>
          <w:bCs/>
          <w:color w:val="auto"/>
          <w:sz w:val="44"/>
          <w:szCs w:val="44"/>
          <w:highlight w:val="none"/>
        </w:rPr>
      </w:r>
      <w:r/>
    </w:p>
    <w:p>
      <w:pPr>
        <w:jc w:val="center"/>
        <w:rPr>
          <w:rFonts w:ascii="宋体" w:hAnsi="宋体" w:cs="仿宋"/>
          <w:bCs/>
          <w:color w:val="auto"/>
          <w:sz w:val="44"/>
          <w:szCs w:val="44"/>
          <w:highlight w:val="none"/>
        </w:rPr>
      </w:pPr>
      <w:r>
        <w:rPr>
          <w:rFonts w:ascii="宋体" w:hAnsi="宋体" w:cs="仿宋"/>
          <w:bCs/>
          <w:color w:val="auto"/>
          <w:sz w:val="44"/>
          <w:szCs w:val="44"/>
          <w:highlight w:val="none"/>
        </w:rPr>
      </w:r>
      <w:r/>
    </w:p>
    <w:p>
      <w:pPr>
        <w:jc w:val="center"/>
        <w:rPr>
          <w:rFonts w:ascii="宋体" w:hAnsi="宋体" w:cs="仿宋"/>
          <w:bCs/>
          <w:color w:val="auto"/>
          <w:sz w:val="44"/>
          <w:szCs w:val="44"/>
          <w:highlight w:val="none"/>
        </w:rPr>
      </w:pPr>
      <w:r>
        <w:rPr>
          <w:rFonts w:ascii="宋体" w:hAnsi="宋体" w:cs="仿宋"/>
          <w:bCs/>
          <w:color w:val="auto"/>
          <w:sz w:val="44"/>
          <w:szCs w:val="44"/>
          <w:highlight w:val="none"/>
        </w:rPr>
      </w:r>
      <w:r/>
    </w:p>
    <w:p>
      <w:pPr>
        <w:jc w:val="center"/>
        <w:rPr>
          <w:rFonts w:ascii="宋体" w:hAnsi="宋体" w:cs="仿宋"/>
          <w:bCs/>
          <w:color w:val="auto"/>
          <w:sz w:val="44"/>
          <w:szCs w:val="44"/>
          <w:highlight w:val="none"/>
        </w:rPr>
      </w:pPr>
      <w:r>
        <w:rPr>
          <w:rFonts w:ascii="宋体" w:hAnsi="宋体" w:cs="仿宋"/>
          <w:bCs/>
          <w:color w:val="auto"/>
          <w:sz w:val="44"/>
          <w:szCs w:val="44"/>
          <w:highlight w:val="none"/>
        </w:rPr>
      </w:r>
      <w:r/>
    </w:p>
    <w:p>
      <w:pPr>
        <w:jc w:val="center"/>
        <w:rPr>
          <w:rFonts w:ascii="宋体" w:hAnsi="宋体" w:cs="仿宋"/>
          <w:bCs/>
          <w:color w:val="auto"/>
          <w:sz w:val="44"/>
          <w:szCs w:val="44"/>
          <w:highlight w:val="none"/>
        </w:rPr>
      </w:pPr>
      <w:r>
        <w:rPr>
          <w:rFonts w:ascii="宋体" w:hAnsi="宋体" w:cs="仿宋"/>
          <w:bCs/>
          <w:color w:val="auto"/>
          <w:sz w:val="44"/>
          <w:szCs w:val="44"/>
          <w:highlight w:val="none"/>
        </w:rPr>
      </w:r>
      <w:r/>
    </w:p>
    <w:p>
      <w:pPr>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spacing w:line="300" w:lineRule="auto"/>
        <w:rPr>
          <w:rFonts w:hint="default" w:ascii="宋体" w:hAnsi="宋体" w:eastAsia="宋体"/>
          <w:color w:val="auto"/>
          <w:sz w:val="32"/>
          <w:szCs w:val="32"/>
          <w:highlight w:val="none"/>
          <w:lang w:val="en-US" w:eastAsia="zh-CN"/>
        </w:rPr>
        <w:outlineLvl w:val="0"/>
      </w:pPr>
      <w:r>
        <w:rPr>
          <w:rFonts w:hint="eastAsia"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11</w:t>
      </w: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质疑函范本</w:t>
      </w:r>
      <w:r/>
    </w:p>
    <w:p>
      <w:pPr>
        <w:spacing w:before="312" w:line="360" w:lineRule="auto"/>
        <w:rPr>
          <w:rFonts w:ascii="宋体" w:hAnsi="宋体" w:cs="仿宋"/>
          <w:bCs/>
          <w:color w:val="auto"/>
          <w:sz w:val="28"/>
          <w:szCs w:val="28"/>
          <w:highlight w:val="none"/>
        </w:rPr>
      </w:pPr>
      <w:r>
        <w:rPr>
          <w:rFonts w:hint="eastAsia" w:ascii="宋体" w:hAnsi="宋体" w:cs="仿宋"/>
          <w:bCs/>
          <w:color w:val="auto"/>
          <w:sz w:val="28"/>
          <w:szCs w:val="28"/>
          <w:highlight w:val="none"/>
        </w:rPr>
        <w:t xml:space="preserve">一、质疑供应商基本信息</w:t>
      </w:r>
      <w:r/>
    </w:p>
    <w:p>
      <w:pPr>
        <w:spacing w:line="360" w:lineRule="auto"/>
        <w:rPr>
          <w:rFonts w:hint="eastAsia" w:ascii="宋体" w:hAnsi="宋体" w:eastAsia="宋体" w:cs="仿宋"/>
          <w:color w:val="auto"/>
          <w:sz w:val="28"/>
          <w:szCs w:val="28"/>
          <w:highlight w:val="none"/>
          <w:u w:val="single"/>
          <w:lang w:eastAsia="zh-CN"/>
        </w:rPr>
      </w:pPr>
      <w:r>
        <w:rPr>
          <w:rFonts w:hint="eastAsia" w:ascii="宋体" w:hAnsi="宋体" w:cs="仿宋"/>
          <w:color w:val="auto"/>
          <w:sz w:val="28"/>
          <w:szCs w:val="28"/>
          <w:highlight w:val="none"/>
        </w:rPr>
        <w:t xml:space="preserve">质疑供应商</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lang w:eastAsia="zh-CN"/>
        </w:rPr>
      </w:pPr>
      <w:r>
        <w:rPr>
          <w:rFonts w:hint="eastAsia" w:ascii="宋体" w:hAnsi="宋体" w:cs="仿宋"/>
          <w:color w:val="auto"/>
          <w:sz w:val="28"/>
          <w:szCs w:val="28"/>
          <w:highlight w:val="none"/>
        </w:rPr>
        <w:t xml:space="preserve">地址</w:t>
      </w:r>
      <w:r>
        <w:rPr>
          <w:rFonts w:hint="eastAsia" w:ascii="宋体" w:hAnsi="宋体" w:cs="仿宋"/>
          <w:color w:val="auto"/>
          <w:sz w:val="28"/>
          <w:szCs w:val="28"/>
          <w:highlight w:val="none"/>
          <w:lang w:eastAsia="zh-CN"/>
        </w:rPr>
        <w:t xml:space="preserve">：</w:t>
      </w:r>
      <w:r>
        <w:rPr>
          <w:rFonts w:hint="eastAsia" w:ascii="宋体" w:hAnsi="宋体" w:cs="仿宋"/>
          <w:color w:val="auto"/>
          <w:sz w:val="28"/>
          <w:szCs w:val="28"/>
          <w:highlight w:val="none"/>
        </w:rPr>
        <w:t xml:space="preserve"> </w:t>
      </w:r>
      <w:r>
        <w:rPr>
          <w:rFonts w:hint="eastAsia" w:ascii="宋体" w:hAnsi="宋体" w:cs="仿宋"/>
          <w:color w:val="auto"/>
          <w:sz w:val="28"/>
          <w:szCs w:val="28"/>
          <w:highlight w:val="none"/>
          <w:lang w:val="en-US" w:eastAsia="zh-CN"/>
        </w:rPr>
        <w:t xml:space="preserve">     </w:t>
      </w:r>
      <w:r>
        <w:rPr>
          <w:rFonts w:hint="eastAsia" w:ascii="宋体" w:hAnsi="宋体" w:cs="仿宋"/>
          <w:color w:val="auto"/>
          <w:sz w:val="28"/>
          <w:szCs w:val="28"/>
          <w:highlight w:val="none"/>
        </w:rPr>
        <w:t xml:space="preserve">邮编</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lang w:eastAsia="zh-CN"/>
        </w:rPr>
      </w:pPr>
      <w:r>
        <w:rPr>
          <w:rFonts w:hint="eastAsia" w:ascii="宋体" w:hAnsi="宋体" w:cs="仿宋"/>
          <w:color w:val="auto"/>
          <w:sz w:val="28"/>
          <w:szCs w:val="28"/>
          <w:highlight w:val="none"/>
        </w:rPr>
        <w:t xml:space="preserve">联系人</w:t>
      </w:r>
      <w:r>
        <w:rPr>
          <w:rFonts w:hint="eastAsia" w:ascii="宋体" w:hAnsi="宋体" w:cs="仿宋"/>
          <w:color w:val="auto"/>
          <w:sz w:val="28"/>
          <w:szCs w:val="28"/>
          <w:highlight w:val="none"/>
          <w:lang w:eastAsia="zh-CN"/>
        </w:rPr>
        <w:t xml:space="preserve">：</w:t>
      </w:r>
      <w:r>
        <w:rPr>
          <w:rFonts w:hint="eastAsia" w:ascii="宋体" w:hAnsi="宋体" w:cs="仿宋"/>
          <w:color w:val="auto"/>
          <w:sz w:val="28"/>
          <w:szCs w:val="28"/>
          <w:highlight w:val="none"/>
          <w:lang w:val="en-US" w:eastAsia="zh-CN"/>
        </w:rPr>
        <w:t xml:space="preserve">    </w:t>
      </w:r>
      <w:r>
        <w:rPr>
          <w:rFonts w:hint="eastAsia" w:ascii="宋体" w:hAnsi="宋体" w:cs="仿宋"/>
          <w:color w:val="auto"/>
          <w:sz w:val="28"/>
          <w:szCs w:val="28"/>
          <w:highlight w:val="none"/>
        </w:rPr>
        <w:t xml:space="preserve">联系电话</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u w:val="single"/>
          <w:lang w:eastAsia="zh-CN"/>
        </w:rPr>
      </w:pPr>
      <w:r>
        <w:rPr>
          <w:rFonts w:hint="eastAsia" w:ascii="宋体" w:hAnsi="宋体" w:cs="仿宋"/>
          <w:color w:val="auto"/>
          <w:sz w:val="28"/>
          <w:szCs w:val="28"/>
          <w:highlight w:val="none"/>
        </w:rPr>
        <w:t xml:space="preserve">授权代表</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lang w:eastAsia="zh-CN"/>
        </w:rPr>
      </w:pPr>
      <w:r>
        <w:rPr>
          <w:rFonts w:hint="eastAsia" w:ascii="宋体" w:hAnsi="宋体" w:cs="仿宋"/>
          <w:color w:val="auto"/>
          <w:sz w:val="28"/>
          <w:szCs w:val="28"/>
          <w:highlight w:val="none"/>
        </w:rPr>
        <w:t xml:space="preserve">联系电话</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lang w:eastAsia="zh-CN"/>
        </w:rPr>
      </w:pPr>
      <w:r>
        <w:rPr>
          <w:rFonts w:hint="eastAsia" w:ascii="宋体" w:hAnsi="宋体" w:cs="仿宋"/>
          <w:color w:val="auto"/>
          <w:sz w:val="28"/>
          <w:szCs w:val="28"/>
          <w:highlight w:val="none"/>
        </w:rPr>
        <w:t xml:space="preserve">地址</w:t>
      </w:r>
      <w:r>
        <w:rPr>
          <w:rFonts w:hint="eastAsia" w:ascii="宋体" w:hAnsi="宋体" w:cs="仿宋"/>
          <w:color w:val="auto"/>
          <w:sz w:val="28"/>
          <w:szCs w:val="28"/>
          <w:highlight w:val="none"/>
          <w:lang w:eastAsia="zh-CN"/>
        </w:rPr>
        <w:t xml:space="preserve">：</w:t>
      </w:r>
      <w:r>
        <w:rPr>
          <w:rFonts w:hint="eastAsia" w:ascii="宋体" w:hAnsi="宋体" w:cs="仿宋"/>
          <w:color w:val="auto"/>
          <w:sz w:val="28"/>
          <w:szCs w:val="28"/>
          <w:highlight w:val="none"/>
        </w:rPr>
        <w:t xml:space="preserve">邮编</w:t>
      </w:r>
      <w:r>
        <w:rPr>
          <w:rFonts w:hint="eastAsia" w:ascii="宋体" w:hAnsi="宋体" w:cs="仿宋"/>
          <w:color w:val="auto"/>
          <w:sz w:val="28"/>
          <w:szCs w:val="28"/>
          <w:highlight w:val="none"/>
          <w:lang w:eastAsia="zh-CN"/>
        </w:rPr>
        <w:t xml:space="preserve">：</w:t>
      </w:r>
      <w:r/>
    </w:p>
    <w:p>
      <w:pPr>
        <w:spacing w:line="360" w:lineRule="auto"/>
        <w:rPr>
          <w:rFonts w:ascii="宋体" w:hAnsi="宋体" w:cs="仿宋"/>
          <w:bCs/>
          <w:color w:val="auto"/>
          <w:sz w:val="28"/>
          <w:szCs w:val="28"/>
          <w:highlight w:val="none"/>
        </w:rPr>
      </w:pPr>
      <w:r>
        <w:rPr>
          <w:rFonts w:hint="eastAsia" w:ascii="宋体" w:hAnsi="宋体" w:cs="仿宋"/>
          <w:bCs/>
          <w:color w:val="auto"/>
          <w:sz w:val="28"/>
          <w:szCs w:val="28"/>
          <w:highlight w:val="none"/>
        </w:rPr>
        <w:t xml:space="preserve">二、质疑项目基本情况</w:t>
      </w:r>
      <w:r/>
    </w:p>
    <w:p>
      <w:pPr>
        <w:spacing w:line="360" w:lineRule="auto"/>
        <w:rPr>
          <w:rFonts w:hint="eastAsia" w:ascii="宋体" w:hAnsi="宋体" w:eastAsia="宋体" w:cs="仿宋"/>
          <w:color w:val="auto"/>
          <w:sz w:val="28"/>
          <w:szCs w:val="28"/>
          <w:highlight w:val="none"/>
          <w:lang w:eastAsia="zh-CN"/>
        </w:rPr>
      </w:pPr>
      <w:r>
        <w:rPr>
          <w:rFonts w:hint="eastAsia" w:ascii="宋体" w:hAnsi="宋体" w:cs="仿宋"/>
          <w:color w:val="auto"/>
          <w:sz w:val="28"/>
          <w:szCs w:val="28"/>
          <w:highlight w:val="none"/>
        </w:rPr>
        <w:t xml:space="preserve">质疑项目的名称</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lang w:eastAsia="zh-CN"/>
        </w:rPr>
      </w:pPr>
      <w:r>
        <w:rPr>
          <w:rFonts w:hint="eastAsia" w:ascii="宋体" w:hAnsi="宋体" w:cs="仿宋"/>
          <w:color w:val="auto"/>
          <w:sz w:val="28"/>
          <w:szCs w:val="28"/>
          <w:highlight w:val="none"/>
        </w:rPr>
        <w:t xml:space="preserve">质疑项目的编号</w:t>
      </w:r>
      <w:r>
        <w:rPr>
          <w:rFonts w:hint="eastAsia" w:ascii="宋体" w:hAnsi="宋体" w:cs="仿宋"/>
          <w:color w:val="auto"/>
          <w:sz w:val="28"/>
          <w:szCs w:val="28"/>
          <w:highlight w:val="none"/>
          <w:lang w:eastAsia="zh-CN"/>
        </w:rPr>
        <w:t xml:space="preserve">：</w:t>
      </w:r>
      <w:r>
        <w:rPr>
          <w:rFonts w:hint="eastAsia" w:ascii="宋体" w:hAnsi="宋体" w:cs="仿宋"/>
          <w:color w:val="auto"/>
          <w:sz w:val="28"/>
          <w:szCs w:val="28"/>
          <w:highlight w:val="none"/>
        </w:rPr>
        <w:t xml:space="preserve">包号</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u w:val="single"/>
          <w:lang w:eastAsia="zh-CN"/>
        </w:rPr>
      </w:pPr>
      <w:r>
        <w:rPr>
          <w:rFonts w:hint="eastAsia" w:ascii="宋体" w:hAnsi="宋体" w:cs="仿宋"/>
          <w:color w:val="auto"/>
          <w:sz w:val="28"/>
          <w:szCs w:val="28"/>
          <w:highlight w:val="none"/>
        </w:rPr>
        <w:t xml:space="preserve">采购人名称</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lang w:eastAsia="zh-CN"/>
        </w:rPr>
      </w:pPr>
      <w:r>
        <w:rPr>
          <w:rFonts w:hint="eastAsia" w:ascii="宋体" w:hAnsi="宋体" w:cs="仿宋"/>
          <w:color w:val="auto"/>
          <w:sz w:val="28"/>
          <w:szCs w:val="28"/>
          <w:highlight w:val="none"/>
        </w:rPr>
        <w:t xml:space="preserve">采购文件获取日期</w:t>
      </w:r>
      <w:r>
        <w:rPr>
          <w:rFonts w:hint="eastAsia" w:ascii="宋体" w:hAnsi="宋体" w:cs="仿宋"/>
          <w:color w:val="auto"/>
          <w:sz w:val="28"/>
          <w:szCs w:val="28"/>
          <w:highlight w:val="none"/>
          <w:lang w:eastAsia="zh-CN"/>
        </w:rPr>
        <w:t xml:space="preserve">：</w:t>
      </w:r>
      <w:r/>
    </w:p>
    <w:p>
      <w:pPr>
        <w:spacing w:line="360" w:lineRule="auto"/>
        <w:rPr>
          <w:rFonts w:ascii="宋体" w:hAnsi="宋体" w:cs="仿宋"/>
          <w:bCs/>
          <w:color w:val="auto"/>
          <w:sz w:val="28"/>
          <w:szCs w:val="28"/>
          <w:highlight w:val="none"/>
        </w:rPr>
      </w:pPr>
      <w:r>
        <w:rPr>
          <w:rFonts w:hint="eastAsia" w:ascii="宋体" w:hAnsi="宋体" w:cs="仿宋"/>
          <w:bCs/>
          <w:color w:val="auto"/>
          <w:sz w:val="28"/>
          <w:szCs w:val="28"/>
          <w:highlight w:val="none"/>
        </w:rPr>
        <w:t xml:space="preserve">三、质疑事项具体内容</w:t>
      </w:r>
      <w:r/>
    </w:p>
    <w:p>
      <w:pPr>
        <w:spacing w:line="360" w:lineRule="auto"/>
        <w:rPr>
          <w:rFonts w:hint="eastAsia" w:ascii="宋体" w:hAnsi="宋体" w:eastAsia="宋体" w:cs="仿宋"/>
          <w:color w:val="auto"/>
          <w:sz w:val="28"/>
          <w:szCs w:val="28"/>
          <w:highlight w:val="none"/>
          <w:u w:val="single"/>
          <w:lang w:eastAsia="zh-CN"/>
        </w:rPr>
      </w:pPr>
      <w:r>
        <w:rPr>
          <w:rFonts w:hint="eastAsia" w:ascii="宋体" w:hAnsi="宋体" w:cs="仿宋"/>
          <w:color w:val="auto"/>
          <w:sz w:val="28"/>
          <w:szCs w:val="28"/>
          <w:highlight w:val="none"/>
        </w:rPr>
        <w:t xml:space="preserve">质疑事项1</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u w:val="single"/>
          <w:lang w:eastAsia="zh-CN"/>
        </w:rPr>
      </w:pPr>
      <w:r>
        <w:rPr>
          <w:rFonts w:hint="eastAsia" w:ascii="宋体" w:hAnsi="宋体" w:cs="仿宋"/>
          <w:color w:val="auto"/>
          <w:sz w:val="28"/>
          <w:szCs w:val="28"/>
          <w:highlight w:val="none"/>
        </w:rPr>
        <w:t xml:space="preserve">事实依据</w:t>
      </w:r>
      <w:r>
        <w:rPr>
          <w:rFonts w:hint="eastAsia" w:ascii="宋体" w:hAnsi="宋体" w:cs="仿宋"/>
          <w:color w:val="auto"/>
          <w:sz w:val="28"/>
          <w:szCs w:val="28"/>
          <w:highlight w:val="none"/>
          <w:lang w:eastAsia="zh-CN"/>
        </w:rPr>
        <w:t xml:space="preserve">：</w:t>
      </w:r>
      <w:r/>
    </w:p>
    <w:p>
      <w:pPr>
        <w:spacing w:line="360" w:lineRule="auto"/>
        <w:rPr>
          <w:rFonts w:hint="eastAsia" w:ascii="宋体" w:hAnsi="宋体" w:eastAsia="宋体" w:cs="仿宋"/>
          <w:color w:val="auto"/>
          <w:sz w:val="28"/>
          <w:szCs w:val="28"/>
          <w:highlight w:val="none"/>
          <w:u w:val="single"/>
          <w:lang w:eastAsia="zh-CN"/>
        </w:rPr>
      </w:pPr>
      <w:r>
        <w:rPr>
          <w:rFonts w:hint="eastAsia" w:ascii="宋体" w:hAnsi="宋体" w:cs="仿宋"/>
          <w:color w:val="auto"/>
          <w:sz w:val="28"/>
          <w:szCs w:val="28"/>
          <w:highlight w:val="none"/>
        </w:rPr>
        <w:t xml:space="preserve">法律依据</w:t>
      </w:r>
      <w:r>
        <w:rPr>
          <w:rFonts w:hint="eastAsia" w:ascii="宋体" w:hAnsi="宋体" w:cs="仿宋"/>
          <w:color w:val="auto"/>
          <w:sz w:val="28"/>
          <w:szCs w:val="28"/>
          <w:highlight w:val="none"/>
          <w:lang w:eastAsia="zh-CN"/>
        </w:rPr>
        <w:t xml:space="preserve">：</w:t>
      </w:r>
      <w:r/>
    </w:p>
    <w:p>
      <w:pPr>
        <w:spacing w:line="360" w:lineRule="auto"/>
        <w:rPr>
          <w:rFonts w:ascii="宋体" w:hAnsi="宋体" w:cs="仿宋"/>
          <w:color w:val="auto"/>
          <w:sz w:val="28"/>
          <w:szCs w:val="28"/>
          <w:highlight w:val="none"/>
          <w:u w:val="single"/>
        </w:rPr>
      </w:pPr>
      <w:r>
        <w:rPr>
          <w:rFonts w:hint="eastAsia" w:ascii="宋体" w:hAnsi="宋体" w:cs="仿宋"/>
          <w:color w:val="auto"/>
          <w:sz w:val="28"/>
          <w:szCs w:val="28"/>
          <w:highlight w:val="none"/>
        </w:rPr>
        <w:t xml:space="preserve">质疑事项2</w:t>
      </w:r>
      <w:r/>
    </w:p>
    <w:p>
      <w:pPr>
        <w:spacing w:line="360" w:lineRule="auto"/>
        <w:rPr>
          <w:rFonts w:ascii="宋体" w:hAnsi="宋体" w:cs="仿宋"/>
          <w:color w:val="auto"/>
          <w:sz w:val="28"/>
          <w:szCs w:val="28"/>
          <w:highlight w:val="none"/>
        </w:rPr>
      </w:pPr>
      <w:r>
        <w:rPr>
          <w:rFonts w:hint="eastAsia" w:ascii="宋体" w:hAnsi="宋体" w:cs="仿宋"/>
          <w:color w:val="auto"/>
          <w:sz w:val="28"/>
          <w:szCs w:val="28"/>
          <w:highlight w:val="none"/>
        </w:rPr>
        <w:t xml:space="preserve">……</w:t>
      </w:r>
      <w:r/>
    </w:p>
    <w:p>
      <w:pPr>
        <w:spacing w:line="360" w:lineRule="auto"/>
        <w:rPr>
          <w:rFonts w:ascii="宋体" w:hAnsi="宋体" w:cs="仿宋"/>
          <w:bCs/>
          <w:color w:val="auto"/>
          <w:sz w:val="28"/>
          <w:szCs w:val="28"/>
          <w:highlight w:val="none"/>
        </w:rPr>
      </w:pPr>
      <w:r>
        <w:rPr>
          <w:rFonts w:hint="eastAsia" w:ascii="宋体" w:hAnsi="宋体" w:cs="仿宋"/>
          <w:bCs/>
          <w:color w:val="auto"/>
          <w:sz w:val="28"/>
          <w:szCs w:val="28"/>
          <w:highlight w:val="none"/>
        </w:rPr>
        <w:t xml:space="preserve">四、与质疑事项相关的质疑请求</w:t>
      </w:r>
      <w:r/>
    </w:p>
    <w:p>
      <w:pPr>
        <w:spacing w:line="360" w:lineRule="auto"/>
        <w:rPr>
          <w:rFonts w:hint="eastAsia" w:ascii="宋体" w:hAnsi="宋体" w:eastAsia="宋体" w:cs="仿宋"/>
          <w:color w:val="auto"/>
          <w:sz w:val="28"/>
          <w:szCs w:val="28"/>
          <w:highlight w:val="none"/>
          <w:u w:val="single"/>
          <w:lang w:eastAsia="zh-CN"/>
        </w:rPr>
      </w:pPr>
      <w:r>
        <w:rPr>
          <w:rFonts w:hint="eastAsia" w:ascii="宋体" w:hAnsi="宋体" w:cs="仿宋"/>
          <w:color w:val="auto"/>
          <w:sz w:val="28"/>
          <w:szCs w:val="28"/>
          <w:highlight w:val="none"/>
        </w:rPr>
        <w:t xml:space="preserve">请求</w:t>
      </w:r>
      <w:r>
        <w:rPr>
          <w:rFonts w:hint="eastAsia" w:ascii="宋体" w:hAnsi="宋体" w:cs="仿宋"/>
          <w:color w:val="auto"/>
          <w:sz w:val="28"/>
          <w:szCs w:val="28"/>
          <w:highlight w:val="none"/>
          <w:lang w:eastAsia="zh-CN"/>
        </w:rPr>
        <w:t xml:space="preserve">：</w:t>
      </w:r>
      <w:r/>
    </w:p>
    <w:p>
      <w:pPr>
        <w:rPr>
          <w:rFonts w:ascii="宋体" w:hAnsi="宋体"/>
          <w:color w:val="auto"/>
          <w:sz w:val="28"/>
          <w:szCs w:val="28"/>
          <w:highlight w:val="none"/>
        </w:rPr>
      </w:pPr>
      <w:r>
        <w:rPr>
          <w:rFonts w:hint="eastAsia" w:ascii="宋体" w:hAnsi="宋体"/>
          <w:color w:val="auto"/>
          <w:sz w:val="28"/>
          <w:szCs w:val="28"/>
          <w:highlight w:val="none"/>
        </w:rPr>
        <w:t xml:space="preserve">签字(签章)</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                   公章</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                      </w:t>
      </w:r>
      <w:r/>
    </w:p>
    <w:p>
      <w:pPr>
        <w:keepLines w:val="0"/>
        <w:keepNext w:val="0"/>
        <w:pageBreakBefore w:val="0"/>
        <w:spacing w:before="181"/>
        <w:widowControl w:val="off"/>
        <w:rPr>
          <w:rFonts w:ascii="宋体" w:hAnsi="宋体"/>
          <w:color w:val="auto"/>
          <w:sz w:val="28"/>
          <w:szCs w:val="28"/>
          <w:highlight w:val="none"/>
        </w:rPr>
      </w:pPr>
      <w:r>
        <w:rPr>
          <w:rFonts w:hint="eastAsia" w:ascii="宋体" w:hAnsi="宋体"/>
          <w:color w:val="auto"/>
          <w:sz w:val="28"/>
          <w:szCs w:val="28"/>
          <w:highlight w:val="none"/>
        </w:rPr>
        <w:t xml:space="preserve">日期</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    </w:t>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质疑函制作说明</w:t>
      </w:r>
      <w:r>
        <w:rPr>
          <w:rFonts w:hint="eastAsia" w:ascii="宋体" w:hAnsi="宋体"/>
          <w:b/>
          <w:color w:val="auto"/>
          <w:sz w:val="28"/>
          <w:szCs w:val="28"/>
          <w:highlight w:val="none"/>
          <w:lang w:eastAsia="zh-CN"/>
        </w:rPr>
        <w:t xml:space="preserve">：</w:t>
      </w:r>
      <w:r/>
    </w:p>
    <w:p>
      <w:pPr>
        <w:ind w:firstLine="640"/>
        <w:jc w:val="left"/>
        <w:widowControl/>
        <w:rPr>
          <w:rFonts w:ascii="宋体" w:hAnsi="宋体"/>
          <w:color w:val="auto"/>
          <w:sz w:val="28"/>
          <w:szCs w:val="28"/>
          <w:highlight w:val="none"/>
        </w:rPr>
      </w:pPr>
      <w:r>
        <w:rPr>
          <w:rFonts w:hint="eastAsia" w:ascii="宋体" w:hAnsi="宋体"/>
          <w:color w:val="auto"/>
          <w:sz w:val="28"/>
          <w:szCs w:val="28"/>
          <w:highlight w:val="none"/>
        </w:rPr>
        <w:t xml:space="preserve">1.供应商提出质疑时，应提交质疑函和必要的证明材料。</w:t>
      </w:r>
      <w:r/>
    </w:p>
    <w:p>
      <w:pPr>
        <w:ind w:firstLine="640"/>
        <w:jc w:val="left"/>
        <w:widowControl/>
        <w:rPr>
          <w:rFonts w:ascii="宋体" w:hAnsi="宋体"/>
          <w:color w:val="auto"/>
          <w:sz w:val="28"/>
          <w:szCs w:val="28"/>
          <w:highlight w:val="none"/>
        </w:rPr>
      </w:pPr>
      <w:r>
        <w:rPr>
          <w:rFonts w:hint="eastAsia" w:ascii="宋体" w:hAnsi="宋体"/>
          <w:color w:val="auto"/>
          <w:sz w:val="28"/>
          <w:szCs w:val="28"/>
          <w:highlight w:val="none"/>
        </w:rPr>
        <w:t xml:space="preserve">2.质疑供应商若委托代理人进行质疑的，质疑函应按要求列明“授权代表”的有关内容，并在附件中提交由质疑</w:t>
      </w:r>
      <w:r>
        <w:rPr>
          <w:rFonts w:hint="eastAsia" w:ascii="宋体" w:hAnsi="宋体" w:cs="宋体"/>
          <w:color w:val="auto"/>
          <w:sz w:val="28"/>
          <w:szCs w:val="28"/>
          <w:highlight w:val="none"/>
        </w:rPr>
        <w:t xml:space="preserve">供应商签署的授权委托书。授权委托书应载明代理人的姓名或者名称、代理事项、具体权限、期限和相关事项。</w:t>
      </w:r>
      <w:r/>
    </w:p>
    <w:p>
      <w:pPr>
        <w:ind w:firstLine="640"/>
        <w:jc w:val="left"/>
        <w:widowControl/>
        <w:rPr>
          <w:rFonts w:ascii="宋体" w:hAnsi="宋体"/>
          <w:color w:val="auto"/>
          <w:sz w:val="28"/>
          <w:szCs w:val="28"/>
          <w:highlight w:val="none"/>
        </w:rPr>
      </w:pPr>
      <w:r>
        <w:rPr>
          <w:rFonts w:hint="eastAsia" w:ascii="宋体" w:hAnsi="宋体"/>
          <w:color w:val="auto"/>
          <w:sz w:val="28"/>
          <w:szCs w:val="28"/>
          <w:highlight w:val="none"/>
        </w:rPr>
        <w:t xml:space="preserve">3.质疑供应商若对项目的某一分包进行质疑，质疑函中应列明具体分包号。</w:t>
      </w:r>
      <w:r/>
    </w:p>
    <w:p>
      <w:pPr>
        <w:ind w:firstLine="640"/>
        <w:jc w:val="left"/>
        <w:widowControl/>
        <w:rPr>
          <w:rFonts w:ascii="宋体" w:hAnsi="宋体"/>
          <w:color w:val="auto"/>
          <w:sz w:val="28"/>
          <w:szCs w:val="28"/>
          <w:highlight w:val="none"/>
        </w:rPr>
      </w:pPr>
      <w:r>
        <w:rPr>
          <w:rFonts w:hint="eastAsia" w:ascii="宋体" w:hAnsi="宋体"/>
          <w:color w:val="auto"/>
          <w:sz w:val="28"/>
          <w:szCs w:val="28"/>
          <w:highlight w:val="none"/>
        </w:rPr>
        <w:t xml:space="preserve">4.质疑函的质疑事项应具体、明确，并有必要的事实依据和法律依据。</w:t>
      </w:r>
      <w:r/>
    </w:p>
    <w:p>
      <w:pPr>
        <w:ind w:firstLine="640"/>
        <w:jc w:val="left"/>
        <w:widowControl/>
        <w:rPr>
          <w:rFonts w:ascii="宋体" w:hAnsi="宋体"/>
          <w:color w:val="auto"/>
          <w:sz w:val="28"/>
          <w:szCs w:val="28"/>
          <w:highlight w:val="none"/>
        </w:rPr>
      </w:pPr>
      <w:r>
        <w:rPr>
          <w:rFonts w:hint="eastAsia" w:ascii="宋体" w:hAnsi="宋体"/>
          <w:color w:val="auto"/>
          <w:sz w:val="28"/>
          <w:szCs w:val="28"/>
          <w:highlight w:val="none"/>
        </w:rPr>
        <w:t xml:space="preserve">5.质疑函的质疑请求应与质疑事项相关。</w:t>
      </w:r>
      <w:r/>
    </w:p>
    <w:p>
      <w:pPr>
        <w:ind w:firstLine="640"/>
        <w:jc w:val="left"/>
        <w:widowControl/>
        <w:rPr>
          <w:rFonts w:hint="eastAsia" w:ascii="宋体" w:hAnsi="宋体"/>
          <w:color w:val="auto"/>
          <w:sz w:val="28"/>
          <w:szCs w:val="28"/>
          <w:highlight w:val="none"/>
        </w:rPr>
      </w:pPr>
      <w:r>
        <w:rPr>
          <w:rFonts w:hint="eastAsia" w:ascii="宋体" w:hAnsi="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sz w:val="28"/>
          <w:szCs w:val="28"/>
          <w:highlight w:val="none"/>
        </w:rPr>
      </w:pPr>
      <w:r>
        <w:rPr>
          <w:color w:val="auto"/>
          <w:sz w:val="28"/>
          <w:szCs w:val="28"/>
          <w:highlight w:val="none"/>
        </w:rPr>
      </w:r>
      <w:r/>
    </w:p>
    <w:sectPr>
      <w:headerReference w:type="default" r:id="rId9"/>
      <w:footnotePr/>
      <w:endnotePr/>
      <w:type w:val="nextPage"/>
      <w:pgSz w:w="11906" w:h="16838" w:orient="portrait"/>
      <w:pgMar w:top="1587" w:right="1417" w:bottom="158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__WRD_EMBED_SUB_347">
    <w:panose1 w:val="020B0503020202020204"/>
  </w:font>
  <w:font w:name="Wingdings">
    <w:panose1 w:val="05000000000000000000"/>
  </w:font>
  <w:font w:name="华文细黑">
    <w:panose1 w:val="02010600040101010101"/>
  </w:font>
  <w:font w:name="Tahoma">
    <w:panose1 w:val="020B0604030504040204"/>
  </w:font>
  <w:font w:name="Calibri">
    <w:panose1 w:val="020F0502020204030204"/>
  </w:font>
  <w:font w:name="仿宋">
    <w:panose1 w:val="02010609060101010101"/>
  </w:font>
  <w:font w:name="等线">
    <w:panose1 w:val="02010600030101010101"/>
  </w:font>
  <w:font w:name="ˎ̥">
    <w:panose1 w:val="020B0503020202020204"/>
  </w:font>
  <w:font w:name="楷体_GB2312">
    <w:panose1 w:val="02010609060101010101"/>
  </w:font>
  <w:font w:name="Courier New">
    <w:panose1 w:val="02070309020205020404"/>
  </w:font>
  <w:font w:name="方正黑体_GBK">
    <w:panose1 w:val="020B0503020202020204"/>
  </w:font>
  <w:font w:name="Cambria">
    <w:panose1 w:val="02040503050406030204"/>
  </w:font>
  <w:font w:name="Symbol">
    <w:panose1 w:val="05050102010706020507"/>
  </w:font>
  <w:font w:name="新宋体">
    <w:panose1 w:val="02010609030101010101"/>
  </w:font>
  <w:font w:name="Impact">
    <w:panose1 w:val="020B080603090205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___WRD_EMBED_SUB_348">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pStyle w:val="946"/>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pPr>
      <w:jc w:val="both"/>
      <w:widowControl w:val="off"/>
    </w:pPr>
    <w:rPr>
      <w:rFonts w:hint="default" w:ascii="Times New Roman" w:hAnsi="Times New Roman" w:eastAsia="宋体" w:cs="Times New Roman"/>
      <w:sz w:val="21"/>
      <w:szCs w:val="24"/>
    </w:rPr>
  </w:style>
  <w:style w:type="paragraph" w:styleId="649">
    <w:name w:val="Heading 1"/>
    <w:basedOn w:val="648"/>
    <w:next w:val="648"/>
    <w:link w:val="866"/>
    <w:uiPriority w:val="0"/>
    <w:qFormat/>
    <w:pPr>
      <w:keepLines/>
      <w:keepNext/>
      <w:spacing w:before="340" w:after="330" w:line="578" w:lineRule="auto"/>
      <w:outlineLvl w:val="0"/>
    </w:pPr>
    <w:rPr>
      <w:b/>
      <w:bCs/>
      <w:sz w:val="44"/>
      <w:szCs w:val="44"/>
    </w:rPr>
  </w:style>
  <w:style w:type="paragraph" w:styleId="650">
    <w:name w:val="Heading 2"/>
    <w:basedOn w:val="648"/>
    <w:next w:val="648"/>
    <w:link w:val="867"/>
    <w:uiPriority w:val="0"/>
    <w:qFormat/>
    <w:pPr>
      <w:keepLines/>
      <w:keepNext/>
      <w:spacing w:before="260" w:after="260" w:line="416" w:lineRule="auto"/>
      <w:outlineLvl w:val="1"/>
    </w:pPr>
    <w:rPr>
      <w:rFonts w:ascii="Arial" w:hAnsi="Arial" w:eastAsia="黑体"/>
      <w:b/>
      <w:bCs/>
      <w:sz w:val="32"/>
      <w:szCs w:val="32"/>
    </w:rPr>
  </w:style>
  <w:style w:type="paragraph" w:styleId="651">
    <w:name w:val="Heading 3"/>
    <w:basedOn w:val="648"/>
    <w:next w:val="648"/>
    <w:link w:val="868"/>
    <w:uiPriority w:val="0"/>
    <w:qFormat/>
    <w:pPr>
      <w:keepLines/>
      <w:keepNext/>
      <w:spacing w:before="260" w:after="260" w:line="416" w:lineRule="auto"/>
      <w:outlineLvl w:val="2"/>
    </w:pPr>
    <w:rPr>
      <w:b/>
      <w:bCs/>
      <w:sz w:val="32"/>
      <w:szCs w:val="32"/>
    </w:rPr>
  </w:style>
  <w:style w:type="paragraph" w:styleId="652">
    <w:name w:val="Heading 4"/>
    <w:basedOn w:val="648"/>
    <w:next w:val="648"/>
    <w:link w:val="869"/>
    <w:uiPriority w:val="0"/>
    <w:qFormat/>
    <w:pPr>
      <w:jc w:val="center"/>
      <w:keepNext/>
      <w:outlineLvl w:val="3"/>
    </w:pPr>
    <w:rPr>
      <w:rFonts w:eastAsia="新宋体"/>
      <w:sz w:val="30"/>
      <w:szCs w:val="21"/>
    </w:rPr>
  </w:style>
  <w:style w:type="paragraph" w:styleId="653">
    <w:name w:val="Heading 5"/>
    <w:basedOn w:val="648"/>
    <w:next w:val="648"/>
    <w:link w:val="870"/>
    <w:uiPriority w:val="0"/>
    <w:qFormat/>
    <w:pPr>
      <w:keepLines/>
      <w:keepNext/>
      <w:spacing w:before="280" w:after="290" w:line="376" w:lineRule="auto"/>
      <w:outlineLvl w:val="4"/>
    </w:pPr>
    <w:rPr>
      <w:b/>
      <w:bCs/>
      <w:sz w:val="28"/>
      <w:szCs w:val="28"/>
    </w:rPr>
  </w:style>
  <w:style w:type="paragraph" w:styleId="654">
    <w:name w:val="Heading 6"/>
    <w:basedOn w:val="648"/>
    <w:next w:val="660"/>
    <w:link w:val="871"/>
    <w:uiPriority w:val="0"/>
    <w:qFormat/>
    <w:pPr>
      <w:jc w:val="center"/>
      <w:keepNext/>
      <w:outlineLvl w:val="5"/>
    </w:pPr>
    <w:rPr>
      <w:b/>
      <w:sz w:val="44"/>
      <w:szCs w:val="20"/>
    </w:rPr>
  </w:style>
  <w:style w:type="paragraph" w:styleId="655">
    <w:name w:val="Heading 7"/>
    <w:basedOn w:val="648"/>
    <w:next w:val="648"/>
    <w:link w:val="873"/>
    <w:uiPriority w:val="0"/>
    <w:qFormat/>
    <w:pPr>
      <w:keepLines/>
      <w:keepNext/>
      <w:spacing w:before="240" w:after="64" w:line="320" w:lineRule="auto"/>
      <w:outlineLvl w:val="6"/>
    </w:pPr>
    <w:rPr>
      <w:b/>
      <w:bCs/>
      <w:sz w:val="24"/>
    </w:rPr>
  </w:style>
  <w:style w:type="paragraph" w:styleId="656">
    <w:name w:val="Heading 8"/>
    <w:basedOn w:val="648"/>
    <w:next w:val="648"/>
    <w:link w:val="874"/>
    <w:uiPriority w:val="0"/>
    <w:qFormat/>
    <w:pPr>
      <w:keepLines/>
      <w:keepNext/>
      <w:spacing w:before="240" w:after="64" w:line="320" w:lineRule="auto"/>
      <w:outlineLvl w:val="7"/>
    </w:pPr>
    <w:rPr>
      <w:rFonts w:ascii="Arial" w:hAnsi="Arial" w:eastAsia="黑体"/>
      <w:sz w:val="24"/>
    </w:rPr>
  </w:style>
  <w:style w:type="paragraph" w:styleId="657">
    <w:name w:val="Heading 9"/>
    <w:basedOn w:val="648"/>
    <w:next w:val="648"/>
    <w:link w:val="875"/>
    <w:uiPriority w:val="0"/>
    <w:qFormat/>
    <w:pPr>
      <w:keepLines/>
      <w:keepNext/>
      <w:spacing w:before="240" w:after="64" w:line="320" w:lineRule="auto"/>
      <w:outlineLvl w:val="8"/>
    </w:pPr>
    <w:rPr>
      <w:rFonts w:ascii="Arial" w:hAnsi="Arial" w:eastAsia="黑体"/>
      <w:sz w:val="24"/>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Normal Indent"/>
    <w:basedOn w:val="648"/>
    <w:next w:val="648"/>
    <w:link w:val="872"/>
    <w:uiPriority w:val="0"/>
    <w:qFormat/>
    <w:pPr>
      <w:ind w:firstLine="420"/>
    </w:pPr>
    <w:rPr>
      <w:sz w:val="20"/>
      <w:szCs w:val="20"/>
    </w:rPr>
  </w:style>
  <w:style w:type="paragraph" w:styleId="661">
    <w:name w:val="List 3"/>
    <w:basedOn w:val="648"/>
    <w:uiPriority w:val="0"/>
    <w:qFormat/>
    <w:pPr>
      <w:ind w:left="100" w:hanging="200"/>
    </w:pPr>
    <w:rPr>
      <w:szCs w:val="21"/>
    </w:rPr>
  </w:style>
  <w:style w:type="paragraph" w:styleId="662">
    <w:name w:val="toc 7"/>
    <w:basedOn w:val="648"/>
    <w:next w:val="648"/>
    <w:uiPriority w:val="0"/>
    <w:qFormat/>
    <w:pPr>
      <w:ind w:left="1260"/>
      <w:jc w:val="left"/>
    </w:pPr>
    <w:rPr>
      <w:szCs w:val="21"/>
    </w:rPr>
  </w:style>
  <w:style w:type="paragraph" w:styleId="663">
    <w:name w:val="Caption"/>
    <w:basedOn w:val="648"/>
    <w:next w:val="648"/>
    <w:uiPriority w:val="0"/>
    <w:qFormat/>
    <w:rPr>
      <w:rFonts w:ascii="Cambria" w:hAnsi="Cambria" w:eastAsia="黑体"/>
      <w:sz w:val="20"/>
      <w:szCs w:val="20"/>
    </w:rPr>
  </w:style>
  <w:style w:type="paragraph" w:styleId="664">
    <w:name w:val="index 5"/>
    <w:basedOn w:val="648"/>
    <w:next w:val="648"/>
    <w:uiPriority w:val="0"/>
    <w:qFormat/>
    <w:pPr>
      <w:ind w:left="800"/>
    </w:pPr>
  </w:style>
  <w:style w:type="paragraph" w:styleId="665">
    <w:name w:val="Document Map"/>
    <w:basedOn w:val="648"/>
    <w:link w:val="876"/>
    <w:uiPriority w:val="0"/>
    <w:qFormat/>
    <w:pPr>
      <w:shd w:val="clear" w:color="auto" w:fill="000080"/>
    </w:pPr>
    <w:rPr>
      <w:sz w:val="20"/>
      <w:shd w:val="clear" w:color="auto" w:fill="000080"/>
    </w:rPr>
  </w:style>
  <w:style w:type="paragraph" w:styleId="666">
    <w:name w:val="annotation text"/>
    <w:basedOn w:val="648"/>
    <w:link w:val="877"/>
    <w:uiPriority w:val="0"/>
    <w:qFormat/>
    <w:pPr>
      <w:jc w:val="left"/>
    </w:pPr>
  </w:style>
  <w:style w:type="paragraph" w:styleId="667">
    <w:name w:val="Body Text 3"/>
    <w:basedOn w:val="648"/>
    <w:link w:val="878"/>
    <w:uiPriority w:val="0"/>
    <w:qFormat/>
    <w:pPr>
      <w:spacing w:after="120"/>
    </w:pPr>
    <w:rPr>
      <w:sz w:val="16"/>
      <w:szCs w:val="16"/>
    </w:rPr>
  </w:style>
  <w:style w:type="paragraph" w:styleId="668">
    <w:name w:val="Body Text"/>
    <w:basedOn w:val="648"/>
    <w:next w:val="669"/>
    <w:link w:val="864"/>
    <w:uiPriority w:val="0"/>
    <w:qFormat/>
    <w:rPr>
      <w:rFonts w:ascii="仿宋_GB2312" w:eastAsia="仿宋_GB2312"/>
      <w:sz w:val="24"/>
      <w:szCs w:val="20"/>
    </w:rPr>
  </w:style>
  <w:style w:type="paragraph" w:styleId="669">
    <w:name w:val="toc 2"/>
    <w:basedOn w:val="648"/>
    <w:next w:val="648"/>
    <w:uiPriority w:val="0"/>
    <w:qFormat/>
    <w:pPr>
      <w:ind w:left="210"/>
      <w:jc w:val="left"/>
    </w:pPr>
    <w:rPr>
      <w:smallCaps/>
    </w:rPr>
  </w:style>
  <w:style w:type="paragraph" w:styleId="670">
    <w:name w:val="Body Text Indent"/>
    <w:basedOn w:val="648"/>
    <w:next w:val="671"/>
    <w:link w:val="879"/>
    <w:uiPriority w:val="0"/>
    <w:qFormat/>
    <w:pPr>
      <w:ind w:firstLine="420"/>
      <w:spacing w:line="360" w:lineRule="auto"/>
    </w:pPr>
    <w:rPr>
      <w:rFonts w:ascii="宋体"/>
      <w:sz w:val="24"/>
    </w:rPr>
  </w:style>
  <w:style w:type="paragraph" w:styleId="671">
    <w:name w:val="envelope return"/>
    <w:basedOn w:val="648"/>
    <w:uiPriority w:val="0"/>
    <w:qFormat/>
    <w:pPr>
      <w:ind w:firstLine="200"/>
      <w:spacing w:line="360" w:lineRule="auto"/>
    </w:pPr>
    <w:rPr>
      <w:rFonts w:ascii="Arial" w:hAnsi="Arial" w:eastAsia="仿宋_GB2312" w:cs="Arial"/>
      <w:sz w:val="24"/>
    </w:rPr>
  </w:style>
  <w:style w:type="paragraph" w:styleId="672">
    <w:name w:val="List 2"/>
    <w:basedOn w:val="648"/>
    <w:uiPriority w:val="0"/>
    <w:qFormat/>
    <w:pPr>
      <w:ind w:left="100" w:hanging="200"/>
    </w:pPr>
    <w:rPr>
      <w:szCs w:val="21"/>
    </w:rPr>
  </w:style>
  <w:style w:type="paragraph" w:styleId="673">
    <w:name w:val="toc 5"/>
    <w:basedOn w:val="648"/>
    <w:next w:val="648"/>
    <w:uiPriority w:val="0"/>
    <w:qFormat/>
    <w:pPr>
      <w:ind w:left="840"/>
      <w:jc w:val="left"/>
    </w:pPr>
    <w:rPr>
      <w:szCs w:val="21"/>
    </w:rPr>
  </w:style>
  <w:style w:type="paragraph" w:styleId="674">
    <w:name w:val="toc 3"/>
    <w:basedOn w:val="648"/>
    <w:next w:val="648"/>
    <w:uiPriority w:val="0"/>
    <w:qFormat/>
    <w:pPr>
      <w:ind w:left="420"/>
      <w:jc w:val="left"/>
    </w:pPr>
    <w:rPr>
      <w:i/>
      <w:iCs/>
    </w:rPr>
  </w:style>
  <w:style w:type="paragraph" w:styleId="675">
    <w:name w:val="Plain Text"/>
    <w:basedOn w:val="648"/>
    <w:link w:val="880"/>
    <w:uiPriority w:val="0"/>
    <w:qFormat/>
    <w:rPr>
      <w:rFonts w:ascii="宋体" w:hAnsi="Courier New"/>
      <w:sz w:val="28"/>
    </w:rPr>
  </w:style>
  <w:style w:type="paragraph" w:styleId="676">
    <w:name w:val="toc 8"/>
    <w:basedOn w:val="648"/>
    <w:next w:val="648"/>
    <w:uiPriority w:val="0"/>
    <w:qFormat/>
    <w:pPr>
      <w:ind w:left="1470"/>
      <w:jc w:val="left"/>
    </w:pPr>
    <w:rPr>
      <w:szCs w:val="21"/>
    </w:rPr>
  </w:style>
  <w:style w:type="paragraph" w:styleId="677">
    <w:name w:val="Date"/>
    <w:basedOn w:val="648"/>
    <w:next w:val="648"/>
    <w:link w:val="881"/>
    <w:uiPriority w:val="0"/>
    <w:qFormat/>
    <w:rPr>
      <w:sz w:val="24"/>
      <w:szCs w:val="20"/>
    </w:rPr>
  </w:style>
  <w:style w:type="paragraph" w:styleId="678">
    <w:name w:val="Body Text Indent 2"/>
    <w:basedOn w:val="648"/>
    <w:link w:val="882"/>
    <w:uiPriority w:val="0"/>
    <w:qFormat/>
    <w:pPr>
      <w:ind w:firstLine="560"/>
      <w:spacing w:line="500" w:lineRule="exact"/>
    </w:pPr>
    <w:rPr>
      <w:rFonts w:eastAsia="仿宋_GB2312"/>
      <w:sz w:val="28"/>
      <w:szCs w:val="20"/>
    </w:rPr>
  </w:style>
  <w:style w:type="paragraph" w:styleId="679">
    <w:name w:val="endnote text"/>
    <w:basedOn w:val="648"/>
    <w:link w:val="862"/>
    <w:uiPriority w:val="99"/>
    <w:semiHidden/>
    <w:unhideWhenUsed/>
    <w:qFormat/>
    <w:rPr>
      <w:sz w:val="20"/>
    </w:rPr>
  </w:style>
  <w:style w:type="paragraph" w:styleId="680">
    <w:name w:val="Balloon Text"/>
    <w:basedOn w:val="648"/>
    <w:link w:val="883"/>
    <w:uiPriority w:val="0"/>
    <w:qFormat/>
    <w:rPr>
      <w:sz w:val="18"/>
      <w:szCs w:val="18"/>
    </w:rPr>
  </w:style>
  <w:style w:type="paragraph" w:styleId="681">
    <w:name w:val="Footer"/>
    <w:basedOn w:val="648"/>
    <w:link w:val="884"/>
    <w:uiPriority w:val="0"/>
    <w:qFormat/>
    <w:pPr>
      <w:jc w:val="left"/>
      <w:tabs>
        <w:tab w:val="center" w:pos="4153" w:leader="none"/>
        <w:tab w:val="right" w:pos="8306" w:leader="none"/>
      </w:tabs>
    </w:pPr>
    <w:rPr>
      <w:sz w:val="18"/>
      <w:szCs w:val="20"/>
    </w:rPr>
  </w:style>
  <w:style w:type="paragraph" w:styleId="682">
    <w:name w:val="Header"/>
    <w:basedOn w:val="648"/>
    <w:link w:val="885"/>
    <w:uiPriority w:val="0"/>
    <w:qFormat/>
    <w:pPr>
      <w:jc w:val="center"/>
      <w:tabs>
        <w:tab w:val="center" w:pos="4153" w:leader="none"/>
        <w:tab w:val="right" w:pos="8306" w:leader="none"/>
      </w:tabs>
      <w:pBdr>
        <w:bottom w:val="single" w:color="000000" w:sz="6" w:space="1"/>
      </w:pBdr>
    </w:pPr>
    <w:rPr>
      <w:sz w:val="18"/>
      <w:szCs w:val="18"/>
    </w:rPr>
  </w:style>
  <w:style w:type="paragraph" w:styleId="683">
    <w:name w:val="toc 1"/>
    <w:basedOn w:val="648"/>
    <w:next w:val="648"/>
    <w:uiPriority w:val="0"/>
    <w:qFormat/>
    <w:rPr>
      <w:sz w:val="24"/>
    </w:rPr>
  </w:style>
  <w:style w:type="paragraph" w:styleId="684">
    <w:name w:val="toc 4"/>
    <w:basedOn w:val="648"/>
    <w:next w:val="648"/>
    <w:link w:val="886"/>
    <w:uiPriority w:val="0"/>
    <w:qFormat/>
    <w:pPr>
      <w:ind w:left="630"/>
      <w:jc w:val="left"/>
    </w:pPr>
    <w:rPr>
      <w:szCs w:val="21"/>
    </w:rPr>
  </w:style>
  <w:style w:type="paragraph" w:styleId="685">
    <w:name w:val="Subtitle"/>
    <w:basedOn w:val="648"/>
    <w:next w:val="648"/>
    <w:link w:val="887"/>
    <w:uiPriority w:val="0"/>
    <w:qFormat/>
    <w:pPr>
      <w:jc w:val="center"/>
      <w:spacing w:before="240" w:after="60" w:line="312" w:lineRule="auto"/>
      <w:outlineLvl w:val="1"/>
    </w:pPr>
    <w:rPr>
      <w:rFonts w:ascii="Cambria" w:hAnsi="Cambria"/>
      <w:b/>
      <w:bCs/>
      <w:sz w:val="32"/>
      <w:szCs w:val="32"/>
    </w:rPr>
  </w:style>
  <w:style w:type="paragraph" w:styleId="686">
    <w:name w:val="List"/>
    <w:basedOn w:val="648"/>
    <w:uiPriority w:val="0"/>
    <w:qFormat/>
    <w:pPr>
      <w:ind w:left="200" w:hanging="200"/>
    </w:pPr>
  </w:style>
  <w:style w:type="paragraph" w:styleId="687">
    <w:name w:val="footnote text"/>
    <w:basedOn w:val="648"/>
    <w:link w:val="888"/>
    <w:uiPriority w:val="0"/>
    <w:qFormat/>
    <w:rPr>
      <w:sz w:val="20"/>
      <w:szCs w:val="20"/>
    </w:rPr>
  </w:style>
  <w:style w:type="paragraph" w:styleId="688">
    <w:name w:val="toc 6"/>
    <w:basedOn w:val="648"/>
    <w:next w:val="648"/>
    <w:uiPriority w:val="0"/>
    <w:qFormat/>
    <w:pPr>
      <w:ind w:left="1050"/>
      <w:jc w:val="left"/>
    </w:pPr>
    <w:rPr>
      <w:szCs w:val="21"/>
    </w:rPr>
  </w:style>
  <w:style w:type="paragraph" w:styleId="689">
    <w:name w:val="Body Text Indent 3"/>
    <w:basedOn w:val="648"/>
    <w:link w:val="889"/>
    <w:uiPriority w:val="0"/>
    <w:qFormat/>
    <w:pPr>
      <w:ind w:left="420"/>
      <w:spacing w:after="120"/>
    </w:pPr>
    <w:rPr>
      <w:sz w:val="16"/>
      <w:szCs w:val="16"/>
    </w:rPr>
  </w:style>
  <w:style w:type="paragraph" w:styleId="690">
    <w:name w:val="table of figures"/>
    <w:basedOn w:val="648"/>
    <w:next w:val="648"/>
    <w:uiPriority w:val="0"/>
    <w:qFormat/>
    <w:pPr>
      <w:ind w:left="840" w:hanging="420"/>
    </w:pPr>
    <w:rPr>
      <w:szCs w:val="21"/>
    </w:rPr>
  </w:style>
  <w:style w:type="paragraph" w:styleId="691">
    <w:name w:val="toc 9"/>
    <w:basedOn w:val="648"/>
    <w:next w:val="648"/>
    <w:uiPriority w:val="0"/>
    <w:qFormat/>
    <w:pPr>
      <w:ind w:left="1680"/>
      <w:jc w:val="left"/>
    </w:pPr>
    <w:rPr>
      <w:szCs w:val="21"/>
    </w:rPr>
  </w:style>
  <w:style w:type="paragraph" w:styleId="692">
    <w:name w:val="Body Text 2"/>
    <w:basedOn w:val="648"/>
    <w:link w:val="890"/>
    <w:uiPriority w:val="0"/>
    <w:qFormat/>
    <w:rPr>
      <w:b/>
      <w:bCs/>
      <w:sz w:val="18"/>
    </w:rPr>
  </w:style>
  <w:style w:type="paragraph" w:styleId="693">
    <w:name w:val="List Continue 2"/>
    <w:basedOn w:val="648"/>
    <w:uiPriority w:val="0"/>
    <w:qFormat/>
    <w:pPr>
      <w:ind w:left="840"/>
      <w:spacing w:after="120"/>
    </w:pPr>
  </w:style>
  <w:style w:type="paragraph" w:styleId="694">
    <w:name w:val="Normal (Web)"/>
    <w:basedOn w:val="648"/>
    <w:uiPriority w:val="0"/>
    <w:qFormat/>
    <w:pPr>
      <w:jc w:val="left"/>
      <w:spacing w:before="100" w:beforeAutospacing="1" w:after="100" w:afterAutospacing="1"/>
      <w:widowControl/>
    </w:pPr>
    <w:rPr>
      <w:rFonts w:ascii="宋体" w:hAnsi="宋体"/>
      <w:color w:val="000000"/>
      <w:sz w:val="24"/>
    </w:rPr>
  </w:style>
  <w:style w:type="paragraph" w:styleId="695">
    <w:name w:val="index 1"/>
    <w:basedOn w:val="648"/>
    <w:next w:val="648"/>
    <w:uiPriority w:val="0"/>
    <w:qFormat/>
    <w:pPr>
      <w:spacing w:line="240" w:lineRule="atLeast"/>
    </w:pPr>
    <w:rPr>
      <w:b/>
      <w:bCs/>
      <w:szCs w:val="21"/>
    </w:rPr>
  </w:style>
  <w:style w:type="paragraph" w:styleId="696">
    <w:name w:val="Title"/>
    <w:basedOn w:val="648"/>
    <w:link w:val="891"/>
    <w:uiPriority w:val="0"/>
    <w:qFormat/>
    <w:pPr>
      <w:jc w:val="center"/>
      <w:spacing w:before="240" w:after="60" w:line="420" w:lineRule="atLeast"/>
      <w:outlineLvl w:val="0"/>
    </w:pPr>
    <w:rPr>
      <w:rFonts w:ascii="Arial" w:hAnsi="Arial"/>
      <w:b/>
      <w:sz w:val="32"/>
      <w:szCs w:val="20"/>
    </w:rPr>
  </w:style>
  <w:style w:type="paragraph" w:styleId="697">
    <w:name w:val="annotation subject"/>
    <w:basedOn w:val="666"/>
    <w:next w:val="666"/>
    <w:link w:val="892"/>
    <w:uiPriority w:val="0"/>
    <w:qFormat/>
    <w:rPr>
      <w:b/>
      <w:bCs/>
    </w:rPr>
  </w:style>
  <w:style w:type="paragraph" w:styleId="698">
    <w:name w:val="Body Text First Indent"/>
    <w:basedOn w:val="668"/>
    <w:link w:val="865"/>
    <w:uiPriority w:val="0"/>
    <w:qFormat/>
    <w:pPr>
      <w:ind w:firstLine="420"/>
      <w:spacing w:after="120"/>
    </w:pPr>
    <w:rPr>
      <w:rFonts w:ascii="Times New Roman" w:eastAsia="宋体"/>
      <w:szCs w:val="24"/>
    </w:rPr>
  </w:style>
  <w:style w:type="paragraph" w:styleId="699">
    <w:name w:val="Body Text First Indent 2"/>
    <w:basedOn w:val="670"/>
    <w:link w:val="893"/>
    <w:uiPriority w:val="0"/>
    <w:qFormat/>
    <w:pPr>
      <w:ind w:left="420"/>
      <w:spacing w:after="120"/>
    </w:pPr>
    <w:rPr>
      <w:sz w:val="21"/>
    </w:rPr>
  </w:style>
  <w:style w:type="table" w:styleId="700">
    <w:name w:val="Table Grid"/>
    <w:basedOn w:val="6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Strong"/>
    <w:uiPriority w:val="0"/>
    <w:qFormat/>
    <w:rPr>
      <w:b/>
      <w:bCs/>
    </w:rPr>
  </w:style>
  <w:style w:type="character" w:styleId="702">
    <w:name w:val="endnote reference"/>
    <w:uiPriority w:val="99"/>
    <w:semiHidden/>
    <w:unhideWhenUsed/>
    <w:qFormat/>
    <w:rPr>
      <w:vertAlign w:val="superscript"/>
    </w:rPr>
  </w:style>
  <w:style w:type="character" w:styleId="703">
    <w:name w:val="page number"/>
    <w:uiPriority w:val="0"/>
    <w:qFormat/>
  </w:style>
  <w:style w:type="character" w:styleId="704">
    <w:name w:val="Emphasis"/>
    <w:uiPriority w:val="0"/>
    <w:qFormat/>
    <w:rPr>
      <w:b/>
      <w:bCs/>
    </w:rPr>
  </w:style>
  <w:style w:type="character" w:styleId="705">
    <w:name w:val="HTML Definition"/>
    <w:uiPriority w:val="0"/>
    <w:qFormat/>
  </w:style>
  <w:style w:type="character" w:styleId="706">
    <w:name w:val="HTML Typewriter"/>
    <w:uiPriority w:val="0"/>
    <w:qFormat/>
    <w:rPr>
      <w:rFonts w:ascii="monospace" w:hAnsi="monospace" w:eastAsia="monospace" w:cs="monospace"/>
      <w:sz w:val="20"/>
    </w:rPr>
  </w:style>
  <w:style w:type="character" w:styleId="707">
    <w:name w:val="HTML Acronym"/>
    <w:uiPriority w:val="0"/>
    <w:qFormat/>
  </w:style>
  <w:style w:type="character" w:styleId="708">
    <w:name w:val="HTML Variable"/>
    <w:uiPriority w:val="0"/>
    <w:qFormat/>
  </w:style>
  <w:style w:type="character" w:styleId="709">
    <w:name w:val="Hyperlink"/>
    <w:uiPriority w:val="0"/>
    <w:qFormat/>
    <w:rPr>
      <w:color w:val="0000ff"/>
      <w:u w:val="single"/>
    </w:rPr>
  </w:style>
  <w:style w:type="character" w:styleId="710">
    <w:name w:val="HTML Code"/>
    <w:uiPriority w:val="0"/>
    <w:qFormat/>
    <w:rPr>
      <w:rFonts w:ascii="monospace" w:hAnsi="monospace" w:eastAsia="monospace" w:cs="monospace"/>
      <w:sz w:val="20"/>
    </w:rPr>
  </w:style>
  <w:style w:type="character" w:styleId="711">
    <w:name w:val="annotation reference"/>
    <w:uiPriority w:val="0"/>
    <w:qFormat/>
    <w:rPr>
      <w:sz w:val="21"/>
      <w:szCs w:val="21"/>
    </w:rPr>
  </w:style>
  <w:style w:type="character" w:styleId="712">
    <w:name w:val="HTML Cite"/>
    <w:uiPriority w:val="0"/>
    <w:qFormat/>
  </w:style>
  <w:style w:type="character" w:styleId="713">
    <w:name w:val="footnote reference"/>
    <w:uiPriority w:val="0"/>
    <w:qFormat/>
    <w:rPr>
      <w:vertAlign w:val="superscript"/>
    </w:rPr>
  </w:style>
  <w:style w:type="character" w:styleId="714">
    <w:name w:val="HTML Keyboard"/>
    <w:uiPriority w:val="0"/>
    <w:qFormat/>
    <w:rPr>
      <w:rFonts w:ascii="monospace" w:hAnsi="monospace" w:eastAsia="monospace" w:cs="monospace"/>
      <w:sz w:val="20"/>
    </w:rPr>
  </w:style>
  <w:style w:type="character" w:styleId="715">
    <w:name w:val="HTML Sample"/>
    <w:uiPriority w:val="0"/>
    <w:qFormat/>
    <w:rPr>
      <w:rFonts w:ascii="monospace" w:hAnsi="monospace" w:eastAsia="monospace" w:cs="monospace"/>
    </w:rPr>
  </w:style>
  <w:style w:type="character" w:styleId="716" w:customStyle="1">
    <w:name w:val="Endnote Text Char"/>
    <w:uiPriority w:val="99"/>
    <w:qFormat/>
    <w:rPr>
      <w:sz w:val="20"/>
    </w:rPr>
  </w:style>
  <w:style w:type="character" w:styleId="717" w:customStyle="1">
    <w:name w:val="Heading 1 Char"/>
    <w:uiPriority w:val="9"/>
    <w:qFormat/>
    <w:rPr>
      <w:rFonts w:ascii="Arial" w:hAnsi="Arial" w:eastAsia="Arial" w:cs="Arial"/>
      <w:sz w:val="40"/>
      <w:szCs w:val="40"/>
    </w:rPr>
  </w:style>
  <w:style w:type="character" w:styleId="718" w:customStyle="1">
    <w:name w:val="Heading 2 Char"/>
    <w:uiPriority w:val="9"/>
    <w:qFormat/>
    <w:rPr>
      <w:rFonts w:ascii="Arial" w:hAnsi="Arial" w:eastAsia="Arial" w:cs="Arial"/>
      <w:sz w:val="34"/>
    </w:rPr>
  </w:style>
  <w:style w:type="character" w:styleId="719" w:customStyle="1">
    <w:name w:val="Heading 3 Char"/>
    <w:uiPriority w:val="9"/>
    <w:qFormat/>
    <w:rPr>
      <w:rFonts w:ascii="Arial" w:hAnsi="Arial" w:eastAsia="Arial" w:cs="Arial"/>
      <w:sz w:val="30"/>
      <w:szCs w:val="30"/>
    </w:rPr>
  </w:style>
  <w:style w:type="character" w:styleId="720" w:customStyle="1">
    <w:name w:val="Heading 4 Char"/>
    <w:uiPriority w:val="9"/>
    <w:qFormat/>
    <w:rPr>
      <w:rFonts w:ascii="Arial" w:hAnsi="Arial" w:eastAsia="Arial" w:cs="Arial"/>
      <w:b/>
      <w:bCs/>
      <w:sz w:val="26"/>
      <w:szCs w:val="26"/>
    </w:rPr>
  </w:style>
  <w:style w:type="character" w:styleId="721" w:customStyle="1">
    <w:name w:val="Heading 5 Char"/>
    <w:uiPriority w:val="9"/>
    <w:qFormat/>
    <w:rPr>
      <w:rFonts w:ascii="Arial" w:hAnsi="Arial" w:eastAsia="Arial" w:cs="Arial"/>
      <w:b/>
      <w:bCs/>
      <w:sz w:val="24"/>
      <w:szCs w:val="24"/>
    </w:rPr>
  </w:style>
  <w:style w:type="character" w:styleId="722" w:customStyle="1">
    <w:name w:val="Heading 6 Char"/>
    <w:uiPriority w:val="9"/>
    <w:qFormat/>
    <w:rPr>
      <w:rFonts w:ascii="Arial" w:hAnsi="Arial" w:eastAsia="Arial" w:cs="Arial"/>
      <w:b/>
      <w:bCs/>
      <w:sz w:val="22"/>
      <w:szCs w:val="22"/>
    </w:rPr>
  </w:style>
  <w:style w:type="character" w:styleId="723" w:customStyle="1">
    <w:name w:val="Heading 7 Char"/>
    <w:uiPriority w:val="9"/>
    <w:qFormat/>
    <w:rPr>
      <w:rFonts w:ascii="Arial" w:hAnsi="Arial" w:eastAsia="Arial" w:cs="Arial"/>
      <w:b/>
      <w:bCs/>
      <w:i/>
      <w:iCs/>
      <w:sz w:val="22"/>
      <w:szCs w:val="22"/>
    </w:rPr>
  </w:style>
  <w:style w:type="character" w:styleId="724" w:customStyle="1">
    <w:name w:val="Heading 8 Char"/>
    <w:uiPriority w:val="9"/>
    <w:qFormat/>
    <w:rPr>
      <w:rFonts w:ascii="Arial" w:hAnsi="Arial" w:eastAsia="Arial" w:cs="Arial"/>
      <w:i/>
      <w:iCs/>
      <w:sz w:val="22"/>
      <w:szCs w:val="22"/>
    </w:rPr>
  </w:style>
  <w:style w:type="character" w:styleId="725" w:customStyle="1">
    <w:name w:val="Heading 9 Char"/>
    <w:uiPriority w:val="9"/>
    <w:qFormat/>
    <w:rPr>
      <w:rFonts w:ascii="Arial" w:hAnsi="Arial" w:eastAsia="Arial" w:cs="Arial"/>
      <w:i/>
      <w:iCs/>
      <w:sz w:val="21"/>
      <w:szCs w:val="21"/>
    </w:rPr>
  </w:style>
  <w:style w:type="paragraph" w:styleId="726">
    <w:name w:val="No Spacing"/>
    <w:link w:val="906"/>
    <w:uiPriority w:val="0"/>
    <w:qFormat/>
    <w:pPr>
      <w:jc w:val="both"/>
      <w:widowControl w:val="off"/>
    </w:pPr>
    <w:rPr>
      <w:rFonts w:hint="default" w:ascii="Times New Roman" w:hAnsi="Times New Roman" w:eastAsia="宋体" w:cs="Times New Roman"/>
      <w:sz w:val="21"/>
      <w:szCs w:val="24"/>
    </w:rPr>
  </w:style>
  <w:style w:type="character" w:styleId="727" w:customStyle="1">
    <w:name w:val="Title Char"/>
    <w:uiPriority w:val="10"/>
    <w:qFormat/>
    <w:rPr>
      <w:sz w:val="48"/>
      <w:szCs w:val="48"/>
    </w:rPr>
  </w:style>
  <w:style w:type="character" w:styleId="728" w:customStyle="1">
    <w:name w:val="Subtitle Char"/>
    <w:uiPriority w:val="11"/>
    <w:qFormat/>
    <w:rPr>
      <w:sz w:val="24"/>
      <w:szCs w:val="24"/>
    </w:rPr>
  </w:style>
  <w:style w:type="paragraph" w:styleId="729">
    <w:name w:val="Quote"/>
    <w:basedOn w:val="648"/>
    <w:next w:val="648"/>
    <w:link w:val="903"/>
    <w:uiPriority w:val="0"/>
    <w:qFormat/>
    <w:rPr>
      <w:i/>
      <w:iCs/>
      <w:color w:val="000000"/>
    </w:rPr>
  </w:style>
  <w:style w:type="character" w:styleId="730" w:customStyle="1">
    <w:name w:val="Quote Char"/>
    <w:uiPriority w:val="29"/>
    <w:qFormat/>
    <w:rPr>
      <w:i/>
    </w:rPr>
  </w:style>
  <w:style w:type="paragraph" w:styleId="731">
    <w:name w:val="Intense Quote"/>
    <w:basedOn w:val="648"/>
    <w:next w:val="648"/>
    <w:link w:val="944"/>
    <w:uiPriority w:val="0"/>
    <w:qFormat/>
    <w:pPr>
      <w:ind w:left="936" w:right="936"/>
      <w:spacing w:before="200" w:after="280"/>
      <w:pBdr>
        <w:bottom w:val="single" w:color="4F81BD" w:sz="4" w:space="4"/>
      </w:pBdr>
    </w:pPr>
    <w:rPr>
      <w:b/>
      <w:bCs/>
      <w:i/>
      <w:iCs/>
      <w:color w:val="4f81bd"/>
    </w:rPr>
  </w:style>
  <w:style w:type="character" w:styleId="732" w:customStyle="1">
    <w:name w:val="Intense Quote Char"/>
    <w:uiPriority w:val="30"/>
    <w:qFormat/>
    <w:rPr>
      <w:i/>
    </w:rPr>
  </w:style>
  <w:style w:type="character" w:styleId="733" w:customStyle="1">
    <w:name w:val="Header Char"/>
    <w:uiPriority w:val="99"/>
    <w:qFormat/>
  </w:style>
  <w:style w:type="character" w:styleId="734" w:customStyle="1">
    <w:name w:val="Footer Char"/>
    <w:uiPriority w:val="99"/>
    <w:qFormat/>
  </w:style>
  <w:style w:type="character" w:styleId="735" w:customStyle="1">
    <w:name w:val="Caption Char"/>
    <w:uiPriority w:val="99"/>
    <w:qFormat/>
  </w:style>
  <w:style w:type="table" w:styleId="7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9" w:customStyle="1">
    <w:name w:val="Plain Table 3"/>
    <w:uiPriority w:val="99"/>
    <w:qFormat/>
    <w:tblPr>
      <w:tblCellMar>
        <w:left w:w="0" w:type="dxa"/>
        <w:top w:w="0" w:type="dxa"/>
        <w:right w:w="0" w:type="dxa"/>
        <w:bottom w:w="0" w:type="dxa"/>
      </w:tblCellMar>
    </w:tblPr>
  </w:style>
  <w:style w:type="table" w:styleId="740" w:customStyle="1">
    <w:name w:val="Plain Table 4"/>
    <w:uiPriority w:val="99"/>
    <w:qFormat/>
    <w:tblPr>
      <w:tblCellMar>
        <w:left w:w="0" w:type="dxa"/>
        <w:top w:w="0" w:type="dxa"/>
        <w:right w:w="0" w:type="dxa"/>
        <w:bottom w:w="0" w:type="dxa"/>
      </w:tblCellMar>
    </w:tblPr>
  </w:style>
  <w:style w:type="table" w:styleId="741" w:customStyle="1">
    <w:name w:val="Plain Table 5"/>
    <w:uiPriority w:val="99"/>
    <w:qFormat/>
    <w:tblPr>
      <w:tblCellMar>
        <w:left w:w="0" w:type="dxa"/>
        <w:top w:w="0" w:type="dxa"/>
        <w:right w:w="0" w:type="dxa"/>
        <w:bottom w:w="0" w:type="dxa"/>
      </w:tblCellMar>
    </w:tblPr>
  </w:style>
  <w:style w:type="table" w:styleId="74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1" w:customStyle="1">
    <w:name w:val="List Table 1 Light"/>
    <w:uiPriority w:val="99"/>
    <w:qFormat/>
    <w:tblPr>
      <w:tblCellMar>
        <w:left w:w="0" w:type="dxa"/>
        <w:top w:w="0" w:type="dxa"/>
        <w:right w:w="0" w:type="dxa"/>
        <w:bottom w:w="0" w:type="dxa"/>
      </w:tblCellMar>
    </w:tblPr>
  </w:style>
  <w:style w:type="table" w:styleId="792" w:customStyle="1">
    <w:name w:val="List Table 1 Light - Accent 1"/>
    <w:uiPriority w:val="99"/>
    <w:qFormat/>
    <w:tblPr>
      <w:tblCellMar>
        <w:left w:w="0" w:type="dxa"/>
        <w:top w:w="0" w:type="dxa"/>
        <w:right w:w="0" w:type="dxa"/>
        <w:bottom w:w="0" w:type="dxa"/>
      </w:tblCellMar>
    </w:tblPr>
  </w:style>
  <w:style w:type="table" w:styleId="793" w:customStyle="1">
    <w:name w:val="List Table 1 Light - Accent 2"/>
    <w:uiPriority w:val="99"/>
    <w:qFormat/>
    <w:tblPr>
      <w:tblCellMar>
        <w:left w:w="0" w:type="dxa"/>
        <w:top w:w="0" w:type="dxa"/>
        <w:right w:w="0" w:type="dxa"/>
        <w:bottom w:w="0" w:type="dxa"/>
      </w:tblCellMar>
    </w:tblPr>
  </w:style>
  <w:style w:type="table" w:styleId="794" w:customStyle="1">
    <w:name w:val="List Table 1 Light - Accent 3"/>
    <w:uiPriority w:val="99"/>
    <w:qFormat/>
    <w:tblPr>
      <w:tblCellMar>
        <w:left w:w="0" w:type="dxa"/>
        <w:top w:w="0" w:type="dxa"/>
        <w:right w:w="0" w:type="dxa"/>
        <w:bottom w:w="0" w:type="dxa"/>
      </w:tblCellMar>
    </w:tblPr>
  </w:style>
  <w:style w:type="table" w:styleId="795" w:customStyle="1">
    <w:name w:val="List Table 1 Light - Accent 4"/>
    <w:uiPriority w:val="99"/>
    <w:qFormat/>
    <w:tblPr>
      <w:tblCellMar>
        <w:left w:w="0" w:type="dxa"/>
        <w:top w:w="0" w:type="dxa"/>
        <w:right w:w="0" w:type="dxa"/>
        <w:bottom w:w="0" w:type="dxa"/>
      </w:tblCellMar>
    </w:tblPr>
  </w:style>
  <w:style w:type="table" w:styleId="796" w:customStyle="1">
    <w:name w:val="List Table 1 Light - Accent 5"/>
    <w:uiPriority w:val="99"/>
    <w:qFormat/>
    <w:tblPr>
      <w:tblCellMar>
        <w:left w:w="0" w:type="dxa"/>
        <w:top w:w="0" w:type="dxa"/>
        <w:right w:w="0" w:type="dxa"/>
        <w:bottom w:w="0" w:type="dxa"/>
      </w:tblCellMar>
    </w:tblPr>
  </w:style>
  <w:style w:type="table" w:styleId="797" w:customStyle="1">
    <w:name w:val="List Table 1 Light - Accent 6"/>
    <w:uiPriority w:val="99"/>
    <w:qFormat/>
    <w:tblPr>
      <w:tblCellMar>
        <w:left w:w="0" w:type="dxa"/>
        <w:top w:w="0" w:type="dxa"/>
        <w:right w:w="0" w:type="dxa"/>
        <w:bottom w:w="0" w:type="dxa"/>
      </w:tblCellMar>
    </w:tblPr>
  </w:style>
  <w:style w:type="table" w:styleId="79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3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40" w:customStyle="1">
    <w:name w:val="Lined - Accent"/>
    <w:uiPriority w:val="99"/>
    <w:qFormat/>
    <w:rPr>
      <w:color w:val="404040"/>
    </w:rPr>
    <w:tblPr>
      <w:tblCellMar>
        <w:left w:w="0" w:type="dxa"/>
        <w:top w:w="0" w:type="dxa"/>
        <w:right w:w="0" w:type="dxa"/>
        <w:bottom w:w="0" w:type="dxa"/>
      </w:tblCellMar>
    </w:tblPr>
  </w:style>
  <w:style w:type="table" w:styleId="841" w:customStyle="1">
    <w:name w:val="Lined - Accent 1"/>
    <w:uiPriority w:val="99"/>
    <w:qFormat/>
    <w:rPr>
      <w:color w:val="404040"/>
    </w:rPr>
    <w:tblPr>
      <w:tblCellMar>
        <w:left w:w="0" w:type="dxa"/>
        <w:top w:w="0" w:type="dxa"/>
        <w:right w:w="0" w:type="dxa"/>
        <w:bottom w:w="0" w:type="dxa"/>
      </w:tblCellMar>
    </w:tblPr>
  </w:style>
  <w:style w:type="table" w:styleId="842" w:customStyle="1">
    <w:name w:val="Lined - Accent 2"/>
    <w:uiPriority w:val="99"/>
    <w:qFormat/>
    <w:rPr>
      <w:color w:val="404040"/>
    </w:rPr>
    <w:tblPr>
      <w:tblCellMar>
        <w:left w:w="0" w:type="dxa"/>
        <w:top w:w="0" w:type="dxa"/>
        <w:right w:w="0" w:type="dxa"/>
        <w:bottom w:w="0" w:type="dxa"/>
      </w:tblCellMar>
    </w:tblPr>
  </w:style>
  <w:style w:type="table" w:styleId="843" w:customStyle="1">
    <w:name w:val="Lined - Accent 3"/>
    <w:uiPriority w:val="99"/>
    <w:qFormat/>
    <w:rPr>
      <w:color w:val="404040"/>
    </w:rPr>
    <w:tblPr>
      <w:tblCellMar>
        <w:left w:w="0" w:type="dxa"/>
        <w:top w:w="0" w:type="dxa"/>
        <w:right w:w="0" w:type="dxa"/>
        <w:bottom w:w="0" w:type="dxa"/>
      </w:tblCellMar>
    </w:tblPr>
  </w:style>
  <w:style w:type="table" w:styleId="844" w:customStyle="1">
    <w:name w:val="Lined - Accent 4"/>
    <w:uiPriority w:val="99"/>
    <w:qFormat/>
    <w:rPr>
      <w:color w:val="404040"/>
    </w:rPr>
    <w:tblPr>
      <w:tblCellMar>
        <w:left w:w="0" w:type="dxa"/>
        <w:top w:w="0" w:type="dxa"/>
        <w:right w:w="0" w:type="dxa"/>
        <w:bottom w:w="0" w:type="dxa"/>
      </w:tblCellMar>
    </w:tblPr>
  </w:style>
  <w:style w:type="table" w:styleId="845" w:customStyle="1">
    <w:name w:val="Lined - Accent 5"/>
    <w:uiPriority w:val="99"/>
    <w:qFormat/>
    <w:rPr>
      <w:color w:val="404040"/>
    </w:rPr>
    <w:tblPr>
      <w:tblCellMar>
        <w:left w:w="0" w:type="dxa"/>
        <w:top w:w="0" w:type="dxa"/>
        <w:right w:w="0" w:type="dxa"/>
        <w:bottom w:w="0" w:type="dxa"/>
      </w:tblCellMar>
    </w:tblPr>
  </w:style>
  <w:style w:type="table" w:styleId="846" w:customStyle="1">
    <w:name w:val="Lined - Accent 6"/>
    <w:uiPriority w:val="99"/>
    <w:qFormat/>
    <w:rPr>
      <w:color w:val="404040"/>
    </w:rPr>
    <w:tblPr>
      <w:tblCellMar>
        <w:left w:w="0" w:type="dxa"/>
        <w:top w:w="0" w:type="dxa"/>
        <w:right w:w="0" w:type="dxa"/>
        <w:bottom w:w="0" w:type="dxa"/>
      </w:tblCellMar>
    </w:tblPr>
  </w:style>
  <w:style w:type="table" w:styleId="84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1" w:customStyle="1">
    <w:name w:val="Footnote Text Char"/>
    <w:uiPriority w:val="99"/>
    <w:qFormat/>
    <w:rPr>
      <w:sz w:val="18"/>
    </w:rPr>
  </w:style>
  <w:style w:type="character" w:styleId="862" w:customStyle="1">
    <w:name w:val="尾注文本 字符"/>
    <w:link w:val="679"/>
    <w:uiPriority w:val="99"/>
    <w:qFormat/>
    <w:rPr>
      <w:sz w:val="20"/>
    </w:rPr>
  </w:style>
  <w:style w:type="paragraph" w:styleId="863" w:customStyle="1">
    <w:name w:val="TOC Heading"/>
    <w:basedOn w:val="649"/>
    <w:next w:val="648"/>
    <w:uiPriority w:val="0"/>
    <w:qFormat/>
    <w:pPr>
      <w:jc w:val="center"/>
      <w:outlineLvl w:val="9"/>
    </w:pPr>
  </w:style>
  <w:style w:type="character" w:styleId="864" w:customStyle="1">
    <w:name w:val="正文文本 字符"/>
    <w:link w:val="668"/>
    <w:uiPriority w:val="0"/>
    <w:qFormat/>
    <w:rPr>
      <w:rFonts w:ascii="仿宋_GB2312" w:hAnsi="Times New Roman" w:eastAsia="仿宋_GB2312" w:cs="Times New Roman"/>
      <w:sz w:val="24"/>
      <w:szCs w:val="20"/>
    </w:rPr>
  </w:style>
  <w:style w:type="character" w:styleId="865" w:customStyle="1">
    <w:name w:val="正文首行缩进 字符"/>
    <w:link w:val="698"/>
    <w:uiPriority w:val="0"/>
    <w:qFormat/>
    <w:rPr>
      <w:rFonts w:ascii="Times New Roman" w:hAnsi="Times New Roman" w:eastAsia="宋体" w:cs="Times New Roman"/>
      <w:sz w:val="24"/>
      <w:szCs w:val="24"/>
    </w:rPr>
  </w:style>
  <w:style w:type="character" w:styleId="866" w:customStyle="1">
    <w:name w:val="标题 1 字符"/>
    <w:link w:val="649"/>
    <w:uiPriority w:val="0"/>
    <w:qFormat/>
    <w:rPr>
      <w:rFonts w:ascii="Times New Roman" w:hAnsi="Times New Roman" w:eastAsia="宋体" w:cs="Times New Roman"/>
      <w:b/>
      <w:bCs/>
      <w:sz w:val="44"/>
      <w:szCs w:val="44"/>
    </w:rPr>
  </w:style>
  <w:style w:type="character" w:styleId="867" w:customStyle="1">
    <w:name w:val="标题 2 字符"/>
    <w:link w:val="650"/>
    <w:uiPriority w:val="0"/>
    <w:qFormat/>
    <w:rPr>
      <w:rFonts w:ascii="Arial" w:hAnsi="Arial" w:eastAsia="黑体" w:cs="Times New Roman"/>
      <w:b/>
      <w:bCs/>
      <w:sz w:val="32"/>
      <w:szCs w:val="32"/>
    </w:rPr>
  </w:style>
  <w:style w:type="character" w:styleId="868" w:customStyle="1">
    <w:name w:val="标题 3 字符"/>
    <w:link w:val="651"/>
    <w:uiPriority w:val="0"/>
    <w:qFormat/>
    <w:rPr>
      <w:rFonts w:ascii="Times New Roman" w:hAnsi="Times New Roman" w:eastAsia="宋体" w:cs="Times New Roman"/>
      <w:b/>
      <w:bCs/>
      <w:sz w:val="32"/>
      <w:szCs w:val="32"/>
    </w:rPr>
  </w:style>
  <w:style w:type="character" w:styleId="869" w:customStyle="1">
    <w:name w:val="标题 4 字符"/>
    <w:link w:val="652"/>
    <w:uiPriority w:val="0"/>
    <w:qFormat/>
    <w:rPr>
      <w:rFonts w:ascii="Times New Roman" w:hAnsi="Times New Roman" w:eastAsia="新宋体" w:cs="Times New Roman"/>
      <w:sz w:val="30"/>
      <w:szCs w:val="21"/>
    </w:rPr>
  </w:style>
  <w:style w:type="character" w:styleId="870" w:customStyle="1">
    <w:name w:val="标题 5 字符"/>
    <w:link w:val="653"/>
    <w:uiPriority w:val="0"/>
    <w:qFormat/>
    <w:rPr>
      <w:rFonts w:ascii="Times New Roman" w:hAnsi="Times New Roman" w:eastAsia="宋体" w:cs="Times New Roman"/>
      <w:b/>
      <w:bCs/>
      <w:sz w:val="28"/>
      <w:szCs w:val="28"/>
    </w:rPr>
  </w:style>
  <w:style w:type="character" w:styleId="871" w:customStyle="1">
    <w:name w:val="标题 6 字符"/>
    <w:link w:val="654"/>
    <w:uiPriority w:val="0"/>
    <w:qFormat/>
    <w:rPr>
      <w:rFonts w:ascii="Times New Roman" w:hAnsi="Times New Roman" w:eastAsia="宋体" w:cs="Times New Roman"/>
      <w:b/>
      <w:sz w:val="44"/>
      <w:szCs w:val="20"/>
    </w:rPr>
  </w:style>
  <w:style w:type="character" w:styleId="872" w:customStyle="1">
    <w:name w:val="正文缩进 字符"/>
    <w:link w:val="660"/>
    <w:uiPriority w:val="0"/>
    <w:qFormat/>
    <w:rPr>
      <w:rFonts w:ascii="Times New Roman" w:hAnsi="Times New Roman" w:eastAsia="宋体" w:cs="Times New Roman"/>
      <w:sz w:val="20"/>
      <w:szCs w:val="20"/>
    </w:rPr>
  </w:style>
  <w:style w:type="character" w:styleId="873" w:customStyle="1">
    <w:name w:val="标题 7 字符"/>
    <w:link w:val="655"/>
    <w:uiPriority w:val="0"/>
    <w:qFormat/>
    <w:rPr>
      <w:rFonts w:ascii="Times New Roman" w:hAnsi="Times New Roman" w:eastAsia="宋体" w:cs="Times New Roman"/>
      <w:b/>
      <w:bCs/>
      <w:sz w:val="24"/>
      <w:szCs w:val="24"/>
    </w:rPr>
  </w:style>
  <w:style w:type="character" w:styleId="874" w:customStyle="1">
    <w:name w:val="标题 8 字符"/>
    <w:link w:val="656"/>
    <w:uiPriority w:val="0"/>
    <w:qFormat/>
    <w:rPr>
      <w:rFonts w:ascii="Arial" w:hAnsi="Arial" w:eastAsia="黑体" w:cs="Times New Roman"/>
      <w:sz w:val="24"/>
      <w:szCs w:val="24"/>
    </w:rPr>
  </w:style>
  <w:style w:type="character" w:styleId="875" w:customStyle="1">
    <w:name w:val="标题 9 字符"/>
    <w:link w:val="657"/>
    <w:uiPriority w:val="0"/>
    <w:qFormat/>
    <w:rPr>
      <w:rFonts w:ascii="Arial" w:hAnsi="Arial" w:eastAsia="黑体" w:cs="Times New Roman"/>
      <w:sz w:val="24"/>
      <w:szCs w:val="21"/>
    </w:rPr>
  </w:style>
  <w:style w:type="character" w:styleId="876" w:customStyle="1">
    <w:name w:val="文档结构图 字符"/>
    <w:link w:val="665"/>
    <w:uiPriority w:val="0"/>
    <w:qFormat/>
    <w:rPr>
      <w:szCs w:val="24"/>
      <w:shd w:val="clear" w:color="auto" w:fill="000080"/>
    </w:rPr>
  </w:style>
  <w:style w:type="character" w:styleId="877" w:customStyle="1">
    <w:name w:val="批注文字 字符"/>
    <w:link w:val="666"/>
    <w:uiPriority w:val="0"/>
    <w:qFormat/>
    <w:rPr>
      <w:rFonts w:eastAsia="宋体"/>
      <w:sz w:val="21"/>
      <w:szCs w:val="24"/>
      <w:lang w:val="en-US" w:eastAsia="zh-CN" w:bidi="ar-SA"/>
    </w:rPr>
  </w:style>
  <w:style w:type="character" w:styleId="878" w:customStyle="1">
    <w:name w:val="正文文本 3 字符"/>
    <w:link w:val="667"/>
    <w:uiPriority w:val="0"/>
    <w:qFormat/>
    <w:rPr>
      <w:rFonts w:ascii="Times New Roman" w:hAnsi="Times New Roman" w:eastAsia="宋体" w:cs="Times New Roman"/>
      <w:sz w:val="16"/>
      <w:szCs w:val="16"/>
    </w:rPr>
  </w:style>
  <w:style w:type="character" w:styleId="879" w:customStyle="1">
    <w:name w:val="正文文本缩进 字符"/>
    <w:link w:val="670"/>
    <w:uiPriority w:val="0"/>
    <w:qFormat/>
    <w:rPr>
      <w:rFonts w:ascii="仿宋_GB2312" w:hAnsi="Times New Roman" w:eastAsia="仿宋_GB2312" w:cs="Times New Roman"/>
      <w:sz w:val="28"/>
      <w:szCs w:val="20"/>
    </w:rPr>
  </w:style>
  <w:style w:type="character" w:styleId="880" w:customStyle="1">
    <w:name w:val="纯文本 字符"/>
    <w:link w:val="675"/>
    <w:uiPriority w:val="0"/>
    <w:qFormat/>
    <w:rPr>
      <w:rFonts w:ascii="宋体" w:hAnsi="Courier New" w:eastAsia="宋体" w:cs="Courier New"/>
      <w:szCs w:val="21"/>
    </w:rPr>
  </w:style>
  <w:style w:type="character" w:styleId="881" w:customStyle="1">
    <w:name w:val="日期 字符"/>
    <w:link w:val="677"/>
    <w:uiPriority w:val="0"/>
    <w:qFormat/>
    <w:rPr>
      <w:rFonts w:ascii="Times New Roman" w:hAnsi="Times New Roman" w:eastAsia="宋体" w:cs="Times New Roman"/>
      <w:sz w:val="24"/>
      <w:szCs w:val="20"/>
    </w:rPr>
  </w:style>
  <w:style w:type="character" w:styleId="882" w:customStyle="1">
    <w:name w:val="正文文本缩进 2 字符"/>
    <w:link w:val="678"/>
    <w:uiPriority w:val="0"/>
    <w:qFormat/>
    <w:rPr>
      <w:rFonts w:ascii="Times New Roman" w:hAnsi="Times New Roman" w:eastAsia="仿宋_GB2312" w:cs="Times New Roman"/>
      <w:sz w:val="28"/>
      <w:szCs w:val="20"/>
    </w:rPr>
  </w:style>
  <w:style w:type="character" w:styleId="883" w:customStyle="1">
    <w:name w:val="批注框文本 字符"/>
    <w:link w:val="680"/>
    <w:uiPriority w:val="0"/>
    <w:qFormat/>
    <w:rPr>
      <w:sz w:val="18"/>
      <w:szCs w:val="18"/>
    </w:rPr>
  </w:style>
  <w:style w:type="character" w:styleId="884" w:customStyle="1">
    <w:name w:val="页脚 字符"/>
    <w:link w:val="681"/>
    <w:uiPriority w:val="0"/>
    <w:qFormat/>
    <w:rPr>
      <w:rFonts w:ascii="Times New Roman" w:hAnsi="Times New Roman" w:eastAsia="宋体" w:cs="Times New Roman"/>
      <w:sz w:val="18"/>
      <w:szCs w:val="20"/>
    </w:rPr>
  </w:style>
  <w:style w:type="character" w:styleId="885" w:customStyle="1">
    <w:name w:val="页眉 字符"/>
    <w:link w:val="682"/>
    <w:uiPriority w:val="0"/>
    <w:qFormat/>
    <w:rPr>
      <w:rFonts w:ascii="Times New Roman" w:hAnsi="Times New Roman" w:eastAsia="宋体" w:cs="Times New Roman"/>
      <w:sz w:val="18"/>
      <w:szCs w:val="18"/>
    </w:rPr>
  </w:style>
  <w:style w:type="character" w:styleId="886" w:customStyle="1">
    <w:name w:val="目录 4 字符"/>
    <w:link w:val="684"/>
    <w:uiPriority w:val="0"/>
    <w:qFormat/>
    <w:rPr>
      <w:sz w:val="21"/>
      <w:szCs w:val="21"/>
    </w:rPr>
  </w:style>
  <w:style w:type="character" w:styleId="887" w:customStyle="1">
    <w:name w:val="副标题 字符"/>
    <w:link w:val="685"/>
    <w:uiPriority w:val="0"/>
    <w:qFormat/>
    <w:rPr>
      <w:rFonts w:ascii="Cambria" w:hAnsi="Cambria"/>
      <w:b/>
      <w:bCs/>
      <w:sz w:val="32"/>
      <w:szCs w:val="32"/>
    </w:rPr>
  </w:style>
  <w:style w:type="character" w:styleId="888" w:customStyle="1">
    <w:name w:val="脚注文本 字符"/>
    <w:link w:val="687"/>
    <w:uiPriority w:val="0"/>
    <w:qFormat/>
  </w:style>
  <w:style w:type="character" w:styleId="889" w:customStyle="1">
    <w:name w:val="正文文本缩进 3 字符"/>
    <w:link w:val="689"/>
    <w:uiPriority w:val="0"/>
    <w:qFormat/>
    <w:rPr>
      <w:rFonts w:ascii="Times New Roman" w:hAnsi="Times New Roman" w:eastAsia="宋体" w:cs="Times New Roman"/>
      <w:sz w:val="16"/>
      <w:szCs w:val="16"/>
    </w:rPr>
  </w:style>
  <w:style w:type="character" w:styleId="890" w:customStyle="1">
    <w:name w:val="正文文本 2 字符"/>
    <w:link w:val="692"/>
    <w:uiPriority w:val="0"/>
    <w:qFormat/>
    <w:rPr>
      <w:rFonts w:ascii="Times New Roman" w:hAnsi="Times New Roman" w:eastAsia="宋体" w:cs="Times New Roman"/>
      <w:b/>
      <w:bCs/>
      <w:sz w:val="18"/>
      <w:szCs w:val="24"/>
    </w:rPr>
  </w:style>
  <w:style w:type="character" w:styleId="891" w:customStyle="1">
    <w:name w:val="标题 字符"/>
    <w:link w:val="696"/>
    <w:uiPriority w:val="0"/>
    <w:qFormat/>
    <w:rPr>
      <w:rFonts w:ascii="Arial" w:hAnsi="Arial"/>
      <w:b/>
      <w:sz w:val="32"/>
    </w:rPr>
  </w:style>
  <w:style w:type="character" w:styleId="892" w:customStyle="1">
    <w:name w:val="批注主题 字符"/>
    <w:link w:val="697"/>
    <w:uiPriority w:val="0"/>
    <w:qFormat/>
    <w:rPr>
      <w:b/>
      <w:bCs/>
      <w:sz w:val="21"/>
      <w:szCs w:val="24"/>
    </w:rPr>
  </w:style>
  <w:style w:type="character" w:styleId="893" w:customStyle="1">
    <w:name w:val="正文首行缩进 2 字符"/>
    <w:link w:val="699"/>
    <w:uiPriority w:val="0"/>
    <w:qFormat/>
    <w:rPr>
      <w:rFonts w:ascii="仿宋_GB2312" w:hAnsi="Times New Roman" w:eastAsia="仿宋_GB2312" w:cs="Times New Roman"/>
      <w:sz w:val="21"/>
      <w:szCs w:val="24"/>
    </w:rPr>
  </w:style>
  <w:style w:type="character" w:styleId="894" w:customStyle="1">
    <w:name w:val="已访问的超链接1"/>
    <w:uiPriority w:val="0"/>
    <w:qFormat/>
    <w:rPr>
      <w:color w:val="800080"/>
      <w:u w:val="single"/>
    </w:rPr>
  </w:style>
  <w:style w:type="character" w:styleId="895" w:customStyle="1">
    <w:name w:val="标题 4 Char1"/>
    <w:uiPriority w:val="0"/>
    <w:qFormat/>
    <w:rPr>
      <w:rFonts w:ascii="Arial" w:hAnsi="Arial" w:eastAsia="黑体"/>
      <w:b/>
      <w:bCs/>
      <w:sz w:val="28"/>
      <w:szCs w:val="28"/>
      <w:lang w:val="en-US" w:eastAsia="zh-CN" w:bidi="ar-SA"/>
    </w:rPr>
  </w:style>
  <w:style w:type="character" w:styleId="896" w:customStyle="1">
    <w:name w:val="页脚 Char1"/>
    <w:uiPriority w:val="0"/>
    <w:qFormat/>
    <w:rPr>
      <w:sz w:val="18"/>
      <w:szCs w:val="18"/>
    </w:rPr>
  </w:style>
  <w:style w:type="character" w:styleId="897" w:customStyle="1">
    <w:name w:val="页脚 Char Char Char"/>
    <w:uiPriority w:val="0"/>
    <w:qFormat/>
    <w:rPr>
      <w:sz w:val="18"/>
      <w:szCs w:val="18"/>
    </w:rPr>
  </w:style>
  <w:style w:type="character" w:styleId="898" w:customStyle="1">
    <w:name w:val="Char Char8"/>
    <w:uiPriority w:val="0"/>
    <w:qFormat/>
    <w:rPr>
      <w:rFonts w:ascii="Arial" w:hAnsi="Arial" w:eastAsia="黑体"/>
      <w:b/>
      <w:bCs/>
      <w:sz w:val="32"/>
      <w:szCs w:val="32"/>
      <w:lang w:val="en-US" w:eastAsia="zh-CN" w:bidi="ar-SA"/>
    </w:rPr>
  </w:style>
  <w:style w:type="character" w:styleId="899" w:customStyle="1">
    <w:name w:val="Intense Emphasis"/>
    <w:uiPriority w:val="0"/>
    <w:qFormat/>
    <w:rPr>
      <w:b/>
      <w:bCs/>
      <w:i/>
      <w:iCs/>
      <w:color w:val="4f81bd"/>
    </w:rPr>
  </w:style>
  <w:style w:type="character" w:styleId="900" w:customStyle="1">
    <w:name w:val="cn_text1"/>
    <w:uiPriority w:val="0"/>
    <w:qFormat/>
    <w:rPr>
      <w:rFonts w:ascii="ˎ̥" w:hAnsi="ˎ̥"/>
      <w:color w:val="003399"/>
      <w:spacing w:val="15"/>
      <w:sz w:val="18"/>
      <w:szCs w:val="18"/>
    </w:rPr>
  </w:style>
  <w:style w:type="character" w:styleId="901" w:customStyle="1">
    <w:name w:val="font51"/>
    <w:uiPriority w:val="0"/>
    <w:qFormat/>
    <w:rPr>
      <w:rFonts w:ascii="等线" w:hAnsi="等线" w:eastAsia="等线" w:cs="等线"/>
      <w:b/>
      <w:bCs/>
      <w:color w:val="000000"/>
      <w:sz w:val="22"/>
      <w:szCs w:val="22"/>
      <w:u w:val="none"/>
    </w:rPr>
  </w:style>
  <w:style w:type="character" w:styleId="902" w:customStyle="1">
    <w:name w:val="Book Title"/>
    <w:uiPriority w:val="0"/>
    <w:qFormat/>
    <w:rPr>
      <w:b/>
      <w:bCs/>
      <w:smallCaps/>
      <w:spacing w:val="5"/>
    </w:rPr>
  </w:style>
  <w:style w:type="character" w:styleId="903" w:customStyle="1">
    <w:name w:val="引用 字符"/>
    <w:link w:val="729"/>
    <w:uiPriority w:val="0"/>
    <w:qFormat/>
    <w:rPr>
      <w:i/>
      <w:iCs/>
      <w:color w:val="000000"/>
      <w:sz w:val="21"/>
      <w:szCs w:val="24"/>
    </w:rPr>
  </w:style>
  <w:style w:type="character" w:styleId="904" w:customStyle="1">
    <w:name w:val="font31"/>
    <w:uiPriority w:val="0"/>
    <w:qFormat/>
    <w:rPr>
      <w:rFonts w:hint="eastAsia" w:ascii="宋体" w:hAnsi="宋体" w:eastAsia="宋体" w:cs="宋体"/>
      <w:color w:val="000000"/>
      <w:sz w:val="21"/>
      <w:szCs w:val="21"/>
      <w:u w:val="none"/>
    </w:rPr>
  </w:style>
  <w:style w:type="character" w:styleId="905" w:customStyle="1">
    <w:name w:val="标题 3 Char Char"/>
    <w:uiPriority w:val="0"/>
    <w:qFormat/>
    <w:rPr>
      <w:rFonts w:ascii="黑体" w:hAnsi="宋体" w:eastAsia="黑体"/>
      <w:bCs/>
      <w:sz w:val="28"/>
      <w:szCs w:val="28"/>
    </w:rPr>
  </w:style>
  <w:style w:type="character" w:styleId="906" w:customStyle="1">
    <w:name w:val="无间隔 字符"/>
    <w:link w:val="726"/>
    <w:uiPriority w:val="0"/>
    <w:qFormat/>
    <w:rPr>
      <w:sz w:val="21"/>
      <w:szCs w:val="24"/>
      <w:lang w:val="en-US" w:eastAsia="zh-CN" w:bidi="ar-SA"/>
    </w:rPr>
  </w:style>
  <w:style w:type="character" w:styleId="907" w:customStyle="1">
    <w:name w:val="未处理的提及1"/>
    <w:uiPriority w:val="0"/>
    <w:qFormat/>
    <w:rPr>
      <w:color w:val="605e5c"/>
      <w:shd w:val="clear" w:color="auto" w:fill="e1dfdd"/>
    </w:rPr>
  </w:style>
  <w:style w:type="character" w:styleId="908" w:customStyle="1">
    <w:name w:val="批注框文本 Char Char"/>
    <w:uiPriority w:val="0"/>
    <w:qFormat/>
    <w:rPr>
      <w:rFonts w:ascii="Calibri" w:hAnsi="Calibri" w:eastAsia="宋体" w:cs="Times New Roman"/>
      <w:sz w:val="18"/>
      <w:szCs w:val="18"/>
    </w:rPr>
  </w:style>
  <w:style w:type="character" w:styleId="909" w:customStyle="1">
    <w:name w:val="纯文本 Char1"/>
    <w:uiPriority w:val="0"/>
    <w:qFormat/>
    <w:rPr>
      <w:rFonts w:ascii="宋体" w:hAnsi="Courier New" w:cs="Courier New"/>
      <w:sz w:val="21"/>
      <w:szCs w:val="21"/>
    </w:rPr>
  </w:style>
  <w:style w:type="character" w:styleId="910" w:customStyle="1">
    <w:name w:val="批注主题 Char1"/>
    <w:uiPriority w:val="0"/>
    <w:qFormat/>
    <w:rPr>
      <w:b/>
      <w:bCs/>
      <w:sz w:val="21"/>
      <w:szCs w:val="21"/>
    </w:rPr>
  </w:style>
  <w:style w:type="character" w:styleId="911" w:customStyle="1">
    <w:name w:val="Char Char Char"/>
    <w:uiPriority w:val="0"/>
    <w:qFormat/>
    <w:rPr>
      <w:rFonts w:ascii="Arial" w:hAnsi="Arial" w:eastAsia="黑体"/>
      <w:b/>
      <w:bCs/>
      <w:sz w:val="32"/>
      <w:szCs w:val="32"/>
      <w:lang w:val="en-US" w:eastAsia="zh-CN" w:bidi="ar-SA"/>
    </w:rPr>
  </w:style>
  <w:style w:type="character" w:styleId="912" w:customStyle="1">
    <w:name w:val="正文文本缩进 Char Char"/>
    <w:uiPriority w:val="0"/>
    <w:qFormat/>
    <w:rPr>
      <w:sz w:val="21"/>
      <w:szCs w:val="24"/>
    </w:rPr>
  </w:style>
  <w:style w:type="character" w:styleId="913" w:customStyle="1">
    <w:name w:val="脚注文本 Char1"/>
    <w:uiPriority w:val="0"/>
    <w:qFormat/>
    <w:rPr>
      <w:sz w:val="18"/>
      <w:szCs w:val="18"/>
    </w:rPr>
  </w:style>
  <w:style w:type="character" w:styleId="914" w:customStyle="1">
    <w:name w:val="引用 Char1"/>
    <w:uiPriority w:val="0"/>
    <w:qFormat/>
    <w:rPr>
      <w:i/>
      <w:iCs/>
      <w:color w:val="000000"/>
      <w:sz w:val="21"/>
      <w:szCs w:val="21"/>
    </w:rPr>
  </w:style>
  <w:style w:type="character" w:styleId="915" w:customStyle="1">
    <w:name w:val="fontstyle01"/>
    <w:uiPriority w:val="0"/>
    <w:qFormat/>
    <w:rPr>
      <w:rFonts w:hint="eastAsia" w:ascii="宋体" w:hAnsi="宋体" w:eastAsia="宋体"/>
      <w:color w:val="000000"/>
      <w:sz w:val="22"/>
      <w:szCs w:val="22"/>
    </w:rPr>
  </w:style>
  <w:style w:type="character" w:styleId="916" w:customStyle="1">
    <w:name w:val="NormalCharacter1"/>
    <w:uiPriority w:val="0"/>
    <w:qFormat/>
  </w:style>
  <w:style w:type="character" w:styleId="917" w:customStyle="1">
    <w:name w:val="font71"/>
    <w:uiPriority w:val="0"/>
    <w:qFormat/>
    <w:rPr>
      <w:rFonts w:hint="eastAsia" w:ascii="宋体" w:hAnsi="宋体" w:eastAsia="宋体" w:cs="宋体"/>
      <w:color w:val="000000"/>
      <w:sz w:val="21"/>
      <w:szCs w:val="21"/>
      <w:u w:val="none"/>
    </w:rPr>
  </w:style>
  <w:style w:type="character" w:styleId="918" w:customStyle="1">
    <w:name w:val="正文缩进2格 Char Char"/>
    <w:link w:val="919"/>
    <w:uiPriority w:val="0"/>
    <w:qFormat/>
    <w:rPr>
      <w:rFonts w:ascii="仿宋_GB2312" w:hAnsi="宋体" w:eastAsia="仿宋_GB2312"/>
      <w:sz w:val="31"/>
      <w:szCs w:val="28"/>
    </w:rPr>
  </w:style>
  <w:style w:type="paragraph" w:styleId="919" w:customStyle="1">
    <w:name w:val="正文缩进2格"/>
    <w:basedOn w:val="648"/>
    <w:link w:val="918"/>
    <w:uiPriority w:val="0"/>
    <w:qFormat/>
    <w:pPr>
      <w:ind w:firstLine="639"/>
      <w:spacing w:line="600" w:lineRule="exact"/>
    </w:pPr>
    <w:rPr>
      <w:rFonts w:ascii="仿宋_GB2312" w:hAnsi="宋体" w:eastAsia="仿宋_GB2312"/>
      <w:sz w:val="31"/>
      <w:szCs w:val="28"/>
    </w:rPr>
  </w:style>
  <w:style w:type="character" w:styleId="920" w:customStyle="1">
    <w:name w:val="标题 5 Char Char"/>
    <w:uiPriority w:val="0"/>
    <w:qFormat/>
    <w:rPr>
      <w:rFonts w:ascii="宋体"/>
      <w:color w:val="000000"/>
      <w:sz w:val="28"/>
      <w:szCs w:val="28"/>
    </w:rPr>
  </w:style>
  <w:style w:type="character" w:styleId="921" w:customStyle="1">
    <w:name w:val="普通正文 Char Char"/>
    <w:link w:val="922"/>
    <w:uiPriority w:val="0"/>
    <w:qFormat/>
    <w:rPr>
      <w:rFonts w:ascii="Arial" w:hAnsi="Arial"/>
      <w:sz w:val="24"/>
      <w:szCs w:val="24"/>
    </w:rPr>
  </w:style>
  <w:style w:type="paragraph" w:styleId="922" w:customStyle="1">
    <w:name w:val="普通正文"/>
    <w:basedOn w:val="648"/>
    <w:link w:val="921"/>
    <w:uiPriority w:val="0"/>
    <w:qFormat/>
    <w:pPr>
      <w:ind w:left="-2" w:right="120" w:firstLine="480"/>
      <w:jc w:val="center"/>
      <w:spacing w:before="120" w:after="120" w:line="360" w:lineRule="auto"/>
    </w:pPr>
    <w:rPr>
      <w:rFonts w:ascii="Arial" w:hAnsi="Arial"/>
      <w:sz w:val="24"/>
    </w:rPr>
  </w:style>
  <w:style w:type="character" w:styleId="923" w:customStyle="1">
    <w:name w:val="正文缩进 Char Char"/>
    <w:uiPriority w:val="0"/>
    <w:qFormat/>
    <w:rPr>
      <w:sz w:val="21"/>
    </w:rPr>
  </w:style>
  <w:style w:type="character" w:styleId="924" w:customStyle="1">
    <w:name w:val="页眉 Char Char Char"/>
    <w:uiPriority w:val="0"/>
    <w:qFormat/>
    <w:rPr>
      <w:sz w:val="18"/>
      <w:szCs w:val="18"/>
    </w:rPr>
  </w:style>
  <w:style w:type="character" w:styleId="925" w:customStyle="1">
    <w:name w:val="标题 Char1"/>
    <w:uiPriority w:val="0"/>
    <w:qFormat/>
    <w:rPr>
      <w:rFonts w:ascii="Cambria" w:hAnsi="Cambria" w:cs="Times New Roman"/>
      <w:b/>
      <w:bCs/>
      <w:sz w:val="32"/>
      <w:szCs w:val="32"/>
    </w:rPr>
  </w:style>
  <w:style w:type="character" w:styleId="926" w:customStyle="1">
    <w:name w:val="正文文本 2 Char1"/>
    <w:uiPriority w:val="0"/>
    <w:qFormat/>
    <w:rPr>
      <w:sz w:val="21"/>
      <w:szCs w:val="21"/>
    </w:rPr>
  </w:style>
  <w:style w:type="character" w:styleId="927" w:customStyle="1">
    <w:name w:val="标题 7 Char Char"/>
    <w:uiPriority w:val="0"/>
    <w:qFormat/>
    <w:rPr>
      <w:b/>
      <w:bCs/>
      <w:sz w:val="24"/>
      <w:szCs w:val="24"/>
    </w:rPr>
  </w:style>
  <w:style w:type="character" w:styleId="928" w:customStyle="1">
    <w:name w:val="font01"/>
    <w:uiPriority w:val="0"/>
    <w:qFormat/>
    <w:rPr>
      <w:rFonts w:ascii="等线" w:hAnsi="等线" w:eastAsia="等线" w:cs="等线"/>
      <w:color w:val="000000"/>
      <w:sz w:val="22"/>
      <w:szCs w:val="22"/>
      <w:u w:val="none"/>
    </w:rPr>
  </w:style>
  <w:style w:type="character" w:styleId="929" w:customStyle="1">
    <w:name w:val="font5 Char Char"/>
    <w:uiPriority w:val="0"/>
    <w:qFormat/>
    <w:rPr>
      <w:rFonts w:ascii="宋体" w:hAnsi="宋体" w:eastAsia="宋体"/>
      <w:sz w:val="28"/>
      <w:szCs w:val="28"/>
      <w:lang w:val="en-US" w:eastAsia="zh-CN" w:bidi="ar-SA"/>
    </w:rPr>
  </w:style>
  <w:style w:type="character" w:styleId="930" w:customStyle="1">
    <w:name w:val="point_normal1"/>
    <w:uiPriority w:val="0"/>
    <w:qFormat/>
    <w:rPr>
      <w:rFonts w:ascii="Arial" w:hAnsi="Arial" w:cs="Arial"/>
      <w:sz w:val="16"/>
      <w:szCs w:val="16"/>
    </w:rPr>
  </w:style>
  <w:style w:type="character" w:styleId="931" w:customStyle="1">
    <w:name w:val="正文文本缩进 Char1"/>
    <w:uiPriority w:val="0"/>
    <w:qFormat/>
    <w:rPr>
      <w:sz w:val="21"/>
      <w:szCs w:val="21"/>
    </w:rPr>
  </w:style>
  <w:style w:type="character" w:styleId="932" w:customStyle="1">
    <w:name w:val="标题 9 Char Char"/>
    <w:uiPriority w:val="0"/>
    <w:qFormat/>
    <w:rPr>
      <w:rFonts w:ascii="Arial" w:hAnsi="Arial" w:eastAsia="黑体"/>
      <w:sz w:val="21"/>
      <w:szCs w:val="21"/>
    </w:rPr>
  </w:style>
  <w:style w:type="character" w:styleId="933" w:customStyle="1">
    <w:name w:val="样式 Char Char"/>
    <w:link w:val="934"/>
    <w:uiPriority w:val="0"/>
    <w:qFormat/>
    <w:rPr>
      <w:rFonts w:ascii="宋体" w:hAnsi="宋体" w:cs="宋体"/>
      <w:sz w:val="24"/>
      <w:szCs w:val="24"/>
      <w:lang w:val="en-US" w:eastAsia="zh-CN" w:bidi="ar-SA"/>
    </w:rPr>
  </w:style>
  <w:style w:type="paragraph" w:styleId="934" w:customStyle="1">
    <w:name w:val="样式"/>
    <w:link w:val="933"/>
    <w:uiPriority w:val="0"/>
    <w:qFormat/>
    <w:pPr>
      <w:widowControl w:val="off"/>
    </w:pPr>
    <w:rPr>
      <w:rFonts w:hint="default" w:ascii="宋体" w:hAnsi="宋体" w:eastAsia="宋体" w:cs="宋体"/>
      <w:sz w:val="24"/>
      <w:szCs w:val="24"/>
    </w:rPr>
  </w:style>
  <w:style w:type="character" w:styleId="935" w:customStyle="1">
    <w:name w:val="标题 6 Char Char"/>
    <w:uiPriority w:val="0"/>
    <w:qFormat/>
    <w:rPr>
      <w:rFonts w:ascii="Arial" w:hAnsi="Arial" w:eastAsia="黑体"/>
      <w:b/>
      <w:bCs/>
      <w:sz w:val="24"/>
      <w:szCs w:val="24"/>
    </w:rPr>
  </w:style>
  <w:style w:type="character" w:styleId="936" w:customStyle="1">
    <w:name w:val="正文文本缩进 3 Char Char"/>
    <w:uiPriority w:val="0"/>
    <w:qFormat/>
    <w:rPr>
      <w:rFonts w:ascii="宋体"/>
      <w:b/>
      <w:spacing w:val="6"/>
      <w:sz w:val="28"/>
      <w:szCs w:val="24"/>
    </w:rPr>
  </w:style>
  <w:style w:type="character" w:styleId="937" w:customStyle="1">
    <w:name w:val="标题 4 Char Char"/>
    <w:uiPriority w:val="0"/>
    <w:qFormat/>
    <w:rPr>
      <w:rFonts w:ascii="Arial" w:hAnsi="Arial" w:eastAsia="黑体"/>
      <w:b/>
      <w:bCs/>
      <w:sz w:val="28"/>
      <w:szCs w:val="28"/>
    </w:rPr>
  </w:style>
  <w:style w:type="character" w:styleId="938" w:customStyle="1">
    <w:name w:val="列出段落 Char"/>
    <w:link w:val="939"/>
    <w:uiPriority w:val="0"/>
    <w:qFormat/>
    <w:rPr>
      <w:sz w:val="21"/>
      <w:szCs w:val="24"/>
      <w:lang w:val="en-US" w:eastAsia="zh-CN" w:bidi="ar-SA"/>
    </w:rPr>
  </w:style>
  <w:style w:type="paragraph" w:styleId="939" w:customStyle="1">
    <w:name w:val="列出段落1"/>
    <w:link w:val="938"/>
    <w:uiPriority w:val="0"/>
    <w:qFormat/>
    <w:pPr>
      <w:ind w:firstLine="420"/>
      <w:jc w:val="both"/>
      <w:widowControl w:val="off"/>
    </w:pPr>
    <w:rPr>
      <w:rFonts w:hint="default" w:ascii="Times New Roman" w:hAnsi="Times New Roman" w:eastAsia="宋体" w:cs="Times New Roman"/>
      <w:sz w:val="21"/>
      <w:szCs w:val="24"/>
    </w:rPr>
  </w:style>
  <w:style w:type="character" w:styleId="940" w:customStyle="1">
    <w:name w:val="列表段落 字符"/>
    <w:uiPriority w:val="0"/>
    <w:qFormat/>
    <w:rPr>
      <w:rFonts w:ascii="Calibri" w:hAnsi="Calibri"/>
      <w:sz w:val="21"/>
      <w:szCs w:val="22"/>
    </w:rPr>
  </w:style>
  <w:style w:type="character" w:styleId="941" w:customStyle="1">
    <w:name w:val="FA正文 Char Char"/>
    <w:link w:val="942"/>
    <w:uiPriority w:val="0"/>
    <w:qFormat/>
    <w:rPr>
      <w:rFonts w:ascii="宋体" w:hAnsi="宋体" w:eastAsia="宋体" w:cs="Times New Roman"/>
      <w:sz w:val="28"/>
      <w:szCs w:val="28"/>
    </w:rPr>
  </w:style>
  <w:style w:type="paragraph" w:styleId="942" w:customStyle="1">
    <w:name w:val="FA正文"/>
    <w:basedOn w:val="648"/>
    <w:link w:val="941"/>
    <w:uiPriority w:val="0"/>
    <w:qFormat/>
    <w:pPr>
      <w:ind w:firstLine="538"/>
      <w:spacing w:line="440" w:lineRule="atLeast"/>
      <w:tabs>
        <w:tab w:val="left" w:pos="3375" w:leader="none"/>
      </w:tabs>
    </w:pPr>
    <w:rPr>
      <w:rFonts w:ascii="宋体" w:hAnsi="宋体"/>
      <w:sz w:val="28"/>
      <w:szCs w:val="28"/>
    </w:rPr>
  </w:style>
  <w:style w:type="character" w:styleId="943" w:customStyle="1">
    <w:name w:val="脚注文本 Char2"/>
    <w:uiPriority w:val="0"/>
    <w:qFormat/>
    <w:rPr>
      <w:sz w:val="18"/>
      <w:szCs w:val="18"/>
    </w:rPr>
  </w:style>
  <w:style w:type="character" w:styleId="944" w:customStyle="1">
    <w:name w:val="明显引用 字符"/>
    <w:link w:val="731"/>
    <w:uiPriority w:val="0"/>
    <w:qFormat/>
    <w:rPr>
      <w:b/>
      <w:bCs/>
      <w:i/>
      <w:iCs/>
      <w:color w:val="4f81bd"/>
      <w:sz w:val="21"/>
      <w:szCs w:val="24"/>
    </w:rPr>
  </w:style>
  <w:style w:type="character" w:styleId="945" w:customStyle="1">
    <w:name w:val="二级目录 Char Char"/>
    <w:link w:val="946"/>
    <w:uiPriority w:val="0"/>
    <w:qFormat/>
    <w:rPr>
      <w:b/>
      <w:sz w:val="30"/>
      <w:szCs w:val="28"/>
      <w:lang w:val="en-US" w:eastAsia="zh-CN" w:bidi="ar-SA"/>
    </w:rPr>
  </w:style>
  <w:style w:type="paragraph" w:styleId="946" w:customStyle="1">
    <w:name w:val="二级目录"/>
    <w:next w:val="648"/>
    <w:link w:val="94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rPr>
  </w:style>
  <w:style w:type="character" w:styleId="947" w:customStyle="1">
    <w:name w:val="页眉 Char1"/>
    <w:uiPriority w:val="0"/>
    <w:qFormat/>
    <w:rPr>
      <w:sz w:val="18"/>
      <w:szCs w:val="18"/>
    </w:rPr>
  </w:style>
  <w:style w:type="character" w:styleId="948" w:customStyle="1">
    <w:name w:val="font61"/>
    <w:uiPriority w:val="0"/>
    <w:qFormat/>
    <w:rPr>
      <w:rFonts w:ascii="Times New Roman" w:hAnsi="Times New Roman" w:cs="Times New Roman"/>
      <w:color w:val="000000"/>
      <w:sz w:val="21"/>
      <w:szCs w:val="21"/>
      <w:u w:val="none"/>
    </w:rPr>
  </w:style>
  <w:style w:type="character" w:styleId="949" w:customStyle="1">
    <w:name w:val="正文文本 Char1"/>
    <w:uiPriority w:val="0"/>
    <w:qFormat/>
    <w:rPr>
      <w:sz w:val="21"/>
      <w:szCs w:val="21"/>
    </w:rPr>
  </w:style>
  <w:style w:type="character" w:styleId="950" w:customStyle="1">
    <w:name w:val="font161"/>
    <w:uiPriority w:val="0"/>
    <w:qFormat/>
    <w:rPr>
      <w:b/>
      <w:bCs/>
      <w:sz w:val="32"/>
      <w:szCs w:val="32"/>
    </w:rPr>
  </w:style>
  <w:style w:type="character" w:styleId="951" w:customStyle="1">
    <w:name w:val="Subtle Reference"/>
    <w:uiPriority w:val="0"/>
    <w:qFormat/>
    <w:rPr>
      <w:smallCaps/>
      <w:color w:val="c0504d"/>
      <w:u w:val="single"/>
    </w:rPr>
  </w:style>
  <w:style w:type="character" w:styleId="952" w:customStyle="1">
    <w:name w:val="明显引用 Char1"/>
    <w:uiPriority w:val="0"/>
    <w:qFormat/>
    <w:rPr>
      <w:b/>
      <w:bCs/>
      <w:i/>
      <w:iCs/>
      <w:color w:val="4f81bd"/>
      <w:sz w:val="21"/>
      <w:szCs w:val="24"/>
    </w:rPr>
  </w:style>
  <w:style w:type="character" w:styleId="953" w:customStyle="1">
    <w:name w:val="样式 ssss + 宋体 五号1 Char Char"/>
    <w:link w:val="954"/>
    <w:uiPriority w:val="0"/>
    <w:qFormat/>
    <w:rPr>
      <w:rFonts w:ascii="宋体" w:hAnsi="宋体" w:eastAsia="宋体" w:cs="Times New Roman"/>
      <w:sz w:val="24"/>
      <w:szCs w:val="24"/>
    </w:rPr>
  </w:style>
  <w:style w:type="paragraph" w:styleId="954" w:customStyle="1">
    <w:name w:val="样式 ssss + 宋体 五号1"/>
    <w:basedOn w:val="955"/>
    <w:link w:val="953"/>
    <w:uiPriority w:val="0"/>
    <w:qFormat/>
    <w:rPr>
      <w:rFonts w:ascii="宋体" w:hAnsi="宋体"/>
    </w:rPr>
  </w:style>
  <w:style w:type="paragraph" w:styleId="955" w:customStyle="1">
    <w:name w:val="ssss"/>
    <w:basedOn w:val="648"/>
    <w:link w:val="956"/>
    <w:uiPriority w:val="0"/>
    <w:qFormat/>
    <w:pPr>
      <w:ind w:firstLine="480"/>
      <w:spacing w:line="360" w:lineRule="auto"/>
    </w:pPr>
    <w:rPr>
      <w:sz w:val="24"/>
    </w:rPr>
  </w:style>
  <w:style w:type="character" w:styleId="956" w:customStyle="1">
    <w:name w:val="ssss Char1"/>
    <w:link w:val="955"/>
    <w:uiPriority w:val="0"/>
    <w:qFormat/>
    <w:rPr>
      <w:rFonts w:ascii="Times New Roman" w:hAnsi="Times New Roman" w:eastAsia="宋体" w:cs="Times New Roman"/>
      <w:sz w:val="24"/>
      <w:szCs w:val="24"/>
    </w:rPr>
  </w:style>
  <w:style w:type="character" w:styleId="957" w:customStyle="1">
    <w:name w:val="正文文本 3 Char Char"/>
    <w:uiPriority w:val="0"/>
    <w:qFormat/>
    <w:rPr>
      <w:sz w:val="16"/>
      <w:szCs w:val="16"/>
    </w:rPr>
  </w:style>
  <w:style w:type="character" w:styleId="958" w:customStyle="1">
    <w:name w:val="Char Char2"/>
    <w:uiPriority w:val="0"/>
    <w:qFormat/>
    <w:rPr>
      <w:rFonts w:eastAsia="宋体"/>
      <w:sz w:val="21"/>
      <w:szCs w:val="24"/>
      <w:lang w:val="en-US" w:eastAsia="zh-CN" w:bidi="ar-SA"/>
    </w:rPr>
  </w:style>
  <w:style w:type="character" w:styleId="959" w:customStyle="1">
    <w:name w:val="正文文本缩进 2 Char Char"/>
    <w:uiPriority w:val="0"/>
    <w:qFormat/>
    <w:rPr>
      <w:sz w:val="21"/>
      <w:szCs w:val="24"/>
    </w:rPr>
  </w:style>
  <w:style w:type="character" w:styleId="960" w:customStyle="1">
    <w:name w:val="明显引用 Char2"/>
    <w:uiPriority w:val="0"/>
    <w:qFormat/>
    <w:rPr>
      <w:b/>
      <w:bCs/>
      <w:i/>
      <w:iCs/>
      <w:color w:val="4f81bd"/>
      <w:sz w:val="21"/>
      <w:szCs w:val="21"/>
    </w:rPr>
  </w:style>
  <w:style w:type="character" w:styleId="961" w:customStyle="1">
    <w:name w:val="Char Char21"/>
    <w:uiPriority w:val="0"/>
    <w:qFormat/>
    <w:rPr>
      <w:rFonts w:eastAsia="宋体"/>
      <w:sz w:val="21"/>
      <w:szCs w:val="24"/>
      <w:lang w:val="en-US" w:eastAsia="zh-CN" w:bidi="ar-SA"/>
    </w:rPr>
  </w:style>
  <w:style w:type="character" w:styleId="962" w:customStyle="1">
    <w:name w:val="正文文本缩进 3 Char1"/>
    <w:uiPriority w:val="0"/>
    <w:qFormat/>
    <w:rPr>
      <w:sz w:val="16"/>
      <w:szCs w:val="16"/>
    </w:rPr>
  </w:style>
  <w:style w:type="character" w:styleId="963" w:customStyle="1">
    <w:name w:val="Intense Reference"/>
    <w:uiPriority w:val="0"/>
    <w:qFormat/>
    <w:rPr>
      <w:b/>
      <w:bCs/>
      <w:smallCaps/>
      <w:color w:val="c0504d"/>
      <w:spacing w:val="5"/>
      <w:u w:val="single"/>
    </w:rPr>
  </w:style>
  <w:style w:type="character" w:styleId="964" w:customStyle="1">
    <w:name w:val="文档结构图 Char Char"/>
    <w:uiPriority w:val="0"/>
    <w:qFormat/>
    <w:rPr>
      <w:sz w:val="21"/>
      <w:szCs w:val="24"/>
      <w:shd w:val="clear" w:color="auto" w:fill="000080"/>
    </w:rPr>
  </w:style>
  <w:style w:type="character" w:styleId="965" w:customStyle="1">
    <w:name w:val="页眉 Char Char"/>
    <w:uiPriority w:val="0"/>
    <w:qFormat/>
    <w:rPr>
      <w:sz w:val="18"/>
    </w:rPr>
  </w:style>
  <w:style w:type="character" w:styleId="966" w:customStyle="1">
    <w:name w:val="正文文本缩进 2 Char1"/>
    <w:uiPriority w:val="0"/>
    <w:qFormat/>
    <w:rPr>
      <w:sz w:val="21"/>
      <w:szCs w:val="21"/>
    </w:rPr>
  </w:style>
  <w:style w:type="character" w:styleId="967" w:customStyle="1">
    <w:name w:val="Subtle Emphasis"/>
    <w:uiPriority w:val="0"/>
    <w:qFormat/>
    <w:rPr>
      <w:i/>
      <w:iCs/>
      <w:color w:val="808080"/>
    </w:rPr>
  </w:style>
  <w:style w:type="character" w:styleId="968" w:customStyle="1">
    <w:name w:val="引用 Char3"/>
    <w:uiPriority w:val="0"/>
    <w:qFormat/>
    <w:rPr>
      <w:i/>
      <w:iCs/>
      <w:color w:val="000000"/>
      <w:sz w:val="21"/>
      <w:szCs w:val="24"/>
    </w:rPr>
  </w:style>
  <w:style w:type="character" w:styleId="969" w:customStyle="1">
    <w:name w:val="标题 Char2"/>
    <w:uiPriority w:val="0"/>
    <w:qFormat/>
    <w:rPr>
      <w:rFonts w:ascii="Cambria" w:hAnsi="Cambria" w:cs="Times New Roman"/>
      <w:b/>
      <w:bCs/>
      <w:sz w:val="32"/>
      <w:szCs w:val="32"/>
    </w:rPr>
  </w:style>
  <w:style w:type="character" w:styleId="970" w:customStyle="1">
    <w:name w:val="副标题 Char1"/>
    <w:uiPriority w:val="0"/>
    <w:qFormat/>
    <w:rPr>
      <w:rFonts w:ascii="Cambria" w:hAnsi="Cambria" w:cs="Times New Roman"/>
      <w:b/>
      <w:bCs/>
      <w:sz w:val="32"/>
      <w:szCs w:val="32"/>
    </w:rPr>
  </w:style>
  <w:style w:type="character" w:styleId="971" w:customStyle="1">
    <w:name w:val="Char Char7"/>
    <w:uiPriority w:val="0"/>
    <w:qFormat/>
    <w:rPr>
      <w:rFonts w:ascii="Arial" w:hAnsi="Arial" w:eastAsia="黑体"/>
      <w:b/>
      <w:bCs/>
      <w:sz w:val="32"/>
      <w:szCs w:val="32"/>
      <w:lang w:val="en-US" w:eastAsia="zh-CN" w:bidi="ar-SA"/>
    </w:rPr>
  </w:style>
  <w:style w:type="character" w:styleId="972" w:customStyle="1">
    <w:name w:val="纯文本 Char Char"/>
    <w:uiPriority w:val="0"/>
    <w:qFormat/>
    <w:rPr>
      <w:rFonts w:ascii="宋体" w:hAnsi="Courier New" w:cs="Courier New"/>
      <w:sz w:val="21"/>
      <w:szCs w:val="21"/>
    </w:rPr>
  </w:style>
  <w:style w:type="character" w:styleId="973" w:customStyle="1">
    <w:name w:val="副标题 Char2"/>
    <w:uiPriority w:val="0"/>
    <w:qFormat/>
    <w:rPr>
      <w:rFonts w:ascii="Cambria" w:hAnsi="Cambria" w:cs="Times New Roman"/>
      <w:b/>
      <w:bCs/>
      <w:sz w:val="32"/>
      <w:szCs w:val="32"/>
    </w:rPr>
  </w:style>
  <w:style w:type="character" w:styleId="974" w:customStyle="1">
    <w:name w:val="正文首行缩进 Char Char"/>
    <w:uiPriority w:val="0"/>
    <w:qFormat/>
    <w:rPr>
      <w:rFonts w:ascii="仿宋_GB2312" w:eastAsia="仿宋_GB2312"/>
      <w:sz w:val="30"/>
      <w:szCs w:val="30"/>
    </w:rPr>
  </w:style>
  <w:style w:type="character" w:styleId="975" w:customStyle="1">
    <w:name w:val="引用 Char2"/>
    <w:uiPriority w:val="0"/>
    <w:qFormat/>
    <w:rPr>
      <w:i/>
      <w:iCs/>
      <w:color w:val="000000"/>
      <w:sz w:val="21"/>
      <w:szCs w:val="21"/>
    </w:rPr>
  </w:style>
  <w:style w:type="character" w:styleId="976" w:customStyle="1">
    <w:name w:val="正文文本 2 Char Char"/>
    <w:uiPriority w:val="0"/>
    <w:qFormat/>
    <w:rPr>
      <w:rFonts w:ascii="楷体_GB2312" w:eastAsia="楷体_GB2312"/>
      <w:sz w:val="28"/>
      <w:szCs w:val="28"/>
    </w:rPr>
  </w:style>
  <w:style w:type="character" w:styleId="977" w:customStyle="1">
    <w:name w:val="批注框文本 Char1"/>
    <w:uiPriority w:val="0"/>
    <w:qFormat/>
    <w:rPr>
      <w:rFonts w:ascii="Times New Roman" w:hAnsi="Times New Roman" w:eastAsia="宋体" w:cs="Times New Roman"/>
      <w:sz w:val="18"/>
      <w:szCs w:val="18"/>
    </w:rPr>
  </w:style>
  <w:style w:type="character" w:styleId="978" w:customStyle="1">
    <w:name w:val="页脚 Char Char"/>
    <w:uiPriority w:val="0"/>
    <w:qFormat/>
    <w:rPr>
      <w:sz w:val="18"/>
    </w:rPr>
  </w:style>
  <w:style w:type="character" w:styleId="979" w:customStyle="1">
    <w:name w:val="mini-tree-nodetext1"/>
    <w:uiPriority w:val="0"/>
    <w:qFormat/>
  </w:style>
  <w:style w:type="character" w:styleId="980" w:customStyle="1">
    <w:name w:val="正文文本 3 Char1"/>
    <w:uiPriority w:val="0"/>
    <w:qFormat/>
    <w:rPr>
      <w:sz w:val="16"/>
      <w:szCs w:val="16"/>
    </w:rPr>
  </w:style>
  <w:style w:type="character" w:styleId="981" w:customStyle="1">
    <w:name w:val="批注文字 Char1"/>
    <w:uiPriority w:val="0"/>
    <w:qFormat/>
    <w:rPr>
      <w:sz w:val="21"/>
      <w:szCs w:val="21"/>
    </w:rPr>
  </w:style>
  <w:style w:type="character" w:styleId="982" w:customStyle="1">
    <w:name w:val="Char Char71"/>
    <w:uiPriority w:val="0"/>
    <w:qFormat/>
    <w:rPr>
      <w:rFonts w:ascii="Arial" w:hAnsi="Arial" w:eastAsia="黑体"/>
      <w:b/>
      <w:bCs/>
      <w:sz w:val="32"/>
      <w:szCs w:val="32"/>
      <w:lang w:val="en-US" w:eastAsia="zh-CN" w:bidi="ar-SA"/>
    </w:rPr>
  </w:style>
  <w:style w:type="character" w:styleId="983" w:customStyle="1">
    <w:name w:val="标题 8 Char Char"/>
    <w:uiPriority w:val="0"/>
    <w:qFormat/>
    <w:rPr>
      <w:rFonts w:ascii="Arial" w:hAnsi="Arial" w:eastAsia="黑体"/>
      <w:sz w:val="24"/>
      <w:szCs w:val="24"/>
    </w:rPr>
  </w:style>
  <w:style w:type="character" w:styleId="984" w:customStyle="1">
    <w:name w:val="标题 2 Char Char"/>
    <w:uiPriority w:val="0"/>
    <w:qFormat/>
    <w:rPr>
      <w:rFonts w:ascii="Arial" w:hAnsi="Arial" w:eastAsia="黑体"/>
      <w:b/>
      <w:bCs/>
      <w:sz w:val="32"/>
      <w:szCs w:val="32"/>
    </w:rPr>
  </w:style>
  <w:style w:type="character" w:styleId="985" w:customStyle="1">
    <w:name w:val="mini-outputtext1"/>
    <w:uiPriority w:val="0"/>
    <w:qFormat/>
  </w:style>
  <w:style w:type="character" w:styleId="986" w:customStyle="1">
    <w:name w:val="日期 Char Char"/>
    <w:uiPriority w:val="0"/>
    <w:qFormat/>
    <w:rPr>
      <w:sz w:val="21"/>
      <w:szCs w:val="24"/>
    </w:rPr>
  </w:style>
  <w:style w:type="character" w:styleId="987" w:customStyle="1">
    <w:name w:val="标题 1 Char Char"/>
    <w:uiPriority w:val="0"/>
    <w:qFormat/>
    <w:rPr>
      <w:b/>
      <w:bCs/>
      <w:sz w:val="44"/>
      <w:szCs w:val="44"/>
    </w:rPr>
  </w:style>
  <w:style w:type="character" w:styleId="988" w:customStyle="1">
    <w:name w:val="Char Char81"/>
    <w:uiPriority w:val="0"/>
    <w:qFormat/>
    <w:rPr>
      <w:rFonts w:ascii="Arial" w:hAnsi="Arial" w:eastAsia="黑体"/>
      <w:b/>
      <w:bCs/>
      <w:sz w:val="32"/>
      <w:szCs w:val="32"/>
      <w:lang w:val="en-US" w:eastAsia="zh-CN" w:bidi="ar-SA"/>
    </w:rPr>
  </w:style>
  <w:style w:type="character" w:styleId="989" w:customStyle="1">
    <w:name w:val="文档结构图 Char1"/>
    <w:uiPriority w:val="0"/>
    <w:qFormat/>
    <w:rPr>
      <w:rFonts w:ascii="宋体" w:hAnsi="Times New Roman" w:eastAsia="宋体" w:cs="Times New Roman"/>
      <w:sz w:val="18"/>
      <w:szCs w:val="18"/>
    </w:rPr>
  </w:style>
  <w:style w:type="character" w:styleId="990" w:customStyle="1">
    <w:name w:val="标题 3.1 Char Char"/>
    <w:link w:val="991"/>
    <w:uiPriority w:val="0"/>
    <w:qFormat/>
    <w:rPr>
      <w:rFonts w:ascii="宋体" w:hAnsi="宋体"/>
      <w:b/>
      <w:bCs/>
      <w:color w:val="000000"/>
      <w:sz w:val="32"/>
      <w:szCs w:val="32"/>
    </w:rPr>
  </w:style>
  <w:style w:type="paragraph" w:styleId="991" w:customStyle="1">
    <w:name w:val="标题 3.1"/>
    <w:basedOn w:val="651"/>
    <w:link w:val="990"/>
    <w:uiPriority w:val="0"/>
    <w:qFormat/>
    <w:pPr>
      <w:spacing w:line="600" w:lineRule="exact"/>
      <w:tabs>
        <w:tab w:val="left" w:pos="1440" w:leader="none"/>
        <w:tab w:val="left" w:pos="1620" w:leader="none"/>
      </w:tabs>
    </w:pPr>
    <w:rPr>
      <w:rFonts w:ascii="宋体" w:hAnsi="宋体"/>
      <w:color w:val="000000"/>
    </w:rPr>
  </w:style>
  <w:style w:type="character" w:styleId="992" w:customStyle="1">
    <w:name w:val="ssss Char Char"/>
    <w:uiPriority w:val="0"/>
    <w:qFormat/>
    <w:rPr>
      <w:rFonts w:eastAsia="宋体"/>
      <w:sz w:val="24"/>
      <w:szCs w:val="24"/>
      <w:lang w:val="en-US" w:eastAsia="zh-CN" w:bidi="ar-SA"/>
    </w:rPr>
  </w:style>
  <w:style w:type="character" w:styleId="993" w:customStyle="1">
    <w:name w:val="正文文本 Char Char"/>
    <w:uiPriority w:val="0"/>
    <w:qFormat/>
    <w:rPr>
      <w:sz w:val="21"/>
      <w:szCs w:val="24"/>
    </w:rPr>
  </w:style>
  <w:style w:type="character" w:styleId="994" w:customStyle="1">
    <w:name w:val="列出段落 字符"/>
    <w:link w:val="995"/>
    <w:uiPriority w:val="0"/>
    <w:qFormat/>
  </w:style>
  <w:style w:type="paragraph" w:styleId="995">
    <w:name w:val="List Paragraph"/>
    <w:basedOn w:val="648"/>
    <w:link w:val="994"/>
    <w:uiPriority w:val="0"/>
    <w:qFormat/>
    <w:pPr>
      <w:contextualSpacing/>
      <w:ind w:left="720"/>
      <w:jc w:val="left"/>
      <w:widowControl/>
    </w:pPr>
    <w:rPr>
      <w:rFonts w:ascii="Calibri" w:hAnsi="Calibri"/>
      <w:sz w:val="24"/>
      <w:lang w:eastAsia="en-US" w:bidi="en-US"/>
    </w:rPr>
  </w:style>
  <w:style w:type="paragraph" w:styleId="996" w:customStyle="1">
    <w:name w:val="正文文本1"/>
    <w:basedOn w:val="648"/>
    <w:next w:val="648"/>
    <w:uiPriority w:val="0"/>
    <w:qFormat/>
    <w:rPr>
      <w:rFonts w:ascii="仿宋_GB2312" w:eastAsia="仿宋_GB2312"/>
      <w:sz w:val="24"/>
      <w:szCs w:val="20"/>
    </w:rPr>
  </w:style>
  <w:style w:type="paragraph" w:styleId="997" w:customStyle="1">
    <w:name w:val="Default"/>
    <w:uiPriority w:val="0"/>
    <w:qFormat/>
    <w:pPr>
      <w:widowControl w:val="off"/>
    </w:pPr>
    <w:rPr>
      <w:rFonts w:hint="default" w:ascii="宋体" w:hAnsi="宋体" w:eastAsia="宋体" w:cs="宋体"/>
      <w:color w:val="000000"/>
      <w:sz w:val="24"/>
      <w:szCs w:val="24"/>
    </w:rPr>
  </w:style>
  <w:style w:type="paragraph" w:styleId="998" w:customStyle="1">
    <w:name w:val="标题3"/>
    <w:basedOn w:val="648"/>
    <w:next w:val="648"/>
    <w:uiPriority w:val="0"/>
    <w:qFormat/>
    <w:pPr>
      <w:ind w:firstLine="624"/>
      <w:spacing w:line="590" w:lineRule="atLeast"/>
    </w:pPr>
    <w:rPr>
      <w:rFonts w:ascii="方正黑体_GBK" w:eastAsia="方正黑体_GBK"/>
      <w:sz w:val="32"/>
      <w:szCs w:val="32"/>
    </w:rPr>
  </w:style>
  <w:style w:type="paragraph" w:styleId="999" w:customStyle="1">
    <w:name w:val="表格"/>
    <w:basedOn w:val="648"/>
    <w:uiPriority w:val="0"/>
    <w:qFormat/>
    <w:rPr>
      <w:rFonts w:ascii="Arial" w:hAnsi="Arial"/>
      <w:sz w:val="24"/>
    </w:rPr>
  </w:style>
  <w:style w:type="paragraph" w:styleId="1000" w:customStyle="1">
    <w:name w:val="标题1"/>
    <w:basedOn w:val="648"/>
    <w:next w:val="6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customStyle="1">
    <w:name w:val="Char"/>
    <w:basedOn w:val="648"/>
    <w:uiPriority w:val="0"/>
    <w:qFormat/>
    <w:rPr>
      <w:rFonts w:ascii="Tahoma" w:hAnsi="Tahoma"/>
      <w:sz w:val="24"/>
      <w:szCs w:val="20"/>
    </w:rPr>
  </w:style>
  <w:style w:type="paragraph" w:styleId="1002" w:customStyle="1">
    <w:name w:val="Char Char1 Char Char Char Char Char Char"/>
    <w:basedOn w:val="648"/>
    <w:uiPriority w:val="0"/>
    <w:qFormat/>
    <w:pPr>
      <w:jc w:val="left"/>
      <w:spacing w:after="160" w:line="240" w:lineRule="exact"/>
      <w:widowControl/>
    </w:pPr>
    <w:rPr>
      <w:rFonts w:ascii="Verdana" w:hAnsi="Verdana" w:eastAsia="仿宋_GB2312"/>
      <w:sz w:val="24"/>
      <w:szCs w:val="20"/>
      <w:lang w:eastAsia="en-US"/>
    </w:rPr>
  </w:style>
  <w:style w:type="paragraph" w:styleId="1003" w:customStyle="1">
    <w:name w:val="样式 标题 2 + Times New Roman 四号 非加粗 段前: 5 磅 段后: 0 磅 行距: 固定值 20..."/>
    <w:basedOn w:val="650"/>
    <w:uiPriority w:val="0"/>
    <w:qFormat/>
    <w:pPr>
      <w:spacing w:before="100" w:after="0" w:line="400" w:lineRule="exact"/>
    </w:pPr>
    <w:rPr>
      <w:rFonts w:ascii="Times New Roman" w:hAnsi="Times New Roman" w:cs="宋体"/>
      <w:b w:val="0"/>
      <w:bCs w:val="0"/>
      <w:sz w:val="28"/>
      <w:szCs w:val="20"/>
    </w:rPr>
  </w:style>
  <w:style w:type="paragraph" w:styleId="1004" w:customStyle="1">
    <w:name w:val="Char Char 字元 字元 字元 Char Char Char Char"/>
    <w:basedOn w:val="648"/>
    <w:uiPriority w:val="0"/>
    <w:qFormat/>
    <w:pPr>
      <w:spacing w:line="360" w:lineRule="auto"/>
    </w:pPr>
    <w:rPr>
      <w:sz w:val="24"/>
      <w:szCs w:val="20"/>
    </w:rPr>
  </w:style>
  <w:style w:type="paragraph" w:styleId="1005" w:customStyle="1">
    <w:name w:val="p0"/>
    <w:basedOn w:val="648"/>
    <w:uiPriority w:val="0"/>
    <w:qFormat/>
    <w:pPr>
      <w:ind w:firstLine="420"/>
      <w:jc w:val="left"/>
      <w:widowControl/>
    </w:pPr>
    <w:rPr>
      <w:sz w:val="20"/>
      <w:szCs w:val="20"/>
    </w:rPr>
  </w:style>
  <w:style w:type="paragraph" w:styleId="1006" w:customStyle="1">
    <w:name w:val="表格文字"/>
    <w:basedOn w:val="648"/>
    <w:uiPriority w:val="0"/>
    <w:qFormat/>
    <w:pPr>
      <w:jc w:val="left"/>
      <w:spacing w:line="420" w:lineRule="atLeast"/>
    </w:pPr>
  </w:style>
  <w:style w:type="paragraph" w:styleId="1007" w:customStyle="1">
    <w:name w:val="表格正文"/>
    <w:basedOn w:val="648"/>
    <w:uiPriority w:val="0"/>
    <w:qFormat/>
    <w:pPr>
      <w:jc w:val="left"/>
      <w:spacing w:line="360" w:lineRule="auto"/>
    </w:pPr>
    <w:rPr>
      <w:rFonts w:ascii="Calibri" w:hAnsi="Calibri"/>
      <w:color w:val="000000"/>
      <w:szCs w:val="28"/>
    </w:rPr>
  </w:style>
  <w:style w:type="paragraph" w:styleId="1008" w:customStyle="1">
    <w:name w:val="Char Char Char Char Char Char Char Char Char Char Char Char Char"/>
    <w:basedOn w:val="648"/>
    <w:uiPriority w:val="0"/>
    <w:qFormat/>
  </w:style>
  <w:style w:type="paragraph" w:styleId="1009" w:customStyle="1">
    <w:name w:val="Header2"/>
    <w:basedOn w:val="648"/>
    <w:uiPriority w:val="0"/>
    <w:qFormat/>
    <w:pPr>
      <w:tabs>
        <w:tab w:val="left" w:pos="480" w:leader="none"/>
      </w:tabs>
    </w:pPr>
  </w:style>
  <w:style w:type="paragraph" w:styleId="1010" w:customStyle="1">
    <w:name w:val="msonormalcxspmiddle"/>
    <w:basedOn w:val="648"/>
    <w:uiPriority w:val="0"/>
    <w:qFormat/>
    <w:pPr>
      <w:jc w:val="left"/>
      <w:spacing w:before="100" w:beforeAutospacing="1" w:after="100" w:afterAutospacing="1"/>
      <w:widowControl/>
    </w:pPr>
    <w:rPr>
      <w:rFonts w:ascii="宋体" w:hAnsi="宋体" w:cs="宋体"/>
      <w:sz w:val="24"/>
    </w:rPr>
  </w:style>
  <w:style w:type="paragraph" w:styleId="1011" w:customStyle="1">
    <w:name w:val="6'"/>
    <w:basedOn w:val="648"/>
    <w:uiPriority w:val="0"/>
    <w:qFormat/>
    <w:pPr>
      <w:jc w:val="center"/>
      <w:spacing w:line="320" w:lineRule="exact"/>
    </w:pPr>
    <w:rPr>
      <w:spacing w:val="20"/>
    </w:rPr>
  </w:style>
  <w:style w:type="paragraph" w:styleId="1012" w:customStyle="1">
    <w:name w:val="正文 New"/>
    <w:uiPriority w:val="0"/>
    <w:qFormat/>
    <w:pPr>
      <w:jc w:val="both"/>
      <w:widowControl w:val="off"/>
    </w:pPr>
    <w:rPr>
      <w:rFonts w:hint="default" w:ascii="Times New Roman" w:hAnsi="Times New Roman" w:eastAsia="宋体" w:cs="Times New Roman"/>
      <w:sz w:val="21"/>
      <w:szCs w:val="24"/>
    </w:rPr>
  </w:style>
  <w:style w:type="paragraph" w:styleId="1013" w:customStyle="1">
    <w:name w:val="标书正文"/>
    <w:uiPriority w:val="0"/>
    <w:qFormat/>
    <w:pPr>
      <w:jc w:val="both"/>
      <w:spacing w:line="400" w:lineRule="exact"/>
      <w:widowControl w:val="off"/>
    </w:pPr>
    <w:rPr>
      <w:rFonts w:hint="default" w:ascii="Times New Roman" w:hAnsi="Times New Roman" w:eastAsia="宋体" w:cs="Times New Roman"/>
      <w:sz w:val="24"/>
      <w:szCs w:val="22"/>
    </w:rPr>
  </w:style>
  <w:style w:type="paragraph" w:styleId="1014" w:customStyle="1">
    <w:name w:val="2cxsplast"/>
    <w:basedOn w:val="648"/>
    <w:uiPriority w:val="0"/>
    <w:qFormat/>
    <w:pPr>
      <w:jc w:val="left"/>
      <w:spacing w:before="100" w:beforeAutospacing="1" w:after="100" w:afterAutospacing="1"/>
      <w:widowControl/>
    </w:pPr>
    <w:rPr>
      <w:rFonts w:ascii="宋体" w:hAnsi="宋体" w:cs="宋体"/>
      <w:sz w:val="24"/>
    </w:rPr>
  </w:style>
  <w:style w:type="paragraph" w:styleId="1015" w:customStyle="1">
    <w:name w:val="Char1"/>
    <w:basedOn w:val="648"/>
    <w:uiPriority w:val="0"/>
    <w:qFormat/>
    <w:pPr>
      <w:ind w:left="840" w:hanging="420"/>
      <w:tabs>
        <w:tab w:val="left" w:pos="840" w:leader="none"/>
      </w:tabs>
    </w:pPr>
    <w:rPr>
      <w:sz w:val="24"/>
    </w:rPr>
  </w:style>
  <w:style w:type="paragraph" w:styleId="1016"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017" w:customStyle="1">
    <w:name w:val="Char Char Char Char"/>
    <w:basedOn w:val="648"/>
    <w:uiPriority w:val="0"/>
    <w:qFormat/>
    <w:rPr>
      <w:rFonts w:ascii="Tahoma" w:hAnsi="Tahoma"/>
      <w:sz w:val="24"/>
      <w:szCs w:val="20"/>
    </w:rPr>
  </w:style>
  <w:style w:type="paragraph" w:styleId="1018" w:customStyle="1">
    <w:name w:val="样式 宋体 四号 黑色 左侧:  0.74 厘米 首行缩进:  0.74 厘米 行距: 1.5 倍行距"/>
    <w:basedOn w:val="648"/>
    <w:uiPriority w:val="0"/>
    <w:qFormat/>
    <w:pPr>
      <w:ind w:firstLine="420"/>
      <w:spacing w:line="360" w:lineRule="auto"/>
    </w:pPr>
    <w:rPr>
      <w:rFonts w:ascii="宋体"/>
      <w:color w:val="000000"/>
      <w:sz w:val="24"/>
      <w:szCs w:val="21"/>
    </w:rPr>
  </w:style>
  <w:style w:type="paragraph" w:styleId="1019" w:customStyle="1">
    <w:name w:val="4"/>
    <w:basedOn w:val="648"/>
    <w:next w:val="689"/>
    <w:uiPriority w:val="0"/>
    <w:qFormat/>
    <w:pPr>
      <w:ind w:firstLine="420"/>
      <w:spacing w:line="360" w:lineRule="auto"/>
    </w:pPr>
    <w:rPr>
      <w:color w:val="ff0000"/>
      <w:sz w:val="24"/>
    </w:rPr>
  </w:style>
  <w:style w:type="paragraph" w:styleId="1020" w:customStyle="1">
    <w:name w:val="样式 标题 1 + 黑体 三号 非加粗 居中 段前: 6 磅 段后: 6 磅 行距: 固定值 20 磅"/>
    <w:basedOn w:val="649"/>
    <w:uiPriority w:val="0"/>
    <w:qFormat/>
    <w:pPr>
      <w:jc w:val="center"/>
      <w:spacing w:before="120" w:after="120" w:line="400" w:lineRule="exact"/>
    </w:pPr>
    <w:rPr>
      <w:rFonts w:ascii="黑体" w:hAnsi="黑体" w:eastAsia="黑体" w:cs="宋体"/>
      <w:b w:val="0"/>
      <w:bCs w:val="0"/>
      <w:sz w:val="32"/>
      <w:szCs w:val="20"/>
    </w:rPr>
  </w:style>
  <w:style w:type="paragraph" w:styleId="1021" w:customStyle="1">
    <w:name w:val="table_1stline"/>
    <w:basedOn w:val="648"/>
    <w:uiPriority w:val="0"/>
    <w:qFormat/>
    <w:pPr>
      <w:jc w:val="left"/>
      <w:spacing w:before="120"/>
      <w:widowControl/>
    </w:pPr>
    <w:rPr>
      <w:bCs/>
      <w:sz w:val="20"/>
      <w:szCs w:val="20"/>
      <w:lang w:val="de-DE" w:eastAsia="de-DE"/>
    </w:rPr>
  </w:style>
  <w:style w:type="paragraph" w:styleId="1022" w:customStyle="1">
    <w:name w:val="标题------4"/>
    <w:basedOn w:val="65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23" w:customStyle="1">
    <w:name w:val="font6"/>
    <w:basedOn w:val="64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正文缩进4格"/>
    <w:basedOn w:val="919"/>
    <w:uiPriority w:val="0"/>
    <w:qFormat/>
    <w:pPr>
      <w:ind w:left="2" w:firstLine="538"/>
    </w:pPr>
    <w:rPr>
      <w:color w:val="000000"/>
      <w:sz w:val="28"/>
    </w:rPr>
  </w:style>
  <w:style w:type="paragraph" w:styleId="1025" w:customStyle="1">
    <w:name w:val="Char Char Char Char Char Char Char Char Char Char Char Char Char1"/>
    <w:basedOn w:val="648"/>
    <w:uiPriority w:val="0"/>
    <w:qFormat/>
    <w:rPr>
      <w:sz w:val="24"/>
    </w:rPr>
  </w:style>
  <w:style w:type="paragraph" w:styleId="1026" w:customStyle="1">
    <w:name w:val="Char Char Char Char Char Char Char Char"/>
    <w:basedOn w:val="648"/>
    <w:uiPriority w:val="0"/>
    <w:qFormat/>
    <w:pPr>
      <w:jc w:val="left"/>
      <w:spacing w:after="160" w:line="240" w:lineRule="exact"/>
      <w:widowControl/>
    </w:pPr>
    <w:rPr>
      <w:rFonts w:ascii="Verdana" w:hAnsi="Verdana"/>
      <w:sz w:val="20"/>
      <w:szCs w:val="20"/>
      <w:lang w:eastAsia="en-US"/>
    </w:rPr>
  </w:style>
  <w:style w:type="paragraph" w:styleId="1027" w:customStyle="1">
    <w:name w:val="xl29"/>
    <w:basedOn w:val="64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28" w:customStyle="1">
    <w:name w:val="Char Char Char Char Char Char Char Char1"/>
    <w:basedOn w:val="648"/>
    <w:uiPriority w:val="0"/>
    <w:qFormat/>
    <w:pPr>
      <w:jc w:val="left"/>
      <w:spacing w:after="160" w:line="240" w:lineRule="exact"/>
      <w:widowControl/>
    </w:pPr>
    <w:rPr>
      <w:rFonts w:ascii="Verdana" w:hAnsi="Verdana"/>
      <w:sz w:val="20"/>
      <w:szCs w:val="20"/>
      <w:lang w:eastAsia="en-US"/>
    </w:rPr>
  </w:style>
  <w:style w:type="paragraph" w:styleId="1029" w:customStyle="1">
    <w:name w:val="xl27"/>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0" w:customStyle="1">
    <w:name w:val="图标"/>
    <w:basedOn w:val="648"/>
    <w:next w:val="64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样式2"/>
    <w:basedOn w:val="651"/>
    <w:uiPriority w:val="0"/>
    <w:qFormat/>
    <w:pPr>
      <w:ind w:firstLine="137"/>
      <w:spacing w:before="20" w:after="20" w:line="415" w:lineRule="auto"/>
    </w:pPr>
    <w:rPr>
      <w:rFonts w:hAnsi="黑体" w:eastAsia="黑体"/>
      <w:b w:val="0"/>
      <w:bCs w:val="0"/>
      <w:sz w:val="24"/>
      <w:szCs w:val="20"/>
    </w:rPr>
  </w:style>
  <w:style w:type="paragraph" w:styleId="1032" w:customStyle="1">
    <w:name w:val="样式3"/>
    <w:basedOn w:val="651"/>
    <w:uiPriority w:val="0"/>
    <w:qFormat/>
    <w:pPr>
      <w:ind w:firstLine="137"/>
      <w:spacing w:before="20" w:after="20" w:line="415" w:lineRule="auto"/>
    </w:pPr>
    <w:rPr>
      <w:rFonts w:hAnsi="黑体" w:eastAsia="Arial"/>
      <w:b w:val="0"/>
      <w:bCs w:val="0"/>
      <w:sz w:val="24"/>
      <w:szCs w:val="20"/>
    </w:rPr>
  </w:style>
  <w:style w:type="paragraph" w:styleId="1033" w:customStyle="1">
    <w:name w:val="xl24"/>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4" w:customStyle="1">
    <w:name w:val="Char Char Char Char1"/>
    <w:basedOn w:val="648"/>
    <w:uiPriority w:val="0"/>
    <w:qFormat/>
    <w:rPr>
      <w:rFonts w:ascii="Tahoma" w:hAnsi="Tahoma"/>
      <w:sz w:val="24"/>
      <w:szCs w:val="20"/>
    </w:rPr>
  </w:style>
  <w:style w:type="paragraph" w:styleId="1035" w:customStyle="1">
    <w:name w:val="Body Text(ch)"/>
    <w:basedOn w:val="648"/>
    <w:next w:val="668"/>
    <w:uiPriority w:val="0"/>
    <w:qFormat/>
    <w:pPr>
      <w:spacing w:after="120"/>
    </w:pPr>
    <w:rPr>
      <w:rFonts w:ascii="宋体" w:hAnsi="Arial"/>
      <w:bCs/>
      <w:iCs/>
    </w:rPr>
  </w:style>
  <w:style w:type="paragraph" w:styleId="1036" w:customStyle="1">
    <w:name w:val="Char Char Char1"/>
    <w:basedOn w:val="648"/>
    <w:uiPriority w:val="0"/>
    <w:qFormat/>
    <w:rPr>
      <w:rFonts w:ascii="Tahoma" w:hAnsi="Tahoma"/>
      <w:sz w:val="24"/>
      <w:szCs w:val="20"/>
    </w:rPr>
  </w:style>
  <w:style w:type="paragraph" w:styleId="1037" w:customStyle="1">
    <w:name w:val="样式 正文文本缩进 3 + 四号"/>
    <w:basedOn w:val="689"/>
    <w:uiPriority w:val="0"/>
    <w:qFormat/>
    <w:pPr>
      <w:ind w:left="0" w:firstLine="437"/>
      <w:spacing w:after="0" w:line="360" w:lineRule="auto"/>
    </w:pPr>
    <w:rPr>
      <w:sz w:val="24"/>
      <w:szCs w:val="21"/>
    </w:rPr>
  </w:style>
  <w:style w:type="paragraph" w:styleId="1038" w:customStyle="1">
    <w:name w:val="xl25"/>
    <w:basedOn w:val="648"/>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39" w:customStyle="1">
    <w:name w:val="普通 (Web)"/>
    <w:basedOn w:val="648"/>
    <w:uiPriority w:val="0"/>
    <w:qFormat/>
    <w:pPr>
      <w:jc w:val="left"/>
      <w:spacing w:before="100" w:beforeAutospacing="1" w:after="100" w:afterAutospacing="1"/>
      <w:widowControl/>
    </w:pPr>
    <w:rPr>
      <w:rFonts w:ascii="宋体" w:hAnsi="宋体"/>
      <w:sz w:val="24"/>
    </w:rPr>
  </w:style>
  <w:style w:type="paragraph" w:styleId="1040" w:customStyle="1">
    <w:name w:val="纯文本1"/>
    <w:basedOn w:val="648"/>
    <w:uiPriority w:val="0"/>
    <w:qFormat/>
    <w:rPr>
      <w:rFonts w:ascii="宋体" w:hAnsi="Courier New"/>
      <w:sz w:val="28"/>
    </w:rPr>
  </w:style>
  <w:style w:type="paragraph" w:styleId="1041" w:customStyle="1">
    <w:name w:val="样式 标题 2 + 黑色 行距: 1.5 倍行距"/>
    <w:basedOn w:val="650"/>
    <w:uiPriority w:val="0"/>
    <w:qFormat/>
    <w:pPr>
      <w:spacing w:line="360" w:lineRule="auto"/>
    </w:pPr>
    <w:rPr>
      <w:rFonts w:ascii="宋体" w:hAnsi="宋体" w:eastAsia="宋体"/>
      <w:bCs w:val="0"/>
      <w:color w:val="000000"/>
    </w:rPr>
  </w:style>
  <w:style w:type="paragraph" w:styleId="1042" w:customStyle="1">
    <w:name w:val="Char Char2 Char Char"/>
    <w:basedOn w:val="665"/>
    <w:uiPriority w:val="0"/>
    <w:qFormat/>
    <w:rPr>
      <w:rFonts w:hint="eastAsia" w:ascii="Tahoma" w:hAnsi="Tahoma"/>
      <w:sz w:val="24"/>
    </w:rPr>
  </w:style>
  <w:style w:type="paragraph" w:styleId="1043"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044" w:customStyle="1">
    <w:name w:val="样式 标题 3 + (中文) 黑体 小四 非加粗 段前: 7.8 磅 段后: 0 磅 行距: 固定值 20 磅"/>
    <w:basedOn w:val="651"/>
    <w:uiPriority w:val="0"/>
    <w:qFormat/>
    <w:pPr>
      <w:ind w:firstLine="137"/>
      <w:spacing w:before="0" w:after="0" w:line="400" w:lineRule="exact"/>
    </w:pPr>
    <w:rPr>
      <w:rFonts w:hAnsi="黑体" w:eastAsia="黑体" w:cs="宋体"/>
      <w:sz w:val="24"/>
      <w:szCs w:val="20"/>
    </w:rPr>
  </w:style>
  <w:style w:type="paragraph" w:styleId="1045" w:customStyle="1">
    <w:name w:val="正文_0"/>
    <w:uiPriority w:val="0"/>
    <w:qFormat/>
    <w:pPr>
      <w:jc w:val="both"/>
      <w:widowControl w:val="off"/>
    </w:pPr>
    <w:rPr>
      <w:rFonts w:hint="default" w:ascii="Times New Roman" w:hAnsi="Times New Roman" w:eastAsia="宋体" w:cs="Times New Roman"/>
      <w:sz w:val="21"/>
      <w:szCs w:val="22"/>
    </w:rPr>
  </w:style>
  <w:style w:type="paragraph" w:styleId="1046" w:customStyle="1">
    <w:name w:val="xl28"/>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7" w:customStyle="1">
    <w:name w:val="para"/>
    <w:basedOn w:val="648"/>
    <w:uiPriority w:val="0"/>
    <w:qFormat/>
    <w:pPr>
      <w:jc w:val="left"/>
      <w:spacing w:before="100" w:beforeAutospacing="1" w:after="100" w:afterAutospacing="1"/>
      <w:widowControl/>
    </w:pPr>
    <w:rPr>
      <w:rFonts w:ascii="Arial" w:hAnsi="Arial" w:cs="Arial"/>
      <w:sz w:val="18"/>
      <w:szCs w:val="18"/>
    </w:rPr>
  </w:style>
  <w:style w:type="paragraph" w:styleId="1048" w:customStyle="1">
    <w:name w:val="样式 ssss + 居中"/>
    <w:basedOn w:val="955"/>
    <w:uiPriority w:val="0"/>
    <w:qFormat/>
    <w:pPr>
      <w:jc w:val="center"/>
    </w:pPr>
    <w:rPr>
      <w:rFonts w:cs="宋体"/>
      <w:szCs w:val="20"/>
    </w:rPr>
  </w:style>
  <w:style w:type="paragraph" w:styleId="1049" w:customStyle="1">
    <w:name w:val="font7"/>
    <w:basedOn w:val="648"/>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paragraphindent"/>
    <w:basedOn w:val="648"/>
    <w:uiPriority w:val="0"/>
    <w:qFormat/>
    <w:pPr>
      <w:jc w:val="left"/>
      <w:spacing w:before="100" w:beforeAutospacing="1" w:after="100" w:afterAutospacing="1"/>
      <w:widowControl/>
    </w:pPr>
    <w:rPr>
      <w:rFonts w:ascii="宋体" w:hAnsi="宋体" w:cs="宋体"/>
      <w:sz w:val="24"/>
    </w:rPr>
  </w:style>
  <w:style w:type="paragraph" w:styleId="1051" w:customStyle="1">
    <w:name w:val="Personal Name"/>
    <w:basedOn w:val="696"/>
    <w:uiPriority w:val="0"/>
    <w:qFormat/>
    <w:rPr>
      <w:rFonts w:ascii="Impact" w:hAnsi="Impact"/>
      <w:b w:val="0"/>
      <w:caps/>
      <w:color w:val="000000"/>
      <w:sz w:val="28"/>
      <w:szCs w:val="28"/>
    </w:rPr>
  </w:style>
  <w:style w:type="paragraph" w:styleId="1052" w:customStyle="1">
    <w:name w:val="Char Char2 Char Char1"/>
    <w:basedOn w:val="665"/>
    <w:uiPriority w:val="0"/>
    <w:qFormat/>
    <w:rPr>
      <w:rFonts w:hint="eastAsia" w:ascii="Tahoma" w:hAnsi="Tahoma"/>
      <w:sz w:val="24"/>
    </w:rPr>
  </w:style>
  <w:style w:type="paragraph" w:styleId="1053" w:customStyle="1">
    <w:name w:val="样式1"/>
    <w:basedOn w:val="648"/>
    <w:uiPriority w:val="0"/>
    <w:qFormat/>
    <w:pPr>
      <w:tabs>
        <w:tab w:val="left" w:pos="709" w:leader="none"/>
      </w:tabs>
    </w:pPr>
    <w:rPr>
      <w:rFonts w:ascii="宋体" w:hAnsi="宋体"/>
      <w:szCs w:val="21"/>
    </w:rPr>
  </w:style>
  <w:style w:type="paragraph" w:styleId="1054" w:customStyle="1">
    <w:name w:val="msonormalcxsplast"/>
    <w:basedOn w:val="648"/>
    <w:uiPriority w:val="0"/>
    <w:qFormat/>
    <w:pPr>
      <w:jc w:val="left"/>
      <w:spacing w:before="100" w:beforeAutospacing="1" w:after="100" w:afterAutospacing="1"/>
      <w:widowControl/>
    </w:pPr>
    <w:rPr>
      <w:rFonts w:ascii="宋体" w:hAnsi="宋体" w:cs="宋体"/>
      <w:sz w:val="24"/>
    </w:rPr>
  </w:style>
  <w:style w:type="paragraph" w:styleId="1055" w:customStyle="1">
    <w:name w:val="font5"/>
    <w:basedOn w:val="648"/>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Char Char Char Char Char Char Char Char Char Char"/>
    <w:basedOn w:val="648"/>
    <w:uiPriority w:val="0"/>
    <w:qFormat/>
    <w:pPr>
      <w:spacing w:line="360" w:lineRule="auto"/>
    </w:pPr>
    <w:rPr>
      <w:sz w:val="24"/>
      <w:szCs w:val="20"/>
    </w:rPr>
  </w:style>
  <w:style w:type="paragraph" w:styleId="1057" w:customStyle="1">
    <w:name w:val="1"/>
    <w:basedOn w:val="648"/>
    <w:next w:val="648"/>
    <w:uiPriority w:val="0"/>
    <w:qFormat/>
  </w:style>
  <w:style w:type="paragraph" w:styleId="1058" w:customStyle="1">
    <w:name w:val="寄信人地址1"/>
    <w:basedOn w:val="648"/>
    <w:uiPriority w:val="99"/>
    <w:unhideWhenUsed/>
    <w:qFormat/>
    <w:rPr>
      <w:rFonts w:ascii="Arial" w:hAnsi="Arial"/>
    </w:rPr>
  </w:style>
  <w:style w:type="paragraph" w:styleId="1059" w:customStyle="1">
    <w:name w:val="Char2"/>
    <w:basedOn w:val="648"/>
    <w:uiPriority w:val="0"/>
    <w:qFormat/>
    <w:pPr>
      <w:tabs>
        <w:tab w:val="left" w:pos="360" w:leader="none"/>
      </w:tabs>
    </w:pPr>
    <w:rPr>
      <w:sz w:val="24"/>
    </w:rPr>
  </w:style>
  <w:style w:type="paragraph" w:styleId="1060" w:customStyle="1">
    <w:name w:val="正文文本缩进1"/>
    <w:basedOn w:val="648"/>
    <w:next w:val="1058"/>
    <w:uiPriority w:val="0"/>
    <w:qFormat/>
    <w:pPr>
      <w:ind w:firstLine="420"/>
      <w:spacing w:line="360" w:lineRule="auto"/>
    </w:pPr>
    <w:rPr>
      <w:rFonts w:ascii="宋体"/>
      <w:sz w:val="24"/>
    </w:rPr>
  </w:style>
  <w:style w:type="paragraph" w:styleId="1061" w:customStyle="1">
    <w:name w:val="正文首行缩进 21"/>
    <w:basedOn w:val="1060"/>
    <w:next w:val="1062"/>
    <w:uiPriority w:val="0"/>
    <w:qFormat/>
    <w:rPr>
      <w:rFonts w:hAnsi="宋体"/>
      <w:sz w:val="20"/>
      <w:szCs w:val="20"/>
    </w:rPr>
  </w:style>
  <w:style w:type="paragraph" w:styleId="1062" w:customStyle="1">
    <w:name w:val="正文文本缩进 31"/>
    <w:basedOn w:val="648"/>
    <w:uiPriority w:val="0"/>
    <w:qFormat/>
    <w:pPr>
      <w:ind w:left="645" w:firstLine="645"/>
    </w:pPr>
    <w:rPr>
      <w:rFonts w:ascii="Arial" w:hAnsi="Arial" w:eastAsia="仿宋_GB2312"/>
      <w:color w:val="ffff00"/>
      <w:sz w:val="32"/>
      <w:szCs w:val="32"/>
    </w:rPr>
  </w:style>
  <w:style w:type="paragraph" w:styleId="1063" w:customStyle="1">
    <w:name w:val="table_lines"/>
    <w:basedOn w:val="648"/>
    <w:uiPriority w:val="0"/>
    <w:qFormat/>
    <w:pPr>
      <w:jc w:val="left"/>
      <w:widowControl/>
    </w:pPr>
    <w:rPr>
      <w:sz w:val="20"/>
      <w:szCs w:val="20"/>
      <w:lang w:val="de-DE" w:eastAsia="de-DE"/>
    </w:rPr>
  </w:style>
  <w:style w:type="paragraph" w:styleId="1064" w:customStyle="1">
    <w:name w:val="标题-----3"/>
    <w:basedOn w:val="651"/>
    <w:uiPriority w:val="0"/>
    <w:qFormat/>
    <w:pPr>
      <w:spacing w:before="0" w:after="0" w:line="240" w:lineRule="auto"/>
      <w:outlineLvl w:val="0"/>
    </w:pPr>
    <w:rPr>
      <w:rFonts w:ascii="宋体" w:hAnsi="宋体"/>
      <w:b w:val="0"/>
      <w:bCs w:val="0"/>
      <w:sz w:val="28"/>
      <w:szCs w:val="28"/>
    </w:rPr>
  </w:style>
  <w:style w:type="paragraph" w:styleId="1065" w:customStyle="1">
    <w:name w:val="ec_msonormal"/>
    <w:basedOn w:val="648"/>
    <w:uiPriority w:val="0"/>
    <w:qFormat/>
    <w:pPr>
      <w:jc w:val="left"/>
      <w:spacing w:before="100" w:beforeAutospacing="1" w:after="100" w:afterAutospacing="1"/>
      <w:widowControl/>
    </w:pPr>
    <w:rPr>
      <w:rFonts w:ascii="宋体" w:hAnsi="宋体"/>
      <w:sz w:val="24"/>
    </w:rPr>
  </w:style>
  <w:style w:type="paragraph" w:styleId="106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rPr>
  </w:style>
  <w:style w:type="paragraph" w:styleId="1067" w:customStyle="1">
    <w:name w:val="！正文"/>
    <w:uiPriority w:val="0"/>
    <w:qFormat/>
    <w:pPr>
      <w:ind w:firstLine="480"/>
    </w:pPr>
    <w:rPr>
      <w:rFonts w:hint="default" w:ascii="Times New Roman" w:hAnsi="Times New Roman" w:eastAsia="宋体" w:cs="Times New Roman"/>
      <w:sz w:val="21"/>
    </w:rPr>
  </w:style>
  <w:style w:type="paragraph" w:styleId="1068" w:customStyle="1">
    <w:name w:val="正文样式1"/>
    <w:basedOn w:val="648"/>
    <w:uiPriority w:val="0"/>
    <w:qFormat/>
    <w:pPr>
      <w:ind w:firstLine="480"/>
      <w:spacing w:before="120" w:after="120" w:line="360" w:lineRule="auto"/>
    </w:pPr>
    <w:rPr>
      <w:sz w:val="24"/>
      <w:szCs w:val="20"/>
    </w:rPr>
  </w:style>
  <w:style w:type="paragraph" w:styleId="1069" w:customStyle="1">
    <w:name w:val="xl2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0"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71" w:customStyle="1">
    <w:name w:val="Char Char Char Char Char Char Char Char Char Char1"/>
    <w:basedOn w:val="648"/>
    <w:uiPriority w:val="0"/>
    <w:qFormat/>
    <w:rPr>
      <w:rFonts w:ascii="Tahoma" w:hAnsi="Tahoma"/>
      <w:sz w:val="24"/>
      <w:szCs w:val="20"/>
    </w:rPr>
  </w:style>
  <w:style w:type="paragraph" w:styleId="1072" w:customStyle="1">
    <w:name w:val="样式 ssss + 宋体 五号"/>
    <w:basedOn w:val="955"/>
    <w:uiPriority w:val="0"/>
    <w:qFormat/>
    <w:pPr>
      <w:ind w:firstLine="420"/>
    </w:pPr>
    <w:rPr>
      <w:rFonts w:ascii="宋体" w:hAnsi="宋体" w:cs="宋体"/>
      <w:szCs w:val="20"/>
    </w:rPr>
  </w:style>
  <w:style w:type="paragraph" w:styleId="1073" w:customStyle="1">
    <w:name w:val="2cxspmiddle"/>
    <w:basedOn w:val="648"/>
    <w:uiPriority w:val="0"/>
    <w:qFormat/>
    <w:pPr>
      <w:jc w:val="left"/>
      <w:spacing w:before="100" w:beforeAutospacing="1" w:after="100" w:afterAutospacing="1"/>
      <w:widowControl/>
    </w:pPr>
    <w:rPr>
      <w:rFonts w:ascii="宋体" w:hAnsi="宋体" w:cs="宋体"/>
      <w:sz w:val="24"/>
    </w:rPr>
  </w:style>
  <w:style w:type="paragraph" w:styleId="1074" w:customStyle="1">
    <w:name w:val="样式4"/>
    <w:basedOn w:val="651"/>
    <w:uiPriority w:val="0"/>
    <w:qFormat/>
    <w:pPr>
      <w:ind w:firstLine="137"/>
      <w:spacing w:before="20" w:after="20" w:line="415" w:lineRule="auto"/>
    </w:pPr>
    <w:rPr>
      <w:rFonts w:hAnsi="黑体" w:eastAsia="Arial"/>
      <w:b w:val="0"/>
      <w:bCs w:val="0"/>
      <w:sz w:val="24"/>
      <w:szCs w:val="20"/>
    </w:rPr>
  </w:style>
  <w:style w:type="paragraph" w:styleId="1075" w:customStyle="1">
    <w:name w:val="正文（缩进）"/>
    <w:basedOn w:val="648"/>
    <w:uiPriority w:val="0"/>
    <w:qFormat/>
    <w:pPr>
      <w:ind w:firstLine="480"/>
      <w:spacing w:before="156" w:after="156"/>
    </w:pPr>
  </w:style>
  <w:style w:type="paragraph" w:styleId="1076" w:customStyle="1">
    <w:name w:val="xl30"/>
    <w:basedOn w:val="648"/>
    <w:uiPriority w:val="0"/>
    <w:qFormat/>
    <w:pPr>
      <w:jc w:val="center"/>
      <w:spacing w:before="100" w:beforeAutospacing="1" w:after="100" w:afterAutospacing="1"/>
      <w:widowControl/>
    </w:pPr>
    <w:rPr>
      <w:rFonts w:ascii="宋体" w:hAnsi="宋体"/>
      <w:b/>
      <w:bCs/>
      <w:sz w:val="36"/>
      <w:szCs w:val="36"/>
    </w:rPr>
  </w:style>
  <w:style w:type="paragraph" w:styleId="1077" w:customStyle="1">
    <w:name w:val="标题 2 + 黑色 行距: 1.5 倍行距"/>
    <w:basedOn w:val="650"/>
    <w:uiPriority w:val="0"/>
    <w:qFormat/>
    <w:pPr>
      <w:spacing w:line="360" w:lineRule="auto"/>
    </w:pPr>
    <w:rPr>
      <w:rFonts w:eastAsia="宋体" w:cs="宋体"/>
      <w:color w:val="000000"/>
      <w:szCs w:val="20"/>
    </w:rPr>
  </w:style>
  <w:style w:type="paragraph" w:styleId="1078" w:customStyle="1">
    <w:name w:val="样式 样式 ssss + 宋体 五号 + 首行缩进:  2 字符"/>
    <w:basedOn w:val="1072"/>
    <w:uiPriority w:val="0"/>
    <w:qFormat/>
    <w:pPr>
      <w:ind w:firstLine="480"/>
    </w:pPr>
  </w:style>
  <w:style w:type="paragraph" w:styleId="1079" w:customStyle="1">
    <w:name w:val="Table Text"/>
    <w:basedOn w:val="648"/>
    <w:uiPriority w:val="0"/>
    <w:semiHidden/>
    <w:qFormat/>
    <w:rPr>
      <w:rFonts w:ascii="宋体" w:hAnsi="宋体" w:cs="宋体"/>
      <w:sz w:val="20"/>
      <w:szCs w:val="20"/>
      <w:lang w:eastAsia="en-US"/>
    </w:rPr>
  </w:style>
  <w:style w:type="paragraph" w:styleId="1080" w:customStyle="1">
    <w:name w:val="Table Paragraph"/>
    <w:basedOn w:val="648"/>
    <w:uiPriority w:val="1"/>
    <w:qFormat/>
    <w:pPr>
      <w:jc w:val="left"/>
    </w:pPr>
    <w:rPr>
      <w:rFonts w:ascii="Calibri" w:hAnsi="Calibri"/>
      <w:sz w:val="22"/>
      <w:szCs w:val="21"/>
      <w:lang w:eastAsia="en-US"/>
    </w:rPr>
  </w:style>
  <w:style w:type="paragraph" w:styleId="1081" w:customStyle="1">
    <w:name w:val="reader-word-layer"/>
    <w:basedOn w:val="648"/>
    <w:uiPriority w:val="0"/>
    <w:qFormat/>
    <w:pPr>
      <w:jc w:val="left"/>
      <w:spacing w:before="100" w:beforeAutospacing="1" w:after="100" w:afterAutospacing="1"/>
      <w:widowControl/>
    </w:pPr>
    <w:rPr>
      <w:rFonts w:ascii="宋体" w:hAnsi="宋体" w:cs="宋体"/>
      <w:sz w:val="24"/>
      <w:szCs w:val="24"/>
    </w:rPr>
  </w:style>
  <w:style w:type="paragraph" w:styleId="1082" w:customStyle="1">
    <w:name w:val="标题 41"/>
    <w:basedOn w:val="648"/>
    <w:next w:val="648"/>
    <w:uiPriority w:val="0"/>
    <w:qFormat/>
    <w:pPr>
      <w:jc w:val="center"/>
      <w:keepNext/>
      <w:outlineLvl w:val="3"/>
    </w:pPr>
    <w:rPr>
      <w:rFonts w:eastAsia="新宋体"/>
      <w:sz w:val="30"/>
      <w:szCs w:val="21"/>
    </w:rPr>
  </w:style>
  <w:style w:type="paragraph" w:styleId="1083" w:customStyle="1">
    <w:name w:val="正文文本缩进 21"/>
    <w:basedOn w:val="648"/>
    <w:uiPriority w:val="0"/>
    <w:qFormat/>
    <w:pPr>
      <w:ind w:left="420"/>
      <w:spacing w:after="120" w:line="480" w:lineRule="auto"/>
    </w:pPr>
  </w:style>
  <w:style w:type="paragraph" w:styleId="1084"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table" w:styleId="1085" w:customStyle="1">
    <w:name w:val="网格型1"/>
    <w:basedOn w:val="1086"/>
    <w:uiPriority w:val="99"/>
    <w:unhideWhenUsed/>
    <w:qFormat/>
    <w:pPr>
      <w:jc w:val="both"/>
      <w:widowControl w:val="off"/>
    </w:pPr>
    <w:tblPr/>
  </w:style>
  <w:style w:type="table" w:styleId="1086" w:customStyle="1">
    <w:name w:val="普通表格1"/>
    <w:uiPriority w:val="0"/>
    <w:semiHidden/>
    <w:qFormat/>
    <w:tblPr/>
  </w:style>
  <w:style w:type="paragraph" w:styleId="1087" w:customStyle="1">
    <w:name w:val="Heading 4"/>
    <w:basedOn w:val="648"/>
    <w:next w:val="648"/>
    <w:uiPriority w:val="0"/>
    <w:qFormat/>
    <w:pPr>
      <w:jc w:val="center"/>
      <w:keepNext/>
      <w:outlineLvl w:val="3"/>
    </w:pPr>
    <w:rPr>
      <w:rFonts w:eastAsia="新宋体"/>
      <w:sz w:val="30"/>
      <w:szCs w:val="21"/>
    </w:rPr>
  </w:style>
  <w:style w:type="numbering" w:styleId="7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 盛</dc:creator>
  <cp:lastModifiedBy>广和</cp:lastModifiedBy>
  <cp:revision>24</cp:revision>
  <dcterms:created xsi:type="dcterms:W3CDTF">2024-04-17T08:23:00Z</dcterms:created>
  <dcterms:modified xsi:type="dcterms:W3CDTF">2024-12-13T09:13:27Z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82ED2477D1B8470DBD24C67D7CECAE5E_13</vt:lpwstr>
  </property>
</Properties>
</file>