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bookmarkStart w:id="4" w:name="_GoBack"/>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无锡市滨湖区政府采购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 </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JSZC-320211-JSZH-G2024-0146</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长广溪湿地公园生物多样性观测站建设项目</w:t>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6"/>
          <w:szCs w:val="36"/>
          <w:highlight w:val="none"/>
        </w:rPr>
      </w:pPr>
      <w:r>
        <w:rPr>
          <w:rFonts w:hint="eastAsia" w:ascii="黑体" w:hAnsi="华文中宋" w:eastAsia="黑体"/>
          <w:bCs/>
          <w:color w:val="auto"/>
          <w:sz w:val="36"/>
          <w:szCs w:val="36"/>
          <w:highlight w:val="none"/>
        </w:rPr>
        <w:t xml:space="preserve">二○二四年十</w:t>
      </w:r>
      <w:r>
        <w:rPr>
          <w:rFonts w:hint="eastAsia" w:ascii="黑体" w:hAnsi="华文中宋" w:eastAsia="黑体"/>
          <w:bCs/>
          <w:color w:val="auto"/>
          <w:sz w:val="36"/>
          <w:szCs w:val="36"/>
          <w:highlight w:val="none"/>
          <w:lang w:val="en-US" w:eastAsia="zh-CN"/>
        </w:rPr>
        <w:t xml:space="preserve">二</w:t>
      </w:r>
      <w:r>
        <w:rPr>
          <w:rFonts w:hint="eastAsia" w:ascii="黑体" w:hAnsi="华文中宋" w:eastAsia="黑体"/>
          <w:bCs/>
          <w:color w:val="auto"/>
          <w:sz w:val="36"/>
          <w:szCs w:val="36"/>
          <w:highlight w:val="none"/>
        </w:rPr>
        <w:t xml:space="preserve">月</w:t>
      </w:r>
      <w:r/>
    </w:p>
    <w:p>
      <w:pPr>
        <w:jc w:val="center"/>
        <w:rPr>
          <w:rStyle w:val="1003"/>
          <w:rFonts w:eastAsia="黑体"/>
          <w:bCs/>
          <w:color w:val="auto"/>
          <w:sz w:val="48"/>
          <w:highlight w:val="none"/>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highlight w:val="none"/>
        </w:rPr>
      </w:r>
      <w:r/>
    </w:p>
    <w:p>
      <w:pPr>
        <w:jc w:val="center"/>
        <w:rPr>
          <w:rStyle w:val="1003"/>
          <w:rFonts w:eastAsia="黑体"/>
          <w:bCs/>
          <w:color w:val="auto"/>
          <w:sz w:val="48"/>
          <w:highlight w:val="none"/>
        </w:rPr>
      </w:pPr>
      <w:r>
        <w:rPr>
          <w:rStyle w:val="1003"/>
          <w:rFonts w:eastAsia="黑体"/>
          <w:bCs/>
          <w:color w:val="auto"/>
          <w:sz w:val="48"/>
          <w:highlight w:val="none"/>
        </w:rPr>
        <w:t xml:space="preserve"> </w:t>
      </w:r>
      <w:r>
        <w:rPr>
          <w:rStyle w:val="1003"/>
          <w:rFonts w:hint="eastAsia" w:eastAsia="黑体"/>
          <w:bCs/>
          <w:color w:val="auto"/>
          <w:sz w:val="48"/>
          <w:highlight w:val="none"/>
        </w:rPr>
        <w:t xml:space="preserve">目</w:t>
      </w:r>
      <w:r>
        <w:rPr>
          <w:rStyle w:val="1003"/>
          <w:rFonts w:eastAsia="黑体"/>
          <w:bCs/>
          <w:color w:val="auto"/>
          <w:sz w:val="48"/>
          <w:highlight w:val="none"/>
        </w:rPr>
        <w:t xml:space="preserve">     </w:t>
      </w:r>
      <w:r>
        <w:rPr>
          <w:rStyle w:val="1003"/>
          <w:rFonts w:hint="eastAsia" w:eastAsia="黑体"/>
          <w:bCs/>
          <w:color w:val="auto"/>
          <w:sz w:val="48"/>
          <w:highlight w:val="none"/>
        </w:rPr>
        <w:t xml:space="preserve">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一．投标邀请函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（3）</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二．投标人须知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三．项目技术要求和有关说明</w:t>
      </w:r>
      <w:r>
        <w:rPr>
          <w:rFonts w:ascii="宋体"/>
          <w:bCs/>
          <w:color w:val="auto"/>
          <w:sz w:val="30"/>
          <w:szCs w:val="30"/>
          <w:highlight w:val="none"/>
        </w:rPr>
        <w:t xml:space="preserve">-----------------------</w:t>
      </w:r>
      <w:r>
        <w:rPr>
          <w:rFonts w:hint="eastAsia" w:ascii="宋体" w:hAnsi="宋体"/>
          <w:bCs/>
          <w:color w:val="auto"/>
          <w:sz w:val="30"/>
          <w:szCs w:val="30"/>
          <w:highlight w:val="none"/>
        </w:rPr>
        <w:t xml:space="preserve">（17）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四</w:t>
      </w:r>
      <w:r>
        <w:rPr>
          <w:rFonts w:hint="eastAsia" w:ascii="黑体" w:eastAsia="黑体"/>
          <w:bCs/>
          <w:color w:val="auto"/>
          <w:sz w:val="28"/>
          <w:szCs w:val="28"/>
          <w:highlight w:val="none"/>
        </w:rPr>
        <w:t xml:space="preserve">．</w:t>
      </w:r>
      <w:r>
        <w:rPr>
          <w:rFonts w:hint="eastAsia" w:ascii="宋体" w:hAnsi="宋体"/>
          <w:bCs/>
          <w:color w:val="auto"/>
          <w:sz w:val="30"/>
          <w:szCs w:val="30"/>
          <w:highlight w:val="none"/>
        </w:rPr>
        <w:t xml:space="preserve">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23</w:t>
      </w:r>
      <w:r>
        <w:rPr>
          <w:rFonts w:hint="eastAsia" w:ascii="宋体" w:hAnsi="宋体"/>
          <w:bCs/>
          <w:color w:val="auto"/>
          <w:sz w:val="30"/>
          <w:szCs w:val="30"/>
          <w:highlight w:val="none"/>
        </w:rPr>
        <w:t xml:space="preserve">）</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五．合同条款（格式）</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24</w:t>
      </w:r>
      <w:r>
        <w:rPr>
          <w:rFonts w:hint="eastAsia" w:ascii="宋体" w:hAnsi="宋体"/>
          <w:bCs/>
          <w:color w:val="auto"/>
          <w:sz w:val="30"/>
          <w:szCs w:val="30"/>
          <w:highlight w:val="none"/>
        </w:rPr>
        <w:t xml:space="preserve">）</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六</w:t>
      </w:r>
      <w:r>
        <w:rPr>
          <w:rFonts w:hint="eastAsia" w:ascii="黑体" w:eastAsia="黑体"/>
          <w:bCs/>
          <w:color w:val="auto"/>
          <w:sz w:val="28"/>
          <w:szCs w:val="28"/>
          <w:highlight w:val="none"/>
        </w:rPr>
        <w:t xml:space="preserve">．</w:t>
      </w:r>
      <w:r>
        <w:rPr>
          <w:rFonts w:hint="eastAsia" w:ascii="宋体" w:hAnsi="宋体"/>
          <w:bCs/>
          <w:color w:val="auto"/>
          <w:sz w:val="30"/>
          <w:szCs w:val="30"/>
          <w:highlight w:val="none"/>
        </w:rPr>
        <w:t xml:space="preserve">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27</w:t>
      </w:r>
      <w:r>
        <w:rPr>
          <w:rFonts w:hint="eastAsia" w:ascii="宋体" w:hAnsi="宋体"/>
          <w:bCs/>
          <w:color w:val="auto"/>
          <w:sz w:val="30"/>
          <w:szCs w:val="30"/>
          <w:highlight w:val="none"/>
        </w:rPr>
        <w:t xml:space="preserve">）</w:t>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一．投标邀请函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江苏智汇锡建工程项目管理有限公司受无锡市滨湖生态环境局委托，对</w:t>
      </w:r>
      <w:r>
        <w:rPr>
          <w:rFonts w:hint="eastAsia" w:ascii="宋体" w:hAnsi="宋体"/>
          <w:bCs/>
          <w:color w:val="auto"/>
          <w:sz w:val="24"/>
          <w:szCs w:val="24"/>
          <w:highlight w:val="none"/>
          <w:lang w:eastAsia="zh-CN"/>
        </w:rPr>
        <w:t xml:space="preserve">长广溪湿地公园生物多样性观测站建设项目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长广溪湿地公园生物多样性观测站建设项目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JSZC-320211-JSZH-G2024-0146</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合同履行期限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6个月内完成供货及建设；</w:t>
      </w:r>
      <w:r>
        <w:rPr>
          <w:rFonts w:hint="eastAsia" w:ascii="宋体" w:hAnsi="宋体" w:eastAsia="宋体" w:cs="宋体"/>
          <w:color w:val="auto"/>
          <w:sz w:val="24"/>
          <w:szCs w:val="28"/>
          <w:highlight w:val="none"/>
          <w:lang w:val="en-US" w:eastAsia="zh-CN"/>
        </w:rPr>
        <w:t xml:space="preserve">运维</w:t>
      </w:r>
      <w:r>
        <w:rPr>
          <w:rFonts w:hint="eastAsia" w:ascii="宋体" w:hAnsi="宋体" w:cs="宋体"/>
          <w:color w:val="auto"/>
          <w:sz w:val="24"/>
          <w:szCs w:val="28"/>
          <w:highlight w:val="none"/>
          <w:lang w:val="en-US" w:eastAsia="zh-CN"/>
        </w:rPr>
        <w:t xml:space="preserve">服务</w:t>
      </w:r>
      <w:r>
        <w:rPr>
          <w:rFonts w:hint="eastAsia" w:ascii="宋体" w:hAnsi="宋体"/>
          <w:bCs/>
          <w:color w:val="auto"/>
          <w:sz w:val="24"/>
          <w:highlight w:val="none"/>
        </w:rPr>
        <w:t xml:space="preserve">期</w:t>
      </w:r>
      <w:r>
        <w:rPr>
          <w:rFonts w:hint="eastAsia" w:ascii="宋体" w:hAnsi="宋体" w:eastAsia="宋体" w:cs="宋体"/>
          <w:color w:val="auto"/>
          <w:sz w:val="24"/>
          <w:szCs w:val="28"/>
          <w:highlight w:val="none"/>
          <w:lang w:val="en-US" w:eastAsia="zh-CN"/>
        </w:rPr>
        <w:t xml:space="preserve">：两年（</w:t>
      </w:r>
      <w:r>
        <w:rPr>
          <w:rFonts w:hint="eastAsia" w:ascii="宋体" w:hAnsi="宋体" w:eastAsia="宋体" w:cs="宋体"/>
          <w:color w:val="auto"/>
          <w:sz w:val="24"/>
          <w:szCs w:val="28"/>
          <w:highlight w:val="none"/>
        </w:rPr>
        <w:t xml:space="preserve">自验收合格之日起计算日期</w:t>
      </w:r>
      <w:r>
        <w:rPr>
          <w:rFonts w:hint="eastAsia" w:ascii="宋体" w:hAnsi="宋体" w:eastAsia="宋体" w:cs="宋体"/>
          <w:color w:val="auto"/>
          <w:sz w:val="24"/>
          <w:szCs w:val="28"/>
          <w:highlight w:val="none"/>
          <w:lang w:val="en-US" w:eastAsia="zh-CN"/>
        </w:rPr>
        <w:t xml:space="preserve">）</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142.00</w:t>
      </w:r>
      <w:r>
        <w:rPr>
          <w:rFonts w:hint="eastAsia" w:ascii="宋体" w:hAnsi="宋体" w:cs="宋体"/>
          <w:color w:val="auto"/>
          <w:sz w:val="24"/>
          <w:szCs w:val="24"/>
          <w:highlight w:val="none"/>
        </w:rPr>
        <w:t xml:space="preserve">万元</w:t>
      </w:r>
      <w:r/>
    </w:p>
    <w:p>
      <w:pPr>
        <w:pStyle w:val="738"/>
        <w:ind w:firstLine="480"/>
        <w:jc w:val="left"/>
        <w:keepLines w:val="0"/>
        <w:keepNext w:val="0"/>
        <w:pageBreakBefore w:val="0"/>
        <w:spacing w:after="0"/>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5.项目最高限价：131.70万元</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.采购人：无锡市滨湖生态环境局</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.本项目是否专门面向中小企业：是；</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4）本项目不接受联合体投标。</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在“江苏省政府采购（苏采云）平台”账号登</w:t>
      </w:r>
      <w:r>
        <w:rPr>
          <w:rFonts w:hint="eastAsia" w:ascii="宋体" w:hAnsi="宋体"/>
          <w:color w:val="auto"/>
          <w:sz w:val="24"/>
          <w:szCs w:val="24"/>
          <w:highlight w:val="none"/>
          <w:lang w:eastAsia="zh-CN"/>
        </w:rPr>
        <w:t xml:space="preserve">录</w:t>
      </w:r>
      <w:r>
        <w:rPr>
          <w:rFonts w:hint="eastAsia"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1.潜在投标供应商可在项目招标公告附件中查看公开招标文件，如确定投标，必须在苏采云平台（http://jszfcg.jscz.gov.cn/jszc/login）中免费下载公开招标文件（“无锡政府采购网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江苏省政府采购苏采云平台或“政府采购客户端苏采云”中免费下载文件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“项目参与”——找到需要获取招标文件的项目，点击“我要参与”——“参与投标”——“下载文件”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kedt”）、“苏采云”系统供应商操作手册及政府采购客户端工具也可通过“苏采云”系统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办事指南--“资料下载”进行下载《“苏采云”系统供应商操作手册及政府采购客户端工具》或可至无锡政府采购网-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下载专区--“苏采云”栏目下载《“苏采云”系统供应商操作手册》。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JSZC-320211-JSZH-G2024-0146</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网上投标截止时间：2024年12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31日13:30（投标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网上投标解密时间：2024年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月31</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无锡市滨湖区公共资源交易中心三楼评标室（无锡市滨湖区隐秀路152号）</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lang w:eastAsia="zh-CN"/>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其他</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采购人：无锡市滨湖生态环境局</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采购人地址：无锡市滨湖区金城西路500号</w:t>
      </w:r>
      <w:r/>
    </w:p>
    <w:p>
      <w:pPr>
        <w:pStyle w:val="995"/>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陈银合</w:t>
      </w:r>
      <w:r/>
    </w:p>
    <w:p>
      <w:pPr>
        <w:pStyle w:val="995"/>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0510-81178950</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采购代理机构统一社会信用代码：91320214727400523L</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联系人：徐丽平、吴雨洁</w:t>
      </w:r>
      <w:r/>
    </w:p>
    <w:p>
      <w:pPr>
        <w:pStyle w:val="995"/>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联系电话：0510-82796055</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联系地址：</w:t>
      </w:r>
      <w:r>
        <w:rPr>
          <w:rFonts w:hint="eastAsia"/>
          <w:bCs/>
          <w:color w:val="auto"/>
          <w:highlight w:val="none"/>
        </w:rPr>
        <w:t xml:space="preserve">无锡市新吴区太湖国际科技园菱湖大道180-8号B栋9楼</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99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电子邮件地址：jszh009@163.com</w:t>
      </w:r>
      <w:r/>
    </w:p>
    <w:p>
      <w:pPr>
        <w:pStyle w:val="995"/>
        <w:ind w:firstLine="480"/>
        <w:spacing w:before="0" w:beforeAutospacing="0" w:after="0" w:afterAutospacing="0" w:line="460" w:lineRule="exact"/>
        <w:tabs>
          <w:tab w:val="left" w:pos="0" w:leader="none"/>
        </w:tabs>
        <w:rPr>
          <w:rFonts w:hint="eastAsia" w:ascii="黑体" w:hAnsi="黑体" w:eastAsia="黑体"/>
          <w:bCs/>
          <w:color w:val="auto"/>
          <w:highlight w:val="none"/>
          <w:lang w:eastAsia="zh-CN"/>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纸质投标文件：本项目为不见面开标，投标人无需递交纸质投标文件至现场，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95"/>
        <w:ind w:firstLine="560"/>
        <w:jc w:val="both"/>
        <w:spacing w:before="0" w:beforeAutospacing="0" w:after="0" w:afterAutospacing="0" w:line="460" w:lineRule="exact"/>
        <w:tabs>
          <w:tab w:val="left" w:pos="0" w:leader="none"/>
        </w:tabs>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95"/>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二．投标人须知</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w:t>
      </w:r>
      <w:r>
        <w:rPr>
          <w:rFonts w:hint="eastAsia" w:ascii="宋体" w:hAnsi="宋体"/>
          <w:bCs/>
          <w:color w:val="auto"/>
          <w:sz w:val="24"/>
          <w:szCs w:val="24"/>
          <w:highlight w:val="none"/>
          <w:lang w:eastAsia="zh-CN"/>
        </w:rPr>
        <w:t xml:space="preserve">并具</w:t>
      </w:r>
      <w:r>
        <w:rPr>
          <w:rFonts w:hint="eastAsia" w:ascii="宋体" w:hAnsi="宋体"/>
          <w:bCs/>
          <w:color w:val="auto"/>
          <w:sz w:val="24"/>
          <w:szCs w:val="24"/>
          <w:highlight w:val="none"/>
        </w:rPr>
        <w:t xml:space="preserve">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答复。投标人在法定质疑期限外送达的质疑函或法定质疑期限内送达的质疑函不符合上述要求的均为无效质疑，江苏智汇锡建工程项目管理有限公司对无效质疑不予受理。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地址：无锡市新吴区太湖国际科技园菱湖大道180-8号B栋9楼</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联系人：徐丽平、吴雨洁</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15"/>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15"/>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具有独立承担民事责任能力的投标人营业执照或相关部门的登记证明文件扫描件（投标人</w:t>
      </w:r>
      <w:r>
        <w:rPr>
          <w:rFonts w:hint="eastAsia" w:ascii="宋体" w:hAnsi="宋体"/>
          <w:bCs/>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允许以分支机构身份参加投标的，提供投标人分支机构的营业执照扫描件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的财务状况报告（资产负债表和利润表）或由会计师事务所出具的2023年度的审计报告和所附已审财务报告；</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4、</w:t>
      </w:r>
      <w:r>
        <w:rPr>
          <w:rFonts w:hint="eastAsia" w:ascii="宋体" w:hAnsi="宋体"/>
          <w:bCs/>
          <w:color w:val="auto"/>
          <w:sz w:val="24"/>
          <w:highlight w:val="none"/>
        </w:rPr>
        <w:t xml:space="preserve">投标报价明细表</w:t>
      </w:r>
      <w:r>
        <w:rPr>
          <w:rFonts w:hint="eastAsia" w:ascii="宋体" w:hAnsi="宋体"/>
          <w:b/>
          <w:bCs w:val="0"/>
          <w:color w:val="auto"/>
          <w:sz w:val="24"/>
          <w:highlight w:val="none"/>
        </w:rPr>
        <w:t xml:space="preserve">（格式见附件）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商务</w:t>
      </w:r>
      <w:r>
        <w:rPr>
          <w:rFonts w:hint="eastAsia" w:ascii="宋体" w:hAnsi="宋体"/>
          <w:bCs/>
          <w:color w:val="auto"/>
          <w:sz w:val="24"/>
          <w:szCs w:val="24"/>
          <w:highlight w:val="none"/>
        </w:rPr>
        <w:t xml:space="preserve">条款偏离表（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技术条款偏离表（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7、项目组人员配备计划表</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、售后服务承诺（</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、技术文件（内容参照评标办法）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（投标人认为有必要提供的声明和文件，如有自拟并自行添加）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-8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投标供应商进行网上投标请参照《政府采购项目电子交易管理操作指南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0"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w:t>
      </w:r>
      <w:r>
        <w:rPr>
          <w:rFonts w:hint="eastAsia" w:ascii="宋体" w:hAnsi="宋体"/>
          <w:bCs/>
          <w:color w:val="auto"/>
          <w:sz w:val="24"/>
          <w:szCs w:val="24"/>
          <w:highlight w:val="none"/>
          <w:lang w:eastAsia="zh-CN"/>
        </w:rPr>
        <w:t xml:space="preserve">查的</w:t>
      </w:r>
      <w:r>
        <w:rPr>
          <w:rFonts w:hint="eastAsia" w:ascii="宋体" w:hAnsi="宋体"/>
          <w:bCs/>
          <w:color w:val="auto"/>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numPr>
          <w:ilvl w:val="0"/>
          <w:numId w:val="6"/>
        </w:numPr>
        <w:ind w:left="0"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2．投标截止时间后参加投标的供应商或解密投标文件的供应商不足三家的，不开标；开标后，所有投标供应商可在线上开标大厅中看到所有投标人的投标报价；</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8．评分标准：详见附件。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无锡政府采购网、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w:t>
      </w:r>
      <w:r>
        <w:rPr>
          <w:rFonts w:hint="eastAsia" w:ascii="宋体" w:hAnsi="宋体"/>
          <w:bCs/>
          <w:color w:val="auto"/>
          <w:sz w:val="24"/>
          <w:szCs w:val="24"/>
          <w:highlight w:val="none"/>
          <w:lang w:eastAsia="zh-CN"/>
        </w:rPr>
        <w:t xml:space="preserve">并具</w:t>
      </w:r>
      <w:r>
        <w:rPr>
          <w:rFonts w:hint="eastAsia" w:ascii="宋体" w:hAnsi="宋体"/>
          <w:bCs/>
          <w:color w:val="auto"/>
          <w:sz w:val="24"/>
          <w:szCs w:val="24"/>
          <w:highlight w:val="none"/>
        </w:rPr>
        <w:t xml:space="preserve">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8"/>
        </w:numPr>
        <w:ind w:left="0" w:firstLine="480"/>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9"/>
        </w:numPr>
        <w:ind w:left="0" w:firstLine="480"/>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100万-500万费率为1.1%，</w:t>
      </w:r>
      <w:r>
        <w:rPr>
          <w:rFonts w:hint="eastAsia" w:ascii="宋体" w:hAnsi="宋体"/>
          <w:bCs/>
          <w:color w:val="auto"/>
          <w:sz w:val="24"/>
          <w:highlight w:val="none"/>
        </w:rPr>
        <w:t xml:space="preserve">在此基础上打八折计取。</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eastAsia="黑体"/>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br w:type="page" w:clear="all"/>
      </w:r>
      <w:r/>
    </w:p>
    <w:p>
      <w:pPr>
        <w:jc w:val="center"/>
        <w:spacing w:line="360" w:lineRule="auto"/>
        <w:rPr>
          <w:rFonts w:ascii="黑体" w:eastAsia="黑体"/>
          <w:bCs/>
          <w:color w:val="auto"/>
          <w:sz w:val="30"/>
          <w:szCs w:val="30"/>
          <w:highlight w:val="none"/>
        </w:rPr>
        <w:outlineLvl w:val="0"/>
      </w:pPr>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r/>
    </w:p>
    <w:p>
      <w:pPr>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投标人所投内容必须满足以下要求，不得有负</w:t>
      </w:r>
      <w:r>
        <w:rPr>
          <w:rFonts w:hint="eastAsia" w:ascii="宋体" w:hAnsi="宋体" w:cs="宋体"/>
          <w:b w:val="0"/>
          <w:bCs w:val="0"/>
          <w:color w:val="auto"/>
          <w:sz w:val="24"/>
          <w:highlight w:val="none"/>
          <w:lang w:val="en-US" w:eastAsia="zh-CN"/>
        </w:rPr>
        <w:t xml:space="preserve">偏离</w:t>
      </w:r>
      <w:r>
        <w:rPr>
          <w:rFonts w:hint="eastAsia" w:ascii="宋体" w:hAnsi="宋体" w:cs="宋体"/>
          <w:b w:val="0"/>
          <w:bCs w:val="0"/>
          <w:color w:val="auto"/>
          <w:sz w:val="24"/>
          <w:highlight w:val="none"/>
        </w:rPr>
        <w:t xml:space="preserve">。</w:t>
      </w:r>
      <w:r/>
    </w:p>
    <w:p>
      <w:pPr>
        <w:pStyle w:val="738"/>
        <w:numPr>
          <w:ilvl w:val="0"/>
          <w:numId w:val="0"/>
        </w:numPr>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b w:val="0"/>
          <w:bCs w:val="0"/>
          <w:color w:val="auto"/>
          <w:sz w:val="24"/>
          <w:highlight w:val="none"/>
        </w:rPr>
        <w:t xml:space="preserve">本项目中的</w:t>
      </w:r>
      <w:r>
        <w:rPr>
          <w:rFonts w:hint="eastAsia" w:ascii="宋体" w:hAnsi="宋体" w:cs="宋体"/>
          <w:b w:val="0"/>
          <w:bCs w:val="0"/>
          <w:color w:val="auto"/>
          <w:sz w:val="24"/>
          <w:szCs w:val="24"/>
          <w:highlight w:val="none"/>
          <w:lang w:val="en-US" w:eastAsia="zh-CN"/>
        </w:rPr>
        <w:t xml:space="preserve">相机</w:t>
      </w:r>
      <w:r>
        <w:rPr>
          <w:rFonts w:hint="eastAsia" w:ascii="宋体" w:hAnsi="宋体" w:cs="宋体"/>
          <w:b w:val="0"/>
          <w:bCs w:val="0"/>
          <w:color w:val="auto"/>
          <w:sz w:val="24"/>
          <w:highlight w:val="none"/>
        </w:rPr>
        <w:t xml:space="preserve">为核心产品</w:t>
      </w:r>
      <w:r>
        <w:rPr>
          <w:rFonts w:hint="eastAsia" w:ascii="宋体" w:hAnsi="宋体" w:cs="宋体"/>
          <w:b w:val="0"/>
          <w:bCs w:val="0"/>
          <w:color w:val="auto"/>
          <w:sz w:val="24"/>
          <w:highlight w:val="none"/>
          <w:lang w:eastAsia="zh-CN"/>
        </w:rPr>
        <w:t xml:space="preserve">。</w:t>
      </w:r>
      <w:r/>
    </w:p>
    <w:p>
      <w:pPr>
        <w:ind w:firstLine="480"/>
        <w:spacing w:line="360" w:lineRule="auto"/>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2022年</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lang w:eastAsia="zh-CN"/>
        </w:rPr>
        <w:t xml:space="preserve">月，省委、省政府印发《关于进一步加强生物多样性保护实施意见》，明确提出“十四五”期间全省将构建多层级的生物多样性观测网络，建设一批地面生态观测站、观测样区、样线和样方。为加快补齐滨湖区在生物多样性观测方面的短板，围绕长广溪湿地公园建设生物多样性观测站，开展生物多样性智能观测，掌握生物多样性动态变化规律，实现物种分布情况和范围可视化展示，提升生物多样性管理智慧化、精细化水平，并具备生物多样性保护教育、宣传、示范等作用。</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rPr>
        <w:t xml:space="preserve">基本情况</w:t>
      </w:r>
      <w:r/>
    </w:p>
    <w:p>
      <w:pPr>
        <w:pStyle w:val="739"/>
        <w:ind w:firstLine="480"/>
        <w:jc w:val="left"/>
        <w:keepLines w:val="0"/>
        <w:keepNext w:val="0"/>
        <w:pageBreakBefore w:val="0"/>
        <w:spacing w:after="0"/>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1.完工期</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6个月内</w:t>
      </w:r>
      <w:r>
        <w:rPr>
          <w:rFonts w:hint="eastAsia" w:ascii="宋体" w:hAnsi="宋体" w:eastAsia="宋体" w:cs="宋体"/>
          <w:color w:val="auto"/>
          <w:sz w:val="24"/>
          <w:szCs w:val="24"/>
          <w:highlight w:val="none"/>
          <w:lang w:val="en-US" w:eastAsia="zh-CN" w:bidi="ar-SA"/>
        </w:rPr>
        <w:t xml:space="preserve">完成</w:t>
      </w:r>
      <w:r>
        <w:rPr>
          <w:rFonts w:hint="eastAsia" w:ascii="宋体" w:hAnsi="宋体" w:cs="宋体"/>
          <w:color w:val="auto"/>
          <w:sz w:val="24"/>
          <w:szCs w:val="24"/>
          <w:highlight w:val="none"/>
          <w:lang w:val="en-US" w:eastAsia="zh-CN" w:bidi="ar-SA"/>
        </w:rPr>
        <w:t xml:space="preserve">供货及</w:t>
      </w:r>
      <w:r>
        <w:rPr>
          <w:rFonts w:hint="eastAsia" w:ascii="宋体" w:hAnsi="宋体" w:eastAsia="宋体" w:cs="宋体"/>
          <w:color w:val="auto"/>
          <w:sz w:val="24"/>
          <w:szCs w:val="24"/>
          <w:highlight w:val="none"/>
          <w:lang w:val="en-US" w:eastAsia="zh-CN" w:bidi="ar-SA"/>
        </w:rPr>
        <w:t xml:space="preserve">建设；</w:t>
      </w:r>
      <w:r>
        <w:rPr>
          <w:rFonts w:hint="eastAsia" w:ascii="宋体" w:hAnsi="宋体" w:eastAsia="宋体" w:cs="宋体"/>
          <w:color w:val="auto"/>
          <w:sz w:val="24"/>
          <w:szCs w:val="28"/>
          <w:highlight w:val="none"/>
        </w:rPr>
        <w:t xml:space="preserve">误期违约金：2000元/天</w:t>
      </w:r>
      <w:r>
        <w:rPr>
          <w:rFonts w:hint="eastAsia" w:ascii="宋体" w:hAnsi="宋体" w:cs="宋体"/>
          <w:color w:val="auto"/>
          <w:sz w:val="24"/>
          <w:szCs w:val="28"/>
          <w:highlight w:val="none"/>
          <w:lang w:eastAsia="zh-CN"/>
        </w:rPr>
        <w:t xml:space="preserve">；</w:t>
      </w:r>
      <w:r/>
    </w:p>
    <w:p>
      <w:pPr>
        <w:pStyle w:val="735"/>
        <w:ind w:firstLine="480"/>
        <w:jc w:val="left"/>
        <w:keepLines w:val="0"/>
        <w:keepNext w:val="0"/>
        <w:pageBreakBefore w:val="0"/>
        <w:widowControl w:val="off"/>
        <w:rPr>
          <w:rFonts w:hint="eastAsia" w:ascii="宋体" w:hAnsi="宋体" w:eastAsia="宋体"/>
          <w:bCs/>
          <w:color w:val="auto"/>
          <w:sz w:val="24"/>
          <w:highlight w:val="none"/>
          <w:lang w:eastAsia="zh-CN"/>
        </w:rPr>
      </w:pPr>
      <w:r>
        <w:rPr>
          <w:rFonts w:hint="eastAsia" w:ascii="宋体" w:hAnsi="宋体" w:cs="宋体"/>
          <w:color w:val="auto"/>
          <w:sz w:val="24"/>
          <w:szCs w:val="24"/>
          <w:highlight w:val="none"/>
          <w:lang w:val="en-US" w:eastAsia="zh-CN" w:bidi="ar-SA"/>
        </w:rPr>
        <w:t xml:space="preserve">2.质量要求：</w:t>
      </w:r>
      <w:r>
        <w:rPr>
          <w:rFonts w:hint="eastAsia" w:ascii="宋体" w:hAnsi="宋体"/>
          <w:bCs/>
          <w:color w:val="auto"/>
          <w:sz w:val="24"/>
          <w:highlight w:val="none"/>
        </w:rPr>
        <w:t xml:space="preserve">合格标准，满足招标人及招标文件要求；质量违约金：合同价的5%</w:t>
      </w:r>
      <w:r>
        <w:rPr>
          <w:rFonts w:hint="eastAsia" w:ascii="宋体" w:hAnsi="宋体"/>
          <w:bCs/>
          <w:color w:val="auto"/>
          <w:sz w:val="24"/>
          <w:highlight w:val="none"/>
          <w:lang w:eastAsia="zh-CN"/>
        </w:rPr>
        <w:t xml:space="preserve">；</w:t>
      </w:r>
      <w:r/>
    </w:p>
    <w:p>
      <w:pPr>
        <w:ind w:firstLine="480"/>
        <w:jc w:val="left"/>
        <w:keepLines w:val="0"/>
        <w:keepNext w:val="0"/>
        <w:pageBreakBefore w:val="0"/>
        <w:widowControl w:val="off"/>
        <w:rPr>
          <w:rFonts w:hint="default" w:ascii="宋体" w:hAnsi="宋体" w:eastAsia="宋体" w:cs="宋体"/>
          <w:color w:val="auto"/>
          <w:sz w:val="24"/>
          <w:szCs w:val="28"/>
          <w:highlight w:val="none"/>
          <w:lang w:val="en-US" w:eastAsia="zh-CN"/>
        </w:rPr>
      </w:pPr>
      <w:r>
        <w:rPr>
          <w:rFonts w:hint="eastAsia" w:ascii="宋体" w:hAnsi="宋体"/>
          <w:bCs/>
          <w:color w:val="auto"/>
          <w:sz w:val="24"/>
          <w:highlight w:val="none"/>
          <w:lang w:val="en-US" w:eastAsia="zh-CN"/>
        </w:rPr>
        <w:t xml:space="preserve">3.</w:t>
      </w:r>
      <w:r>
        <w:rPr>
          <w:rFonts w:hint="eastAsia" w:ascii="宋体" w:hAnsi="宋体" w:eastAsia="宋体" w:cs="宋体"/>
          <w:color w:val="auto"/>
          <w:sz w:val="24"/>
          <w:szCs w:val="28"/>
          <w:highlight w:val="none"/>
          <w:lang w:val="en-US" w:eastAsia="zh-CN"/>
        </w:rPr>
        <w:t xml:space="preserve">运维</w:t>
      </w:r>
      <w:r>
        <w:rPr>
          <w:rFonts w:hint="eastAsia" w:ascii="宋体" w:hAnsi="宋体" w:cs="宋体"/>
          <w:color w:val="auto"/>
          <w:sz w:val="24"/>
          <w:szCs w:val="28"/>
          <w:highlight w:val="none"/>
          <w:lang w:val="en-US" w:eastAsia="zh-CN"/>
        </w:rPr>
        <w:t xml:space="preserve">服务期：</w:t>
      </w:r>
      <w:r>
        <w:rPr>
          <w:rFonts w:hint="eastAsia" w:ascii="宋体" w:hAnsi="宋体" w:eastAsia="宋体" w:cs="宋体"/>
          <w:color w:val="auto"/>
          <w:sz w:val="24"/>
          <w:szCs w:val="28"/>
          <w:highlight w:val="none"/>
          <w:lang w:val="en-US" w:eastAsia="zh-CN"/>
        </w:rPr>
        <w:t xml:space="preserve">两年（</w:t>
      </w:r>
      <w:r>
        <w:rPr>
          <w:rFonts w:hint="eastAsia" w:ascii="宋体" w:hAnsi="宋体" w:eastAsia="宋体" w:cs="宋体"/>
          <w:color w:val="auto"/>
          <w:sz w:val="24"/>
          <w:szCs w:val="28"/>
          <w:highlight w:val="none"/>
        </w:rPr>
        <w:t xml:space="preserve">自验收合格之日起计算日期</w:t>
      </w:r>
      <w:r>
        <w:rPr>
          <w:rFonts w:hint="eastAsia" w:ascii="宋体" w:hAnsi="宋体" w:eastAsia="宋体" w:cs="宋体"/>
          <w:color w:val="auto"/>
          <w:sz w:val="24"/>
          <w:szCs w:val="28"/>
          <w:highlight w:val="none"/>
          <w:lang w:val="en-US" w:eastAsia="zh-CN"/>
        </w:rPr>
        <w:t xml:space="preserve">）</w:t>
      </w:r>
      <w:r>
        <w:rPr>
          <w:rFonts w:hint="eastAsia" w:ascii="宋体" w:hAnsi="宋体" w:cs="宋体"/>
          <w:color w:val="auto"/>
          <w:sz w:val="24"/>
          <w:szCs w:val="28"/>
          <w:highlight w:val="none"/>
          <w:lang w:val="en-US" w:eastAsia="zh-CN"/>
        </w:rPr>
        <w:t xml:space="preserve">；</w:t>
      </w:r>
      <w:r/>
    </w:p>
    <w:p>
      <w:pPr>
        <w:ind w:firstLine="480"/>
        <w:jc w:val="left"/>
        <w:keepLines w:val="0"/>
        <w:keepNext w:val="0"/>
        <w:pageBreakBefore w:val="0"/>
        <w:widowControl w:val="off"/>
        <w:rPr>
          <w:rFonts w:hint="eastAsia" w:ascii="宋体" w:hAnsi="宋体"/>
          <w:bCs/>
          <w:color w:val="auto"/>
          <w:sz w:val="24"/>
          <w:highlight w:val="none"/>
          <w:lang w:val="en-US" w:eastAsia="zh-CN"/>
        </w:rPr>
      </w:pPr>
      <w:r>
        <w:rPr>
          <w:rFonts w:hint="eastAsia" w:ascii="宋体" w:hAnsi="宋体" w:cs="宋体"/>
          <w:color w:val="auto"/>
          <w:sz w:val="24"/>
          <w:szCs w:val="28"/>
          <w:highlight w:val="none"/>
          <w:lang w:val="en-US" w:eastAsia="zh-CN"/>
        </w:rPr>
        <w:t xml:space="preserve">4.</w:t>
      </w:r>
      <w:r>
        <w:rPr>
          <w:rFonts w:hint="eastAsia" w:ascii="宋体" w:hAnsi="宋体"/>
          <w:bCs/>
          <w:color w:val="auto"/>
          <w:sz w:val="24"/>
          <w:highlight w:val="none"/>
        </w:rPr>
        <w:t xml:space="preserve">质保期</w:t>
      </w:r>
      <w:r>
        <w:rPr>
          <w:rFonts w:hint="eastAsia" w:ascii="宋体" w:hAnsi="宋体" w:eastAsia="宋体" w:cs="宋体"/>
          <w:color w:val="auto"/>
          <w:sz w:val="24"/>
          <w:szCs w:val="28"/>
          <w:highlight w:val="none"/>
          <w:lang w:val="en-US" w:eastAsia="zh-CN"/>
        </w:rPr>
        <w:t xml:space="preserve">：</w:t>
      </w:r>
      <w:r>
        <w:rPr>
          <w:rFonts w:hint="eastAsia" w:ascii="宋体" w:hAnsi="宋体" w:cs="宋体"/>
          <w:color w:val="auto"/>
          <w:sz w:val="24"/>
          <w:szCs w:val="28"/>
          <w:highlight w:val="none"/>
          <w:lang w:val="en-US" w:eastAsia="zh-CN"/>
        </w:rPr>
        <w:t xml:space="preserve">一</w:t>
      </w:r>
      <w:r>
        <w:rPr>
          <w:rFonts w:hint="eastAsia" w:ascii="宋体" w:hAnsi="宋体" w:eastAsia="宋体" w:cs="宋体"/>
          <w:color w:val="auto"/>
          <w:sz w:val="24"/>
          <w:szCs w:val="28"/>
          <w:highlight w:val="none"/>
          <w:lang w:val="en-US" w:eastAsia="zh-CN"/>
        </w:rPr>
        <w:t xml:space="preserve">年（</w:t>
      </w:r>
      <w:r>
        <w:rPr>
          <w:rFonts w:hint="eastAsia" w:ascii="宋体" w:hAnsi="宋体" w:eastAsia="宋体" w:cs="宋体"/>
          <w:color w:val="auto"/>
          <w:sz w:val="24"/>
          <w:szCs w:val="28"/>
          <w:highlight w:val="none"/>
        </w:rPr>
        <w:t xml:space="preserve">自验收合格之日起计算日期</w:t>
      </w:r>
      <w:r>
        <w:rPr>
          <w:rFonts w:hint="eastAsia" w:ascii="宋体" w:hAnsi="宋体" w:eastAsia="宋体" w:cs="宋体"/>
          <w:color w:val="auto"/>
          <w:sz w:val="24"/>
          <w:szCs w:val="28"/>
          <w:highlight w:val="none"/>
          <w:lang w:val="en-US" w:eastAsia="zh-CN"/>
        </w:rPr>
        <w:t xml:space="preserve">）</w:t>
      </w:r>
      <w:r>
        <w:rPr>
          <w:rFonts w:hint="eastAsia" w:ascii="宋体" w:hAnsi="宋体" w:cs="宋体"/>
          <w:color w:val="auto"/>
          <w:sz w:val="24"/>
          <w:szCs w:val="28"/>
          <w:highlight w:val="none"/>
          <w:lang w:val="en-US" w:eastAsia="zh-CN"/>
        </w:rPr>
        <w:t xml:space="preserve">；</w:t>
      </w:r>
      <w:r/>
    </w:p>
    <w:p>
      <w:pPr>
        <w:pStyle w:val="968"/>
        <w:ind w:firstLine="480"/>
        <w:spacing w:line="360" w:lineRule="auto"/>
        <w:rPr>
          <w:rFonts w:hint="eastAsia" w:ascii="宋体" w:hAnsi="宋体" w:eastAsia="宋体"/>
          <w:color w:val="auto"/>
          <w:sz w:val="24"/>
          <w:highlight w:val="none"/>
        </w:rPr>
      </w:pPr>
      <w:r>
        <w:rPr>
          <w:rFonts w:hint="eastAsia" w:ascii="宋体" w:hAnsi="宋体"/>
          <w:bCs/>
          <w:color w:val="auto"/>
          <w:sz w:val="24"/>
          <w:highlight w:val="none"/>
          <w:lang w:val="en-US" w:eastAsia="zh-CN"/>
        </w:rPr>
        <w:t xml:space="preserve">5.</w:t>
      </w:r>
      <w:r>
        <w:rPr>
          <w:rFonts w:hint="eastAsia" w:ascii="宋体" w:hAnsi="宋体" w:eastAsia="宋体"/>
          <w:color w:val="auto"/>
          <w:sz w:val="24"/>
          <w:highlight w:val="none"/>
          <w:lang w:val="en-US" w:eastAsia="zh-CN"/>
        </w:rPr>
        <w:t xml:space="preserve">服务</w:t>
      </w:r>
      <w:r>
        <w:rPr>
          <w:rFonts w:hint="eastAsia" w:ascii="宋体" w:hAnsi="宋体" w:eastAsia="宋体"/>
          <w:color w:val="auto"/>
          <w:sz w:val="24"/>
          <w:highlight w:val="none"/>
        </w:rPr>
        <w:t xml:space="preserve">响应时间：如货物出现质量问题，中标人应在接到通知后24小时内响应。对于普通故障，修复时间不超过</w:t>
      </w:r>
      <w:r>
        <w:rPr>
          <w:rFonts w:hint="eastAsia" w:ascii="宋体" w:hAnsi="宋体" w:eastAsia="宋体"/>
          <w:color w:val="auto"/>
          <w:sz w:val="24"/>
          <w:highlight w:val="none"/>
          <w:lang w:val="en-US" w:eastAsia="zh-CN"/>
        </w:rPr>
        <w:t xml:space="preserve">48</w:t>
      </w:r>
      <w:r>
        <w:rPr>
          <w:rFonts w:hint="eastAsia" w:ascii="宋体" w:hAnsi="宋体" w:eastAsia="宋体"/>
          <w:color w:val="auto"/>
          <w:sz w:val="24"/>
          <w:highlight w:val="none"/>
        </w:rPr>
        <w:t xml:space="preserve">小时；如不能解决的，中标人需在</w:t>
      </w:r>
      <w:r>
        <w:rPr>
          <w:rFonts w:hint="eastAsia" w:ascii="宋体" w:hAnsi="宋体" w:eastAsia="宋体"/>
          <w:color w:val="auto"/>
          <w:sz w:val="24"/>
          <w:highlight w:val="none"/>
          <w:lang w:val="en-US" w:eastAsia="zh-CN"/>
        </w:rPr>
        <w:t xml:space="preserve">48</w:t>
      </w:r>
      <w:r>
        <w:rPr>
          <w:rFonts w:hint="eastAsia" w:ascii="宋体" w:hAnsi="宋体" w:eastAsia="宋体"/>
          <w:color w:val="auto"/>
          <w:sz w:val="24"/>
          <w:highlight w:val="none"/>
        </w:rPr>
        <w:t xml:space="preserve">小时内免费提供备品备件供采购人使用。免费质保期内如货物出现质量问题，中标人负责免费修复，对于无法修复的情况，中标人负责免费更换。如有不可抗力等其他特殊情况，应及时与</w:t>
      </w:r>
      <w:r>
        <w:rPr>
          <w:rFonts w:hint="eastAsia" w:ascii="宋体" w:hAnsi="宋体" w:eastAsia="宋体"/>
          <w:color w:val="auto"/>
          <w:sz w:val="24"/>
          <w:highlight w:val="none"/>
          <w:lang w:val="en-US" w:eastAsia="zh-CN"/>
        </w:rPr>
        <w:t xml:space="preserve">采购人</w:t>
      </w:r>
      <w:r>
        <w:rPr>
          <w:rFonts w:hint="eastAsia" w:ascii="宋体" w:hAnsi="宋体" w:eastAsia="宋体"/>
          <w:color w:val="auto"/>
          <w:sz w:val="24"/>
          <w:highlight w:val="none"/>
        </w:rPr>
        <w:t xml:space="preserve">沟通协商解决。</w:t>
      </w:r>
      <w:r/>
    </w:p>
    <w:p>
      <w:pPr>
        <w:ind w:firstLine="482"/>
        <w:spacing w:line="360" w:lineRule="auto"/>
        <w:rPr>
          <w:rFonts w:hint="eastAsia" w:asciiTheme="minorEastAsia" w:hAnsiTheme="minorEastAsia" w:eastAsiaTheme="minorEastAsia"/>
          <w:b/>
          <w:bCs/>
          <w:color w:val="auto"/>
          <w:szCs w:val="21"/>
          <w:highlight w:val="none"/>
          <w:lang w:val="en-US" w:eastAsia="zh-CN"/>
        </w:rPr>
        <w:outlineLvl w:val="9"/>
      </w:pPr>
      <w:r>
        <w:rPr>
          <w:rFonts w:hint="eastAsia" w:asciiTheme="minorEastAsia" w:hAnsiTheme="minorEastAsia" w:eastAsiaTheme="minorEastAsia"/>
          <w:b/>
          <w:bCs/>
          <w:color w:val="auto"/>
          <w:szCs w:val="21"/>
          <w:highlight w:val="none"/>
          <w:lang w:val="en-US" w:eastAsia="zh-CN"/>
        </w:rPr>
        <w:t xml:space="preserve">二、采购需求及技术参数</w:t>
      </w:r>
      <w:r/>
    </w:p>
    <w:p>
      <w:pPr>
        <w:ind w:firstLine="480"/>
        <w:spacing w:line="360" w:lineRule="auto"/>
        <w:rPr>
          <w:rFonts w:hint="eastAsia" w:asciiTheme="minorEastAsia" w:hAnsiTheme="minorEastAsia" w:eastAsiaTheme="minorEastAsia"/>
          <w:color w:val="auto"/>
          <w:szCs w:val="21"/>
          <w:highlight w:val="none"/>
        </w:rPr>
        <w:outlineLvl w:val="9"/>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一</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生物多样性科普展陈服务</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在长广溪国家湿地公园现有的基础上，打造生物多样性综合展示区（面积约30m</w:t>
      </w:r>
      <w:r>
        <w:rPr>
          <w:rFonts w:hint="eastAsia" w:asciiTheme="minorEastAsia" w:hAnsiTheme="minorEastAsia" w:eastAsiaTheme="minorEastAsia"/>
          <w:color w:val="auto"/>
          <w:szCs w:val="21"/>
          <w:highlight w:val="none"/>
          <w:vertAlign w:val="superscript"/>
        </w:rPr>
        <w:t xml:space="preserve">2</w:t>
      </w:r>
      <w:r>
        <w:rPr>
          <w:rFonts w:hint="eastAsia" w:asciiTheme="minorEastAsia" w:hAnsiTheme="minorEastAsia" w:eastAsiaTheme="minorEastAsia"/>
          <w:color w:val="auto"/>
          <w:szCs w:val="21"/>
          <w:highlight w:val="none"/>
        </w:rPr>
        <w:t xml:space="preserve">），以多媒体方式呈现滨湖区生物多样性资源，广泛宣传生物多样性保护的重要意义，不断提升公众保护生物多样性的意识。同时，协助开展生物多样性科普宣教活动。</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显示屏</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（1）像素密度：≥250000点/m；</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（2）有效显示尺寸：3.84m*2.4m；</w:t>
      </w:r>
      <w:r/>
    </w:p>
    <w:p>
      <w:pPr>
        <w:ind w:firstLine="48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（3）平整度：≤0.1mm；</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（4）模组间缝隙：≤0.1mm；</w:t>
      </w:r>
      <w:r/>
    </w:p>
    <w:p>
      <w:pPr>
        <w:ind w:firstLine="48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（5）亮度均匀性：≥99%；</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（6）色度均匀性：≤±0.001Cx、Cy之内；</w:t>
      </w:r>
      <w:r/>
    </w:p>
    <w:p>
      <w:pPr>
        <w:ind w:firstLine="480"/>
        <w:spacing w:line="360" w:lineRule="auto"/>
        <w:rPr>
          <w:rFonts w:hint="eastAsia" w:asciiTheme="minorEastAsia" w:hAnsiTheme="minorEastAsia" w:eastAsiaTheme="minorEastAsia"/>
          <w:color w:val="auto"/>
          <w:szCs w:val="21"/>
          <w:highlight w:val="none"/>
        </w:rPr>
      </w:pPr>
      <w:r>
        <w:rPr>
          <w:rFonts w:hint="eastAsia" w:ascii="宋体" w:hAnsi="宋体"/>
          <w:bCs/>
          <w:color w:val="auto"/>
          <w:szCs w:val="21"/>
          <w:highlight w:val="none"/>
        </w:rPr>
        <w:t xml:space="preserve">▲</w:t>
      </w:r>
      <w:r>
        <w:rPr>
          <w:rFonts w:hint="eastAsia" w:asciiTheme="minorEastAsia" w:hAnsiTheme="minorEastAsia" w:eastAsiaTheme="minorEastAsia"/>
          <w:color w:val="auto"/>
          <w:szCs w:val="21"/>
          <w:highlight w:val="none"/>
        </w:rPr>
        <w:t xml:space="preserve">（7）证书：具备中国节能产品认证证书。</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接收卡</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（1）数据接口：支持HUB75接口或HUB320接口，免接HUB；</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（2）带载分辨率：单卡带载支持512×512；</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（3）数据输出模式：单卡支持16组，24组，32组；</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（4）通讯质量检测：支持通讯质量检测功能，可用于排除网络通讯隐患检查。</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视频控制器</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（1）输入接口：HDMI、DP 等；</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（2）音频接口：HDMI、DP音频输入，支持3.5mm独立音频输入输出；</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（3）分辨率调节：支持信号源输入分辨率自定义调节。</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开关电源</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（1）输出电压精度：±2%；</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（2）输出纹波&amp;噪声：≤200mVp-p。</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配电箱</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（1）控制方式：手动+时控+选控三位一体；</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（2）手动状态：一键启停，分步上电、断电；</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（3）空调控制：单独温度设定控制；</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（4）保护内容：零线电缆高温保护、高温断电保护、短路保护。</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视频操作终端</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（1）系统内存：≥8G；</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（2）存储容量：≥1T；</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（3）处理器：≥i5；</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（4）屏幕尺寸：≥14英寸；</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（5）数量：2台。</w:t>
      </w:r>
      <w:r/>
    </w:p>
    <w:p>
      <w:pPr>
        <w:ind w:firstLine="480"/>
        <w:spacing w:line="360" w:lineRule="auto"/>
        <w:rPr>
          <w:rFonts w:hint="eastAsia" w:asciiTheme="minorEastAsia" w:hAnsiTheme="minorEastAsia" w:eastAsiaTheme="minorEastAsia"/>
          <w:color w:val="auto"/>
          <w:szCs w:val="21"/>
          <w:highlight w:val="none"/>
        </w:rPr>
        <w:outlineLvl w:val="9"/>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二</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生物多样性智能观测服务</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在长广溪国家湿地公园靠近湖泊、河流等地布设高清摄像机观测湿地水鸟，在林地中布设触发式红外相机对哺乳动物、林地鸟类进行观测，搭</w:t>
      </w:r>
      <w:r>
        <w:rPr>
          <w:rFonts w:hint="eastAsia" w:asciiTheme="minorEastAsia" w:hAnsiTheme="minorEastAsia" w:eastAsiaTheme="minorEastAsia"/>
          <w:color w:val="auto"/>
          <w:szCs w:val="21"/>
          <w:highlight w:val="none"/>
        </w:rPr>
        <w:t xml:space="preserve">配鸣声收集装置，通过声音监测来进一步掌握长广溪国家湿地公园的生物多样性物种情况。为实现对长广溪国家湿地公园生物多样性开展长期定位观测，该站点生物多样性自动观测服务配备共计16套，其中鸟类观测摄像头4个、声学观测设备6个以及触发式红外相机6个。同时，根据实际需要对热点区域进行人工补充拍摄，照片清晰度高，照片大小不低于1M，并提供滨湖区生物多样性可视化监测界面展示服务，实现生物多样性自动化观测设备（视频、声纹、红外影像）及人工观测等数据回传，进一步提升滨湖区生物多样性管理智慧化、精细化水平。具体需求需满足如下：</w:t>
      </w:r>
      <w:r/>
    </w:p>
    <w:p>
      <w:pPr>
        <w:ind w:firstLine="480"/>
        <w:spacing w:line="360" w:lineRule="auto"/>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鸟类视频监控数据采集服务</w:t>
      </w:r>
      <w:r>
        <w:rPr>
          <w:rFonts w:hint="eastAsia" w:asciiTheme="minorEastAsia" w:hAnsiTheme="minorEastAsia" w:eastAsiaTheme="minorEastAsia"/>
          <w:color w:val="auto"/>
          <w:szCs w:val="21"/>
          <w:highlight w:val="none"/>
          <w:lang w:val="en-US" w:eastAsia="zh-CN"/>
        </w:rPr>
        <w:t xml:space="preserve"> </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（1）每套视频数据采集设备有效观测范围不低于1万平方米；</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（2）每套视频数据采集设备水平观测范围为360°，垂直观测范围为-15°-90°</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自动翻转</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，支持自动巡航功能，水平和垂直键控速度不低于0.1°/s；</w:t>
      </w:r>
      <w:r/>
    </w:p>
    <w:p>
      <w:pPr>
        <w:ind w:firstLine="480"/>
        <w:spacing w:line="360" w:lineRule="auto"/>
        <w:rPr>
          <w:rFonts w:hint="eastAsia" w:asciiTheme="minorEastAsia" w:hAnsiTheme="minorEastAsia" w:eastAsiaTheme="minorEastAsia"/>
          <w:color w:val="auto"/>
          <w:szCs w:val="21"/>
          <w:highlight w:val="none"/>
        </w:rPr>
      </w:pPr>
      <w:r>
        <w:rPr>
          <w:rFonts w:hint="eastAsia" w:ascii="宋体" w:hAnsi="宋体"/>
          <w:bCs/>
          <w:color w:val="auto"/>
          <w:szCs w:val="21"/>
          <w:highlight w:val="none"/>
        </w:rPr>
        <w:t xml:space="preserve">▲</w:t>
      </w:r>
      <w:r>
        <w:rPr>
          <w:rFonts w:hint="eastAsia" w:asciiTheme="minorEastAsia" w:hAnsiTheme="minorEastAsia" w:eastAsiaTheme="minorEastAsia"/>
          <w:color w:val="auto"/>
          <w:szCs w:val="21"/>
          <w:highlight w:val="none"/>
        </w:rPr>
        <w:t xml:space="preserve">（3）每套视频数据采集设备像素不低于400万像素；</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（4）每套视频数据采集设备光学变倍不低于25倍；</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（5）每套视频数据采集设备分辨率不低于2560×1440；</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（6）支持开放型网络视频接口、ISAPI、GB/T28181等；</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（7）通过太阳能、风力、电网或电池等途径，确保设备观测、网络通讯电力需求得到保障，相关设备、通讯及供电设施安装符合相关政策法规要求；</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鸟类声纹监控数据采集服务</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（1）观测范围半径：≥50米；</w:t>
      </w:r>
      <w:r/>
    </w:p>
    <w:p>
      <w:pPr>
        <w:ind w:firstLine="480"/>
        <w:spacing w:line="360" w:lineRule="auto"/>
        <w:rPr>
          <w:rFonts w:hint="eastAsia" w:asciiTheme="minorEastAsia" w:hAnsiTheme="minorEastAsia" w:eastAsiaTheme="minorEastAsia"/>
          <w:color w:val="auto"/>
          <w:szCs w:val="21"/>
          <w:highlight w:val="none"/>
        </w:rPr>
      </w:pPr>
      <w:r>
        <w:rPr>
          <w:rFonts w:hint="eastAsia" w:ascii="宋体" w:hAnsi="宋体"/>
          <w:bCs/>
          <w:color w:val="auto"/>
          <w:szCs w:val="21"/>
          <w:highlight w:val="none"/>
        </w:rPr>
        <w:t xml:space="preserve">▲</w:t>
      </w:r>
      <w:r>
        <w:rPr>
          <w:rFonts w:hint="eastAsia" w:asciiTheme="minorEastAsia" w:hAnsiTheme="minorEastAsia" w:eastAsiaTheme="minorEastAsia"/>
          <w:color w:val="auto"/>
          <w:szCs w:val="21"/>
          <w:highlight w:val="none"/>
        </w:rPr>
        <w:t xml:space="preserve">（2）降噪：自动降噪，有声音时触发录制；</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（3）指向能力：全向；</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（4）数据传输：4G在线传输；</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（5）内置储存：≥16G；</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（6）防护等级：IP55；</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（7）音频灵敏度：-20db(1Khz)；</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（8）通过太阳能、风力、电网或电池等途径，确保设备观测、网络通讯等电力需求得到保障，相关设备、通讯及供电设施安装符合相关政策法规要求。</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哺乳动物红外监控数据采集服务</w:t>
      </w:r>
      <w:r/>
    </w:p>
    <w:p>
      <w:pPr>
        <w:ind w:firstLine="480"/>
        <w:spacing w:line="360" w:lineRule="auto"/>
        <w:rPr>
          <w:rFonts w:hint="eastAsia" w:asciiTheme="minorEastAsia" w:hAnsiTheme="minorEastAsia" w:eastAsiaTheme="minorEastAsia"/>
          <w:color w:val="auto"/>
          <w:szCs w:val="21"/>
          <w:highlight w:val="none"/>
        </w:rPr>
      </w:pPr>
      <w:r>
        <w:rPr>
          <w:rFonts w:hint="eastAsia" w:ascii="宋体" w:hAnsi="宋体"/>
          <w:bCs/>
          <w:color w:val="auto"/>
          <w:szCs w:val="21"/>
          <w:highlight w:val="none"/>
        </w:rPr>
        <w:t xml:space="preserve">▲</w:t>
      </w:r>
      <w:r>
        <w:rPr>
          <w:rFonts w:hint="eastAsia" w:asciiTheme="minorEastAsia" w:hAnsiTheme="minorEastAsia" w:eastAsiaTheme="minorEastAsia"/>
          <w:color w:val="auto"/>
          <w:szCs w:val="21"/>
          <w:highlight w:val="none"/>
        </w:rPr>
        <w:t xml:space="preserve">（1）像素：500W；</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（2）录像分辨率：3K；</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（3）照片格式：JPG；</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（4）视频格式：MP4；</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（5）补光灯：4颗；</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（6）液晶显示：前置2寸，方便对位；</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（7）SD卡：最大512G；</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（8）录像长度：5-60s；</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（9）防护等级：IP68；</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（10）时间间隔设定：0s-24h。</w:t>
      </w:r>
      <w:r/>
    </w:p>
    <w:p>
      <w:pPr>
        <w:ind w:firstLine="480"/>
        <w:spacing w:line="360" w:lineRule="auto"/>
        <w:rPr>
          <w:rFonts w:hint="eastAsia" w:asciiTheme="minorEastAsia" w:hAnsiTheme="minorEastAsia" w:eastAsiaTheme="minorEastAsia"/>
          <w:color w:val="auto"/>
          <w:szCs w:val="21"/>
          <w:highlight w:val="none"/>
        </w:rPr>
        <w:outlineLvl w:val="9"/>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三</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生物多样性设备及标本集成服务</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无人机</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（1）最大上升速度：8m/s；</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（2）最大下降速度：6m/s；</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（3）最大水平飞行速度：21m/s；</w:t>
      </w:r>
      <w:r/>
    </w:p>
    <w:p>
      <w:pPr>
        <w:ind w:firstLine="480"/>
        <w:spacing w:line="360" w:lineRule="auto"/>
        <w:rPr>
          <w:rFonts w:hint="eastAsia" w:asciiTheme="minorEastAsia" w:hAnsiTheme="minorEastAsia" w:eastAsiaTheme="minorEastAsia"/>
          <w:color w:val="auto"/>
          <w:szCs w:val="21"/>
          <w:highlight w:val="none"/>
        </w:rPr>
      </w:pPr>
      <w:r>
        <w:rPr>
          <w:rFonts w:hint="eastAsia" w:ascii="宋体" w:hAnsi="宋体"/>
          <w:bCs/>
          <w:color w:val="auto"/>
          <w:szCs w:val="21"/>
          <w:highlight w:val="none"/>
        </w:rPr>
        <w:t xml:space="preserve">▲</w:t>
      </w:r>
      <w:r>
        <w:rPr>
          <w:rFonts w:hint="eastAsia" w:asciiTheme="minorEastAsia" w:hAnsiTheme="minorEastAsia" w:eastAsiaTheme="minorEastAsia"/>
          <w:color w:val="auto"/>
          <w:szCs w:val="21"/>
          <w:highlight w:val="none"/>
        </w:rPr>
        <w:t xml:space="preserve">（4）飞行时间：43min；</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（5）最大续航里程：28KM；</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（6）最大抗风速度：12m/s；</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（7）有效像素：2000万；长焦相机：1200万；中长焦相机：4800万；</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（8）快门速度：8s至1/8000秒；</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（9）图片格式：JPG；</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（10）电池容量：5000毫安时。</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相机</w:t>
      </w:r>
      <w:r/>
    </w:p>
    <w:p>
      <w:pPr>
        <w:ind w:firstLine="480"/>
        <w:spacing w:line="360" w:lineRule="auto"/>
        <w:rPr>
          <w:rFonts w:hint="eastAsia" w:asciiTheme="minorEastAsia" w:hAnsiTheme="minorEastAsia" w:eastAsiaTheme="minorEastAsia"/>
          <w:color w:val="auto"/>
          <w:szCs w:val="21"/>
          <w:highlight w:val="none"/>
        </w:rPr>
      </w:pPr>
      <w:r>
        <w:rPr>
          <w:rFonts w:hint="eastAsia" w:ascii="宋体" w:hAnsi="宋体"/>
          <w:bCs/>
          <w:color w:val="auto"/>
          <w:szCs w:val="21"/>
          <w:highlight w:val="none"/>
        </w:rPr>
        <w:t xml:space="preserve">▲</w:t>
      </w:r>
      <w:r>
        <w:rPr>
          <w:rFonts w:hint="eastAsia" w:asciiTheme="minorEastAsia" w:hAnsiTheme="minorEastAsia" w:eastAsiaTheme="minorEastAsia"/>
          <w:color w:val="auto"/>
          <w:szCs w:val="21"/>
          <w:highlight w:val="none"/>
        </w:rPr>
        <w:t xml:space="preserve">（1）有效像素：3300万；</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（2）高清摄像：4K；</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（3）显示屏像素：103万液晶屏；</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（4）防抖：5轴防抖；</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（5）自拍功能：2s\10s；</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（6）面部识别：支持；</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（7）续航能力：不低于520张；</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（8）无线功能：蓝牙、wifi。</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长焦镜头</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（1）镜头画幅：135mm全幅镜头；</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（2）变焦方式：伸缩；</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（3）最大光圈：F5.6；</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（4）最小光圈：F6.3；</w:t>
      </w:r>
      <w:r/>
    </w:p>
    <w:p>
      <w:pPr>
        <w:ind w:firstLine="480"/>
        <w:spacing w:line="360" w:lineRule="auto"/>
        <w:rPr>
          <w:rFonts w:hint="eastAsia" w:asciiTheme="minorEastAsia" w:hAnsiTheme="minorEastAsia" w:eastAsiaTheme="minorEastAsia"/>
          <w:color w:val="auto"/>
          <w:szCs w:val="21"/>
          <w:highlight w:val="none"/>
        </w:rPr>
      </w:pPr>
      <w:r>
        <w:rPr>
          <w:rFonts w:hint="eastAsia" w:ascii="宋体" w:hAnsi="宋体"/>
          <w:bCs/>
          <w:color w:val="auto"/>
          <w:szCs w:val="21"/>
          <w:highlight w:val="none"/>
        </w:rPr>
        <w:t xml:space="preserve">▲</w:t>
      </w:r>
      <w:r>
        <w:rPr>
          <w:rFonts w:hint="eastAsia" w:asciiTheme="minorEastAsia" w:hAnsiTheme="minorEastAsia" w:eastAsiaTheme="minorEastAsia"/>
          <w:color w:val="auto"/>
          <w:szCs w:val="21"/>
          <w:highlight w:val="none"/>
        </w:rPr>
        <w:t xml:space="preserve">（5）光圈叶片数：11片；</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（6）焦距范围：200-600mm；</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（7）防抖性能：光学防抖。</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增倍镜</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（1）镜头用途：增距镜头；</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（2）镜头结构：5组6片。</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标本</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展长广溪生物多样性观测站室内生物标本装饰服务，以长广溪国家湿地公园现有生物多样性标本为基础，将无法使用的标本进行更新和替换，包括鸟禽类仿真样本（不少于10件）、哺乳类生物/仿真样本（不少于3件）、昆虫类生物标本（不少于25种，不少于250件）。</w:t>
      </w:r>
      <w:r/>
    </w:p>
    <w:p>
      <w:pPr>
        <w:ind w:firstLine="480"/>
        <w:spacing w:line="360" w:lineRule="auto"/>
        <w:rPr>
          <w:rFonts w:hint="default" w:ascii="宋体" w:hAnsi="宋体" w:eastAsia="宋体" w:cs="Times New Roman"/>
          <w:color w:val="auto"/>
          <w:sz w:val="24"/>
          <w:szCs w:val="21"/>
          <w:highlight w:val="none"/>
          <w:lang w:val="en-US" w:eastAsia="zh-CN"/>
          <w14:ligatures w14:val="none"/>
        </w:rPr>
        <w:outlineLvl w:val="9"/>
      </w:pPr>
      <w:r>
        <w:rPr>
          <w:rFonts w:hint="eastAsia" w:ascii="宋体" w:hAnsi="宋体" w:eastAsia="宋体" w:cs="Times New Roman"/>
          <w:color w:val="auto"/>
          <w:sz w:val="24"/>
          <w:szCs w:val="21"/>
          <w:highlight w:val="none"/>
          <w:lang w:val="en-US" w:eastAsia="zh-CN"/>
          <w14:ligatures w14:val="none"/>
        </w:rPr>
        <w:t xml:space="preserve">6.</w:t>
      </w:r>
      <w:r>
        <w:rPr>
          <w:rFonts w:hint="eastAsia" w:ascii="宋体" w:hAnsi="宋体" w:eastAsia="宋体" w:cs="Times New Roman"/>
          <w:color w:val="auto"/>
          <w:sz w:val="24"/>
          <w:szCs w:val="21"/>
          <w:highlight w:val="none"/>
          <w14:ligatures w14:val="none"/>
        </w:rPr>
        <w:t xml:space="preserve">生物多样性设</w:t>
      </w:r>
      <w:r>
        <w:rPr>
          <w:rFonts w:hint="eastAsia" w:ascii="宋体" w:hAnsi="宋体" w:eastAsia="宋体" w:cs="Times New Roman"/>
          <w:color w:val="auto"/>
          <w:sz w:val="24"/>
          <w:szCs w:val="21"/>
          <w:highlight w:val="none"/>
          <w:lang w:val="en-US" w:eastAsia="zh-CN"/>
          <w14:ligatures w14:val="none"/>
        </w:rPr>
        <w:t xml:space="preserve">备数量</w:t>
      </w:r>
      <w:r/>
    </w:p>
    <w:tbl>
      <w:tblPr>
        <w:tblStyle w:val="7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5"/>
        <w:gridCol w:w="5569"/>
        <w:gridCol w:w="2753"/>
      </w:tblGrid>
      <w:tr>
        <w:trPr/>
        <w:tc>
          <w:tcPr>
            <w:tcW w:w="895"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序号</w:t>
            </w:r>
            <w:r/>
          </w:p>
        </w:tc>
        <w:tc>
          <w:tcPr>
            <w:tcW w:w="2747"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内容</w:t>
            </w:r>
            <w:r/>
          </w:p>
        </w:tc>
        <w:tc>
          <w:tcPr>
            <w:tcW w:w="1358"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数量/套</w:t>
            </w:r>
            <w:r/>
          </w:p>
        </w:tc>
      </w:tr>
      <w:tr>
        <w:trPr/>
        <w:tc>
          <w:tcPr>
            <w:tcW w:w="895"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1</w:t>
            </w:r>
            <w:r/>
          </w:p>
        </w:tc>
        <w:tc>
          <w:tcPr>
            <w:tcW w:w="2747"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无人机</w:t>
            </w:r>
            <w:r/>
          </w:p>
        </w:tc>
        <w:tc>
          <w:tcPr>
            <w:tcW w:w="1358"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1</w:t>
            </w:r>
            <w:r/>
          </w:p>
        </w:tc>
      </w:tr>
      <w:tr>
        <w:trPr/>
        <w:tc>
          <w:tcPr>
            <w:tcW w:w="895"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2</w:t>
            </w:r>
            <w:r/>
          </w:p>
        </w:tc>
        <w:tc>
          <w:tcPr>
            <w:tcW w:w="2747"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相机（核心产品）</w:t>
            </w:r>
            <w:r/>
          </w:p>
        </w:tc>
        <w:tc>
          <w:tcPr>
            <w:tcW w:w="1358"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1</w:t>
            </w:r>
            <w:r/>
          </w:p>
        </w:tc>
      </w:tr>
      <w:tr>
        <w:trPr/>
        <w:tc>
          <w:tcPr>
            <w:tcW w:w="895"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3</w:t>
            </w:r>
            <w:r/>
          </w:p>
        </w:tc>
        <w:tc>
          <w:tcPr>
            <w:tcW w:w="2747"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长焦镜头</w:t>
            </w:r>
            <w:r/>
          </w:p>
        </w:tc>
        <w:tc>
          <w:tcPr>
            <w:tcW w:w="1358"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1</w:t>
            </w:r>
            <w:r/>
          </w:p>
        </w:tc>
      </w:tr>
      <w:tr>
        <w:trPr/>
        <w:tc>
          <w:tcPr>
            <w:tcW w:w="895"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4</w:t>
            </w:r>
            <w:r/>
          </w:p>
        </w:tc>
        <w:tc>
          <w:tcPr>
            <w:tcW w:w="2747"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增倍镜</w:t>
            </w:r>
            <w:r/>
          </w:p>
        </w:tc>
        <w:tc>
          <w:tcPr>
            <w:tcW w:w="1358" w:type="pct"/>
            <w:vAlign w:val="center"/>
            <w:textDirection w:val="lrTb"/>
            <w:noWrap w:val="false"/>
          </w:tcPr>
          <w:p>
            <w:pPr>
              <w:jc w:val="center"/>
              <w:spacing w:line="360" w:lineRule="auto"/>
              <w:rPr>
                <w:rFonts w:hint="eastAsia" w:ascii="宋体" w:hAnsi="宋体" w:eastAsia="宋体" w:cs="Times New Roman"/>
                <w:color w:val="auto"/>
                <w:sz w:val="24"/>
                <w:szCs w:val="21"/>
                <w:highlight w:val="none"/>
                <w14:ligatures w14:val="none"/>
              </w:rPr>
            </w:pPr>
            <w:r>
              <w:rPr>
                <w:rFonts w:hint="eastAsia" w:ascii="宋体" w:hAnsi="宋体" w:eastAsia="宋体" w:cs="Times New Roman"/>
                <w:color w:val="auto"/>
                <w:sz w:val="24"/>
                <w:szCs w:val="21"/>
                <w:highlight w:val="none"/>
                <w14:ligatures w14:val="none"/>
              </w:rPr>
              <w:t xml:space="preserve">1</w:t>
            </w:r>
            <w:r/>
          </w:p>
        </w:tc>
      </w:tr>
    </w:tbl>
    <w:p>
      <w:pPr>
        <w:ind w:firstLine="482"/>
        <w:spacing w:line="360" w:lineRule="auto"/>
        <w:rPr>
          <w:b/>
          <w:bCs/>
          <w:color w:val="auto"/>
          <w:szCs w:val="21"/>
          <w:highlight w:val="none"/>
        </w:rPr>
        <w:outlineLvl w:val="9"/>
      </w:pPr>
      <w:r>
        <w:rPr>
          <w:rFonts w:hint="eastAsia"/>
          <w:b/>
          <w:bCs/>
          <w:color w:val="auto"/>
          <w:szCs w:val="21"/>
          <w:highlight w:val="none"/>
        </w:rPr>
        <w:t xml:space="preserve">四、服务时间</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建设周期为合同签订后6个月，维护周期为建设工作完成验收后的2年。采购方另有其他时间要求的除外，如有不可抗力等</w:t>
      </w:r>
      <w:r>
        <w:rPr>
          <w:rFonts w:hint="eastAsia" w:asciiTheme="minorEastAsia" w:hAnsiTheme="minorEastAsia" w:eastAsiaTheme="minorEastAsia"/>
          <w:color w:val="auto"/>
          <w:szCs w:val="21"/>
          <w:highlight w:val="none"/>
          <w:lang w:eastAsia="zh-CN"/>
        </w:rPr>
        <w:t xml:space="preserve">其他</w:t>
      </w:r>
      <w:r>
        <w:rPr>
          <w:rFonts w:hint="eastAsia" w:asciiTheme="minorEastAsia" w:hAnsiTheme="minorEastAsia" w:eastAsiaTheme="minorEastAsia"/>
          <w:color w:val="auto"/>
          <w:szCs w:val="21"/>
          <w:highlight w:val="none"/>
        </w:rPr>
        <w:t xml:space="preserve">特殊情况，应及时与甲方沟通协商解决。</w:t>
      </w:r>
      <w:r/>
    </w:p>
    <w:p>
      <w:pPr>
        <w:ind w:firstLine="482"/>
        <w:spacing w:line="360" w:lineRule="auto"/>
        <w:rPr>
          <w:b/>
          <w:bCs/>
          <w:color w:val="auto"/>
          <w:szCs w:val="21"/>
          <w:highlight w:val="none"/>
        </w:rPr>
        <w:outlineLvl w:val="9"/>
      </w:pPr>
      <w:r>
        <w:rPr>
          <w:rFonts w:hint="eastAsia"/>
          <w:b/>
          <w:bCs/>
          <w:color w:val="auto"/>
          <w:szCs w:val="21"/>
          <w:highlight w:val="none"/>
        </w:rPr>
        <w:t xml:space="preserve">五、付款方式</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合同签订后，乙方完成生物多样性科普展成、智能观测建设以及设备和标本集成后，甲方付合同额的30%；生物多样性智能观测服务稳定运行3个月后，甲方付60%；项目成果全部提交并通过验收后，甲方付尾款10%。</w:t>
      </w:r>
      <w:r/>
    </w:p>
    <w:p>
      <w:pPr>
        <w:ind w:firstLine="482"/>
        <w:spacing w:line="360" w:lineRule="auto"/>
        <w:rPr>
          <w:b/>
          <w:bCs/>
          <w:color w:val="auto"/>
          <w:szCs w:val="21"/>
          <w:highlight w:val="none"/>
        </w:rPr>
        <w:outlineLvl w:val="9"/>
      </w:pPr>
      <w:r>
        <w:rPr>
          <w:rFonts w:hint="eastAsia"/>
          <w:b/>
          <w:bCs/>
          <w:color w:val="auto"/>
          <w:szCs w:val="21"/>
          <w:highlight w:val="none"/>
        </w:rPr>
        <w:t xml:space="preserve">六、服务地点</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具体交付地点由甲方指定。</w:t>
      </w:r>
      <w:r/>
    </w:p>
    <w:p>
      <w:pPr>
        <w:ind w:firstLine="482"/>
        <w:spacing w:line="360" w:lineRule="auto"/>
        <w:rPr>
          <w:b/>
          <w:bCs/>
          <w:color w:val="auto"/>
          <w:szCs w:val="21"/>
          <w:highlight w:val="none"/>
        </w:rPr>
        <w:outlineLvl w:val="9"/>
      </w:pPr>
      <w:r>
        <w:rPr>
          <w:rFonts w:hint="eastAsia"/>
          <w:b/>
          <w:bCs/>
          <w:color w:val="auto"/>
          <w:szCs w:val="21"/>
          <w:highlight w:val="none"/>
        </w:rPr>
        <w:t xml:space="preserve">七、提交成果</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1、完成长广溪生物多样性综合展示区建设。</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2、完成长广溪生物多样性智能观测（视频、声纹、红外）服务建设，并提供滨湖区生物多样性智慧监测成果展示平台服务。</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3、提供长广溪生物多样性观测站常规设备及各类群标本集成服务。</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4、提交长广溪生物多样性智能观测季度成果材料及年度综合报告。</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5、协助配合做好长广溪生物多样性观测站相关生态研学及科普宣教服务1-2次。</w:t>
      </w:r>
      <w:r/>
    </w:p>
    <w:p>
      <w:pPr>
        <w:ind w:firstLine="482"/>
        <w:spacing w:line="360" w:lineRule="auto"/>
        <w:rPr>
          <w:b/>
          <w:bCs/>
          <w:color w:val="auto"/>
          <w:szCs w:val="21"/>
          <w:highlight w:val="none"/>
        </w:rPr>
        <w:outlineLvl w:val="9"/>
      </w:pPr>
      <w:r>
        <w:rPr>
          <w:rFonts w:hint="eastAsia"/>
          <w:b/>
          <w:bCs/>
          <w:color w:val="auto"/>
          <w:szCs w:val="21"/>
          <w:highlight w:val="none"/>
        </w:rPr>
        <w:t xml:space="preserve">八、验收标准</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由采购方组织、投标人配合，对项目进行验收。</w:t>
      </w:r>
      <w:r/>
    </w:p>
    <w:p>
      <w:pPr>
        <w:numPr>
          <w:ilvl w:val="0"/>
          <w:numId w:val="0"/>
        </w:numPr>
        <w:ind w:firstLine="482"/>
        <w:jc w:val="left"/>
        <w:keepLines w:val="0"/>
        <w:keepNext w:val="0"/>
        <w:pageBreakBefore w:val="0"/>
        <w:spacing w:line="360" w:lineRule="auto"/>
        <w:widowControl w:val="off"/>
        <w:tabs>
          <w:tab w:val="left" w:pos="525" w:leader="none"/>
          <w:tab w:val="left" w:pos="945" w:leader="none"/>
        </w:tabs>
        <w:rPr>
          <w:rFonts w:hint="eastAsia" w:ascii="宋体" w:hAnsi="宋体"/>
          <w:b/>
          <w:color w:val="auto"/>
          <w:sz w:val="24"/>
          <w:highlight w:val="none"/>
          <w:lang w:val="en-US" w:eastAsia="zh-CN"/>
        </w:rPr>
      </w:pPr>
      <w:r>
        <w:rPr>
          <w:rFonts w:hint="eastAsia" w:ascii="宋体" w:hAnsi="宋体" w:eastAsia="宋体" w:cs="Times New Roman"/>
          <w:b/>
          <w:color w:val="auto"/>
          <w:sz w:val="24"/>
          <w:highlight w:val="none"/>
          <w:lang w:val="en-US" w:eastAsia="zh-CN" w:bidi="ar-SA"/>
        </w:rPr>
        <w:t xml:space="preserve">四、</w:t>
      </w:r>
      <w:r>
        <w:rPr>
          <w:rFonts w:hint="eastAsia" w:ascii="宋体" w:hAnsi="宋体"/>
          <w:b/>
          <w:color w:val="auto"/>
          <w:sz w:val="24"/>
          <w:highlight w:val="none"/>
          <w:lang w:val="en-US" w:eastAsia="zh-CN"/>
        </w:rPr>
        <w:t xml:space="preserve">其他说明</w:t>
      </w:r>
      <w:r/>
    </w:p>
    <w:p>
      <w:pPr>
        <w:numPr>
          <w:ilvl w:val="0"/>
          <w:numId w:val="0"/>
        </w:numPr>
        <w:ind w:firstLine="482"/>
        <w:jc w:val="left"/>
        <w:keepLines w:val="0"/>
        <w:keepNext w:val="0"/>
        <w:pageBreakBefore w:val="0"/>
        <w:spacing w:line="360" w:lineRule="auto"/>
        <w:widowControl w:val="off"/>
        <w:tabs>
          <w:tab w:val="left" w:pos="525" w:leader="none"/>
          <w:tab w:val="left" w:pos="945" w:leader="none"/>
        </w:tabs>
        <w:rPr>
          <w:rFonts w:hint="eastAsia" w:ascii="宋体" w:hAnsi="宋体"/>
          <w:b/>
          <w:color w:val="auto"/>
          <w:sz w:val="24"/>
          <w:highlight w:val="none"/>
        </w:rPr>
      </w:pPr>
      <w:r>
        <w:rPr>
          <w:rFonts w:hint="eastAsia" w:ascii="宋体" w:hAnsi="宋体" w:cs="Times New Roman"/>
          <w:b/>
          <w:color w:val="auto"/>
          <w:sz w:val="24"/>
          <w:highlight w:val="none"/>
          <w:lang w:val="en-US" w:eastAsia="zh-CN" w:bidi="ar-SA"/>
        </w:rPr>
        <w:t xml:space="preserve">1、</w:t>
      </w:r>
      <w:r>
        <w:rPr>
          <w:rFonts w:hint="eastAsia" w:ascii="宋体" w:hAnsi="宋体"/>
          <w:b/>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、投标供应商必须在满足招标文件要求的基础上进行投标，对采购需求的响应情况应在《明细报价及采购需求响应表》中详细说明。</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、设备要求无瑕疵和缺陷，质量为优质产品，交货时提交制造厂的合格证明，必须</w:t>
      </w:r>
      <w:r>
        <w:rPr>
          <w:rFonts w:hint="eastAsia" w:ascii="宋体" w:hAnsi="宋体"/>
          <w:bCs/>
          <w:color w:val="auto"/>
          <w:sz w:val="24"/>
          <w:highlight w:val="none"/>
          <w:lang w:eastAsia="zh-CN"/>
        </w:rPr>
        <w:t xml:space="preserve">满足</w:t>
      </w:r>
      <w:r>
        <w:rPr>
          <w:rFonts w:hint="eastAsia" w:ascii="宋体" w:hAnsi="宋体"/>
          <w:bCs/>
          <w:color w:val="auto"/>
          <w:sz w:val="24"/>
          <w:highlight w:val="none"/>
        </w:rPr>
        <w:t xml:space="preserve">采购人要求。</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凡在投标文件中体现“满足”的性能指标，必须确实满足。采购人有权要求投标供应商中标后，安装实施过程严格按照技术要求和施工方案执行，货物最终与招标文件不符，业主有权要求中标单位整改，如整改无效则立刻终止合同并由中标方承担全部责任。采购人保留在投标供应商中标后，委托第三方对中标设备进行测试、检验</w:t>
      </w:r>
      <w:r>
        <w:rPr>
          <w:rFonts w:hint="eastAsia" w:ascii="宋体" w:hAnsi="宋体"/>
          <w:bCs/>
          <w:color w:val="auto"/>
          <w:sz w:val="24"/>
          <w:highlight w:val="none"/>
          <w:lang w:eastAsia="zh-CN"/>
        </w:rPr>
        <w:t xml:space="preserve">，以及</w:t>
      </w:r>
      <w:r>
        <w:rPr>
          <w:rFonts w:hint="eastAsia" w:ascii="宋体" w:hAnsi="宋体"/>
          <w:bCs/>
          <w:color w:val="auto"/>
          <w:sz w:val="24"/>
          <w:highlight w:val="none"/>
        </w:rPr>
        <w:t xml:space="preserve">对项目实施后验收的权利，在验收或使用过程中发现不满足招标文件中要求的性能指标，经第三方验证确实，采购人有权要求中标人无条件退货，并依据合同进行相关处罚。</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、中标人需在交货时提供设备的质量保证书，以确保对产品的质量保障。</w:t>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ind w:firstLine="48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0"/>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1" w:name="_Hlk2066327"/>
      <w:r>
        <w:rPr>
          <w:rFonts w:hint="eastAsia" w:ascii="宋体" w:hAnsi="宋体" w:cs="宋体"/>
          <w:bCs/>
          <w:color w:val="auto"/>
          <w:sz w:val="24"/>
          <w:highlight w:val="none"/>
          <w:u w:val="single"/>
        </w:rPr>
        <w:t xml:space="preserve">                                                          </w:t>
      </w:r>
      <w:bookmarkEnd w:id="1"/>
      <w:r/>
      <w:r/>
    </w:p>
    <w:p>
      <w:pPr>
        <w:ind w:firstLine="480"/>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五、交货期及质保期：</w:t>
      </w:r>
      <w:r>
        <w:rPr>
          <w:rFonts w:hint="eastAsia" w:ascii="宋体" w:hAnsi="宋体" w:cs="宋体"/>
          <w:bCs/>
          <w:color w:val="auto"/>
          <w:sz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六、交货地点和方式：</w:t>
      </w:r>
      <w:r>
        <w:rPr>
          <w:rFonts w:hint="eastAsia" w:ascii="宋体" w:hAnsi="宋体" w:cs="宋体"/>
          <w:bCs/>
          <w:color w:val="auto"/>
          <w:sz w:val="24"/>
          <w:highlight w:val="none"/>
          <w:u w:val="single"/>
        </w:rPr>
        <w:t xml:space="preserve">                                                     </w:t>
      </w:r>
      <w:r/>
    </w:p>
    <w:p>
      <w:pPr>
        <w:ind w:firstLine="480"/>
        <w:spacing w:line="440" w:lineRule="exact"/>
        <w:rPr>
          <w:rFonts w:ascii="宋体" w:hAnsi="宋体" w:cs="宋体"/>
          <w:bCs/>
          <w:color w:val="auto"/>
          <w:sz w:val="24"/>
          <w:szCs w:val="24"/>
          <w:highlight w:val="none"/>
        </w:rPr>
      </w:pPr>
      <w:r>
        <w:rPr>
          <w:rFonts w:hint="eastAsia" w:hAnsi="宋体" w:cs="宋体"/>
          <w:bCs/>
          <w:color w:val="auto"/>
          <w:sz w:val="24"/>
          <w:highlight w:val="none"/>
        </w:rPr>
        <w:t xml:space="preserve">七、服务费支付步骤和办法：</w:t>
      </w:r>
      <w:r>
        <w:rPr>
          <w:rFonts w:hint="eastAsia" w:ascii="宋体" w:hAnsi="宋体" w:cs="宋体"/>
          <w:bCs/>
          <w:color w:val="auto"/>
          <w:sz w:val="24"/>
          <w:szCs w:val="24"/>
          <w:highlight w:val="none"/>
          <w:u w:val="single"/>
          <w:lang w:bidi="ar"/>
        </w:rPr>
        <w:t xml:space="preserve">详见合同条款。</w:t>
      </w:r>
      <w:r/>
    </w:p>
    <w:p>
      <w:pPr>
        <w:ind w:firstLine="480"/>
        <w:spacing w:line="440" w:lineRule="exact"/>
        <w:rPr>
          <w:rFonts w:hint="eastAsia"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0"/>
        <w:spacing w:line="360" w:lineRule="auto"/>
        <w:tabs>
          <w:tab w:val="left" w:pos="0" w:leader="none"/>
          <w:tab w:val="left" w:pos="1260" w:leader="none"/>
        </w:tabs>
        <w:rPr>
          <w:rFonts w:hint="eastAsia" w:ascii="宋体" w:hAnsi="宋体"/>
          <w:bCs/>
          <w:color w:val="auto"/>
          <w:sz w:val="24"/>
          <w:szCs w:val="24"/>
          <w:highlight w:val="none"/>
          <w:u w:val="single"/>
        </w:rPr>
      </w:pPr>
      <w:r>
        <w:rPr>
          <w:rFonts w:hint="eastAsia" w:ascii="宋体" w:hAnsi="宋体"/>
          <w:b/>
          <w:bCs/>
          <w:color w:val="auto"/>
          <w:sz w:val="24"/>
          <w:highlight w:val="none"/>
        </w:rPr>
        <w:t xml:space="preserve">九、</w:t>
      </w:r>
      <w:r>
        <w:rPr>
          <w:rFonts w:ascii="宋体" w:hAnsi="宋体"/>
          <w:b/>
          <w:bCs/>
          <w:color w:val="auto"/>
          <w:sz w:val="24"/>
          <w:highlight w:val="none"/>
        </w:rPr>
        <w:t xml:space="preserve">解决争议的方</w:t>
      </w:r>
      <w:r>
        <w:rPr>
          <w:rFonts w:hint="eastAsia" w:ascii="宋体" w:hAnsi="宋体"/>
          <w:b/>
          <w:bCs/>
          <w:color w:val="auto"/>
          <w:sz w:val="24"/>
          <w:highlight w:val="none"/>
        </w:rPr>
        <w:t xml:space="preserve">式：</w:t>
      </w:r>
      <w:r>
        <w:rPr>
          <w:rFonts w:hint="eastAsia" w:ascii="宋体" w:hAnsi="宋体"/>
          <w:color w:val="auto"/>
          <w:sz w:val="24"/>
          <w:highlight w:val="none"/>
          <w:u w:val="single"/>
        </w:rPr>
        <w:t xml:space="preserve">详见合同条款。</w:t>
      </w:r>
      <w:r/>
    </w:p>
    <w:p>
      <w:pPr>
        <w:ind w:firstLine="480"/>
        <w:jc w:val="left"/>
        <w:spacing w:line="360" w:lineRule="auto"/>
        <w:widowControl/>
        <w:rPr>
          <w:rFonts w:hint="eastAsia"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0"/>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十二、合同备案：合同一式伍份，供需双方各执贰份，见证方壹份。</w:t>
      </w:r>
      <w:r/>
    </w:p>
    <w:p>
      <w:pPr>
        <w:ind w:firstLine="480"/>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rPr>
          <w:rFonts w:ascii="宋体" w:hAnsi="宋体"/>
          <w:color w:val="auto"/>
          <w:szCs w:val="21"/>
          <w:highlight w:val="none"/>
        </w:rPr>
      </w:pPr>
      <w:r>
        <w:rPr>
          <w:rFonts w:hint="eastAsia" w:ascii="宋体" w:hAnsi="宋体" w:cs="宋体"/>
          <w:bCs/>
          <w:color w:val="auto"/>
          <w:sz w:val="24"/>
          <w:highlight w:val="none"/>
        </w:rPr>
        <w:t xml:space="preserve">见证方（公章）：                                日期：</w:t>
      </w:r>
      <w:r/>
    </w:p>
    <w:p>
      <w:pPr>
        <w:rPr>
          <w:rFonts w:ascii="宋体" w:hAnsi="宋体"/>
          <w:color w:val="auto"/>
          <w:szCs w:val="21"/>
          <w:highlight w:val="none"/>
        </w:rPr>
      </w:pPr>
      <w:r>
        <w:rPr>
          <w:rFonts w:ascii="宋体" w:hAnsi="宋体"/>
          <w:color w:val="auto"/>
          <w:szCs w:val="21"/>
          <w:highlight w:val="none"/>
        </w:rPr>
        <w:br w:type="page" w:clear="all"/>
      </w:r>
      <w:r/>
    </w:p>
    <w:p>
      <w:pPr>
        <w:jc w:val="center"/>
        <w:spacing w:line="44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合同条款（格式）</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甲方：</w:t>
      </w:r>
      <w:r>
        <w:rPr>
          <w:rFonts w:hint="eastAsia" w:ascii="宋体" w:hAnsi="宋体"/>
          <w:color w:val="auto"/>
          <w:szCs w:val="21"/>
          <w:highlight w:val="none"/>
          <w:u w:val="single"/>
        </w:rPr>
        <w:t xml:space="preserve">                          </w:t>
      </w:r>
      <w:r/>
    </w:p>
    <w:p>
      <w:pPr>
        <w:ind w:firstLine="480"/>
        <w:spacing w:line="360" w:lineRule="auto"/>
        <w:rPr>
          <w:rFonts w:hint="eastAsia" w:ascii="宋体" w:hAnsi="宋体"/>
          <w:color w:val="auto"/>
          <w:szCs w:val="21"/>
          <w:highlight w:val="none"/>
          <w:u w:val="single"/>
        </w:rPr>
      </w:pPr>
      <w:r>
        <w:rPr>
          <w:rFonts w:ascii="宋体" w:hAnsi="宋体"/>
          <w:color w:val="auto"/>
          <w:szCs w:val="21"/>
          <w:highlight w:val="none"/>
        </w:rPr>
        <w:t xml:space="preserve">乙方：</w:t>
      </w:r>
      <w:r>
        <w:rPr>
          <w:rFonts w:hint="eastAsia" w:ascii="宋体" w:hAnsi="宋体"/>
          <w:color w:val="auto"/>
          <w:szCs w:val="21"/>
          <w:highlight w:val="none"/>
          <w:u w:val="single"/>
        </w:rPr>
        <w:t xml:space="preserve">                          </w:t>
      </w:r>
      <w:r/>
    </w:p>
    <w:p>
      <w:pPr>
        <w:ind w:firstLine="480"/>
        <w:spacing w:line="360" w:lineRule="auto"/>
        <w:rPr>
          <w:rFonts w:hint="eastAsia" w:ascii="宋体" w:hAnsi="宋体" w:cs="Courier New"/>
          <w:color w:val="auto"/>
          <w:szCs w:val="21"/>
          <w:highlight w:val="none"/>
        </w:rPr>
      </w:pPr>
      <w:r>
        <w:rPr>
          <w:rFonts w:hint="eastAsia" w:ascii="宋体" w:hAnsi="宋体" w:cs="Courier New"/>
          <w:color w:val="auto"/>
          <w:szCs w:val="21"/>
          <w:highlight w:val="none"/>
        </w:rPr>
        <w:t xml:space="preserve">根据《中华人民共和国民法典》以及</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u w:val="single"/>
          <w:lang w:val="en-US" w:eastAsia="zh-CN"/>
        </w:rPr>
        <w:t xml:space="preserve">采购</w:t>
      </w:r>
      <w:r>
        <w:rPr>
          <w:rFonts w:hint="eastAsia" w:ascii="宋体" w:hAnsi="宋体" w:cs="Arial"/>
          <w:color w:val="auto"/>
          <w:szCs w:val="21"/>
          <w:highlight w:val="none"/>
          <w:u w:val="single"/>
        </w:rPr>
        <w:t xml:space="preserve">编号</w:t>
      </w:r>
      <w:r>
        <w:rPr>
          <w:rFonts w:hint="eastAsia" w:ascii="宋体" w:hAnsi="宋体" w:cs="Arial"/>
          <w:color w:val="auto"/>
          <w:szCs w:val="21"/>
          <w:highlight w:val="none"/>
          <w:u w:val="single"/>
          <w:lang w:eastAsia="zh-CN"/>
        </w:rPr>
        <w:t xml:space="preserve">）</w:t>
      </w:r>
      <w:r>
        <w:rPr>
          <w:rFonts w:hint="eastAsia" w:ascii="宋体" w:hAnsi="宋体" w:cs="Courier New"/>
          <w:color w:val="auto"/>
          <w:szCs w:val="21"/>
          <w:highlight w:val="none"/>
        </w:rPr>
        <w:t xml:space="preserve">《招标文件》、乙方《投标文件》等，遵循平等、自愿、公平和诚实信用等原则</w:t>
      </w:r>
      <w:r>
        <w:rPr>
          <w:rFonts w:hint="eastAsia" w:ascii="宋体" w:hAnsi="宋体"/>
          <w:color w:val="auto"/>
          <w:szCs w:val="21"/>
          <w:highlight w:val="none"/>
        </w:rPr>
        <w:t xml:space="preserve">，</w:t>
      </w:r>
      <w:r>
        <w:rPr>
          <w:rFonts w:hint="eastAsia" w:ascii="宋体" w:hAnsi="宋体" w:cs="Courier New"/>
          <w:color w:val="auto"/>
          <w:szCs w:val="21"/>
          <w:highlight w:val="none"/>
        </w:rPr>
        <w:t xml:space="preserve">甲乙双方同意按下述条款和条件签订本合同，并共同遵守。</w:t>
      </w:r>
      <w:r/>
    </w:p>
    <w:p>
      <w:pPr>
        <w:ind w:firstLine="48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一、项目内容</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1、依托长广溪生物多样性观测站，以数字化赋能，开展生物多样性科普宣教展示区建设，致力于宣传生物多样性保护成就。</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2、在长广溪生物多样性观测热点区域建立4个鸟类视频、6个鸟类声纹、6个哺乳动物智能观测点位，使其满足野外场景下鸟/动物精准自动识别，并提供为期两年的</w:t>
      </w:r>
      <w:r>
        <w:rPr>
          <w:rFonts w:hint="eastAsia" w:asciiTheme="minorEastAsia" w:hAnsiTheme="minorEastAsia" w:eastAsiaTheme="minorEastAsia"/>
          <w:color w:val="auto"/>
          <w:szCs w:val="21"/>
          <w:highlight w:val="none"/>
        </w:rPr>
        <w:t xml:space="preserve">生物多样性智慧监测成果展示平台。</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3、结合长广溪生物多样性观测站建设需求，开展生物多样性常规设备及各类群标本集成服务。</w:t>
      </w:r>
      <w:r/>
    </w:p>
    <w:p>
      <w:pPr>
        <w:ind w:firstLine="48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4、按年度提交长广溪湿地公园生物多样性智能观测报告、生物多样性观测站运维报告。</w:t>
      </w:r>
      <w:r/>
    </w:p>
    <w:p>
      <w:pPr>
        <w:ind w:firstLine="482"/>
        <w:spacing w:line="360" w:lineRule="auto"/>
        <w:rPr>
          <w:rFonts w:hint="eastAsia" w:ascii="宋体" w:hAnsi="宋体"/>
          <w:color w:val="auto"/>
          <w:szCs w:val="21"/>
          <w:highlight w:val="none"/>
        </w:rPr>
      </w:pPr>
      <w:r>
        <w:rPr>
          <w:rFonts w:ascii="宋体" w:hAnsi="宋体"/>
          <w:b/>
          <w:color w:val="auto"/>
          <w:szCs w:val="21"/>
          <w:highlight w:val="none"/>
        </w:rPr>
        <w:t xml:space="preserve">二、合同金额</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合同价</w:t>
      </w:r>
      <w:r>
        <w:rPr>
          <w:rFonts w:ascii="宋体" w:hAnsi="宋体"/>
          <w:color w:val="auto"/>
          <w:szCs w:val="21"/>
          <w:highlight w:val="none"/>
        </w:rPr>
        <w:t xml:space="preserve">金额为（大写）：</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82"/>
        <w:spacing w:line="360" w:lineRule="auto"/>
        <w:rPr>
          <w:rFonts w:hint="eastAsia" w:ascii="宋体" w:hAnsi="宋体"/>
          <w:color w:val="auto"/>
          <w:szCs w:val="21"/>
          <w:highlight w:val="none"/>
        </w:rPr>
      </w:pPr>
      <w:r>
        <w:rPr>
          <w:rFonts w:ascii="宋体" w:hAnsi="宋体"/>
          <w:b/>
          <w:color w:val="auto"/>
          <w:szCs w:val="21"/>
          <w:highlight w:val="none"/>
        </w:rPr>
        <w:t xml:space="preserve">三、</w:t>
      </w:r>
      <w:r>
        <w:rPr>
          <w:rFonts w:hint="eastAsia" w:ascii="宋体" w:hAnsi="宋体"/>
          <w:b/>
          <w:color w:val="auto"/>
          <w:szCs w:val="21"/>
          <w:highlight w:val="none"/>
        </w:rPr>
        <w:t xml:space="preserve">服务要求</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满足招标文件《第四章 用户需求书》的要求。</w:t>
      </w:r>
      <w:r/>
    </w:p>
    <w:p>
      <w:pPr>
        <w:ind w:firstLine="482"/>
        <w:spacing w:line="360" w:lineRule="auto"/>
        <w:rPr>
          <w:rFonts w:hint="eastAsia" w:ascii="宋体" w:hAnsi="宋体"/>
          <w:b/>
          <w:color w:val="auto"/>
          <w:szCs w:val="21"/>
          <w:highlight w:val="none"/>
        </w:rPr>
      </w:pPr>
      <w:r>
        <w:rPr>
          <w:rFonts w:ascii="宋体" w:hAnsi="宋体"/>
          <w:b/>
          <w:color w:val="auto"/>
          <w:szCs w:val="21"/>
          <w:highlight w:val="none"/>
        </w:rPr>
        <w:t xml:space="preserve">四、知识产权</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4.1乙</w:t>
      </w:r>
      <w:r>
        <w:rPr>
          <w:rFonts w:hint="eastAsia" w:ascii="宋体" w:hAnsi="宋体"/>
          <w:color w:val="auto"/>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4.2乙方应保证提供服务过程中不会侵犯任何第三方的知识产权。如因乙方提供服务过程中侵犯了第三方的知识产权，因此产生的法律责任及后果由乙方自行承担。</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4.3本项目所有成果版权属甲方所有。乙方在甲方单位开展项目工作时，应遵守相关规章、制度，不得泄密和将成果移交给第三人。</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4.4与本项目有关的资料及数据成果中涉及国家秘密的内容，均要求按照《国家保密法》及相关法律法规执行。乙方应承担监测数据的保密责任，在项目实施过程中形成的监测数据，均不得以任何方式和渠道向外界传递、泄露、披露，否则追究其法律责任。</w:t>
      </w:r>
      <w:r/>
    </w:p>
    <w:p>
      <w:pPr>
        <w:ind w:firstLine="482"/>
        <w:spacing w:line="360" w:lineRule="auto"/>
        <w:rPr>
          <w:rFonts w:hint="eastAsia" w:ascii="宋体" w:hAnsi="宋体"/>
          <w:color w:val="auto"/>
          <w:szCs w:val="21"/>
          <w:highlight w:val="none"/>
        </w:rPr>
      </w:pPr>
      <w:r>
        <w:rPr>
          <w:rFonts w:ascii="宋体" w:hAnsi="宋体"/>
          <w:b/>
          <w:color w:val="auto"/>
          <w:szCs w:val="21"/>
          <w:highlight w:val="none"/>
        </w:rPr>
        <w:t xml:space="preserve">五、产权担保</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5.1乙方保证所交付的货物的所有权完全属于乙方且无任何抵押、查封等产权瑕疵。</w:t>
      </w:r>
      <w:r/>
    </w:p>
    <w:p>
      <w:pPr>
        <w:ind w:firstLine="482"/>
        <w:spacing w:line="360" w:lineRule="auto"/>
        <w:rPr>
          <w:rFonts w:hint="eastAsia" w:ascii="宋体" w:hAnsi="宋体"/>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项目</w:t>
      </w:r>
      <w:r>
        <w:rPr>
          <w:rFonts w:ascii="宋体" w:hAnsi="宋体"/>
          <w:b/>
          <w:color w:val="auto"/>
          <w:szCs w:val="21"/>
          <w:highlight w:val="none"/>
        </w:rPr>
        <w:t xml:space="preserve">实施</w:t>
      </w:r>
      <w:r/>
    </w:p>
    <w:p>
      <w:pPr>
        <w:ind w:firstLine="480"/>
        <w:spacing w:line="360" w:lineRule="auto"/>
        <w:rPr>
          <w:rFonts w:hint="eastAsia" w:ascii="宋体" w:hAnsi="宋体" w:eastAsiaTheme="minorEastAsia"/>
          <w:color w:val="auto"/>
          <w:szCs w:val="21"/>
          <w:highlight w:val="none"/>
          <w:lang w:eastAsia="zh-CN"/>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1项目周期：</w:t>
      </w:r>
      <w:r>
        <w:rPr>
          <w:rFonts w:hint="eastAsia" w:asciiTheme="minorEastAsia" w:hAnsiTheme="minorEastAsia" w:eastAsiaTheme="minorEastAsia"/>
          <w:color w:val="auto"/>
          <w:szCs w:val="21"/>
          <w:highlight w:val="none"/>
        </w:rPr>
        <w:t xml:space="preserve">合同签订后6个月内完成供货及建设，运维及质保期</w:t>
      </w:r>
      <w:r>
        <w:rPr>
          <w:rFonts w:hint="eastAsia" w:asciiTheme="minorEastAsia" w:hAnsiTheme="minorEastAsia" w:eastAsiaTheme="minorEastAsia"/>
          <w:color w:val="auto"/>
          <w:szCs w:val="21"/>
          <w:highlight w:val="none"/>
          <w:lang w:val="en-US" w:eastAsia="zh-CN"/>
        </w:rPr>
        <w:t xml:space="preserve">为</w:t>
      </w:r>
      <w:r>
        <w:rPr>
          <w:rFonts w:hint="eastAsia" w:asciiTheme="minorEastAsia" w:hAnsiTheme="minorEastAsia" w:eastAsiaTheme="minorEastAsia"/>
          <w:color w:val="auto"/>
          <w:szCs w:val="21"/>
          <w:highlight w:val="none"/>
        </w:rPr>
        <w:t xml:space="preserve">两年（自验收合格之日起计算日期）</w:t>
      </w:r>
      <w:r>
        <w:rPr>
          <w:rFonts w:hint="eastAsia" w:asciiTheme="minorEastAsia" w:hAnsiTheme="minorEastAsia" w:eastAsiaTheme="minorEastAsia"/>
          <w:color w:val="auto"/>
          <w:szCs w:val="21"/>
          <w:highlight w:val="none"/>
          <w:lang w:eastAsia="zh-CN"/>
        </w:rPr>
        <w:t xml:space="preserve">。</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6.2乙方项目实施人员须服从甲方管理人员管理。乙方项目实施人员必须遵守现场的各项规章制度。</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6.3乙方应根据项目情况提供服务，经甲、乙双方共同确定后作为双方共同执行的合同条款。</w:t>
      </w:r>
      <w:r/>
    </w:p>
    <w:p>
      <w:pPr>
        <w:ind w:firstLine="48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七</w:t>
      </w:r>
      <w:r>
        <w:rPr>
          <w:rFonts w:ascii="宋体" w:hAnsi="宋体"/>
          <w:b/>
          <w:color w:val="auto"/>
          <w:szCs w:val="21"/>
          <w:highlight w:val="none"/>
        </w:rPr>
        <w:t xml:space="preserve">、</w:t>
      </w:r>
      <w:r>
        <w:rPr>
          <w:rFonts w:hint="eastAsia" w:ascii="宋体" w:hAnsi="宋体"/>
          <w:b/>
          <w:color w:val="auto"/>
          <w:szCs w:val="21"/>
          <w:highlight w:val="none"/>
        </w:rPr>
        <w:t xml:space="preserve">验收要求</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7.1由采购人组织、中标方配合，对项目进行验收。</w:t>
      </w:r>
      <w:r/>
    </w:p>
    <w:p>
      <w:pPr>
        <w:ind w:firstLine="48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八</w:t>
      </w:r>
      <w:r>
        <w:rPr>
          <w:rFonts w:ascii="宋体" w:hAnsi="宋体"/>
          <w:b/>
          <w:color w:val="auto"/>
          <w:szCs w:val="21"/>
          <w:highlight w:val="none"/>
        </w:rPr>
        <w:t xml:space="preserve">、货款支付</w:t>
      </w:r>
      <w:r/>
    </w:p>
    <w:p>
      <w:pPr>
        <w:ind w:firstLine="480"/>
        <w:spacing w:line="360" w:lineRule="auto"/>
        <w:rPr>
          <w:rFonts w:hint="eastAsia" w:asciiTheme="minorEastAsia" w:hAnsiTheme="minorEastAsia" w:eastAsiaTheme="minorEastAsia"/>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.1</w:t>
      </w:r>
      <w:r>
        <w:rPr>
          <w:rFonts w:hint="eastAsia" w:asciiTheme="minorEastAsia" w:hAnsiTheme="minorEastAsia" w:eastAsiaTheme="minorEastAsia"/>
          <w:color w:val="auto"/>
          <w:szCs w:val="21"/>
          <w:highlight w:val="none"/>
        </w:rPr>
        <w:t xml:space="preserve">合同签订后，乙方完成生物多样性科普展成、智能观测建设以及设备和标本集成后，甲方付合同额的30%；生物多样性智能观测服务稳定运行3个月后，甲方付60%；项目成果全部提交并通过验收后，甲方付尾款10%。</w:t>
      </w:r>
      <w:r/>
    </w:p>
    <w:p>
      <w:pPr>
        <w:ind w:firstLine="48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w:t>
      </w:r>
      <w:r>
        <w:rPr>
          <w:rFonts w:ascii="宋体" w:hAnsi="宋体"/>
          <w:b/>
          <w:color w:val="auto"/>
          <w:szCs w:val="21"/>
          <w:highlight w:val="none"/>
        </w:rPr>
        <w:t xml:space="preserve">、质量保证及售后服务</w:t>
      </w:r>
      <w:r/>
    </w:p>
    <w:p>
      <w:pPr>
        <w:ind w:firstLine="480"/>
        <w:spacing w:line="360" w:lineRule="auto"/>
        <w:rPr>
          <w:rFonts w:hint="eastAsia" w:asciiTheme="minorEastAsia" w:hAnsiTheme="minorEastAsia" w:eastAsiaTheme="minorEastAsia"/>
          <w:color w:val="auto"/>
          <w:szCs w:val="21"/>
          <w:highlight w:val="none"/>
        </w:rPr>
      </w:pPr>
      <w:r>
        <w:rPr>
          <w:rFonts w:hint="eastAsia" w:ascii="宋体" w:hAnsi="宋体"/>
          <w:color w:val="auto"/>
          <w:szCs w:val="21"/>
          <w:highlight w:val="none"/>
        </w:rPr>
        <w:t xml:space="preserve">9.1乙方所供设备出现质量问题，中标人应在接到通知后24小时内响应。对于普通故障，修复时间不超过48小时；如不能解决的，中标人需在48小时内免费提供备品备件供采购人使用。免费质保期内如货物出现质量问题，中标人负责免费修复，对于无法修复的情况，中标人负责免费更换。如有不可抗力等其他特殊情况，应及时与采购人沟通协商解决。</w:t>
      </w:r>
      <w:r/>
    </w:p>
    <w:p>
      <w:pPr>
        <w:ind w:firstLine="480"/>
        <w:spacing w:line="360" w:lineRule="auto"/>
        <w:rPr>
          <w:rFonts w:hint="eastAsia" w:ascii="宋体" w:hAnsi="宋体"/>
          <w:color w:val="auto"/>
          <w:szCs w:val="21"/>
          <w:highlight w:val="none"/>
        </w:rPr>
      </w:pPr>
      <w:r>
        <w:rPr>
          <w:rFonts w:hint="eastAsia" w:asciiTheme="minorEastAsia" w:hAnsiTheme="minorEastAsia" w:eastAsiaTheme="minorEastAsia"/>
          <w:color w:val="auto"/>
          <w:szCs w:val="21"/>
          <w:highlight w:val="none"/>
        </w:rPr>
        <w:t xml:space="preserve">9.2乙方所提供设备质量保修期为</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rPr>
        <w:t xml:space="preserve">1</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lang w:eastAsia="zh-CN"/>
        </w:rPr>
        <w:t xml:space="preserve">待</w:t>
      </w:r>
      <w:r>
        <w:rPr>
          <w:rFonts w:hint="eastAsia" w:asciiTheme="minorEastAsia" w:hAnsiTheme="minorEastAsia" w:eastAsiaTheme="minorEastAsia"/>
          <w:color w:val="auto"/>
          <w:szCs w:val="21"/>
          <w:highlight w:val="none"/>
        </w:rPr>
        <w:t xml:space="preserve">质保期满后甲乙双方可商议售后服务事宜。</w:t>
      </w:r>
      <w:r/>
    </w:p>
    <w:p>
      <w:pPr>
        <w:ind w:firstLine="482"/>
        <w:spacing w:line="360" w:lineRule="auto"/>
        <w:rPr>
          <w:rFonts w:hint="eastAsia" w:ascii="宋体" w:hAnsi="宋体"/>
          <w:b/>
          <w:color w:val="auto"/>
          <w:szCs w:val="21"/>
          <w:highlight w:val="none"/>
        </w:rPr>
      </w:pPr>
      <w:r>
        <w:rPr>
          <w:rFonts w:ascii="宋体" w:hAnsi="宋体"/>
          <w:b/>
          <w:color w:val="auto"/>
          <w:szCs w:val="21"/>
          <w:highlight w:val="none"/>
        </w:rPr>
        <w:t xml:space="preserve">十、违约责任</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10.1甲方未按本合同规定，乙方可依法向甲方要求经济赔偿；</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10.2乙方对本协议规定的义务未履行或履行不力的，甲方可依法向乙方要求经济赔偿；</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10.3甲、乙双方若有违反本协议规定或其他违纪事项可向相关部门投诉。经相关部门核查，如情况属实将作为有效投诉记录在案，自愿接受相应处罚</w:t>
      </w:r>
      <w:r>
        <w:rPr>
          <w:rFonts w:ascii="宋体" w:hAnsi="宋体"/>
          <w:color w:val="auto"/>
          <w:szCs w:val="21"/>
          <w:highlight w:val="none"/>
        </w:rPr>
        <w:t xml:space="preserve">。</w:t>
      </w:r>
      <w:r/>
    </w:p>
    <w:p>
      <w:pPr>
        <w:ind w:firstLine="48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十一、不可抗力</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11.1甲、乙双方如果因不可抗力而导致协议义务的延误或不能履行，不承担误期赔偿或终止协议的责任，甲方按乙方已履行的相关设备采购及技术服务工作，向乙方支付相应款项。</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11.2本条所述的“不可抗力”系指下列甲、乙双方无法控制、不可预见的事件，但不包括甲、乙双方的违约或疏忽。这些事件包括：战争、疫情、严重火灾、洪水、台风、地震以及其他甲、乙双方商定的事件。</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11.3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的协议。</w:t>
      </w:r>
      <w:r/>
    </w:p>
    <w:p>
      <w:pPr>
        <w:ind w:firstLine="482"/>
        <w:spacing w:line="360" w:lineRule="auto"/>
        <w:rPr>
          <w:rFonts w:hint="eastAsia" w:ascii="宋体" w:hAnsi="宋体"/>
          <w:b/>
          <w:color w:val="auto"/>
          <w:szCs w:val="21"/>
          <w:highlight w:val="none"/>
        </w:rPr>
      </w:pPr>
      <w:r>
        <w:rPr>
          <w:rFonts w:ascii="宋体" w:hAnsi="宋体"/>
          <w:b/>
          <w:color w:val="auto"/>
          <w:szCs w:val="21"/>
          <w:highlight w:val="none"/>
        </w:rPr>
        <w:t xml:space="preserve">十</w:t>
      </w:r>
      <w:r>
        <w:rPr>
          <w:rFonts w:hint="eastAsia" w:ascii="宋体" w:hAnsi="宋体"/>
          <w:b/>
          <w:color w:val="auto"/>
          <w:szCs w:val="21"/>
          <w:highlight w:val="none"/>
        </w:rPr>
        <w:t xml:space="preserve">二</w:t>
      </w:r>
      <w:r>
        <w:rPr>
          <w:rFonts w:ascii="宋体" w:hAnsi="宋体"/>
          <w:b/>
          <w:color w:val="auto"/>
          <w:szCs w:val="21"/>
          <w:highlight w:val="none"/>
        </w:rPr>
        <w:t xml:space="preserve">、诉讼</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w:t>
      </w:r>
      <w:r>
        <w:rPr>
          <w:rFonts w:ascii="宋体" w:hAnsi="宋体"/>
          <w:color w:val="auto"/>
          <w:szCs w:val="21"/>
          <w:highlight w:val="none"/>
        </w:rPr>
        <w:t xml:space="preserve">.1双方在执行合同中所发生的一切争议，应通过协商解决。如协商不成，可向合同签订地法院起诉。</w:t>
      </w:r>
      <w:r/>
    </w:p>
    <w:p>
      <w:pPr>
        <w:ind w:firstLine="482"/>
        <w:spacing w:line="360" w:lineRule="auto"/>
        <w:rPr>
          <w:rFonts w:hint="eastAsia" w:ascii="宋体" w:hAnsi="宋体"/>
          <w:b/>
          <w:color w:val="auto"/>
          <w:szCs w:val="21"/>
          <w:highlight w:val="none"/>
        </w:rPr>
      </w:pPr>
      <w:r>
        <w:rPr>
          <w:rFonts w:ascii="宋体" w:hAnsi="宋体"/>
          <w:b/>
          <w:color w:val="auto"/>
          <w:szCs w:val="21"/>
          <w:highlight w:val="none"/>
        </w:rPr>
        <w:t xml:space="preserve">十</w:t>
      </w:r>
      <w:r>
        <w:rPr>
          <w:rFonts w:hint="eastAsia" w:ascii="宋体" w:hAnsi="宋体"/>
          <w:b/>
          <w:color w:val="auto"/>
          <w:szCs w:val="21"/>
          <w:highlight w:val="none"/>
        </w:rPr>
        <w:t xml:space="preserve">三</w:t>
      </w:r>
      <w:r>
        <w:rPr>
          <w:rFonts w:ascii="宋体" w:hAnsi="宋体"/>
          <w:b/>
          <w:color w:val="auto"/>
          <w:szCs w:val="21"/>
          <w:highlight w:val="none"/>
        </w:rPr>
        <w:t xml:space="preserve">、合同生效及</w:t>
      </w:r>
      <w:r>
        <w:rPr>
          <w:rFonts w:hint="eastAsia" w:ascii="宋体" w:hAnsi="宋体"/>
          <w:b/>
          <w:color w:val="auto"/>
          <w:szCs w:val="21"/>
          <w:highlight w:val="none"/>
          <w:lang w:eastAsia="zh-CN"/>
        </w:rPr>
        <w:t xml:space="preserve">其他</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本合同由甲乙双方在甲方</w:t>
      </w:r>
      <w:r>
        <w:rPr>
          <w:rFonts w:ascii="宋体" w:hAnsi="宋体"/>
          <w:color w:val="auto"/>
          <w:szCs w:val="21"/>
          <w:highlight w:val="none"/>
        </w:rPr>
        <w:t xml:space="preserve">所在地</w:t>
      </w:r>
      <w:r>
        <w:rPr>
          <w:rFonts w:hint="eastAsia" w:ascii="宋体" w:hAnsi="宋体"/>
          <w:color w:val="auto"/>
          <w:szCs w:val="21"/>
          <w:highlight w:val="none"/>
        </w:rPr>
        <w:t xml:space="preserve">签订。</w:t>
      </w:r>
      <w:r>
        <w:rPr>
          <w:rFonts w:ascii="宋体" w:hAnsi="宋体"/>
          <w:color w:val="auto"/>
          <w:szCs w:val="21"/>
          <w:highlight w:val="none"/>
        </w:rPr>
        <w:t xml:space="preserve">合同经双方法定代表人或授权委托人签字</w:t>
      </w:r>
      <w:r>
        <w:rPr>
          <w:rFonts w:hint="eastAsia" w:ascii="宋体" w:hAnsi="宋体"/>
          <w:color w:val="auto"/>
          <w:szCs w:val="21"/>
          <w:highlight w:val="none"/>
        </w:rPr>
        <w:t xml:space="preserve">盖章后生效。</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3</w:t>
      </w:r>
      <w:r>
        <w:rPr>
          <w:rFonts w:ascii="宋体" w:hAnsi="宋体"/>
          <w:color w:val="auto"/>
          <w:szCs w:val="21"/>
          <w:highlight w:val="none"/>
        </w:rPr>
        <w:t xml:space="preserve">.2</w:t>
      </w:r>
      <w:r>
        <w:rPr>
          <w:rFonts w:hint="eastAsia" w:ascii="宋体" w:hAnsi="宋体"/>
          <w:color w:val="auto"/>
          <w:szCs w:val="21"/>
          <w:highlight w:val="none"/>
        </w:rPr>
        <w:t xml:space="preserve">招标、投标文件是本合同不可或缺的部分，与合同具有同等效力。</w:t>
      </w:r>
      <w:r>
        <w:rPr>
          <w:rFonts w:ascii="宋体" w:hAnsi="宋体"/>
          <w:color w:val="auto"/>
          <w:szCs w:val="21"/>
          <w:highlight w:val="none"/>
        </w:rPr>
        <w:t xml:space="preserve">本合同未尽事宜，遵照《</w:t>
      </w:r>
      <w:r>
        <w:rPr>
          <w:rFonts w:hint="eastAsia" w:ascii="宋体" w:hAnsi="宋体"/>
          <w:color w:val="auto"/>
          <w:szCs w:val="21"/>
          <w:highlight w:val="none"/>
        </w:rPr>
        <w:t xml:space="preserve">中华人民共和国民法典</w:t>
      </w:r>
      <w:r>
        <w:rPr>
          <w:rFonts w:ascii="宋体" w:hAnsi="宋体"/>
          <w:color w:val="auto"/>
          <w:szCs w:val="21"/>
          <w:highlight w:val="none"/>
        </w:rPr>
        <w:t xml:space="preserve">》有关条文执行。</w:t>
      </w:r>
      <w:r/>
    </w:p>
    <w:p>
      <w:pPr>
        <w:ind w:firstLine="480"/>
        <w:spacing w:line="360" w:lineRule="auto"/>
        <w:rPr>
          <w:rFonts w:hint="eastAsia" w:ascii="宋体" w:hAnsi="宋体" w:cs="宋体"/>
          <w:bCs/>
          <w:color w:val="auto"/>
          <w:sz w:val="24"/>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3</w:t>
      </w:r>
      <w:r>
        <w:rPr>
          <w:rFonts w:ascii="宋体" w:hAnsi="宋体"/>
          <w:color w:val="auto"/>
          <w:szCs w:val="21"/>
          <w:highlight w:val="none"/>
        </w:rPr>
        <w:t xml:space="preserve">本合同</w:t>
      </w:r>
      <w:r>
        <w:rPr>
          <w:rFonts w:hint="eastAsia" w:ascii="宋体" w:hAnsi="宋体"/>
          <w:color w:val="auto"/>
          <w:szCs w:val="21"/>
          <w:highlight w:val="none"/>
          <w:lang w:eastAsia="zh-CN"/>
        </w:rPr>
        <w:t xml:space="preserve">一式四份</w:t>
      </w:r>
      <w:r>
        <w:rPr>
          <w:rFonts w:ascii="宋体" w:hAnsi="宋体"/>
          <w:color w:val="auto"/>
          <w:szCs w:val="21"/>
          <w:highlight w:val="none"/>
        </w:rPr>
        <w:t xml:space="preserve">，具有同等法律效力，甲</w:t>
      </w:r>
      <w:r>
        <w:rPr>
          <w:rFonts w:hint="eastAsia" w:ascii="宋体" w:hAnsi="宋体"/>
          <w:color w:val="auto"/>
          <w:szCs w:val="21"/>
          <w:highlight w:val="none"/>
        </w:rPr>
        <w:t xml:space="preserve">方执贰份，</w:t>
      </w:r>
      <w:r>
        <w:rPr>
          <w:rFonts w:ascii="宋体" w:hAnsi="宋体"/>
          <w:color w:val="auto"/>
          <w:szCs w:val="21"/>
          <w:highlight w:val="none"/>
        </w:rPr>
        <w:t xml:space="preserve">乙方</w:t>
      </w:r>
      <w:r>
        <w:rPr>
          <w:rFonts w:hint="eastAsia" w:ascii="宋体" w:hAnsi="宋体"/>
          <w:color w:val="auto"/>
          <w:szCs w:val="21"/>
          <w:highlight w:val="none"/>
        </w:rPr>
        <w:t xml:space="preserve">执贰份。</w:t>
      </w:r>
      <w:r/>
    </w:p>
    <w:p>
      <w:pPr>
        <w:jc w:val="center"/>
        <w:rPr>
          <w:rFonts w:asci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eastAsia="黑体"/>
          <w:bCs/>
          <w:color w:val="auto"/>
          <w:sz w:val="28"/>
          <w:szCs w:val="28"/>
          <w:highlight w:val="none"/>
        </w:rPr>
        <w:t xml:space="preserve">六．附件</w:t>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一标段评分标准：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 xml:space="preserve">18</w:t>
      </w:r>
      <w:r>
        <w:rPr>
          <w:rFonts w:hint="eastAsia" w:ascii="宋体" w:hAnsi="宋体" w:cs="宋体"/>
          <w:b/>
          <w:color w:val="auto"/>
          <w:sz w:val="24"/>
          <w:highlight w:val="none"/>
        </w:rPr>
        <w:t xml:space="preserve">分</w:t>
      </w:r>
      <w:r/>
    </w:p>
    <w:p>
      <w:pPr>
        <w:ind w:firstLine="48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）产品技术配置</w:t>
      </w:r>
      <w:r>
        <w:rPr>
          <w:rFonts w:hint="eastAsia" w:ascii="宋体" w:hAnsi="宋体" w:cs="宋体"/>
          <w:b/>
          <w:color w:val="auto"/>
          <w:sz w:val="24"/>
          <w:highlight w:val="none"/>
          <w:lang w:val="en-US" w:eastAsia="zh-CN"/>
        </w:rPr>
        <w:t xml:space="preserve">                              12分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）技术文件                                  </w:t>
      </w:r>
      <w:r>
        <w:rPr>
          <w:rFonts w:hint="eastAsia" w:ascii="宋体" w:hAnsi="宋体" w:cs="宋体"/>
          <w:b/>
          <w:color w:val="auto"/>
          <w:sz w:val="24"/>
          <w:highlight w:val="none"/>
          <w:lang w:val="en-US" w:eastAsia="zh-CN"/>
        </w:rPr>
        <w:t xml:space="preserve">40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1.投标报价（30分）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2.投标供应商评价（</w:t>
      </w:r>
      <w:r>
        <w:rPr>
          <w:rFonts w:hint="eastAsia" w:ascii="宋体" w:hAnsi="宋体" w:cs="宋体"/>
          <w:b/>
          <w:color w:val="auto"/>
          <w:sz w:val="24"/>
          <w:szCs w:val="24"/>
          <w:highlight w:val="none"/>
          <w:lang w:val="en-US" w:eastAsia="zh-CN"/>
        </w:rPr>
        <w:t xml:space="preserve">18</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（1）投标供应商或产品制造商2021年1月1日以来具有</w:t>
      </w:r>
      <w:r>
        <w:rPr>
          <w:rFonts w:hint="eastAsia" w:ascii="宋体" w:hAnsi="宋体" w:cs="宋体"/>
          <w:bCs/>
          <w:color w:val="auto"/>
          <w:sz w:val="24"/>
          <w:szCs w:val="24"/>
          <w:highlight w:val="none"/>
          <w:lang w:val="en-US" w:eastAsia="zh-CN"/>
        </w:rPr>
        <w:t xml:space="preserve">同类</w:t>
      </w:r>
      <w:r>
        <w:rPr>
          <w:rFonts w:hint="eastAsia" w:ascii="宋体" w:hAnsi="宋体" w:cs="宋体"/>
          <w:bCs/>
          <w:color w:val="auto"/>
          <w:sz w:val="24"/>
          <w:szCs w:val="24"/>
          <w:highlight w:val="none"/>
        </w:rPr>
        <w:t xml:space="preserve">项目业绩的，有一</w:t>
      </w:r>
      <w:r>
        <w:rPr>
          <w:rFonts w:hint="eastAsia" w:ascii="宋体" w:hAnsi="宋体" w:cs="宋体"/>
          <w:bCs/>
          <w:color w:val="auto"/>
          <w:sz w:val="24"/>
          <w:szCs w:val="24"/>
          <w:highlight w:val="none"/>
          <w:lang w:val="en-US" w:eastAsia="zh-CN"/>
        </w:rPr>
        <w:t xml:space="preserve">个</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分，本项最高得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分【以合同签订时间为准，提供合同扫描件上传至电子投标文件，未按要求提供不得分】</w:t>
      </w:r>
      <w:r/>
    </w:p>
    <w:p>
      <w:pPr>
        <w:ind w:firstLine="480"/>
        <w:jc w:val="left"/>
        <w:spacing w:line="360" w:lineRule="auto"/>
        <w:rPr>
          <w:rFonts w:hint="eastAsia"/>
          <w:color w:val="auto"/>
          <w:highlight w:val="none"/>
        </w:rPr>
      </w:pPr>
      <w:r>
        <w:rPr>
          <w:rFonts w:hint="eastAsia" w:ascii="宋体" w:hAnsi="宋体" w:cs="宋体"/>
          <w:color w:val="auto"/>
          <w:sz w:val="24"/>
          <w:szCs w:val="24"/>
          <w:highlight w:val="none"/>
          <w:lang w:val="en-US" w:eastAsia="zh-CN"/>
        </w:rPr>
        <w:t xml:space="preserve">（2）投标</w:t>
      </w:r>
      <w:r>
        <w:rPr>
          <w:rFonts w:hint="eastAsia" w:ascii="宋体" w:hAnsi="宋体" w:eastAsia="宋体" w:cs="宋体"/>
          <w:color w:val="auto"/>
          <w:sz w:val="24"/>
          <w:szCs w:val="24"/>
          <w:highlight w:val="none"/>
        </w:rPr>
        <w:t xml:space="preserve">供应商具有质量管理体系认证证书、环境管理体系认证证书、信息技术体系认证</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、信息安全管理体系认证</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的，每提供一个得</w:t>
      </w:r>
      <w:r>
        <w:rPr>
          <w:rFonts w:hint="eastAsia" w:ascii="宋体" w:hAnsi="宋体" w:cs="宋体"/>
          <w:color w:val="auto"/>
          <w:sz w:val="24"/>
          <w:szCs w:val="24"/>
          <w:highlight w:val="none"/>
          <w:lang w:eastAsia="zh-CN"/>
        </w:rPr>
        <w:t xml:space="preserve">0.5</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分【提供相关证明材料扫描件上传至电子投标文件，未按要求提供不得分】</w:t>
      </w:r>
      <w:r/>
    </w:p>
    <w:p>
      <w:pPr>
        <w:pStyle w:val="746"/>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（3）投标供应商获得过环境监测</w:t>
      </w:r>
      <w:r>
        <w:rPr>
          <w:rFonts w:hint="eastAsia" w:ascii="宋体" w:hAnsi="宋体" w:cs="宋体"/>
          <w:color w:val="auto"/>
          <w:sz w:val="24"/>
          <w:szCs w:val="24"/>
          <w:highlight w:val="none"/>
          <w:lang w:val="en-US" w:eastAsia="zh-CN" w:bidi="ar-SA"/>
        </w:rPr>
        <w:t xml:space="preserve">方面省级及以上行政主管部门颁发的</w:t>
      </w:r>
      <w:r>
        <w:rPr>
          <w:rFonts w:hint="eastAsia" w:ascii="宋体" w:hAnsi="宋体" w:eastAsia="宋体" w:cs="宋体"/>
          <w:color w:val="auto"/>
          <w:sz w:val="24"/>
          <w:szCs w:val="24"/>
          <w:highlight w:val="none"/>
          <w:lang w:val="en-US" w:eastAsia="zh-CN" w:bidi="ar-SA"/>
        </w:rPr>
        <w:t xml:space="preserve">奖项的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有一个得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分，本项最高</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分【提供相关证明材料原件彩色扫描件上传至电子投标文件，未按要求提供不得分】</w:t>
      </w:r>
      <w:r/>
    </w:p>
    <w:p>
      <w:pPr>
        <w:pStyle w:val="746"/>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投标供应商作为环保类项目建设单位入选国家级或省级智慧类“重点工程名单”或“标志性工程名单”的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有1</w:t>
      </w:r>
      <w:r>
        <w:rPr>
          <w:rFonts w:hint="eastAsia" w:ascii="宋体" w:hAnsi="宋体" w:eastAsia="宋体" w:cs="宋体"/>
          <w:color w:val="auto"/>
          <w:highlight w:val="none"/>
          <w:lang w:eastAsia="zh-CN"/>
        </w:rPr>
        <w:t xml:space="preserve">个</w:t>
      </w:r>
      <w:r>
        <w:rPr>
          <w:rFonts w:hint="eastAsia" w:ascii="宋体" w:hAnsi="宋体" w:eastAsia="宋体" w:cs="宋体"/>
          <w:color w:val="auto"/>
          <w:highlight w:val="none"/>
        </w:rPr>
        <w:t xml:space="preserve">得1分，本项最高得2分</w:t>
      </w:r>
      <w:r>
        <w:rPr>
          <w:rFonts w:hint="eastAsia" w:ascii="宋体" w:hAnsi="宋体" w:eastAsia="宋体" w:cs="宋体"/>
          <w:color w:val="auto"/>
          <w:sz w:val="24"/>
          <w:szCs w:val="24"/>
          <w:highlight w:val="none"/>
          <w:lang w:val="en-US" w:eastAsia="zh-CN" w:bidi="ar-SA"/>
        </w:rPr>
        <w:t xml:space="preserve">【提供相关证明材料原件彩色扫描件上传至电子投标文件，未按要求提供不得分】</w:t>
      </w:r>
      <w:r/>
    </w:p>
    <w:p>
      <w:pPr>
        <w:pStyle w:val="746"/>
        <w:ind w:firstLine="480"/>
        <w:rPr>
          <w:rFonts w:hint="eastAsia"/>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投</w:t>
      </w:r>
      <w:r>
        <w:rPr>
          <w:rFonts w:hint="eastAsia"/>
          <w:color w:val="auto"/>
          <w:highlight w:val="none"/>
        </w:rPr>
        <w:t xml:space="preserve">标供应商具有视频、声纹、红外设备观测智能识别及修改能力、江苏省生物多样性物种名录数据库（鸟类、陆生维管、陆生脊椎、陆生昆虫、水生生物等）、具备物种离线上传识别能力，每提供一个得1分，本</w:t>
      </w:r>
      <w:r>
        <w:rPr>
          <w:rFonts w:hint="eastAsia" w:ascii="宋体" w:hAnsi="宋体" w:eastAsia="宋体" w:cs="宋体"/>
          <w:color w:val="auto"/>
          <w:highlight w:val="none"/>
        </w:rPr>
        <w:t xml:space="preserve">项最高得3分</w:t>
      </w:r>
      <w:r>
        <w:rPr>
          <w:rFonts w:hint="eastAsia"/>
          <w:color w:val="auto"/>
          <w:highlight w:val="none"/>
        </w:rPr>
        <w:t xml:space="preserve">【提供视频演示</w:t>
      </w:r>
      <w:r>
        <w:rPr>
          <w:rFonts w:hint="eastAsia"/>
          <w:color w:val="auto"/>
          <w:highlight w:val="none"/>
          <w:lang w:val="en-US" w:eastAsia="zh-CN"/>
        </w:rPr>
        <w:t xml:space="preserve">或截图</w:t>
      </w:r>
      <w:r>
        <w:rPr>
          <w:rFonts w:hint="eastAsia"/>
          <w:color w:val="auto"/>
          <w:highlight w:val="none"/>
        </w:rPr>
        <w:t xml:space="preserve">材料</w:t>
      </w:r>
      <w:r>
        <w:rPr>
          <w:rFonts w:hint="eastAsia"/>
          <w:color w:val="auto"/>
          <w:highlight w:val="none"/>
          <w:lang w:val="en-US" w:eastAsia="zh-CN"/>
        </w:rPr>
        <w:t xml:space="preserve">等证明文件</w:t>
      </w:r>
      <w:r>
        <w:rPr>
          <w:rFonts w:hint="eastAsia"/>
          <w:color w:val="auto"/>
          <w:highlight w:val="none"/>
        </w:rPr>
        <w:t xml:space="preserve">上传至电子投标文件，未按要求提供不得分】</w:t>
      </w:r>
      <w:r/>
    </w:p>
    <w:p>
      <w:pPr>
        <w:pStyle w:val="1025"/>
        <w:ind w:firstLine="420"/>
        <w:spacing w:line="360" w:lineRule="auto"/>
        <w:rPr>
          <w:rFonts w:hint="eastAsia"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w:t>
      </w:r>
      <w:r>
        <w:rPr>
          <w:rFonts w:hint="eastAsia"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w:t>
      </w:r>
      <w:r>
        <w:rPr>
          <w:rFonts w:hint="eastAsia" w:hAnsi="宋体" w:eastAsia="宋体" w:cs="宋体"/>
          <w:color w:val="auto"/>
          <w:sz w:val="24"/>
          <w:szCs w:val="24"/>
          <w:highlight w:val="none"/>
          <w:lang w:val="en-US" w:eastAsia="zh-CN" w:bidi="ar-SA"/>
        </w:rPr>
        <w:t xml:space="preserve">人员配备（5分）</w:t>
      </w:r>
      <w:r/>
    </w:p>
    <w:p>
      <w:pPr>
        <w:pStyle w:val="1025"/>
        <w:ind w:firstLine="420"/>
        <w:spacing w:line="360" w:lineRule="auto"/>
        <w:rPr>
          <w:rFonts w:hint="eastAsia" w:ascii="宋体" w:hAnsi="宋体" w:eastAsia="宋体" w:cs="宋体"/>
          <w:color w:val="auto"/>
          <w:sz w:val="24"/>
          <w:szCs w:val="24"/>
          <w:highlight w:val="none"/>
          <w:lang w:val="zh-CN" w:eastAsia="zh-CN" w:bidi="ar-SA"/>
        </w:rPr>
      </w:pPr>
      <w:r>
        <w:rPr>
          <w:rFonts w:hint="eastAsia" w:hAnsi="宋体" w:eastAsia="宋体" w:cs="宋体"/>
          <w:color w:val="auto"/>
          <w:sz w:val="24"/>
          <w:szCs w:val="24"/>
          <w:highlight w:val="none"/>
          <w:lang w:val="en-US" w:eastAsia="zh-CN" w:bidi="ar-SA"/>
        </w:rPr>
        <w:t xml:space="preserve">①项目组主要成员（不包含项目负责人）具有环境类高级工程师或以上职称人员的，有1个得0.6分，本项最高得3分。</w:t>
      </w:r>
      <w:r/>
    </w:p>
    <w:p>
      <w:pPr>
        <w:pStyle w:val="1025"/>
        <w:ind w:firstLine="420"/>
        <w:spacing w:line="360" w:lineRule="auto"/>
        <w:rPr>
          <w:rFonts w:hint="eastAsia" w:hAnsi="宋体" w:eastAsia="宋体" w:cs="宋体"/>
          <w:color w:val="auto"/>
          <w:sz w:val="24"/>
          <w:szCs w:val="24"/>
          <w:highlight w:val="none"/>
          <w:lang w:val="en-US" w:eastAsia="zh-CN" w:bidi="ar-SA"/>
        </w:rPr>
      </w:pPr>
      <w:r>
        <w:rPr>
          <w:rFonts w:hint="eastAsia" w:hAnsi="宋体" w:eastAsia="宋体" w:cs="宋体"/>
          <w:color w:val="auto"/>
          <w:sz w:val="24"/>
          <w:szCs w:val="24"/>
          <w:highlight w:val="none"/>
          <w:lang w:val="en-US" w:eastAsia="zh-CN" w:bidi="ar-SA"/>
        </w:rPr>
        <w:t xml:space="preserve">②项目组成员获得过省级及以上生态环境部门颁发的生物多样性观测荣誉证书的，得1分。</w:t>
      </w:r>
      <w:r/>
    </w:p>
    <w:p>
      <w:pPr>
        <w:pStyle w:val="1025"/>
        <w:ind w:firstLine="420"/>
        <w:spacing w:line="360" w:lineRule="auto"/>
        <w:rPr>
          <w:rFonts w:hint="eastAsia" w:hAnsi="宋体" w:eastAsia="宋体" w:cs="宋体"/>
          <w:color w:val="auto"/>
          <w:sz w:val="24"/>
          <w:szCs w:val="24"/>
          <w:highlight w:val="none"/>
          <w:lang w:val="en-US" w:eastAsia="zh-CN" w:bidi="ar-SA"/>
        </w:rPr>
      </w:pPr>
      <w:r>
        <w:rPr>
          <w:rFonts w:hint="eastAsia" w:hAnsi="宋体" w:eastAsia="宋体" w:cs="宋体"/>
          <w:color w:val="auto"/>
          <w:sz w:val="24"/>
          <w:szCs w:val="24"/>
          <w:highlight w:val="none"/>
          <w:lang w:val="en-US" w:eastAsia="zh-CN" w:bidi="ar-SA"/>
        </w:rPr>
        <w:t xml:space="preserve">③项目组成员获得过省级及以上生态环境部门颁发的生态监测培训证书的，得1分。</w:t>
      </w:r>
      <w:r/>
    </w:p>
    <w:p>
      <w:pPr>
        <w:pStyle w:val="1025"/>
        <w:ind w:firstLine="420"/>
        <w:spacing w:line="360" w:lineRule="auto"/>
        <w:rPr>
          <w:rFonts w:hint="eastAsia" w:ascii="宋体" w:hAnsi="宋体" w:eastAsia="宋体" w:cs="宋体"/>
          <w:color w:val="auto"/>
          <w:sz w:val="24"/>
          <w:szCs w:val="24"/>
          <w:highlight w:val="none"/>
          <w:lang w:val="zh-CN" w:eastAsia="zh-CN" w:bidi="ar-SA"/>
        </w:rPr>
      </w:pPr>
      <w:r>
        <w:rPr>
          <w:rFonts w:hint="eastAsia" w:hAnsi="宋体" w:eastAsia="宋体" w:cs="宋体"/>
          <w:color w:val="auto"/>
          <w:sz w:val="24"/>
          <w:szCs w:val="24"/>
          <w:highlight w:val="none"/>
          <w:lang w:val="en-US" w:eastAsia="zh-CN" w:bidi="ar-SA"/>
        </w:rPr>
        <w:t xml:space="preserve">注：【提供上述人员</w:t>
      </w:r>
      <w:r>
        <w:rPr>
          <w:rFonts w:hint="eastAsia" w:ascii="宋体" w:hAnsi="宋体" w:eastAsia="宋体" w:cs="宋体"/>
          <w:color w:val="auto"/>
          <w:sz w:val="24"/>
          <w:szCs w:val="24"/>
          <w:highlight w:val="none"/>
          <w:lang w:val="zh-CN" w:eastAsia="zh-CN" w:bidi="ar-SA"/>
        </w:rPr>
        <w:t xml:space="preserve">证书、身份证、与投标供应商企业签订的劳动合同以及投标人为其缴纳的近一年内</w:t>
      </w:r>
      <w:r>
        <w:rPr>
          <w:rFonts w:hint="eastAsia" w:hAnsi="宋体" w:eastAsia="宋体" w:cs="宋体"/>
          <w:color w:val="auto"/>
          <w:sz w:val="24"/>
          <w:szCs w:val="24"/>
          <w:highlight w:val="none"/>
          <w:lang w:val="en-US" w:eastAsia="zh-CN" w:bidi="ar-SA"/>
        </w:rPr>
        <w:t xml:space="preserve">任意一个月（不含投标当月）</w:t>
      </w:r>
      <w:r>
        <w:rPr>
          <w:rFonts w:hint="eastAsia" w:ascii="宋体" w:hAnsi="宋体" w:eastAsia="宋体" w:cs="宋体"/>
          <w:color w:val="auto"/>
          <w:sz w:val="24"/>
          <w:szCs w:val="24"/>
          <w:highlight w:val="none"/>
          <w:lang w:val="zh-CN" w:eastAsia="zh-CN" w:bidi="ar-SA"/>
        </w:rPr>
        <w:t xml:space="preserve">的社保缴纳证明；提供上述资料扫描件上传至电子投标文件，未按要求提供不得分】</w:t>
      </w:r>
      <w:r/>
    </w:p>
    <w:p>
      <w:pPr>
        <w:pStyle w:val="1025"/>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w:t>
      </w:r>
      <w:r>
        <w:rPr>
          <w:rFonts w:hint="eastAsia"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zh-CN" w:eastAsia="zh-CN" w:bidi="ar-SA"/>
        </w:rPr>
        <w:t xml:space="preserve">）节能环保</w:t>
      </w:r>
      <w:r>
        <w:rPr>
          <w:rFonts w:hint="eastAsia" w:ascii="宋体" w:hAnsi="宋体" w:eastAsia="宋体" w:cs="宋体"/>
          <w:color w:val="auto"/>
          <w:sz w:val="24"/>
          <w:szCs w:val="24"/>
          <w:highlight w:val="none"/>
          <w:lang w:val="zh-CN" w:eastAsia="zh-CN" w:bidi="ar-SA"/>
        </w:rPr>
        <w:t xml:space="preserve">（2分）：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提供证明文件扫描件上传至电子投标文件，未按要求提供不得分】</w:t>
      </w:r>
      <w:r/>
    </w:p>
    <w:p>
      <w:pPr>
        <w:numPr>
          <w:ilvl w:val="0"/>
          <w:numId w:val="0"/>
        </w:numPr>
        <w:ind w:firstLine="480"/>
        <w:keepLines w:val="0"/>
        <w:keepNext w:val="0"/>
        <w:pageBreakBefore w:val="0"/>
        <w:widowControl w:val="off"/>
        <w:rPr>
          <w:rFonts w:hint="eastAsia" w:ascii="宋体" w:hAnsi="宋体" w:eastAsia="宋体" w:cs="宋体"/>
          <w:color w:val="auto"/>
          <w:sz w:val="24"/>
          <w:szCs w:val="24"/>
          <w:highlight w:val="none"/>
          <w:lang w:val="zh-CN" w:eastAsia="zh-CN" w:bidi="ar-SA"/>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产品技术配</w:t>
      </w:r>
      <w:r>
        <w:rPr>
          <w:rFonts w:hint="eastAsia" w:ascii="宋体" w:hAnsi="宋体" w:cs="宋体"/>
          <w:b/>
          <w:color w:val="auto"/>
          <w:sz w:val="24"/>
          <w:highlight w:val="none"/>
          <w:lang w:val="zh-CN" w:eastAsia="zh-CN"/>
        </w:rPr>
        <w:t xml:space="preserve">置（</w:t>
      </w:r>
      <w:r>
        <w:rPr>
          <w:rFonts w:hint="eastAsia" w:ascii="宋体" w:hAnsi="宋体" w:cs="宋体"/>
          <w:b/>
          <w:color w:val="auto"/>
          <w:sz w:val="24"/>
          <w:highlight w:val="none"/>
          <w:lang w:val="en-US" w:eastAsia="zh-CN"/>
        </w:rPr>
        <w:t xml:space="preserve">12</w:t>
      </w:r>
      <w:r>
        <w:rPr>
          <w:rFonts w:hint="eastAsia" w:ascii="宋体" w:hAnsi="宋体" w:cs="宋体"/>
          <w:b/>
          <w:color w:val="auto"/>
          <w:sz w:val="24"/>
          <w:highlight w:val="none"/>
          <w:lang w:val="zh-CN" w:eastAsia="zh-CN"/>
        </w:rPr>
        <w:t xml:space="preserve">分）</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技术要求符合性</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投标人</w:t>
      </w:r>
      <w:r>
        <w:rPr>
          <w:rFonts w:hint="eastAsia" w:ascii="宋体" w:hAnsi="宋体" w:cs="宋体"/>
          <w:color w:val="auto"/>
          <w:sz w:val="24"/>
          <w:szCs w:val="24"/>
          <w:highlight w:val="none"/>
          <w:lang w:val="en-US" w:eastAsia="zh-CN" w:bidi="ar"/>
        </w:rPr>
        <w:t xml:space="preserve">所投产品</w:t>
      </w:r>
      <w:r>
        <w:rPr>
          <w:rFonts w:hint="eastAsia" w:ascii="宋体" w:hAnsi="宋体" w:cs="宋体"/>
          <w:color w:val="auto"/>
          <w:sz w:val="24"/>
          <w:szCs w:val="24"/>
          <w:highlight w:val="none"/>
          <w:lang w:bidi="ar"/>
        </w:rPr>
        <w:t xml:space="preserve">必须</w:t>
      </w:r>
      <w:r>
        <w:rPr>
          <w:rFonts w:hint="eastAsia" w:ascii="宋体" w:hAnsi="宋体" w:cs="宋体"/>
          <w:color w:val="auto"/>
          <w:sz w:val="24"/>
          <w:szCs w:val="24"/>
          <w:highlight w:val="none"/>
          <w:lang w:val="en-US" w:eastAsia="zh-CN" w:bidi="ar"/>
        </w:rPr>
        <w:t xml:space="preserve">满足</w:t>
      </w:r>
      <w:r>
        <w:rPr>
          <w:rFonts w:hint="eastAsia" w:ascii="宋体" w:hAnsi="宋体" w:cs="宋体"/>
          <w:color w:val="auto"/>
          <w:sz w:val="24"/>
          <w:szCs w:val="24"/>
          <w:highlight w:val="none"/>
          <w:lang w:bidi="ar"/>
        </w:rPr>
        <w:t xml:space="preserve">采购需求中</w:t>
      </w:r>
      <w:r>
        <w:rPr>
          <w:rFonts w:hint="eastAsia" w:ascii="宋体" w:hAnsi="宋体" w:eastAsia="宋体" w:cs="宋体"/>
          <w:color w:val="auto"/>
          <w:sz w:val="24"/>
          <w:szCs w:val="24"/>
          <w:highlight w:val="none"/>
          <w:lang w:val="en-US" w:eastAsia="zh-CN" w:bidi="ar"/>
        </w:rPr>
        <w:t xml:space="preserve">的“二</w:t>
      </w:r>
      <w:r>
        <w:rPr>
          <w:rFonts w:hint="eastAsia" w:ascii="宋体" w:hAnsi="宋体" w:eastAsia="宋体" w:cs="宋体"/>
          <w:color w:val="auto"/>
          <w:sz w:val="24"/>
          <w:szCs w:val="24"/>
          <w:highlight w:val="none"/>
          <w:lang w:bidi="ar"/>
        </w:rPr>
        <w:t xml:space="preserve">、采购需求及技术参数</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中的所有</w:t>
      </w:r>
      <w:r>
        <w:rPr>
          <w:rFonts w:hint="eastAsia" w:ascii="宋体" w:hAnsi="宋体" w:eastAsia="宋体" w:cs="宋体"/>
          <w:color w:val="auto"/>
          <w:sz w:val="24"/>
          <w:szCs w:val="24"/>
          <w:highlight w:val="none"/>
          <w:lang w:bidi="ar"/>
        </w:rPr>
        <w:t xml:space="preserve">技术要求。如</w:t>
      </w:r>
      <w:r>
        <w:rPr>
          <w:rFonts w:hint="eastAsia" w:ascii="宋体" w:hAnsi="宋体" w:cs="宋体"/>
          <w:color w:val="auto"/>
          <w:sz w:val="24"/>
          <w:szCs w:val="24"/>
          <w:highlight w:val="none"/>
          <w:lang w:bidi="ar"/>
        </w:rPr>
        <w:t xml:space="preserve">有任何一项技术参数不满足，做无效投标处理。</w:t>
      </w:r>
      <w:r/>
    </w:p>
    <w:p>
      <w:pPr>
        <w:pStyle w:val="746"/>
        <w:numPr>
          <w:ilvl w:val="0"/>
          <w:numId w:val="0"/>
        </w:numPr>
        <w:ind w:firstLine="480"/>
        <w:tabs>
          <w:tab w:val="center" w:pos="4153" w:leader="none"/>
          <w:tab w:val="clear" w:pos="7143" w:leader="none"/>
          <w:tab w:val="right" w:pos="8306" w:leader="none"/>
          <w:tab w:val="clear" w:pos="1428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技术加分</w:t>
      </w:r>
      <w:r>
        <w:rPr>
          <w:rFonts w:hint="eastAsia" w:ascii="宋体" w:hAnsi="宋体" w:eastAsia="宋体" w:cs="宋体"/>
          <w:color w:val="auto"/>
          <w:sz w:val="24"/>
          <w:szCs w:val="24"/>
          <w:highlight w:val="none"/>
          <w:lang w:val="en-US" w:eastAsia="zh-CN" w:bidi="ar-SA"/>
        </w:rPr>
        <w:t xml:space="preserve">项（</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p>
      <w:pPr>
        <w:pStyle w:val="746"/>
        <w:numPr>
          <w:ilvl w:val="0"/>
          <w:numId w:val="0"/>
        </w:numPr>
        <w:ind w:left="0" w:firstLine="482"/>
        <w:jc w:val="left"/>
        <w:keepLines w:val="0"/>
        <w:keepNext w:val="0"/>
        <w:pageBreakBefore w:val="0"/>
        <w:spacing w:line="360" w:lineRule="auto"/>
        <w:tabs>
          <w:tab w:val="center" w:pos="4153" w:leader="none"/>
          <w:tab w:val="clear" w:pos="7143" w:leader="none"/>
          <w:tab w:val="right" w:pos="8306" w:leader="none"/>
          <w:tab w:val="clear" w:pos="14287" w:leader="none"/>
        </w:tabs>
        <w:rPr>
          <w:rFonts w:hint="default" w:ascii="宋体" w:hAnsi="宋体" w:eastAsia="宋体" w:cs="宋体"/>
          <w:bCs/>
          <w:smallCap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根据所投仪器产品的性能、配置情况并结合技术参数偏离表进行评分。全部招标要求的</w:t>
      </w:r>
      <w:r>
        <w:rPr>
          <w:rFonts w:hint="eastAsia" w:ascii="宋体" w:hAnsi="宋体" w:cs="宋体"/>
          <w:color w:val="auto"/>
          <w:sz w:val="24"/>
          <w:szCs w:val="24"/>
          <w:highlight w:val="none"/>
          <w:lang w:val="en-US" w:eastAsia="zh-CN" w:bidi="ar-SA"/>
        </w:rPr>
        <w:t xml:space="preserve">基础上，</w:t>
      </w:r>
      <w:r>
        <w:rPr>
          <w:rFonts w:hint="eastAsia" w:ascii="宋体" w:hAnsi="宋体" w:eastAsia="宋体" w:cs="宋体"/>
          <w:color w:val="auto"/>
          <w:sz w:val="24"/>
          <w:szCs w:val="24"/>
          <w:highlight w:val="none"/>
          <w:lang w:val="en-US" w:eastAsia="zh-CN" w:bidi="ar-SA"/>
        </w:rPr>
        <w:t xml:space="preserve">每有一条</w:t>
      </w:r>
      <w:r>
        <w:rPr>
          <w:rFonts w:hint="eastAsia" w:ascii="宋体" w:hAnsi="宋体" w:cs="宋体"/>
          <w:color w:val="auto"/>
          <w:sz w:val="24"/>
          <w:szCs w:val="24"/>
          <w:highlight w:val="none"/>
          <w:lang w:val="en-US" w:eastAsia="zh-CN" w:bidi="ar-SA"/>
        </w:rPr>
        <w:t xml:space="preserve">正</w:t>
      </w:r>
      <w:r>
        <w:rPr>
          <w:rFonts w:hint="eastAsia" w:ascii="宋体" w:hAnsi="宋体" w:eastAsia="宋体" w:cs="宋体"/>
          <w:color w:val="auto"/>
          <w:sz w:val="24"/>
          <w:szCs w:val="24"/>
          <w:highlight w:val="none"/>
          <w:lang w:val="en-US" w:eastAsia="zh-CN" w:bidi="ar-SA"/>
        </w:rPr>
        <w:t xml:space="preserve">偏离</w:t>
      </w:r>
      <w:r>
        <w:rPr>
          <w:rFonts w:hint="eastAsia" w:ascii="宋体" w:hAnsi="宋体" w:cs="宋体"/>
          <w:color w:val="auto"/>
          <w:sz w:val="24"/>
          <w:szCs w:val="24"/>
          <w:highlight w:val="none"/>
          <w:lang w:val="en-US" w:eastAsia="zh-CN" w:bidi="ar-SA"/>
        </w:rPr>
        <w:t xml:space="preserve">加</w:t>
      </w:r>
      <w:r>
        <w:rPr>
          <w:rFonts w:hint="eastAsia" w:ascii="宋体" w:hAnsi="宋体" w:eastAsia="宋体" w:cs="宋体"/>
          <w:color w:val="auto"/>
          <w:sz w:val="24"/>
          <w:szCs w:val="24"/>
          <w:highlight w:val="none"/>
          <w:lang w:val="en-US" w:eastAsia="zh-CN" w:bidi="ar-SA"/>
        </w:rPr>
        <w:t xml:space="preserve">1分，加“▲”参数每有一条</w:t>
      </w:r>
      <w:r>
        <w:rPr>
          <w:rFonts w:hint="eastAsia" w:ascii="宋体" w:hAnsi="宋体" w:cs="宋体"/>
          <w:color w:val="auto"/>
          <w:sz w:val="24"/>
          <w:szCs w:val="24"/>
          <w:highlight w:val="none"/>
          <w:lang w:val="en-US" w:eastAsia="zh-CN" w:bidi="ar-SA"/>
        </w:rPr>
        <w:t xml:space="preserve">正</w:t>
      </w:r>
      <w:r>
        <w:rPr>
          <w:rFonts w:hint="eastAsia" w:ascii="宋体" w:hAnsi="宋体" w:eastAsia="宋体" w:cs="宋体"/>
          <w:color w:val="auto"/>
          <w:sz w:val="24"/>
          <w:szCs w:val="24"/>
          <w:highlight w:val="none"/>
          <w:lang w:val="en-US" w:eastAsia="zh-CN" w:bidi="ar-SA"/>
        </w:rPr>
        <w:t xml:space="preserve">偏离</w:t>
      </w:r>
      <w:r>
        <w:rPr>
          <w:rFonts w:hint="eastAsia" w:ascii="宋体" w:hAnsi="宋体" w:cs="宋体"/>
          <w:color w:val="auto"/>
          <w:sz w:val="24"/>
          <w:szCs w:val="24"/>
          <w:highlight w:val="none"/>
          <w:lang w:val="en-US" w:eastAsia="zh-CN" w:bidi="ar-SA"/>
        </w:rPr>
        <w:t xml:space="preserve">加</w:t>
      </w:r>
      <w:r>
        <w:rPr>
          <w:rFonts w:hint="eastAsia" w:ascii="宋体" w:hAnsi="宋体" w:eastAsia="宋体" w:cs="宋体"/>
          <w:color w:val="auto"/>
          <w:sz w:val="24"/>
          <w:szCs w:val="24"/>
          <w:highlight w:val="none"/>
          <w:lang w:val="en-US" w:eastAsia="zh-CN" w:bidi="ar-SA"/>
        </w:rPr>
        <w:t xml:space="preserve">2分</w:t>
      </w:r>
      <w:r>
        <w:rPr>
          <w:rFonts w:hint="eastAsia" w:ascii="宋体" w:hAnsi="宋体" w:cs="宋体"/>
          <w:color w:val="auto"/>
          <w:sz w:val="24"/>
          <w:szCs w:val="24"/>
          <w:highlight w:val="none"/>
          <w:lang w:val="en-US" w:eastAsia="zh-CN" w:bidi="ar-SA"/>
        </w:rPr>
        <w:t xml:space="preserve">，本项最高得12分</w:t>
      </w:r>
      <w:r>
        <w:rPr>
          <w:rFonts w:hint="eastAsia" w:ascii="宋体" w:hAnsi="宋体" w:eastAsia="宋体" w:cs="宋体"/>
          <w:color w:val="auto"/>
          <w:sz w:val="24"/>
          <w:szCs w:val="24"/>
          <w:highlight w:val="none"/>
          <w:lang w:val="en-US" w:eastAsia="zh-CN" w:bidi="ar-SA"/>
        </w:rPr>
        <w:t xml:space="preserve">。</w:t>
      </w:r>
      <w:r/>
    </w:p>
    <w:p>
      <w:pPr>
        <w:pStyle w:val="1025"/>
        <w:ind w:firstLine="420"/>
        <w:spacing w:line="360" w:lineRule="auto"/>
        <w:rPr>
          <w:rFonts w:hint="eastAsia" w:hAnsi="宋体" w:eastAsia="宋体" w:cs="宋体"/>
          <w:color w:val="auto"/>
          <w:sz w:val="24"/>
          <w:highlight w:val="none"/>
          <w:lang w:eastAsia="zh-CN"/>
        </w:rPr>
      </w:pPr>
      <w:r>
        <w:rPr>
          <w:rFonts w:hint="eastAsia" w:hAnsi="宋体" w:eastAsia="宋体" w:cs="宋体"/>
          <w:color w:val="auto"/>
          <w:sz w:val="24"/>
          <w:highlight w:val="none"/>
        </w:rPr>
        <w:t xml:space="preserve">注</w:t>
      </w:r>
      <w:r>
        <w:rPr>
          <w:rFonts w:hint="eastAsia" w:hAnsi="宋体" w:eastAsia="宋体" w:cs="宋体"/>
          <w:color w:val="auto"/>
          <w:sz w:val="24"/>
          <w:highlight w:val="none"/>
          <w:lang w:eastAsia="zh-CN"/>
        </w:rPr>
        <w:t xml:space="preserve">：</w:t>
      </w:r>
      <w:r>
        <w:rPr>
          <w:rFonts w:hint="eastAsia" w:hAnsi="宋体" w:eastAsia="宋体" w:cs="宋体"/>
          <w:color w:val="auto"/>
          <w:sz w:val="24"/>
          <w:szCs w:val="24"/>
          <w:highlight w:val="none"/>
          <w:lang w:val="en-US" w:eastAsia="zh-CN" w:bidi="ar-SA"/>
        </w:rPr>
        <w:t xml:space="preserve">【</w:t>
      </w:r>
      <w:r>
        <w:rPr>
          <w:rFonts w:hint="eastAsia" w:hAnsi="宋体" w:eastAsia="宋体" w:cs="宋体"/>
          <w:color w:val="auto"/>
          <w:sz w:val="24"/>
          <w:highlight w:val="none"/>
        </w:rPr>
        <w:t xml:space="preserve">所投产品技术性能指标以《投标偏差表》中为准，如正偏离的指标需提供包含相关指标项的相关证明材料。上述证明材料</w:t>
      </w:r>
      <w:r>
        <w:rPr>
          <w:rFonts w:hint="eastAsia" w:hAnsi="宋体" w:eastAsia="宋体" w:cs="宋体"/>
          <w:color w:val="auto"/>
          <w:sz w:val="24"/>
          <w:highlight w:val="none"/>
          <w:lang w:val="en-US" w:eastAsia="zh-CN"/>
        </w:rPr>
        <w:t xml:space="preserve">扫描件上传至电子投标文件，</w:t>
      </w:r>
      <w:r>
        <w:rPr>
          <w:rFonts w:hint="eastAsia" w:ascii="宋体" w:hAnsi="宋体" w:eastAsia="宋体" w:cs="宋体"/>
          <w:color w:val="auto"/>
          <w:sz w:val="24"/>
          <w:szCs w:val="24"/>
          <w:highlight w:val="none"/>
          <w:lang w:val="zh-CN" w:eastAsia="zh-CN" w:bidi="ar-SA"/>
        </w:rPr>
        <w:t xml:space="preserve">未按要求提供不得分】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w:t>
      </w:r>
      <w:r>
        <w:rPr>
          <w:rFonts w:hint="eastAsia" w:ascii="宋体" w:hAnsi="宋体" w:cs="宋体"/>
          <w:b/>
          <w:color w:val="auto"/>
          <w:sz w:val="24"/>
          <w:szCs w:val="24"/>
          <w:highlight w:val="none"/>
        </w:rPr>
        <w:t xml:space="preserve">技术文件（</w:t>
      </w:r>
      <w:r>
        <w:rPr>
          <w:rFonts w:hint="eastAsia" w:ascii="宋体" w:hAnsi="宋体" w:cs="宋体"/>
          <w:b/>
          <w:color w:val="auto"/>
          <w:sz w:val="24"/>
          <w:szCs w:val="24"/>
          <w:highlight w:val="none"/>
          <w:lang w:val="en-US" w:eastAsia="zh-CN"/>
        </w:rPr>
        <w:t xml:space="preserve">40</w:t>
      </w:r>
      <w:r>
        <w:rPr>
          <w:rFonts w:hint="eastAsia" w:ascii="宋体" w:hAnsi="宋体" w:cs="宋体"/>
          <w:b/>
          <w:color w:val="auto"/>
          <w:sz w:val="24"/>
          <w:szCs w:val="24"/>
          <w:highlight w:val="none"/>
        </w:rPr>
        <w:t xml:space="preserve">分）</w:t>
      </w:r>
      <w:r/>
    </w:p>
    <w:p>
      <w:pPr>
        <w:numPr>
          <w:ilvl w:val="0"/>
          <w:numId w:val="0"/>
        </w:numPr>
        <w:ind w:firstLine="480"/>
        <w:jc w:val="left"/>
        <w:spacing w:line="360" w:lineRule="auto"/>
        <w:tabs>
          <w:tab w:val="left" w:pos="1401" w:leader="none"/>
        </w:tabs>
        <w:rPr>
          <w:rFonts w:hint="eastAsia" w:ascii="宋体" w:hAnsi="宋体" w:cs="宋体"/>
          <w:b/>
          <w:color w:val="auto"/>
          <w:sz w:val="24"/>
          <w:szCs w:val="24"/>
          <w:highlight w:val="none"/>
        </w:rPr>
      </w:pPr>
      <w:r>
        <w:rPr>
          <w:rFonts w:hint="eastAsia" w:ascii="宋体" w:hAnsi="宋体" w:cs="宋体"/>
          <w:color w:val="auto"/>
          <w:sz w:val="24"/>
          <w:highlight w:val="none"/>
          <w:shd w:val="clear" w:color="auto" w:fill="ffffff"/>
        </w:rPr>
        <w:t xml:space="preserve">（1）</w:t>
      </w:r>
      <w:r>
        <w:rPr>
          <w:rFonts w:hint="eastAsia" w:hAnsi="宋体" w:cs="宋体"/>
          <w:bCs/>
          <w:color w:val="auto"/>
          <w:sz w:val="24"/>
          <w:szCs w:val="22"/>
          <w:highlight w:val="none"/>
        </w:rPr>
        <w:t xml:space="preserve">对本项目的实际需求的理解</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10</w:t>
      </w:r>
      <w:r>
        <w:rPr>
          <w:rFonts w:hint="eastAsia" w:ascii="宋体" w:hAnsi="宋体" w:cs="宋体"/>
          <w:color w:val="auto"/>
          <w:sz w:val="24"/>
          <w:highlight w:val="none"/>
          <w:shd w:val="clear" w:color="auto" w:fill="ffffff"/>
        </w:rPr>
        <w:t xml:space="preserve">分）</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供应商对本项目的背景和现状、建设内容、建设思路及相关技术规范等理解准确，能详细掌握研究区域基本情况，能结合各站点特色提出本项目建设的思路，且重难点阐述清晰合理。内容全面完整，理解分析到位，针对性强的得</w:t>
      </w:r>
      <w:r>
        <w:rPr>
          <w:rFonts w:hint="eastAsia" w:ascii="宋体" w:hAnsi="宋体" w:cs="宋体"/>
          <w:color w:val="auto"/>
          <w:sz w:val="24"/>
          <w:highlight w:val="none"/>
          <w:shd w:val="clear" w:color="auto" w:fill="ffffff"/>
          <w:lang w:val="en-US" w:eastAsia="zh-CN"/>
        </w:rPr>
        <w:t xml:space="preserve">10</w:t>
      </w:r>
      <w:r>
        <w:rPr>
          <w:rFonts w:hint="eastAsia" w:ascii="宋体" w:hAnsi="宋体" w:cs="宋体"/>
          <w:color w:val="auto"/>
          <w:sz w:val="24"/>
          <w:highlight w:val="none"/>
          <w:shd w:val="clear" w:color="auto" w:fill="ffffff"/>
        </w:rPr>
        <w:t xml:space="preserve">分；内容较为完整，理解分析较为到位，针对性普通得</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分；内容有较少缺失，针对性较弱的得</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未提供不得分。</w:t>
      </w:r>
      <w:r/>
    </w:p>
    <w:p>
      <w:pPr>
        <w:numPr>
          <w:ilvl w:val="0"/>
          <w:numId w:val="0"/>
        </w:numPr>
        <w:ind w:firstLine="480"/>
        <w:jc w:val="left"/>
        <w:spacing w:line="360" w:lineRule="auto"/>
        <w:tabs>
          <w:tab w:val="left" w:pos="1401" w:leader="none"/>
        </w:tabs>
        <w:rPr>
          <w:rFonts w:hint="eastAsia" w:ascii="宋体" w:hAnsi="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bidi="ar-SA"/>
        </w:rPr>
        <w:t xml:space="preserve">（2）</w:t>
      </w:r>
      <w:r>
        <w:rPr>
          <w:rFonts w:hint="eastAsia" w:ascii="宋体" w:hAnsi="宋体" w:cs="宋体"/>
          <w:color w:val="auto"/>
          <w:szCs w:val="21"/>
          <w:highlight w:val="none"/>
          <w:lang w:val="en-US" w:eastAsia="zh-CN"/>
        </w:rPr>
        <w:t xml:space="preserve">实施</w:t>
      </w:r>
      <w:r>
        <w:rPr>
          <w:rFonts w:hint="eastAsia" w:ascii="宋体" w:hAnsi="宋体" w:eastAsia="宋体" w:cs="宋体"/>
          <w:color w:val="auto"/>
          <w:szCs w:val="21"/>
          <w:highlight w:val="none"/>
        </w:rPr>
        <w:t xml:space="preserve">方案</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10</w:t>
      </w:r>
      <w:r>
        <w:rPr>
          <w:rFonts w:hint="eastAsia" w:ascii="宋体" w:hAnsi="宋体" w:cs="宋体"/>
          <w:color w:val="auto"/>
          <w:sz w:val="24"/>
          <w:highlight w:val="none"/>
          <w:shd w:val="clear" w:color="auto" w:fill="ffffff"/>
        </w:rPr>
        <w:t xml:space="preserve">分）：供应商对本项目提供明确的项目实施方案、项目进度计划及测试方案等。方案全面、具有可行性，针对性强，完全满足采购需求的得10分；方案较为全面、具有一定可行性，针对性普通的得6分；方案存在一定缺陷，部分满足采购需求的，针对性较弱的得</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未提供的不得分。</w:t>
      </w:r>
      <w:r/>
    </w:p>
    <w:p>
      <w:pPr>
        <w:numPr>
          <w:ilvl w:val="0"/>
          <w:numId w:val="0"/>
        </w:numPr>
        <w:ind w:firstLine="480"/>
        <w:jc w:val="left"/>
        <w:spacing w:line="360" w:lineRule="auto"/>
        <w:tabs>
          <w:tab w:val="left" w:pos="140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 w:val="24"/>
          <w:szCs w:val="21"/>
          <w:highlight w:val="none"/>
          <w:lang w:val="en-US" w:eastAsia="zh-CN" w:bidi="ar-SA"/>
        </w:rPr>
        <w:t xml:space="preserve">（3）</w:t>
      </w:r>
      <w:r>
        <w:rPr>
          <w:rFonts w:hint="eastAsia" w:ascii="宋体" w:hAnsi="宋体" w:eastAsia="宋体" w:cs="宋体"/>
          <w:color w:val="auto"/>
          <w:szCs w:val="21"/>
          <w:highlight w:val="none"/>
        </w:rPr>
        <w:t xml:space="preserve">质量保证措施</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）供应商对本项目提供明确的管理组织构架、监督体系、质量保证措施，环境保护措施等。方案完整合理、可操作性强的</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eastAsia="zh-CN"/>
        </w:rPr>
        <w:t xml:space="preserve">分；方案基本合理的</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分；方案内容有欠缺的得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分</w:t>
      </w:r>
      <w:r>
        <w:rPr>
          <w:rFonts w:hint="eastAsia" w:ascii="宋体" w:hAnsi="宋体" w:cs="宋体"/>
          <w:color w:val="auto"/>
          <w:sz w:val="24"/>
          <w:highlight w:val="none"/>
          <w:shd w:val="clear" w:color="auto" w:fill="ffffff"/>
          <w:lang w:eastAsia="zh-CN"/>
        </w:rPr>
        <w:t xml:space="preserve">；</w:t>
      </w:r>
      <w:r>
        <w:rPr>
          <w:rFonts w:hint="eastAsia" w:ascii="宋体" w:hAnsi="宋体" w:eastAsia="宋体" w:cs="宋体"/>
          <w:color w:val="auto"/>
          <w:szCs w:val="21"/>
          <w:highlight w:val="none"/>
          <w:lang w:eastAsia="zh-CN"/>
        </w:rPr>
        <w:t xml:space="preserve">未提供不得分。</w:t>
      </w:r>
      <w:r/>
    </w:p>
    <w:p>
      <w:pPr>
        <w:pStyle w:val="738"/>
        <w:numPr>
          <w:ilvl w:val="0"/>
          <w:numId w:val="0"/>
        </w:numPr>
        <w:ind w:lef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bCs/>
          <w:color w:val="auto"/>
          <w:szCs w:val="21"/>
          <w:highlight w:val="none"/>
        </w:rPr>
        <w:t xml:space="preserve">售后服务</w:t>
      </w:r>
      <w:r>
        <w:rPr>
          <w:rFonts w:hint="eastAsia" w:ascii="宋体" w:hAnsi="宋体"/>
          <w:bCs/>
          <w:color w:val="auto"/>
          <w:szCs w:val="21"/>
          <w:highlight w:val="none"/>
          <w:lang w:val="en-US" w:eastAsia="zh-CN"/>
        </w:rPr>
        <w:t xml:space="preserve">及承诺</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分）供应商对本项目提供服务方案和服务承诺，包括技术服务指导方案、后续技术支持方案及其他实质性承诺等。方案全面、合理、可行的得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分；方案较为全面、合理、具有一定可行性的得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分；方案片面、存在一定缺陷的得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分；未提供的不得分。</w:t>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宋体" w:hAnsi="宋体" w:cs="宋体"/>
          <w:b/>
          <w:bCs/>
          <w:color w:val="auto"/>
          <w:sz w:val="24"/>
          <w:szCs w:val="24"/>
          <w:highlight w:val="none"/>
          <w:shd w:val="clear" w:color="auto" w:fill="ffffff"/>
        </w:rPr>
        <w:t xml:space="preserve">未列入本评分细则的其他条件不作为评分内容。</w:t>
      </w:r>
      <w:r>
        <w:rPr>
          <w:rFonts w:hint="eastAsia" w:ascii="黑体" w:eastAsia="黑体"/>
          <w:bCs/>
          <w:color w:val="auto"/>
          <w:sz w:val="24"/>
          <w:szCs w:val="24"/>
          <w:highlight w:val="none"/>
        </w:rPr>
        <w:br w:type="page" w:clear="all"/>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JSZC-320211-JSZH-G2024-0146</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长广溪湿地公园生物多样性观测站建设项目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二○二四年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2" w:name="一．报价函（格式）"/>
      <w:r/>
      <w:bookmarkEnd w:id="2"/>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致无锡市滨湖生态环境局：</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JSZC-320211-JSZH-G2024-0146</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04"/>
          <w:rFonts w:hint="eastAsia"/>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3" w:name="报价方关于资格的声明函（格式）"/>
      <w:r/>
      <w:bookmarkEnd w:id="3"/>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无锡市滨湖生态环境局：</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JSZC-320211-JSZH-G2024-0146</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JSZC-320211-JSZH-G2024-0146</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无锡市滨湖生态环境局：</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JSZC-320211-JSZH-G2024-0146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3"/>
        <w:jc w:val="center"/>
        <w:rPr>
          <w:rFonts w:hint="eastAsia"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w:t>
      </w:r>
      <w:r>
        <w:rPr>
          <w:rFonts w:hint="eastAsia" w:ascii="宋体" w:hAnsi="宋体"/>
          <w:bCs/>
          <w:color w:val="auto"/>
          <w:sz w:val="24"/>
          <w:highlight w:val="none"/>
          <w:lang w:eastAsia="zh-CN"/>
        </w:rPr>
        <w:t xml:space="preserve">〔2020〕46号</w:t>
      </w:r>
      <w:r>
        <w:rPr>
          <w:rFonts w:hint="eastAsia" w:ascii="宋体" w:hAnsi="宋体"/>
          <w:bCs/>
          <w:color w:val="auto"/>
          <w:sz w:val="24"/>
          <w:highlight w:val="none"/>
        </w:rPr>
        <w:t xml:space="preserve">）的规定，本公司（联合体）参加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194"/>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52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eastAsia="zh-CN"/>
        </w:rPr>
        <w:t xml:space="preserve">，可</w:t>
      </w:r>
      <w:r>
        <w:rPr>
          <w:rFonts w:hint="eastAsia"/>
          <w:color w:val="auto"/>
          <w:highlight w:val="none"/>
        </w:rPr>
        <w:t xml:space="preserve">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rPr>
          <w:color w:val="auto"/>
          <w:highlight w:val="none"/>
        </w:rPr>
      </w:pPr>
      <w:r>
        <w:rPr>
          <w:color w:val="auto"/>
          <w:highlight w:val="none"/>
        </w:rPr>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一</w:t>
      </w:r>
      <w:r>
        <w:rPr>
          <w:rFonts w:hint="eastAsia" w:ascii="宋体" w:hAnsi="宋体"/>
          <w:color w:val="auto"/>
          <w:sz w:val="24"/>
          <w:highlight w:val="none"/>
          <w:lang w:eastAsia="zh-CN"/>
        </w:rPr>
        <w:t xml:space="preserve">）</w:t>
      </w:r>
      <w:r>
        <w:rPr>
          <w:rFonts w:ascii="宋体" w:hAnsi="宋体"/>
          <w:color w:val="auto"/>
          <w:sz w:val="24"/>
          <w:highlight w:val="none"/>
        </w:rPr>
        <w:t xml:space="preserve">具有独立承担民事责任的能力；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二</w:t>
      </w:r>
      <w:r>
        <w:rPr>
          <w:rFonts w:hint="eastAsia" w:ascii="宋体" w:hAnsi="宋体"/>
          <w:color w:val="auto"/>
          <w:sz w:val="24"/>
          <w:highlight w:val="none"/>
          <w:lang w:eastAsia="zh-CN"/>
        </w:rPr>
        <w:t xml:space="preserve">）</w:t>
      </w:r>
      <w:r>
        <w:rPr>
          <w:rFonts w:ascii="宋体" w:hAnsi="宋体"/>
          <w:color w:val="auto"/>
          <w:sz w:val="24"/>
          <w:highlight w:val="none"/>
        </w:rPr>
        <w:t xml:space="preserve">具有良好的商业信誉和健全的财务会计制度；</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三</w:t>
      </w:r>
      <w:r>
        <w:rPr>
          <w:rFonts w:hint="eastAsia" w:ascii="宋体" w:hAnsi="宋体"/>
          <w:color w:val="auto"/>
          <w:sz w:val="24"/>
          <w:highlight w:val="none"/>
          <w:lang w:eastAsia="zh-CN"/>
        </w:rPr>
        <w:t xml:space="preserve">）</w:t>
      </w:r>
      <w:r>
        <w:rPr>
          <w:rFonts w:ascii="宋体" w:hAnsi="宋体"/>
          <w:color w:val="auto"/>
          <w:sz w:val="24"/>
          <w:highlight w:val="none"/>
        </w:rPr>
        <w:t xml:space="preserve">具有履行合同所必需的设备和专业技术能力；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四</w:t>
      </w:r>
      <w:r>
        <w:rPr>
          <w:rFonts w:hint="eastAsia" w:ascii="宋体" w:hAnsi="宋体"/>
          <w:color w:val="auto"/>
          <w:sz w:val="24"/>
          <w:highlight w:val="none"/>
          <w:lang w:eastAsia="zh-CN"/>
        </w:rPr>
        <w:t xml:space="preserve">）</w:t>
      </w:r>
      <w:r>
        <w:rPr>
          <w:rFonts w:ascii="宋体" w:hAnsi="宋体"/>
          <w:color w:val="auto"/>
          <w:sz w:val="24"/>
          <w:highlight w:val="none"/>
        </w:rPr>
        <w:t xml:space="preserve">有依法缴纳税收和社会保障资金的良好记录；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五</w:t>
      </w:r>
      <w:r>
        <w:rPr>
          <w:rFonts w:hint="eastAsia" w:ascii="宋体" w:hAnsi="宋体"/>
          <w:color w:val="auto"/>
          <w:sz w:val="24"/>
          <w:highlight w:val="none"/>
          <w:lang w:eastAsia="zh-CN"/>
        </w:rPr>
        <w:t xml:space="preserve">）</w:t>
      </w:r>
      <w:r>
        <w:rPr>
          <w:rFonts w:ascii="宋体" w:hAnsi="宋体"/>
          <w:color w:val="auto"/>
          <w:sz w:val="24"/>
          <w:highlight w:val="none"/>
        </w:rPr>
        <w:t xml:space="preserve">近三年内，在经营活动中没有重大违法记录；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六</w:t>
      </w:r>
      <w:r>
        <w:rPr>
          <w:rFonts w:hint="eastAsia" w:ascii="宋体" w:hAnsi="宋体"/>
          <w:color w:val="auto"/>
          <w:sz w:val="24"/>
          <w:highlight w:val="none"/>
          <w:lang w:eastAsia="zh-CN"/>
        </w:rPr>
        <w:t xml:space="preserve">）</w:t>
      </w:r>
      <w:r>
        <w:rPr>
          <w:rFonts w:ascii="宋体" w:hAnsi="宋体"/>
          <w:color w:val="auto"/>
          <w:sz w:val="24"/>
          <w:highlight w:val="none"/>
        </w:rPr>
        <w:t xml:space="preserve">投标文件中所有关于投标资格的文件、证明、陈述均是真实的、准确的。</w:t>
      </w:r>
      <w:r/>
    </w:p>
    <w:p>
      <w:pPr>
        <w:ind w:left="359"/>
        <w:spacing w:line="440" w:lineRule="exact"/>
        <w:rPr>
          <w:rFonts w:hint="eastAsia" w:ascii="宋体" w:hAnsi="宋体"/>
          <w:color w:val="auto"/>
          <w:sz w:val="24"/>
          <w:highlight w:val="none"/>
        </w:rPr>
      </w:pPr>
      <w:r>
        <w:rPr>
          <w:rFonts w:ascii="宋体" w:hAnsi="宋体"/>
          <w:color w:val="auto"/>
          <w:sz w:val="24"/>
          <w:highlight w:val="none"/>
        </w:rPr>
        <w:t xml:space="preserve">若有违背，我公司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color w:val="auto"/>
          <w:sz w:val="24"/>
          <w:highlight w:val="none"/>
        </w:rPr>
        <w:t xml:space="preserve">投标供应商（公章）：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b/>
          <w:color w:val="auto"/>
          <w:sz w:val="24"/>
          <w:highlight w:val="none"/>
        </w:rPr>
        <w:t xml:space="preserve">无锡市滨湖生态环境局</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我公司自愿参加贵单位</w:t>
      </w:r>
      <w:r>
        <w:rPr>
          <w:rFonts w:hint="eastAsia" w:ascii="宋体" w:hAnsi="宋体"/>
          <w:color w:val="auto"/>
          <w:sz w:val="24"/>
          <w:highlight w:val="none"/>
          <w:lang w:eastAsia="zh-CN"/>
        </w:rPr>
        <w:t xml:space="preserve">（本</w:t>
      </w:r>
      <w:r>
        <w:rPr>
          <w:rFonts w:hint="eastAsia" w:ascii="宋体" w:hAnsi="宋体"/>
          <w:color w:val="auto"/>
          <w:sz w:val="24"/>
          <w:highlight w:val="none"/>
        </w:rPr>
        <w:t xml:space="preserve">公司）项目的投标，并接受对</w:t>
      </w:r>
      <w:r>
        <w:rPr>
          <w:rFonts w:hint="eastAsia" w:ascii="宋体" w:hAnsi="宋体"/>
          <w:color w:val="auto"/>
          <w:sz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pStyle w:val="1019"/>
        <w:ind w:firstLine="480"/>
        <w:rPr>
          <w:rFonts w:hint="eastAsia" w:hAnsi="宋体"/>
          <w:color w:val="auto"/>
          <w:sz w:val="24"/>
          <w:highlight w:val="none"/>
        </w:rPr>
      </w:pPr>
      <w:r>
        <w:rPr>
          <w:rFonts w:hint="eastAsia"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019"/>
        <w:ind w:firstLine="420"/>
        <w:rPr>
          <w:color w:val="auto"/>
          <w:highlight w:val="none"/>
        </w:rPr>
      </w:pPr>
      <w:r>
        <w:rPr>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b/>
          <w:bCs/>
          <w:color w:val="auto"/>
          <w:sz w:val="28"/>
          <w:szCs w:val="28"/>
          <w:highlight w:val="none"/>
        </w:rPr>
      </w:pPr>
      <w:r>
        <w:rPr>
          <w:b/>
          <w:bCs/>
          <w:color w:val="auto"/>
          <w:sz w:val="28"/>
          <w:szCs w:val="28"/>
          <w:highlight w:val="none"/>
        </w:rPr>
      </w:r>
      <w:r/>
    </w:p>
    <w:p>
      <w:pPr>
        <w:jc w:val="center"/>
        <w:rPr>
          <w:b/>
          <w:bCs/>
          <w:color w:val="auto"/>
          <w:sz w:val="28"/>
          <w:szCs w:val="28"/>
          <w:highlight w:val="none"/>
        </w:rPr>
      </w:pPr>
      <w:r>
        <w:rPr>
          <w:rFonts w:hint="eastAsia"/>
          <w:b/>
          <w:color w:val="auto"/>
          <w:sz w:val="28"/>
          <w:szCs w:val="28"/>
          <w:highlight w:val="none"/>
        </w:rPr>
        <w:t xml:space="preserve">承诺书三（廉洁承诺书格式）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为了积极配合贵单位的招标工作，有效遏制不公平竞争和违规违纪问题的发生，确保招标工作的公平、公正、公开，我们保证认真贯彻《招投标法》等相关规定以及相关廉洁要求，特向贵局承诺如下事项：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1、自觉遵守国家法律法规及有关廉政建设制度。</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2、主动了解贵单位招投标纪律，积极配合贵局执行招投标廉政建设的有关规定。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3、不使用不正当手段妨碍、排挤其他投标供应商或串通投标。</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4、按照招标文件规定的方式进行投标，不隐瞒本单位投标资质的真实情况，投标资质符合规定。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6、不向设计招标的单位及个人购置或</w:t>
      </w:r>
      <w:r>
        <w:rPr>
          <w:rFonts w:hint="eastAsia" w:ascii="宋体" w:hAnsi="宋体"/>
          <w:color w:val="auto"/>
          <w:sz w:val="24"/>
          <w:highlight w:val="none"/>
          <w:lang w:eastAsia="zh-CN"/>
        </w:rPr>
        <w:t xml:space="preserve">提供通信</w:t>
      </w:r>
      <w:r>
        <w:rPr>
          <w:rFonts w:hint="eastAsia" w:ascii="宋体" w:hAnsi="宋体"/>
          <w:color w:val="auto"/>
          <w:sz w:val="24"/>
          <w:highlight w:val="none"/>
        </w:rPr>
        <w:t xml:space="preserve">工具、交通工具和高档办公用品等。</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7、不向涉及招标的单位及个人的配偶、子女、亲属分包此次招标项目。</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8、不向涉及招标的单位及个人支付好处费、介绍费。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9、一旦发现相关人员在招标过程中有索要财物等不廉洁行为，坚决予以抵制，并及时向贵局纪检部门举报。</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我们若违反上述承诺，愿接收取消投标资格及其他任何形式的处理。</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480" w:lineRule="auto"/>
        <w:rPr>
          <w:rFonts w:ascii="黑体" w:eastAsia="黑体"/>
          <w:bCs/>
          <w:color w:val="auto"/>
          <w:sz w:val="28"/>
          <w:szCs w:val="28"/>
          <w:highlight w:val="none"/>
        </w:rPr>
      </w:pPr>
      <w:r>
        <w:rPr>
          <w:rFonts w:hint="eastAsia" w:ascii="宋体" w:hAnsi="宋体"/>
          <w:color w:val="auto"/>
          <w:sz w:val="24"/>
          <w:highlight w:val="none"/>
        </w:rPr>
        <w:t xml:space="preserve">      年    月     日</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JSZC-320211-JSZH-G2024-0146</w:t>
      </w:r>
      <w:r/>
    </w:p>
    <w:p>
      <w:pPr>
        <w:spacing w:line="300" w:lineRule="auto"/>
        <w:rPr>
          <w:rFonts w:hint="eastAsia" w:ascii="宋体" w:hAnsi="宋体" w:cs="宋体"/>
          <w:color w:val="auto"/>
          <w:highlight w:val="none"/>
        </w:rPr>
      </w:pPr>
      <w:r>
        <w:rPr>
          <w:rFonts w:hint="eastAsia" w:ascii="宋体" w:hAnsi="宋体" w:cs="宋体"/>
          <w:color w:val="auto"/>
          <w:highlight w:val="none"/>
        </w:rPr>
      </w:r>
      <w:r/>
    </w:p>
    <w:tbl>
      <w:tblPr>
        <w:tblStyle w:val="733"/>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1527" w:type="dxa"/>
            <w:vAlign w:val="center"/>
            <w:textDirection w:val="lrTb"/>
            <w:noWrap w:val="false"/>
          </w:tcPr>
          <w:p>
            <w:pPr>
              <w:pStyle w:val="968"/>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968"/>
              <w:jc w:val="center"/>
              <w:spacing w:line="30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（人民币）</w:t>
            </w:r>
            <w:r/>
          </w:p>
        </w:tc>
        <w:tc>
          <w:tcPr>
            <w:tcW w:w="3472" w:type="dxa"/>
            <w:vAlign w:val="center"/>
            <w:textDirection w:val="lrTb"/>
            <w:noWrap w:val="false"/>
          </w:tcPr>
          <w:p>
            <w:pPr>
              <w:pStyle w:val="968"/>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968"/>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w:t>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完工期</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误期违约金</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质量违约金</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8"/>
                <w:highlight w:val="none"/>
                <w:lang w:val="en-US" w:eastAsia="zh-CN"/>
              </w:rPr>
              <w:t xml:space="preserve">运维</w:t>
            </w:r>
            <w:r>
              <w:rPr>
                <w:rFonts w:hint="eastAsia" w:ascii="宋体" w:hAnsi="宋体" w:cs="宋体"/>
                <w:color w:val="auto"/>
                <w:sz w:val="24"/>
                <w:szCs w:val="28"/>
                <w:highlight w:val="none"/>
                <w:lang w:val="en-US" w:eastAsia="zh-CN"/>
              </w:rPr>
              <w:t xml:space="preserve">服务</w:t>
            </w:r>
            <w:r>
              <w:rPr>
                <w:rFonts w:hint="eastAsia" w:ascii="宋体" w:hAnsi="宋体" w:eastAsia="宋体" w:cs="宋体"/>
                <w:color w:val="auto"/>
                <w:sz w:val="24"/>
                <w:szCs w:val="28"/>
                <w:highlight w:val="none"/>
                <w:lang w:val="en-US" w:eastAsia="zh-CN"/>
              </w:rPr>
              <w:t xml:space="preserve">期</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质保期</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szCs w:val="28"/>
                <w:highlight w:val="none"/>
              </w:rPr>
            </w:pPr>
            <w:r>
              <w:rPr>
                <w:rFonts w:hint="eastAsia" w:ascii="宋体" w:hAnsi="宋体" w:eastAsia="宋体" w:cs="宋体"/>
                <w:color w:val="auto"/>
                <w:sz w:val="24"/>
                <w:szCs w:val="28"/>
                <w:highlight w:val="none"/>
              </w:rPr>
              <w:t xml:space="preserve">响应时间</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黑体" w:eastAsia="黑体"/>
          <w:bCs/>
          <w:color w:val="auto"/>
          <w:sz w:val="32"/>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项目投标报价表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tbl>
      <w:tblPr>
        <w:tblStyle w:val="73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23"/>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1023"/>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1023"/>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1023"/>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3"/>
              </w:numPr>
              <w:rPr>
                <w:rFonts w:ascii="宋体"/>
                <w:bCs/>
                <w:color w:val="auto"/>
                <w:sz w:val="24"/>
                <w:szCs w:val="24"/>
                <w:highlight w:val="none"/>
              </w:rPr>
            </w:pP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782"/>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）表格不够可自行延长。</w:t>
      </w:r>
      <w:r/>
    </w:p>
    <w:p>
      <w:pPr>
        <w:pStyle w:val="968"/>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rPr>
          <w:rFonts w:hint="eastAsia" w:eastAsia="黑体"/>
          <w:b/>
          <w:color w:val="auto"/>
          <w:sz w:val="28"/>
          <w:szCs w:val="28"/>
          <w:highlight w:val="none"/>
          <w:lang w:eastAsia="zh-CN"/>
        </w:rPr>
      </w:pPr>
      <w:r>
        <w:rPr>
          <w:rFonts w:hint="eastAsia" w:ascii="黑体" w:hAnsi="宋体" w:eastAsia="黑体"/>
          <w:bCs/>
          <w:color w:val="auto"/>
          <w:sz w:val="24"/>
          <w:szCs w:val="24"/>
          <w:highlight w:val="none"/>
        </w:rPr>
        <w:br w:type="page" w:clear="all"/>
      </w:r>
      <w:r>
        <w:rPr>
          <w:rFonts w:hint="eastAsia" w:ascii="黑体" w:hAnsi="宋体" w:eastAsia="黑体" w:cs="Times New Roman"/>
          <w:bCs/>
          <w:color w:val="auto"/>
          <w:sz w:val="24"/>
          <w:szCs w:val="24"/>
          <w:highlight w:val="none"/>
        </w:rPr>
        <w:t xml:space="preserve">（九）商务条款偏离表（格式）</w:t>
      </w:r>
      <w:r>
        <w:rPr>
          <w:rFonts w:hint="eastAsia" w:ascii="黑体" w:hAnsi="宋体" w:eastAsia="黑体" w:cs="Times New Roman"/>
          <w:bCs/>
          <w:color w:val="auto"/>
          <w:sz w:val="24"/>
          <w:szCs w:val="24"/>
          <w:highlight w:val="none"/>
          <w:lang w:eastAsia="zh-CN"/>
        </w:rPr>
        <w:t xml:space="preserve">：</w:t>
      </w:r>
      <w:r/>
    </w:p>
    <w:p>
      <w:pPr>
        <w:jc w:val="center"/>
        <w:rPr>
          <w:rFonts w:ascii="宋体" w:hAnsi="宋体"/>
          <w:b/>
          <w:color w:val="auto"/>
          <w:sz w:val="24"/>
          <w:highlight w:val="none"/>
        </w:rPr>
      </w:pPr>
      <w:r>
        <w:rPr>
          <w:rFonts w:ascii="宋体" w:hAnsi="宋体"/>
          <w:b/>
          <w:color w:val="auto"/>
          <w:sz w:val="24"/>
          <w:highlight w:val="none"/>
        </w:rPr>
      </w:r>
      <w:r/>
    </w:p>
    <w:p>
      <w:pPr>
        <w:jc w:val="center"/>
        <w:rPr>
          <w:rFonts w:ascii="宋体" w:hAnsi="宋体"/>
          <w:b/>
          <w:color w:val="auto"/>
          <w:sz w:val="24"/>
          <w:highlight w:val="none"/>
        </w:rPr>
      </w:pPr>
      <w:r>
        <w:rPr>
          <w:rFonts w:hint="eastAsia" w:ascii="宋体" w:hAnsi="宋体"/>
          <w:b/>
          <w:color w:val="auto"/>
          <w:sz w:val="24"/>
          <w:highlight w:val="none"/>
        </w:rPr>
        <w:t xml:space="preserve">商务条款偏离表</w:t>
      </w:r>
      <w:r/>
    </w:p>
    <w:p>
      <w:pPr>
        <w:jc w:val="left"/>
        <w:rPr>
          <w:rFonts w:ascii="宋体" w:hAnsi="宋体"/>
          <w:b/>
          <w:color w:val="auto"/>
          <w:sz w:val="24"/>
          <w:highlight w:val="none"/>
        </w:rPr>
      </w:pPr>
      <w:r>
        <w:rPr>
          <w:rFonts w:ascii="宋体" w:hAnsi="宋体"/>
          <w:b/>
          <w:color w:val="auto"/>
          <w:sz w:val="24"/>
          <w:highlight w:val="none"/>
        </w:rPr>
      </w:r>
      <w:r/>
    </w:p>
    <w:p>
      <w:pPr>
        <w:rPr>
          <w:rFonts w:ascii="宋体" w:hAnsi="宋体"/>
          <w:color w:val="auto"/>
          <w:sz w:val="24"/>
          <w:highlight w:val="none"/>
        </w:rPr>
      </w:pPr>
      <w:r>
        <w:rPr>
          <w:rFonts w:hint="eastAsia" w:ascii="宋体" w:hAnsi="宋体"/>
          <w:bCs/>
          <w:color w:val="auto"/>
          <w:sz w:val="24"/>
          <w:highlight w:val="none"/>
        </w:rPr>
        <w:t xml:space="preserve">项目名称：</w:t>
      </w:r>
      <w:r>
        <w:rPr>
          <w:rFonts w:hint="eastAsia" w:ascii="宋体" w:hAnsi="宋体"/>
          <w:color w:val="auto"/>
          <w:sz w:val="24"/>
          <w:highlight w:val="none"/>
        </w:rPr>
        <w:t xml:space="preserve">                                        </w:t>
      </w:r>
      <w:r/>
    </w:p>
    <w:p>
      <w:pPr>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采购项目编号：</w:t>
      </w:r>
      <w:r>
        <w:rPr>
          <w:rFonts w:hint="eastAsia" w:ascii="宋体" w:hAnsi="宋体"/>
          <w:color w:val="auto"/>
          <w:sz w:val="24"/>
          <w:highlight w:val="none"/>
          <w:lang w:eastAsia="zh-CN"/>
        </w:rPr>
        <w:t xml:space="preserve">JSZC-320211-JSZH-G2024-0146</w:t>
      </w:r>
      <w:r/>
    </w:p>
    <w:tbl>
      <w:tblPr>
        <w:tblStyle w:val="733"/>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29"/>
        <w:gridCol w:w="2663"/>
        <w:gridCol w:w="2660"/>
        <w:gridCol w:w="1902"/>
      </w:tblGrid>
      <w:tr>
        <w:trPr>
          <w:jc w:val="center"/>
        </w:trPr>
        <w:tc>
          <w:tcPr>
            <w:tcW w:w="386" w:type="pct"/>
            <w:vAlign w:val="top"/>
            <w:textDirection w:val="lrTb"/>
            <w:noWrap w:val="false"/>
          </w:tcPr>
          <w:p>
            <w:pPr>
              <w:jc w:val="center"/>
              <w:spacing w:before="240" w:after="240"/>
              <w:rPr>
                <w:rFonts w:ascii="宋体" w:hAnsi="宋体"/>
                <w:color w:val="auto"/>
                <w:szCs w:val="21"/>
                <w:highlight w:val="none"/>
              </w:rPr>
            </w:pPr>
            <w:r>
              <w:rPr>
                <w:rFonts w:hint="eastAsia" w:ascii="宋体" w:hAnsi="宋体"/>
                <w:color w:val="auto"/>
                <w:szCs w:val="21"/>
                <w:highlight w:val="none"/>
              </w:rPr>
              <w:t xml:space="preserve">序号</w:t>
            </w:r>
            <w:r/>
          </w:p>
        </w:tc>
        <w:tc>
          <w:tcPr>
            <w:tcW w:w="1050" w:type="pct"/>
            <w:vAlign w:val="top"/>
            <w:textDirection w:val="lrTb"/>
            <w:noWrap w:val="false"/>
          </w:tcPr>
          <w:p>
            <w:pPr>
              <w:jc w:val="center"/>
              <w:spacing w:before="240" w:after="240"/>
              <w:rPr>
                <w:rFonts w:ascii="宋体" w:hAnsi="宋体"/>
                <w:color w:val="auto"/>
                <w:szCs w:val="21"/>
                <w:highlight w:val="none"/>
              </w:rPr>
            </w:pPr>
            <w:r>
              <w:rPr>
                <w:rFonts w:hint="eastAsia" w:ascii="宋体" w:hAnsi="宋体"/>
                <w:color w:val="auto"/>
                <w:szCs w:val="21"/>
                <w:highlight w:val="none"/>
              </w:rPr>
              <w:t xml:space="preserve">招标文件条目号</w:t>
            </w:r>
            <w:r/>
          </w:p>
        </w:tc>
        <w:tc>
          <w:tcPr>
            <w:tcW w:w="1313" w:type="pct"/>
            <w:vAlign w:val="top"/>
            <w:textDirection w:val="lrTb"/>
            <w:noWrap w:val="false"/>
          </w:tcPr>
          <w:p>
            <w:pPr>
              <w:jc w:val="center"/>
              <w:spacing w:before="240" w:after="240"/>
              <w:rPr>
                <w:rFonts w:ascii="宋体" w:hAnsi="宋体"/>
                <w:color w:val="auto"/>
                <w:szCs w:val="21"/>
                <w:highlight w:val="none"/>
              </w:rPr>
            </w:pPr>
            <w:r>
              <w:rPr>
                <w:rFonts w:hint="eastAsia" w:ascii="宋体" w:hAnsi="宋体"/>
                <w:color w:val="auto"/>
                <w:szCs w:val="21"/>
                <w:highlight w:val="none"/>
              </w:rPr>
              <w:t xml:space="preserve">招标文件的商务条款</w:t>
            </w:r>
            <w:r/>
          </w:p>
        </w:tc>
        <w:tc>
          <w:tcPr>
            <w:tcW w:w="1312" w:type="pct"/>
            <w:vAlign w:val="top"/>
            <w:textDirection w:val="lrTb"/>
            <w:noWrap w:val="false"/>
          </w:tcPr>
          <w:p>
            <w:pPr>
              <w:jc w:val="center"/>
              <w:spacing w:before="240" w:after="240"/>
              <w:rPr>
                <w:rFonts w:ascii="宋体" w:hAnsi="宋体"/>
                <w:color w:val="auto"/>
                <w:szCs w:val="21"/>
                <w:highlight w:val="none"/>
              </w:rPr>
            </w:pPr>
            <w:r>
              <w:rPr>
                <w:rFonts w:hint="eastAsia" w:ascii="宋体" w:hAnsi="宋体"/>
                <w:color w:val="auto"/>
                <w:szCs w:val="21"/>
                <w:highlight w:val="none"/>
              </w:rPr>
              <w:t xml:space="preserve">投标文件的商务条款</w:t>
            </w:r>
            <w:r/>
          </w:p>
        </w:tc>
        <w:tc>
          <w:tcPr>
            <w:tcW w:w="938" w:type="pct"/>
            <w:vAlign w:val="top"/>
            <w:textDirection w:val="lrTb"/>
            <w:noWrap w:val="false"/>
          </w:tcPr>
          <w:p>
            <w:pPr>
              <w:jc w:val="center"/>
              <w:spacing w:before="240" w:after="240"/>
              <w:rPr>
                <w:rFonts w:ascii="宋体" w:hAnsi="宋体"/>
                <w:color w:val="auto"/>
                <w:szCs w:val="21"/>
                <w:highlight w:val="none"/>
              </w:rPr>
            </w:pPr>
            <w:r>
              <w:rPr>
                <w:rFonts w:hint="eastAsia" w:ascii="宋体" w:hAnsi="宋体"/>
                <w:color w:val="auto"/>
                <w:szCs w:val="21"/>
                <w:highlight w:val="none"/>
              </w:rPr>
              <w:t xml:space="preserve">偏离说明</w:t>
            </w:r>
            <w:r/>
          </w:p>
        </w:tc>
      </w:tr>
      <w:tr>
        <w:trPr>
          <w:jc w:val="center"/>
        </w:trPr>
        <w:tc>
          <w:tcPr>
            <w:tcW w:w="386"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050"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3"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2"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938"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r>
      <w:tr>
        <w:trPr>
          <w:jc w:val="center"/>
        </w:trPr>
        <w:tc>
          <w:tcPr>
            <w:tcW w:w="386"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050"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3"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2"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938"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r>
      <w:tr>
        <w:trPr>
          <w:jc w:val="center"/>
        </w:trPr>
        <w:tc>
          <w:tcPr>
            <w:tcW w:w="386"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050"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3"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2"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938"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r>
      <w:tr>
        <w:trPr>
          <w:jc w:val="center"/>
        </w:trPr>
        <w:tc>
          <w:tcPr>
            <w:tcW w:w="386"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050"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3"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2"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938"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r>
      <w:tr>
        <w:trPr>
          <w:jc w:val="center"/>
        </w:trPr>
        <w:tc>
          <w:tcPr>
            <w:tcW w:w="386"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050"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3"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2"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938"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r>
      <w:tr>
        <w:trPr>
          <w:jc w:val="center"/>
        </w:trPr>
        <w:tc>
          <w:tcPr>
            <w:tcW w:w="386"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050"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3"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1312"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c>
          <w:tcPr>
            <w:tcW w:w="938" w:type="pct"/>
            <w:vAlign w:val="top"/>
            <w:textDirection w:val="lrTb"/>
            <w:noWrap w:val="false"/>
          </w:tcPr>
          <w:p>
            <w:pPr>
              <w:spacing w:before="240" w:after="240"/>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注：1、投标供应商的投标文件（除技术规格部分）与招标文件</w:t>
      </w:r>
      <w:r>
        <w:rPr>
          <w:rFonts w:hint="eastAsia" w:ascii="宋体" w:hAnsi="宋体"/>
          <w:color w:val="auto"/>
          <w:sz w:val="24"/>
          <w:highlight w:val="none"/>
          <w:lang w:val="en-US" w:eastAsia="zh-CN"/>
        </w:rPr>
        <w:t xml:space="preserve">要求</w:t>
      </w:r>
      <w:r>
        <w:rPr>
          <w:rFonts w:hint="eastAsia" w:ascii="宋体" w:hAnsi="宋体"/>
          <w:color w:val="auto"/>
          <w:sz w:val="24"/>
          <w:highlight w:val="none"/>
        </w:rPr>
        <w:t xml:space="preserve">的有偏离的，应在此表中说明。</w:t>
      </w:r>
      <w:r>
        <w:rPr>
          <w:rFonts w:hint="eastAsia" w:ascii="宋体" w:hAnsi="宋体"/>
          <w:bCs/>
          <w:color w:val="auto"/>
          <w:sz w:val="24"/>
          <w:szCs w:val="24"/>
          <w:highlight w:val="none"/>
        </w:rPr>
        <w:t xml:space="preserve">如需要可自行延长</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无偏离内容不须赘述。</w:t>
      </w:r>
      <w:r>
        <w:rPr>
          <w:rFonts w:hint="eastAsia" w:ascii="宋体" w:hAnsi="宋体"/>
          <w:color w:val="auto"/>
          <w:sz w:val="24"/>
          <w:highlight w:val="none"/>
        </w:rPr>
        <w:t xml:space="preserve">未在上表中说明的，将被认为完全响应招标文件的规定。</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pStyle w:val="1027"/>
        <w:ind w:firstLine="0"/>
        <w:jc w:val="left"/>
        <w:rPr>
          <w:rFonts w:hint="eastAsia"/>
          <w:b/>
          <w:color w:val="auto"/>
          <w:highlight w:val="none"/>
        </w:rPr>
      </w:pPr>
      <w:r>
        <w:rPr>
          <w:rFonts w:hint="eastAsia" w:ascii="黑体" w:hAnsi="宋体" w:eastAsia="黑体" w:cs="Times New Roman"/>
          <w:bCs/>
          <w:color w:val="auto"/>
          <w:sz w:val="24"/>
          <w:szCs w:val="24"/>
          <w:highlight w:val="none"/>
          <w:lang w:val="en-US" w:eastAsia="zh-CN" w:bidi="ar-SA"/>
        </w:rPr>
        <w:t xml:space="preserve">（十）技术条款偏离表（格式）</w:t>
      </w:r>
      <w:r/>
    </w:p>
    <w:p>
      <w:pPr>
        <w:jc w:val="center"/>
        <w:rPr>
          <w:rFonts w:hint="eastAsia"/>
          <w:color w:val="auto"/>
          <w:highlight w:val="none"/>
        </w:rPr>
      </w:pPr>
      <w:r>
        <w:rPr>
          <w:rFonts w:hint="eastAsia"/>
          <w:color w:val="auto"/>
          <w:highlight w:val="none"/>
        </w:rPr>
        <w:t xml:space="preserve">技术条款偏离表</w:t>
      </w:r>
      <w:r/>
    </w:p>
    <w:p>
      <w:pPr>
        <w:rPr>
          <w:rFonts w:ascii="宋体" w:hAnsi="宋体"/>
          <w:color w:val="auto"/>
          <w:sz w:val="24"/>
          <w:highlight w:val="none"/>
        </w:rPr>
      </w:pPr>
      <w:r>
        <w:rPr>
          <w:rFonts w:hint="eastAsia" w:ascii="宋体" w:hAnsi="宋体"/>
          <w:bCs/>
          <w:color w:val="auto"/>
          <w:sz w:val="24"/>
          <w:highlight w:val="none"/>
        </w:rPr>
        <w:t xml:space="preserve">项目名称：</w:t>
      </w:r>
      <w:r>
        <w:rPr>
          <w:rFonts w:hint="eastAsia" w:ascii="宋体" w:hAnsi="宋体"/>
          <w:color w:val="auto"/>
          <w:sz w:val="24"/>
          <w:highlight w:val="none"/>
        </w:rPr>
        <w:t xml:space="preserve">                                        </w:t>
      </w:r>
      <w:r/>
    </w:p>
    <w:p>
      <w:pPr>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采购项目编号：</w:t>
      </w:r>
      <w:r>
        <w:rPr>
          <w:rFonts w:hint="eastAsia" w:ascii="宋体" w:hAnsi="宋体"/>
          <w:color w:val="auto"/>
          <w:sz w:val="24"/>
          <w:highlight w:val="none"/>
          <w:lang w:eastAsia="zh-CN"/>
        </w:rPr>
        <w:t xml:space="preserve">JSZC-320211-JSZH-G2024-0146</w:t>
      </w:r>
      <w:r/>
    </w:p>
    <w:tbl>
      <w:tblPr>
        <w:tblStyle w:val="733"/>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087"/>
        <w:gridCol w:w="2409"/>
        <w:gridCol w:w="2552"/>
        <w:gridCol w:w="872"/>
      </w:tblGrid>
      <w:tr>
        <w:trPr>
          <w:jc w:val="center"/>
          <w:trHeight w:val="760"/>
        </w:trPr>
        <w:tc>
          <w:tcPr>
            <w:tcW w:w="828" w:type="dxa"/>
            <w:vAlign w:val="center"/>
            <w:textDirection w:val="lrTb"/>
            <w:noWrap w:val="false"/>
          </w:tcPr>
          <w:p>
            <w:pPr>
              <w:jc w:val="center"/>
              <w:rPr>
                <w:rFonts w:hint="eastAsia" w:ascii="宋体" w:hAnsi="宋体" w:cs="宋体"/>
                <w:bCs/>
                <w:color w:val="auto"/>
                <w:spacing w:val="20"/>
                <w:sz w:val="24"/>
                <w:highlight w:val="none"/>
              </w:rPr>
            </w:pPr>
            <w:r>
              <w:rPr>
                <w:rFonts w:hint="eastAsia" w:ascii="宋体" w:hAnsi="宋体" w:cs="宋体"/>
                <w:bCs/>
                <w:color w:val="auto"/>
                <w:spacing w:val="20"/>
                <w:sz w:val="24"/>
                <w:highlight w:val="none"/>
              </w:rPr>
              <w:t xml:space="preserve">序号</w:t>
            </w:r>
            <w:r/>
          </w:p>
        </w:tc>
        <w:tc>
          <w:tcPr>
            <w:tcW w:w="2087" w:type="dxa"/>
            <w:vAlign w:val="center"/>
            <w:textDirection w:val="lrTb"/>
            <w:noWrap w:val="false"/>
          </w:tcPr>
          <w:p>
            <w:pPr>
              <w:jc w:val="center"/>
              <w:rPr>
                <w:rFonts w:hint="eastAsia" w:ascii="宋体" w:hAnsi="宋体" w:cs="宋体"/>
                <w:bCs/>
                <w:color w:val="auto"/>
                <w:spacing w:val="20"/>
                <w:sz w:val="24"/>
                <w:highlight w:val="none"/>
              </w:rPr>
            </w:pPr>
            <w:r>
              <w:rPr>
                <w:rFonts w:hint="eastAsia" w:ascii="宋体" w:hAnsi="宋体" w:cs="宋体"/>
                <w:bCs/>
                <w:color w:val="auto"/>
                <w:spacing w:val="20"/>
                <w:sz w:val="24"/>
                <w:highlight w:val="none"/>
              </w:rPr>
              <w:t xml:space="preserve">投标项目名称</w:t>
            </w:r>
            <w:r/>
          </w:p>
        </w:tc>
        <w:tc>
          <w:tcPr>
            <w:tcW w:w="2409" w:type="dxa"/>
            <w:vAlign w:val="center"/>
            <w:textDirection w:val="lrTb"/>
            <w:noWrap w:val="false"/>
          </w:tcPr>
          <w:p>
            <w:pPr>
              <w:jc w:val="center"/>
              <w:rPr>
                <w:rFonts w:hint="eastAsia" w:ascii="宋体" w:hAnsi="宋体" w:cs="宋体"/>
                <w:bCs/>
                <w:color w:val="auto"/>
                <w:spacing w:val="20"/>
                <w:sz w:val="24"/>
                <w:highlight w:val="none"/>
              </w:rPr>
            </w:pPr>
            <w:r>
              <w:rPr>
                <w:rFonts w:hint="eastAsia" w:ascii="宋体" w:hAnsi="宋体" w:cs="宋体"/>
                <w:bCs/>
                <w:color w:val="auto"/>
                <w:spacing w:val="20"/>
                <w:sz w:val="24"/>
                <w:highlight w:val="none"/>
              </w:rPr>
              <w:t xml:space="preserve">招标技术要求</w:t>
            </w:r>
            <w:r/>
          </w:p>
        </w:tc>
        <w:tc>
          <w:tcPr>
            <w:tcW w:w="2552" w:type="dxa"/>
            <w:vAlign w:val="center"/>
            <w:textDirection w:val="lrTb"/>
            <w:noWrap w:val="false"/>
          </w:tcPr>
          <w:p>
            <w:pPr>
              <w:jc w:val="center"/>
              <w:rPr>
                <w:rFonts w:hint="eastAsia" w:ascii="宋体" w:hAnsi="宋体" w:cs="宋体"/>
                <w:bCs/>
                <w:color w:val="auto"/>
                <w:spacing w:val="20"/>
                <w:sz w:val="24"/>
                <w:highlight w:val="none"/>
              </w:rPr>
            </w:pPr>
            <w:r>
              <w:rPr>
                <w:rFonts w:hint="eastAsia" w:ascii="宋体" w:hAnsi="宋体" w:cs="宋体"/>
                <w:bCs/>
                <w:color w:val="auto"/>
                <w:spacing w:val="20"/>
                <w:sz w:val="24"/>
                <w:highlight w:val="none"/>
              </w:rPr>
              <w:t xml:space="preserve">投标货物技术指标</w:t>
            </w:r>
            <w:r/>
          </w:p>
        </w:tc>
        <w:tc>
          <w:tcPr>
            <w:tcW w:w="872" w:type="dxa"/>
            <w:vAlign w:val="center"/>
            <w:textDirection w:val="lrTb"/>
            <w:noWrap w:val="false"/>
          </w:tcPr>
          <w:p>
            <w:pPr>
              <w:pStyle w:val="747"/>
              <w:tabs>
                <w:tab w:val="clear" w:pos="7143" w:leader="none"/>
                <w:tab w:val="clear" w:pos="14287" w:leader="none"/>
              </w:tabs>
              <w:rPr>
                <w:rFonts w:hint="eastAsia" w:ascii="宋体" w:hAnsi="宋体" w:cs="宋体"/>
                <w:bCs/>
                <w:color w:val="auto"/>
                <w:spacing w:val="20"/>
                <w:sz w:val="24"/>
                <w:szCs w:val="24"/>
                <w:highlight w:val="none"/>
              </w:rPr>
              <w:pBdr>
                <w:bottom w:val="none" w:color="auto" w:sz="0" w:space="0"/>
              </w:pBdr>
            </w:pPr>
            <w:r>
              <w:rPr>
                <w:rFonts w:hint="eastAsia" w:ascii="宋体" w:hAnsi="宋体" w:cs="宋体"/>
                <w:bCs/>
                <w:color w:val="auto"/>
                <w:spacing w:val="20"/>
                <w:sz w:val="24"/>
                <w:szCs w:val="24"/>
                <w:highlight w:val="none"/>
              </w:rPr>
              <w:t xml:space="preserve">偏离说明</w:t>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jc w:val="center"/>
        </w:trPr>
        <w:tc>
          <w:tcPr>
            <w:tcW w:w="828" w:type="dxa"/>
            <w:vAlign w:val="top"/>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087"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409"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255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872" w:type="dxa"/>
            <w:vAlign w:val="center"/>
            <w:textDirection w:val="lrTb"/>
            <w:noWrap w:val="false"/>
          </w:tcPr>
          <w:p>
            <w:pPr>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ind w:firstLine="480"/>
        <w:spacing w:line="360" w:lineRule="auto"/>
        <w:tabs>
          <w:tab w:val="left" w:pos="1401" w:leader="none"/>
        </w:tabs>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480"/>
        <w:spacing w:line="360" w:lineRule="auto"/>
        <w:tabs>
          <w:tab w:val="left" w:pos="1401" w:leader="none"/>
        </w:tabs>
        <w:rPr>
          <w:rFonts w:ascii="宋体" w:hAnsi="宋体"/>
          <w:bCs/>
          <w:color w:val="auto"/>
          <w:szCs w:val="21"/>
          <w:highlight w:val="none"/>
        </w:rPr>
      </w:pPr>
      <w:r>
        <w:rPr>
          <w:rFonts w:hint="eastAsia" w:ascii="宋体" w:hAnsi="宋体"/>
          <w:bCs/>
          <w:color w:val="auto"/>
          <w:sz w:val="24"/>
          <w:szCs w:val="21"/>
          <w:highlight w:val="none"/>
        </w:rPr>
        <w:t xml:space="preserve">注：投标供应商根据招标文件“三．项目技术要求和有关说明”</w:t>
      </w:r>
      <w:r>
        <w:rPr>
          <w:rFonts w:hint="eastAsia" w:ascii="宋体" w:hAnsi="宋体"/>
          <w:bCs/>
          <w:color w:val="auto"/>
          <w:sz w:val="24"/>
          <w:szCs w:val="21"/>
          <w:highlight w:val="none"/>
          <w:lang w:val="en-US" w:eastAsia="zh-CN"/>
        </w:rPr>
        <w:t xml:space="preserve">中技术参数要求</w:t>
      </w:r>
      <w:r>
        <w:rPr>
          <w:rFonts w:hint="eastAsia" w:ascii="宋体" w:hAnsi="宋体"/>
          <w:bCs/>
          <w:color w:val="auto"/>
          <w:sz w:val="24"/>
          <w:szCs w:val="21"/>
          <w:highlight w:val="none"/>
        </w:rPr>
        <w:t xml:space="preserve">填写</w:t>
      </w:r>
      <w:r>
        <w:rPr>
          <w:rFonts w:hint="eastAsia" w:ascii="宋体" w:hAnsi="宋体"/>
          <w:bCs/>
          <w:color w:val="auto"/>
          <w:sz w:val="24"/>
          <w:szCs w:val="21"/>
          <w:highlight w:val="none"/>
          <w:lang w:val="en-US" w:eastAsia="zh-CN"/>
        </w:rPr>
        <w:t xml:space="preserve">本表。</w:t>
      </w:r>
      <w:r>
        <w:rPr>
          <w:rFonts w:hint="eastAsia" w:ascii="宋体" w:hAnsi="宋体"/>
          <w:bCs/>
          <w:color w:val="auto"/>
          <w:sz w:val="24"/>
          <w:szCs w:val="21"/>
          <w:highlight w:val="none"/>
        </w:rPr>
        <w:t xml:space="preserve">如需要可自行延长，无偏离内容不须赘述。未在上表中说明的，将被认为完全响应招标文件的规定。</w:t>
      </w:r>
      <w:r/>
    </w:p>
    <w:p>
      <w:pPr>
        <w:ind w:firstLine="480"/>
        <w:spacing w:line="48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64"/>
        <w:rPr>
          <w:rFonts w:hint="eastAsia"/>
          <w:color w:val="auto"/>
          <w:highlight w:val="none"/>
        </w:rPr>
      </w:pPr>
      <w:r>
        <w:rPr>
          <w:rFonts w:hint="eastAsia"/>
          <w:color w:val="auto"/>
          <w:highlight w:val="none"/>
        </w:rPr>
      </w:r>
      <w:r/>
    </w:p>
    <w:p>
      <w:pPr>
        <w:ind w:firstLine="420"/>
        <w:rPr>
          <w:rFonts w:eastAsia="黑体"/>
          <w:bCs/>
          <w:color w:val="auto"/>
          <w:sz w:val="24"/>
          <w:szCs w:val="24"/>
          <w:highlight w:val="none"/>
        </w:rPr>
      </w:pPr>
      <w:r>
        <w:rPr>
          <w:rFonts w:ascii="宋体" w:hAnsi="宋体"/>
          <w:bCs/>
          <w:color w:val="auto"/>
          <w:szCs w:val="21"/>
          <w:highlight w:val="none"/>
        </w:rPr>
        <w:br w:type="page" w:clear="all"/>
      </w: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）项目组人员配备计划表</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格式</w:t>
      </w:r>
      <w:r>
        <w:rPr>
          <w:rFonts w:hint="eastAsia" w:eastAsia="黑体"/>
          <w:bCs/>
          <w:color w:val="auto"/>
          <w:sz w:val="24"/>
          <w:szCs w:val="24"/>
          <w:highlight w:val="none"/>
          <w:lang w:eastAsia="zh-CN"/>
        </w:rPr>
        <w:t xml:space="preserve">）</w:t>
      </w:r>
      <w:r/>
    </w:p>
    <w:p>
      <w:pPr>
        <w:jc w:val="center"/>
        <w:rPr>
          <w:bCs/>
          <w:color w:val="auto"/>
          <w:sz w:val="24"/>
          <w:szCs w:val="24"/>
          <w:highlight w:val="none"/>
        </w:rPr>
      </w:pPr>
      <w:r>
        <w:rPr>
          <w:bCs/>
          <w:color w:val="auto"/>
          <w:sz w:val="24"/>
          <w:szCs w:val="24"/>
          <w:highlight w:val="none"/>
        </w:rPr>
      </w:r>
      <w:r/>
    </w:p>
    <w:p>
      <w:pPr>
        <w:pStyle w:val="969"/>
        <w:ind w:firstLine="240"/>
        <w:jc w:val="center"/>
        <w:rPr>
          <w:color w:val="auto"/>
          <w:highlight w:val="none"/>
        </w:rPr>
      </w:pPr>
      <w:r>
        <w:rPr>
          <w:bCs/>
          <w:color w:val="auto"/>
          <w:sz w:val="24"/>
          <w:szCs w:val="24"/>
          <w:highlight w:val="none"/>
        </w:rPr>
        <w:t xml:space="preserve">项目组人员配备计划表</w:t>
      </w:r>
      <w:r/>
    </w:p>
    <w:p>
      <w:pPr>
        <w:spacing w:line="360" w:lineRule="auto"/>
        <w:rPr>
          <w:bCs/>
          <w:color w:val="auto"/>
          <w:szCs w:val="21"/>
          <w:highlight w:val="none"/>
        </w:rPr>
      </w:pPr>
      <w:r>
        <w:rPr>
          <w:bCs/>
          <w:color w:val="auto"/>
          <w:sz w:val="24"/>
          <w:szCs w:val="24"/>
          <w:highlight w:val="none"/>
        </w:rPr>
        <w:t xml:space="preserve">供应商名称（盖章）                                       项目编号： </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序号</w:t>
            </w:r>
            <w:r/>
          </w:p>
        </w:tc>
        <w:tc>
          <w:tcPr>
            <w:tcW w:w="1047"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姓名</w:t>
            </w:r>
            <w:r/>
          </w:p>
        </w:tc>
        <w:tc>
          <w:tcPr>
            <w:tcW w:w="730"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性别</w:t>
            </w:r>
            <w:r/>
          </w:p>
        </w:tc>
        <w:tc>
          <w:tcPr>
            <w:tcW w:w="709"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年龄</w:t>
            </w:r>
            <w:r/>
          </w:p>
        </w:tc>
        <w:tc>
          <w:tcPr>
            <w:tcW w:w="1477"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岗位名称</w:t>
            </w:r>
            <w:r/>
          </w:p>
        </w:tc>
        <w:tc>
          <w:tcPr>
            <w:tcW w:w="1236"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学历</w:t>
            </w:r>
            <w:r/>
          </w:p>
        </w:tc>
        <w:tc>
          <w:tcPr>
            <w:tcW w:w="1236"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职称</w:t>
            </w:r>
            <w:r/>
          </w:p>
        </w:tc>
        <w:tc>
          <w:tcPr>
            <w:tcW w:w="1857"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1</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57"/>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2</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63"/>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3</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41"/>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4</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503"/>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5</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6</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7</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65"/>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8</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50"/>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9</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47"/>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10</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 …</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bl>
    <w:p>
      <w:pPr>
        <w:spacing w:line="480" w:lineRule="auto"/>
        <w:rPr>
          <w:bCs/>
          <w:color w:val="auto"/>
          <w:sz w:val="24"/>
          <w:highlight w:val="none"/>
        </w:rPr>
      </w:pPr>
      <w:r>
        <w:rPr>
          <w:bCs/>
          <w:color w:val="auto"/>
          <w:sz w:val="24"/>
          <w:highlight w:val="none"/>
        </w:rPr>
        <w:t xml:space="preserve">法定代表人或法定代表人授权代表签字或盖章：</w:t>
      </w:r>
      <w:r/>
    </w:p>
    <w:p>
      <w:pPr>
        <w:spacing w:line="480" w:lineRule="auto"/>
        <w:rPr>
          <w:bCs/>
          <w:color w:val="auto"/>
          <w:sz w:val="24"/>
          <w:highlight w:val="none"/>
        </w:rPr>
      </w:pPr>
      <w:r>
        <w:rPr>
          <w:bCs/>
          <w:color w:val="auto"/>
          <w:sz w:val="24"/>
          <w:highlight w:val="none"/>
        </w:rPr>
      </w:r>
      <w:r/>
    </w:p>
    <w:p>
      <w:pPr>
        <w:rPr>
          <w:bCs/>
          <w:color w:val="auto"/>
          <w:szCs w:val="21"/>
          <w:highlight w:val="none"/>
        </w:rPr>
      </w:pPr>
      <w:r>
        <w:rPr>
          <w:bCs/>
          <w:color w:val="auto"/>
          <w:szCs w:val="21"/>
          <w:highlight w:val="none"/>
        </w:rPr>
        <w:t xml:space="preserve">注：1、上表可自行延长。</w:t>
      </w:r>
      <w:r/>
    </w:p>
    <w:p>
      <w:pPr>
        <w:rPr>
          <w:rFonts w:hint="default" w:eastAsia="宋体"/>
          <w:bCs/>
          <w:color w:val="auto"/>
          <w:szCs w:val="21"/>
          <w:highlight w:val="none"/>
          <w:lang w:val="en-US" w:eastAsia="zh-CN"/>
        </w:rPr>
      </w:pPr>
      <w:r>
        <w:rPr>
          <w:rFonts w:hint="eastAsia"/>
          <w:bCs/>
          <w:color w:val="auto"/>
          <w:szCs w:val="21"/>
          <w:highlight w:val="none"/>
          <w:lang w:val="en-US" w:eastAsia="zh-CN"/>
        </w:rPr>
        <w:t xml:space="preserve">2、请附身份证、相关证书（如有）</w:t>
      </w:r>
      <w:r/>
    </w:p>
    <w:p>
      <w:pPr>
        <w:rPr>
          <w:bCs/>
          <w:color w:val="auto"/>
          <w:szCs w:val="21"/>
          <w:highlight w:val="none"/>
        </w:rPr>
      </w:pPr>
      <w:r>
        <w:rPr>
          <w:bCs/>
          <w:color w:val="auto"/>
          <w:szCs w:val="21"/>
          <w:highlight w:val="none"/>
        </w:rPr>
        <w:br w:type="page" w:clear="all"/>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二</w:t>
      </w:r>
      <w:r>
        <w:rPr>
          <w:rFonts w:hint="eastAsia" w:ascii="黑体" w:hAnsi="宋体" w:eastAsia="黑体"/>
          <w:bCs/>
          <w:color w:val="auto"/>
          <w:sz w:val="24"/>
          <w:szCs w:val="24"/>
          <w:highlight w:val="none"/>
        </w:rPr>
        <w:t xml:space="preserve">）售后服务承诺：</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sz w:val="24"/>
          <w:highlight w:val="none"/>
        </w:rPr>
      </w:pPr>
      <w:r>
        <w:rPr>
          <w:rFonts w:hint="eastAsia" w:ascii="宋体" w:hAnsi="宋体"/>
          <w:b/>
          <w:bCs/>
          <w:color w:val="auto"/>
          <w:sz w:val="30"/>
          <w:szCs w:val="30"/>
          <w:highlight w:val="none"/>
        </w:rPr>
        <w:t xml:space="preserve"> </w:t>
      </w:r>
      <w:r/>
    </w:p>
    <w:p>
      <w:pPr>
        <w:spacing w:line="320" w:lineRule="exact"/>
        <w:rPr>
          <w:color w:val="auto"/>
          <w:sz w:val="24"/>
          <w:highlight w:val="none"/>
        </w:rPr>
      </w:pPr>
      <w:r>
        <w:rPr>
          <w:rFonts w:hint="eastAsia"/>
          <w:color w:val="auto"/>
          <w:sz w:val="24"/>
          <w:highlight w:val="none"/>
        </w:rPr>
        <w:t xml:space="preserve">    投标供应商应提供至少以下内容：</w:t>
      </w:r>
      <w:r/>
    </w:p>
    <w:p>
      <w:pPr>
        <w:ind w:firstLine="480"/>
        <w:spacing w:line="320" w:lineRule="exact"/>
        <w:rPr>
          <w:color w:val="auto"/>
          <w:sz w:val="24"/>
          <w:highlight w:val="none"/>
        </w:rPr>
      </w:pPr>
      <w:r>
        <w:rPr>
          <w:rFonts w:hint="eastAsia"/>
          <w:color w:val="auto"/>
          <w:sz w:val="24"/>
          <w:highlight w:val="none"/>
        </w:rPr>
        <w:t xml:space="preserve">1、投标供应商应提供在本项目下售后服务的方法、费用、联系方式、服务内容等。</w:t>
      </w:r>
      <w:r/>
    </w:p>
    <w:p>
      <w:pPr>
        <w:ind w:firstLine="480"/>
        <w:spacing w:line="320" w:lineRule="exact"/>
        <w:rPr>
          <w:color w:val="auto"/>
          <w:sz w:val="24"/>
          <w:highlight w:val="none"/>
        </w:rPr>
      </w:pPr>
      <w:r>
        <w:rPr>
          <w:rFonts w:hint="eastAsia"/>
          <w:color w:val="auto"/>
          <w:sz w:val="24"/>
          <w:highlight w:val="none"/>
        </w:rPr>
        <w:t xml:space="preserve">2、售后服务维修点的详细地址、联系人、联系电话</w:t>
      </w:r>
      <w:r/>
    </w:p>
    <w:p>
      <w:pPr>
        <w:ind w:firstLine="480"/>
        <w:spacing w:line="320" w:lineRule="exact"/>
        <w:rPr>
          <w:color w:val="auto"/>
          <w:sz w:val="24"/>
          <w:highlight w:val="none"/>
        </w:rPr>
      </w:pPr>
      <w:r>
        <w:rPr>
          <w:rFonts w:hint="eastAsia"/>
          <w:color w:val="auto"/>
          <w:sz w:val="24"/>
          <w:highlight w:val="none"/>
        </w:rPr>
        <w:t xml:space="preserve">3、投标供应商承诺具体优惠服务条款、内容</w:t>
      </w:r>
      <w:r/>
    </w:p>
    <w:p>
      <w:pPr>
        <w:spacing w:line="320" w:lineRule="exact"/>
        <w:rPr>
          <w:color w:val="auto"/>
          <w:sz w:val="24"/>
          <w:highlight w:val="none"/>
        </w:rPr>
      </w:pPr>
      <w:r>
        <w:rPr>
          <w:color w:val="auto"/>
          <w:sz w:val="24"/>
          <w:highlight w:val="none"/>
        </w:rPr>
      </w:r>
      <w:r/>
    </w:p>
    <w:p>
      <w:pPr>
        <w:spacing w:line="320" w:lineRule="exact"/>
        <w:rPr>
          <w:color w:val="auto"/>
          <w:sz w:val="24"/>
          <w:highlight w:val="none"/>
        </w:rPr>
      </w:pPr>
      <w:r>
        <w:rPr>
          <w:color w:val="auto"/>
          <w:sz w:val="24"/>
          <w:highlight w:val="none"/>
        </w:rPr>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地址</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联系人</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联系电话</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bl>
    <w:p>
      <w:pPr>
        <w:rPr>
          <w:color w:val="auto"/>
          <w:sz w:val="24"/>
          <w:highlight w:val="none"/>
        </w:rPr>
      </w:pPr>
      <w:r>
        <w:rPr>
          <w:rFonts w:hint="eastAsia"/>
          <w:color w:val="auto"/>
          <w:sz w:val="24"/>
          <w:highlight w:val="none"/>
        </w:rPr>
        <w:t xml:space="preserve"> </w:t>
      </w:r>
      <w:r/>
    </w:p>
    <w:p>
      <w:pPr>
        <w:ind w:firstLine="480"/>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firstLine="480"/>
        <w:spacing w:line="480" w:lineRule="auto"/>
        <w:rPr>
          <w:rFonts w:hint="eastAsia" w:ascii="宋体" w:hAnsi="宋体"/>
          <w:bCs/>
          <w:color w:val="auto"/>
          <w:szCs w:val="21"/>
          <w:highlight w:val="none"/>
        </w:rPr>
      </w:pPr>
      <w:r>
        <w:rPr>
          <w:rFonts w:hint="eastAsia" w:ascii="宋体" w:hAnsi="宋体"/>
          <w:color w:val="auto"/>
          <w:sz w:val="24"/>
          <w:highlight w:val="none"/>
        </w:rPr>
        <w:t xml:space="preserve">法定代表人或法定代表人授权代表签字或盖章：</w:t>
      </w:r>
      <w:r/>
    </w:p>
    <w:p>
      <w:pPr>
        <w:jc w:val="both"/>
        <w:rPr>
          <w:rFonts w:hint="eastAsia"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黑体" w:eastAsia="黑体" w:cs="黑体"/>
          <w:bCs/>
          <w:color w:val="auto"/>
          <w:sz w:val="24"/>
          <w:szCs w:val="24"/>
          <w:highlight w:val="none"/>
        </w:rPr>
        <w:t xml:space="preserve">（十</w:t>
      </w:r>
      <w:r>
        <w:rPr>
          <w:rFonts w:hint="eastAsia" w:ascii="黑体" w:hAnsi="黑体" w:eastAsia="黑体" w:cs="黑体"/>
          <w:bCs/>
          <w:color w:val="auto"/>
          <w:sz w:val="24"/>
          <w:szCs w:val="24"/>
          <w:highlight w:val="none"/>
          <w:lang w:val="en-US" w:eastAsia="zh-CN"/>
        </w:rPr>
        <w:t xml:space="preserve">三</w:t>
      </w:r>
      <w:r>
        <w:rPr>
          <w:rFonts w:hint="eastAsia" w:ascii="黑体" w:hAnsi="黑体" w:eastAsia="黑体" w:cs="黑体"/>
          <w:bCs/>
          <w:color w:val="auto"/>
          <w:sz w:val="24"/>
          <w:szCs w:val="24"/>
          <w:highlight w:val="none"/>
        </w:rPr>
        <w:t xml:space="preserve">）</w:t>
      </w:r>
      <w:r>
        <w:rPr>
          <w:rFonts w:hint="eastAsia" w:ascii="黑体" w:hAnsi="宋体" w:eastAsia="黑体"/>
          <w:bCs/>
          <w:color w:val="auto"/>
          <w:sz w:val="24"/>
          <w:szCs w:val="24"/>
          <w:highlight w:val="none"/>
        </w:rPr>
        <w:t xml:space="preserve">投标人基本情况声明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961"/>
        <w:ind w:firstLine="480"/>
        <w:rPr>
          <w:rFonts w:hint="eastAsia" w:ascii="宋体" w:hAnsi="宋体"/>
          <w:color w:val="auto"/>
          <w:sz w:val="24"/>
          <w:highlight w:val="none"/>
        </w:rPr>
      </w:pPr>
      <w:r>
        <w:rPr>
          <w:rFonts w:hint="eastAsia" w:ascii="宋体" w:hAnsi="宋体"/>
          <w:color w:val="auto"/>
          <w:sz w:val="24"/>
          <w:highlight w:val="none"/>
        </w:rPr>
        <w:t xml:space="preserve">投标人情况表1</w:t>
      </w:r>
      <w:r/>
    </w:p>
    <w:p>
      <w:pPr>
        <w:pStyle w:val="961"/>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33"/>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961"/>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961"/>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2023年12月资产总额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6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6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2023年12月股东权益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6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2023</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6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2023年实现利润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6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6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961"/>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hint="eastAsia" w:ascii="宋体" w:hAnsi="宋体"/>
          <w:bCs/>
          <w:color w:val="auto"/>
          <w:szCs w:val="21"/>
          <w:highlight w:val="none"/>
        </w:rPr>
        <w:sectPr>
          <w:headerReference w:type="default" r:id="rId10"/>
          <w:footerReference w:type="default" r:id="rId11"/>
          <w:footnotePr/>
          <w:endnotePr/>
          <w:type w:val="nextPage"/>
          <w:pgSz w:w="11906" w:h="16838" w:orient="portrait"/>
          <w:pgMar w:top="567" w:right="851" w:bottom="567" w:left="1134" w:header="624" w:footer="907" w:gutter="0"/>
          <w:cols w:num="1" w:sep="0" w:space="1701" w:equalWidth="1"/>
          <w:docGrid w:linePitch="360"/>
        </w:sectPr>
      </w:pPr>
      <w:r>
        <w:rPr>
          <w:rFonts w:hint="eastAsia" w:ascii="宋体" w:hAnsi="宋体"/>
          <w:color w:val="auto"/>
          <w:sz w:val="24"/>
          <w:highlight w:val="none"/>
        </w:rPr>
        <w:t xml:space="preserve">法定代表人或授权代表签字或盖章：</w:t>
      </w:r>
      <w:r/>
    </w:p>
    <w:p>
      <w:pPr>
        <w:ind w:firstLine="480"/>
        <w:spacing w:line="360" w:lineRule="auto"/>
        <w:rPr>
          <w:rFonts w:hint="eastAsia" w:ascii="宋体" w:hAnsi="宋体" w:cs="宋体"/>
          <w:bCs/>
          <w:color w:val="auto"/>
          <w:sz w:val="24"/>
          <w:szCs w:val="24"/>
          <w:highlight w:val="none"/>
        </w:rPr>
      </w:pPr>
      <w:r>
        <w:rPr>
          <w:rFonts w:hint="eastAsia" w:ascii="黑体" w:hAnsi="黑体" w:eastAsia="黑体" w:cs="黑体"/>
          <w:bCs/>
          <w:color w:val="auto"/>
          <w:szCs w:val="21"/>
          <w:highlight w:val="none"/>
        </w:rPr>
        <w:t xml:space="preserve">（十</w:t>
      </w:r>
      <w:r>
        <w:rPr>
          <w:rFonts w:hint="eastAsia" w:ascii="黑体" w:hAnsi="黑体" w:eastAsia="黑体" w:cs="黑体"/>
          <w:bCs/>
          <w:color w:val="auto"/>
          <w:szCs w:val="21"/>
          <w:highlight w:val="none"/>
          <w:lang w:val="en-US" w:eastAsia="zh-CN"/>
        </w:rPr>
        <w:t xml:space="preserve">四</w:t>
      </w:r>
      <w:r>
        <w:rPr>
          <w:rFonts w:hint="eastAsia" w:ascii="黑体" w:hAnsi="黑体" w:eastAsia="黑体" w:cs="黑体"/>
          <w:bCs/>
          <w:color w:val="auto"/>
          <w:szCs w:val="21"/>
          <w:highlight w:val="none"/>
        </w:rPr>
        <w:t xml:space="preserve">）</w:t>
      </w:r>
      <w:r>
        <w:rPr>
          <w:rFonts w:hint="eastAsia" w:ascii="黑体" w:hAnsi="黑体" w:eastAsia="黑体" w:cs="黑体"/>
          <w:bCs/>
          <w:color w:val="auto"/>
          <w:sz w:val="24"/>
          <w:szCs w:val="24"/>
          <w:highlight w:val="none"/>
        </w:rPr>
        <w:t xml:space="preserve">技术方案（格式自拟</w:t>
      </w:r>
      <w:r>
        <w:rPr>
          <w:rFonts w:hint="eastAsia" w:ascii="宋体" w:hAnsi="宋体" w:cs="宋体"/>
          <w:bCs/>
          <w:color w:val="auto"/>
          <w:sz w:val="24"/>
          <w:szCs w:val="24"/>
          <w:highlight w:val="none"/>
        </w:rPr>
        <w:t xml:space="preserve">）</w:t>
      </w:r>
      <w:r/>
    </w:p>
    <w:p>
      <w:pPr>
        <w:ind w:firstLine="48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技术方案</w:t>
      </w:r>
      <w:r/>
    </w:p>
    <w:p>
      <w:pPr>
        <w:pStyle w:val="1016"/>
        <w:ind w:firstLine="0"/>
        <w:rPr>
          <w:color w:val="auto"/>
          <w:sz w:val="24"/>
          <w:highlight w:val="none"/>
        </w:rPr>
      </w:pPr>
      <w:r>
        <w:rPr>
          <w:rFonts w:hint="eastAsia" w:ascii="宋体" w:hAnsi="宋体" w:cs="宋体"/>
          <w:color w:val="auto"/>
          <w:sz w:val="24"/>
          <w:highlight w:val="none"/>
        </w:rPr>
        <w:t xml:space="preserve">投标供应商应按评分点编制完整的服务方案，以便评审</w:t>
      </w:r>
      <w:r>
        <w:rPr>
          <w:color w:val="auto"/>
          <w:sz w:val="24"/>
          <w:highlight w:val="none"/>
        </w:rPr>
        <w:t xml:space="preserve">。</w:t>
      </w:r>
      <w:r/>
    </w:p>
    <w:p>
      <w:pPr>
        <w:pStyle w:val="1016"/>
        <w:ind w:firstLine="0"/>
        <w:rPr>
          <w:color w:val="auto"/>
          <w:sz w:val="24"/>
          <w:highlight w:val="none"/>
        </w:rPr>
      </w:pPr>
      <w:r>
        <w:rPr>
          <w:color w:val="auto"/>
          <w:sz w:val="24"/>
          <w:highlight w:val="none"/>
        </w:rPr>
      </w:r>
      <w:r/>
    </w:p>
    <w:p>
      <w:pPr>
        <w:pStyle w:val="1015"/>
        <w:ind w:firstLine="0"/>
        <w:rPr>
          <w:rFonts w:hint="eastAsia" w:ascii="宋体" w:hAnsi="宋体"/>
          <w:bCs/>
          <w:color w:val="auto"/>
          <w:sz w:val="24"/>
          <w:szCs w:val="24"/>
          <w:highlight w:val="none"/>
        </w:rPr>
      </w:pPr>
      <w:r>
        <w:rPr>
          <w:b/>
          <w:bCs/>
          <w:color w:val="auto"/>
          <w:sz w:val="24"/>
          <w:highlight w:val="none"/>
        </w:rPr>
        <w:t xml:space="preserve">（格式自拟）</w:t>
      </w:r>
      <w:bookmarkEnd w:id="4"/>
      <w:r/>
    </w:p>
    <w:sectPr>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6"/>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right" w:pos="9921" w:leader="none"/>
      </w:tabs>
    </w:pPr>
    <w:r>
      <w:rPr>
        <w:rFonts w:hint="eastAsia" w:ascii="宋体" w:hAnsi="宋体"/>
        <w:lang w:eastAsia="zh-CN"/>
      </w:rPr>
      <w:t xml:space="preserve">JSZC-320211-JSZH-G2024-0146</w:t>
    </w:r>
    <w:r>
      <w:rPr>
        <w:rFonts w:ascii="宋体" w:hAnsi="宋体"/>
      </w:rPr>
      <w:t xml:space="preserve">         </w:t>
    </w:r>
    <w:r>
      <w:rPr>
        <w:rFonts w:hint="eastAsia" w:ascii="宋体" w:hAnsi="宋体"/>
      </w:rPr>
      <w:t xml:space="preserve">                   </w:t>
    </w:r>
    <w:r>
      <w:rPr>
        <w:rFonts w:hint="eastAsia" w:ascii="宋体" w:hAnsi="宋体"/>
        <w:lang w:eastAsia="zh-CN"/>
      </w:rPr>
      <w:t xml:space="preserve">长广溪湿地公园生物多样性观测站建设项目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right" w:pos="9921" w:leader="none"/>
      </w:tabs>
    </w:pPr>
    <w:r>
      <w:rPr>
        <w:rFonts w:hint="eastAsia" w:ascii="宋体" w:hAnsi="宋体"/>
        <w:lang w:eastAsia="zh-CN"/>
      </w:rPr>
      <w:t xml:space="preserve">JSZC-320211-JSZH-G2024-0146</w:t>
    </w:r>
    <w:r>
      <w:rPr>
        <w:rFonts w:ascii="宋体" w:hAnsi="宋体"/>
      </w:rPr>
      <w:t xml:space="preserve">         </w:t>
    </w:r>
    <w:r>
      <w:rPr>
        <w:rFonts w:hint="eastAsia" w:ascii="宋体" w:hAnsi="宋体"/>
      </w:rPr>
      <w:t xml:space="preserve">                      </w:t>
    </w:r>
    <w:r>
      <w:rPr>
        <w:rFonts w:hint="eastAsia" w:ascii="宋体" w:hAnsi="宋体"/>
        <w:lang w:eastAsia="zh-CN"/>
      </w:rPr>
      <w:t xml:space="preserve">长广溪湿地公园生物多样性观测站建设项目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98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95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9">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spacing w:line="360" w:lineRule="auto"/>
      <w:widowControl w:val="off"/>
    </w:pPr>
    <w:rPr>
      <w:rFonts w:hint="default" w:ascii="Times New Roman" w:hAnsi="Times New Roman" w:eastAsia="宋体" w:cs="Times New Roman"/>
      <w:sz w:val="24"/>
      <w:lang w:val="en-US" w:eastAsia="zh-CN" w:bidi="ar-SA"/>
    </w:rPr>
  </w:style>
  <w:style w:type="paragraph" w:styleId="723">
    <w:name w:val="Heading 1"/>
    <w:basedOn w:val="722"/>
    <w:next w:val="722"/>
    <w:link w:val="80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803"/>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804"/>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805"/>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06"/>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807"/>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809"/>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10"/>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Normal Indent"/>
    <w:basedOn w:val="722"/>
    <w:next w:val="722"/>
    <w:uiPriority w:val="99"/>
    <w:unhideWhenUsed/>
    <w:qFormat/>
    <w:pPr>
      <w:ind w:firstLine="420"/>
    </w:pPr>
  </w:style>
  <w:style w:type="paragraph" w:styleId="736">
    <w:name w:val="Caption"/>
    <w:basedOn w:val="722"/>
    <w:next w:val="722"/>
    <w:uiPriority w:val="35"/>
    <w:semiHidden/>
    <w:unhideWhenUsed/>
    <w:qFormat/>
    <w:pPr>
      <w:spacing w:line="276" w:lineRule="auto"/>
    </w:pPr>
    <w:rPr>
      <w:b/>
      <w:bCs/>
      <w:color w:val="4f81bd"/>
      <w:sz w:val="18"/>
      <w:szCs w:val="18"/>
    </w:rPr>
  </w:style>
  <w:style w:type="paragraph" w:styleId="737">
    <w:name w:val="annotation text"/>
    <w:basedOn w:val="722"/>
    <w:uiPriority w:val="99"/>
    <w:semiHidden/>
    <w:unhideWhenUsed/>
    <w:qFormat/>
    <w:pPr>
      <w:jc w:val="left"/>
    </w:pPr>
  </w:style>
  <w:style w:type="paragraph" w:styleId="738">
    <w:name w:val="Body Text"/>
    <w:basedOn w:val="722"/>
    <w:next w:val="739"/>
    <w:uiPriority w:val="0"/>
    <w:qFormat/>
    <w:pPr>
      <w:spacing w:after="120" w:afterAutospacing="0"/>
    </w:pPr>
  </w:style>
  <w:style w:type="paragraph" w:styleId="739">
    <w:name w:val="Body Text First Indent"/>
    <w:basedOn w:val="738"/>
    <w:next w:val="735"/>
    <w:uiPriority w:val="0"/>
    <w:unhideWhenUsed/>
    <w:qFormat/>
    <w:pPr>
      <w:ind w:firstLine="420"/>
      <w:spacing w:after="120"/>
    </w:pPr>
    <w:rPr>
      <w:rFonts w:ascii="Times New Roman" w:eastAsia="宋体"/>
      <w:sz w:val="20"/>
      <w:lang w:val="en-US" w:bidi="mn-Mong-CN"/>
    </w:rPr>
  </w:style>
  <w:style w:type="paragraph" w:styleId="740">
    <w:name w:val="Body Text Indent"/>
    <w:basedOn w:val="722"/>
    <w:next w:val="741"/>
    <w:uiPriority w:val="0"/>
    <w:qFormat/>
    <w:pPr>
      <w:ind w:left="570"/>
      <w:spacing w:line="520" w:lineRule="exact"/>
    </w:pPr>
    <w:rPr>
      <w:rFonts w:ascii="方正仿宋简体" w:hAnsi="创艺简仿宋" w:eastAsia="方正仿宋简体"/>
    </w:rPr>
  </w:style>
  <w:style w:type="paragraph" w:styleId="741">
    <w:name w:val="envelope return"/>
    <w:basedOn w:val="722"/>
    <w:uiPriority w:val="0"/>
    <w:qFormat/>
    <w:rPr>
      <w:rFonts w:ascii="Arial" w:hAnsi="Arial"/>
    </w:rPr>
  </w:style>
  <w:style w:type="paragraph" w:styleId="742">
    <w:name w:val="toc 5"/>
    <w:basedOn w:val="722"/>
    <w:next w:val="722"/>
    <w:uiPriority w:val="39"/>
    <w:unhideWhenUsed/>
    <w:qFormat/>
    <w:pPr>
      <w:ind w:left="1134"/>
      <w:spacing w:after="57"/>
    </w:pPr>
  </w:style>
  <w:style w:type="paragraph" w:styleId="743">
    <w:name w:val="toc 3"/>
    <w:basedOn w:val="722"/>
    <w:next w:val="722"/>
    <w:uiPriority w:val="39"/>
    <w:unhideWhenUsed/>
    <w:qFormat/>
    <w:pPr>
      <w:ind w:left="567"/>
      <w:spacing w:after="57"/>
    </w:pPr>
  </w:style>
  <w:style w:type="paragraph" w:styleId="744">
    <w:name w:val="toc 8"/>
    <w:basedOn w:val="722"/>
    <w:next w:val="722"/>
    <w:uiPriority w:val="39"/>
    <w:unhideWhenUsed/>
    <w:qFormat/>
    <w:pPr>
      <w:ind w:left="1984"/>
      <w:spacing w:after="57"/>
    </w:pPr>
  </w:style>
  <w:style w:type="paragraph" w:styleId="745">
    <w:name w:val="endnote text"/>
    <w:basedOn w:val="722"/>
    <w:link w:val="947"/>
    <w:uiPriority w:val="99"/>
    <w:semiHidden/>
    <w:unhideWhenUsed/>
    <w:qFormat/>
    <w:rPr>
      <w:sz w:val="20"/>
    </w:rPr>
  </w:style>
  <w:style w:type="paragraph" w:styleId="746">
    <w:name w:val="Footer"/>
    <w:basedOn w:val="722"/>
    <w:link w:val="820"/>
    <w:uiPriority w:val="99"/>
    <w:unhideWhenUsed/>
    <w:qFormat/>
    <w:pPr>
      <w:tabs>
        <w:tab w:val="center" w:pos="7143" w:leader="none"/>
        <w:tab w:val="right" w:pos="14287" w:leader="none"/>
      </w:tabs>
    </w:pPr>
  </w:style>
  <w:style w:type="paragraph" w:styleId="747">
    <w:name w:val="Header"/>
    <w:basedOn w:val="722"/>
    <w:link w:val="818"/>
    <w:uiPriority w:val="99"/>
    <w:unhideWhenUsed/>
    <w:qFormat/>
    <w:pPr>
      <w:tabs>
        <w:tab w:val="center" w:pos="7143" w:leader="none"/>
        <w:tab w:val="right" w:pos="14287" w:leader="none"/>
      </w:tabs>
    </w:pPr>
  </w:style>
  <w:style w:type="paragraph" w:styleId="748">
    <w:name w:val="toc 1"/>
    <w:basedOn w:val="722"/>
    <w:next w:val="722"/>
    <w:uiPriority w:val="39"/>
    <w:unhideWhenUsed/>
    <w:qFormat/>
    <w:pPr>
      <w:spacing w:after="57"/>
    </w:pPr>
  </w:style>
  <w:style w:type="paragraph" w:styleId="749">
    <w:name w:val="toc 4"/>
    <w:basedOn w:val="722"/>
    <w:next w:val="722"/>
    <w:uiPriority w:val="39"/>
    <w:unhideWhenUsed/>
    <w:qFormat/>
    <w:pPr>
      <w:ind w:left="850"/>
      <w:spacing w:after="57"/>
    </w:pPr>
  </w:style>
  <w:style w:type="paragraph" w:styleId="750">
    <w:name w:val="Subtitle"/>
    <w:basedOn w:val="722"/>
    <w:next w:val="722"/>
    <w:link w:val="813"/>
    <w:uiPriority w:val="11"/>
    <w:qFormat/>
    <w:pPr>
      <w:spacing w:before="200" w:after="200"/>
    </w:pPr>
    <w:rPr>
      <w:sz w:val="24"/>
      <w:szCs w:val="24"/>
    </w:rPr>
  </w:style>
  <w:style w:type="paragraph" w:styleId="751">
    <w:name w:val="footnote text"/>
    <w:basedOn w:val="722"/>
    <w:link w:val="946"/>
    <w:uiPriority w:val="99"/>
    <w:semiHidden/>
    <w:unhideWhenUsed/>
    <w:qFormat/>
    <w:pPr>
      <w:spacing w:after="40"/>
    </w:pPr>
    <w:rPr>
      <w:sz w:val="18"/>
    </w:rPr>
  </w:style>
  <w:style w:type="paragraph" w:styleId="752">
    <w:name w:val="toc 6"/>
    <w:basedOn w:val="722"/>
    <w:next w:val="722"/>
    <w:uiPriority w:val="39"/>
    <w:unhideWhenUsed/>
    <w:qFormat/>
    <w:pPr>
      <w:ind w:left="1417"/>
      <w:spacing w:after="57"/>
    </w:pPr>
  </w:style>
  <w:style w:type="paragraph" w:styleId="753">
    <w:name w:val="table of figures"/>
    <w:basedOn w:val="722"/>
    <w:next w:val="722"/>
    <w:uiPriority w:val="99"/>
    <w:unhideWhenUsed/>
    <w:qFormat/>
  </w:style>
  <w:style w:type="paragraph" w:styleId="754">
    <w:name w:val="toc 2"/>
    <w:basedOn w:val="722"/>
    <w:next w:val="722"/>
    <w:uiPriority w:val="39"/>
    <w:unhideWhenUsed/>
    <w:qFormat/>
    <w:pPr>
      <w:ind w:left="283"/>
      <w:spacing w:after="57"/>
    </w:pPr>
  </w:style>
  <w:style w:type="paragraph" w:styleId="755">
    <w:name w:val="toc 9"/>
    <w:basedOn w:val="722"/>
    <w:next w:val="722"/>
    <w:uiPriority w:val="39"/>
    <w:unhideWhenUsed/>
    <w:qFormat/>
    <w:pPr>
      <w:ind w:left="2268"/>
      <w:spacing w:after="57"/>
    </w:pPr>
  </w:style>
  <w:style w:type="paragraph" w:styleId="756">
    <w:name w:val="Normal (Web)"/>
    <w:basedOn w:val="722"/>
    <w:uiPriority w:val="0"/>
    <w:qFormat/>
    <w:pPr>
      <w:jc w:val="left"/>
      <w:spacing w:beforeAutospacing="1" w:afterAutospacing="1"/>
      <w:widowControl/>
    </w:pPr>
    <w:rPr>
      <w:rFonts w:ascii="宋体" w:hAnsi="宋体"/>
      <w:sz w:val="24"/>
      <w:szCs w:val="24"/>
    </w:rPr>
  </w:style>
  <w:style w:type="paragraph" w:styleId="757">
    <w:name w:val="Title"/>
    <w:basedOn w:val="722"/>
    <w:next w:val="722"/>
    <w:link w:val="812"/>
    <w:uiPriority w:val="10"/>
    <w:qFormat/>
    <w:pPr>
      <w:contextualSpacing/>
      <w:spacing w:before="300" w:after="200"/>
    </w:pPr>
    <w:rPr>
      <w:sz w:val="48"/>
      <w:szCs w:val="48"/>
    </w:rPr>
  </w:style>
  <w:style w:type="paragraph" w:styleId="758">
    <w:name w:val="Body Text First Indent 2"/>
    <w:basedOn w:val="740"/>
    <w:next w:val="722"/>
    <w:uiPriority w:val="0"/>
    <w:qFormat/>
    <w:pPr>
      <w:ind w:firstLine="420"/>
    </w:p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u w:val="single"/>
    </w:rPr>
  </w:style>
  <w:style w:type="character" w:styleId="762">
    <w:name w:val="footnote reference"/>
    <w:uiPriority w:val="99"/>
    <w:unhideWhenUsed/>
    <w:qFormat/>
    <w:rPr>
      <w:vertAlign w:val="superscript"/>
    </w:rPr>
  </w:style>
  <w:style w:type="paragraph" w:styleId="763" w:customStyle="1">
    <w:name w:val="列出段落1"/>
    <w:basedOn w:val="722"/>
    <w:uiPriority w:val="0"/>
    <w:qFormat/>
    <w:pPr>
      <w:ind w:firstLine="420"/>
    </w:pPr>
    <w:rPr>
      <w:szCs w:val="24"/>
    </w:rPr>
  </w:style>
  <w:style w:type="paragraph" w:styleId="764" w:customStyle="1">
    <w:name w:val="正文1"/>
    <w:basedOn w:val="722"/>
    <w:next w:val="722"/>
    <w:uiPriority w:val="0"/>
    <w:qFormat/>
    <w:pPr>
      <w:ind w:firstLine="200"/>
      <w:spacing w:line="360" w:lineRule="auto"/>
    </w:pPr>
    <w:rPr>
      <w:sz w:val="24"/>
    </w:rPr>
  </w:style>
  <w:style w:type="character" w:styleId="765" w:customStyle="1">
    <w:name w:val="Heading 1 Char"/>
    <w:basedOn w:val="732"/>
    <w:uiPriority w:val="9"/>
    <w:qFormat/>
    <w:rPr>
      <w:rFonts w:ascii="Arial" w:hAnsi="Arial" w:eastAsia="Arial" w:cs="Arial"/>
      <w:sz w:val="40"/>
      <w:szCs w:val="40"/>
    </w:rPr>
  </w:style>
  <w:style w:type="character" w:styleId="766" w:customStyle="1">
    <w:name w:val="Heading 2 Char"/>
    <w:basedOn w:val="732"/>
    <w:uiPriority w:val="9"/>
    <w:qFormat/>
    <w:rPr>
      <w:rFonts w:ascii="Arial" w:hAnsi="Arial" w:eastAsia="Arial" w:cs="Arial"/>
      <w:sz w:val="34"/>
    </w:rPr>
  </w:style>
  <w:style w:type="character" w:styleId="767" w:customStyle="1">
    <w:name w:val="Heading 3 Char"/>
    <w:basedOn w:val="732"/>
    <w:uiPriority w:val="9"/>
    <w:qFormat/>
    <w:rPr>
      <w:rFonts w:ascii="Arial" w:hAnsi="Arial" w:eastAsia="Arial" w:cs="Arial"/>
      <w:sz w:val="30"/>
      <w:szCs w:val="30"/>
    </w:rPr>
  </w:style>
  <w:style w:type="character" w:styleId="768" w:customStyle="1">
    <w:name w:val="Heading 4 Char"/>
    <w:basedOn w:val="732"/>
    <w:uiPriority w:val="9"/>
    <w:qFormat/>
    <w:rPr>
      <w:rFonts w:ascii="Arial" w:hAnsi="Arial" w:eastAsia="Arial" w:cs="Arial"/>
      <w:b/>
      <w:bCs/>
      <w:sz w:val="26"/>
      <w:szCs w:val="26"/>
    </w:rPr>
  </w:style>
  <w:style w:type="character" w:styleId="769" w:customStyle="1">
    <w:name w:val="Heading 5 Char"/>
    <w:basedOn w:val="732"/>
    <w:uiPriority w:val="9"/>
    <w:qFormat/>
    <w:rPr>
      <w:rFonts w:ascii="Arial" w:hAnsi="Arial" w:eastAsia="Arial" w:cs="Arial"/>
      <w:b/>
      <w:bCs/>
      <w:sz w:val="24"/>
      <w:szCs w:val="24"/>
    </w:rPr>
  </w:style>
  <w:style w:type="character" w:styleId="770" w:customStyle="1">
    <w:name w:val="Heading 6 Char"/>
    <w:basedOn w:val="732"/>
    <w:uiPriority w:val="9"/>
    <w:qFormat/>
    <w:rPr>
      <w:rFonts w:ascii="Arial" w:hAnsi="Arial" w:eastAsia="Arial" w:cs="Arial"/>
      <w:b/>
      <w:bCs/>
      <w:sz w:val="22"/>
      <w:szCs w:val="22"/>
    </w:rPr>
  </w:style>
  <w:style w:type="character" w:styleId="771" w:customStyle="1">
    <w:name w:val="Heading 7 Char"/>
    <w:basedOn w:val="732"/>
    <w:uiPriority w:val="9"/>
    <w:qFormat/>
    <w:rPr>
      <w:rFonts w:ascii="Arial" w:hAnsi="Arial" w:eastAsia="Arial" w:cs="Arial"/>
      <w:b/>
      <w:bCs/>
      <w:i/>
      <w:iCs/>
      <w:sz w:val="22"/>
      <w:szCs w:val="22"/>
    </w:rPr>
  </w:style>
  <w:style w:type="character" w:styleId="772" w:customStyle="1">
    <w:name w:val="Heading 8 Char"/>
    <w:basedOn w:val="732"/>
    <w:uiPriority w:val="9"/>
    <w:qFormat/>
    <w:rPr>
      <w:rFonts w:ascii="Arial" w:hAnsi="Arial" w:eastAsia="Arial" w:cs="Arial"/>
      <w:i/>
      <w:iCs/>
      <w:sz w:val="22"/>
      <w:szCs w:val="22"/>
    </w:rPr>
  </w:style>
  <w:style w:type="character" w:styleId="773" w:customStyle="1">
    <w:name w:val="Heading 9 Char"/>
    <w:basedOn w:val="732"/>
    <w:uiPriority w:val="9"/>
    <w:qFormat/>
    <w:rPr>
      <w:rFonts w:ascii="Arial" w:hAnsi="Arial" w:eastAsia="Arial" w:cs="Arial"/>
      <w:i/>
      <w:iCs/>
      <w:sz w:val="21"/>
      <w:szCs w:val="21"/>
    </w:rPr>
  </w:style>
  <w:style w:type="character" w:styleId="774" w:customStyle="1">
    <w:name w:val="Title Char"/>
    <w:basedOn w:val="732"/>
    <w:uiPriority w:val="10"/>
    <w:qFormat/>
    <w:rPr>
      <w:sz w:val="48"/>
      <w:szCs w:val="48"/>
    </w:rPr>
  </w:style>
  <w:style w:type="character" w:styleId="775" w:customStyle="1">
    <w:name w:val="Subtitle Char"/>
    <w:basedOn w:val="732"/>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32"/>
    <w:uiPriority w:val="99"/>
    <w:qFormat/>
  </w:style>
  <w:style w:type="character" w:styleId="779" w:customStyle="1">
    <w:name w:val="Caption Char"/>
    <w:uiPriority w:val="99"/>
    <w:qFormat/>
  </w:style>
  <w:style w:type="table" w:styleId="780"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Heading"/>
    <w:uiPriority w:val="39"/>
    <w:unhideWhenUsed/>
    <w:qFormat/>
    <w:rPr>
      <w:rFonts w:hint="default" w:ascii="Times New Roman" w:hAnsi="Times New Roman" w:eastAsia="宋体" w:cs="Times New Roman"/>
    </w:rPr>
  </w:style>
  <w:style w:type="character" w:styleId="802" w:customStyle="1">
    <w:name w:val="标题 1 字符"/>
    <w:link w:val="723"/>
    <w:uiPriority w:val="9"/>
    <w:qFormat/>
    <w:rPr>
      <w:rFonts w:ascii="Arial" w:hAnsi="Arial" w:eastAsia="Arial" w:cs="Arial"/>
      <w:sz w:val="40"/>
      <w:szCs w:val="40"/>
    </w:rPr>
  </w:style>
  <w:style w:type="character" w:styleId="803" w:customStyle="1">
    <w:name w:val="标题 2 字符"/>
    <w:link w:val="724"/>
    <w:uiPriority w:val="9"/>
    <w:qFormat/>
    <w:rPr>
      <w:rFonts w:ascii="Arial" w:hAnsi="Arial" w:eastAsia="Arial" w:cs="Arial"/>
      <w:sz w:val="34"/>
    </w:rPr>
  </w:style>
  <w:style w:type="character" w:styleId="804" w:customStyle="1">
    <w:name w:val="标题 3 字符"/>
    <w:link w:val="725"/>
    <w:uiPriority w:val="9"/>
    <w:qFormat/>
    <w:rPr>
      <w:rFonts w:ascii="Arial" w:hAnsi="Arial" w:eastAsia="Arial" w:cs="Arial"/>
      <w:sz w:val="30"/>
      <w:szCs w:val="30"/>
    </w:rPr>
  </w:style>
  <w:style w:type="character" w:styleId="805" w:customStyle="1">
    <w:name w:val="标题 4 字符"/>
    <w:link w:val="726"/>
    <w:uiPriority w:val="9"/>
    <w:qFormat/>
    <w:rPr>
      <w:rFonts w:ascii="Arial" w:hAnsi="Arial" w:eastAsia="Arial" w:cs="Arial"/>
      <w:b/>
      <w:bCs/>
      <w:sz w:val="26"/>
      <w:szCs w:val="26"/>
    </w:rPr>
  </w:style>
  <w:style w:type="character" w:styleId="806" w:customStyle="1">
    <w:name w:val="标题 5 字符"/>
    <w:link w:val="727"/>
    <w:uiPriority w:val="9"/>
    <w:qFormat/>
    <w:rPr>
      <w:rFonts w:ascii="Arial" w:hAnsi="Arial" w:eastAsia="Arial" w:cs="Arial"/>
      <w:b/>
      <w:bCs/>
      <w:sz w:val="24"/>
      <w:szCs w:val="24"/>
    </w:rPr>
  </w:style>
  <w:style w:type="character" w:styleId="807" w:customStyle="1">
    <w:name w:val="标题 6 字符"/>
    <w:link w:val="728"/>
    <w:uiPriority w:val="9"/>
    <w:qFormat/>
    <w:rPr>
      <w:rFonts w:ascii="Arial" w:hAnsi="Arial" w:eastAsia="Arial" w:cs="Arial"/>
      <w:b/>
      <w:bCs/>
      <w:sz w:val="22"/>
      <w:szCs w:val="22"/>
    </w:rPr>
  </w:style>
  <w:style w:type="character" w:styleId="808" w:customStyle="1">
    <w:name w:val="标题 7 字符"/>
    <w:link w:val="729"/>
    <w:uiPriority w:val="9"/>
    <w:qFormat/>
    <w:rPr>
      <w:rFonts w:ascii="Arial" w:hAnsi="Arial" w:eastAsia="Arial" w:cs="Arial"/>
      <w:b/>
      <w:bCs/>
      <w:i/>
      <w:iCs/>
      <w:sz w:val="22"/>
      <w:szCs w:val="22"/>
    </w:rPr>
  </w:style>
  <w:style w:type="character" w:styleId="809" w:customStyle="1">
    <w:name w:val="标题 8 字符"/>
    <w:link w:val="730"/>
    <w:uiPriority w:val="9"/>
    <w:qFormat/>
    <w:rPr>
      <w:rFonts w:ascii="Arial" w:hAnsi="Arial" w:eastAsia="Arial" w:cs="Arial"/>
      <w:i/>
      <w:iCs/>
      <w:sz w:val="22"/>
      <w:szCs w:val="22"/>
    </w:rPr>
  </w:style>
  <w:style w:type="character" w:styleId="810" w:customStyle="1">
    <w:name w:val="标题 9 字符"/>
    <w:link w:val="731"/>
    <w:uiPriority w:val="9"/>
    <w:qFormat/>
    <w:rPr>
      <w:rFonts w:ascii="Arial" w:hAnsi="Arial" w:eastAsia="Arial" w:cs="Arial"/>
      <w:i/>
      <w:iCs/>
      <w:sz w:val="21"/>
      <w:szCs w:val="21"/>
    </w:rPr>
  </w:style>
  <w:style w:type="paragraph" w:styleId="811">
    <w:name w:val="No Spacing"/>
    <w:uiPriority w:val="1"/>
    <w:qFormat/>
    <w:rPr>
      <w:rFonts w:hint="default" w:ascii="Times New Roman" w:hAnsi="Times New Roman" w:eastAsia="宋体" w:cs="Times New Roman"/>
      <w:lang w:val="en-US" w:eastAsia="zh-CN" w:bidi="ar-SA"/>
    </w:rPr>
  </w:style>
  <w:style w:type="character" w:styleId="812" w:customStyle="1">
    <w:name w:val="标题 字符"/>
    <w:link w:val="757"/>
    <w:uiPriority w:val="10"/>
    <w:qFormat/>
    <w:rPr>
      <w:sz w:val="48"/>
      <w:szCs w:val="48"/>
    </w:rPr>
  </w:style>
  <w:style w:type="character" w:styleId="813" w:customStyle="1">
    <w:name w:val="副标题 字符"/>
    <w:link w:val="750"/>
    <w:uiPriority w:val="11"/>
    <w:qFormat/>
    <w:rPr>
      <w:sz w:val="24"/>
      <w:szCs w:val="24"/>
    </w:rPr>
  </w:style>
  <w:style w:type="paragraph" w:styleId="814">
    <w:name w:val="Quote"/>
    <w:basedOn w:val="722"/>
    <w:next w:val="722"/>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22"/>
    <w:next w:val="722"/>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47"/>
    <w:uiPriority w:val="99"/>
    <w:qFormat/>
  </w:style>
  <w:style w:type="character" w:styleId="819" w:customStyle="1">
    <w:name w:val="Footer Char"/>
    <w:uiPriority w:val="99"/>
    <w:qFormat/>
  </w:style>
  <w:style w:type="character" w:styleId="820" w:customStyle="1">
    <w:name w:val="页脚 字符"/>
    <w:link w:val="746"/>
    <w:uiPriority w:val="99"/>
    <w:qFormat/>
  </w:style>
  <w:style w:type="table" w:styleId="82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4" w:customStyle="1">
    <w:name w:val="无格式表格 31"/>
    <w:uiPriority w:val="99"/>
    <w:qFormat/>
    <w:tblPr>
      <w:tblCellMar>
        <w:left w:w="0" w:type="dxa"/>
        <w:top w:w="0" w:type="dxa"/>
        <w:right w:w="0" w:type="dxa"/>
        <w:bottom w:w="0" w:type="dxa"/>
      </w:tblCellMar>
    </w:tblPr>
  </w:style>
  <w:style w:type="table" w:styleId="825" w:customStyle="1">
    <w:name w:val="无格式表格 41"/>
    <w:uiPriority w:val="99"/>
    <w:qFormat/>
    <w:tblPr>
      <w:tblCellMar>
        <w:left w:w="0" w:type="dxa"/>
        <w:top w:w="0" w:type="dxa"/>
        <w:right w:w="0" w:type="dxa"/>
        <w:bottom w:w="0" w:type="dxa"/>
      </w:tblCellMar>
    </w:tblPr>
  </w:style>
  <w:style w:type="table" w:styleId="826" w:customStyle="1">
    <w:name w:val="无格式表格 51"/>
    <w:uiPriority w:val="99"/>
    <w:qFormat/>
    <w:tblPr>
      <w:tblCellMar>
        <w:left w:w="0" w:type="dxa"/>
        <w:top w:w="0" w:type="dxa"/>
        <w:right w:w="0" w:type="dxa"/>
        <w:bottom w:w="0" w:type="dxa"/>
      </w:tblCellMar>
    </w:tblPr>
  </w:style>
  <w:style w:type="table" w:styleId="82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清单表 1 浅色1"/>
    <w:uiPriority w:val="99"/>
    <w:qFormat/>
    <w:tblPr>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5" w:customStyle="1">
    <w:name w:val="Lined - Accent"/>
    <w:uiPriority w:val="99"/>
    <w:qFormat/>
    <w:rPr>
      <w:color w:val="404040"/>
    </w:rPr>
    <w:tblPr>
      <w:tblCellMar>
        <w:left w:w="0" w:type="dxa"/>
        <w:top w:w="0" w:type="dxa"/>
        <w:right w:w="0" w:type="dxa"/>
        <w:bottom w:w="0" w:type="dxa"/>
      </w:tblCellMar>
    </w:tblPr>
  </w:style>
  <w:style w:type="table" w:styleId="926" w:customStyle="1">
    <w:name w:val="Lined - Accent 1"/>
    <w:uiPriority w:val="99"/>
    <w:qFormat/>
    <w:rPr>
      <w:color w:val="404040"/>
    </w:rPr>
    <w:tblPr>
      <w:tblCellMar>
        <w:left w:w="0" w:type="dxa"/>
        <w:top w:w="0" w:type="dxa"/>
        <w:right w:w="0" w:type="dxa"/>
        <w:bottom w:w="0" w:type="dxa"/>
      </w:tblCellMar>
    </w:tblPr>
  </w:style>
  <w:style w:type="table" w:styleId="927" w:customStyle="1">
    <w:name w:val="Lined - Accent 2"/>
    <w:uiPriority w:val="99"/>
    <w:qFormat/>
    <w:rPr>
      <w:color w:val="404040"/>
    </w:rPr>
    <w:tblPr>
      <w:tblCellMar>
        <w:left w:w="0" w:type="dxa"/>
        <w:top w:w="0" w:type="dxa"/>
        <w:right w:w="0" w:type="dxa"/>
        <w:bottom w:w="0" w:type="dxa"/>
      </w:tblCellMar>
    </w:tblPr>
  </w:style>
  <w:style w:type="table" w:styleId="928" w:customStyle="1">
    <w:name w:val="Lined - Accent 3"/>
    <w:uiPriority w:val="99"/>
    <w:qFormat/>
    <w:rPr>
      <w:color w:val="404040"/>
    </w:rPr>
    <w:tblPr>
      <w:tblCellMar>
        <w:left w:w="0" w:type="dxa"/>
        <w:top w:w="0" w:type="dxa"/>
        <w:right w:w="0" w:type="dxa"/>
        <w:bottom w:w="0" w:type="dxa"/>
      </w:tblCellMar>
    </w:tblPr>
  </w:style>
  <w:style w:type="table" w:styleId="929" w:customStyle="1">
    <w:name w:val="Lined - Accent 4"/>
    <w:uiPriority w:val="99"/>
    <w:qFormat/>
    <w:rPr>
      <w:color w:val="404040"/>
    </w:rPr>
    <w:tblPr>
      <w:tblCellMar>
        <w:left w:w="0" w:type="dxa"/>
        <w:top w:w="0" w:type="dxa"/>
        <w:right w:w="0" w:type="dxa"/>
        <w:bottom w:w="0" w:type="dxa"/>
      </w:tblCellMar>
    </w:tblPr>
  </w:style>
  <w:style w:type="table" w:styleId="930" w:customStyle="1">
    <w:name w:val="Lined - Accent 5"/>
    <w:uiPriority w:val="99"/>
    <w:qFormat/>
    <w:rPr>
      <w:color w:val="404040"/>
    </w:rPr>
    <w:tblPr>
      <w:tblCellMar>
        <w:left w:w="0" w:type="dxa"/>
        <w:top w:w="0" w:type="dxa"/>
        <w:right w:w="0" w:type="dxa"/>
        <w:bottom w:w="0" w:type="dxa"/>
      </w:tblCellMar>
    </w:tblPr>
  </w:style>
  <w:style w:type="table" w:styleId="931" w:customStyle="1">
    <w:name w:val="Lined - Accent 6"/>
    <w:uiPriority w:val="99"/>
    <w:qFormat/>
    <w:rPr>
      <w:color w:val="404040"/>
    </w:rPr>
    <w:tblPr>
      <w:tblCellMar>
        <w:left w:w="0" w:type="dxa"/>
        <w:top w:w="0" w:type="dxa"/>
        <w:right w:w="0" w:type="dxa"/>
        <w:bottom w:w="0" w:type="dxa"/>
      </w:tblCellMar>
    </w:tblPr>
  </w:style>
  <w:style w:type="table" w:styleId="93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6" w:customStyle="1">
    <w:name w:val="脚注文本 字符"/>
    <w:link w:val="751"/>
    <w:uiPriority w:val="99"/>
    <w:qFormat/>
    <w:rPr>
      <w:sz w:val="18"/>
    </w:rPr>
  </w:style>
  <w:style w:type="character" w:styleId="947" w:customStyle="1">
    <w:name w:val="尾注文本 字符"/>
    <w:link w:val="745"/>
    <w:uiPriority w:val="99"/>
    <w:qFormat/>
    <w:rPr>
      <w:sz w:val="20"/>
    </w:rPr>
  </w:style>
  <w:style w:type="paragraph" w:styleId="948" w:customStyle="1">
    <w:name w:val="TOC 标题1"/>
    <w:uiPriority w:val="39"/>
    <w:unhideWhenUsed/>
    <w:qFormat/>
    <w:rPr>
      <w:rFonts w:hint="default" w:ascii="Times New Roman" w:hAnsi="Times New Roman" w:eastAsia="宋体" w:cs="Times New Roman"/>
      <w:lang w:val="en-US" w:eastAsia="zh-CN" w:bidi="ar-SA"/>
    </w:rPr>
  </w:style>
  <w:style w:type="paragraph" w:styleId="949" w:customStyle="1">
    <w:name w:val="标题 11"/>
    <w:basedOn w:val="722"/>
    <w:next w:val="722"/>
    <w:link w:val="956"/>
    <w:uiPriority w:val="99"/>
    <w:qFormat/>
    <w:pPr>
      <w:jc w:val="center"/>
      <w:keepNext/>
      <w:outlineLvl w:val="0"/>
    </w:pPr>
    <w:rPr>
      <w:rFonts w:ascii="楷体_GB2312" w:eastAsia="楷体_GB2312"/>
      <w:b/>
      <w:sz w:val="28"/>
    </w:rPr>
  </w:style>
  <w:style w:type="paragraph" w:styleId="950" w:customStyle="1">
    <w:name w:val="标题 21"/>
    <w:basedOn w:val="722"/>
    <w:next w:val="722"/>
    <w:link w:val="957"/>
    <w:uiPriority w:val="99"/>
    <w:qFormat/>
    <w:pPr>
      <w:jc w:val="center"/>
      <w:keepNext/>
      <w:outlineLvl w:val="1"/>
    </w:pPr>
    <w:rPr>
      <w:rFonts w:ascii="楷体_GB2312" w:eastAsia="楷体_GB2312"/>
      <w:b/>
      <w:bCs/>
      <w:sz w:val="18"/>
    </w:rPr>
  </w:style>
  <w:style w:type="paragraph" w:styleId="951" w:customStyle="1">
    <w:name w:val="标题 31"/>
    <w:basedOn w:val="722"/>
    <w:next w:val="722"/>
    <w:link w:val="958"/>
    <w:uiPriority w:val="99"/>
    <w:qFormat/>
    <w:pPr>
      <w:jc w:val="center"/>
      <w:keepNext/>
      <w:outlineLvl w:val="2"/>
    </w:pPr>
    <w:rPr>
      <w:rFonts w:eastAsia="楷体_GB2312"/>
      <w:b/>
      <w:bCs/>
      <w:sz w:val="15"/>
    </w:rPr>
  </w:style>
  <w:style w:type="paragraph" w:styleId="952" w:customStyle="1">
    <w:name w:val="标题 41"/>
    <w:basedOn w:val="722"/>
    <w:next w:val="722"/>
    <w:link w:val="959"/>
    <w:uiPriority w:val="99"/>
    <w:qFormat/>
    <w:pPr>
      <w:jc w:val="center"/>
      <w:keepNext/>
      <w:outlineLvl w:val="3"/>
    </w:pPr>
    <w:rPr>
      <w:rFonts w:eastAsia="楷体_GB2312"/>
      <w:b/>
      <w:bCs/>
      <w:sz w:val="13"/>
    </w:rPr>
  </w:style>
  <w:style w:type="paragraph" w:styleId="953" w:customStyle="1">
    <w:name w:val="标题 51"/>
    <w:basedOn w:val="722"/>
    <w:next w:val="722"/>
    <w:link w:val="960"/>
    <w:uiPriority w:val="99"/>
    <w:qFormat/>
    <w:pPr>
      <w:numPr>
        <w:ilvl w:val="0"/>
        <w:numId w:val="1"/>
      </w:numPr>
      <w:keepNext/>
      <w:outlineLvl w:val="4"/>
    </w:pPr>
    <w:rPr>
      <w:rFonts w:ascii="楷体_GB2312" w:eastAsia="楷体_GB2312"/>
      <w:bCs/>
      <w:sz w:val="28"/>
    </w:rPr>
  </w:style>
  <w:style w:type="character" w:styleId="954" w:customStyle="1">
    <w:name w:val="默认段落字体1"/>
    <w:uiPriority w:val="1"/>
    <w:unhideWhenUsed/>
    <w:qFormat/>
  </w:style>
  <w:style w:type="table" w:styleId="955" w:customStyle="1">
    <w:name w:val="普通表格1"/>
    <w:uiPriority w:val="99"/>
    <w:unhideWhenUsed/>
    <w:qFormat/>
    <w:tblPr>
      <w:tblCellMar>
        <w:left w:w="0" w:type="dxa"/>
        <w:top w:w="0" w:type="dxa"/>
        <w:right w:w="0" w:type="dxa"/>
        <w:bottom w:w="0" w:type="dxa"/>
      </w:tblCellMar>
    </w:tblPr>
  </w:style>
  <w:style w:type="character" w:styleId="956" w:customStyle="1">
    <w:name w:val="标题 1 Char"/>
    <w:link w:val="949"/>
    <w:uiPriority w:val="99"/>
    <w:qFormat/>
    <w:rPr>
      <w:rFonts w:ascii="楷体_GB2312" w:hAnsi="Times New Roman" w:eastAsia="楷体_GB2312" w:cs="Times New Roman"/>
      <w:b/>
      <w:sz w:val="28"/>
      <w:szCs w:val="20"/>
    </w:rPr>
  </w:style>
  <w:style w:type="character" w:styleId="957" w:customStyle="1">
    <w:name w:val="标题 2 Char"/>
    <w:link w:val="950"/>
    <w:uiPriority w:val="99"/>
    <w:qFormat/>
    <w:rPr>
      <w:rFonts w:ascii="楷体_GB2312" w:hAnsi="Times New Roman" w:eastAsia="楷体_GB2312" w:cs="Times New Roman"/>
      <w:b/>
      <w:bCs/>
      <w:sz w:val="18"/>
      <w:szCs w:val="20"/>
    </w:rPr>
  </w:style>
  <w:style w:type="character" w:styleId="958" w:customStyle="1">
    <w:name w:val="标题 3 Char"/>
    <w:link w:val="951"/>
    <w:uiPriority w:val="99"/>
    <w:qFormat/>
    <w:rPr>
      <w:rFonts w:ascii="Times New Roman" w:hAnsi="Times New Roman" w:eastAsia="楷体_GB2312" w:cs="Times New Roman"/>
      <w:b/>
      <w:bCs/>
      <w:sz w:val="15"/>
      <w:szCs w:val="20"/>
    </w:rPr>
  </w:style>
  <w:style w:type="character" w:styleId="959" w:customStyle="1">
    <w:name w:val="标题 4 Char"/>
    <w:link w:val="952"/>
    <w:uiPriority w:val="99"/>
    <w:qFormat/>
    <w:rPr>
      <w:rFonts w:ascii="Times New Roman" w:hAnsi="Times New Roman" w:eastAsia="楷体_GB2312" w:cs="Times New Roman"/>
      <w:b/>
      <w:bCs/>
      <w:sz w:val="13"/>
      <w:szCs w:val="20"/>
    </w:rPr>
  </w:style>
  <w:style w:type="character" w:styleId="960" w:customStyle="1">
    <w:name w:val="标题 5 Char"/>
    <w:link w:val="953"/>
    <w:uiPriority w:val="99"/>
    <w:qFormat/>
    <w:rPr>
      <w:rFonts w:ascii="楷体_GB2312" w:hAnsi="Times New Roman" w:eastAsia="楷体_GB2312" w:cs="Times New Roman"/>
      <w:bCs/>
      <w:sz w:val="28"/>
      <w:szCs w:val="20"/>
    </w:rPr>
  </w:style>
  <w:style w:type="paragraph" w:styleId="961" w:customStyle="1">
    <w:name w:val="正文缩进1"/>
    <w:basedOn w:val="722"/>
    <w:link w:val="962"/>
    <w:uiPriority w:val="0"/>
    <w:unhideWhenUsed/>
    <w:qFormat/>
    <w:pPr>
      <w:ind w:firstLine="420"/>
    </w:pPr>
    <w:rPr>
      <w:szCs w:val="24"/>
    </w:rPr>
  </w:style>
  <w:style w:type="character" w:styleId="962" w:customStyle="1">
    <w:name w:val="正文缩进 Char"/>
    <w:link w:val="961"/>
    <w:uiPriority w:val="0"/>
    <w:qFormat/>
    <w:rPr>
      <w:rFonts w:ascii="Times New Roman" w:hAnsi="Times New Roman"/>
      <w:sz w:val="21"/>
      <w:szCs w:val="24"/>
    </w:rPr>
  </w:style>
  <w:style w:type="paragraph" w:styleId="963" w:customStyle="1">
    <w:name w:val="索引 51"/>
    <w:basedOn w:val="722"/>
    <w:next w:val="722"/>
    <w:uiPriority w:val="99"/>
    <w:unhideWhenUsed/>
    <w:qFormat/>
    <w:pPr>
      <w:ind w:left="800"/>
    </w:pPr>
  </w:style>
  <w:style w:type="paragraph" w:styleId="964" w:customStyle="1">
    <w:name w:val="文档结构图1"/>
    <w:basedOn w:val="722"/>
    <w:next w:val="722"/>
    <w:link w:val="965"/>
    <w:uiPriority w:val="99"/>
    <w:semiHidden/>
    <w:qFormat/>
    <w:pPr>
      <w:shd w:val="clear" w:color="auto" w:fill="000080"/>
    </w:pPr>
    <w:rPr>
      <w:sz w:val="20"/>
    </w:rPr>
  </w:style>
  <w:style w:type="character" w:styleId="965" w:customStyle="1">
    <w:name w:val="文档结构图 Char"/>
    <w:link w:val="964"/>
    <w:uiPriority w:val="99"/>
    <w:semiHidden/>
    <w:qFormat/>
    <w:rPr>
      <w:rFonts w:ascii="Times New Roman" w:hAnsi="Times New Roman" w:eastAsia="宋体" w:cs="Times New Roman"/>
      <w:szCs w:val="20"/>
      <w:shd w:val="clear" w:color="auto" w:fill="000080"/>
    </w:rPr>
  </w:style>
  <w:style w:type="paragraph" w:styleId="966" w:customStyle="1">
    <w:name w:val="批注文字1"/>
    <w:basedOn w:val="722"/>
    <w:link w:val="967"/>
    <w:uiPriority w:val="0"/>
    <w:semiHidden/>
    <w:qFormat/>
    <w:pPr>
      <w:jc w:val="left"/>
    </w:pPr>
    <w:rPr>
      <w:sz w:val="20"/>
      <w:szCs w:val="24"/>
    </w:rPr>
  </w:style>
  <w:style w:type="character" w:styleId="967" w:customStyle="1">
    <w:name w:val="批注文字 Char"/>
    <w:link w:val="966"/>
    <w:uiPriority w:val="0"/>
    <w:semiHidden/>
    <w:qFormat/>
    <w:rPr>
      <w:rFonts w:ascii="Times New Roman" w:hAnsi="Times New Roman" w:eastAsia="宋体" w:cs="Times New Roman"/>
      <w:szCs w:val="24"/>
    </w:rPr>
  </w:style>
  <w:style w:type="paragraph" w:styleId="968" w:customStyle="1">
    <w:name w:val="正文文本1"/>
    <w:basedOn w:val="722"/>
    <w:next w:val="969"/>
    <w:link w:val="970"/>
    <w:uiPriority w:val="99"/>
    <w:qFormat/>
    <w:rPr>
      <w:rFonts w:ascii="华文中宋" w:eastAsia="华文中宋"/>
      <w:bCs/>
      <w:sz w:val="28"/>
    </w:rPr>
  </w:style>
  <w:style w:type="paragraph" w:styleId="969" w:customStyle="1">
    <w:name w:val="正文首行缩进1"/>
    <w:basedOn w:val="968"/>
    <w:link w:val="971"/>
    <w:uiPriority w:val="99"/>
    <w:unhideWhenUsed/>
    <w:qFormat/>
    <w:pPr>
      <w:ind w:firstLine="420"/>
      <w:spacing w:after="120"/>
    </w:pPr>
  </w:style>
  <w:style w:type="character" w:styleId="970" w:customStyle="1">
    <w:name w:val="正文文本 Char"/>
    <w:link w:val="968"/>
    <w:uiPriority w:val="99"/>
    <w:qFormat/>
    <w:rPr>
      <w:rFonts w:ascii="华文中宋" w:hAnsi="Times New Roman" w:eastAsia="华文中宋" w:cs="Times New Roman"/>
      <w:bCs/>
      <w:sz w:val="28"/>
      <w:szCs w:val="20"/>
    </w:rPr>
  </w:style>
  <w:style w:type="character" w:styleId="971" w:customStyle="1">
    <w:name w:val="正文首行缩进 Char"/>
    <w:link w:val="969"/>
    <w:uiPriority w:val="99"/>
    <w:semiHidden/>
    <w:qFormat/>
    <w:rPr>
      <w:rFonts w:ascii="Times New Roman" w:hAnsi="Times New Roman" w:eastAsia="华文中宋" w:cs="Times New Roman"/>
      <w:sz w:val="21"/>
      <w:szCs w:val="20"/>
    </w:rPr>
  </w:style>
  <w:style w:type="paragraph" w:styleId="972" w:customStyle="1">
    <w:name w:val="正文文本缩进1"/>
    <w:basedOn w:val="722"/>
    <w:next w:val="973"/>
    <w:link w:val="974"/>
    <w:uiPriority w:val="0"/>
    <w:qFormat/>
    <w:pPr>
      <w:ind w:firstLine="576"/>
    </w:pPr>
    <w:rPr>
      <w:b/>
      <w:sz w:val="30"/>
    </w:rPr>
  </w:style>
  <w:style w:type="paragraph" w:styleId="973" w:customStyle="1">
    <w:name w:val="寄信人地址1"/>
    <w:basedOn w:val="722"/>
    <w:uiPriority w:val="99"/>
    <w:unhideWhenUsed/>
    <w:qFormat/>
    <w:rPr>
      <w:rFonts w:hint="eastAsia" w:ascii="Arial" w:hAnsi="Arial"/>
      <w:sz w:val="24"/>
      <w:szCs w:val="24"/>
    </w:rPr>
  </w:style>
  <w:style w:type="character" w:styleId="974" w:customStyle="1">
    <w:name w:val="正文文本缩进 Char"/>
    <w:link w:val="972"/>
    <w:uiPriority w:val="0"/>
    <w:qFormat/>
    <w:rPr>
      <w:rFonts w:ascii="Times New Roman" w:hAnsi="Times New Roman" w:eastAsia="宋体" w:cs="Times New Roman"/>
      <w:b/>
      <w:sz w:val="30"/>
      <w:szCs w:val="20"/>
    </w:rPr>
  </w:style>
  <w:style w:type="paragraph" w:styleId="975" w:customStyle="1">
    <w:name w:val="索引 41"/>
    <w:basedOn w:val="722"/>
    <w:next w:val="722"/>
    <w:uiPriority w:val="0"/>
    <w:qFormat/>
    <w:pPr>
      <w:ind w:left="1260"/>
    </w:pPr>
    <w:rPr>
      <w:rFonts w:eastAsia="楷体_GB2312"/>
      <w:sz w:val="26"/>
    </w:rPr>
  </w:style>
  <w:style w:type="paragraph" w:styleId="976" w:customStyle="1">
    <w:name w:val="纯文本1"/>
    <w:basedOn w:val="722"/>
    <w:link w:val="977"/>
    <w:uiPriority w:val="0"/>
    <w:qFormat/>
    <w:rPr>
      <w:rFonts w:ascii="宋体" w:hAnsi="Courier New"/>
      <w:szCs w:val="21"/>
    </w:rPr>
  </w:style>
  <w:style w:type="character" w:styleId="977" w:customStyle="1">
    <w:name w:val="纯文本 Char"/>
    <w:link w:val="976"/>
    <w:uiPriority w:val="0"/>
    <w:qFormat/>
    <w:rPr>
      <w:rFonts w:ascii="宋体" w:hAnsi="Courier New"/>
      <w:sz w:val="21"/>
      <w:szCs w:val="21"/>
    </w:rPr>
  </w:style>
  <w:style w:type="paragraph" w:styleId="978" w:customStyle="1">
    <w:name w:val="日期1"/>
    <w:basedOn w:val="722"/>
    <w:next w:val="722"/>
    <w:link w:val="979"/>
    <w:uiPriority w:val="99"/>
    <w:qFormat/>
    <w:rPr>
      <w:rFonts w:eastAsia="黑体"/>
      <w:b/>
      <w:sz w:val="36"/>
    </w:rPr>
  </w:style>
  <w:style w:type="character" w:styleId="979" w:customStyle="1">
    <w:name w:val="日期 Char"/>
    <w:link w:val="978"/>
    <w:uiPriority w:val="99"/>
    <w:qFormat/>
    <w:rPr>
      <w:rFonts w:ascii="Times New Roman" w:hAnsi="Times New Roman" w:eastAsia="黑体" w:cs="Times New Roman"/>
      <w:b/>
      <w:sz w:val="36"/>
      <w:szCs w:val="20"/>
    </w:rPr>
  </w:style>
  <w:style w:type="paragraph" w:styleId="980" w:customStyle="1">
    <w:name w:val="正文文本缩进 21"/>
    <w:basedOn w:val="722"/>
    <w:link w:val="981"/>
    <w:uiPriority w:val="99"/>
    <w:qFormat/>
    <w:pPr>
      <w:ind w:left="900"/>
    </w:pPr>
    <w:rPr>
      <w:rFonts w:ascii="楷体_GB2312" w:eastAsia="楷体_GB2312"/>
      <w:b/>
      <w:sz w:val="28"/>
    </w:rPr>
  </w:style>
  <w:style w:type="character" w:styleId="981" w:customStyle="1">
    <w:name w:val="正文文本缩进 2 Char"/>
    <w:link w:val="980"/>
    <w:uiPriority w:val="99"/>
    <w:qFormat/>
    <w:rPr>
      <w:rFonts w:ascii="楷体_GB2312" w:hAnsi="Times New Roman" w:eastAsia="楷体_GB2312" w:cs="Times New Roman"/>
      <w:b/>
      <w:sz w:val="28"/>
      <w:szCs w:val="20"/>
    </w:rPr>
  </w:style>
  <w:style w:type="paragraph" w:styleId="982" w:customStyle="1">
    <w:name w:val="批注框文本1"/>
    <w:basedOn w:val="722"/>
    <w:link w:val="983"/>
    <w:uiPriority w:val="99"/>
    <w:unhideWhenUsed/>
    <w:qFormat/>
    <w:rPr>
      <w:sz w:val="18"/>
      <w:szCs w:val="18"/>
    </w:rPr>
  </w:style>
  <w:style w:type="character" w:styleId="983" w:customStyle="1">
    <w:name w:val="批注框文本 Char"/>
    <w:link w:val="982"/>
    <w:uiPriority w:val="99"/>
    <w:semiHidden/>
    <w:qFormat/>
    <w:rPr>
      <w:rFonts w:ascii="Times New Roman" w:hAnsi="Times New Roman" w:eastAsia="宋体" w:cs="Times New Roman"/>
      <w:sz w:val="18"/>
      <w:szCs w:val="18"/>
    </w:rPr>
  </w:style>
  <w:style w:type="paragraph" w:styleId="984" w:customStyle="1">
    <w:name w:val="页脚1"/>
    <w:basedOn w:val="722"/>
    <w:link w:val="985"/>
    <w:uiPriority w:val="99"/>
    <w:unhideWhenUsed/>
    <w:qFormat/>
    <w:pPr>
      <w:jc w:val="left"/>
      <w:tabs>
        <w:tab w:val="center" w:pos="4153" w:leader="none"/>
        <w:tab w:val="right" w:pos="8306" w:leader="none"/>
      </w:tabs>
    </w:pPr>
    <w:rPr>
      <w:sz w:val="18"/>
      <w:szCs w:val="18"/>
    </w:rPr>
  </w:style>
  <w:style w:type="character" w:styleId="985" w:customStyle="1">
    <w:name w:val="页脚 Char"/>
    <w:link w:val="984"/>
    <w:uiPriority w:val="99"/>
    <w:qFormat/>
    <w:rPr>
      <w:sz w:val="18"/>
      <w:szCs w:val="18"/>
    </w:rPr>
  </w:style>
  <w:style w:type="paragraph" w:styleId="986" w:customStyle="1">
    <w:name w:val="页眉11"/>
    <w:basedOn w:val="722"/>
    <w:link w:val="98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uiPriority w:val="0"/>
    <w:qFormat/>
    <w:rPr>
      <w:sz w:val="18"/>
      <w:szCs w:val="18"/>
    </w:rPr>
  </w:style>
  <w:style w:type="paragraph" w:styleId="988" w:customStyle="1">
    <w:name w:val="列表1"/>
    <w:basedOn w:val="722"/>
    <w:uiPriority w:val="0"/>
    <w:qFormat/>
    <w:pPr>
      <w:numPr>
        <w:ilvl w:val="0"/>
        <w:numId w:val="2"/>
      </w:numPr>
      <w:spacing w:after="20" w:line="288" w:lineRule="auto"/>
    </w:pPr>
    <w:rPr>
      <w:lang w:val="en-GB"/>
    </w:rPr>
  </w:style>
  <w:style w:type="paragraph" w:styleId="989" w:customStyle="1">
    <w:name w:val="脚注文本1"/>
    <w:basedOn w:val="722"/>
    <w:next w:val="963"/>
    <w:link w:val="990"/>
    <w:uiPriority w:val="0"/>
    <w:qFormat/>
    <w:pPr>
      <w:ind w:firstLine="425"/>
      <w:jc w:val="left"/>
      <w:spacing w:before="120" w:line="360" w:lineRule="auto"/>
    </w:pPr>
    <w:rPr>
      <w:sz w:val="18"/>
    </w:rPr>
  </w:style>
  <w:style w:type="character" w:styleId="990" w:customStyle="1">
    <w:name w:val="脚注文本 Char"/>
    <w:link w:val="989"/>
    <w:uiPriority w:val="0"/>
    <w:qFormat/>
    <w:rPr>
      <w:rFonts w:ascii="Times New Roman" w:hAnsi="Times New Roman"/>
      <w:sz w:val="18"/>
    </w:rPr>
  </w:style>
  <w:style w:type="paragraph" w:styleId="991" w:customStyle="1">
    <w:name w:val="正文文本缩进 31"/>
    <w:basedOn w:val="722"/>
    <w:link w:val="992"/>
    <w:uiPriority w:val="99"/>
    <w:qFormat/>
    <w:pPr>
      <w:ind w:left="359" w:firstLine="359"/>
    </w:pPr>
    <w:rPr>
      <w:sz w:val="20"/>
    </w:rPr>
  </w:style>
  <w:style w:type="character" w:styleId="992" w:customStyle="1">
    <w:name w:val="正文文本缩进 3 Char"/>
    <w:link w:val="991"/>
    <w:uiPriority w:val="99"/>
    <w:qFormat/>
    <w:rPr>
      <w:rFonts w:ascii="Times New Roman" w:hAnsi="Times New Roman" w:eastAsia="宋体" w:cs="Times New Roman"/>
      <w:szCs w:val="20"/>
    </w:rPr>
  </w:style>
  <w:style w:type="paragraph" w:styleId="993" w:customStyle="1">
    <w:name w:val="正文文本 211"/>
    <w:basedOn w:val="722"/>
    <w:link w:val="994"/>
    <w:uiPriority w:val="99"/>
    <w:qFormat/>
    <w:pPr>
      <w:spacing w:after="120" w:line="480" w:lineRule="auto"/>
    </w:pPr>
    <w:rPr>
      <w:sz w:val="20"/>
    </w:rPr>
  </w:style>
  <w:style w:type="character" w:styleId="994" w:customStyle="1">
    <w:name w:val="正文文本 2 Char"/>
    <w:link w:val="993"/>
    <w:uiPriority w:val="99"/>
    <w:qFormat/>
    <w:rPr>
      <w:rFonts w:ascii="Times New Roman" w:hAnsi="Times New Roman" w:eastAsia="宋体" w:cs="Times New Roman"/>
      <w:szCs w:val="20"/>
    </w:rPr>
  </w:style>
  <w:style w:type="paragraph" w:styleId="995" w:customStyle="1">
    <w:name w:val="普通(网站)1"/>
    <w:basedOn w:val="722"/>
    <w:link w:val="99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96" w:customStyle="1">
    <w:name w:val="普通(网站) Char"/>
    <w:link w:val="995"/>
    <w:uiPriority w:val="0"/>
    <w:qFormat/>
    <w:rPr>
      <w:rFonts w:ascii="宋体" w:hAnsi="宋体"/>
      <w:sz w:val="24"/>
      <w:szCs w:val="24"/>
    </w:rPr>
  </w:style>
  <w:style w:type="paragraph" w:styleId="997" w:customStyle="1">
    <w:name w:val="批注主题1"/>
    <w:basedOn w:val="966"/>
    <w:next w:val="966"/>
    <w:link w:val="998"/>
    <w:uiPriority w:val="0"/>
    <w:semiHidden/>
    <w:qFormat/>
    <w:rPr>
      <w:b/>
      <w:bCs/>
    </w:rPr>
  </w:style>
  <w:style w:type="character" w:styleId="998" w:customStyle="1">
    <w:name w:val="批注主题 Char"/>
    <w:link w:val="997"/>
    <w:uiPriority w:val="0"/>
    <w:semiHidden/>
    <w:qFormat/>
    <w:rPr>
      <w:rFonts w:ascii="Times New Roman" w:hAnsi="Times New Roman" w:eastAsia="宋体" w:cs="Times New Roman"/>
      <w:b/>
      <w:bCs/>
      <w:szCs w:val="24"/>
    </w:rPr>
  </w:style>
  <w:style w:type="paragraph" w:styleId="999" w:customStyle="1">
    <w:name w:val="正文首行缩进 21"/>
    <w:basedOn w:val="972"/>
    <w:next w:val="722"/>
    <w:uiPriority w:val="0"/>
    <w:qFormat/>
    <w:pPr>
      <w:ind w:left="420" w:firstLine="420"/>
      <w:spacing w:after="120"/>
    </w:pPr>
    <w:rPr>
      <w:rFonts w:ascii="Cambria" w:hAnsi="Cambria" w:eastAsia="华文细黑"/>
      <w:sz w:val="21"/>
    </w:rPr>
  </w:style>
  <w:style w:type="table" w:styleId="1000" w:customStyle="1">
    <w:name w:val="网格型1"/>
    <w:basedOn w:val="955"/>
    <w:uiPriority w:val="39"/>
    <w:qFormat/>
    <w:tblPr>
      <w:tblCellMar>
        <w:left w:w="0" w:type="dxa"/>
        <w:top w:w="0" w:type="dxa"/>
        <w:right w:w="0" w:type="dxa"/>
        <w:bottom w:w="0" w:type="dxa"/>
      </w:tblCellMar>
    </w:tblPr>
  </w:style>
  <w:style w:type="character" w:styleId="1001" w:customStyle="1">
    <w:name w:val="要点1"/>
    <w:uiPriority w:val="99"/>
    <w:qFormat/>
    <w:rPr>
      <w:rFonts w:cs="Times New Roman"/>
      <w:b/>
      <w:bCs/>
    </w:rPr>
  </w:style>
  <w:style w:type="character" w:styleId="1002" w:customStyle="1">
    <w:name w:val="页码1"/>
    <w:uiPriority w:val="0"/>
    <w:qFormat/>
    <w:rPr>
      <w:rFonts w:cs="Times New Roman"/>
    </w:rPr>
  </w:style>
  <w:style w:type="character" w:styleId="1003" w:customStyle="1">
    <w:name w:val="已访问的超链接1"/>
    <w:uiPriority w:val="99"/>
    <w:qFormat/>
    <w:rPr>
      <w:rFonts w:cs="Times New Roman"/>
      <w:color w:val="000000"/>
      <w:u w:val="none"/>
    </w:rPr>
  </w:style>
  <w:style w:type="character" w:styleId="1004" w:customStyle="1">
    <w:name w:val="HTML 打字机1"/>
    <w:uiPriority w:val="99"/>
    <w:qFormat/>
    <w:rPr>
      <w:rFonts w:ascii="宋体" w:hAnsi="宋体" w:eastAsia="宋体" w:cs="宋体"/>
      <w:sz w:val="24"/>
      <w:szCs w:val="24"/>
    </w:rPr>
  </w:style>
  <w:style w:type="character" w:styleId="1005" w:customStyle="1">
    <w:name w:val="超链接1"/>
    <w:uiPriority w:val="0"/>
    <w:qFormat/>
    <w:rPr>
      <w:color w:val="000000"/>
      <w:u w:val="none"/>
    </w:rPr>
  </w:style>
  <w:style w:type="character" w:styleId="1006" w:customStyle="1">
    <w:name w:val="批注引用1"/>
    <w:uiPriority w:val="0"/>
    <w:unhideWhenUsed/>
    <w:qFormat/>
    <w:rPr>
      <w:sz w:val="21"/>
      <w:szCs w:val="21"/>
    </w:rPr>
  </w:style>
  <w:style w:type="character" w:styleId="1007" w:customStyle="1">
    <w:name w:val="批注框文本 Char1"/>
    <w:uiPriority w:val="99"/>
    <w:semiHidden/>
    <w:qFormat/>
    <w:rPr>
      <w:rFonts w:ascii="Times New Roman" w:hAnsi="Times New Roman" w:eastAsia="宋体" w:cs="Times New Roman"/>
      <w:sz w:val="18"/>
      <w:szCs w:val="18"/>
    </w:rPr>
  </w:style>
  <w:style w:type="character" w:styleId="1008" w:customStyle="1">
    <w:name w:val="正文文本 2 Char1"/>
    <w:uiPriority w:val="99"/>
    <w:semiHidden/>
    <w:qFormat/>
    <w:rPr>
      <w:rFonts w:ascii="Times New Roman" w:hAnsi="Times New Roman" w:eastAsia="宋体" w:cs="Times New Roman"/>
      <w:szCs w:val="20"/>
    </w:rPr>
  </w:style>
  <w:style w:type="character" w:styleId="1009" w:customStyle="1">
    <w:name w:val="文档结构图 Char1"/>
    <w:uiPriority w:val="99"/>
    <w:semiHidden/>
    <w:qFormat/>
    <w:rPr>
      <w:rFonts w:ascii="宋体" w:hAnsi="Times New Roman" w:eastAsia="宋体" w:cs="Times New Roman"/>
      <w:sz w:val="18"/>
      <w:szCs w:val="18"/>
    </w:rPr>
  </w:style>
  <w:style w:type="character" w:styleId="1010" w:customStyle="1">
    <w:name w:val="正文文本缩进 Char1"/>
    <w:uiPriority w:val="99"/>
    <w:semiHidden/>
    <w:qFormat/>
    <w:rPr>
      <w:rFonts w:ascii="Times New Roman" w:hAnsi="Times New Roman" w:eastAsia="宋体" w:cs="Times New Roman"/>
      <w:szCs w:val="20"/>
    </w:rPr>
  </w:style>
  <w:style w:type="character" w:styleId="1011" w:customStyle="1">
    <w:name w:val="15"/>
    <w:uiPriority w:val="0"/>
    <w:qFormat/>
    <w:rPr>
      <w:rFonts w:ascii="Times New Roman" w:hAnsi="Times New Roman" w:cs="Times New Roman"/>
    </w:rPr>
  </w:style>
  <w:style w:type="character" w:styleId="1012" w:customStyle="1">
    <w:name w:val="正文文本缩进 2 Char1"/>
    <w:uiPriority w:val="99"/>
    <w:semiHidden/>
    <w:qFormat/>
    <w:rPr>
      <w:rFonts w:ascii="Times New Roman" w:hAnsi="Times New Roman" w:eastAsia="宋体" w:cs="Times New Roman"/>
      <w:szCs w:val="20"/>
    </w:rPr>
  </w:style>
  <w:style w:type="character" w:styleId="1013" w:customStyle="1">
    <w:name w:val="日期 Char1"/>
    <w:uiPriority w:val="99"/>
    <w:semiHidden/>
    <w:qFormat/>
    <w:rPr>
      <w:rFonts w:ascii="Times New Roman" w:hAnsi="Times New Roman" w:eastAsia="宋体" w:cs="Times New Roman"/>
      <w:szCs w:val="20"/>
    </w:rPr>
  </w:style>
  <w:style w:type="character" w:styleId="1014" w:customStyle="1">
    <w:name w:val="正文文本缩进 3 Char1"/>
    <w:uiPriority w:val="99"/>
    <w:semiHidden/>
    <w:qFormat/>
    <w:rPr>
      <w:rFonts w:ascii="Times New Roman" w:hAnsi="Times New Roman" w:eastAsia="宋体" w:cs="Times New Roman"/>
      <w:sz w:val="16"/>
      <w:szCs w:val="16"/>
    </w:rPr>
  </w:style>
  <w:style w:type="paragraph" w:styleId="1015" w:customStyle="1">
    <w:name w:val="列出段落"/>
    <w:basedOn w:val="722"/>
    <w:uiPriority w:val="0"/>
    <w:qFormat/>
    <w:pPr>
      <w:ind w:firstLine="420"/>
    </w:pPr>
  </w:style>
  <w:style w:type="paragraph" w:styleId="1016">
    <w:name w:val="List Paragraph"/>
    <w:basedOn w:val="722"/>
    <w:uiPriority w:val="0"/>
    <w:qFormat/>
    <w:pPr>
      <w:ind w:firstLine="420"/>
    </w:pPr>
    <w:rPr>
      <w:szCs w:val="21"/>
    </w:rPr>
  </w:style>
  <w:style w:type="paragraph" w:styleId="1017" w:customStyle="1">
    <w:name w:val="普通文字"/>
    <w:basedOn w:val="722"/>
    <w:next w:val="722"/>
    <w:uiPriority w:val="0"/>
    <w:qFormat/>
    <w:rPr>
      <w:rFonts w:ascii="宋体"/>
      <w:sz w:val="24"/>
    </w:rPr>
  </w:style>
  <w:style w:type="paragraph" w:styleId="1018" w:customStyle="1">
    <w:name w:val="样式 小四 段前: 5 磅 段后: 5 磅 首行缩进:  2 字符"/>
    <w:basedOn w:val="722"/>
    <w:uiPriority w:val="0"/>
    <w:qFormat/>
    <w:pPr>
      <w:jc w:val="center"/>
      <w:spacing w:line="360" w:lineRule="auto"/>
    </w:pPr>
    <w:rPr>
      <w:rFonts w:ascii="宋体" w:hAnsi="宋体"/>
      <w:bCs/>
      <w:color w:val="ff0000"/>
      <w:sz w:val="24"/>
      <w:szCs w:val="24"/>
    </w:rPr>
  </w:style>
  <w:style w:type="paragraph" w:styleId="1019" w:customStyle="1">
    <w:name w:val="段"/>
    <w:next w:val="722"/>
    <w:uiPriority w:val="0"/>
    <w:qFormat/>
    <w:pPr>
      <w:ind w:firstLine="200"/>
      <w:jc w:val="both"/>
    </w:pPr>
    <w:rPr>
      <w:rFonts w:hint="default" w:ascii="宋体" w:hAnsi="Times New Roman" w:eastAsia="宋体" w:cs="Times New Roman"/>
      <w:sz w:val="21"/>
      <w:lang w:val="en-US" w:eastAsia="zh-CN" w:bidi="ar-SA"/>
    </w:rPr>
  </w:style>
  <w:style w:type="paragraph" w:styleId="102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2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22" w:customStyle="1">
    <w:name w:val="页眉1"/>
    <w:basedOn w:val="722"/>
    <w:uiPriority w:val="99"/>
    <w:qFormat/>
    <w:pPr>
      <w:jc w:val="center"/>
      <w:tabs>
        <w:tab w:val="center" w:pos="4153" w:leader="none"/>
        <w:tab w:val="right" w:pos="8306" w:leader="none"/>
      </w:tabs>
      <w:pBdr>
        <w:bottom w:val="single" w:color="000000" w:sz="6" w:space="1"/>
      </w:pBdr>
    </w:pPr>
    <w:rPr>
      <w:sz w:val="18"/>
      <w:szCs w:val="18"/>
    </w:rPr>
  </w:style>
  <w:style w:type="paragraph" w:styleId="1023" w:customStyle="1">
    <w:name w:val="正文文本 21"/>
    <w:basedOn w:val="722"/>
    <w:uiPriority w:val="0"/>
    <w:qFormat/>
    <w:pPr>
      <w:spacing w:after="120" w:line="480" w:lineRule="auto"/>
    </w:pPr>
    <w:rPr>
      <w:sz w:val="20"/>
    </w:rPr>
  </w:style>
  <w:style w:type="table" w:styleId="1024" w:customStyle="1">
    <w:name w:val="Table Normal"/>
    <w:uiPriority w:val="0"/>
    <w:semiHidden/>
    <w:unhideWhenUsed/>
    <w:qFormat/>
    <w:tblPr>
      <w:tblCellMar>
        <w:left w:w="0" w:type="dxa"/>
        <w:top w:w="0" w:type="dxa"/>
        <w:right w:w="0" w:type="dxa"/>
        <w:bottom w:w="0" w:type="dxa"/>
      </w:tblCellMar>
    </w:tblPr>
  </w:style>
  <w:style w:type="paragraph" w:styleId="1025" w:customStyle="1">
    <w:name w:val="纯文本5"/>
    <w:basedOn w:val="722"/>
    <w:uiPriority w:val="0"/>
    <w:qFormat/>
    <w:pPr>
      <w:ind w:firstLine="0"/>
      <w:spacing w:line="240" w:lineRule="auto"/>
      <w:pBdr>
        <w:top w:val="none" w:color="auto" w:sz="0" w:space="0"/>
        <w:left w:val="none" w:color="auto" w:sz="0" w:space="0"/>
        <w:bottom w:val="none" w:color="auto" w:sz="0" w:space="0"/>
        <w:right w:val="none" w:color="auto" w:sz="0" w:space="0"/>
      </w:pBdr>
    </w:pPr>
    <w:rPr>
      <w:rFonts w:ascii="宋体" w:hAnsi="Courier New" w:eastAsia="楷体_GB2312" w:cs="Times New Roman"/>
      <w:color w:val="auto"/>
      <w:sz w:val="26"/>
      <w:szCs w:val="24"/>
    </w:rPr>
  </w:style>
  <w:style w:type="table" w:styleId="1026"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27" w:customStyle="1">
    <w:name w:val="+正文"/>
    <w:basedOn w:val="722"/>
    <w:uiPriority w:val="0"/>
    <w:qFormat/>
    <w:pPr>
      <w:ind w:firstLine="200"/>
      <w:spacing w:line="360" w:lineRule="auto"/>
    </w:pPr>
    <w:rPr>
      <w:sz w:val="24"/>
      <w:szCs w:val="28"/>
    </w:rPr>
  </w:style>
  <w:style w:type="numbering" w:styleId="8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12</cp:revision>
  <dcterms:created xsi:type="dcterms:W3CDTF">2024-04-09T01:41:00Z</dcterms:created>
  <dcterms:modified xsi:type="dcterms:W3CDTF">2024-12-04T09:56:24Z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D5C57282C15E4970A79233F2F5C65B9E_13</vt:lpwstr>
  </property>
</Properties>
</file>