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137"/>
        <w:gridCol w:w="12229"/>
      </w:tblGrid>
      <w:tr w14:paraId="376F6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713" w:type="dxa"/>
            <w:tcBorders>
              <w:tl2br w:val="nil"/>
              <w:tr2bl w:val="nil"/>
            </w:tcBorders>
            <w:noWrap/>
            <w:vAlign w:val="center"/>
          </w:tcPr>
          <w:p w14:paraId="01AA98E8">
            <w:pPr>
              <w:widowControl/>
              <w:jc w:val="center"/>
              <w:textAlignment w:val="center"/>
              <w:rPr>
                <w:rFonts w:hint="eastAsia" w:asciiTheme="minorEastAsia" w:hAnsiTheme="minorEastAsia" w:cstheme="minorEastAsia"/>
                <w:color w:val="000000" w:themeColor="text1"/>
                <w:kern w:val="0"/>
                <w:szCs w:val="21"/>
                <w:lang w:bidi="ar"/>
                <w14:textFill>
                  <w14:solidFill>
                    <w14:schemeClr w14:val="tx1"/>
                  </w14:solidFill>
                </w14:textFill>
              </w:rPr>
            </w:pPr>
            <w:bookmarkStart w:id="0" w:name="_GoBack"/>
            <w:bookmarkEnd w:id="0"/>
            <w:r>
              <w:rPr>
                <w:rFonts w:hint="eastAsia" w:asciiTheme="minorEastAsia" w:hAnsiTheme="minorEastAsia" w:cstheme="minorEastAsia"/>
                <w:color w:val="000000" w:themeColor="text1"/>
                <w:kern w:val="0"/>
                <w:szCs w:val="21"/>
                <w:lang w:bidi="ar"/>
                <w14:textFill>
                  <w14:solidFill>
                    <w14:schemeClr w14:val="tx1"/>
                  </w14:solidFill>
                </w14:textFill>
              </w:rPr>
              <w:t>序号</w:t>
            </w:r>
          </w:p>
        </w:tc>
        <w:tc>
          <w:tcPr>
            <w:tcW w:w="1137" w:type="dxa"/>
            <w:tcBorders>
              <w:tl2br w:val="nil"/>
              <w:tr2bl w:val="nil"/>
            </w:tcBorders>
            <w:noWrap/>
            <w:vAlign w:val="center"/>
          </w:tcPr>
          <w:p w14:paraId="08B8AA11">
            <w:pPr>
              <w:widowControl/>
              <w:jc w:val="center"/>
              <w:textAlignment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货物名称</w:t>
            </w:r>
          </w:p>
        </w:tc>
        <w:tc>
          <w:tcPr>
            <w:tcW w:w="12229" w:type="dxa"/>
            <w:tcBorders>
              <w:tl2br w:val="nil"/>
              <w:tr2bl w:val="nil"/>
            </w:tcBorders>
            <w:noWrap/>
            <w:vAlign w:val="center"/>
          </w:tcPr>
          <w:p w14:paraId="2F6100F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技术要求</w:t>
            </w:r>
          </w:p>
        </w:tc>
      </w:tr>
      <w:tr w14:paraId="139A8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1" w:hRule="atLeast"/>
          <w:jc w:val="center"/>
        </w:trPr>
        <w:tc>
          <w:tcPr>
            <w:tcW w:w="713" w:type="dxa"/>
            <w:tcBorders>
              <w:tl2br w:val="nil"/>
              <w:tr2bl w:val="nil"/>
            </w:tcBorders>
            <w:noWrap/>
            <w:vAlign w:val="center"/>
          </w:tcPr>
          <w:p w14:paraId="48C8874D">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137" w:type="dxa"/>
            <w:tcBorders>
              <w:tl2br w:val="nil"/>
              <w:tr2bl w:val="nil"/>
            </w:tcBorders>
            <w:noWrap/>
            <w:vAlign w:val="center"/>
          </w:tcPr>
          <w:p w14:paraId="4FFB752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消防用红外热像仪（台）</w:t>
            </w:r>
          </w:p>
        </w:tc>
        <w:tc>
          <w:tcPr>
            <w:tcW w:w="12229" w:type="dxa"/>
            <w:tcBorders>
              <w:tl2br w:val="nil"/>
              <w:tr2bl w:val="nil"/>
            </w:tcBorders>
            <w:noWrap/>
            <w:vAlign w:val="center"/>
          </w:tcPr>
          <w:p w14:paraId="201E8E5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在火灾或恶劣环境下，帮助消防员穿透浓烟中轻松看清方向、搜索被困人员，从容分析火灾现场环境，更快做出决策。主要用于火场探测或火源的检测，具备在火场中显示火场实时温度的功能并在显示屏中显示温度影像。</w:t>
            </w:r>
          </w:p>
          <w:p w14:paraId="3F5E442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2、产品配置：红外热像仪主机*1、电池*2、充电器*1、电池座充*1、USB数据线、防水防震携行箱。</w:t>
            </w:r>
          </w:p>
          <w:p w14:paraId="36CD55D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▲3、测温范围：不低于1000℃；测温精度：≤±2℃；</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96A3A7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4、显示屏：≥3.5英寸阳光可视显示屏；</w:t>
            </w:r>
          </w:p>
          <w:p w14:paraId="39DE3C6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5、激光指示功能：内置激光定位器，可在屏幕上显示方向，激光指针可指示危险区域；</w:t>
            </w:r>
          </w:p>
          <w:p w14:paraId="7A8E629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6、最高、低温指针搜寻功能：具有全屏自动指针搜寻最高温及最低温功能，可同时显示最高及最低温度，便于火场中快速定位及冷热点追踪；</w:t>
            </w:r>
          </w:p>
          <w:p w14:paraId="0DDF870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▲7、红外探测器分辨率：≥384*288；</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6A149B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8、热灵敏度：≤30mK；</w:t>
            </w:r>
          </w:p>
          <w:p w14:paraId="7CFD71A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9、波长范围：8-14μm；</w:t>
            </w:r>
          </w:p>
          <w:p w14:paraId="23153A8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10、采样帧速率：≥50帧/s；</w:t>
            </w:r>
          </w:p>
          <w:p w14:paraId="41CF6BC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▲11、高温环境工作时长：-20℃至85℃时，可持续工作；</w:t>
            </w:r>
            <w:r>
              <w:rPr>
                <w:rFonts w:hint="eastAsia" w:asciiTheme="minorEastAsia" w:hAnsiTheme="minorEastAsia" w:cstheme="minorEastAsia"/>
                <w:b w:val="0"/>
                <w:bCs w:val="0"/>
                <w:color w:val="auto"/>
                <w:sz w:val="21"/>
                <w:szCs w:val="21"/>
              </w:rPr>
              <w:t>1</w:t>
            </w:r>
            <w:r>
              <w:rPr>
                <w:rFonts w:hint="eastAsia" w:asciiTheme="minorEastAsia" w:hAnsiTheme="minorEastAsia" w:cstheme="minorEastAsia"/>
                <w:b w:val="0"/>
                <w:bCs w:val="0"/>
                <w:color w:val="auto"/>
                <w:sz w:val="21"/>
                <w:szCs w:val="21"/>
                <w:lang w:val="en-US" w:eastAsia="zh-CN"/>
              </w:rPr>
              <w:t>2</w:t>
            </w:r>
            <w:r>
              <w:rPr>
                <w:rFonts w:hint="eastAsia" w:asciiTheme="minorEastAsia" w:hAnsiTheme="minorEastAsia" w:cstheme="minorEastAsia"/>
                <w:b w:val="0"/>
                <w:bCs w:val="0"/>
                <w:color w:val="auto"/>
                <w:sz w:val="21"/>
                <w:szCs w:val="21"/>
              </w:rPr>
              <w:t>0℃时，≥1</w:t>
            </w:r>
            <w:r>
              <w:rPr>
                <w:rFonts w:hint="eastAsia" w:asciiTheme="minorEastAsia" w:hAnsiTheme="minorEastAsia" w:cstheme="minorEastAsia"/>
                <w:b w:val="0"/>
                <w:bCs w:val="0"/>
                <w:color w:val="auto"/>
                <w:sz w:val="21"/>
                <w:szCs w:val="21"/>
                <w:lang w:val="en-US" w:eastAsia="zh-CN"/>
              </w:rPr>
              <w:t>0</w:t>
            </w:r>
            <w:r>
              <w:rPr>
                <w:rFonts w:hint="eastAsia" w:asciiTheme="minorEastAsia" w:hAnsiTheme="minorEastAsia" w:cstheme="minorEastAsia"/>
                <w:b w:val="0"/>
                <w:bCs w:val="0"/>
                <w:color w:val="auto"/>
                <w:sz w:val="21"/>
                <w:szCs w:val="21"/>
              </w:rPr>
              <w:t>min；260℃时，≥</w:t>
            </w:r>
            <w:r>
              <w:rPr>
                <w:rFonts w:hint="eastAsia" w:asciiTheme="minorEastAsia" w:hAnsiTheme="minorEastAsia" w:cstheme="minorEastAsia"/>
                <w:b w:val="0"/>
                <w:bCs w:val="0"/>
                <w:color w:val="auto"/>
                <w:sz w:val="21"/>
                <w:szCs w:val="21"/>
                <w:lang w:val="en-US" w:eastAsia="zh-CN"/>
              </w:rPr>
              <w:t>5</w:t>
            </w:r>
            <w:r>
              <w:rPr>
                <w:rFonts w:hint="eastAsia" w:asciiTheme="minorEastAsia" w:hAnsiTheme="minorEastAsia" w:cstheme="minorEastAsia"/>
                <w:b w:val="0"/>
                <w:bCs w:val="0"/>
                <w:color w:val="auto"/>
                <w:sz w:val="21"/>
                <w:szCs w:val="21"/>
              </w:rPr>
              <w:t>min；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BD13CD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12、图像模式：火场、人员搜救、失踪人员、火情模式等多种调色板；</w:t>
            </w:r>
          </w:p>
          <w:p w14:paraId="3B44A05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▲13、防护等级：≥IP67，2米跌落至硬质地面不影响使用；</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DD6803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14、质量：≤1kg；</w:t>
            </w:r>
          </w:p>
          <w:p w14:paraId="11AF119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15、工作温度：-40℃~+60℃；储存温度：-40℃~+70℃；</w:t>
            </w:r>
          </w:p>
          <w:p w14:paraId="4F4E597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16、满足振动试验：频率范围5Hz～200Hz～5Hz，驱动振幅0.15mm，2.5g，扫描时间15min，振动方向Z；</w:t>
            </w:r>
          </w:p>
          <w:p w14:paraId="613EE5C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17、通过抗电强度、绝缘电阻、温升的检验</w:t>
            </w:r>
          </w:p>
        </w:tc>
      </w:tr>
      <w:tr w14:paraId="40291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13" w:type="dxa"/>
            <w:tcBorders>
              <w:tl2br w:val="nil"/>
              <w:tr2bl w:val="nil"/>
            </w:tcBorders>
            <w:noWrap/>
            <w:vAlign w:val="center"/>
          </w:tcPr>
          <w:p w14:paraId="2AE19A8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137" w:type="dxa"/>
            <w:tcBorders>
              <w:tl2br w:val="nil"/>
              <w:tr2bl w:val="nil"/>
            </w:tcBorders>
            <w:noWrap/>
            <w:vAlign w:val="center"/>
          </w:tcPr>
          <w:p w14:paraId="2BF1C67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望远镜</w:t>
            </w:r>
          </w:p>
        </w:tc>
        <w:tc>
          <w:tcPr>
            <w:tcW w:w="12229" w:type="dxa"/>
            <w:tcBorders>
              <w:tl2br w:val="nil"/>
              <w:tr2bl w:val="nil"/>
            </w:tcBorders>
            <w:noWrap/>
            <w:vAlign w:val="center"/>
          </w:tcPr>
          <w:p w14:paraId="5CF8358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1、结构组成：望远镜、镜包、镜布、挂绳</w:t>
            </w:r>
          </w:p>
          <w:p w14:paraId="32F2284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2、倍率：≥10X，</w:t>
            </w:r>
          </w:p>
          <w:p w14:paraId="309FF6C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3、物镜直径：≥ 42mm，</w:t>
            </w:r>
          </w:p>
          <w:p w14:paraId="23930DA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4、镜体材料：塑钢，</w:t>
            </w:r>
          </w:p>
          <w:p w14:paraId="631F9FF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5、千米视野：≥113m，</w:t>
            </w:r>
          </w:p>
          <w:p w14:paraId="127B500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6、最近对焦：≥4m，</w:t>
            </w:r>
          </w:p>
          <w:p w14:paraId="50E58C3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7、出瞳直径：≥4.2mm，</w:t>
            </w:r>
          </w:p>
          <w:p w14:paraId="7DA5CA8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8、出瞳距离：≥18.5mm，</w:t>
            </w:r>
          </w:p>
          <w:p w14:paraId="09F0AA4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9、透过率：≥84%，</w:t>
            </w:r>
          </w:p>
          <w:p w14:paraId="71E1E75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10、棱镜系统：相位膜+高反介质，</w:t>
            </w:r>
          </w:p>
          <w:p w14:paraId="6CBF48B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11、透镜镀膜：增透防水膜，</w:t>
            </w:r>
          </w:p>
          <w:p w14:paraId="4B5FB6A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12、防水等级：1.5m/30分钟，</w:t>
            </w:r>
          </w:p>
          <w:p w14:paraId="01AA227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13、内充保护气体：氮气，</w:t>
            </w:r>
          </w:p>
          <w:p w14:paraId="6B6678E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14、重量(g)：≤743，</w:t>
            </w:r>
          </w:p>
          <w:p w14:paraId="3747D30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15、尺寸(cm)：≤15X13X5.5</w:t>
            </w:r>
          </w:p>
        </w:tc>
      </w:tr>
      <w:tr w14:paraId="6D460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6" w:hRule="atLeast"/>
          <w:jc w:val="center"/>
        </w:trPr>
        <w:tc>
          <w:tcPr>
            <w:tcW w:w="713" w:type="dxa"/>
            <w:tcBorders>
              <w:tl2br w:val="nil"/>
              <w:tr2bl w:val="nil"/>
            </w:tcBorders>
            <w:noWrap/>
            <w:vAlign w:val="center"/>
          </w:tcPr>
          <w:p w14:paraId="0377168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137" w:type="dxa"/>
            <w:tcBorders>
              <w:tl2br w:val="nil"/>
              <w:tr2bl w:val="nil"/>
            </w:tcBorders>
            <w:noWrap/>
            <w:vAlign w:val="center"/>
          </w:tcPr>
          <w:p w14:paraId="0AA876D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手持电台</w:t>
            </w:r>
          </w:p>
        </w:tc>
        <w:tc>
          <w:tcPr>
            <w:tcW w:w="12229" w:type="dxa"/>
            <w:tcBorders>
              <w:tl2br w:val="nil"/>
              <w:tr2bl w:val="nil"/>
            </w:tcBorders>
            <w:noWrap/>
            <w:vAlign w:val="center"/>
          </w:tcPr>
          <w:p w14:paraId="7BE3CD40">
            <w:pPr>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1、结构组成：对讲机主机、同等级防爆两块电池、电源适配器、一张加密卡、一套肩咪、一套耳机及充电器、天线、背夹、真皮挂绳等附件。</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2、主要应用场景：用于消防员灭火救援作业中的通信。</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▲3、手持电台提供中华人民共和国工业和信息化部颁发的《无线电发射设备型号核准证》证明材料。</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▲4、手持电台应提供国家级或国家认可的第三方检测检验机构出具的检测检验报告，且报告应完整有效。</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5、手持电台须内置蓝牙模块，蓝牙协议版本不低于Bluetooth V4.0。旋钮支持360°无极型旋转，可循环切换不同的组呼联系人。</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6、手持电台须支持智能降噪功能，在噪声环境下讲话，接收方能听到清晰语音，最大可达到25dB。</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▲7、手持电台外壳防护等级≥IP68，提供国家级或国家认可的第三方检测检验机构出具的检测检验报告或证书。</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▲8、手持电台通过国家电气产品防爆认证，防爆等级不低于Ex ib IIB T4 Gb（爆炸性气体）和Ex ibD 21 T130℃ Db（爆炸性粉尘）（提供国家级或国家认可的第三方检测检验机构出具的检测检验报告或证书）。</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Style w:val="8"/>
                <w:rFonts w:hint="default"/>
                <w:color w:val="000000" w:themeColor="text1"/>
                <w:sz w:val="21"/>
                <w:szCs w:val="21"/>
                <w:lang w:bidi="ar"/>
                <w14:textFill>
                  <w14:solidFill>
                    <w14:schemeClr w14:val="tx1"/>
                  </w14:solidFill>
                </w14:textFill>
              </w:rPr>
              <w:t>9、对讲机数字静态接收灵敏度须≤-120dbm（0.22μV）（BER5%）。</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 xml:space="preserve">10、在直通模式下，在近距离 1.5米的下通话，彼此不产生信号干扰。                                                                                   </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11、频率范围： 350-400MHz。</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12、信道容量 ≥1000。</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13、信道间隔 12.5 KHz/20 KHz /25 KHz 。</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14、发射功率：1~3.5W 可调。</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15、电池  ≥2000mAh(防爆专用) 。</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16、待机时间 ＞10h  。</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17、外观尺寸 (标配电池，不含天线)：≤140*60*45mm。</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18、重量 (带标配电池和天线)≤450克。</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19、支持北斗定位，水平位置精度≤5米。</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 xml:space="preserve">20、支持通知提醒功能，终端会对未接的业务进行提醒，提醒信息中包含多种信息，如业务类型、发起时间等。                                                                                               </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▲21、需配备防爆肩咪，防爆肩咪防爆等级不低于Ex ib IIC T6 Gb，提供国家级或国家认可的第三方检测检验机构出具的检测检验报告或证书。</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▲22、防爆肩咪防护等级不低于IP68，提供国家级或国家认可的第三方检测检验机构出具的检测检验报告或证书。</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23、防爆肩咪PTT按键使用次数≥24万次。</w:t>
            </w:r>
            <w:r>
              <w:rPr>
                <w:rFonts w:hint="eastAsia" w:ascii="宋体" w:hAnsi="宋体" w:eastAsia="宋体" w:cs="宋体"/>
                <w:color w:val="000000" w:themeColor="text1"/>
                <w:kern w:val="0"/>
                <w:sz w:val="21"/>
                <w:szCs w:val="21"/>
                <w:lang w:bidi="ar"/>
                <w14:textFill>
                  <w14:solidFill>
                    <w14:schemeClr w14:val="tx1"/>
                  </w14:solidFill>
                </w14:textFill>
              </w:rPr>
              <w:br w:type="textWrapping"/>
            </w:r>
            <w:r>
              <w:rPr>
                <w:rFonts w:hint="eastAsia" w:ascii="宋体" w:hAnsi="宋体" w:eastAsia="宋体" w:cs="宋体"/>
                <w:color w:val="000000" w:themeColor="text1"/>
                <w:kern w:val="0"/>
                <w:sz w:val="21"/>
                <w:szCs w:val="21"/>
                <w:lang w:bidi="ar"/>
                <w14:textFill>
                  <w14:solidFill>
                    <w14:schemeClr w14:val="tx1"/>
                  </w14:solidFill>
                </w14:textFill>
              </w:rPr>
              <w:t>▲24、符合当地公安数字集群系统接入要求，支持NVOC1.02.015版本声码器。需提供所投品牌型号已接入当地公安数字集群的电台样机，或当地公安承诺接入说明，或投标人承诺能接入当地公安数字集群的承诺函，并负责具体接入工作，后续为应急370M提供升级服务。</w:t>
            </w:r>
          </w:p>
        </w:tc>
      </w:tr>
      <w:tr w14:paraId="1A95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9" w:hRule="atLeast"/>
          <w:jc w:val="center"/>
        </w:trPr>
        <w:tc>
          <w:tcPr>
            <w:tcW w:w="713" w:type="dxa"/>
            <w:tcBorders>
              <w:tl2br w:val="nil"/>
              <w:tr2bl w:val="nil"/>
            </w:tcBorders>
            <w:noWrap/>
            <w:vAlign w:val="center"/>
          </w:tcPr>
          <w:p w14:paraId="3226189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137" w:type="dxa"/>
            <w:tcBorders>
              <w:tl2br w:val="nil"/>
              <w:tr2bl w:val="nil"/>
            </w:tcBorders>
            <w:noWrap/>
            <w:vAlign w:val="center"/>
          </w:tcPr>
          <w:p w14:paraId="7A89CD6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无齿锯</w:t>
            </w:r>
          </w:p>
        </w:tc>
        <w:tc>
          <w:tcPr>
            <w:tcW w:w="12229" w:type="dxa"/>
            <w:tcBorders>
              <w:tl2br w:val="nil"/>
              <w:tr2bl w:val="nil"/>
            </w:tcBorders>
            <w:noWrap/>
            <w:vAlign w:val="center"/>
          </w:tcPr>
          <w:p w14:paraId="3449601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1、主要应用场景：适用于切割金属和混凝土材料的手持切割机，可以用水冲洗，适合各种恶劣环境中使用</w:t>
            </w:r>
          </w:p>
          <w:p w14:paraId="4518CD6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2、结构组件：发动机缸体组件、电喷化油器组件、启动器组件、锯片等组件"</w:t>
            </w:r>
          </w:p>
          <w:p w14:paraId="2B034DF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▲3、发动机气缸排量≥110（cc）</w:t>
            </w:r>
          </w:p>
          <w:p w14:paraId="693C040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▲4、功率≥5.5KW</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9E18AB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w:t>
            </w:r>
            <w:r>
              <w:rPr>
                <w:rFonts w:hint="eastAsia" w:asciiTheme="minorEastAsia" w:hAnsiTheme="minorEastAsia" w:cstheme="minorEastAsia"/>
                <w:b w:val="0"/>
                <w:bCs w:val="0"/>
                <w:color w:val="auto"/>
                <w:sz w:val="21"/>
                <w:szCs w:val="21"/>
              </w:rPr>
              <w:t>怠速≥</w:t>
            </w:r>
            <w:r>
              <w:rPr>
                <w:rFonts w:hint="eastAsia" w:asciiTheme="minorEastAsia" w:hAnsiTheme="minorEastAsia" w:cstheme="minorEastAsia"/>
                <w:b w:val="0"/>
                <w:bCs w:val="0"/>
                <w:color w:val="auto"/>
                <w:sz w:val="21"/>
                <w:szCs w:val="21"/>
                <w:lang w:val="en-US" w:eastAsia="zh-CN"/>
              </w:rPr>
              <w:t>2700</w:t>
            </w:r>
            <w:r>
              <w:rPr>
                <w:rFonts w:hint="eastAsia" w:asciiTheme="minorEastAsia" w:hAnsiTheme="minorEastAsia" w:cstheme="minorEastAsia"/>
                <w:b w:val="0"/>
                <w:bCs w:val="0"/>
                <w:color w:val="auto"/>
                <w:sz w:val="21"/>
                <w:szCs w:val="21"/>
              </w:rPr>
              <w:t xml:space="preserve"> rpm</w:t>
            </w:r>
            <w:r>
              <w:rPr>
                <w:rFonts w:hint="eastAsia"/>
                <w:b w:val="0"/>
                <w:bCs w:val="0"/>
                <w:color w:val="auto"/>
                <w:sz w:val="21"/>
                <w:szCs w:val="21"/>
              </w:rPr>
              <w:t>（</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EBDCA6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▲6、功率转速≥9000 rpm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D92202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7、气缸缸径≥45 mm</w:t>
            </w:r>
          </w:p>
          <w:p w14:paraId="32E38F0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8、活塞行程≥30 mm</w:t>
            </w:r>
          </w:p>
          <w:p w14:paraId="1F0B5D4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9、燃油箱容量≥0.9L，为汽机混合油</w:t>
            </w:r>
          </w:p>
          <w:p w14:paraId="74A0844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10、重量≤15 公斤</w:t>
            </w:r>
          </w:p>
          <w:p w14:paraId="13D0300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11、常温启到性能≤8S</w:t>
            </w:r>
          </w:p>
          <w:p w14:paraId="15B0758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▲12、耳旁噪声：高速空转≤105dB</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9A06B9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w:t>
            </w:r>
            <w:r>
              <w:rPr>
                <w:rFonts w:hint="eastAsia" w:asciiTheme="minorEastAsia" w:hAnsiTheme="minorEastAsia" w:cstheme="minorEastAsia"/>
                <w:b w:val="0"/>
                <w:bCs w:val="0"/>
                <w:color w:val="auto"/>
                <w:sz w:val="21"/>
                <w:szCs w:val="21"/>
              </w:rPr>
              <w:t>锯片直径≥</w:t>
            </w:r>
            <w:r>
              <w:rPr>
                <w:rFonts w:hint="eastAsia" w:asciiTheme="minorEastAsia" w:hAnsiTheme="minorEastAsia" w:cstheme="minorEastAsia"/>
                <w:b w:val="0"/>
                <w:bCs w:val="0"/>
                <w:color w:val="auto"/>
                <w:sz w:val="21"/>
                <w:szCs w:val="21"/>
                <w:lang w:val="en-US" w:eastAsia="zh-CN"/>
              </w:rPr>
              <w:t>350</w:t>
            </w:r>
            <w:r>
              <w:rPr>
                <w:rFonts w:hint="eastAsia" w:asciiTheme="minorEastAsia" w:hAnsiTheme="minorEastAsia" w:cstheme="minorEastAsia"/>
                <w:b w:val="0"/>
                <w:bCs w:val="0"/>
                <w:color w:val="auto"/>
                <w:sz w:val="21"/>
                <w:szCs w:val="21"/>
              </w:rPr>
              <w:t xml:space="preserve"> 毫米、切割深度≥1</w:t>
            </w:r>
            <w:r>
              <w:rPr>
                <w:rFonts w:hint="eastAsia" w:asciiTheme="minorEastAsia" w:hAnsiTheme="minorEastAsia" w:cstheme="minorEastAsia"/>
                <w:b w:val="0"/>
                <w:bCs w:val="0"/>
                <w:color w:val="auto"/>
                <w:sz w:val="21"/>
                <w:szCs w:val="21"/>
                <w:lang w:val="en-US" w:eastAsia="zh-CN"/>
              </w:rPr>
              <w:t>2</w:t>
            </w:r>
            <w:r>
              <w:rPr>
                <w:rFonts w:hint="eastAsia" w:asciiTheme="minorEastAsia" w:hAnsiTheme="minorEastAsia" w:cstheme="minorEastAsia"/>
                <w:b w:val="0"/>
                <w:bCs w:val="0"/>
                <w:color w:val="auto"/>
                <w:sz w:val="21"/>
                <w:szCs w:val="21"/>
              </w:rPr>
              <w:t>5 毫米</w:t>
            </w:r>
          </w:p>
        </w:tc>
      </w:tr>
      <w:tr w14:paraId="251C2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3" w:hRule="atLeast"/>
          <w:jc w:val="center"/>
        </w:trPr>
        <w:tc>
          <w:tcPr>
            <w:tcW w:w="713" w:type="dxa"/>
            <w:tcBorders>
              <w:tl2br w:val="nil"/>
              <w:tr2bl w:val="nil"/>
            </w:tcBorders>
            <w:noWrap/>
            <w:vAlign w:val="center"/>
          </w:tcPr>
          <w:p w14:paraId="75EBE7D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137" w:type="dxa"/>
            <w:tcBorders>
              <w:tl2br w:val="nil"/>
              <w:tr2bl w:val="nil"/>
            </w:tcBorders>
            <w:noWrap/>
            <w:vAlign w:val="center"/>
          </w:tcPr>
          <w:p w14:paraId="762ADD9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机动链锯</w:t>
            </w:r>
          </w:p>
        </w:tc>
        <w:tc>
          <w:tcPr>
            <w:tcW w:w="12229" w:type="dxa"/>
            <w:tcBorders>
              <w:tl2br w:val="nil"/>
              <w:tr2bl w:val="nil"/>
            </w:tcBorders>
            <w:noWrap/>
            <w:vAlign w:val="center"/>
          </w:tcPr>
          <w:p w14:paraId="4123112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1、符合 GB/T 5392-2004《林业机械油锯技术条件》</w:t>
            </w:r>
          </w:p>
          <w:p w14:paraId="1E5F8F9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提供国家级或国家认可的第三方检测检验机构出具的检测检验报告</w:t>
            </w:r>
          </w:p>
          <w:p w14:paraId="1483A4A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 发动机气缸排量≥50 cm³；</w:t>
            </w:r>
          </w:p>
          <w:p w14:paraId="4815E84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4、功率≥2.4 KW；</w:t>
            </w:r>
          </w:p>
          <w:p w14:paraId="19A7667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5、怠速≥2700 rpm；</w:t>
            </w:r>
          </w:p>
          <w:p w14:paraId="47ABDDC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6、功率转速≥9500 rpm；</w:t>
            </w:r>
          </w:p>
          <w:p w14:paraId="7AB18C6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7、气缸缸径≥40 mm；</w:t>
            </w:r>
          </w:p>
          <w:p w14:paraId="65F6257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8、活塞行程≥30 mm；</w:t>
            </w:r>
          </w:p>
          <w:p w14:paraId="127F971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9、燃油箱容量≥0.45 升；</w:t>
            </w:r>
          </w:p>
          <w:p w14:paraId="32A2776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10、链条润滑油箱容量≥0.25 升；</w:t>
            </w:r>
          </w:p>
          <w:p w14:paraId="3EF79C8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11、链条长度≥18 寸；</w:t>
            </w:r>
          </w:p>
          <w:p w14:paraId="13A95C4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12、重量≤5.5kg。</w:t>
            </w:r>
          </w:p>
        </w:tc>
      </w:tr>
    </w:tbl>
    <w:p w14:paraId="1E26E369"/>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06B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2489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52489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MGFiODkzYmNkZDZlMDgyMmRkZWIzNWQ5NmRhODAifQ=="/>
    <w:docVar w:name="KSO_WPS_MARK_KEY" w:val="a8346a07-9af4-4a46-ae19-72755cfc4d42"/>
  </w:docVars>
  <w:rsids>
    <w:rsidRoot w:val="58060D1D"/>
    <w:rsid w:val="002B1184"/>
    <w:rsid w:val="004B1837"/>
    <w:rsid w:val="004F3AB9"/>
    <w:rsid w:val="005204CF"/>
    <w:rsid w:val="00C07D2B"/>
    <w:rsid w:val="00E00882"/>
    <w:rsid w:val="00FF56BA"/>
    <w:rsid w:val="01D6466C"/>
    <w:rsid w:val="02186028"/>
    <w:rsid w:val="02791BE4"/>
    <w:rsid w:val="02B32C00"/>
    <w:rsid w:val="03062D2F"/>
    <w:rsid w:val="03E14EEA"/>
    <w:rsid w:val="04840C6B"/>
    <w:rsid w:val="04842AA6"/>
    <w:rsid w:val="051200B1"/>
    <w:rsid w:val="05526700"/>
    <w:rsid w:val="056E2E19"/>
    <w:rsid w:val="05A84572"/>
    <w:rsid w:val="0600615C"/>
    <w:rsid w:val="069E2365"/>
    <w:rsid w:val="071A324D"/>
    <w:rsid w:val="08B817B1"/>
    <w:rsid w:val="095A2027"/>
    <w:rsid w:val="09B90AFC"/>
    <w:rsid w:val="0BC43AAC"/>
    <w:rsid w:val="0BC86F9D"/>
    <w:rsid w:val="0C142961"/>
    <w:rsid w:val="0C346B5F"/>
    <w:rsid w:val="0C514BB1"/>
    <w:rsid w:val="0F113188"/>
    <w:rsid w:val="0F1D1B2D"/>
    <w:rsid w:val="10AB013D"/>
    <w:rsid w:val="118358E3"/>
    <w:rsid w:val="122E4051"/>
    <w:rsid w:val="13A26AA4"/>
    <w:rsid w:val="1494463F"/>
    <w:rsid w:val="15E52094"/>
    <w:rsid w:val="16AB3EBF"/>
    <w:rsid w:val="174434A2"/>
    <w:rsid w:val="17B86896"/>
    <w:rsid w:val="18196DB2"/>
    <w:rsid w:val="18C474BD"/>
    <w:rsid w:val="19E73463"/>
    <w:rsid w:val="1AB9713F"/>
    <w:rsid w:val="1ADC289C"/>
    <w:rsid w:val="1B956F41"/>
    <w:rsid w:val="1B963FE2"/>
    <w:rsid w:val="1C0F6CA1"/>
    <w:rsid w:val="1C201581"/>
    <w:rsid w:val="1CD62A5F"/>
    <w:rsid w:val="1D05386C"/>
    <w:rsid w:val="1E502952"/>
    <w:rsid w:val="1F545579"/>
    <w:rsid w:val="1FAB4F33"/>
    <w:rsid w:val="20163CEE"/>
    <w:rsid w:val="209D0D1F"/>
    <w:rsid w:val="222504E1"/>
    <w:rsid w:val="22470620"/>
    <w:rsid w:val="22656929"/>
    <w:rsid w:val="22951105"/>
    <w:rsid w:val="231B3181"/>
    <w:rsid w:val="237F295E"/>
    <w:rsid w:val="2477192F"/>
    <w:rsid w:val="24997A50"/>
    <w:rsid w:val="260D4251"/>
    <w:rsid w:val="261455E0"/>
    <w:rsid w:val="26977FBF"/>
    <w:rsid w:val="274041B2"/>
    <w:rsid w:val="27E26D38"/>
    <w:rsid w:val="28011B94"/>
    <w:rsid w:val="28C42262"/>
    <w:rsid w:val="29D637A3"/>
    <w:rsid w:val="2B5B270D"/>
    <w:rsid w:val="2B884D9C"/>
    <w:rsid w:val="2C7E7C57"/>
    <w:rsid w:val="2CD85994"/>
    <w:rsid w:val="2CDC497D"/>
    <w:rsid w:val="2D092E8B"/>
    <w:rsid w:val="2E680C75"/>
    <w:rsid w:val="2E7D42C0"/>
    <w:rsid w:val="2E935510"/>
    <w:rsid w:val="2EFC30B5"/>
    <w:rsid w:val="2F251640"/>
    <w:rsid w:val="2F3F2A21"/>
    <w:rsid w:val="2FD72417"/>
    <w:rsid w:val="308C2216"/>
    <w:rsid w:val="32942AE0"/>
    <w:rsid w:val="34046724"/>
    <w:rsid w:val="340D7B7D"/>
    <w:rsid w:val="34360E17"/>
    <w:rsid w:val="343840B6"/>
    <w:rsid w:val="34433534"/>
    <w:rsid w:val="344A6BD0"/>
    <w:rsid w:val="35F61A55"/>
    <w:rsid w:val="36CC2CA1"/>
    <w:rsid w:val="374856D6"/>
    <w:rsid w:val="37824373"/>
    <w:rsid w:val="379E0F4D"/>
    <w:rsid w:val="37D746BF"/>
    <w:rsid w:val="37F138CB"/>
    <w:rsid w:val="3870241E"/>
    <w:rsid w:val="38CD5D64"/>
    <w:rsid w:val="391B4A7F"/>
    <w:rsid w:val="392E47B3"/>
    <w:rsid w:val="39770C8F"/>
    <w:rsid w:val="3B822B94"/>
    <w:rsid w:val="3BD039AA"/>
    <w:rsid w:val="3BF874C3"/>
    <w:rsid w:val="3DC44D8F"/>
    <w:rsid w:val="3DC71424"/>
    <w:rsid w:val="3ECB78A7"/>
    <w:rsid w:val="3EFA588C"/>
    <w:rsid w:val="3F7171A7"/>
    <w:rsid w:val="3FBA0B4E"/>
    <w:rsid w:val="3FF73B50"/>
    <w:rsid w:val="40164C45"/>
    <w:rsid w:val="40803165"/>
    <w:rsid w:val="40F008F8"/>
    <w:rsid w:val="414516A1"/>
    <w:rsid w:val="41832C2C"/>
    <w:rsid w:val="419B675D"/>
    <w:rsid w:val="42213CA4"/>
    <w:rsid w:val="42CF7069"/>
    <w:rsid w:val="44AA2997"/>
    <w:rsid w:val="454263B3"/>
    <w:rsid w:val="459260C9"/>
    <w:rsid w:val="46C73B51"/>
    <w:rsid w:val="47E44403"/>
    <w:rsid w:val="4828095D"/>
    <w:rsid w:val="48734BA6"/>
    <w:rsid w:val="48BF1AAC"/>
    <w:rsid w:val="4957611D"/>
    <w:rsid w:val="498A5B54"/>
    <w:rsid w:val="499E764F"/>
    <w:rsid w:val="4A064990"/>
    <w:rsid w:val="4A764CD1"/>
    <w:rsid w:val="4A8003E1"/>
    <w:rsid w:val="4B0233A9"/>
    <w:rsid w:val="4B705624"/>
    <w:rsid w:val="4BEB02E1"/>
    <w:rsid w:val="4C4F0870"/>
    <w:rsid w:val="4CD355CB"/>
    <w:rsid w:val="4D62750F"/>
    <w:rsid w:val="4D765B23"/>
    <w:rsid w:val="4E5C2A36"/>
    <w:rsid w:val="4EAD187E"/>
    <w:rsid w:val="4F091CEF"/>
    <w:rsid w:val="4F152A9B"/>
    <w:rsid w:val="4FA41F47"/>
    <w:rsid w:val="4FDF1F0B"/>
    <w:rsid w:val="5181771E"/>
    <w:rsid w:val="52102850"/>
    <w:rsid w:val="523A23AA"/>
    <w:rsid w:val="52A03BD4"/>
    <w:rsid w:val="52E15F9A"/>
    <w:rsid w:val="53894668"/>
    <w:rsid w:val="53A66F6C"/>
    <w:rsid w:val="54D4700C"/>
    <w:rsid w:val="55F54236"/>
    <w:rsid w:val="56786C15"/>
    <w:rsid w:val="56DA167E"/>
    <w:rsid w:val="57234C57"/>
    <w:rsid w:val="573E1C0D"/>
    <w:rsid w:val="57F56770"/>
    <w:rsid w:val="58060D1D"/>
    <w:rsid w:val="58112E7E"/>
    <w:rsid w:val="59AA320E"/>
    <w:rsid w:val="59B166C6"/>
    <w:rsid w:val="59DF490B"/>
    <w:rsid w:val="5A627366"/>
    <w:rsid w:val="5B417FD4"/>
    <w:rsid w:val="5B4A663E"/>
    <w:rsid w:val="5B856C33"/>
    <w:rsid w:val="5D4C4B62"/>
    <w:rsid w:val="5D6E48CE"/>
    <w:rsid w:val="5D775E79"/>
    <w:rsid w:val="5DA86032"/>
    <w:rsid w:val="5E764909"/>
    <w:rsid w:val="5FBC5DC5"/>
    <w:rsid w:val="60D04CB9"/>
    <w:rsid w:val="61486B32"/>
    <w:rsid w:val="615C33BC"/>
    <w:rsid w:val="61E302BD"/>
    <w:rsid w:val="61EB0BE3"/>
    <w:rsid w:val="621A0D00"/>
    <w:rsid w:val="627B1F67"/>
    <w:rsid w:val="629C185D"/>
    <w:rsid w:val="62AD654A"/>
    <w:rsid w:val="62EE2739"/>
    <w:rsid w:val="63381C06"/>
    <w:rsid w:val="63754325"/>
    <w:rsid w:val="6408782B"/>
    <w:rsid w:val="64847FFA"/>
    <w:rsid w:val="661F4F29"/>
    <w:rsid w:val="666379E0"/>
    <w:rsid w:val="66F127F8"/>
    <w:rsid w:val="67957627"/>
    <w:rsid w:val="67D619EE"/>
    <w:rsid w:val="67E97973"/>
    <w:rsid w:val="681744E0"/>
    <w:rsid w:val="687A664C"/>
    <w:rsid w:val="69772AF9"/>
    <w:rsid w:val="6A10568B"/>
    <w:rsid w:val="6A45467A"/>
    <w:rsid w:val="6A505A87"/>
    <w:rsid w:val="6A971908"/>
    <w:rsid w:val="6D1B66F2"/>
    <w:rsid w:val="6D4318D3"/>
    <w:rsid w:val="6D462FD6"/>
    <w:rsid w:val="6DF01C95"/>
    <w:rsid w:val="6E3A65FE"/>
    <w:rsid w:val="6E4A0A40"/>
    <w:rsid w:val="6E91041D"/>
    <w:rsid w:val="6EAE2C78"/>
    <w:rsid w:val="6EC06066"/>
    <w:rsid w:val="6F9D176F"/>
    <w:rsid w:val="70CB40D2"/>
    <w:rsid w:val="70DB2328"/>
    <w:rsid w:val="71324132"/>
    <w:rsid w:val="724C281A"/>
    <w:rsid w:val="724E5664"/>
    <w:rsid w:val="729B47FD"/>
    <w:rsid w:val="73B438B6"/>
    <w:rsid w:val="73FA69C9"/>
    <w:rsid w:val="74850A24"/>
    <w:rsid w:val="751C3136"/>
    <w:rsid w:val="756760E3"/>
    <w:rsid w:val="766313D8"/>
    <w:rsid w:val="76E750BB"/>
    <w:rsid w:val="76F544F5"/>
    <w:rsid w:val="77A6318B"/>
    <w:rsid w:val="79132AA2"/>
    <w:rsid w:val="7A0B7B0C"/>
    <w:rsid w:val="7A8C1E13"/>
    <w:rsid w:val="7AB44015"/>
    <w:rsid w:val="7B234D99"/>
    <w:rsid w:val="7BE40725"/>
    <w:rsid w:val="7C280612"/>
    <w:rsid w:val="7C4D4EE6"/>
    <w:rsid w:val="7C6F6241"/>
    <w:rsid w:val="7D28356D"/>
    <w:rsid w:val="7D4F7E21"/>
    <w:rsid w:val="7DC84742"/>
    <w:rsid w:val="7DFD5ACF"/>
    <w:rsid w:val="7F2A1E29"/>
    <w:rsid w:val="7F5434EC"/>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unhideWhenUsed/>
    <w:qFormat/>
    <w:uiPriority w:val="99"/>
    <w:pPr>
      <w:ind w:firstLine="420" w:firstLineChars="200"/>
    </w:pPr>
  </w:style>
  <w:style w:type="character" w:customStyle="1" w:styleId="8">
    <w:name w:val="font4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2315</Words>
  <Characters>2672</Characters>
  <Lines>64</Lines>
  <Paragraphs>80</Paragraphs>
  <TotalTime>1</TotalTime>
  <ScaleCrop>false</ScaleCrop>
  <LinksUpToDate>false</LinksUpToDate>
  <CharactersWithSpaces>2901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2024-10-15T07:07:00Z</dcterms:created>
  <dc:creator>朱绍莉</dc:creator>
  <cp:lastModifiedBy>echo</cp:lastModifiedBy>
  <cp:lastPrinted>2025-06-25T07:04:00Z</cp:lastPrinted>
  <dcterms:modified xsi:type="dcterms:W3CDTF">2025-10-22T09:29:12Z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8472C789BAAC48CA92476FCE7BD2BBC3_13</vt:lpwstr>
  </property>
  <property fmtid="{D5CDD505-2E9C-101B-9397-08002B2CF9AE}" pid="4" name="KSOTemplateDocerSaveRecord">
    <vt:lpwstr>eyJoZGlkIjoiNzE2YTFhMzIzYWQ4ZTU0ZmE2NmY2ZTY3NTJjMzBmNTYiLCJ1c2VySWQiOiI0ODA0NzMwMjQifQ==</vt:lpwstr>
  </property>
</Properties>
</file>