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36E05">
      <w:pPr>
        <w:pBdr>
          <w:top w:val="none" w:color="000000" w:sz="0" w:space="0"/>
          <w:left w:val="none" w:color="000000" w:sz="0" w:space="0"/>
          <w:bottom w:val="none" w:color="000000" w:sz="0" w:space="0"/>
          <w:right w:val="none" w:color="000000" w:sz="0" w:space="0"/>
        </w:pBdr>
        <w:spacing w:before="120" w:after="120" w:line="85" w:lineRule="atLeast"/>
        <w:jc w:val="center"/>
        <w:rPr>
          <w:rFonts w:ascii="宋体" w:hAnsi="宋体" w:eastAsia="宋体" w:cs="宋体"/>
          <w:b/>
          <w:color w:val="auto"/>
          <w:sz w:val="52"/>
          <w:szCs w:val="52"/>
          <w:highlight w:val="none"/>
        </w:rPr>
      </w:pPr>
    </w:p>
    <w:p w14:paraId="5370BCA3">
      <w:pPr>
        <w:pBdr>
          <w:top w:val="none" w:color="000000" w:sz="0" w:space="0"/>
          <w:left w:val="none" w:color="000000" w:sz="0" w:space="0"/>
          <w:bottom w:val="none" w:color="000000" w:sz="0" w:space="0"/>
          <w:right w:val="none" w:color="000000" w:sz="0" w:space="0"/>
        </w:pBdr>
        <w:spacing w:before="120" w:after="120" w:line="85" w:lineRule="atLeast"/>
        <w:jc w:val="center"/>
        <w:rPr>
          <w:rFonts w:ascii="宋体" w:hAnsi="宋体" w:eastAsia="宋体" w:cs="宋体"/>
          <w:b/>
          <w:color w:val="auto"/>
          <w:sz w:val="52"/>
          <w:szCs w:val="52"/>
          <w:highlight w:val="none"/>
        </w:rPr>
      </w:pPr>
    </w:p>
    <w:p w14:paraId="6B3DF562">
      <w:pPr>
        <w:pBdr>
          <w:top w:val="none" w:color="000000" w:sz="0" w:space="0"/>
          <w:left w:val="none" w:color="000000" w:sz="0" w:space="0"/>
          <w:bottom w:val="none" w:color="000000" w:sz="0" w:space="0"/>
          <w:right w:val="none" w:color="000000" w:sz="0" w:space="0"/>
        </w:pBdr>
        <w:spacing w:before="120" w:after="120" w:line="85" w:lineRule="atLeast"/>
        <w:jc w:val="center"/>
        <w:rPr>
          <w:rFonts w:ascii="宋体" w:hAnsi="宋体" w:eastAsia="宋体" w:cs="宋体"/>
          <w:color w:val="auto"/>
          <w:sz w:val="52"/>
          <w:szCs w:val="52"/>
          <w:highlight w:val="none"/>
        </w:rPr>
      </w:pPr>
      <w:r>
        <w:rPr>
          <w:rFonts w:hint="eastAsia" w:ascii="宋体" w:hAnsi="宋体" w:eastAsia="宋体" w:cs="宋体"/>
          <w:b/>
          <w:color w:val="auto"/>
          <w:sz w:val="52"/>
          <w:szCs w:val="52"/>
          <w:highlight w:val="none"/>
        </w:rPr>
        <w:t>六合区道路交通违法及交通事故证据司法鉴定服务项目</w:t>
      </w:r>
    </w:p>
    <w:p w14:paraId="6EB2EC6A">
      <w:pPr>
        <w:pBdr>
          <w:top w:val="none" w:color="000000" w:sz="0" w:space="0"/>
          <w:left w:val="none" w:color="000000" w:sz="0" w:space="0"/>
          <w:bottom w:val="none" w:color="000000" w:sz="0" w:space="0"/>
          <w:right w:val="none" w:color="000000" w:sz="0" w:space="0"/>
        </w:pBdr>
        <w:spacing w:before="240" w:after="240"/>
        <w:rPr>
          <w:rFonts w:ascii="宋体" w:hAnsi="宋体" w:eastAsia="宋体" w:cs="宋体"/>
          <w:color w:val="auto"/>
          <w:sz w:val="24"/>
          <w:highlight w:val="none"/>
        </w:rPr>
      </w:pPr>
      <w:r>
        <w:rPr>
          <w:rFonts w:hint="eastAsia" w:ascii="宋体" w:hAnsi="宋体" w:eastAsia="宋体" w:cs="宋体"/>
          <w:color w:val="auto"/>
          <w:sz w:val="24"/>
          <w:highlight w:val="none"/>
        </w:rPr>
        <w:t> </w:t>
      </w:r>
    </w:p>
    <w:p w14:paraId="26656DBD">
      <w:pPr>
        <w:pStyle w:val="6"/>
        <w:rPr>
          <w:color w:val="auto"/>
          <w:highlight w:val="none"/>
        </w:rPr>
      </w:pPr>
    </w:p>
    <w:p w14:paraId="18B52DDC">
      <w:pPr>
        <w:pStyle w:val="72"/>
        <w:rPr>
          <w:color w:val="auto"/>
          <w:highlight w:val="none"/>
        </w:rPr>
      </w:pPr>
    </w:p>
    <w:p w14:paraId="068BF0C3">
      <w:pPr>
        <w:widowControl w:val="0"/>
        <w:jc w:val="center"/>
        <w:rPr>
          <w:rFonts w:ascii="宋体" w:hAnsi="宋体" w:eastAsia="宋体" w:cs="宋体"/>
          <w:color w:val="auto"/>
          <w:highlight w:val="none"/>
        </w:rPr>
      </w:pPr>
      <w:r>
        <w:rPr>
          <w:rFonts w:hint="eastAsia" w:ascii="宋体" w:hAnsi="宋体" w:eastAsia="宋体" w:cs="Arial"/>
          <w:b/>
          <w:bCs/>
          <w:color w:val="auto"/>
          <w:sz w:val="72"/>
          <w:szCs w:val="72"/>
          <w:highlight w:val="none"/>
        </w:rPr>
        <w:t>招标文件</w:t>
      </w:r>
    </w:p>
    <w:p w14:paraId="03BC43E4">
      <w:pPr>
        <w:pBdr>
          <w:top w:val="none" w:color="000000" w:sz="0" w:space="0"/>
          <w:left w:val="none" w:color="000000" w:sz="0" w:space="0"/>
          <w:bottom w:val="none" w:color="000000" w:sz="0" w:space="0"/>
          <w:right w:val="none" w:color="000000" w:sz="0" w:space="0"/>
        </w:pBdr>
        <w:spacing w:before="120" w:after="120" w:line="85" w:lineRule="atLeast"/>
        <w:jc w:val="center"/>
        <w:rPr>
          <w:rFonts w:hint="eastAsia" w:ascii="宋体" w:hAnsi="宋体" w:eastAsia="宋体" w:cs="宋体"/>
          <w:b/>
          <w:color w:val="auto"/>
          <w:sz w:val="32"/>
          <w:highlight w:val="none"/>
        </w:rPr>
      </w:pPr>
      <w:r>
        <w:rPr>
          <w:rFonts w:hint="eastAsia" w:ascii="宋体" w:hAnsi="宋体" w:eastAsia="宋体" w:cs="宋体"/>
          <w:b/>
          <w:color w:val="auto"/>
          <w:sz w:val="84"/>
          <w:highlight w:val="none"/>
        </w:rPr>
        <w:t> </w:t>
      </w:r>
    </w:p>
    <w:p w14:paraId="4E95CFD5">
      <w:pPr>
        <w:pBdr>
          <w:top w:val="none" w:color="000000" w:sz="0" w:space="0"/>
          <w:left w:val="none" w:color="000000" w:sz="0" w:space="0"/>
          <w:bottom w:val="none" w:color="000000" w:sz="0" w:space="0"/>
          <w:right w:val="none" w:color="000000" w:sz="0" w:space="0"/>
        </w:pBdr>
        <w:spacing w:before="120" w:after="120" w:line="85" w:lineRule="atLeas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项目编号：JSZC-320116-NJJZ-G2025-0009 </w:t>
      </w:r>
    </w:p>
    <w:p w14:paraId="6F2030AE">
      <w:pPr>
        <w:jc w:val="center"/>
        <w:rPr>
          <w:b/>
          <w:color w:val="auto"/>
          <w:sz w:val="30"/>
          <w:szCs w:val="30"/>
          <w:highlight w:val="none"/>
        </w:rPr>
      </w:pPr>
      <w:r>
        <w:rPr>
          <w:rFonts w:hint="eastAsia"/>
          <w:b/>
          <w:color w:val="auto"/>
          <w:sz w:val="30"/>
          <w:szCs w:val="30"/>
          <w:highlight w:val="none"/>
        </w:rPr>
        <w:t>（非</w:t>
      </w:r>
      <w:r>
        <w:rPr>
          <w:rFonts w:hint="eastAsia" w:ascii="宋体" w:hAnsi="宋体" w:cs="宋体"/>
          <w:b/>
          <w:bCs/>
          <w:color w:val="auto"/>
          <w:sz w:val="30"/>
          <w:szCs w:val="30"/>
          <w:highlight w:val="none"/>
        </w:rPr>
        <w:t>专门</w:t>
      </w:r>
      <w:r>
        <w:rPr>
          <w:rFonts w:hint="eastAsia"/>
          <w:b/>
          <w:color w:val="auto"/>
          <w:sz w:val="30"/>
          <w:szCs w:val="30"/>
          <w:highlight w:val="none"/>
        </w:rPr>
        <w:t>面向中小企业）</w:t>
      </w:r>
    </w:p>
    <w:p w14:paraId="030102E9">
      <w:pPr>
        <w:pBdr>
          <w:top w:val="none" w:color="000000" w:sz="0" w:space="0"/>
          <w:left w:val="none" w:color="000000" w:sz="0" w:space="0"/>
          <w:bottom w:val="none" w:color="000000" w:sz="0" w:space="0"/>
          <w:right w:val="none" w:color="000000" w:sz="0" w:space="0"/>
        </w:pBdr>
        <w:spacing w:line="85" w:lineRule="atLeast"/>
        <w:rPr>
          <w:rFonts w:ascii="宋体" w:hAnsi="宋体" w:eastAsia="宋体" w:cs="宋体"/>
          <w:color w:val="auto"/>
          <w:highlight w:val="none"/>
        </w:rPr>
      </w:pPr>
      <w:r>
        <w:rPr>
          <w:rFonts w:hint="eastAsia" w:ascii="宋体" w:hAnsi="宋体" w:eastAsia="宋体" w:cs="宋体"/>
          <w:color w:val="auto"/>
          <w:sz w:val="24"/>
          <w:highlight w:val="none"/>
        </w:rPr>
        <w:t> </w:t>
      </w:r>
    </w:p>
    <w:p w14:paraId="21488D02">
      <w:pPr>
        <w:pBdr>
          <w:top w:val="none" w:color="000000" w:sz="0" w:space="0"/>
          <w:left w:val="none" w:color="000000" w:sz="0" w:space="0"/>
          <w:bottom w:val="none" w:color="000000" w:sz="0" w:space="0"/>
          <w:right w:val="none" w:color="000000" w:sz="0" w:space="0"/>
        </w:pBdr>
        <w:spacing w:line="85" w:lineRule="atLeast"/>
        <w:rPr>
          <w:rFonts w:ascii="宋体" w:hAnsi="宋体" w:eastAsia="宋体" w:cs="宋体"/>
          <w:color w:val="auto"/>
          <w:highlight w:val="none"/>
        </w:rPr>
      </w:pPr>
      <w:r>
        <w:rPr>
          <w:rFonts w:hint="eastAsia" w:ascii="宋体" w:hAnsi="宋体" w:eastAsia="宋体" w:cs="宋体"/>
          <w:color w:val="auto"/>
          <w:sz w:val="24"/>
          <w:highlight w:val="none"/>
        </w:rPr>
        <w:t> </w:t>
      </w:r>
    </w:p>
    <w:p w14:paraId="744A8036">
      <w:pPr>
        <w:pBdr>
          <w:top w:val="none" w:color="000000" w:sz="0" w:space="0"/>
          <w:left w:val="none" w:color="000000" w:sz="0" w:space="0"/>
          <w:bottom w:val="none" w:color="000000" w:sz="0" w:space="0"/>
          <w:right w:val="none" w:color="000000" w:sz="0" w:space="0"/>
        </w:pBdr>
        <w:spacing w:line="85" w:lineRule="atLeast"/>
        <w:rPr>
          <w:rFonts w:ascii="宋体" w:hAnsi="宋体" w:eastAsia="宋体" w:cs="宋体"/>
          <w:color w:val="auto"/>
          <w:highlight w:val="none"/>
        </w:rPr>
      </w:pPr>
      <w:r>
        <w:rPr>
          <w:rFonts w:hint="eastAsia" w:ascii="宋体" w:hAnsi="宋体" w:eastAsia="宋体" w:cs="宋体"/>
          <w:color w:val="auto"/>
          <w:sz w:val="24"/>
          <w:highlight w:val="none"/>
        </w:rPr>
        <w:t> </w:t>
      </w:r>
    </w:p>
    <w:p w14:paraId="03FEFE7B">
      <w:pPr>
        <w:pBdr>
          <w:top w:val="none" w:color="000000" w:sz="0" w:space="0"/>
          <w:left w:val="none" w:color="000000" w:sz="0" w:space="0"/>
          <w:bottom w:val="none" w:color="000000" w:sz="0" w:space="0"/>
          <w:right w:val="none" w:color="000000" w:sz="0" w:space="0"/>
        </w:pBdr>
        <w:spacing w:line="85" w:lineRule="atLeast"/>
        <w:rPr>
          <w:rFonts w:ascii="宋体" w:hAnsi="宋体" w:eastAsia="宋体" w:cs="宋体"/>
          <w:color w:val="auto"/>
          <w:highlight w:val="none"/>
        </w:rPr>
      </w:pPr>
      <w:r>
        <w:rPr>
          <w:rFonts w:hint="eastAsia" w:ascii="宋体" w:hAnsi="宋体" w:eastAsia="宋体" w:cs="宋体"/>
          <w:color w:val="auto"/>
          <w:sz w:val="24"/>
          <w:highlight w:val="none"/>
        </w:rPr>
        <w:t> </w:t>
      </w:r>
    </w:p>
    <w:p w14:paraId="0A79F04F">
      <w:pPr>
        <w:pBdr>
          <w:top w:val="none" w:color="000000" w:sz="0" w:space="0"/>
          <w:left w:val="none" w:color="000000" w:sz="0" w:space="0"/>
          <w:bottom w:val="none" w:color="000000" w:sz="0" w:space="0"/>
          <w:right w:val="none" w:color="000000" w:sz="0" w:space="0"/>
        </w:pBdr>
        <w:spacing w:line="85" w:lineRule="atLeast"/>
        <w:rPr>
          <w:rFonts w:ascii="宋体" w:hAnsi="宋体" w:eastAsia="宋体" w:cs="宋体"/>
          <w:color w:val="auto"/>
          <w:sz w:val="24"/>
          <w:highlight w:val="none"/>
        </w:rPr>
      </w:pPr>
      <w:r>
        <w:rPr>
          <w:rFonts w:hint="eastAsia" w:ascii="宋体" w:hAnsi="宋体" w:eastAsia="宋体" w:cs="宋体"/>
          <w:color w:val="auto"/>
          <w:sz w:val="24"/>
          <w:highlight w:val="none"/>
        </w:rPr>
        <w:t> </w:t>
      </w:r>
    </w:p>
    <w:p w14:paraId="7AD77A0A">
      <w:pPr>
        <w:pBdr>
          <w:top w:val="none" w:color="000000" w:sz="0" w:space="0"/>
          <w:left w:val="none" w:color="000000" w:sz="0" w:space="0"/>
          <w:bottom w:val="none" w:color="000000" w:sz="0" w:space="0"/>
          <w:right w:val="none" w:color="000000" w:sz="0" w:space="0"/>
        </w:pBdr>
        <w:spacing w:line="85" w:lineRule="atLeast"/>
        <w:rPr>
          <w:rFonts w:ascii="宋体" w:hAnsi="宋体" w:eastAsia="宋体" w:cs="宋体"/>
          <w:color w:val="auto"/>
          <w:sz w:val="24"/>
          <w:highlight w:val="none"/>
        </w:rPr>
      </w:pPr>
    </w:p>
    <w:p w14:paraId="16EB6272">
      <w:pPr>
        <w:pStyle w:val="6"/>
        <w:rPr>
          <w:color w:val="auto"/>
          <w:highlight w:val="none"/>
        </w:rPr>
      </w:pPr>
    </w:p>
    <w:p w14:paraId="195D6331">
      <w:pPr>
        <w:pBdr>
          <w:top w:val="none" w:color="000000" w:sz="0" w:space="0"/>
          <w:left w:val="none" w:color="000000" w:sz="0" w:space="0"/>
          <w:bottom w:val="none" w:color="000000" w:sz="0" w:space="0"/>
          <w:right w:val="none" w:color="000000" w:sz="0" w:space="0"/>
        </w:pBdr>
        <w:spacing w:line="85" w:lineRule="atLeast"/>
        <w:rPr>
          <w:rFonts w:ascii="宋体" w:hAnsi="宋体" w:eastAsia="宋体" w:cs="宋体"/>
          <w:color w:val="auto"/>
          <w:highlight w:val="none"/>
        </w:rPr>
      </w:pPr>
    </w:p>
    <w:p w14:paraId="4977EC85">
      <w:pPr>
        <w:pBdr>
          <w:top w:val="none" w:color="000000" w:sz="0" w:space="0"/>
          <w:left w:val="none" w:color="000000" w:sz="0" w:space="0"/>
          <w:bottom w:val="none" w:color="000000" w:sz="0" w:space="0"/>
          <w:right w:val="none" w:color="000000" w:sz="0" w:space="0"/>
        </w:pBdr>
        <w:spacing w:line="85" w:lineRule="atLeast"/>
        <w:rPr>
          <w:rFonts w:ascii="宋体" w:hAnsi="宋体" w:eastAsia="宋体" w:cs="宋体"/>
          <w:color w:val="auto"/>
          <w:highlight w:val="none"/>
        </w:rPr>
      </w:pPr>
      <w:r>
        <w:rPr>
          <w:rFonts w:hint="eastAsia" w:ascii="宋体" w:hAnsi="宋体" w:eastAsia="宋体" w:cs="宋体"/>
          <w:color w:val="auto"/>
          <w:sz w:val="24"/>
          <w:highlight w:val="none"/>
        </w:rPr>
        <w:t> </w:t>
      </w:r>
    </w:p>
    <w:p w14:paraId="5C3CBB36">
      <w:pPr>
        <w:pBdr>
          <w:top w:val="none" w:color="000000" w:sz="0" w:space="0"/>
          <w:left w:val="none" w:color="000000" w:sz="0" w:space="0"/>
          <w:bottom w:val="none" w:color="000000" w:sz="0" w:space="0"/>
          <w:right w:val="none" w:color="000000" w:sz="0" w:space="0"/>
        </w:pBdr>
        <w:spacing w:before="120" w:after="120" w:line="85" w:lineRule="atLeast"/>
        <w:jc w:val="center"/>
        <w:rPr>
          <w:rFonts w:ascii="宋体" w:hAnsi="宋体" w:eastAsia="宋体" w:cs="宋体"/>
          <w:color w:val="auto"/>
          <w:highlight w:val="none"/>
        </w:rPr>
      </w:pPr>
      <w:r>
        <w:rPr>
          <w:rFonts w:hint="eastAsia" w:ascii="宋体" w:hAnsi="宋体" w:eastAsia="宋体" w:cs="宋体"/>
          <w:b/>
          <w:color w:val="auto"/>
          <w:sz w:val="32"/>
          <w:highlight w:val="none"/>
        </w:rPr>
        <w:t>采购人：南京市公安局六合分局</w:t>
      </w:r>
    </w:p>
    <w:p w14:paraId="7491DA56">
      <w:pPr>
        <w:pBdr>
          <w:top w:val="none" w:color="000000" w:sz="0" w:space="0"/>
          <w:left w:val="none" w:color="000000" w:sz="0" w:space="0"/>
          <w:bottom w:val="none" w:color="000000" w:sz="0" w:space="0"/>
          <w:right w:val="none" w:color="000000" w:sz="0" w:space="0"/>
        </w:pBdr>
        <w:spacing w:before="120" w:after="120" w:line="85" w:lineRule="atLeast"/>
        <w:jc w:val="center"/>
        <w:rPr>
          <w:rFonts w:ascii="宋体" w:hAnsi="宋体" w:eastAsia="宋体" w:cs="宋体"/>
          <w:color w:val="auto"/>
          <w:highlight w:val="none"/>
        </w:rPr>
      </w:pPr>
      <w:r>
        <w:rPr>
          <w:rFonts w:hint="eastAsia" w:ascii="宋体" w:hAnsi="宋体" w:eastAsia="宋体" w:cs="宋体"/>
          <w:b/>
          <w:color w:val="auto"/>
          <w:sz w:val="32"/>
          <w:highlight w:val="none"/>
        </w:rPr>
        <w:t>招标代理：南京钧正工程管理有限公司</w:t>
      </w:r>
    </w:p>
    <w:p w14:paraId="1CA275F3">
      <w:pPr>
        <w:pBdr>
          <w:top w:val="none" w:color="000000" w:sz="0" w:space="0"/>
          <w:left w:val="none" w:color="000000" w:sz="0" w:space="0"/>
          <w:bottom w:val="none" w:color="000000" w:sz="0" w:space="0"/>
          <w:right w:val="none" w:color="000000" w:sz="0" w:space="0"/>
        </w:pBdr>
        <w:spacing w:before="120" w:after="120" w:line="85" w:lineRule="atLeast"/>
        <w:jc w:val="center"/>
        <w:rPr>
          <w:rFonts w:ascii="宋体" w:hAnsi="宋体" w:eastAsia="宋体" w:cs="宋体"/>
          <w:color w:val="auto"/>
          <w:highlight w:val="none"/>
        </w:rPr>
      </w:pPr>
      <w:r>
        <w:rPr>
          <w:rFonts w:hint="eastAsia" w:ascii="宋体" w:hAnsi="宋体" w:eastAsia="宋体" w:cs="宋体"/>
          <w:b/>
          <w:color w:val="auto"/>
          <w:sz w:val="32"/>
          <w:highlight w:val="none"/>
        </w:rPr>
        <w:t>日期：2025年10月</w:t>
      </w:r>
    </w:p>
    <w:p w14:paraId="4B8A6B7E">
      <w:pPr>
        <w:pBdr>
          <w:top w:val="none" w:color="000000" w:sz="0" w:space="0"/>
          <w:left w:val="none" w:color="000000" w:sz="0" w:space="0"/>
          <w:bottom w:val="none" w:color="000000" w:sz="0" w:space="0"/>
          <w:right w:val="none" w:color="000000" w:sz="0" w:space="0"/>
        </w:pBdr>
        <w:jc w:val="both"/>
        <w:rPr>
          <w:rFonts w:ascii="宋体" w:hAnsi="宋体" w:eastAsia="宋体" w:cs="宋体"/>
          <w:color w:val="auto"/>
          <w:highlight w:val="none"/>
        </w:rPr>
      </w:pPr>
      <w:r>
        <w:rPr>
          <w:rFonts w:hint="eastAsia" w:ascii="宋体" w:hAnsi="宋体" w:eastAsia="宋体" w:cs="宋体"/>
          <w:color w:val="auto"/>
          <w:highlight w:val="none"/>
        </w:rPr>
        <w:t> </w:t>
      </w:r>
    </w:p>
    <w:p w14:paraId="725300FF">
      <w:pPr>
        <w:pBdr>
          <w:top w:val="none" w:color="000000" w:sz="0" w:space="0"/>
          <w:left w:val="none" w:color="000000" w:sz="0" w:space="0"/>
          <w:bottom w:val="none" w:color="000000" w:sz="0" w:space="0"/>
          <w:right w:val="none" w:color="000000" w:sz="0" w:space="0"/>
        </w:pBdr>
        <w:jc w:val="both"/>
        <w:rPr>
          <w:rFonts w:ascii="宋体" w:hAnsi="宋体" w:eastAsia="宋体" w:cs="宋体"/>
          <w:color w:val="auto"/>
          <w:highlight w:val="none"/>
        </w:rPr>
      </w:pPr>
      <w:r>
        <w:rPr>
          <w:rFonts w:hint="eastAsia" w:ascii="宋体" w:hAnsi="宋体" w:eastAsia="宋体" w:cs="宋体"/>
          <w:color w:val="auto"/>
          <w:highlight w:val="none"/>
        </w:rPr>
        <w:t> </w:t>
      </w:r>
      <w:r>
        <w:rPr>
          <w:rFonts w:hint="eastAsia" w:ascii="宋体" w:hAnsi="宋体" w:eastAsia="宋体" w:cs="宋体"/>
          <w:color w:val="auto"/>
          <w:highlight w:val="none"/>
        </w:rPr>
        <w:br w:type="page" w:clear="all"/>
      </w:r>
    </w:p>
    <w:p w14:paraId="6D5E2807">
      <w:pPr>
        <w:pBdr>
          <w:top w:val="none" w:color="000000" w:sz="0" w:space="0"/>
          <w:left w:val="none" w:color="000000" w:sz="0" w:space="0"/>
          <w:bottom w:val="none" w:color="000000" w:sz="0" w:space="0"/>
          <w:right w:val="none" w:color="000000" w:sz="0" w:space="0"/>
        </w:pBdr>
        <w:rPr>
          <w:rFonts w:ascii="宋体" w:hAnsi="宋体" w:eastAsia="宋体" w:cs="宋体"/>
          <w:color w:val="auto"/>
          <w:highlight w:val="none"/>
        </w:rPr>
      </w:pPr>
      <w:r>
        <w:rPr>
          <w:rFonts w:hint="eastAsia" w:ascii="宋体" w:hAnsi="宋体" w:eastAsia="宋体" w:cs="宋体"/>
          <w:color w:val="auto"/>
          <w:highlight w:val="none"/>
        </w:rPr>
        <w:t xml:space="preserve"> </w:t>
      </w:r>
    </w:p>
    <w:p w14:paraId="13059C10">
      <w:pPr>
        <w:pBdr>
          <w:top w:val="none" w:color="000000" w:sz="0" w:space="0"/>
          <w:left w:val="none" w:color="000000" w:sz="0" w:space="0"/>
          <w:bottom w:val="none" w:color="000000" w:sz="0" w:space="0"/>
          <w:right w:val="none" w:color="000000" w:sz="0" w:space="0"/>
        </w:pBdr>
        <w:jc w:val="center"/>
        <w:rPr>
          <w:rFonts w:ascii="宋体" w:hAnsi="宋体" w:eastAsia="宋体" w:cs="宋体"/>
          <w:color w:val="auto"/>
          <w:highlight w:val="none"/>
        </w:rPr>
      </w:pPr>
      <w:r>
        <w:rPr>
          <w:rFonts w:hint="eastAsia" w:ascii="宋体" w:hAnsi="宋体" w:eastAsia="宋体" w:cs="宋体"/>
          <w:color w:val="auto"/>
          <w:sz w:val="36"/>
          <w:highlight w:val="none"/>
        </w:rPr>
        <w:t>第一章 招标公告</w:t>
      </w:r>
    </w:p>
    <w:p w14:paraId="784B031D">
      <w:pPr>
        <w:adjustRightInd w:val="0"/>
        <w:snapToGrid w:val="0"/>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受南京市公安局六合分局（采购单位）委托，南京钧正工程管理有限公司（以下简称“采购代理机构”）就六合区道路交通违法及交通事故证据司法鉴定服务项目（项目名称）进行公开招标采购，欢迎符合条件的供应商投标。</w:t>
      </w:r>
    </w:p>
    <w:p w14:paraId="786DB787">
      <w:pPr>
        <w:pStyle w:val="2"/>
        <w:adjustRightInd w:val="0"/>
        <w:snapToGrid w:val="0"/>
        <w:spacing w:beforeLines="50" w:afterLines="50" w:line="360" w:lineRule="auto"/>
        <w:ind w:firstLine="373" w:firstLineChars="155"/>
        <w:rPr>
          <w:rFonts w:ascii="宋体" w:hAnsi="宋体" w:cs="宋体"/>
          <w:color w:val="auto"/>
          <w:sz w:val="24"/>
          <w:szCs w:val="24"/>
          <w:highlight w:val="none"/>
        </w:rPr>
      </w:pPr>
      <w:r>
        <w:rPr>
          <w:rFonts w:hint="eastAsia" w:ascii="宋体" w:hAnsi="宋体" w:cs="宋体"/>
          <w:color w:val="auto"/>
          <w:sz w:val="24"/>
          <w:szCs w:val="24"/>
          <w:highlight w:val="none"/>
        </w:rPr>
        <w:t>一、项目基本情况</w:t>
      </w:r>
    </w:p>
    <w:p w14:paraId="6C90658B">
      <w:pPr>
        <w:adjustRightInd w:val="0"/>
        <w:snapToGrid w:val="0"/>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1.项目编号：JSZC-320116-NJJZ-G2025-0009 </w:t>
      </w:r>
    </w:p>
    <w:p w14:paraId="5604FA3E">
      <w:pPr>
        <w:adjustRightInd w:val="0"/>
        <w:snapToGrid w:val="0"/>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2.项目名称：六合区道路交通违法及交通事故证据司法鉴定服务项目</w:t>
      </w:r>
    </w:p>
    <w:p w14:paraId="16DEFA7A">
      <w:pPr>
        <w:adjustRightInd w:val="0"/>
        <w:snapToGrid w:val="0"/>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3.预算金额：80万元</w:t>
      </w:r>
    </w:p>
    <w:p w14:paraId="77D510B8">
      <w:pPr>
        <w:adjustRightInd w:val="0"/>
        <w:snapToGrid w:val="0"/>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4.最高限价：</w:t>
      </w:r>
      <w:r>
        <w:rPr>
          <w:rFonts w:hint="eastAsia" w:ascii="宋体" w:hAnsi="宋体" w:cs="宋体"/>
          <w:color w:val="auto"/>
          <w:sz w:val="24"/>
          <w:szCs w:val="24"/>
          <w:highlight w:val="none"/>
        </w:rPr>
        <w:t>本项目采用优惠率形式报价，最高优惠率100%</w:t>
      </w:r>
      <w:r>
        <w:rPr>
          <w:rFonts w:hint="eastAsia" w:ascii="宋体" w:hAnsi="宋体" w:cs="宋体"/>
          <w:color w:val="auto"/>
          <w:sz w:val="24"/>
          <w:szCs w:val="24"/>
          <w:highlight w:val="none"/>
          <w:lang w:val="zh-CN"/>
        </w:rPr>
        <w:t>。</w:t>
      </w:r>
    </w:p>
    <w:p w14:paraId="4A6A0B10">
      <w:pPr>
        <w:adjustRightInd w:val="0"/>
        <w:snapToGrid w:val="0"/>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5.采购需求：六合区道路交通违法及交通事故证据司法鉴定服务，详见招标文件</w:t>
      </w:r>
    </w:p>
    <w:p w14:paraId="6C0A8DB9">
      <w:pPr>
        <w:adjustRightInd w:val="0"/>
        <w:snapToGrid w:val="0"/>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7.合同履行期限：一年。</w:t>
      </w:r>
    </w:p>
    <w:p w14:paraId="204722E5">
      <w:pPr>
        <w:adjustRightInd w:val="0"/>
        <w:snapToGrid w:val="0"/>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8.本项目不接受联合体投标。</w:t>
      </w:r>
    </w:p>
    <w:p w14:paraId="00CDBD36">
      <w:pPr>
        <w:pStyle w:val="2"/>
        <w:adjustRightInd w:val="0"/>
        <w:snapToGrid w:val="0"/>
        <w:spacing w:beforeLines="50" w:afterLines="50" w:line="360" w:lineRule="auto"/>
        <w:ind w:firstLine="373" w:firstLineChars="155"/>
        <w:rPr>
          <w:rFonts w:ascii="宋体" w:hAnsi="宋体" w:cs="宋体"/>
          <w:color w:val="auto"/>
          <w:sz w:val="24"/>
          <w:szCs w:val="24"/>
          <w:highlight w:val="none"/>
        </w:rPr>
      </w:pPr>
      <w:r>
        <w:rPr>
          <w:rFonts w:hint="eastAsia" w:ascii="宋体" w:hAnsi="宋体" w:cs="宋体"/>
          <w:color w:val="auto"/>
          <w:sz w:val="24"/>
          <w:szCs w:val="24"/>
          <w:highlight w:val="none"/>
        </w:rPr>
        <w:t>二、申请人的资格要求</w:t>
      </w:r>
    </w:p>
    <w:p w14:paraId="699FDA0E">
      <w:pPr>
        <w:adjustRightInd w:val="0"/>
        <w:snapToGrid w:val="0"/>
        <w:spacing w:line="360" w:lineRule="auto"/>
        <w:ind w:firstLine="480"/>
        <w:rPr>
          <w:rFonts w:ascii="宋体" w:hAnsi="宋体" w:cs="宋体"/>
          <w:color w:val="auto"/>
          <w:sz w:val="24"/>
          <w:szCs w:val="24"/>
          <w:highlight w:val="none"/>
        </w:rPr>
      </w:pPr>
      <w:bookmarkStart w:id="0" w:name="_Toc28359004"/>
      <w:bookmarkStart w:id="1" w:name="_Toc35393792"/>
      <w:bookmarkStart w:id="2" w:name="_Toc38985265"/>
      <w:bookmarkStart w:id="3" w:name="_Toc35393623"/>
      <w:bookmarkStart w:id="4" w:name="_Toc28359081"/>
      <w:r>
        <w:rPr>
          <w:rFonts w:hint="eastAsia" w:ascii="宋体" w:hAnsi="宋体" w:cs="宋体"/>
          <w:color w:val="auto"/>
          <w:sz w:val="24"/>
          <w:szCs w:val="24"/>
          <w:highlight w:val="none"/>
        </w:rPr>
        <w:t>（一）通用资格要求</w:t>
      </w:r>
    </w:p>
    <w:p w14:paraId="49E8C781">
      <w:pPr>
        <w:widowControl w:val="0"/>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1.满足《中华人民共和国政府采购法》第二十二条规定，并提供下列材料：</w:t>
      </w:r>
    </w:p>
    <w:p w14:paraId="761F8382">
      <w:pPr>
        <w:widowControl w:val="0"/>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1.1具有独立承担民事责任的能力（提供法人或者其他组织的营业执照，自然人提供身份证明，提供</w:t>
      </w:r>
      <w:r>
        <w:rPr>
          <w:rFonts w:hint="eastAsia" w:ascii="宋体" w:hAnsi="宋体" w:eastAsia="宋体" w:cs="宋体"/>
          <w:color w:val="auto"/>
          <w:sz w:val="24"/>
          <w:szCs w:val="24"/>
          <w:highlight w:val="none"/>
          <w:lang w:eastAsia="zh-CN"/>
        </w:rPr>
        <w:t>扫描件</w:t>
      </w:r>
      <w:r>
        <w:rPr>
          <w:rFonts w:hint="eastAsia" w:ascii="宋体" w:hAnsi="宋体" w:eastAsia="宋体" w:cs="宋体"/>
          <w:color w:val="auto"/>
          <w:sz w:val="24"/>
          <w:szCs w:val="24"/>
          <w:highlight w:val="none"/>
        </w:rPr>
        <w:t>加盖公章并上传系统）；</w:t>
      </w:r>
    </w:p>
    <w:p w14:paraId="19A1CFBF">
      <w:pPr>
        <w:widowControl w:val="0"/>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1.2具有良好的商业信誉和健全的财务会计制度（提供信用承诺书，格式见附件）；</w:t>
      </w:r>
    </w:p>
    <w:p w14:paraId="71438520">
      <w:pPr>
        <w:widowControl w:val="0"/>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1.3具有履行合同所必需的设备和专业技术能力（提供信用承诺书，格式见附件）；</w:t>
      </w:r>
    </w:p>
    <w:p w14:paraId="18D09A1F">
      <w:pPr>
        <w:widowControl w:val="0"/>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1.4具有依法缴纳税收和社会保障资金的良好记录（提供信用承诺书，格式见附件）；</w:t>
      </w:r>
    </w:p>
    <w:p w14:paraId="7618B98C">
      <w:pPr>
        <w:widowControl w:val="0"/>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1.5参加政府采购活动前三年内，在经营活动中没有重大违法记录（提供信用承诺书，格式见附件）；</w:t>
      </w:r>
    </w:p>
    <w:p w14:paraId="548B7525">
      <w:pPr>
        <w:widowControl w:val="0"/>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4CA33765">
      <w:pPr>
        <w:widowControl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专门面向中小微企业采购，执行价格扣除优惠政策，对供应商为小微企业的，报价给予10%的扣除。提供《中小企业声明函》（格式见第六章）；监狱和戒毒企业视同小型、微型企业，提供由省级以上监狱管理局、戒毒管理局(含新疆生产建设兵团)出具的属于监狱企业的证明文件；残疾人福利性单位视同小型、微型企业，提供《残疾人福利性单位声明函》（格式见第六章）</w:t>
      </w:r>
    </w:p>
    <w:p w14:paraId="6C44B991">
      <w:pPr>
        <w:widowControl w:val="0"/>
        <w:snapToGrid w:val="0"/>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本项目采购标的对应的中小企业划分标准所属行业为：</w:t>
      </w:r>
      <w:r>
        <w:rPr>
          <w:rFonts w:hint="eastAsia" w:ascii="宋体" w:hAnsi="宋体" w:eastAsia="宋体" w:cs="宋体"/>
          <w:color w:val="auto"/>
          <w:sz w:val="24"/>
          <w:szCs w:val="24"/>
          <w:highlight w:val="none"/>
        </w:rPr>
        <w:t xml:space="preserve"> 其他未列明行业</w:t>
      </w:r>
      <w:r>
        <w:rPr>
          <w:rFonts w:hint="eastAsia" w:ascii="宋体" w:hAnsi="宋体" w:eastAsia="宋体" w:cs="宋体"/>
          <w:color w:val="auto"/>
          <w:sz w:val="24"/>
          <w:szCs w:val="24"/>
          <w:highlight w:val="none"/>
          <w:lang w:val="zh-CN"/>
        </w:rPr>
        <w:t>。</w:t>
      </w:r>
    </w:p>
    <w:p w14:paraId="740A0811">
      <w:pPr>
        <w:widowControl w:val="0"/>
        <w:numPr>
          <w:ilvl w:val="0"/>
          <w:numId w:val="1"/>
        </w:numPr>
        <w:adjustRightInd w:val="0"/>
        <w:snapToGrid w:val="0"/>
        <w:spacing w:line="360" w:lineRule="auto"/>
        <w:ind w:left="-210"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本项目的特定资格要求：</w:t>
      </w:r>
    </w:p>
    <w:p w14:paraId="74A7FEAC">
      <w:pPr>
        <w:widowControl w:val="0"/>
        <w:adjustRightInd w:val="0"/>
        <w:snapToGrid w:val="0"/>
        <w:spacing w:line="360" w:lineRule="auto"/>
        <w:ind w:left="420" w:leftChars="200"/>
        <w:jc w:val="both"/>
        <w:rPr>
          <w:rFonts w:ascii="宋体" w:hAnsi="宋体" w:cs="宋体"/>
          <w:color w:val="auto"/>
          <w:sz w:val="24"/>
          <w:szCs w:val="24"/>
          <w:highlight w:val="none"/>
        </w:rPr>
      </w:pPr>
      <w:r>
        <w:rPr>
          <w:rFonts w:hint="eastAsia" w:ascii="宋体" w:hAnsi="宋体" w:cs="宋体"/>
          <w:color w:val="auto"/>
          <w:sz w:val="24"/>
          <w:szCs w:val="24"/>
          <w:highlight w:val="none"/>
        </w:rPr>
        <w:t>（1）供应商应具有有效期内的司法行政机关颁发的《司法鉴定许可证》（提供证书</w:t>
      </w:r>
      <w:r>
        <w:rPr>
          <w:rFonts w:hint="eastAsia" w:ascii="宋体" w:hAnsi="宋体" w:cs="宋体"/>
          <w:color w:val="auto"/>
          <w:sz w:val="24"/>
          <w:szCs w:val="24"/>
          <w:highlight w:val="none"/>
          <w:lang w:val="en-US" w:eastAsia="zh-CN"/>
        </w:rPr>
        <w:t>扫描</w:t>
      </w:r>
      <w:r>
        <w:rPr>
          <w:rFonts w:hint="eastAsia" w:ascii="宋体" w:hAnsi="宋体" w:cs="宋体"/>
          <w:color w:val="auto"/>
          <w:sz w:val="24"/>
          <w:szCs w:val="24"/>
          <w:highlight w:val="none"/>
        </w:rPr>
        <w:t>件）</w:t>
      </w:r>
    </w:p>
    <w:p w14:paraId="469BB132">
      <w:pPr>
        <w:widowControl w:val="0"/>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（三）拒绝下述供应商参加本次采购活动</w:t>
      </w:r>
    </w:p>
    <w:p w14:paraId="1E73C2CC">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1.单位负责人为同一人或者存在直接控股、管理关系的不同供应商，不得参加同一合同项下的政府采购活动。</w:t>
      </w:r>
    </w:p>
    <w:p w14:paraId="75BFFC9F">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2.为采购项目提供整体设计、规范编制或者项目管理、监理、检测等服务的供应商，不得参加本项目的采购活动。</w:t>
      </w:r>
    </w:p>
    <w:p w14:paraId="6DD2EF81">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3.供应商被“信用中国”网站（www.creditchina.gov.cn）、“中国政府采购网”(www.ccgp.gov.cn)列入失信被执行人、重大税收违法案件当事人名单、政府采购严重违法失信行为记录名单。</w:t>
      </w:r>
    </w:p>
    <w:p w14:paraId="4644A7C3">
      <w:pPr>
        <w:pStyle w:val="2"/>
        <w:adjustRightInd w:val="0"/>
        <w:snapToGrid w:val="0"/>
        <w:spacing w:beforeLines="50" w:afterLines="50" w:line="360" w:lineRule="auto"/>
        <w:ind w:firstLine="373" w:firstLineChars="155"/>
        <w:rPr>
          <w:rFonts w:ascii="宋体" w:hAnsi="宋体" w:cs="宋体"/>
          <w:color w:val="auto"/>
          <w:sz w:val="24"/>
          <w:szCs w:val="24"/>
          <w:highlight w:val="none"/>
        </w:rPr>
      </w:pPr>
      <w:r>
        <w:rPr>
          <w:rFonts w:hint="eastAsia" w:ascii="宋体" w:hAnsi="宋体" w:cs="宋体"/>
          <w:color w:val="auto"/>
          <w:sz w:val="24"/>
          <w:szCs w:val="24"/>
          <w:highlight w:val="none"/>
        </w:rPr>
        <w:t>三、获取招标文件</w:t>
      </w:r>
      <w:bookmarkEnd w:id="0"/>
      <w:bookmarkEnd w:id="1"/>
      <w:bookmarkEnd w:id="2"/>
      <w:bookmarkEnd w:id="3"/>
      <w:bookmarkEnd w:id="4"/>
    </w:p>
    <w:p w14:paraId="39C4A208">
      <w:pPr>
        <w:adjustRightInd w:val="0"/>
        <w:snapToGrid w:val="0"/>
        <w:spacing w:line="360" w:lineRule="auto"/>
        <w:ind w:firstLine="480" w:firstLineChars="200"/>
        <w:rPr>
          <w:rFonts w:ascii="宋体" w:hAnsi="宋体" w:cs="宋体"/>
          <w:color w:val="auto"/>
          <w:sz w:val="24"/>
          <w:szCs w:val="24"/>
          <w:highlight w:val="none"/>
        </w:rPr>
      </w:pPr>
      <w:bookmarkStart w:id="5" w:name="_Toc28359082"/>
      <w:bookmarkStart w:id="6" w:name="_Toc28359005"/>
      <w:bookmarkStart w:id="7" w:name="_Toc35393624"/>
      <w:bookmarkStart w:id="8" w:name="_Toc35393793"/>
      <w:bookmarkStart w:id="9" w:name="_Toc38985266"/>
      <w:r>
        <w:rPr>
          <w:rFonts w:hint="eastAsia" w:ascii="宋体" w:hAnsi="宋体" w:cs="宋体"/>
          <w:color w:val="auto"/>
          <w:sz w:val="24"/>
          <w:szCs w:val="24"/>
          <w:highlight w:val="none"/>
        </w:rPr>
        <w:t>1.时间：自招标文件公告发布之日起5个工作日。</w:t>
      </w:r>
    </w:p>
    <w:p w14:paraId="3A57C929">
      <w:pPr>
        <w:adjustRightInd w:val="0"/>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2.方式：在“江苏政府采购网”免费下载。</w:t>
      </w:r>
    </w:p>
    <w:p w14:paraId="24740188">
      <w:pPr>
        <w:pStyle w:val="2"/>
        <w:adjustRightInd w:val="0"/>
        <w:snapToGrid w:val="0"/>
        <w:spacing w:beforeLines="50" w:afterLines="50" w:line="360" w:lineRule="auto"/>
        <w:ind w:firstLine="373" w:firstLineChars="155"/>
        <w:rPr>
          <w:rFonts w:ascii="宋体" w:hAnsi="宋体" w:cs="宋体"/>
          <w:color w:val="auto"/>
          <w:sz w:val="24"/>
          <w:szCs w:val="24"/>
          <w:highlight w:val="none"/>
        </w:rPr>
      </w:pPr>
      <w:r>
        <w:rPr>
          <w:rFonts w:hint="eastAsia" w:ascii="宋体" w:hAnsi="宋体" w:cs="宋体"/>
          <w:color w:val="auto"/>
          <w:sz w:val="24"/>
          <w:szCs w:val="24"/>
          <w:highlight w:val="none"/>
        </w:rPr>
        <w:t>四、提交投标文件</w:t>
      </w:r>
      <w:bookmarkEnd w:id="5"/>
      <w:bookmarkEnd w:id="6"/>
      <w:r>
        <w:rPr>
          <w:rFonts w:hint="eastAsia" w:ascii="宋体" w:hAnsi="宋体" w:cs="宋体"/>
          <w:color w:val="auto"/>
          <w:sz w:val="24"/>
          <w:szCs w:val="24"/>
          <w:highlight w:val="none"/>
        </w:rPr>
        <w:t>截止时间、开标时间和地点</w:t>
      </w:r>
      <w:bookmarkEnd w:id="7"/>
      <w:bookmarkEnd w:id="8"/>
      <w:bookmarkEnd w:id="9"/>
    </w:p>
    <w:p w14:paraId="0CAA64D2">
      <w:pPr>
        <w:adjustRightInd w:val="0"/>
        <w:snapToGrid w:val="0"/>
        <w:spacing w:line="360" w:lineRule="auto"/>
        <w:ind w:firstLine="480" w:firstLineChars="200"/>
        <w:rPr>
          <w:rFonts w:ascii="宋体" w:hAnsi="宋体" w:cs="宋体"/>
          <w:bCs/>
          <w:color w:val="auto"/>
          <w:sz w:val="24"/>
          <w:szCs w:val="24"/>
          <w:highlight w:val="none"/>
          <w:u w:val="single"/>
        </w:rPr>
      </w:pPr>
      <w:bookmarkStart w:id="10" w:name="_Toc35393625"/>
      <w:bookmarkStart w:id="11" w:name="_Toc28359084"/>
      <w:bookmarkStart w:id="12" w:name="_Toc38985267"/>
      <w:bookmarkStart w:id="13" w:name="_Toc35393794"/>
      <w:bookmarkStart w:id="14" w:name="_Toc28359007"/>
      <w:r>
        <w:rPr>
          <w:rFonts w:hint="eastAsia" w:ascii="宋体" w:hAnsi="宋体" w:cs="宋体"/>
          <w:color w:val="auto"/>
          <w:sz w:val="24"/>
          <w:szCs w:val="24"/>
          <w:highlight w:val="none"/>
        </w:rPr>
        <w:t>1.提交投标文件截止时间、开标时间：</w:t>
      </w:r>
      <w:r>
        <w:rPr>
          <w:rFonts w:hint="eastAsia" w:ascii="宋体" w:hAnsi="宋体" w:cs="宋体"/>
          <w:bCs/>
          <w:color w:val="auto"/>
          <w:sz w:val="24"/>
          <w:szCs w:val="24"/>
          <w:highlight w:val="none"/>
        </w:rPr>
        <w:t>20</w:t>
      </w:r>
      <w:r>
        <w:rPr>
          <w:rFonts w:hint="eastAsia" w:ascii="宋体" w:hAnsi="宋体" w:cs="宋体"/>
          <w:color w:val="auto"/>
          <w:sz w:val="24"/>
          <w:szCs w:val="24"/>
          <w:highlight w:val="none"/>
        </w:rPr>
        <w:t>25</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11</w:t>
      </w: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cs="宋体"/>
          <w:bCs/>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cs="宋体"/>
          <w:bCs/>
          <w:color w:val="auto"/>
          <w:sz w:val="24"/>
          <w:szCs w:val="24"/>
          <w:highlight w:val="none"/>
        </w:rPr>
        <w:t>时</w:t>
      </w:r>
      <w:r>
        <w:rPr>
          <w:rFonts w:hint="eastAsia" w:ascii="宋体" w:hAnsi="宋体" w:cs="宋体"/>
          <w:color w:val="auto"/>
          <w:sz w:val="24"/>
          <w:szCs w:val="24"/>
          <w:highlight w:val="none"/>
        </w:rPr>
        <w:t>30</w:t>
      </w:r>
      <w:r>
        <w:rPr>
          <w:rFonts w:hint="eastAsia" w:ascii="宋体" w:hAnsi="宋体" w:cs="宋体"/>
          <w:bCs/>
          <w:color w:val="auto"/>
          <w:sz w:val="24"/>
          <w:szCs w:val="24"/>
          <w:highlight w:val="none"/>
        </w:rPr>
        <w:t>分（北京时间）。</w:t>
      </w:r>
    </w:p>
    <w:p w14:paraId="4DB98144">
      <w:pPr>
        <w:adjustRightInd w:val="0"/>
        <w:snapToGrid w:val="0"/>
        <w:spacing w:line="360" w:lineRule="auto"/>
        <w:ind w:firstLine="480" w:firstLineChars="200"/>
        <w:rPr>
          <w:rFonts w:ascii="宋体" w:hAnsi="宋体" w:cs="宋体"/>
          <w:bCs/>
          <w:color w:val="auto"/>
          <w:sz w:val="24"/>
          <w:szCs w:val="24"/>
          <w:highlight w:val="none"/>
          <w:u w:val="single"/>
        </w:rPr>
      </w:pPr>
      <w:r>
        <w:rPr>
          <w:rFonts w:hint="eastAsia" w:ascii="宋体" w:hAnsi="宋体" w:cs="宋体"/>
          <w:color w:val="auto"/>
          <w:sz w:val="24"/>
          <w:szCs w:val="24"/>
          <w:highlight w:val="none"/>
        </w:rPr>
        <w:t>2.地点：江苏省政府采购交易系统（以下简称“苏采云系统”）网上开标大厅。</w:t>
      </w:r>
    </w:p>
    <w:p w14:paraId="235A738D">
      <w:pPr>
        <w:pStyle w:val="2"/>
        <w:adjustRightInd w:val="0"/>
        <w:snapToGrid w:val="0"/>
        <w:spacing w:beforeLines="50" w:afterLines="50" w:line="360" w:lineRule="auto"/>
        <w:ind w:firstLine="373" w:firstLineChars="155"/>
        <w:rPr>
          <w:rFonts w:ascii="宋体" w:hAnsi="宋体" w:cs="宋体"/>
          <w:color w:val="auto"/>
          <w:sz w:val="24"/>
          <w:szCs w:val="24"/>
          <w:highlight w:val="none"/>
        </w:rPr>
      </w:pPr>
      <w:r>
        <w:rPr>
          <w:rFonts w:hint="eastAsia" w:ascii="宋体" w:hAnsi="宋体" w:cs="宋体"/>
          <w:color w:val="auto"/>
          <w:sz w:val="24"/>
          <w:szCs w:val="24"/>
          <w:highlight w:val="none"/>
        </w:rPr>
        <w:t>五、公告期限</w:t>
      </w:r>
      <w:bookmarkEnd w:id="10"/>
      <w:bookmarkEnd w:id="11"/>
      <w:bookmarkEnd w:id="12"/>
      <w:bookmarkEnd w:id="13"/>
      <w:bookmarkEnd w:id="14"/>
    </w:p>
    <w:p w14:paraId="0A5737CA">
      <w:pPr>
        <w:adjustRightInd w:val="0"/>
        <w:snapToGrid w:val="0"/>
        <w:spacing w:line="360" w:lineRule="auto"/>
        <w:ind w:firstLine="480" w:firstLineChars="200"/>
        <w:rPr>
          <w:rFonts w:ascii="宋体" w:hAnsi="宋体" w:cs="宋体"/>
          <w:color w:val="auto"/>
          <w:sz w:val="24"/>
          <w:szCs w:val="24"/>
          <w:highlight w:val="none"/>
        </w:rPr>
      </w:pPr>
      <w:bookmarkStart w:id="15" w:name="_Toc35393795"/>
      <w:bookmarkStart w:id="16" w:name="_Toc35393626"/>
      <w:bookmarkStart w:id="17" w:name="_Toc38985268"/>
      <w:r>
        <w:rPr>
          <w:rFonts w:hint="eastAsia" w:ascii="宋体" w:hAnsi="宋体" w:cs="宋体"/>
          <w:color w:val="auto"/>
          <w:sz w:val="24"/>
          <w:szCs w:val="24"/>
          <w:highlight w:val="none"/>
        </w:rPr>
        <w:t>公告期限为自招标文件公告发布之日起5个工作日。</w:t>
      </w:r>
    </w:p>
    <w:p w14:paraId="66F5724E">
      <w:pPr>
        <w:pStyle w:val="2"/>
        <w:adjustRightInd w:val="0"/>
        <w:snapToGrid w:val="0"/>
        <w:spacing w:beforeLines="50" w:afterLines="50" w:line="360" w:lineRule="auto"/>
        <w:ind w:firstLine="373" w:firstLineChars="155"/>
        <w:rPr>
          <w:rFonts w:ascii="宋体" w:hAnsi="宋体" w:cs="宋体"/>
          <w:color w:val="auto"/>
          <w:sz w:val="24"/>
          <w:szCs w:val="24"/>
          <w:highlight w:val="none"/>
        </w:rPr>
      </w:pPr>
      <w:r>
        <w:rPr>
          <w:rFonts w:hint="eastAsia" w:ascii="宋体" w:hAnsi="宋体" w:cs="宋体"/>
          <w:color w:val="auto"/>
          <w:sz w:val="24"/>
          <w:szCs w:val="24"/>
          <w:highlight w:val="none"/>
        </w:rPr>
        <w:t>六、其他事宜</w:t>
      </w:r>
      <w:bookmarkEnd w:id="15"/>
      <w:bookmarkEnd w:id="16"/>
      <w:bookmarkEnd w:id="17"/>
    </w:p>
    <w:p w14:paraId="31B7ED47">
      <w:pPr>
        <w:tabs>
          <w:tab w:val="left" w:pos="900"/>
        </w:tabs>
        <w:adjustRightInd w:val="0"/>
        <w:snapToGrid w:val="0"/>
        <w:spacing w:line="360" w:lineRule="auto"/>
        <w:ind w:firstLine="480" w:firstLineChars="200"/>
        <w:rPr>
          <w:rFonts w:ascii="宋体" w:hAnsi="宋体" w:cs="宋体"/>
          <w:bCs/>
          <w:color w:val="auto"/>
          <w:sz w:val="24"/>
          <w:szCs w:val="24"/>
          <w:highlight w:val="none"/>
        </w:rPr>
      </w:pPr>
      <w:bookmarkStart w:id="18" w:name="_Toc28359085"/>
      <w:bookmarkStart w:id="19" w:name="_Toc35393627"/>
      <w:bookmarkStart w:id="20" w:name="_Toc38985269"/>
      <w:bookmarkStart w:id="21" w:name="_Toc28359008"/>
      <w:bookmarkStart w:id="22" w:name="_Toc35393796"/>
      <w:r>
        <w:rPr>
          <w:rFonts w:hint="eastAsia" w:ascii="宋体" w:hAnsi="宋体" w:cs="宋体"/>
          <w:color w:val="auto"/>
          <w:sz w:val="24"/>
          <w:szCs w:val="24"/>
          <w:highlight w:val="none"/>
        </w:rPr>
        <w:t>1.</w:t>
      </w:r>
      <w:r>
        <w:rPr>
          <w:rFonts w:hint="eastAsia" w:ascii="宋体" w:hAnsi="宋体" w:cs="宋体"/>
          <w:bCs/>
          <w:color w:val="auto"/>
          <w:sz w:val="24"/>
          <w:szCs w:val="24"/>
          <w:highlight w:val="none"/>
        </w:rPr>
        <w:t>本次招标不收取投标保证金。</w:t>
      </w:r>
    </w:p>
    <w:p w14:paraId="1E3E5533">
      <w:pPr>
        <w:tabs>
          <w:tab w:val="left" w:pos="900"/>
        </w:tabs>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2.本项目不组织集中勘察及答疑，供应商如对采购需求有疑问，请咨询采购单位联系人。</w:t>
      </w:r>
      <w:r>
        <w:rPr>
          <w:rFonts w:hint="eastAsia" w:ascii="宋体" w:hAnsi="宋体" w:eastAsia="宋体"/>
          <w:color w:val="auto"/>
          <w:sz w:val="24"/>
          <w:szCs w:val="24"/>
          <w:highlight w:val="none"/>
        </w:rPr>
        <w:t>未勘察现场供应商也可参与本项目，但因未勘察现场造成的数据错误与报价偏差，责任自负。</w:t>
      </w:r>
    </w:p>
    <w:p w14:paraId="029B9222">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供应商通过苏采云系统参与政府采购项目，需要办理江苏省政府采购数字证书及电子签章，具体详见苏采云系统登录页“新CA办理指南”。供应商按《苏采云系统供应商操作手册》（以下简称“操作手册”）进行注册，并制作上传电子投标文件。《操作手册》</w:t>
      </w:r>
      <w:r>
        <w:rPr>
          <w:color w:val="auto"/>
          <w:highlight w:val="none"/>
        </w:rPr>
        <w:fldChar w:fldCharType="begin"/>
      </w:r>
      <w:r>
        <w:rPr>
          <w:color w:val="auto"/>
          <w:highlight w:val="none"/>
        </w:rPr>
        <w:instrText xml:space="preserve"> HYPERLINK "http://www.ccgp-jiangsu.gov.cn/jiangsu/zlxz/ee/ee3a4bc5a3454aa2b0d9312230633ce9.html" </w:instrText>
      </w:r>
      <w:r>
        <w:rPr>
          <w:color w:val="auto"/>
          <w:highlight w:val="none"/>
        </w:rPr>
        <w:fldChar w:fldCharType="separate"/>
      </w:r>
      <w:r>
        <w:rPr>
          <w:rStyle w:val="29"/>
          <w:rFonts w:hint="eastAsia" w:ascii="宋体" w:hAnsi="宋体" w:cs="宋体"/>
          <w:color w:val="auto"/>
          <w:sz w:val="24"/>
          <w:szCs w:val="24"/>
          <w:highlight w:val="none"/>
        </w:rPr>
        <w:t>下载地址</w:t>
      </w:r>
      <w:r>
        <w:rPr>
          <w:rStyle w:val="29"/>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（CTRL+鼠标左键）。</w:t>
      </w:r>
    </w:p>
    <w:p w14:paraId="4BE6B0E6">
      <w:pPr>
        <w:tabs>
          <w:tab w:val="left" w:pos="900"/>
        </w:tabs>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4.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响应文件一并递交。</w:t>
      </w:r>
    </w:p>
    <w:p w14:paraId="2DF38288">
      <w:pPr>
        <w:tabs>
          <w:tab w:val="left" w:pos="900"/>
        </w:tabs>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打印时间为本招标公告发布之日起至递交响应文件截止日前，未按上述要求提供信用记录表的，响应文件可能被拒绝接收。</w:t>
      </w:r>
    </w:p>
    <w:p w14:paraId="30DD416C">
      <w:pPr>
        <w:tabs>
          <w:tab w:val="left" w:pos="900"/>
        </w:tabs>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在政府采购资格审查环节，供应商只需提供书面《南京市政府采购供应商信用记录表暨信用承诺书》，即可替代以下证明材料：（1）符合国家相关规定的财务状况报告；（2）依法缴纳税收的证明材料；（3）依法缴纳社会保障资金的证明材料；（4）具备履行政府采购合同所必需的设备和专业技术能力的证明材料；（5）参加政府采购活动前三年内在经营活动中没有重大违法记录的证明材料；（6）未被列入失信被执行人、重大税收违法失信主体、政府采购严重违法失信行为记录名单的证明材料。</w:t>
      </w:r>
    </w:p>
    <w:p w14:paraId="5052F61E">
      <w:pPr>
        <w:tabs>
          <w:tab w:val="left" w:pos="900"/>
        </w:tabs>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供应商在中标（成交）后，应按采购文件要求，将上述由信用承诺书替代的证明材料提交采购人或采购代理机构核验。经核验无误后，由采购人或采购代理机构发出中标（成交）通知书。</w:t>
      </w:r>
    </w:p>
    <w:p w14:paraId="4850F36C">
      <w:pPr>
        <w:tabs>
          <w:tab w:val="left" w:pos="900"/>
        </w:tabs>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供应商涉及以下情形的，不适用信用承诺：</w:t>
      </w:r>
    </w:p>
    <w:p w14:paraId="6246615B">
      <w:pPr>
        <w:tabs>
          <w:tab w:val="left" w:pos="900"/>
        </w:tabs>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（1）供应商被列入严重失信主体名单；</w:t>
      </w:r>
    </w:p>
    <w:p w14:paraId="26EB6858">
      <w:pPr>
        <w:tabs>
          <w:tab w:val="left" w:pos="900"/>
        </w:tabs>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（2）被相关监管部门作出行政处罚且尚在处罚有效期内；</w:t>
      </w:r>
    </w:p>
    <w:p w14:paraId="73FF4BA9">
      <w:pPr>
        <w:tabs>
          <w:tab w:val="left" w:pos="900"/>
        </w:tabs>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（3）其他法律、行政法规规定的不适用信用承诺的情形。</w:t>
      </w:r>
    </w:p>
    <w:p w14:paraId="5014EAD6">
      <w:pPr>
        <w:tabs>
          <w:tab w:val="left" w:pos="900"/>
        </w:tabs>
        <w:adjustRightInd w:val="0"/>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供应商对信用承诺内容的真实性、合法性、有效性负责。如作出虚假信用承诺，视同为“提供虚假材料谋取中标、成交”的违法行为。</w:t>
      </w:r>
    </w:p>
    <w:p w14:paraId="0D372C4B">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5.有关本次招标的事项若存在变动或修改，请及时关注“江苏政府采购网”（www.ccgp-jiangsu.gov.cn）更正公告。</w:t>
      </w:r>
    </w:p>
    <w:p w14:paraId="6F923E12">
      <w:pPr>
        <w:pStyle w:val="2"/>
        <w:adjustRightInd w:val="0"/>
        <w:snapToGrid w:val="0"/>
        <w:spacing w:beforeLines="50" w:afterLines="50" w:line="360" w:lineRule="auto"/>
        <w:ind w:firstLine="373" w:firstLineChars="155"/>
        <w:rPr>
          <w:rFonts w:ascii="宋体" w:hAnsi="宋体" w:cs="宋体"/>
          <w:color w:val="auto"/>
          <w:sz w:val="24"/>
          <w:szCs w:val="24"/>
          <w:highlight w:val="none"/>
        </w:rPr>
      </w:pPr>
      <w:r>
        <w:rPr>
          <w:rFonts w:hint="eastAsia" w:ascii="宋体" w:hAnsi="宋体" w:cs="宋体"/>
          <w:color w:val="auto"/>
          <w:sz w:val="24"/>
          <w:szCs w:val="24"/>
          <w:highlight w:val="none"/>
        </w:rPr>
        <w:t>七、本次招标联系方式</w:t>
      </w:r>
      <w:bookmarkEnd w:id="18"/>
      <w:bookmarkEnd w:id="19"/>
      <w:bookmarkEnd w:id="20"/>
      <w:bookmarkEnd w:id="21"/>
      <w:bookmarkEnd w:id="22"/>
    </w:p>
    <w:p w14:paraId="355237D0">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1.采购人</w:t>
      </w:r>
    </w:p>
    <w:p w14:paraId="4D72D4A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名  称：</w:t>
      </w:r>
      <w:r>
        <w:rPr>
          <w:rFonts w:hint="eastAsia" w:ascii="宋体" w:hAnsi="宋体" w:eastAsia="宋体" w:cs="宋体"/>
          <w:color w:val="auto"/>
          <w:sz w:val="24"/>
          <w:highlight w:val="none"/>
        </w:rPr>
        <w:t>南京市公安局六合分局</w:t>
      </w:r>
      <w:r>
        <w:rPr>
          <w:rFonts w:hint="eastAsia" w:ascii="宋体" w:hAnsi="宋体" w:cs="宋体"/>
          <w:color w:val="auto"/>
          <w:sz w:val="24"/>
          <w:szCs w:val="24"/>
          <w:highlight w:val="none"/>
        </w:rPr>
        <w:t xml:space="preserve">         </w:t>
      </w:r>
    </w:p>
    <w:p w14:paraId="28D9C495">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cs="宋体"/>
          <w:color w:val="auto"/>
          <w:sz w:val="22"/>
          <w:highlight w:val="none"/>
        </w:rPr>
        <w:t xml:space="preserve">南京市六合区雄州街道雄州东路282号 </w:t>
      </w:r>
      <w:r>
        <w:rPr>
          <w:rFonts w:hint="eastAsia" w:ascii="宋体" w:hAnsi="宋体" w:eastAsia="宋体" w:cs="宋体"/>
          <w:color w:val="auto"/>
          <w:sz w:val="24"/>
          <w:szCs w:val="24"/>
          <w:highlight w:val="none"/>
        </w:rPr>
        <w:t xml:space="preserve">  </w:t>
      </w:r>
    </w:p>
    <w:p w14:paraId="3FF6F48A">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联系人：赵大</w:t>
      </w:r>
    </w:p>
    <w:p w14:paraId="3FBE2120">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bookmarkStart w:id="23" w:name="_Toc28359086"/>
      <w:bookmarkStart w:id="24" w:name="_Toc28359009"/>
      <w:r>
        <w:rPr>
          <w:rFonts w:hint="eastAsia" w:ascii="宋体" w:hAnsi="宋体" w:eastAsia="宋体" w:cs="宋体"/>
          <w:color w:val="auto"/>
          <w:sz w:val="24"/>
          <w:szCs w:val="24"/>
          <w:highlight w:val="none"/>
        </w:rPr>
        <w:t>13813390011</w:t>
      </w:r>
      <w:r>
        <w:rPr>
          <w:rFonts w:hint="eastAsia" w:ascii="宋体" w:hAnsi="宋体" w:eastAsia="宋体" w:cs="宋体"/>
          <w:color w:val="auto"/>
          <w:sz w:val="24"/>
          <w:szCs w:val="24"/>
          <w:highlight w:val="none"/>
          <w:lang w:val="zh-CN"/>
        </w:rPr>
        <w:t xml:space="preserve"> </w:t>
      </w:r>
    </w:p>
    <w:p w14:paraId="156271FF">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End w:id="23"/>
      <w:bookmarkEnd w:id="24"/>
      <w:r>
        <w:rPr>
          <w:rFonts w:hint="eastAsia" w:ascii="宋体" w:hAnsi="宋体" w:eastAsia="宋体" w:cs="宋体"/>
          <w:color w:val="auto"/>
          <w:sz w:val="24"/>
          <w:szCs w:val="24"/>
          <w:highlight w:val="none"/>
        </w:rPr>
        <w:t>代理机构</w:t>
      </w:r>
    </w:p>
    <w:p w14:paraId="5704655F">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rPr>
        <w:t>名  称：南京钧正工程管理有限公司</w:t>
      </w:r>
    </w:p>
    <w:p w14:paraId="2F9E486D">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eastAsia="宋体" w:cs="宋体"/>
          <w:color w:val="auto"/>
          <w:sz w:val="24"/>
          <w:szCs w:val="24"/>
          <w:highlight w:val="none"/>
          <w:lang w:val="zh-CN"/>
        </w:rPr>
        <w:t>江北新区天圣路75号国际企业研发园6-B栋内10层</w:t>
      </w:r>
      <w:r>
        <w:rPr>
          <w:rFonts w:hint="eastAsia" w:ascii="宋体" w:hAnsi="宋体" w:eastAsia="宋体" w:cs="宋体"/>
          <w:color w:val="auto"/>
          <w:sz w:val="24"/>
          <w:szCs w:val="24"/>
          <w:highlight w:val="none"/>
        </w:rPr>
        <w:t xml:space="preserve">1014室 </w:t>
      </w:r>
    </w:p>
    <w:p w14:paraId="65BFF0CD">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 王工</w:t>
      </w:r>
    </w:p>
    <w:p w14:paraId="2F31EB95">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eastAsia="宋体" w:cs="宋体"/>
          <w:color w:val="auto"/>
          <w:sz w:val="24"/>
          <w:szCs w:val="24"/>
          <w:highlight w:val="none"/>
        </w:rPr>
        <w:t>：13913856103</w:t>
      </w:r>
    </w:p>
    <w:p w14:paraId="52E4FB08">
      <w:pPr>
        <w:pBdr>
          <w:top w:val="none" w:color="000000" w:sz="0" w:space="0"/>
          <w:left w:val="none" w:color="000000" w:sz="0" w:space="0"/>
          <w:bottom w:val="none" w:color="000000" w:sz="0" w:space="0"/>
          <w:right w:val="none" w:color="000000" w:sz="0" w:space="0"/>
        </w:pBdr>
        <w:spacing w:line="62" w:lineRule="atLeast"/>
        <w:ind w:firstLine="480"/>
        <w:jc w:val="both"/>
        <w:rPr>
          <w:rFonts w:ascii="宋体" w:hAnsi="宋体" w:eastAsia="宋体" w:cs="宋体"/>
          <w:color w:val="auto"/>
          <w:highlight w:val="none"/>
        </w:rPr>
      </w:pPr>
      <w:r>
        <w:rPr>
          <w:rFonts w:hint="eastAsia" w:ascii="宋体" w:hAnsi="宋体" w:eastAsia="宋体" w:cs="宋体"/>
          <w:color w:val="auto"/>
          <w:sz w:val="24"/>
          <w:highlight w:val="none"/>
        </w:rPr>
        <w:t> </w:t>
      </w:r>
    </w:p>
    <w:p w14:paraId="595CE0AF">
      <w:pPr>
        <w:pBdr>
          <w:top w:val="none" w:color="000000" w:sz="0" w:space="0"/>
          <w:left w:val="none" w:color="000000" w:sz="0" w:space="0"/>
          <w:bottom w:val="none" w:color="000000" w:sz="0" w:space="0"/>
          <w:right w:val="none" w:color="000000" w:sz="0" w:space="0"/>
        </w:pBdr>
        <w:tabs>
          <w:tab w:val="left" w:pos="900"/>
        </w:tabs>
        <w:jc w:val="both"/>
        <w:rPr>
          <w:rFonts w:ascii="宋体" w:hAnsi="宋体" w:eastAsia="宋体" w:cs="宋体"/>
          <w:color w:val="auto"/>
          <w:highlight w:val="none"/>
        </w:rPr>
      </w:pPr>
      <w:r>
        <w:rPr>
          <w:rFonts w:hint="eastAsia" w:ascii="宋体" w:hAnsi="宋体" w:eastAsia="宋体" w:cs="宋体"/>
          <w:color w:val="auto"/>
          <w:sz w:val="24"/>
          <w:highlight w:val="none"/>
        </w:rPr>
        <w:t> </w:t>
      </w:r>
    </w:p>
    <w:p w14:paraId="3A6F48D7">
      <w:pPr>
        <w:pBdr>
          <w:top w:val="none" w:color="000000" w:sz="0" w:space="0"/>
          <w:left w:val="none" w:color="000000" w:sz="0" w:space="0"/>
          <w:bottom w:val="none" w:color="000000" w:sz="0" w:space="0"/>
          <w:right w:val="none" w:color="000000" w:sz="0" w:space="0"/>
        </w:pBdr>
        <w:rPr>
          <w:rFonts w:ascii="宋体" w:hAnsi="宋体" w:eastAsia="宋体" w:cs="宋体"/>
          <w:color w:val="auto"/>
          <w:highlight w:val="none"/>
        </w:rPr>
      </w:pPr>
      <w:r>
        <w:rPr>
          <w:rFonts w:hint="eastAsia" w:ascii="宋体" w:hAnsi="宋体" w:eastAsia="宋体" w:cs="宋体"/>
          <w:color w:val="auto"/>
          <w:highlight w:val="none"/>
        </w:rPr>
        <w:br w:type="page" w:clear="all"/>
      </w:r>
    </w:p>
    <w:p w14:paraId="1550E4F8">
      <w:pPr>
        <w:pBdr>
          <w:top w:val="none" w:color="000000" w:sz="0" w:space="0"/>
          <w:left w:val="none" w:color="000000" w:sz="0" w:space="0"/>
          <w:bottom w:val="none" w:color="000000" w:sz="0" w:space="0"/>
          <w:right w:val="none" w:color="000000" w:sz="0" w:space="0"/>
        </w:pBdr>
        <w:jc w:val="center"/>
        <w:rPr>
          <w:rFonts w:ascii="宋体" w:hAnsi="宋体" w:eastAsia="宋体" w:cs="宋体"/>
          <w:color w:val="auto"/>
          <w:highlight w:val="none"/>
        </w:rPr>
      </w:pPr>
      <w:r>
        <w:rPr>
          <w:rFonts w:hint="eastAsia" w:ascii="宋体" w:hAnsi="宋体" w:eastAsia="宋体" w:cs="宋体"/>
          <w:color w:val="auto"/>
          <w:sz w:val="36"/>
          <w:highlight w:val="none"/>
        </w:rPr>
        <w:t>第二章 投标人须知</w:t>
      </w:r>
    </w:p>
    <w:p w14:paraId="418BDCBB">
      <w:pPr>
        <w:shd w:val="clear" w:color="auto" w:fill="FFFFFF"/>
        <w:spacing w:line="360" w:lineRule="auto"/>
        <w:ind w:firstLine="484"/>
        <w:jc w:val="both"/>
        <w:rPr>
          <w:rFonts w:ascii="宋体" w:hAnsi="宋体" w:eastAsia="宋体" w:cs="Arial"/>
          <w:color w:val="auto"/>
          <w:sz w:val="24"/>
          <w:szCs w:val="24"/>
          <w:highlight w:val="none"/>
        </w:rPr>
      </w:pPr>
      <w:r>
        <w:rPr>
          <w:rFonts w:hint="eastAsia" w:ascii="宋体" w:hAnsi="宋体" w:eastAsia="宋体" w:cs="Arial"/>
          <w:b/>
          <w:bCs/>
          <w:color w:val="auto"/>
          <w:sz w:val="24"/>
          <w:szCs w:val="24"/>
          <w:highlight w:val="none"/>
        </w:rPr>
        <w:t>一、总则</w:t>
      </w:r>
    </w:p>
    <w:p w14:paraId="2A3CAD8B">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1</w:t>
      </w:r>
      <w:r>
        <w:rPr>
          <w:rFonts w:hint="eastAsia" w:ascii="宋体" w:hAnsi="宋体" w:eastAsia="宋体" w:cs="Arial"/>
          <w:b/>
          <w:bCs/>
          <w:color w:val="auto"/>
          <w:sz w:val="24"/>
          <w:szCs w:val="24"/>
          <w:highlight w:val="none"/>
        </w:rPr>
        <w:t>、适用法律</w:t>
      </w:r>
    </w:p>
    <w:p w14:paraId="4F926C7F">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1.1</w:t>
      </w:r>
      <w:r>
        <w:rPr>
          <w:rFonts w:hint="eastAsia" w:ascii="宋体" w:hAnsi="宋体" w:eastAsia="宋体" w:cs="Arial"/>
          <w:color w:val="auto"/>
          <w:sz w:val="24"/>
          <w:szCs w:val="24"/>
          <w:highlight w:val="none"/>
        </w:rPr>
        <w:t>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14:paraId="27BAE11F">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2</w:t>
      </w:r>
      <w:r>
        <w:rPr>
          <w:rFonts w:hint="eastAsia" w:ascii="宋体" w:hAnsi="宋体" w:eastAsia="宋体" w:cs="Arial"/>
          <w:b/>
          <w:bCs/>
          <w:color w:val="auto"/>
          <w:sz w:val="24"/>
          <w:szCs w:val="24"/>
          <w:highlight w:val="none"/>
        </w:rPr>
        <w:t>、定义</w:t>
      </w:r>
    </w:p>
    <w:p w14:paraId="0142A680">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2.1“</w:t>
      </w:r>
      <w:r>
        <w:rPr>
          <w:rFonts w:hint="eastAsia" w:ascii="宋体" w:hAnsi="宋体" w:eastAsia="宋体" w:cs="Arial"/>
          <w:color w:val="auto"/>
          <w:sz w:val="24"/>
          <w:szCs w:val="24"/>
          <w:highlight w:val="none"/>
        </w:rPr>
        <w:t>招标人（采购人）</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是指依法进行政府采购的国家机关、事业单位、团体组织。</w:t>
      </w:r>
    </w:p>
    <w:p w14:paraId="533928C4">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2.2“</w:t>
      </w:r>
      <w:r>
        <w:rPr>
          <w:rFonts w:hint="eastAsia" w:ascii="宋体" w:hAnsi="宋体" w:eastAsia="宋体" w:cs="Arial"/>
          <w:color w:val="auto"/>
          <w:sz w:val="24"/>
          <w:szCs w:val="24"/>
          <w:highlight w:val="none"/>
        </w:rPr>
        <w:t>投标人（供应商）</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是指参加投标竞争，并符合招标文件规定资格条件的法人、其他组织或者自然人。</w:t>
      </w:r>
    </w:p>
    <w:p w14:paraId="47FA9222">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2.3“</w:t>
      </w:r>
      <w:r>
        <w:rPr>
          <w:rFonts w:hint="eastAsia" w:ascii="宋体" w:hAnsi="宋体" w:eastAsia="宋体" w:cs="Arial"/>
          <w:color w:val="auto"/>
          <w:sz w:val="24"/>
          <w:szCs w:val="24"/>
          <w:highlight w:val="none"/>
        </w:rPr>
        <w:t>招标代理机构（采购代理机构）</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是指集中采购机构和集中采购机构以外的采购代理机构，集中采购机构以外的招标（采购）代理机构，是从事招标（采购）代理业务的社会中介机构。</w:t>
      </w:r>
    </w:p>
    <w:p w14:paraId="7559B350">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2.4“</w:t>
      </w:r>
      <w:r>
        <w:rPr>
          <w:rFonts w:hint="eastAsia" w:ascii="宋体" w:hAnsi="宋体" w:eastAsia="宋体" w:cs="Arial"/>
          <w:color w:val="auto"/>
          <w:sz w:val="24"/>
          <w:szCs w:val="24"/>
          <w:highlight w:val="none"/>
        </w:rPr>
        <w:t>货物和服务</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指本招标文件中所述产品及相关服务。</w:t>
      </w:r>
    </w:p>
    <w:p w14:paraId="281A3A28">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2.5“</w:t>
      </w:r>
      <w:r>
        <w:rPr>
          <w:rFonts w:hint="eastAsia" w:ascii="宋体" w:hAnsi="宋体" w:eastAsia="宋体" w:cs="Arial"/>
          <w:color w:val="auto"/>
          <w:sz w:val="24"/>
          <w:szCs w:val="24"/>
          <w:highlight w:val="none"/>
        </w:rPr>
        <w:t>用户或使用单位</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是指使用货物，接受服务的单位。</w:t>
      </w:r>
    </w:p>
    <w:p w14:paraId="51BAC784">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3</w:t>
      </w:r>
      <w:r>
        <w:rPr>
          <w:rFonts w:hint="eastAsia" w:ascii="宋体" w:hAnsi="宋体" w:eastAsia="宋体" w:cs="Arial"/>
          <w:b/>
          <w:bCs/>
          <w:color w:val="auto"/>
          <w:sz w:val="24"/>
          <w:szCs w:val="24"/>
          <w:highlight w:val="none"/>
        </w:rPr>
        <w:t>、政策功能</w:t>
      </w:r>
    </w:p>
    <w:p w14:paraId="345BA571">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3.1 政府采购促进中小企业发展，在政府采购活动中，供应商提供的货物、工程或者服务符合下列情形的，享受中小企业扶持政策：</w:t>
      </w:r>
    </w:p>
    <w:p w14:paraId="6C3F972C">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（1）在货物采购项目中，货物由中小企业制造，即货物由中小企业生产且使用该中小企业商号或者注册商标；</w:t>
      </w:r>
    </w:p>
    <w:p w14:paraId="0784B375">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（2）在工程采购项目中，工程由中小企业承建，即工程施工单位为中小企业；</w:t>
      </w:r>
    </w:p>
    <w:p w14:paraId="79081576">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 xml:space="preserve">（3）在服务采购项目中，服务由中小企业承接，即提供服务的人员为中小企业依照《中华人民共和国劳动合同法》订立劳动合同的从业人员。 </w:t>
      </w:r>
    </w:p>
    <w:p w14:paraId="6A9887A9">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在货物采购项目中，供应商提供的货物既有中小企业制造货物，也有大型企业制造货物的，不享受中小企业扶持政策。</w:t>
      </w:r>
    </w:p>
    <w:p w14:paraId="6CFA0ED1">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以联合体形式参加政府采购活动，联合体各方均为中小企业的，联合体视同中小企业。其中，联合体各方均为小微企业的，联合体视同小微企业。</w:t>
      </w:r>
    </w:p>
    <w:p w14:paraId="248BA557">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中小企业供应商参加政府采购活动，应当出具《中小企业声明函》（格式见后附件），否则不得享受相关中小企业扶持政策。</w:t>
      </w:r>
    </w:p>
    <w:p w14:paraId="78861C5D">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3E5AABB1">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3.2 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1C5550B6">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3.3 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14:paraId="695D2017">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w:t>
      </w:r>
    </w:p>
    <w:p w14:paraId="011B0208">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3.5 提供的产品属于信息安全产品的，供应商应当选择经国家认证的信息安全产品投标，并提供由中国信息安全认证中心按国家标准认证颁发的有效认证证书</w:t>
      </w:r>
      <w:r>
        <w:rPr>
          <w:rFonts w:hint="eastAsia" w:ascii="宋体" w:hAnsi="宋体" w:eastAsia="宋体" w:cs="Arial"/>
          <w:color w:val="auto"/>
          <w:sz w:val="24"/>
          <w:szCs w:val="24"/>
          <w:highlight w:val="none"/>
          <w:lang w:eastAsia="zh-CN"/>
        </w:rPr>
        <w:t>扫描件</w:t>
      </w:r>
      <w:r>
        <w:rPr>
          <w:rFonts w:hint="eastAsia" w:ascii="宋体" w:hAnsi="宋体" w:eastAsia="宋体" w:cs="Arial"/>
          <w:color w:val="auto"/>
          <w:sz w:val="24"/>
          <w:szCs w:val="24"/>
          <w:highlight w:val="none"/>
        </w:rPr>
        <w:t>。</w:t>
      </w:r>
    </w:p>
    <w:p w14:paraId="5AFC783B">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3.6 提供的产品属于政府强制采购节能产品的，供应商应当选择依据国家标准中二级能效（水效）指标认证的节能产品投标，并提供有效的节能产品认证证书</w:t>
      </w:r>
      <w:r>
        <w:rPr>
          <w:rFonts w:hint="eastAsia" w:ascii="宋体" w:hAnsi="宋体" w:eastAsia="宋体" w:cs="Arial"/>
          <w:color w:val="auto"/>
          <w:sz w:val="24"/>
          <w:szCs w:val="24"/>
          <w:highlight w:val="none"/>
          <w:lang w:eastAsia="zh-CN"/>
        </w:rPr>
        <w:t>扫描件</w:t>
      </w:r>
      <w:r>
        <w:rPr>
          <w:rFonts w:hint="eastAsia" w:ascii="宋体" w:hAnsi="宋体" w:eastAsia="宋体" w:cs="Arial"/>
          <w:color w:val="auto"/>
          <w:sz w:val="24"/>
          <w:szCs w:val="24"/>
          <w:highlight w:val="none"/>
        </w:rPr>
        <w:t>。</w:t>
      </w:r>
    </w:p>
    <w:p w14:paraId="4026764D">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3.7 提供的产品属于环境标志产品的,供应商应当选择依据相关标准的最新版本认证的环境标志产品投标,并提供有效的环境标志产品认证证书</w:t>
      </w:r>
      <w:r>
        <w:rPr>
          <w:rFonts w:hint="eastAsia" w:ascii="宋体" w:hAnsi="宋体" w:eastAsia="宋体" w:cs="Arial"/>
          <w:color w:val="auto"/>
          <w:sz w:val="24"/>
          <w:szCs w:val="24"/>
          <w:highlight w:val="none"/>
          <w:lang w:eastAsia="zh-CN"/>
        </w:rPr>
        <w:t>扫描件</w:t>
      </w:r>
      <w:r>
        <w:rPr>
          <w:rFonts w:hint="eastAsia" w:ascii="宋体" w:hAnsi="宋体" w:eastAsia="宋体" w:cs="Arial"/>
          <w:color w:val="auto"/>
          <w:sz w:val="24"/>
          <w:szCs w:val="24"/>
          <w:highlight w:val="none"/>
        </w:rPr>
        <w:t>。</w:t>
      </w:r>
    </w:p>
    <w:p w14:paraId="0BD48545">
      <w:pPr>
        <w:widowControl w:val="0"/>
        <w:shd w:val="clear" w:color="auto" w:fill="FFFFFF"/>
        <w:spacing w:line="360" w:lineRule="auto"/>
        <w:ind w:left="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w:t>
      </w:r>
      <w:r>
        <w:rPr>
          <w:rFonts w:ascii="宋体" w:hAnsi="宋体" w:eastAsia="宋体" w:cs="Arial"/>
          <w:color w:val="auto"/>
          <w:sz w:val="24"/>
          <w:szCs w:val="24"/>
          <w:highlight w:val="none"/>
        </w:rPr>
        <w:t>8</w:t>
      </w:r>
      <w:r>
        <w:rPr>
          <w:rFonts w:hint="eastAsia" w:ascii="宋体" w:hAnsi="宋体" w:eastAsia="宋体" w:cs="Arial"/>
          <w:color w:val="auto"/>
          <w:sz w:val="24"/>
          <w:szCs w:val="24"/>
          <w:highlight w:val="none"/>
        </w:rPr>
        <w:t>进口产品政策</w:t>
      </w:r>
    </w:p>
    <w:p w14:paraId="433BEA3E">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（1）除招标公告载明接受进口产品参加外，不允许进口产品参加。进口产品认定依照《财政部关于政府采购进口产品管理有关问题的通知》（财办库〔2008〕248号）的规定。</w:t>
      </w:r>
    </w:p>
    <w:p w14:paraId="687A80D0">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（2）允许进口产品参加的，满足需求的国内产品可以参加。</w:t>
      </w:r>
    </w:p>
    <w:p w14:paraId="1D753C8B">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（3）允许进口产品参加的，优先采购向我国企业转让技术、与我国企业签订消化吸收再创新方案的投标人的进口产品。</w:t>
      </w:r>
    </w:p>
    <w:p w14:paraId="59EA135E">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w:t>
      </w:r>
      <w:r>
        <w:rPr>
          <w:rFonts w:ascii="宋体" w:hAnsi="宋体" w:eastAsia="宋体" w:cs="Arial"/>
          <w:color w:val="auto"/>
          <w:sz w:val="24"/>
          <w:szCs w:val="24"/>
          <w:highlight w:val="none"/>
        </w:rPr>
        <w:t>9</w:t>
      </w:r>
      <w:r>
        <w:rPr>
          <w:rFonts w:hint="eastAsia" w:ascii="宋体" w:hAnsi="宋体" w:eastAsia="宋体" w:cs="Arial"/>
          <w:color w:val="auto"/>
          <w:sz w:val="24"/>
          <w:szCs w:val="24"/>
          <w:highlight w:val="none"/>
        </w:rPr>
        <w:t>未按要求提供相关材料的，不享受相关政策。</w:t>
      </w:r>
    </w:p>
    <w:p w14:paraId="227C15E6">
      <w:pPr>
        <w:shd w:val="clear" w:color="auto" w:fill="FFFFFF"/>
        <w:spacing w:line="360" w:lineRule="auto"/>
        <w:ind w:firstLine="412"/>
        <w:jc w:val="both"/>
        <w:rPr>
          <w:rFonts w:ascii="宋体" w:hAnsi="宋体" w:eastAsia="宋体" w:cs="Arial"/>
          <w:color w:val="auto"/>
          <w:sz w:val="24"/>
          <w:szCs w:val="24"/>
          <w:highlight w:val="none"/>
        </w:rPr>
      </w:pPr>
      <w:r>
        <w:rPr>
          <w:rFonts w:hint="eastAsia" w:ascii="宋体" w:hAnsi="宋体" w:eastAsia="宋体" w:cs="Arial"/>
          <w:b/>
          <w:bCs/>
          <w:color w:val="auto"/>
          <w:sz w:val="24"/>
          <w:szCs w:val="24"/>
          <w:highlight w:val="none"/>
        </w:rPr>
        <w:t>二、招标文件构成</w:t>
      </w:r>
    </w:p>
    <w:p w14:paraId="1DE5E3BB">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4</w:t>
      </w:r>
      <w:r>
        <w:rPr>
          <w:rFonts w:hint="eastAsia" w:ascii="宋体" w:hAnsi="宋体" w:eastAsia="宋体" w:cs="Arial"/>
          <w:b/>
          <w:bCs/>
          <w:color w:val="auto"/>
          <w:sz w:val="24"/>
          <w:szCs w:val="24"/>
          <w:highlight w:val="none"/>
        </w:rPr>
        <w:t>、招标文件组成</w:t>
      </w:r>
    </w:p>
    <w:p w14:paraId="06402B51">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招标代理机构代理费用的收取标准和方式；投标人信用信息查询渠道及截止时点、信用信息查询记录和证据留存的具体方式、信用信息的使用规则等；省级以上财政部门规定的其他事项。</w:t>
      </w:r>
    </w:p>
    <w:p w14:paraId="041DE0B7">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4.2 招标的最小单位是包。招标货物数量及技术要求中未分包的，投标人对要求提供的货物和服务不得部分投标；招标货物数量及技术要求中已经分包的，可以以包为单位投标。</w:t>
      </w:r>
    </w:p>
    <w:p w14:paraId="120898F0">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4.3 招标代理机构如果要求投标人按照招标文件规定提交备选投标方案的，投标人可以提交备选方案；否则，备选方案将被拒绝。</w:t>
      </w:r>
    </w:p>
    <w:p w14:paraId="38803392">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5</w:t>
      </w:r>
      <w:r>
        <w:rPr>
          <w:rFonts w:hint="eastAsia" w:ascii="宋体" w:hAnsi="宋体" w:eastAsia="宋体" w:cs="Arial"/>
          <w:b/>
          <w:bCs/>
          <w:color w:val="auto"/>
          <w:sz w:val="24"/>
          <w:szCs w:val="24"/>
          <w:highlight w:val="none"/>
        </w:rPr>
        <w:t>、招标文件的澄清或者修改</w:t>
      </w:r>
    </w:p>
    <w:p w14:paraId="3F50EF48">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5.1招标人或者招标代理机构可以对已发出的招标文件进行必要的澄清或者修改，但不得改变采购标的和资格条件。澄清或者修改应当在原公告发布媒体上发布澄清公告。澄清或者修改的内容为招标文件的组成部分。</w:t>
      </w:r>
    </w:p>
    <w:p w14:paraId="6695AB19">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澄清或者修改的内容可能影响投标文件编制的，招标人或者招标代理机构应当在投标截止时间至少15日前，以书面形式通知所有获取招标文件的潜在投标人；不足15日的，招标人或者招标代理机构应当顺延提交投标文件的截止时间。</w:t>
      </w:r>
    </w:p>
    <w:p w14:paraId="7C6AE26B">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b/>
          <w:bCs/>
          <w:color w:val="auto"/>
          <w:sz w:val="24"/>
          <w:szCs w:val="24"/>
          <w:highlight w:val="none"/>
        </w:rPr>
        <w:t>三、投标文件的编制</w:t>
      </w:r>
    </w:p>
    <w:p w14:paraId="19291108">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6</w:t>
      </w:r>
      <w:r>
        <w:rPr>
          <w:rFonts w:hint="eastAsia" w:ascii="宋体" w:hAnsi="宋体" w:eastAsia="宋体" w:cs="Arial"/>
          <w:b/>
          <w:bCs/>
          <w:color w:val="auto"/>
          <w:sz w:val="24"/>
          <w:szCs w:val="24"/>
          <w:highlight w:val="none"/>
        </w:rPr>
        <w:t>、投标文件的语言、计量单位、货币和编制</w:t>
      </w:r>
    </w:p>
    <w:p w14:paraId="64AB734E">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6.1投标人提交的投标文件、技术文件和资料，包括图纸中的说明，以及投标人与招标代理机构就有关投标的所有来往函电均应使用中文。投标文件中若有英文或其他语言文字的资料，应提供相应的中文翻译资料。对不同文本投标文件的解释发生异议的，以中文文本为准。</w:t>
      </w:r>
    </w:p>
    <w:p w14:paraId="3AFEC4E1">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6.2投标人所使用的计量单位应为国家法定计量单位。</w:t>
      </w:r>
    </w:p>
    <w:p w14:paraId="620B031A">
      <w:pPr>
        <w:widowControl w:val="0"/>
        <w:shd w:val="clear" w:color="auto" w:fill="FFFFFF"/>
        <w:spacing w:line="360" w:lineRule="auto"/>
        <w:ind w:firstLine="420"/>
        <w:jc w:val="both"/>
        <w:rPr>
          <w:rFonts w:ascii="宋体" w:hAnsi="宋体" w:eastAsia="宋体" w:cs="Arial"/>
          <w:b/>
          <w:bCs/>
          <w:color w:val="auto"/>
          <w:sz w:val="24"/>
          <w:szCs w:val="24"/>
          <w:highlight w:val="none"/>
        </w:rPr>
      </w:pPr>
      <w:r>
        <w:rPr>
          <w:rFonts w:hint="eastAsia" w:ascii="宋体" w:hAnsi="宋体" w:eastAsia="宋体" w:cs="Arial"/>
          <w:color w:val="auto"/>
          <w:sz w:val="24"/>
          <w:szCs w:val="24"/>
          <w:highlight w:val="none"/>
        </w:rPr>
        <w:t>6.3投标人应用人民币报价。投标产品如果是进口产品的，应提供人民币与</w:t>
      </w:r>
      <w:r>
        <w:rPr>
          <w:rFonts w:hint="eastAsia" w:ascii="宋体" w:hAnsi="宋体" w:eastAsia="宋体" w:cs="Arial"/>
          <w:b/>
          <w:bCs/>
          <w:color w:val="auto"/>
          <w:sz w:val="24"/>
          <w:szCs w:val="24"/>
          <w:highlight w:val="none"/>
        </w:rPr>
        <w:t>外币之间的汇率；报价单位为“元”。</w:t>
      </w:r>
    </w:p>
    <w:p w14:paraId="7ED5D364">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6.4投标文件应按照招标文件规定的顺序，统一用A4规格幅面打印、装订成册并编制目录，由于编排混乱导致投标文件被误读或查找不到，责任由投标人承担。</w:t>
      </w:r>
    </w:p>
    <w:p w14:paraId="02D12990">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6.5投标人应在投标文件中写清相应的项目编号、项目名称、投标人全称、地址、电话、传真等。</w:t>
      </w:r>
    </w:p>
    <w:p w14:paraId="29896DD3">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6.6投标人根据招标文件载明的标的采购项目实际情况，拟在中标后将中标项目的非主体、非关键性工作交由他人完成的，应当在投标文件中载明。</w:t>
      </w:r>
    </w:p>
    <w:p w14:paraId="194345A4">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7</w:t>
      </w:r>
      <w:r>
        <w:rPr>
          <w:rFonts w:hint="eastAsia" w:ascii="宋体" w:hAnsi="宋体" w:eastAsia="宋体" w:cs="Arial"/>
          <w:b/>
          <w:bCs/>
          <w:color w:val="auto"/>
          <w:sz w:val="24"/>
          <w:szCs w:val="24"/>
          <w:highlight w:val="none"/>
        </w:rPr>
        <w:t>、联合体投标</w:t>
      </w:r>
    </w:p>
    <w:p w14:paraId="23F377CD">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7.1 两个以上的自然人、法人或者其他组织可以组成一个联合体，以一个投标人的身份共同参加政府采购。</w:t>
      </w:r>
    </w:p>
    <w:p w14:paraId="640EAFCD">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7.2 联合体中有同类资质的投标人按照联合体分工承担相同工作的，按照资质等级较低的投标人确定资质等级。</w:t>
      </w:r>
    </w:p>
    <w:p w14:paraId="5069FD54">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7.3 联合体各方之间应当签订联合体协议，明确约定联合体各方承担的工作和相应的责任，并将联合体协议连同投标文件一同提交。</w:t>
      </w:r>
    </w:p>
    <w:p w14:paraId="739B4868">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7.4 以联合体形式参加政府采购活动的，联合体各方不得再单独参加或者与其他投标人另外组成联合体参加同一合同项下的政府采购活动。</w:t>
      </w:r>
    </w:p>
    <w:p w14:paraId="4005F9F0">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8</w:t>
      </w:r>
      <w:r>
        <w:rPr>
          <w:rFonts w:hint="eastAsia" w:ascii="宋体" w:hAnsi="宋体" w:eastAsia="宋体" w:cs="Arial"/>
          <w:b/>
          <w:bCs/>
          <w:color w:val="auto"/>
          <w:sz w:val="24"/>
          <w:szCs w:val="24"/>
          <w:highlight w:val="none"/>
        </w:rPr>
        <w:t>、投标文件的组成</w:t>
      </w:r>
    </w:p>
    <w:p w14:paraId="737693DA">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8.1投标人应当根据招标文件要求编制投标文件，投标文件应对招标文件提出的要求和条件作出实质性响应，并在《商务条款偏离表》和《技术条款偏离表》等处逐条标明满足与否。</w:t>
      </w:r>
    </w:p>
    <w:p w14:paraId="4E8CF3C6">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8.2 投标文件由商务部分、技术部分、价格部分以及其他部分组成。</w:t>
      </w:r>
    </w:p>
    <w:p w14:paraId="4BF0779D">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9</w:t>
      </w:r>
      <w:r>
        <w:rPr>
          <w:rFonts w:hint="eastAsia" w:ascii="宋体" w:hAnsi="宋体" w:eastAsia="宋体" w:cs="Arial"/>
          <w:b/>
          <w:bCs/>
          <w:color w:val="auto"/>
          <w:sz w:val="24"/>
          <w:szCs w:val="24"/>
          <w:highlight w:val="none"/>
        </w:rPr>
        <w:t>、投标文件的商务部分</w:t>
      </w:r>
    </w:p>
    <w:p w14:paraId="2D585522">
      <w:pPr>
        <w:widowControl w:val="0"/>
        <w:shd w:val="clear" w:color="auto" w:fill="FFFFFF"/>
        <w:spacing w:line="360" w:lineRule="auto"/>
        <w:ind w:firstLine="420"/>
        <w:jc w:val="both"/>
        <w:rPr>
          <w:rFonts w:ascii="宋体" w:hAnsi="宋体" w:eastAsia="宋体" w:cs="Arial"/>
          <w:b/>
          <w:bCs/>
          <w:color w:val="auto"/>
          <w:sz w:val="24"/>
          <w:szCs w:val="24"/>
          <w:highlight w:val="none"/>
        </w:rPr>
      </w:pPr>
      <w:r>
        <w:rPr>
          <w:rFonts w:hint="eastAsia" w:ascii="宋体" w:hAnsi="宋体" w:eastAsia="宋体" w:cs="Arial"/>
          <w:color w:val="auto"/>
          <w:sz w:val="24"/>
          <w:szCs w:val="24"/>
          <w:highlight w:val="none"/>
        </w:rPr>
        <w:t>9.1商务部分是证明投标人有资格参加投标和中标后有能力履行合同的文件，这些文件应能满足招标的要求，包括但不限于下列文件，</w:t>
      </w:r>
      <w:r>
        <w:rPr>
          <w:rFonts w:ascii="宋体" w:hAnsi="宋体" w:eastAsia="宋体" w:cs="Times New Roman"/>
          <w:color w:val="auto"/>
          <w:sz w:val="24"/>
          <w:szCs w:val="24"/>
          <w:highlight w:val="none"/>
          <w:lang w:val="zh-CN"/>
        </w:rPr>
        <w:t>其中加“</w:t>
      </w:r>
      <w:r>
        <w:rPr>
          <w:rFonts w:hint="eastAsia" w:ascii="宋体" w:hAnsi="宋体" w:eastAsia="宋体" w:cs="宋体"/>
          <w:color w:val="auto"/>
          <w:sz w:val="24"/>
          <w:szCs w:val="24"/>
          <w:highlight w:val="none"/>
          <w:lang w:val="zh-CN"/>
        </w:rPr>
        <w:t>★</w:t>
      </w:r>
      <w:r>
        <w:rPr>
          <w:rFonts w:ascii="宋体" w:hAnsi="宋体" w:eastAsia="宋体" w:cs="Times New Roman"/>
          <w:color w:val="auto"/>
          <w:sz w:val="24"/>
          <w:szCs w:val="24"/>
          <w:highlight w:val="none"/>
          <w:lang w:val="zh-CN"/>
        </w:rPr>
        <w:t>”项目不得有缺失或无效：</w:t>
      </w:r>
    </w:p>
    <w:p w14:paraId="48027FE4">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Arial"/>
          <w:color w:val="auto"/>
          <w:sz w:val="24"/>
          <w:szCs w:val="24"/>
          <w:highlight w:val="none"/>
        </w:rPr>
        <w:t>投标函（投标申请及声明）</w:t>
      </w:r>
      <w:r>
        <w:rPr>
          <w:rFonts w:hint="eastAsia" w:ascii="宋体" w:hAnsi="宋体" w:eastAsia="宋体" w:cs="Arial"/>
          <w:b/>
          <w:bCs/>
          <w:color w:val="auto"/>
          <w:sz w:val="24"/>
          <w:szCs w:val="24"/>
          <w:highlight w:val="none"/>
        </w:rPr>
        <w:t>（格式见附件）</w:t>
      </w:r>
      <w:r>
        <w:rPr>
          <w:rFonts w:hint="eastAsia" w:ascii="宋体" w:hAnsi="宋体" w:eastAsia="宋体" w:cs="Arial"/>
          <w:color w:val="auto"/>
          <w:sz w:val="24"/>
          <w:szCs w:val="24"/>
          <w:highlight w:val="none"/>
        </w:rPr>
        <w:t>；</w:t>
      </w:r>
    </w:p>
    <w:p w14:paraId="683E1451">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w:t>
      </w:r>
      <w:r>
        <w:rPr>
          <w:rFonts w:hint="eastAsia" w:ascii="宋体" w:hAnsi="宋体" w:eastAsia="宋体" w:cs="宋体"/>
          <w:color w:val="auto"/>
          <w:sz w:val="24"/>
          <w:szCs w:val="24"/>
          <w:highlight w:val="none"/>
          <w:lang w:val="zh-CN"/>
        </w:rPr>
        <w:t>★</w:t>
      </w:r>
      <w:r>
        <w:rPr>
          <w:rFonts w:hint="eastAsia" w:ascii="宋体" w:hAnsi="宋体" w:eastAsia="宋体" w:cs="Arial"/>
          <w:color w:val="auto"/>
          <w:sz w:val="24"/>
          <w:szCs w:val="24"/>
          <w:highlight w:val="none"/>
        </w:rPr>
        <w:t>法定代表人授权委托书及委托代理人的身份证明文件的</w:t>
      </w:r>
      <w:r>
        <w:rPr>
          <w:rFonts w:hint="eastAsia" w:ascii="宋体" w:hAnsi="宋体" w:eastAsia="宋体" w:cs="Arial"/>
          <w:color w:val="auto"/>
          <w:sz w:val="24"/>
          <w:szCs w:val="24"/>
          <w:highlight w:val="none"/>
          <w:lang w:eastAsia="zh-CN"/>
        </w:rPr>
        <w:t>扫描件</w:t>
      </w:r>
      <w:r>
        <w:rPr>
          <w:rFonts w:hint="eastAsia" w:ascii="宋体" w:hAnsi="宋体" w:eastAsia="宋体" w:cs="Arial"/>
          <w:b/>
          <w:bCs/>
          <w:color w:val="auto"/>
          <w:sz w:val="24"/>
          <w:szCs w:val="24"/>
          <w:highlight w:val="none"/>
        </w:rPr>
        <w:t>（格式见附件）</w:t>
      </w:r>
      <w:r>
        <w:rPr>
          <w:rFonts w:hint="eastAsia" w:ascii="宋体" w:hAnsi="宋体" w:eastAsia="宋体" w:cs="Arial"/>
          <w:color w:val="auto"/>
          <w:sz w:val="24"/>
          <w:szCs w:val="24"/>
          <w:highlight w:val="none"/>
        </w:rPr>
        <w:t>；</w:t>
      </w:r>
    </w:p>
    <w:p w14:paraId="589EAE4C">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Arial"/>
          <w:color w:val="auto"/>
          <w:sz w:val="24"/>
          <w:szCs w:val="24"/>
          <w:highlight w:val="none"/>
        </w:rPr>
        <w:t>投标人资格资信证明文件：</w:t>
      </w:r>
    </w:p>
    <w:p w14:paraId="621177ED">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Arial"/>
          <w:color w:val="auto"/>
          <w:sz w:val="24"/>
          <w:szCs w:val="24"/>
          <w:highlight w:val="none"/>
        </w:rPr>
        <w:t>第一章招标公告中（一）《中华人民共和国政府采购法》规定的资格条件证明文件；</w:t>
      </w:r>
    </w:p>
    <w:p w14:paraId="27742B12">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w:t>
      </w:r>
      <w:r>
        <w:rPr>
          <w:rFonts w:hint="eastAsia" w:ascii="宋体" w:hAnsi="宋体" w:eastAsia="宋体" w:cs="宋体"/>
          <w:color w:val="auto"/>
          <w:sz w:val="24"/>
          <w:szCs w:val="24"/>
          <w:highlight w:val="none"/>
          <w:lang w:val="zh-CN"/>
        </w:rPr>
        <w:t>★</w:t>
      </w:r>
      <w:r>
        <w:rPr>
          <w:rFonts w:hint="eastAsia" w:ascii="宋体" w:hAnsi="宋体" w:eastAsia="宋体" w:cs="Arial"/>
          <w:color w:val="auto"/>
          <w:sz w:val="24"/>
          <w:szCs w:val="24"/>
          <w:highlight w:val="none"/>
        </w:rPr>
        <w:t>第一章招标公告中（二）落实政府采购政策需满足的资格要求；</w:t>
      </w:r>
    </w:p>
    <w:p w14:paraId="01607FE7">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Arial"/>
          <w:color w:val="auto"/>
          <w:sz w:val="24"/>
          <w:szCs w:val="24"/>
          <w:highlight w:val="none"/>
        </w:rPr>
        <w:t>第一章招标公告中（三）采购人根据采购项目的特殊要求规定的特定条件证明文件。</w:t>
      </w:r>
    </w:p>
    <w:p w14:paraId="33D26BC0">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（4）★开标一览表（格式见附件）；</w:t>
      </w:r>
    </w:p>
    <w:p w14:paraId="3566FD65">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（5）★《南京市政府采购供应商信用记录表暨信用承诺书》</w:t>
      </w:r>
      <w:r>
        <w:rPr>
          <w:rFonts w:hint="eastAsia" w:ascii="宋体" w:hAnsi="宋体" w:eastAsia="宋体" w:cs="Arial"/>
          <w:color w:val="auto"/>
          <w:sz w:val="24"/>
          <w:szCs w:val="24"/>
          <w:highlight w:val="none"/>
          <w:lang w:val="zh-CN"/>
        </w:rPr>
        <w:t>；</w:t>
      </w:r>
    </w:p>
    <w:p w14:paraId="498C3FF4">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（6）《商务条款偏离表》；</w:t>
      </w:r>
    </w:p>
    <w:p w14:paraId="2E37D0CD">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（7）分项报价表（如有自拟）；</w:t>
      </w:r>
    </w:p>
    <w:p w14:paraId="6D8D1C36">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（8）第三章评标标准中对应的其它所需证明材料（如有自行添加）；</w:t>
      </w:r>
    </w:p>
    <w:p w14:paraId="1A86B6AA">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（9）要求采购人提供的配合（如有自拟并自行添加）；</w:t>
      </w:r>
    </w:p>
    <w:p w14:paraId="3607831A">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（10）其它（投标人认为有必要提供的声明和文件，如有，自行拟定并添加）。</w:t>
      </w:r>
    </w:p>
    <w:p w14:paraId="5CA1E5FB">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10</w:t>
      </w:r>
      <w:r>
        <w:rPr>
          <w:rFonts w:hint="eastAsia" w:ascii="宋体" w:hAnsi="宋体" w:eastAsia="宋体" w:cs="Arial"/>
          <w:b/>
          <w:bCs/>
          <w:color w:val="auto"/>
          <w:sz w:val="24"/>
          <w:szCs w:val="24"/>
          <w:highlight w:val="none"/>
        </w:rPr>
        <w:t>、投标文件的技术部分</w:t>
      </w:r>
    </w:p>
    <w:p w14:paraId="5BA2B056">
      <w:pPr>
        <w:widowControl w:val="0"/>
        <w:spacing w:line="360" w:lineRule="auto"/>
        <w:ind w:firstLine="420"/>
        <w:rPr>
          <w:rFonts w:ascii="宋体" w:hAnsi="宋体" w:eastAsia="宋体" w:cs="Arial"/>
          <w:color w:val="auto"/>
          <w:sz w:val="24"/>
          <w:szCs w:val="24"/>
          <w:highlight w:val="none"/>
          <w:lang w:val="zh-CN"/>
        </w:rPr>
      </w:pPr>
      <w:r>
        <w:rPr>
          <w:rFonts w:hint="eastAsia" w:ascii="宋体" w:hAnsi="宋体" w:eastAsia="宋体" w:cs="Arial"/>
          <w:color w:val="auto"/>
          <w:sz w:val="24"/>
          <w:szCs w:val="24"/>
          <w:highlight w:val="none"/>
          <w:lang w:val="zh-CN"/>
        </w:rPr>
        <w:t>技术部分是证明</w:t>
      </w:r>
      <w:r>
        <w:rPr>
          <w:rFonts w:hint="eastAsia" w:ascii="宋体" w:hAnsi="宋体" w:eastAsia="宋体" w:cs="Arial"/>
          <w:color w:val="auto"/>
          <w:sz w:val="24"/>
          <w:szCs w:val="24"/>
          <w:highlight w:val="none"/>
        </w:rPr>
        <w:t>投标人提供的货物和服务是合格的、并符合招标文件要求的证明文件，以及</w:t>
      </w:r>
      <w:r>
        <w:rPr>
          <w:rFonts w:hint="eastAsia" w:ascii="宋体" w:hAnsi="宋体" w:eastAsia="宋体" w:cs="Arial"/>
          <w:color w:val="auto"/>
          <w:sz w:val="24"/>
          <w:szCs w:val="24"/>
          <w:highlight w:val="none"/>
          <w:lang w:val="zh-CN"/>
        </w:rPr>
        <w:t>对货物和服务的详细说明，这些文件可以是文字资料、图纸和数据等。提供的货物和服务如与招标文件要求有不符之处，应说明其差别之所在。包括但不限于下列文件，</w:t>
      </w:r>
      <w:r>
        <w:rPr>
          <w:rFonts w:ascii="宋体" w:hAnsi="宋体" w:eastAsia="宋体" w:cs="Times New Roman"/>
          <w:color w:val="auto"/>
          <w:sz w:val="24"/>
          <w:szCs w:val="24"/>
          <w:highlight w:val="none"/>
          <w:lang w:val="zh-CN"/>
        </w:rPr>
        <w:t>其中加“</w:t>
      </w:r>
      <w:r>
        <w:rPr>
          <w:rFonts w:hint="eastAsia" w:ascii="宋体" w:hAnsi="宋体" w:eastAsia="宋体" w:cs="宋体"/>
          <w:color w:val="auto"/>
          <w:sz w:val="24"/>
          <w:szCs w:val="24"/>
          <w:highlight w:val="none"/>
          <w:lang w:val="zh-CN"/>
        </w:rPr>
        <w:t>★</w:t>
      </w:r>
      <w:r>
        <w:rPr>
          <w:rFonts w:ascii="宋体" w:hAnsi="宋体" w:eastAsia="宋体" w:cs="Times New Roman"/>
          <w:color w:val="auto"/>
          <w:sz w:val="24"/>
          <w:szCs w:val="24"/>
          <w:highlight w:val="none"/>
          <w:lang w:val="zh-CN"/>
        </w:rPr>
        <w:t>”项目不得有缺失或无效：</w:t>
      </w:r>
    </w:p>
    <w:p w14:paraId="32657F8C">
      <w:pPr>
        <w:widowControl w:val="0"/>
        <w:spacing w:line="360" w:lineRule="auto"/>
        <w:ind w:firstLine="420"/>
        <w:rPr>
          <w:rFonts w:ascii="宋体" w:hAnsi="宋体" w:eastAsia="宋体" w:cs="Arial"/>
          <w:color w:val="auto"/>
          <w:sz w:val="24"/>
          <w:szCs w:val="24"/>
          <w:highlight w:val="none"/>
          <w:lang w:val="zh-CN"/>
        </w:rPr>
      </w:pPr>
      <w:r>
        <w:rPr>
          <w:rFonts w:hint="eastAsia" w:ascii="宋体" w:hAnsi="宋体" w:eastAsia="宋体" w:cs="Arial"/>
          <w:color w:val="auto"/>
          <w:sz w:val="24"/>
          <w:szCs w:val="24"/>
          <w:highlight w:val="none"/>
          <w:lang w:val="zh-CN"/>
        </w:rPr>
        <w:t>（1）项目实施方案；</w:t>
      </w:r>
    </w:p>
    <w:p w14:paraId="3D3960ED">
      <w:pPr>
        <w:widowControl w:val="0"/>
        <w:spacing w:line="360" w:lineRule="auto"/>
        <w:ind w:firstLine="420"/>
        <w:rPr>
          <w:rFonts w:ascii="宋体" w:hAnsi="宋体" w:eastAsia="宋体" w:cs="Arial"/>
          <w:color w:val="auto"/>
          <w:sz w:val="24"/>
          <w:szCs w:val="24"/>
          <w:highlight w:val="none"/>
          <w:lang w:val="zh-CN"/>
        </w:rPr>
      </w:pPr>
      <w:r>
        <w:rPr>
          <w:rFonts w:hint="eastAsia" w:ascii="宋体" w:hAnsi="宋体" w:eastAsia="宋体" w:cs="Arial"/>
          <w:color w:val="auto"/>
          <w:sz w:val="24"/>
          <w:szCs w:val="24"/>
          <w:highlight w:val="none"/>
          <w:lang w:val="zh-CN"/>
        </w:rPr>
        <w:t>（2）★《技术条款偏离表》；</w:t>
      </w:r>
    </w:p>
    <w:p w14:paraId="32D28BE7">
      <w:pPr>
        <w:widowControl w:val="0"/>
        <w:spacing w:line="360" w:lineRule="auto"/>
        <w:ind w:firstLine="420"/>
        <w:rPr>
          <w:rFonts w:ascii="宋体" w:hAnsi="宋体" w:eastAsia="宋体" w:cs="Arial"/>
          <w:color w:val="auto"/>
          <w:sz w:val="24"/>
          <w:szCs w:val="24"/>
          <w:highlight w:val="none"/>
          <w:lang w:val="zh-CN"/>
        </w:rPr>
      </w:pPr>
      <w:r>
        <w:rPr>
          <w:rFonts w:hint="eastAsia" w:ascii="宋体" w:hAnsi="宋体" w:eastAsia="宋体" w:cs="Arial"/>
          <w:color w:val="auto"/>
          <w:sz w:val="24"/>
          <w:szCs w:val="24"/>
          <w:highlight w:val="none"/>
          <w:lang w:val="zh-CN"/>
        </w:rPr>
        <w:t>（3）服务承诺；</w:t>
      </w:r>
    </w:p>
    <w:p w14:paraId="2CF73F49">
      <w:pPr>
        <w:widowControl w:val="0"/>
        <w:spacing w:line="360" w:lineRule="auto"/>
        <w:ind w:firstLine="420"/>
        <w:rPr>
          <w:rFonts w:ascii="宋体" w:hAnsi="宋体" w:eastAsia="宋体" w:cs="Arial"/>
          <w:color w:val="auto"/>
          <w:sz w:val="24"/>
          <w:szCs w:val="24"/>
          <w:highlight w:val="none"/>
          <w:lang w:val="zh-CN"/>
        </w:rPr>
      </w:pPr>
      <w:r>
        <w:rPr>
          <w:rFonts w:hint="eastAsia" w:ascii="宋体" w:hAnsi="宋体" w:eastAsia="宋体" w:cs="Arial"/>
          <w:color w:val="auto"/>
          <w:sz w:val="24"/>
          <w:szCs w:val="24"/>
          <w:highlight w:val="none"/>
          <w:lang w:val="zh-CN"/>
        </w:rPr>
        <w:t>（4）投标人拟投入本项目的设备、人员情况一览表；</w:t>
      </w:r>
    </w:p>
    <w:p w14:paraId="488E60A9">
      <w:pPr>
        <w:widowControl w:val="0"/>
        <w:spacing w:line="360" w:lineRule="auto"/>
        <w:ind w:firstLine="420"/>
        <w:rPr>
          <w:rFonts w:ascii="宋体" w:hAnsi="宋体" w:eastAsia="宋体" w:cs="Arial"/>
          <w:color w:val="auto"/>
          <w:sz w:val="24"/>
          <w:szCs w:val="24"/>
          <w:highlight w:val="none"/>
          <w:lang w:val="zh-CN"/>
        </w:rPr>
      </w:pPr>
      <w:r>
        <w:rPr>
          <w:rFonts w:hint="eastAsia" w:ascii="宋体" w:hAnsi="宋体" w:eastAsia="宋体" w:cs="Arial"/>
          <w:color w:val="auto"/>
          <w:sz w:val="24"/>
          <w:szCs w:val="24"/>
          <w:highlight w:val="none"/>
          <w:lang w:val="zh-CN"/>
        </w:rPr>
        <w:t>（5）投标人认为需要提供的其他技术资料。</w:t>
      </w:r>
    </w:p>
    <w:p w14:paraId="6D3EA2FA">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11</w:t>
      </w:r>
      <w:r>
        <w:rPr>
          <w:rFonts w:hint="eastAsia" w:ascii="宋体" w:hAnsi="宋体" w:eastAsia="宋体" w:cs="Arial"/>
          <w:b/>
          <w:bCs/>
          <w:color w:val="auto"/>
          <w:sz w:val="24"/>
          <w:szCs w:val="24"/>
          <w:highlight w:val="none"/>
        </w:rPr>
        <w:t>、投标文件的价格部分</w:t>
      </w:r>
    </w:p>
    <w:p w14:paraId="0C935363">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11.1价格部分是对采购标的价格构成的说明，招标文件如无特别说明，每一项货物和服务仅接受一个价格。</w:t>
      </w:r>
    </w:p>
    <w:p w14:paraId="1C91F4BA">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11.2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14:paraId="2E8528F5">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11.3投标人的任何错漏、优惠、竞争性报价不得作为减轻责任、减少服务、增加收费、降低质量的理由。</w:t>
      </w:r>
    </w:p>
    <w:p w14:paraId="1CDB5A3C">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FE0E8F2">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11.5 投标人应在《开标一览表》、《分项报价》等标明投标货物和服务的单价、总价以及分项报价。投标人系小型、微型企业，并提供本企业制造的货物、承担的工程或者服务，或者提供其他小型、微型企业制造的货物，须在《开标一览表》、《分项报价》中注明。</w:t>
      </w:r>
    </w:p>
    <w:p w14:paraId="63BA6F3B">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b/>
          <w:bCs/>
          <w:color w:val="auto"/>
          <w:sz w:val="24"/>
          <w:szCs w:val="24"/>
          <w:highlight w:val="none"/>
        </w:rPr>
        <w:t xml:space="preserve">11.6 </w:t>
      </w:r>
      <w:r>
        <w:rPr>
          <w:rFonts w:hint="eastAsia" w:ascii="宋体" w:hAnsi="宋体" w:eastAsia="宋体" w:cs="Arial"/>
          <w:color w:val="auto"/>
          <w:sz w:val="24"/>
          <w:szCs w:val="24"/>
          <w:highlight w:val="none"/>
        </w:rPr>
        <w:t>本项目预算为：详见第一章。</w:t>
      </w:r>
    </w:p>
    <w:p w14:paraId="1A05192E">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12</w:t>
      </w:r>
      <w:r>
        <w:rPr>
          <w:rFonts w:hint="eastAsia" w:ascii="宋体" w:hAnsi="宋体" w:eastAsia="宋体" w:cs="Arial"/>
          <w:b/>
          <w:bCs/>
          <w:color w:val="auto"/>
          <w:sz w:val="24"/>
          <w:szCs w:val="24"/>
          <w:highlight w:val="none"/>
        </w:rPr>
        <w:t>、投标文件的其他部分</w:t>
      </w:r>
    </w:p>
    <w:p w14:paraId="775FAA19">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12.1 其他部分由投标人根据编制投标文件需要提供的其他相关文件组成。</w:t>
      </w:r>
    </w:p>
    <w:p w14:paraId="2ECDC3D5">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13</w:t>
      </w:r>
      <w:r>
        <w:rPr>
          <w:rFonts w:hint="eastAsia" w:ascii="宋体" w:hAnsi="宋体" w:eastAsia="宋体" w:cs="Arial"/>
          <w:b/>
          <w:bCs/>
          <w:color w:val="auto"/>
          <w:sz w:val="24"/>
          <w:szCs w:val="24"/>
          <w:highlight w:val="none"/>
        </w:rPr>
        <w:t>、投标保证金：本项目不收取投标保证金</w:t>
      </w:r>
    </w:p>
    <w:p w14:paraId="1DA147B2">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14</w:t>
      </w:r>
      <w:r>
        <w:rPr>
          <w:rFonts w:hint="eastAsia" w:ascii="宋体" w:hAnsi="宋体" w:eastAsia="宋体" w:cs="Arial"/>
          <w:b/>
          <w:bCs/>
          <w:color w:val="auto"/>
          <w:sz w:val="24"/>
          <w:szCs w:val="24"/>
          <w:highlight w:val="none"/>
        </w:rPr>
        <w:t>、投标有效期</w:t>
      </w:r>
    </w:p>
    <w:p w14:paraId="69A0055A">
      <w:pPr>
        <w:widowControl w:val="0"/>
        <w:shd w:val="clear" w:color="auto" w:fill="FFFFFF"/>
        <w:spacing w:line="360" w:lineRule="auto"/>
        <w:ind w:firstLine="420"/>
        <w:jc w:val="both"/>
        <w:rPr>
          <w:rFonts w:ascii="宋体" w:hAnsi="宋体" w:eastAsia="宋体" w:cs="Arial"/>
          <w:b/>
          <w:bCs/>
          <w:color w:val="auto"/>
          <w:sz w:val="24"/>
          <w:szCs w:val="24"/>
          <w:highlight w:val="none"/>
        </w:rPr>
      </w:pPr>
      <w:r>
        <w:rPr>
          <w:rFonts w:hint="eastAsia" w:ascii="宋体" w:hAnsi="宋体" w:eastAsia="宋体" w:cs="Arial"/>
          <w:color w:val="auto"/>
          <w:sz w:val="24"/>
          <w:szCs w:val="24"/>
          <w:highlight w:val="none"/>
        </w:rPr>
        <w:t>14.1 自开标之日起90天内投标有效，</w:t>
      </w:r>
      <w:r>
        <w:rPr>
          <w:rFonts w:hint="eastAsia" w:ascii="宋体" w:hAnsi="宋体" w:eastAsia="宋体" w:cs="Arial"/>
          <w:b/>
          <w:bCs/>
          <w:color w:val="auto"/>
          <w:sz w:val="24"/>
          <w:szCs w:val="24"/>
          <w:highlight w:val="none"/>
        </w:rPr>
        <w:t>投标有效期从提交投标文件的截止之日起算。投标文件中承诺的投标有效期应当不少于招标文件中载明的投标有效期。</w:t>
      </w:r>
    </w:p>
    <w:p w14:paraId="603CB93C">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 xml:space="preserve">14.2 </w:t>
      </w:r>
      <w:bookmarkStart w:id="25" w:name="_Hlk70286168"/>
      <w:r>
        <w:rPr>
          <w:rFonts w:hint="eastAsia" w:ascii="宋体" w:hAnsi="宋体" w:eastAsia="宋体" w:cs="Arial"/>
          <w:color w:val="auto"/>
          <w:sz w:val="24"/>
          <w:szCs w:val="24"/>
          <w:highlight w:val="none"/>
        </w:rPr>
        <w:t>特殊情况下，在原投标有效期截止之前，招标代理机构可要求投标人同意延长投标有效期，这种要求与答复均应以书面形式提交。接受延长投标有效期的投标人将不会要求和允许修正其投标。</w:t>
      </w:r>
      <w:bookmarkEnd w:id="25"/>
    </w:p>
    <w:p w14:paraId="56235CBB">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15</w:t>
      </w:r>
      <w:r>
        <w:rPr>
          <w:rFonts w:hint="eastAsia" w:ascii="宋体" w:hAnsi="宋体" w:eastAsia="宋体" w:cs="Arial"/>
          <w:b/>
          <w:bCs/>
          <w:color w:val="auto"/>
          <w:sz w:val="24"/>
          <w:szCs w:val="24"/>
          <w:highlight w:val="none"/>
        </w:rPr>
        <w:t>、投标文件签署</w:t>
      </w:r>
    </w:p>
    <w:p w14:paraId="6B0D1677">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15.1 投标文件的正本和副本均应由投标人法定代表人或经正式授权并对投标人有约束力的委托代理人签字，如果它们之间内容有差异，则以正本为准。</w:t>
      </w:r>
    </w:p>
    <w:p w14:paraId="24345AC3">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16</w:t>
      </w:r>
      <w:r>
        <w:rPr>
          <w:rFonts w:hint="eastAsia" w:ascii="宋体" w:hAnsi="宋体" w:eastAsia="宋体" w:cs="Arial"/>
          <w:b/>
          <w:bCs/>
          <w:color w:val="auto"/>
          <w:sz w:val="24"/>
          <w:szCs w:val="24"/>
          <w:highlight w:val="none"/>
        </w:rPr>
        <w:t>、投标费用</w:t>
      </w:r>
    </w:p>
    <w:p w14:paraId="4E544F74">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16.1 投标人应承担所有与准备和参加投标有关的费用，无论招标结果如何，招标代理机构和招标人在任何情况下均无义务和责任承担这些费用。</w:t>
      </w:r>
    </w:p>
    <w:p w14:paraId="76E6485F">
      <w:pPr>
        <w:widowControl w:val="0"/>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w:t>
      </w:r>
      <w:r>
        <w:rPr>
          <w:rFonts w:ascii="宋体" w:hAnsi="宋体" w:eastAsia="宋体" w:cs="Arial"/>
          <w:color w:val="auto"/>
          <w:sz w:val="24"/>
          <w:szCs w:val="24"/>
          <w:highlight w:val="none"/>
        </w:rPr>
        <w:t>6.2</w:t>
      </w:r>
      <w:bookmarkStart w:id="26" w:name="_Toc83151615"/>
      <w:r>
        <w:rPr>
          <w:rFonts w:hint="eastAsia" w:ascii="宋体" w:hAnsi="宋体" w:eastAsia="宋体" w:cs="Arial"/>
          <w:color w:val="auto"/>
          <w:sz w:val="24"/>
          <w:szCs w:val="24"/>
          <w:highlight w:val="none"/>
        </w:rPr>
        <w:t>本项目招标代理服务费由中标人支付，支付金额的计算方式为按《国家计委关于印发《招标代理服务收费管理暂行办法》的通知》（计价格【2002】1980号）文件规定的收费计取。</w:t>
      </w:r>
      <w:bookmarkEnd w:id="26"/>
    </w:p>
    <w:p w14:paraId="118D89B5">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b/>
          <w:bCs/>
          <w:color w:val="auto"/>
          <w:sz w:val="24"/>
          <w:szCs w:val="24"/>
          <w:highlight w:val="none"/>
        </w:rPr>
        <w:t>四、投标文件的递交</w:t>
      </w:r>
    </w:p>
    <w:p w14:paraId="3AF4FF95">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17</w:t>
      </w:r>
      <w:r>
        <w:rPr>
          <w:rFonts w:hint="eastAsia" w:ascii="宋体" w:hAnsi="宋体" w:eastAsia="宋体" w:cs="Arial"/>
          <w:b/>
          <w:bCs/>
          <w:color w:val="auto"/>
          <w:sz w:val="24"/>
          <w:szCs w:val="24"/>
          <w:highlight w:val="none"/>
        </w:rPr>
        <w:t>、投标文件的密封和递交</w:t>
      </w:r>
    </w:p>
    <w:p w14:paraId="2AA00197">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b/>
          <w:bCs/>
          <w:color w:val="auto"/>
          <w:sz w:val="24"/>
          <w:szCs w:val="24"/>
          <w:highlight w:val="none"/>
        </w:rPr>
        <w:t>/</w:t>
      </w:r>
    </w:p>
    <w:p w14:paraId="254F7AD6">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18</w:t>
      </w:r>
      <w:r>
        <w:rPr>
          <w:rFonts w:hint="eastAsia" w:ascii="宋体" w:hAnsi="宋体" w:eastAsia="宋体" w:cs="Arial"/>
          <w:b/>
          <w:bCs/>
          <w:color w:val="auto"/>
          <w:sz w:val="24"/>
          <w:szCs w:val="24"/>
          <w:highlight w:val="none"/>
        </w:rPr>
        <w:t>、有下列情形的投标文件将被拒收：</w:t>
      </w:r>
    </w:p>
    <w:p w14:paraId="7E3821B3">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18.1</w:t>
      </w:r>
      <w:r>
        <w:rPr>
          <w:rFonts w:hint="eastAsia" w:ascii="宋体" w:hAnsi="宋体" w:eastAsia="宋体" w:cs="Arial"/>
          <w:color w:val="auto"/>
          <w:sz w:val="24"/>
          <w:szCs w:val="24"/>
          <w:highlight w:val="none"/>
        </w:rPr>
        <w:t>逾期送达的；</w:t>
      </w:r>
    </w:p>
    <w:p w14:paraId="1F129536">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18.2</w:t>
      </w:r>
      <w:r>
        <w:rPr>
          <w:rFonts w:hint="eastAsia" w:ascii="宋体" w:hAnsi="宋体" w:eastAsia="宋体" w:cs="Arial"/>
          <w:color w:val="auto"/>
          <w:sz w:val="24"/>
          <w:szCs w:val="24"/>
          <w:highlight w:val="none"/>
        </w:rPr>
        <w:t>未按照招标文件要求密封的。</w:t>
      </w:r>
    </w:p>
    <w:p w14:paraId="2D6D1B16">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19</w:t>
      </w:r>
      <w:r>
        <w:rPr>
          <w:rFonts w:hint="eastAsia" w:ascii="宋体" w:hAnsi="宋体" w:eastAsia="宋体" w:cs="Arial"/>
          <w:b/>
          <w:bCs/>
          <w:color w:val="auto"/>
          <w:sz w:val="24"/>
          <w:szCs w:val="24"/>
          <w:highlight w:val="none"/>
        </w:rPr>
        <w:t>、投标文件的修改和撤回</w:t>
      </w:r>
    </w:p>
    <w:p w14:paraId="54B4434C">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19.1</w:t>
      </w:r>
      <w:r>
        <w:rPr>
          <w:rFonts w:hint="eastAsia" w:ascii="宋体" w:hAnsi="宋体" w:eastAsia="宋体" w:cs="Arial"/>
          <w:color w:val="auto"/>
          <w:sz w:val="24"/>
          <w:szCs w:val="24"/>
          <w:highlight w:val="none"/>
        </w:rPr>
        <w:t>投标人在投标截止时间前，可以对所递交的投标文件进行补充、修改或者撤回，并书面通知招标人或者招标代理机构。补充、修改的内容应当按照招标文件要求签署、盖章、密封后，作为投标文件的组成部分。</w:t>
      </w:r>
    </w:p>
    <w:p w14:paraId="348D68B9">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 xml:space="preserve">19.2 </w:t>
      </w:r>
      <w:r>
        <w:rPr>
          <w:rFonts w:hint="eastAsia" w:ascii="宋体" w:hAnsi="宋体" w:eastAsia="宋体" w:cs="Arial"/>
          <w:color w:val="auto"/>
          <w:sz w:val="24"/>
          <w:szCs w:val="24"/>
          <w:highlight w:val="none"/>
        </w:rPr>
        <w:t>投标截止时间之后，投标文件不得撤回。</w:t>
      </w:r>
    </w:p>
    <w:p w14:paraId="5D098FEB">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20</w:t>
      </w:r>
      <w:r>
        <w:rPr>
          <w:rFonts w:hint="eastAsia" w:ascii="宋体" w:hAnsi="宋体" w:eastAsia="宋体" w:cs="Arial"/>
          <w:b/>
          <w:bCs/>
          <w:color w:val="auto"/>
          <w:sz w:val="24"/>
          <w:szCs w:val="24"/>
          <w:highlight w:val="none"/>
        </w:rPr>
        <w:t>、诚实信用</w:t>
      </w:r>
    </w:p>
    <w:p w14:paraId="13472167">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20.1</w:t>
      </w:r>
      <w:r>
        <w:rPr>
          <w:rFonts w:hint="eastAsia" w:ascii="宋体" w:hAnsi="宋体" w:eastAsia="宋体" w:cs="Arial"/>
          <w:color w:val="auto"/>
          <w:sz w:val="24"/>
          <w:szCs w:val="24"/>
          <w:highlight w:val="none"/>
        </w:rPr>
        <w:t>投标人应当遵循公平竞争的原则，不得恶意串通，不得妨碍其他投标人的竞争行为，不得损害招标人或者其他投标人的合法权益。</w:t>
      </w:r>
    </w:p>
    <w:p w14:paraId="153CCC9B">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20.2</w:t>
      </w:r>
      <w:r>
        <w:rPr>
          <w:rFonts w:hint="eastAsia" w:ascii="宋体" w:hAnsi="宋体" w:eastAsia="宋体" w:cs="Arial"/>
          <w:color w:val="auto"/>
          <w:sz w:val="24"/>
          <w:szCs w:val="24"/>
          <w:highlight w:val="none"/>
        </w:rPr>
        <w:t>在评标过程中发现投标人有上述情形的，评标委员会应当认定其投标无效，并书面报告本级财政部门。</w:t>
      </w:r>
    </w:p>
    <w:p w14:paraId="48952254">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b/>
          <w:bCs/>
          <w:color w:val="auto"/>
          <w:sz w:val="24"/>
          <w:szCs w:val="24"/>
          <w:highlight w:val="none"/>
        </w:rPr>
        <w:t>五、开标、评标与定标</w:t>
      </w:r>
    </w:p>
    <w:p w14:paraId="67C80116">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21</w:t>
      </w:r>
      <w:r>
        <w:rPr>
          <w:rFonts w:hint="eastAsia" w:ascii="宋体" w:hAnsi="宋体" w:eastAsia="宋体" w:cs="Arial"/>
          <w:b/>
          <w:bCs/>
          <w:color w:val="auto"/>
          <w:sz w:val="24"/>
          <w:szCs w:val="24"/>
          <w:highlight w:val="none"/>
        </w:rPr>
        <w:t>、开标</w:t>
      </w:r>
    </w:p>
    <w:p w14:paraId="37185257">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 xml:space="preserve">21.1 </w:t>
      </w:r>
      <w:r>
        <w:rPr>
          <w:rFonts w:hint="eastAsia" w:ascii="宋体" w:hAnsi="宋体" w:eastAsia="宋体" w:cs="Arial"/>
          <w:color w:val="auto"/>
          <w:sz w:val="24"/>
          <w:szCs w:val="24"/>
          <w:highlight w:val="none"/>
        </w:rPr>
        <w:t>招标代理机构将在招标文件确定的时间和地点进行公开开标。投标人应委派代表准时参加，参加开标的代表须签名报到以证明其出席。</w:t>
      </w:r>
    </w:p>
    <w:p w14:paraId="57D127B2">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21.2</w:t>
      </w:r>
      <w:r>
        <w:rPr>
          <w:rFonts w:hint="eastAsia" w:ascii="宋体" w:hAnsi="宋体" w:eastAsia="宋体" w:cs="Arial"/>
          <w:color w:val="auto"/>
          <w:sz w:val="24"/>
          <w:szCs w:val="24"/>
          <w:highlight w:val="none"/>
        </w:rPr>
        <w:t>开标时，应当由投标人或者其推选的代表检查投标文件的密封情况；经确认无误后，由招标人或者招标代理机构工作人员当众拆封，宣布投标人名称、投标价格和招标文件规定的需要宣布的其他内容。</w:t>
      </w:r>
    </w:p>
    <w:p w14:paraId="6DBC9C48">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21.3</w:t>
      </w:r>
      <w:r>
        <w:rPr>
          <w:rFonts w:hint="eastAsia" w:ascii="宋体" w:hAnsi="宋体" w:eastAsia="宋体" w:cs="Arial"/>
          <w:color w:val="auto"/>
          <w:sz w:val="24"/>
          <w:szCs w:val="24"/>
          <w:highlight w:val="none"/>
        </w:rPr>
        <w:t>投标人不足</w:t>
      </w:r>
      <w:r>
        <w:rPr>
          <w:rFonts w:ascii="宋体" w:hAnsi="宋体" w:eastAsia="宋体" w:cs="Arial"/>
          <w:color w:val="auto"/>
          <w:sz w:val="24"/>
          <w:szCs w:val="24"/>
          <w:highlight w:val="none"/>
        </w:rPr>
        <w:t>3</w:t>
      </w:r>
      <w:r>
        <w:rPr>
          <w:rFonts w:hint="eastAsia" w:ascii="宋体" w:hAnsi="宋体" w:eastAsia="宋体" w:cs="Arial"/>
          <w:color w:val="auto"/>
          <w:sz w:val="24"/>
          <w:szCs w:val="24"/>
          <w:highlight w:val="none"/>
        </w:rPr>
        <w:t>家的，不得开标。</w:t>
      </w:r>
    </w:p>
    <w:p w14:paraId="211380B6">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21.4</w:t>
      </w:r>
      <w:r>
        <w:rPr>
          <w:rFonts w:hint="eastAsia" w:ascii="宋体" w:hAnsi="宋体" w:eastAsia="宋体" w:cs="Arial"/>
          <w:color w:val="auto"/>
          <w:sz w:val="24"/>
          <w:szCs w:val="24"/>
          <w:highlight w:val="none"/>
        </w:rPr>
        <w:t>开标过程由招标代理机构负责记录，由参加开标的各投标人代表和相关工作人员签字确认后随招标文件一并存档。</w:t>
      </w:r>
    </w:p>
    <w:p w14:paraId="3CDEA63E">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投标人代表对开标过程和开标记录有疑义，以及认为招标人、招标代理机构相关工作人员有需要回避的情形的，应当场提出询问或者回避申请。招标人、招标代理机构对投标人代表提出的询问或者回避申请及时处理。</w:t>
      </w:r>
    </w:p>
    <w:p w14:paraId="3D21E7E3">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21.5</w:t>
      </w:r>
      <w:r>
        <w:rPr>
          <w:rFonts w:hint="eastAsia" w:ascii="宋体" w:hAnsi="宋体" w:eastAsia="宋体" w:cs="Arial"/>
          <w:color w:val="auto"/>
          <w:sz w:val="24"/>
          <w:szCs w:val="24"/>
          <w:highlight w:val="none"/>
        </w:rPr>
        <w:t>投标人未参加开标的，视同认可开标结果。</w:t>
      </w:r>
    </w:p>
    <w:p w14:paraId="0F027790">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21.6</w:t>
      </w:r>
      <w:r>
        <w:rPr>
          <w:rFonts w:hint="eastAsia" w:ascii="宋体" w:hAnsi="宋体" w:eastAsia="宋体" w:cs="Arial"/>
          <w:color w:val="auto"/>
          <w:sz w:val="24"/>
          <w:szCs w:val="24"/>
          <w:highlight w:val="none"/>
        </w:rPr>
        <w:t>公开招标数额标准以上的采购项目，投标截止后投标人不足</w:t>
      </w:r>
      <w:r>
        <w:rPr>
          <w:rFonts w:ascii="宋体" w:hAnsi="宋体" w:eastAsia="宋体" w:cs="Arial"/>
          <w:color w:val="auto"/>
          <w:sz w:val="24"/>
          <w:szCs w:val="24"/>
          <w:highlight w:val="none"/>
        </w:rPr>
        <w:t>3</w:t>
      </w:r>
      <w:r>
        <w:rPr>
          <w:rFonts w:hint="eastAsia" w:ascii="宋体" w:hAnsi="宋体" w:eastAsia="宋体" w:cs="Arial"/>
          <w:color w:val="auto"/>
          <w:sz w:val="24"/>
          <w:szCs w:val="24"/>
          <w:highlight w:val="none"/>
        </w:rPr>
        <w:t>家或者通过资格审查或符合性审查的投标人不足</w:t>
      </w:r>
      <w:r>
        <w:rPr>
          <w:rFonts w:ascii="宋体" w:hAnsi="宋体" w:eastAsia="宋体" w:cs="Arial"/>
          <w:color w:val="auto"/>
          <w:sz w:val="24"/>
          <w:szCs w:val="24"/>
          <w:highlight w:val="none"/>
        </w:rPr>
        <w:t>3</w:t>
      </w:r>
      <w:r>
        <w:rPr>
          <w:rFonts w:hint="eastAsia" w:ascii="宋体" w:hAnsi="宋体" w:eastAsia="宋体" w:cs="Arial"/>
          <w:color w:val="auto"/>
          <w:sz w:val="24"/>
          <w:szCs w:val="24"/>
          <w:highlight w:val="none"/>
        </w:rPr>
        <w:t>家的，除采购任务取消情形外，按照以下方式处理：</w:t>
      </w:r>
    </w:p>
    <w:p w14:paraId="1542C920">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w:t>
      </w:r>
      <w:r>
        <w:rPr>
          <w:rFonts w:ascii="宋体" w:hAnsi="宋体" w:eastAsia="宋体" w:cs="Arial"/>
          <w:color w:val="auto"/>
          <w:sz w:val="24"/>
          <w:szCs w:val="24"/>
          <w:highlight w:val="none"/>
        </w:rPr>
        <w:t>1</w:t>
      </w:r>
      <w:r>
        <w:rPr>
          <w:rFonts w:hint="eastAsia" w:ascii="宋体" w:hAnsi="宋体" w:eastAsia="宋体" w:cs="Arial"/>
          <w:color w:val="auto"/>
          <w:sz w:val="24"/>
          <w:szCs w:val="24"/>
          <w:highlight w:val="none"/>
        </w:rPr>
        <w:t>）招标文件存在不合理条款或者招标程序不符合规定的，招标人、招标代理机构改正后依法重新招标；</w:t>
      </w:r>
    </w:p>
    <w:p w14:paraId="408B0FFC">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w:t>
      </w:r>
      <w:r>
        <w:rPr>
          <w:rFonts w:ascii="宋体" w:hAnsi="宋体" w:eastAsia="宋体" w:cs="Arial"/>
          <w:color w:val="auto"/>
          <w:sz w:val="24"/>
          <w:szCs w:val="24"/>
          <w:highlight w:val="none"/>
        </w:rPr>
        <w:t>2</w:t>
      </w:r>
      <w:r>
        <w:rPr>
          <w:rFonts w:hint="eastAsia" w:ascii="宋体" w:hAnsi="宋体" w:eastAsia="宋体" w:cs="Arial"/>
          <w:color w:val="auto"/>
          <w:sz w:val="24"/>
          <w:szCs w:val="24"/>
          <w:highlight w:val="none"/>
        </w:rPr>
        <w:t>）招标文件没有不合理条款、招标程序符合规定，需要采用其他采购方式采购的，招标人依法报财政部门批准，经批准后，可变更为其他采购方式采购。本次招标文件中对投标人资格条件要求、技术要求和商务等要求，将作为其他采购方式采购的基本要求和依据。</w:t>
      </w:r>
    </w:p>
    <w:p w14:paraId="1F72CE80">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22</w:t>
      </w:r>
      <w:r>
        <w:rPr>
          <w:rFonts w:hint="eastAsia" w:ascii="宋体" w:hAnsi="宋体" w:eastAsia="宋体" w:cs="Arial"/>
          <w:b/>
          <w:bCs/>
          <w:color w:val="auto"/>
          <w:sz w:val="24"/>
          <w:szCs w:val="24"/>
          <w:highlight w:val="none"/>
        </w:rPr>
        <w:t>、评标</w:t>
      </w:r>
    </w:p>
    <w:p w14:paraId="2E2B408C">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 xml:space="preserve">22.1 </w:t>
      </w:r>
      <w:r>
        <w:rPr>
          <w:rFonts w:hint="eastAsia" w:ascii="宋体" w:hAnsi="宋体" w:eastAsia="宋体" w:cs="Arial"/>
          <w:color w:val="auto"/>
          <w:sz w:val="24"/>
          <w:szCs w:val="24"/>
          <w:highlight w:val="none"/>
        </w:rPr>
        <w:t>评标委员会</w:t>
      </w:r>
    </w:p>
    <w:p w14:paraId="3E06C04D">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22.1.1</w:t>
      </w:r>
      <w:r>
        <w:rPr>
          <w:rFonts w:hint="eastAsia" w:ascii="宋体" w:hAnsi="宋体" w:eastAsia="宋体" w:cs="Arial"/>
          <w:color w:val="auto"/>
          <w:sz w:val="24"/>
          <w:szCs w:val="24"/>
          <w:highlight w:val="none"/>
        </w:rPr>
        <w:t>评标委员会负责具体评标事务，并独立履行下列职责：</w:t>
      </w:r>
    </w:p>
    <w:p w14:paraId="0FCDEB12">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（一）审查、评价投标文件是否符合招标文件的商务、技术等实质性要求；</w:t>
      </w:r>
    </w:p>
    <w:p w14:paraId="2E41F81E">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（二）要求投标人对投标文件有关事项作出澄清或者说明；</w:t>
      </w:r>
    </w:p>
    <w:p w14:paraId="5FE415E0">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（三）对投标文件进行比较和评价；</w:t>
      </w:r>
    </w:p>
    <w:p w14:paraId="16320D0F">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（四）确定中标候选人名单，以及根据采购人委托直接确定中标人；</w:t>
      </w:r>
    </w:p>
    <w:p w14:paraId="5E1BFC1B">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（五）向招标人、招标代理机构或者有关部门报告评标中发现的违法行为。</w:t>
      </w:r>
    </w:p>
    <w:p w14:paraId="3016F2EA">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 xml:space="preserve">22.1.2 </w:t>
      </w:r>
      <w:r>
        <w:rPr>
          <w:rFonts w:hint="eastAsia" w:ascii="宋体" w:hAnsi="宋体" w:eastAsia="宋体" w:cs="Arial"/>
          <w:color w:val="auto"/>
          <w:sz w:val="24"/>
          <w:szCs w:val="24"/>
          <w:highlight w:val="none"/>
        </w:rPr>
        <w:t>评标委员会由招标人代表和有关技术、经济等方面的专家组成，独立开展评审工作。</w:t>
      </w:r>
    </w:p>
    <w:p w14:paraId="27FFB815">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 xml:space="preserve">22.2  </w:t>
      </w:r>
      <w:r>
        <w:rPr>
          <w:rFonts w:hint="eastAsia" w:ascii="宋体" w:hAnsi="宋体" w:eastAsia="宋体" w:cs="Arial"/>
          <w:color w:val="auto"/>
          <w:sz w:val="24"/>
          <w:szCs w:val="24"/>
          <w:highlight w:val="none"/>
        </w:rPr>
        <w:t>评标程序</w:t>
      </w:r>
    </w:p>
    <w:p w14:paraId="72176D10">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 xml:space="preserve">22.2.1 </w:t>
      </w:r>
      <w:r>
        <w:rPr>
          <w:rFonts w:hint="eastAsia" w:ascii="宋体" w:hAnsi="宋体" w:eastAsia="宋体" w:cs="Arial"/>
          <w:color w:val="auto"/>
          <w:sz w:val="24"/>
          <w:szCs w:val="24"/>
          <w:highlight w:val="none"/>
        </w:rPr>
        <w:t>投标文件的资格性检查。公开招标采购项目开标结束后，招标人或者招标代理机构应当依法对投标人的资格进行审查。合格投标人不足</w:t>
      </w:r>
      <w:r>
        <w:rPr>
          <w:rFonts w:ascii="宋体" w:hAnsi="宋体" w:eastAsia="宋体" w:cs="Arial"/>
          <w:color w:val="auto"/>
          <w:sz w:val="24"/>
          <w:szCs w:val="24"/>
          <w:highlight w:val="none"/>
        </w:rPr>
        <w:t>3</w:t>
      </w:r>
      <w:r>
        <w:rPr>
          <w:rFonts w:hint="eastAsia" w:ascii="宋体" w:hAnsi="宋体" w:eastAsia="宋体" w:cs="Arial"/>
          <w:color w:val="auto"/>
          <w:sz w:val="24"/>
          <w:szCs w:val="24"/>
          <w:highlight w:val="none"/>
        </w:rPr>
        <w:t>家的，不得评标。</w:t>
      </w:r>
    </w:p>
    <w:p w14:paraId="3839EEC7">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22.2.1.1在进行资格性审查的同时，将在“信用中国”网站（</w:t>
      </w:r>
      <w:r>
        <w:rPr>
          <w:color w:val="auto"/>
          <w:highlight w:val="none"/>
        </w:rPr>
        <w:fldChar w:fldCharType="begin"/>
      </w:r>
      <w:r>
        <w:rPr>
          <w:color w:val="auto"/>
          <w:highlight w:val="none"/>
        </w:rPr>
        <w:instrText xml:space="preserve"> HYPERLINK "http://www.creditchina.gov.cn" \o "http://www.creditchina.gov.cn" </w:instrText>
      </w:r>
      <w:r>
        <w:rPr>
          <w:color w:val="auto"/>
          <w:highlight w:val="none"/>
        </w:rPr>
        <w:fldChar w:fldCharType="separate"/>
      </w:r>
      <w:r>
        <w:rPr>
          <w:rFonts w:hint="eastAsia" w:ascii="宋体" w:hAnsi="宋体" w:eastAsia="宋体" w:cs="Arial"/>
          <w:color w:val="auto"/>
          <w:sz w:val="24"/>
          <w:szCs w:val="24"/>
          <w:highlight w:val="none"/>
        </w:rPr>
        <w:t>www.creditchina.gov.cn</w:t>
      </w:r>
      <w:r>
        <w:rPr>
          <w:rFonts w:hint="eastAsia" w:ascii="宋体" w:hAnsi="宋体" w:eastAsia="宋体" w:cs="Arial"/>
          <w:color w:val="auto"/>
          <w:sz w:val="24"/>
          <w:szCs w:val="24"/>
          <w:highlight w:val="none"/>
        </w:rPr>
        <w:fldChar w:fldCharType="end"/>
      </w:r>
      <w:r>
        <w:rPr>
          <w:rFonts w:hint="eastAsia" w:ascii="宋体" w:hAnsi="宋体" w:eastAsia="宋体" w:cs="Arial"/>
          <w:color w:val="auto"/>
          <w:sz w:val="24"/>
          <w:szCs w:val="24"/>
          <w:highlight w:val="none"/>
        </w:rPr>
        <w:t>）、“中国政府采购网”（</w:t>
      </w:r>
      <w:r>
        <w:rPr>
          <w:color w:val="auto"/>
          <w:highlight w:val="none"/>
        </w:rPr>
        <w:fldChar w:fldCharType="begin"/>
      </w:r>
      <w:r>
        <w:rPr>
          <w:color w:val="auto"/>
          <w:highlight w:val="none"/>
        </w:rPr>
        <w:instrText xml:space="preserve"> HYPERLINK "http://www.ccgp.gov.cn" \o "http://www.ccgp.gov.cn" </w:instrText>
      </w:r>
      <w:r>
        <w:rPr>
          <w:color w:val="auto"/>
          <w:highlight w:val="none"/>
        </w:rPr>
        <w:fldChar w:fldCharType="separate"/>
      </w:r>
      <w:r>
        <w:rPr>
          <w:rFonts w:hint="eastAsia" w:ascii="宋体" w:hAnsi="宋体" w:eastAsia="宋体" w:cs="Arial"/>
          <w:color w:val="auto"/>
          <w:sz w:val="24"/>
          <w:szCs w:val="24"/>
          <w:highlight w:val="none"/>
        </w:rPr>
        <w:t>www.ccgp.gov.cn</w:t>
      </w:r>
      <w:r>
        <w:rPr>
          <w:rFonts w:hint="eastAsia" w:ascii="宋体" w:hAnsi="宋体" w:eastAsia="宋体" w:cs="Arial"/>
          <w:color w:val="auto"/>
          <w:sz w:val="24"/>
          <w:szCs w:val="24"/>
          <w:highlight w:val="none"/>
        </w:rPr>
        <w:fldChar w:fldCharType="end"/>
      </w:r>
      <w:r>
        <w:rPr>
          <w:rFonts w:hint="eastAsia" w:ascii="宋体" w:hAnsi="宋体" w:eastAsia="宋体" w:cs="Arial"/>
          <w:color w:val="auto"/>
          <w:sz w:val="24"/>
          <w:szCs w:val="24"/>
          <w:highlight w:val="none"/>
        </w:rPr>
        <w:t>）投标供应商是否被列入失信被执行人、重大税收违法案件当事人名单、政府采购严重违法失信行为记录名单的情况进行查询，以确定投标供应商是否具备投标资格。</w:t>
      </w:r>
    </w:p>
    <w:p w14:paraId="3DB091C2">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 xml:space="preserve">22.2.1.2投标文件有下列情况之一的，在资格性审查时按照无效投标处理 </w:t>
      </w:r>
    </w:p>
    <w:p w14:paraId="29F322AB">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（1）不具备招标文件规定资格条件的；</w:t>
      </w:r>
    </w:p>
    <w:p w14:paraId="1FB4A18A">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（2）供应商被“信用中国”网站（</w:t>
      </w:r>
      <w:r>
        <w:rPr>
          <w:color w:val="auto"/>
          <w:highlight w:val="none"/>
        </w:rPr>
        <w:fldChar w:fldCharType="begin"/>
      </w:r>
      <w:r>
        <w:rPr>
          <w:color w:val="auto"/>
          <w:highlight w:val="none"/>
        </w:rPr>
        <w:instrText xml:space="preserve"> HYPERLINK "http://www.creditchina.gov.cn" \o "http://www.creditchina.gov.cn" </w:instrText>
      </w:r>
      <w:r>
        <w:rPr>
          <w:color w:val="auto"/>
          <w:highlight w:val="none"/>
        </w:rPr>
        <w:fldChar w:fldCharType="separate"/>
      </w:r>
      <w:r>
        <w:rPr>
          <w:rFonts w:hint="eastAsia" w:ascii="宋体" w:hAnsi="宋体" w:eastAsia="宋体" w:cs="Arial"/>
          <w:color w:val="auto"/>
          <w:sz w:val="24"/>
          <w:szCs w:val="24"/>
          <w:highlight w:val="none"/>
        </w:rPr>
        <w:t>www.creditchina.gov.cn</w:t>
      </w:r>
      <w:r>
        <w:rPr>
          <w:rFonts w:hint="eastAsia" w:ascii="宋体" w:hAnsi="宋体" w:eastAsia="宋体" w:cs="Arial"/>
          <w:color w:val="auto"/>
          <w:sz w:val="24"/>
          <w:szCs w:val="24"/>
          <w:highlight w:val="none"/>
        </w:rPr>
        <w:fldChar w:fldCharType="end"/>
      </w:r>
      <w:r>
        <w:rPr>
          <w:rFonts w:hint="eastAsia" w:ascii="宋体" w:hAnsi="宋体" w:eastAsia="宋体" w:cs="Arial"/>
          <w:color w:val="auto"/>
          <w:sz w:val="24"/>
          <w:szCs w:val="24"/>
          <w:highlight w:val="none"/>
        </w:rPr>
        <w:t>）、“中国政府采购网”（</w:t>
      </w:r>
      <w:r>
        <w:rPr>
          <w:color w:val="auto"/>
          <w:highlight w:val="none"/>
        </w:rPr>
        <w:fldChar w:fldCharType="begin"/>
      </w:r>
      <w:r>
        <w:rPr>
          <w:color w:val="auto"/>
          <w:highlight w:val="none"/>
        </w:rPr>
        <w:instrText xml:space="preserve"> HYPERLINK "http://www.ccgp.gov.cn" \o "http://www.ccgp.gov.cn" </w:instrText>
      </w:r>
      <w:r>
        <w:rPr>
          <w:color w:val="auto"/>
          <w:highlight w:val="none"/>
        </w:rPr>
        <w:fldChar w:fldCharType="separate"/>
      </w:r>
      <w:r>
        <w:rPr>
          <w:rFonts w:hint="eastAsia" w:ascii="宋体" w:hAnsi="宋体" w:eastAsia="宋体" w:cs="Arial"/>
          <w:color w:val="auto"/>
          <w:sz w:val="24"/>
          <w:szCs w:val="24"/>
          <w:highlight w:val="none"/>
        </w:rPr>
        <w:t>www.ccgp.gov.cn</w:t>
      </w:r>
      <w:r>
        <w:rPr>
          <w:rFonts w:hint="eastAsia" w:ascii="宋体" w:hAnsi="宋体" w:eastAsia="宋体" w:cs="Arial"/>
          <w:color w:val="auto"/>
          <w:sz w:val="24"/>
          <w:szCs w:val="24"/>
          <w:highlight w:val="none"/>
        </w:rPr>
        <w:fldChar w:fldCharType="end"/>
      </w:r>
      <w:r>
        <w:rPr>
          <w:rFonts w:hint="eastAsia" w:ascii="宋体" w:hAnsi="宋体" w:eastAsia="宋体" w:cs="Arial"/>
          <w:color w:val="auto"/>
          <w:sz w:val="24"/>
          <w:szCs w:val="24"/>
          <w:highlight w:val="none"/>
        </w:rPr>
        <w:t>）列入失信被执行人、重大税收违 法案件当事人名单、政府采购严重违法失信行为记录名单的。接受联合体的项目，两个以上的自然人、法人或者其他组织组成一个联合体 ，以一个供应商的身份共同参加政府采购活动的，联合体成员存在不良信用记录的，视同联合体存在不良应用记录；</w:t>
      </w:r>
    </w:p>
    <w:p w14:paraId="431EA58B">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（3）未提供《南京市政府采购供应商信用记录表暨信用承诺书》。</w:t>
      </w:r>
    </w:p>
    <w:p w14:paraId="05AE94E3">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22.2.2</w:t>
      </w:r>
      <w:r>
        <w:rPr>
          <w:rFonts w:hint="eastAsia" w:ascii="宋体" w:hAnsi="宋体" w:eastAsia="宋体" w:cs="Arial"/>
          <w:color w:val="auto"/>
          <w:sz w:val="24"/>
          <w:szCs w:val="24"/>
          <w:highlight w:val="none"/>
        </w:rPr>
        <w:t>投标文件的符合性审查。评标委员会对通过资格性检查的投标人的投标文件进行符合性审查，以确定其是否满足招标文件的实质性要求。投标文件有下列情况之一的，在符合性检查时按照无效投标处理：</w:t>
      </w:r>
    </w:p>
    <w:p w14:paraId="78F2A346">
      <w:pPr>
        <w:widowControl w:val="0"/>
        <w:shd w:val="clear" w:color="auto" w:fill="FFFFFF"/>
        <w:spacing w:line="360" w:lineRule="auto"/>
        <w:ind w:firstLine="420"/>
        <w:jc w:val="both"/>
        <w:rPr>
          <w:rFonts w:ascii="宋体" w:hAnsi="宋体" w:eastAsia="宋体" w:cs="Arial"/>
          <w:b/>
          <w:bCs/>
          <w:color w:val="auto"/>
          <w:sz w:val="24"/>
          <w:szCs w:val="24"/>
          <w:highlight w:val="none"/>
        </w:rPr>
      </w:pPr>
      <w:r>
        <w:rPr>
          <w:rFonts w:hint="eastAsia" w:ascii="宋体" w:hAnsi="宋体" w:eastAsia="宋体" w:cs="Arial"/>
          <w:b/>
          <w:bCs/>
          <w:color w:val="auto"/>
          <w:sz w:val="24"/>
          <w:szCs w:val="24"/>
          <w:highlight w:val="none"/>
        </w:rPr>
        <w:t>（1）未按采购文件规定签署、盖章的；</w:t>
      </w:r>
    </w:p>
    <w:p w14:paraId="197B83B3">
      <w:pPr>
        <w:widowControl w:val="0"/>
        <w:shd w:val="clear" w:color="auto" w:fill="FFFFFF"/>
        <w:spacing w:line="360" w:lineRule="auto"/>
        <w:ind w:firstLine="420"/>
        <w:jc w:val="both"/>
        <w:rPr>
          <w:rFonts w:ascii="宋体" w:hAnsi="宋体" w:eastAsia="宋体" w:cs="Arial"/>
          <w:b/>
          <w:bCs/>
          <w:color w:val="auto"/>
          <w:sz w:val="24"/>
          <w:szCs w:val="24"/>
          <w:highlight w:val="none"/>
        </w:rPr>
      </w:pPr>
      <w:r>
        <w:rPr>
          <w:rFonts w:hint="eastAsia" w:ascii="宋体" w:hAnsi="宋体" w:eastAsia="宋体" w:cs="Arial"/>
          <w:b/>
          <w:bCs/>
          <w:color w:val="auto"/>
          <w:sz w:val="24"/>
          <w:szCs w:val="24"/>
          <w:highlight w:val="none"/>
        </w:rPr>
        <w:t>（2）评标委员会认为供应商的报价明显低于其他供应商的报价，有可能影响服务质量或者不能诚信履约的，未在评标现场合理的时间内提供书面说明或相关证明材料，不能证明其报价合理的；</w:t>
      </w:r>
    </w:p>
    <w:p w14:paraId="6F822D68">
      <w:pPr>
        <w:widowControl w:val="0"/>
        <w:shd w:val="clear" w:color="auto" w:fill="FFFFFF"/>
        <w:spacing w:line="360" w:lineRule="auto"/>
        <w:ind w:firstLine="420"/>
        <w:jc w:val="both"/>
        <w:rPr>
          <w:rFonts w:ascii="宋体" w:hAnsi="宋体" w:eastAsia="宋体" w:cs="Arial"/>
          <w:b/>
          <w:bCs/>
          <w:color w:val="auto"/>
          <w:sz w:val="24"/>
          <w:szCs w:val="24"/>
          <w:highlight w:val="none"/>
        </w:rPr>
      </w:pPr>
      <w:r>
        <w:rPr>
          <w:rFonts w:hint="eastAsia" w:ascii="宋体" w:hAnsi="宋体" w:eastAsia="宋体" w:cs="Arial"/>
          <w:b/>
          <w:bCs/>
          <w:color w:val="auto"/>
          <w:sz w:val="24"/>
          <w:szCs w:val="24"/>
          <w:highlight w:val="none"/>
        </w:rPr>
        <w:t>（3）报价超过采购文件中规定的预算金额或者最高限价的；</w:t>
      </w:r>
    </w:p>
    <w:p w14:paraId="03E2A7A0">
      <w:pPr>
        <w:widowControl w:val="0"/>
        <w:shd w:val="clear" w:color="auto" w:fill="FFFFFF"/>
        <w:spacing w:line="360" w:lineRule="auto"/>
        <w:ind w:firstLine="420"/>
        <w:jc w:val="both"/>
        <w:rPr>
          <w:rFonts w:ascii="宋体" w:hAnsi="宋体" w:eastAsia="宋体" w:cs="Arial"/>
          <w:b/>
          <w:bCs/>
          <w:color w:val="auto"/>
          <w:sz w:val="24"/>
          <w:szCs w:val="24"/>
          <w:highlight w:val="none"/>
        </w:rPr>
      </w:pPr>
      <w:r>
        <w:rPr>
          <w:rFonts w:hint="eastAsia" w:ascii="宋体" w:hAnsi="宋体" w:eastAsia="宋体" w:cs="Arial"/>
          <w:b/>
          <w:bCs/>
          <w:color w:val="auto"/>
          <w:sz w:val="24"/>
          <w:szCs w:val="24"/>
          <w:highlight w:val="none"/>
        </w:rPr>
        <w:t>（4）不同供应商的投标文件由同一单位或者个人编制</w:t>
      </w:r>
    </w:p>
    <w:p w14:paraId="50A595C3">
      <w:pPr>
        <w:widowControl w:val="0"/>
        <w:shd w:val="clear" w:color="auto" w:fill="FFFFFF"/>
        <w:spacing w:line="360" w:lineRule="auto"/>
        <w:ind w:firstLine="420"/>
        <w:jc w:val="both"/>
        <w:rPr>
          <w:rFonts w:ascii="宋体" w:hAnsi="宋体" w:eastAsia="宋体" w:cs="Arial"/>
          <w:b/>
          <w:bCs/>
          <w:color w:val="auto"/>
          <w:sz w:val="24"/>
          <w:szCs w:val="24"/>
          <w:highlight w:val="none"/>
        </w:rPr>
      </w:pPr>
      <w:r>
        <w:rPr>
          <w:rFonts w:hint="eastAsia" w:ascii="宋体" w:hAnsi="宋体" w:eastAsia="宋体" w:cs="Arial"/>
          <w:b/>
          <w:bCs/>
          <w:color w:val="auto"/>
          <w:sz w:val="24"/>
          <w:szCs w:val="24"/>
          <w:highlight w:val="none"/>
        </w:rPr>
        <w:t>（5）不同供应商委托同一单位或者个人办理投标事宜；</w:t>
      </w:r>
    </w:p>
    <w:p w14:paraId="296596DA">
      <w:pPr>
        <w:widowControl w:val="0"/>
        <w:shd w:val="clear" w:color="auto" w:fill="FFFFFF"/>
        <w:spacing w:line="360" w:lineRule="auto"/>
        <w:ind w:firstLine="420"/>
        <w:jc w:val="both"/>
        <w:rPr>
          <w:rFonts w:ascii="宋体" w:hAnsi="宋体" w:eastAsia="宋体" w:cs="Arial"/>
          <w:b/>
          <w:bCs/>
          <w:color w:val="auto"/>
          <w:sz w:val="24"/>
          <w:szCs w:val="24"/>
          <w:highlight w:val="none"/>
        </w:rPr>
      </w:pPr>
      <w:r>
        <w:rPr>
          <w:rFonts w:hint="eastAsia" w:ascii="宋体" w:hAnsi="宋体" w:eastAsia="宋体" w:cs="Arial"/>
          <w:b/>
          <w:bCs/>
          <w:color w:val="auto"/>
          <w:sz w:val="24"/>
          <w:szCs w:val="24"/>
          <w:highlight w:val="none"/>
        </w:rPr>
        <w:t>（6）不同供应商的投标文件载明的项目管理成员或联系人员为同一人；</w:t>
      </w:r>
    </w:p>
    <w:p w14:paraId="567FCF60">
      <w:pPr>
        <w:widowControl w:val="0"/>
        <w:shd w:val="clear" w:color="auto" w:fill="FFFFFF"/>
        <w:spacing w:line="360" w:lineRule="auto"/>
        <w:ind w:firstLine="420"/>
        <w:jc w:val="both"/>
        <w:rPr>
          <w:rFonts w:ascii="宋体" w:hAnsi="宋体" w:eastAsia="宋体" w:cs="Arial"/>
          <w:b/>
          <w:bCs/>
          <w:color w:val="auto"/>
          <w:sz w:val="24"/>
          <w:szCs w:val="24"/>
          <w:highlight w:val="none"/>
        </w:rPr>
      </w:pPr>
      <w:r>
        <w:rPr>
          <w:rFonts w:hint="eastAsia" w:ascii="宋体" w:hAnsi="宋体" w:eastAsia="宋体" w:cs="Arial"/>
          <w:b/>
          <w:bCs/>
          <w:color w:val="auto"/>
          <w:sz w:val="24"/>
          <w:szCs w:val="24"/>
          <w:highlight w:val="none"/>
        </w:rPr>
        <w:t>（7）不同供应商的投标文件异常一致或者投标报价呈规律性差异；</w:t>
      </w:r>
    </w:p>
    <w:p w14:paraId="79F87E1F">
      <w:pPr>
        <w:widowControl w:val="0"/>
        <w:shd w:val="clear" w:color="auto" w:fill="FFFFFF"/>
        <w:spacing w:line="360" w:lineRule="auto"/>
        <w:ind w:firstLine="420"/>
        <w:jc w:val="both"/>
        <w:rPr>
          <w:rFonts w:ascii="宋体" w:hAnsi="宋体" w:eastAsia="宋体" w:cs="Arial"/>
          <w:b/>
          <w:bCs/>
          <w:color w:val="auto"/>
          <w:sz w:val="24"/>
          <w:szCs w:val="24"/>
          <w:highlight w:val="none"/>
        </w:rPr>
      </w:pPr>
      <w:r>
        <w:rPr>
          <w:rFonts w:hint="eastAsia" w:ascii="宋体" w:hAnsi="宋体" w:eastAsia="宋体" w:cs="Arial"/>
          <w:b/>
          <w:bCs/>
          <w:color w:val="auto"/>
          <w:sz w:val="24"/>
          <w:szCs w:val="24"/>
          <w:highlight w:val="none"/>
        </w:rPr>
        <w:t>（8）不同供应商的投标文件相互混装；</w:t>
      </w:r>
    </w:p>
    <w:p w14:paraId="31A6B431">
      <w:pPr>
        <w:widowControl w:val="0"/>
        <w:shd w:val="clear" w:color="auto" w:fill="FFFFFF"/>
        <w:spacing w:line="360" w:lineRule="auto"/>
        <w:ind w:firstLine="420"/>
        <w:jc w:val="both"/>
        <w:rPr>
          <w:rFonts w:ascii="宋体" w:hAnsi="宋体" w:eastAsia="宋体" w:cs="Arial"/>
          <w:b/>
          <w:bCs/>
          <w:color w:val="auto"/>
          <w:sz w:val="24"/>
          <w:szCs w:val="24"/>
          <w:highlight w:val="none"/>
        </w:rPr>
      </w:pPr>
      <w:r>
        <w:rPr>
          <w:rFonts w:hint="eastAsia" w:ascii="宋体" w:hAnsi="宋体" w:eastAsia="宋体" w:cs="Arial"/>
          <w:b/>
          <w:bCs/>
          <w:color w:val="auto"/>
          <w:sz w:val="24"/>
          <w:szCs w:val="24"/>
          <w:highlight w:val="none"/>
        </w:rPr>
        <w:t>（9）不同供应商的法定代表人或委托代理人有夫妻、直系血亲关系；</w:t>
      </w:r>
    </w:p>
    <w:p w14:paraId="67638017">
      <w:pPr>
        <w:widowControl w:val="0"/>
        <w:shd w:val="clear" w:color="auto" w:fill="FFFFFF"/>
        <w:spacing w:line="360" w:lineRule="auto"/>
        <w:ind w:firstLine="420"/>
        <w:jc w:val="both"/>
        <w:rPr>
          <w:rFonts w:ascii="宋体" w:hAnsi="宋体" w:eastAsia="宋体" w:cs="Arial"/>
          <w:b/>
          <w:bCs/>
          <w:color w:val="auto"/>
          <w:sz w:val="24"/>
          <w:szCs w:val="24"/>
          <w:highlight w:val="none"/>
        </w:rPr>
      </w:pPr>
      <w:r>
        <w:rPr>
          <w:rFonts w:hint="eastAsia" w:ascii="宋体" w:hAnsi="宋体" w:eastAsia="宋体" w:cs="Arial"/>
          <w:b/>
          <w:bCs/>
          <w:color w:val="auto"/>
          <w:sz w:val="24"/>
          <w:szCs w:val="24"/>
          <w:highlight w:val="none"/>
        </w:rPr>
        <w:t>（10）不同供应商的委托代理人(或法定代表人、项目经理、项目总监、项目负责人等)在采购文件发布日上月至提交投标文件截止日当月在同一单位缴纳社会保险的；</w:t>
      </w:r>
    </w:p>
    <w:p w14:paraId="1C0596CA">
      <w:pPr>
        <w:widowControl w:val="0"/>
        <w:shd w:val="clear" w:color="auto" w:fill="FFFFFF"/>
        <w:spacing w:line="360" w:lineRule="auto"/>
        <w:ind w:firstLine="420"/>
        <w:jc w:val="both"/>
        <w:rPr>
          <w:rFonts w:ascii="宋体" w:hAnsi="宋体" w:eastAsia="宋体" w:cs="Arial"/>
          <w:b/>
          <w:bCs/>
          <w:color w:val="auto"/>
          <w:sz w:val="24"/>
          <w:szCs w:val="24"/>
          <w:highlight w:val="none"/>
        </w:rPr>
      </w:pPr>
      <w:r>
        <w:rPr>
          <w:rFonts w:hint="eastAsia" w:ascii="宋体" w:hAnsi="宋体" w:eastAsia="宋体" w:cs="Arial"/>
          <w:b/>
          <w:bCs/>
          <w:color w:val="auto"/>
          <w:sz w:val="24"/>
          <w:szCs w:val="24"/>
          <w:highlight w:val="none"/>
        </w:rPr>
        <w:t>（11）投标文件含有采购人不能接受的附加条件的；</w:t>
      </w:r>
    </w:p>
    <w:p w14:paraId="7BAE01EB">
      <w:pPr>
        <w:widowControl w:val="0"/>
        <w:shd w:val="clear" w:color="auto" w:fill="FFFFFF"/>
        <w:spacing w:line="360" w:lineRule="auto"/>
        <w:ind w:firstLine="420"/>
        <w:jc w:val="both"/>
        <w:rPr>
          <w:rFonts w:ascii="宋体" w:hAnsi="宋体" w:eastAsia="宋体" w:cs="Arial"/>
          <w:b/>
          <w:bCs/>
          <w:color w:val="auto"/>
          <w:sz w:val="24"/>
          <w:szCs w:val="24"/>
          <w:highlight w:val="none"/>
        </w:rPr>
      </w:pPr>
      <w:r>
        <w:rPr>
          <w:rFonts w:hint="eastAsia" w:ascii="宋体" w:hAnsi="宋体" w:eastAsia="宋体" w:cs="Arial"/>
          <w:b/>
          <w:bCs/>
          <w:color w:val="auto"/>
          <w:sz w:val="24"/>
          <w:szCs w:val="24"/>
          <w:highlight w:val="none"/>
        </w:rPr>
        <w:t>（12）不符合法律、法规和采购文件规定的其他实质性要求的。</w:t>
      </w:r>
    </w:p>
    <w:p w14:paraId="5AA6E574">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22.2.2.1 实质性要求是指本招标文件中用带星号（“★”）、“必须”或“应（应当）”等其他文字说明的商务和技术要求。</w:t>
      </w:r>
    </w:p>
    <w:p w14:paraId="02F92B4F">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22.2.2.2有下列情形之一的予以废标：</w:t>
      </w:r>
    </w:p>
    <w:p w14:paraId="22D621C2">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（1）符合资格条件的投标人或者对招标文件作实质性响应的投标人不足三家的；</w:t>
      </w:r>
    </w:p>
    <w:p w14:paraId="2DDBCC0F">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（2）出现影响采购公正的违法、违规行为的；</w:t>
      </w:r>
    </w:p>
    <w:p w14:paraId="67BC5144">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（3）投标人的报价均超过了采购预算或最高限价，采购人不能支付的；</w:t>
      </w:r>
    </w:p>
    <w:p w14:paraId="7009B760">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（4）因重大变故，采购任务取消的。</w:t>
      </w:r>
    </w:p>
    <w:p w14:paraId="18CFEA99">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（5）招标文件存在歧义、重大缺陷，或者招标文件内容违反国家有关强制性规定的。</w:t>
      </w:r>
    </w:p>
    <w:p w14:paraId="500F6706">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（6）预留份额的采购项目或采购包，通过发布公告方式邀请供应商后，符合资格条件的 中小企业数量不足3家的。</w:t>
      </w:r>
    </w:p>
    <w:p w14:paraId="544C0E8E">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22.2.3澄清有关问题。</w:t>
      </w:r>
    </w:p>
    <w:p w14:paraId="6078D844">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22.2.3.1对于投标文件中含义不明确、同类问题表述不一致或者有明显文字和计算错误的内容，评标委员会应当以书面形式要求投标人作出必要的澄清、说明或者补正。</w:t>
      </w:r>
    </w:p>
    <w:p w14:paraId="41B3849F">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70DFF4A8">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22.2.3.3投标文件报价出现前后不一致的，除招标文件另有规定外，按照下列规定修正：</w:t>
      </w:r>
    </w:p>
    <w:p w14:paraId="2FCB5053">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（1）投标文件中开标一览表（报价表）内容与投标文件中相应内容不一致的，以开标一览表（报价表）为准；</w:t>
      </w:r>
    </w:p>
    <w:p w14:paraId="22F560EC">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（2）大写金额和小写金额不一致的，以大写金额为准；</w:t>
      </w:r>
    </w:p>
    <w:p w14:paraId="756C0628">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（3）单价金额小数点或者百分比有明显错位的，以开标一览表的总价为准，并修改单价；</w:t>
      </w:r>
    </w:p>
    <w:p w14:paraId="7DA33327">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（4）总价金额与按单价汇总金额不一致的，以单价金额计算结果为准。</w:t>
      </w:r>
    </w:p>
    <w:p w14:paraId="465A23ED">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同时出现两种以上不一致的，按照前款规定的顺序修正。修正后的报价按照前款规定经投标人确认后产生约束力，投标人不确认的，其投标无效。</w:t>
      </w:r>
    </w:p>
    <w:p w14:paraId="3A8B18CF">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22.2.3.4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评标委员会将其作为无效投标处理。</w:t>
      </w:r>
    </w:p>
    <w:p w14:paraId="6E7A8347">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22.2.4比较与评价。评标委员会应当按照招标文件中规定的评标方法和标准，对符合性审查合格的投标文件进行商务和技术评估，综合比较与评价。</w:t>
      </w:r>
    </w:p>
    <w:p w14:paraId="620E7750">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22.2.5相同品牌产品的投标</w:t>
      </w:r>
    </w:p>
    <w:p w14:paraId="33CE9041">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7BA45BCF">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31AB1531">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非单一产品采购项目，确定核心产品的方法在招标文件技术需求中载明。多家投标人提供的核心产品品牌相同的，按前两款规定处理。</w:t>
      </w:r>
    </w:p>
    <w:p w14:paraId="2E7F0E2B">
      <w:pPr>
        <w:widowControl w:val="0"/>
        <w:shd w:val="clear" w:color="auto" w:fill="FFFFFF"/>
        <w:spacing w:line="360" w:lineRule="auto"/>
        <w:ind w:firstLine="420"/>
        <w:jc w:val="both"/>
        <w:rPr>
          <w:rFonts w:ascii="宋体" w:hAnsi="宋体" w:eastAsia="宋体" w:cs="Arial"/>
          <w:color w:val="auto"/>
          <w:sz w:val="24"/>
          <w:szCs w:val="24"/>
          <w:highlight w:val="none"/>
        </w:rPr>
      </w:pPr>
      <w:r>
        <w:rPr>
          <w:rFonts w:ascii="宋体" w:hAnsi="宋体" w:eastAsia="宋体" w:cs="Arial"/>
          <w:color w:val="auto"/>
          <w:sz w:val="24"/>
          <w:szCs w:val="24"/>
          <w:highlight w:val="none"/>
        </w:rPr>
        <w:t xml:space="preserve">22.3 </w:t>
      </w:r>
      <w:r>
        <w:rPr>
          <w:rFonts w:hint="eastAsia" w:ascii="宋体" w:hAnsi="宋体" w:eastAsia="宋体" w:cs="Arial"/>
          <w:color w:val="auto"/>
          <w:sz w:val="24"/>
          <w:szCs w:val="24"/>
          <w:highlight w:val="none"/>
        </w:rPr>
        <w:t>评标方法和标准</w:t>
      </w:r>
    </w:p>
    <w:p w14:paraId="2C8247D8">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22.3.1评标方法分为最低评标价法和综合评分法。本次招标的评标方法和标准，详见本招标文件第三章。</w:t>
      </w:r>
    </w:p>
    <w:p w14:paraId="2381D27F">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22.3.2最低评标价法，是指投标文件满足招标文件全部实质性要求，且投标报价最低的投标人为中标候选人的评标方法。</w:t>
      </w:r>
    </w:p>
    <w:p w14:paraId="2835C435">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采用最低评标价法评标时，除了算术修正和落实政府采购政策需进行的价格扣除外，不对投标人的投标价格进行任何调整。</w:t>
      </w:r>
    </w:p>
    <w:p w14:paraId="10A564E0">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22.3.3综合评分法，是指投标文件满足招标文件全部实质性要求，且按照评审因素的量化指标评审得分最高的投标人为中标候选人的评标方法。</w:t>
      </w:r>
    </w:p>
    <w:p w14:paraId="1D54FD27">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评审因素，包括价格、技术、商务等。</w:t>
      </w:r>
    </w:p>
    <w:p w14:paraId="7C30171E">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评标时，评标委员会各成员应当独立对每个投标人的投标文件进行评价，并汇总每个投标人的得分。</w:t>
      </w:r>
    </w:p>
    <w:p w14:paraId="55DD339B">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价格分采用低价优先法计算，即满足招标文件要求且投标价格最低的投标报价为评标基准价，其价格分为满分。</w:t>
      </w:r>
    </w:p>
    <w:p w14:paraId="7734C4DE">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评标总得分＝F1×A1＋F2×A2＋……＋Fn×An</w:t>
      </w:r>
    </w:p>
    <w:p w14:paraId="15845100">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F1、F2……Fn分别为各项评审因素的得分；</w:t>
      </w:r>
    </w:p>
    <w:p w14:paraId="2D3CF20D">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A1、A2、……An 分别为各项评审因素所占的权重(A1＋A2＋……＋An＝1)。</w:t>
      </w:r>
    </w:p>
    <w:p w14:paraId="6468B66B">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因落实政府采购政策进行价格调整的，以调整后的价格计算评标基准价和投标报价。</w:t>
      </w:r>
    </w:p>
    <w:p w14:paraId="5D617BC8">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23</w:t>
      </w:r>
      <w:r>
        <w:rPr>
          <w:rFonts w:hint="eastAsia" w:ascii="宋体" w:hAnsi="宋体" w:eastAsia="宋体" w:cs="Arial"/>
          <w:b/>
          <w:bCs/>
          <w:color w:val="auto"/>
          <w:sz w:val="24"/>
          <w:szCs w:val="24"/>
          <w:highlight w:val="none"/>
        </w:rPr>
        <w:t>、确定中标人</w:t>
      </w:r>
    </w:p>
    <w:p w14:paraId="4468B2D3">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23.1 采用最低评标价法的，评标结果按投标报价由低到高顺序排列。投标报价相同的并列。投标文件满足招标文件全部实质性要求且投标报价最低的投标人为排名第一的中标候选人。</w:t>
      </w:r>
    </w:p>
    <w:p w14:paraId="7F466913">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23.2采用综合评分法的，评标结果按评审后得分由高到低顺序排列。得分相同的，按投标报价由低到高顺序排列。得分且投标报价相同的，按技术指标优劣顺序排列。投标文件满足招标文件全部实质性要求，且按照评审因素的量化指标评审得分最高的投标人为排名第一的中标候选人。</w:t>
      </w:r>
    </w:p>
    <w:p w14:paraId="276BB1F1">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23.3 中标人确定后，在省级以上财政部门指定的媒体上公告中标结果，中标公告期为1个工作日，公告的同时向中标人发出中标通知书。</w:t>
      </w:r>
    </w:p>
    <w:p w14:paraId="0E814C36">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23.4 中标通知书对招标人和中标人具有同等法律效力。</w:t>
      </w:r>
    </w:p>
    <w:p w14:paraId="15E55D9A">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23.5 中标通知书发出后，招标人或中标人拒绝签订合同的，拒绝签订合同的一方应至少向另一方支付项目预算金额2%的补偿金，以及为招标、投标所发生的有关费用和双方商定的其他补偿。</w:t>
      </w:r>
    </w:p>
    <w:p w14:paraId="1D8E0CDC">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 xml:space="preserve">23.6 </w:t>
      </w:r>
      <w:r>
        <w:rPr>
          <w:rFonts w:hint="eastAsia" w:ascii="宋体" w:hAnsi="宋体" w:eastAsia="宋体" w:cs="Arial"/>
          <w:b/>
          <w:bCs/>
          <w:color w:val="auto"/>
          <w:sz w:val="24"/>
          <w:szCs w:val="24"/>
          <w:highlight w:val="none"/>
        </w:rPr>
        <w:t>中标通知书发出后，中标人无正当理由不与招标人签订合同的；情节严重的，由财政部门将其列入不良行为记录名单，在一至三年内禁止参加政府采购活动，并予以通报。</w:t>
      </w:r>
    </w:p>
    <w:p w14:paraId="61061746">
      <w:pPr>
        <w:widowControl w:val="0"/>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23.7 所有投标文件不论中标与否，均不退回。</w:t>
      </w:r>
    </w:p>
    <w:p w14:paraId="6008938E">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24</w:t>
      </w:r>
      <w:r>
        <w:rPr>
          <w:rFonts w:hint="eastAsia" w:ascii="宋体" w:hAnsi="宋体" w:eastAsia="宋体" w:cs="Arial"/>
          <w:b/>
          <w:bCs/>
          <w:color w:val="auto"/>
          <w:sz w:val="24"/>
          <w:szCs w:val="24"/>
          <w:highlight w:val="none"/>
        </w:rPr>
        <w:t>、编写评标报告</w:t>
      </w:r>
    </w:p>
    <w:p w14:paraId="252FB44B">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24.1评标委员会根据全体评标成员签字的原始评标记录和评标结果编写评标报告。</w:t>
      </w:r>
    </w:p>
    <w:p w14:paraId="55E03A4E">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25</w:t>
      </w:r>
      <w:r>
        <w:rPr>
          <w:rFonts w:hint="eastAsia" w:ascii="宋体" w:hAnsi="宋体" w:eastAsia="宋体" w:cs="Arial"/>
          <w:b/>
          <w:bCs/>
          <w:color w:val="auto"/>
          <w:sz w:val="24"/>
          <w:szCs w:val="24"/>
          <w:highlight w:val="none"/>
        </w:rPr>
        <w:t>、评标过程的保密性</w:t>
      </w:r>
    </w:p>
    <w:p w14:paraId="0785392A">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25.1 招标人和招标代理机构将采取必要措施，保证评标在严格保密的情况下进行。</w:t>
      </w:r>
    </w:p>
    <w:p w14:paraId="75FA8BDD">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25.2 任何单位和个人不得非法干预、影响评标办法的确定，以及评标过程和结果。</w:t>
      </w:r>
    </w:p>
    <w:p w14:paraId="2EB30A8D">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25.3 凡是与审查、澄清、评价和比较投标的有关资料等，均不向投标人及与评标无关的其他人员透露。</w:t>
      </w:r>
    </w:p>
    <w:p w14:paraId="4B657E09">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b/>
          <w:bCs/>
          <w:color w:val="auto"/>
          <w:sz w:val="24"/>
          <w:szCs w:val="24"/>
          <w:highlight w:val="none"/>
        </w:rPr>
        <w:t>六、签订合同</w:t>
      </w:r>
    </w:p>
    <w:p w14:paraId="19DD20A9">
      <w:pPr>
        <w:widowControl w:val="0"/>
        <w:shd w:val="clear" w:color="auto" w:fill="FFFFFF"/>
        <w:spacing w:line="360" w:lineRule="auto"/>
        <w:ind w:firstLine="420"/>
        <w:rPr>
          <w:rFonts w:ascii="宋体" w:hAnsi="宋体" w:eastAsia="宋体" w:cs="Arial"/>
          <w:b/>
          <w:bCs/>
          <w:color w:val="auto"/>
          <w:sz w:val="24"/>
          <w:szCs w:val="24"/>
          <w:highlight w:val="none"/>
        </w:rPr>
      </w:pPr>
      <w:r>
        <w:rPr>
          <w:rFonts w:ascii="宋体" w:hAnsi="宋体" w:eastAsia="宋体" w:cs="Arial"/>
          <w:b/>
          <w:bCs/>
          <w:color w:val="auto"/>
          <w:sz w:val="24"/>
          <w:szCs w:val="24"/>
          <w:highlight w:val="none"/>
        </w:rPr>
        <w:t>26</w:t>
      </w:r>
      <w:r>
        <w:rPr>
          <w:rFonts w:hint="eastAsia" w:ascii="宋体" w:hAnsi="宋体" w:eastAsia="宋体" w:cs="Arial"/>
          <w:b/>
          <w:bCs/>
          <w:color w:val="auto"/>
          <w:sz w:val="24"/>
          <w:szCs w:val="24"/>
          <w:highlight w:val="none"/>
        </w:rPr>
        <w:t>、签订合同</w:t>
      </w:r>
    </w:p>
    <w:p w14:paraId="297DD7F4">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26.1招标人与中标人应当自中标通知书发出之日起30日内，按照招标文件和中标人投标文件的规定，签订书面合同。所签订的合同不得对招标文件确定的事项和中标人投标文件作实质性修改。</w:t>
      </w:r>
    </w:p>
    <w:p w14:paraId="4A1A260F">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26.2招标人不得向中标人提出任何不合理的要求作为签订合同的条件。</w:t>
      </w:r>
    </w:p>
    <w:p w14:paraId="03CA7F86">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26.3中标人拒绝与采购人签订合同的，招标人可以按照评审报告推荐的中标或者成交候选人名单排序，确定下一候选人为中标或者成交供应商，也可以重新开展政府采购活动。</w:t>
      </w:r>
    </w:p>
    <w:p w14:paraId="456DCC23">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26.4 政府采购合同履行中，招标人需追加与合同标的相同的货物或者服务的，在不改变合同其他条款的前提下，可以与供应商协商签订补充合同，但所有补充合同的采购金额不得超过原合同采购金额的百分之十。</w:t>
      </w:r>
    </w:p>
    <w:p w14:paraId="036AE8CE">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26.5 招标人与中标人应当根据合同的约定依法履行合同义务。</w:t>
      </w:r>
    </w:p>
    <w:p w14:paraId="3A1975AA">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b/>
          <w:bCs/>
          <w:color w:val="auto"/>
          <w:sz w:val="24"/>
          <w:szCs w:val="24"/>
          <w:highlight w:val="none"/>
        </w:rPr>
        <w:t>七、质疑和投诉</w:t>
      </w:r>
    </w:p>
    <w:p w14:paraId="43434EA8">
      <w:pPr>
        <w:widowControl w:val="0"/>
        <w:shd w:val="clear" w:color="auto" w:fill="FFFFFF"/>
        <w:spacing w:line="360" w:lineRule="auto"/>
        <w:ind w:firstLine="420"/>
        <w:rPr>
          <w:rFonts w:ascii="宋体" w:hAnsi="宋体" w:eastAsia="宋体" w:cs="Arial"/>
          <w:b/>
          <w:bCs/>
          <w:color w:val="auto"/>
          <w:sz w:val="24"/>
          <w:szCs w:val="24"/>
          <w:highlight w:val="none"/>
        </w:rPr>
      </w:pPr>
      <w:r>
        <w:rPr>
          <w:rFonts w:hint="eastAsia" w:ascii="宋体" w:hAnsi="宋体" w:eastAsia="宋体" w:cs="Arial"/>
          <w:b/>
          <w:bCs/>
          <w:color w:val="auto"/>
          <w:sz w:val="24"/>
          <w:szCs w:val="24"/>
          <w:highlight w:val="none"/>
        </w:rPr>
        <w:t>27、质疑</w:t>
      </w:r>
    </w:p>
    <w:p w14:paraId="296F1AD7">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27.1供应商对招标活动事项有疑问的，可以向招标代理机构提出询问，招标代理机构将依法作出答复，但答复的内容不涉及商业秘密。</w:t>
      </w:r>
    </w:p>
    <w:p w14:paraId="5F20C89C">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27.2提出质疑的供应商应当是参与所质疑项目采购活动的供应商。潜在供应商已依法获取其可质疑的采购文件的，可以对该文件提出质疑。</w:t>
      </w:r>
    </w:p>
    <w:p w14:paraId="3AC5B26C">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以联合体形式参加政府采购活动的，其质疑应当由组成联合体的所有供应商共同提出。</w:t>
      </w:r>
    </w:p>
    <w:p w14:paraId="1BC46388">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27.3供应商认为采购文件、采购过程和中标结果使自己的合法权益受到损害的，可以在知道或者应知其权益受到损害之日起七个工作日内，将质疑文件原件送达采购人或采购代理机构。</w:t>
      </w:r>
    </w:p>
    <w:p w14:paraId="0D7FC0CA">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供应商应知其权益受到损害之日，是指：对采购文件提出质疑的，应当在获取采购文件或者采购文件公告期限届满之日起7个工作日内提出；对采购过程提出质疑的，为各采购程序环节结束之日；对中标或者成交结果提出质疑的，为中标或者成交结果公告期限届满之日。</w:t>
      </w:r>
    </w:p>
    <w:p w14:paraId="53652B00">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供应商必须在法定质疑期内一次性提出针对同一采购程序环节的质疑。</w:t>
      </w:r>
    </w:p>
    <w:p w14:paraId="7A7A37CB">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27.4 供应商提出质疑应当提交质疑函和必要的证明材料。质疑函应当包括下列内容：</w:t>
      </w:r>
    </w:p>
    <w:p w14:paraId="35AA3ADA">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　　（一）供应商的姓名或者名称、地址、邮编、联系人及联系电话；</w:t>
      </w:r>
    </w:p>
    <w:p w14:paraId="4C5601AB">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　　（二）质疑项目的名称、编号；</w:t>
      </w:r>
    </w:p>
    <w:p w14:paraId="65971081">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　　（三）具体、明确的质疑事项和与质疑事项相关的请求（具体条款）；</w:t>
      </w:r>
    </w:p>
    <w:p w14:paraId="61B9271B">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　　（四）事实依据（具体条款）；</w:t>
      </w:r>
    </w:p>
    <w:p w14:paraId="54A76FAE">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　　（五）必要的法律依据（具体条款）；</w:t>
      </w:r>
    </w:p>
    <w:p w14:paraId="1AFD74CE">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　　（六）提出质疑的日期。</w:t>
      </w:r>
    </w:p>
    <w:p w14:paraId="0642992B">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14B15AFC">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质疑函应当使用中文。相关当事人提供外文书证或者外国语视听资料的，应当附有中文译本，由翻译机构盖章或者翻译人员签名。</w:t>
      </w:r>
    </w:p>
    <w:p w14:paraId="3C6C9CEE">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27.5质疑函应当现场提交至采购代理机构联系人处，提交时应出示有效身份证明。未按上述要求提交质疑函的，质疑不予受理。</w:t>
      </w:r>
    </w:p>
    <w:p w14:paraId="13C341BF">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27.6 投标人不得虚假质疑和恶意质疑，并对质疑内容的真实性承担责任。投标人或者利害关系人通过捏造事实、伪造证明材料等方式提出异议或投诉，阻碍招投标活动正常进行的，属于严重不良行为，代理机构将提请财政部门将其列入不良行为记录名单，并依法予以处罚。</w:t>
      </w:r>
    </w:p>
    <w:p w14:paraId="508D95BB">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27.7采购代理机构在收到投标人的书面质疑后将及时组织调查核实，在七个工作日内作出答复，并以书面或在网站公告形式通知质疑投标人和其他有关投标人，答复的内容不涉及商业秘密。</w:t>
      </w:r>
    </w:p>
    <w:p w14:paraId="533E4728">
      <w:pPr>
        <w:widowControl w:val="0"/>
        <w:shd w:val="clear" w:color="auto" w:fill="FFFFFF"/>
        <w:spacing w:line="360" w:lineRule="auto"/>
        <w:ind w:firstLine="420"/>
        <w:rPr>
          <w:rFonts w:ascii="宋体" w:hAnsi="宋体" w:eastAsia="宋体" w:cs="Arial"/>
          <w:b/>
          <w:bCs/>
          <w:color w:val="auto"/>
          <w:sz w:val="24"/>
          <w:szCs w:val="24"/>
          <w:highlight w:val="none"/>
        </w:rPr>
      </w:pPr>
      <w:r>
        <w:rPr>
          <w:rFonts w:hint="eastAsia" w:ascii="宋体" w:hAnsi="宋体" w:eastAsia="宋体" w:cs="Arial"/>
          <w:b/>
          <w:bCs/>
          <w:color w:val="auto"/>
          <w:sz w:val="24"/>
          <w:szCs w:val="24"/>
          <w:highlight w:val="none"/>
        </w:rPr>
        <w:t>28、投诉</w:t>
      </w:r>
    </w:p>
    <w:p w14:paraId="0DCB40BA">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28.1质疑供应商对采购代理机构的答复不满意或者采购代理机构未在规定的时间内作出答复的，可以在答复期满后十五个工作日内向同级政府采购监督管理部门投诉。</w:t>
      </w:r>
    </w:p>
    <w:p w14:paraId="74C837C3">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28.2供应商投诉应当有明确的请求和必要的证明材料。供应商投诉的事项不得超出已质疑事项的范围。</w:t>
      </w:r>
    </w:p>
    <w:p w14:paraId="005F0F8E">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28.3投诉人对政府采购监督管理部门的投诉处理决定不服或者政府采购监督管理部门逾期未作处理的，可以依法申请行政复议或者向人民法院提起行政诉讼。</w:t>
      </w:r>
    </w:p>
    <w:p w14:paraId="3FE5757B">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28.4 投诉人有下列行为之一的，属于严重失信行为，由财政部门列入不良行为记录名单，禁止其一至三年内参加政府采购活动。</w:t>
      </w:r>
    </w:p>
    <w:p w14:paraId="4D228FAA">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（1）投诉人在全国范围12个月内三次以上投诉查无实据的；</w:t>
      </w:r>
    </w:p>
    <w:p w14:paraId="5A98C587">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（2）采用捏造事实、提供虚假材料或者以非法手段取得证明材料等方式进行虚假、恶意投诉。</w:t>
      </w:r>
    </w:p>
    <w:p w14:paraId="35C85A01">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证据来源的合法性存在明显疑问，投诉人无法证明其取得方式合法的，视为以非法手段取得证明材料。</w:t>
      </w:r>
    </w:p>
    <w:p w14:paraId="1741F67D">
      <w:pPr>
        <w:widowControl w:val="0"/>
        <w:shd w:val="clear" w:color="auto" w:fill="FFFFFF"/>
        <w:spacing w:line="360" w:lineRule="auto"/>
        <w:ind w:firstLine="420"/>
        <w:rPr>
          <w:rFonts w:ascii="宋体" w:hAnsi="宋体" w:eastAsia="宋体" w:cs="Arial"/>
          <w:b/>
          <w:bCs/>
          <w:color w:val="auto"/>
          <w:sz w:val="24"/>
          <w:szCs w:val="24"/>
          <w:highlight w:val="none"/>
          <w:lang w:val="zh-CN"/>
        </w:rPr>
      </w:pPr>
      <w:r>
        <w:rPr>
          <w:rFonts w:hint="eastAsia" w:ascii="宋体" w:hAnsi="宋体" w:eastAsia="宋体" w:cs="Arial"/>
          <w:b/>
          <w:bCs/>
          <w:color w:val="auto"/>
          <w:sz w:val="24"/>
          <w:szCs w:val="24"/>
          <w:highlight w:val="none"/>
          <w:lang w:val="zh-CN"/>
        </w:rPr>
        <w:t>29.诚实信用</w:t>
      </w:r>
    </w:p>
    <w:p w14:paraId="46524084">
      <w:pPr>
        <w:shd w:val="clear" w:color="auto" w:fill="FFFFFF"/>
        <w:spacing w:line="360" w:lineRule="auto"/>
        <w:ind w:firstLine="420"/>
        <w:jc w:val="both"/>
        <w:rPr>
          <w:rFonts w:ascii="宋体" w:hAnsi="宋体" w:eastAsia="宋体" w:cs="Arial"/>
          <w:color w:val="auto"/>
          <w:sz w:val="24"/>
          <w:szCs w:val="24"/>
          <w:highlight w:val="none"/>
          <w:lang w:val="zh-CN"/>
        </w:rPr>
      </w:pPr>
      <w:r>
        <w:rPr>
          <w:rFonts w:hint="eastAsia" w:ascii="宋体" w:hAnsi="宋体" w:eastAsia="宋体" w:cs="Arial"/>
          <w:color w:val="auto"/>
          <w:sz w:val="24"/>
          <w:szCs w:val="24"/>
          <w:highlight w:val="none"/>
          <w:lang w:val="zh-CN"/>
        </w:rPr>
        <w:t>29.1 供应商之间不得相互串通报价，不得妨碍其他供应商的公平竞争，不得损害采购人和其他供应商的合法权益。</w:t>
      </w:r>
    </w:p>
    <w:p w14:paraId="76603758">
      <w:pPr>
        <w:shd w:val="clear" w:color="auto" w:fill="FFFFFF"/>
        <w:spacing w:line="360" w:lineRule="auto"/>
        <w:ind w:firstLine="420"/>
        <w:jc w:val="both"/>
        <w:rPr>
          <w:rFonts w:ascii="宋体" w:hAnsi="宋体" w:eastAsia="宋体" w:cs="Arial"/>
          <w:color w:val="auto"/>
          <w:sz w:val="24"/>
          <w:szCs w:val="24"/>
          <w:highlight w:val="none"/>
          <w:lang w:val="zh-CN"/>
        </w:rPr>
      </w:pPr>
      <w:r>
        <w:rPr>
          <w:rFonts w:hint="eastAsia" w:ascii="宋体" w:hAnsi="宋体" w:eastAsia="宋体" w:cs="Arial"/>
          <w:color w:val="auto"/>
          <w:sz w:val="24"/>
          <w:szCs w:val="24"/>
          <w:highlight w:val="none"/>
          <w:lang w:val="zh-CN"/>
        </w:rPr>
        <w:t>29.2 供应商不得以向采购代理机构工作人员、评标委员会成员行贿或者采取其他不正当手段谋取成交。经查实供应商有此行为的，政府采购管理部门将供应商列入不良行为记录名单，按照《政府采</w:t>
      </w:r>
      <w:r>
        <w:rPr>
          <w:rFonts w:hint="eastAsia" w:ascii="宋体" w:hAnsi="宋体" w:eastAsia="宋体" w:cs="Arial"/>
          <w:color w:val="auto"/>
          <w:sz w:val="24"/>
          <w:szCs w:val="24"/>
          <w:highlight w:val="none"/>
        </w:rPr>
        <w:t>购法》有关规定处理。</w:t>
      </w:r>
    </w:p>
    <w:p w14:paraId="1C996ED3">
      <w:pPr>
        <w:shd w:val="clear" w:color="auto" w:fill="FFFFFF"/>
        <w:spacing w:line="360" w:lineRule="auto"/>
        <w:ind w:firstLine="420"/>
        <w:jc w:val="both"/>
        <w:rPr>
          <w:rFonts w:ascii="宋体" w:hAnsi="宋体" w:eastAsia="宋体" w:cs="Arial"/>
          <w:color w:val="auto"/>
          <w:sz w:val="24"/>
          <w:szCs w:val="24"/>
          <w:highlight w:val="none"/>
        </w:rPr>
      </w:pPr>
      <w:r>
        <w:rPr>
          <w:rFonts w:hint="eastAsia" w:ascii="宋体" w:hAnsi="宋体" w:eastAsia="宋体" w:cs="Arial"/>
          <w:color w:val="auto"/>
          <w:sz w:val="24"/>
          <w:szCs w:val="24"/>
          <w:highlight w:val="none"/>
          <w:lang w:val="zh-CN"/>
        </w:rPr>
        <w:t>29.3 供应商不得虚假质疑和恶意质疑，并对质疑内容的真实性承担责任。</w:t>
      </w:r>
      <w:r>
        <w:rPr>
          <w:rFonts w:hint="eastAsia" w:ascii="宋体" w:hAnsi="宋体" w:eastAsia="宋体" w:cs="Arial"/>
          <w:color w:val="auto"/>
          <w:sz w:val="24"/>
          <w:szCs w:val="24"/>
          <w:highlight w:val="none"/>
        </w:rPr>
        <w:t>供应商或者其他利害关系人通过捏造事实、伪造证明材料等方式提出异议或投诉，阻碍政府采购活动正常进行的，属于严重不良行为，采购代理机构将提请财政部门将其列入不良行为记录名单，并依法予以处罚。</w:t>
      </w:r>
    </w:p>
    <w:p w14:paraId="37B5EC45">
      <w:pPr>
        <w:shd w:val="clear" w:color="auto" w:fill="FFFFFF"/>
        <w:spacing w:line="360" w:lineRule="auto"/>
        <w:ind w:firstLine="420"/>
        <w:jc w:val="both"/>
        <w:rPr>
          <w:rFonts w:ascii="宋体" w:hAnsi="宋体" w:eastAsia="宋体" w:cs="Arial"/>
          <w:color w:val="auto"/>
          <w:sz w:val="24"/>
          <w:szCs w:val="24"/>
          <w:highlight w:val="none"/>
          <w:lang w:val="zh-CN"/>
        </w:rPr>
      </w:pPr>
      <w:r>
        <w:rPr>
          <w:rFonts w:hint="eastAsia" w:ascii="宋体" w:hAnsi="宋体" w:eastAsia="宋体" w:cs="Arial"/>
          <w:color w:val="auto"/>
          <w:sz w:val="24"/>
          <w:szCs w:val="24"/>
          <w:highlight w:val="none"/>
          <w:lang w:val="zh-CN"/>
        </w:rPr>
        <w:t>29.4 供应商不得虚假承诺，否则，按照提供虚假材料谋取成交处理。</w:t>
      </w:r>
    </w:p>
    <w:p w14:paraId="75EF4111">
      <w:pPr>
        <w:pBdr>
          <w:top w:val="none" w:color="000000" w:sz="0" w:space="0"/>
          <w:left w:val="none" w:color="000000" w:sz="0" w:space="0"/>
          <w:bottom w:val="none" w:color="000000" w:sz="0" w:space="0"/>
          <w:right w:val="none" w:color="000000" w:sz="0" w:space="0"/>
        </w:pBdr>
        <w:ind w:firstLine="420"/>
        <w:jc w:val="both"/>
        <w:rPr>
          <w:rFonts w:ascii="宋体" w:hAnsi="宋体" w:eastAsia="宋体" w:cs="宋体"/>
          <w:color w:val="auto"/>
          <w:highlight w:val="none"/>
        </w:rPr>
      </w:pPr>
      <w:r>
        <w:rPr>
          <w:rFonts w:hint="eastAsia" w:ascii="宋体" w:hAnsi="宋体" w:eastAsia="宋体" w:cs="Arial"/>
          <w:color w:val="auto"/>
          <w:sz w:val="24"/>
          <w:szCs w:val="24"/>
          <w:highlight w:val="none"/>
          <w:lang w:val="zh-CN"/>
        </w:rPr>
        <w:t>29.5 供应商应自觉遵守开标、评标纪律，扰乱开标评标现场秩序的，属于失信行为，根据《江苏省政府采购供应商监督管理暂行办法》，失信行为将被记入供应商诚信档案。</w:t>
      </w:r>
    </w:p>
    <w:p w14:paraId="35A5F613">
      <w:pPr>
        <w:pBdr>
          <w:top w:val="none" w:color="000000" w:sz="0" w:space="0"/>
          <w:left w:val="none" w:color="000000" w:sz="0" w:space="0"/>
          <w:bottom w:val="none" w:color="000000" w:sz="0" w:space="0"/>
          <w:right w:val="none" w:color="000000" w:sz="0" w:space="0"/>
        </w:pBdr>
        <w:rPr>
          <w:rFonts w:ascii="宋体" w:hAnsi="宋体" w:eastAsia="宋体" w:cs="宋体"/>
          <w:color w:val="auto"/>
          <w:highlight w:val="none"/>
        </w:rPr>
      </w:pPr>
      <w:r>
        <w:rPr>
          <w:rFonts w:hint="eastAsia" w:ascii="宋体" w:hAnsi="宋体" w:eastAsia="宋体" w:cs="宋体"/>
          <w:color w:val="auto"/>
          <w:highlight w:val="none"/>
        </w:rPr>
        <w:br w:type="page" w:clear="all"/>
      </w:r>
    </w:p>
    <w:p w14:paraId="3FA5F4A9">
      <w:pPr>
        <w:pBdr>
          <w:top w:val="none" w:color="000000" w:sz="0" w:space="0"/>
          <w:left w:val="none" w:color="000000" w:sz="0" w:space="0"/>
          <w:bottom w:val="none" w:color="000000" w:sz="0" w:space="0"/>
          <w:right w:val="none" w:color="000000" w:sz="0" w:space="0"/>
        </w:pBdr>
        <w:ind w:right="840"/>
        <w:jc w:val="center"/>
        <w:rPr>
          <w:rFonts w:ascii="宋体" w:hAnsi="宋体" w:eastAsia="宋体" w:cs="宋体"/>
          <w:color w:val="auto"/>
          <w:highlight w:val="none"/>
        </w:rPr>
      </w:pPr>
      <w:r>
        <w:rPr>
          <w:rFonts w:hint="eastAsia" w:ascii="宋体" w:hAnsi="宋体" w:eastAsia="宋体" w:cs="宋体"/>
          <w:color w:val="auto"/>
          <w:sz w:val="36"/>
          <w:highlight w:val="none"/>
        </w:rPr>
        <w:t>第三章 评分标准</w:t>
      </w:r>
    </w:p>
    <w:tbl>
      <w:tblPr>
        <w:tblStyle w:val="25"/>
        <w:tblW w:w="55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2"/>
        <w:gridCol w:w="1021"/>
        <w:gridCol w:w="1137"/>
        <w:gridCol w:w="6240"/>
        <w:gridCol w:w="710"/>
      </w:tblGrid>
      <w:tr w14:paraId="5C35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281" w:type="pct"/>
            <w:tcMar>
              <w:top w:w="0" w:type="dxa"/>
              <w:left w:w="108" w:type="dxa"/>
              <w:bottom w:w="0" w:type="dxa"/>
              <w:right w:w="108" w:type="dxa"/>
            </w:tcMar>
            <w:vAlign w:val="center"/>
          </w:tcPr>
          <w:p w14:paraId="219B776F">
            <w:pPr>
              <w:spacing w:line="360" w:lineRule="auto"/>
              <w:jc w:val="center"/>
              <w:rPr>
                <w:rFonts w:ascii="宋体" w:hAnsi="宋体"/>
                <w:color w:val="auto"/>
                <w:szCs w:val="21"/>
                <w:highlight w:val="none"/>
              </w:rPr>
            </w:pPr>
            <w:r>
              <w:rPr>
                <w:rFonts w:hint="eastAsia" w:ascii="宋体" w:hAnsi="宋体" w:eastAsia="宋体" w:cs="宋体"/>
                <w:color w:val="auto"/>
                <w:sz w:val="24"/>
                <w:highlight w:val="none"/>
              </w:rPr>
              <w:t> </w:t>
            </w:r>
            <w:r>
              <w:rPr>
                <w:rFonts w:hint="eastAsia" w:ascii="宋体" w:hAnsi="宋体"/>
                <w:b/>
                <w:bCs/>
                <w:color w:val="auto"/>
                <w:szCs w:val="21"/>
                <w:highlight w:val="none"/>
              </w:rPr>
              <w:t>序号</w:t>
            </w:r>
          </w:p>
        </w:tc>
        <w:tc>
          <w:tcPr>
            <w:tcW w:w="529" w:type="pct"/>
            <w:tcMar>
              <w:top w:w="0" w:type="dxa"/>
              <w:left w:w="108" w:type="dxa"/>
              <w:bottom w:w="0" w:type="dxa"/>
              <w:right w:w="108" w:type="dxa"/>
            </w:tcMar>
            <w:vAlign w:val="center"/>
          </w:tcPr>
          <w:p w14:paraId="65D19050">
            <w:pPr>
              <w:spacing w:line="360" w:lineRule="auto"/>
              <w:jc w:val="center"/>
              <w:rPr>
                <w:rFonts w:ascii="宋体" w:hAnsi="宋体"/>
                <w:b/>
                <w:bCs/>
                <w:color w:val="auto"/>
                <w:szCs w:val="21"/>
                <w:highlight w:val="none"/>
              </w:rPr>
            </w:pPr>
            <w:r>
              <w:rPr>
                <w:rFonts w:hint="eastAsia" w:ascii="宋体" w:hAnsi="宋体"/>
                <w:b/>
                <w:bCs/>
                <w:color w:val="auto"/>
                <w:szCs w:val="21"/>
                <w:highlight w:val="none"/>
              </w:rPr>
              <w:t>评分因素</w:t>
            </w:r>
          </w:p>
        </w:tc>
        <w:tc>
          <w:tcPr>
            <w:tcW w:w="589" w:type="pct"/>
            <w:tcMar>
              <w:top w:w="0" w:type="dxa"/>
              <w:left w:w="108" w:type="dxa"/>
              <w:bottom w:w="0" w:type="dxa"/>
              <w:right w:w="108" w:type="dxa"/>
            </w:tcMar>
            <w:vAlign w:val="center"/>
          </w:tcPr>
          <w:p w14:paraId="36CF894E">
            <w:pPr>
              <w:spacing w:line="360" w:lineRule="auto"/>
              <w:jc w:val="center"/>
              <w:rPr>
                <w:rFonts w:ascii="宋体" w:hAnsi="宋体"/>
                <w:b/>
                <w:bCs/>
                <w:color w:val="auto"/>
                <w:szCs w:val="21"/>
                <w:highlight w:val="none"/>
              </w:rPr>
            </w:pPr>
            <w:r>
              <w:rPr>
                <w:rFonts w:hint="eastAsia" w:ascii="宋体" w:hAnsi="宋体"/>
                <w:b/>
                <w:bCs/>
                <w:color w:val="auto"/>
                <w:szCs w:val="21"/>
                <w:highlight w:val="none"/>
              </w:rPr>
              <w:t>评审项</w:t>
            </w:r>
          </w:p>
        </w:tc>
        <w:tc>
          <w:tcPr>
            <w:tcW w:w="3231" w:type="pct"/>
            <w:tcMar>
              <w:top w:w="0" w:type="dxa"/>
              <w:left w:w="108" w:type="dxa"/>
              <w:bottom w:w="0" w:type="dxa"/>
              <w:right w:w="108" w:type="dxa"/>
            </w:tcMar>
            <w:vAlign w:val="center"/>
          </w:tcPr>
          <w:p w14:paraId="124614A9">
            <w:pPr>
              <w:spacing w:line="360" w:lineRule="auto"/>
              <w:jc w:val="center"/>
              <w:rPr>
                <w:rFonts w:ascii="宋体" w:hAnsi="宋体"/>
                <w:color w:val="auto"/>
                <w:szCs w:val="21"/>
                <w:highlight w:val="none"/>
              </w:rPr>
            </w:pPr>
            <w:r>
              <w:rPr>
                <w:rFonts w:hint="eastAsia" w:ascii="宋体" w:hAnsi="宋体"/>
                <w:b/>
                <w:bCs/>
                <w:color w:val="auto"/>
                <w:szCs w:val="21"/>
                <w:highlight w:val="none"/>
              </w:rPr>
              <w:t>评审标准</w:t>
            </w:r>
          </w:p>
        </w:tc>
        <w:tc>
          <w:tcPr>
            <w:tcW w:w="368" w:type="pct"/>
            <w:tcMar>
              <w:top w:w="0" w:type="dxa"/>
              <w:left w:w="108" w:type="dxa"/>
              <w:bottom w:w="0" w:type="dxa"/>
              <w:right w:w="108" w:type="dxa"/>
            </w:tcMar>
            <w:vAlign w:val="center"/>
          </w:tcPr>
          <w:p w14:paraId="4A1A8916">
            <w:pPr>
              <w:spacing w:line="360" w:lineRule="auto"/>
              <w:jc w:val="center"/>
              <w:rPr>
                <w:rFonts w:ascii="宋体" w:hAnsi="宋体"/>
                <w:color w:val="auto"/>
                <w:szCs w:val="21"/>
                <w:highlight w:val="none"/>
              </w:rPr>
            </w:pPr>
            <w:r>
              <w:rPr>
                <w:rFonts w:hint="eastAsia" w:ascii="宋体" w:hAnsi="宋体"/>
                <w:b/>
                <w:bCs/>
                <w:color w:val="auto"/>
                <w:szCs w:val="21"/>
                <w:highlight w:val="none"/>
              </w:rPr>
              <w:t>最高分值</w:t>
            </w:r>
          </w:p>
        </w:tc>
      </w:tr>
      <w:tr w14:paraId="08AC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6" w:hRule="atLeast"/>
          <w:jc w:val="center"/>
        </w:trPr>
        <w:tc>
          <w:tcPr>
            <w:tcW w:w="281" w:type="pct"/>
            <w:tcMar>
              <w:top w:w="0" w:type="dxa"/>
              <w:left w:w="108" w:type="dxa"/>
              <w:bottom w:w="0" w:type="dxa"/>
              <w:right w:w="108" w:type="dxa"/>
            </w:tcMar>
            <w:vAlign w:val="center"/>
          </w:tcPr>
          <w:p w14:paraId="3AE5DF8F">
            <w:pPr>
              <w:spacing w:line="360" w:lineRule="auto"/>
              <w:jc w:val="center"/>
              <w:rPr>
                <w:rFonts w:ascii="宋体" w:hAnsi="宋体"/>
                <w:color w:val="auto"/>
                <w:szCs w:val="21"/>
                <w:highlight w:val="none"/>
              </w:rPr>
            </w:pPr>
            <w:r>
              <w:rPr>
                <w:rFonts w:hint="eastAsia" w:ascii="宋体" w:hAnsi="宋体"/>
                <w:b/>
                <w:bCs/>
                <w:color w:val="auto"/>
                <w:szCs w:val="21"/>
                <w:highlight w:val="none"/>
              </w:rPr>
              <w:t>1</w:t>
            </w:r>
          </w:p>
        </w:tc>
        <w:tc>
          <w:tcPr>
            <w:tcW w:w="529" w:type="pct"/>
            <w:tcMar>
              <w:top w:w="0" w:type="dxa"/>
              <w:left w:w="108" w:type="dxa"/>
              <w:bottom w:w="0" w:type="dxa"/>
              <w:right w:w="108" w:type="dxa"/>
            </w:tcMar>
            <w:vAlign w:val="center"/>
          </w:tcPr>
          <w:p w14:paraId="24E8F2C8">
            <w:pPr>
              <w:spacing w:line="360" w:lineRule="auto"/>
              <w:jc w:val="center"/>
              <w:rPr>
                <w:rFonts w:ascii="宋体" w:hAnsi="宋体"/>
                <w:b/>
                <w:bCs/>
                <w:color w:val="auto"/>
                <w:szCs w:val="21"/>
                <w:highlight w:val="none"/>
              </w:rPr>
            </w:pPr>
            <w:r>
              <w:rPr>
                <w:rFonts w:hint="eastAsia" w:ascii="宋体" w:hAnsi="宋体"/>
                <w:b/>
                <w:bCs/>
                <w:color w:val="auto"/>
                <w:szCs w:val="21"/>
                <w:highlight w:val="none"/>
              </w:rPr>
              <w:t>价格</w:t>
            </w:r>
          </w:p>
          <w:p w14:paraId="3AB1752B">
            <w:pPr>
              <w:spacing w:line="360" w:lineRule="auto"/>
              <w:jc w:val="center"/>
              <w:rPr>
                <w:rFonts w:ascii="宋体" w:hAnsi="宋体"/>
                <w:b/>
                <w:bCs/>
                <w:color w:val="auto"/>
                <w:szCs w:val="21"/>
                <w:highlight w:val="none"/>
              </w:rPr>
            </w:pPr>
            <w:r>
              <w:rPr>
                <w:rFonts w:hint="eastAsia" w:ascii="宋体" w:hAnsi="宋体"/>
                <w:b/>
                <w:bCs/>
                <w:color w:val="auto"/>
                <w:szCs w:val="21"/>
                <w:highlight w:val="none"/>
              </w:rPr>
              <w:t>（15分）</w:t>
            </w:r>
          </w:p>
        </w:tc>
        <w:tc>
          <w:tcPr>
            <w:tcW w:w="589" w:type="pct"/>
            <w:tcMar>
              <w:top w:w="0" w:type="dxa"/>
              <w:left w:w="108" w:type="dxa"/>
              <w:bottom w:w="0" w:type="dxa"/>
              <w:right w:w="108" w:type="dxa"/>
            </w:tcMar>
            <w:vAlign w:val="center"/>
          </w:tcPr>
          <w:p w14:paraId="483E213E">
            <w:pPr>
              <w:pStyle w:val="236"/>
              <w:spacing w:before="48"/>
              <w:rPr>
                <w:rFonts w:ascii="宋体" w:cs="宋体"/>
                <w:color w:val="auto"/>
                <w:kern w:val="0"/>
                <w:sz w:val="21"/>
                <w:szCs w:val="21"/>
                <w:highlight w:val="none"/>
              </w:rPr>
            </w:pPr>
            <w:r>
              <w:rPr>
                <w:rFonts w:hint="eastAsia" w:ascii="宋体" w:cs="宋体"/>
                <w:color w:val="auto"/>
                <w:kern w:val="0"/>
                <w:sz w:val="21"/>
                <w:szCs w:val="21"/>
                <w:highlight w:val="none"/>
              </w:rPr>
              <w:t>报价</w:t>
            </w:r>
          </w:p>
        </w:tc>
        <w:tc>
          <w:tcPr>
            <w:tcW w:w="3231" w:type="pct"/>
            <w:tcMar>
              <w:top w:w="0" w:type="dxa"/>
              <w:left w:w="108" w:type="dxa"/>
              <w:bottom w:w="0" w:type="dxa"/>
              <w:right w:w="108" w:type="dxa"/>
            </w:tcMar>
            <w:vAlign w:val="center"/>
          </w:tcPr>
          <w:p w14:paraId="0121DE7F">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采用低价优先法计算，即满足招标文件要求且投标价格最低的投标报价为评标基准价，其价格分为满分。</w:t>
            </w:r>
          </w:p>
          <w:p w14:paraId="570AF2BD">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本项目评标基准价为：（1-投标优惠率）的最低值。</w:t>
            </w:r>
          </w:p>
          <w:p w14:paraId="214823E3">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本项目其他投标人的投标报价为：1-投标优惠率。</w:t>
            </w:r>
          </w:p>
          <w:p w14:paraId="719D390F">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其他投标人的价格分统一按照下列公式计算：</w:t>
            </w:r>
          </w:p>
          <w:p w14:paraId="3C8C0C0C">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投标报价得分=(评标基准价/投标报价)×15（小数点保留两位）。</w:t>
            </w:r>
          </w:p>
          <w:p w14:paraId="169421CA">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如投标人A、B、C的投标优惠率分别为10%、15%、20%，投标人C所投20%的（1-20%）为评标基准价，投标人C的投标报价得分为15分，投标人B的投标报价得分为14.12分；投标人A的投标报价得分为13.33分。</w:t>
            </w:r>
          </w:p>
        </w:tc>
        <w:tc>
          <w:tcPr>
            <w:tcW w:w="368" w:type="pct"/>
            <w:tcMar>
              <w:top w:w="0" w:type="dxa"/>
              <w:left w:w="108" w:type="dxa"/>
              <w:bottom w:w="0" w:type="dxa"/>
              <w:right w:w="108" w:type="dxa"/>
            </w:tcMar>
            <w:vAlign w:val="center"/>
          </w:tcPr>
          <w:p w14:paraId="7BC55B6C">
            <w:pPr>
              <w:spacing w:line="360" w:lineRule="auto"/>
              <w:jc w:val="center"/>
              <w:rPr>
                <w:rFonts w:ascii="宋体" w:hAnsi="宋体"/>
                <w:b/>
                <w:bCs/>
                <w:color w:val="auto"/>
                <w:szCs w:val="21"/>
                <w:highlight w:val="none"/>
              </w:rPr>
            </w:pPr>
            <w:r>
              <w:rPr>
                <w:rFonts w:hint="eastAsia" w:ascii="宋体" w:hAnsi="宋体"/>
                <w:b/>
                <w:bCs/>
                <w:color w:val="auto"/>
                <w:szCs w:val="21"/>
                <w:highlight w:val="none"/>
              </w:rPr>
              <w:t>15</w:t>
            </w:r>
          </w:p>
        </w:tc>
      </w:tr>
      <w:tr w14:paraId="2956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81" w:type="pct"/>
            <w:tcMar>
              <w:top w:w="0" w:type="dxa"/>
              <w:left w:w="108" w:type="dxa"/>
              <w:bottom w:w="0" w:type="dxa"/>
              <w:right w:w="108" w:type="dxa"/>
            </w:tcMar>
            <w:vAlign w:val="center"/>
          </w:tcPr>
          <w:p w14:paraId="1CFCCB50">
            <w:pPr>
              <w:spacing w:line="360" w:lineRule="auto"/>
              <w:jc w:val="center"/>
              <w:rPr>
                <w:rFonts w:ascii="宋体" w:hAnsi="宋体"/>
                <w:b/>
                <w:bCs/>
                <w:color w:val="auto"/>
                <w:szCs w:val="21"/>
                <w:highlight w:val="none"/>
              </w:rPr>
            </w:pPr>
            <w:r>
              <w:rPr>
                <w:rFonts w:hint="eastAsia" w:ascii="宋体" w:hAnsi="宋体"/>
                <w:b/>
                <w:bCs/>
                <w:color w:val="auto"/>
                <w:szCs w:val="21"/>
                <w:highlight w:val="none"/>
              </w:rPr>
              <w:t>2</w:t>
            </w:r>
          </w:p>
        </w:tc>
        <w:tc>
          <w:tcPr>
            <w:tcW w:w="529" w:type="pct"/>
            <w:tcMar>
              <w:top w:w="0" w:type="dxa"/>
              <w:left w:w="108" w:type="dxa"/>
              <w:bottom w:w="0" w:type="dxa"/>
              <w:right w:w="108" w:type="dxa"/>
            </w:tcMar>
            <w:vAlign w:val="center"/>
          </w:tcPr>
          <w:p w14:paraId="1A6A0620">
            <w:pPr>
              <w:spacing w:line="360" w:lineRule="auto"/>
              <w:jc w:val="center"/>
              <w:rPr>
                <w:rFonts w:ascii="宋体" w:hAnsi="宋体"/>
                <w:b/>
                <w:bCs/>
                <w:color w:val="auto"/>
                <w:szCs w:val="21"/>
                <w:highlight w:val="none"/>
              </w:rPr>
            </w:pPr>
            <w:r>
              <w:rPr>
                <w:rFonts w:hint="eastAsia" w:ascii="宋体" w:hAnsi="宋体"/>
                <w:b/>
                <w:bCs/>
                <w:color w:val="auto"/>
                <w:szCs w:val="21"/>
                <w:highlight w:val="none"/>
              </w:rPr>
              <w:t>人员</w:t>
            </w:r>
          </w:p>
          <w:p w14:paraId="0D423668">
            <w:pPr>
              <w:spacing w:line="360" w:lineRule="auto"/>
              <w:jc w:val="center"/>
              <w:rPr>
                <w:rFonts w:ascii="宋体" w:hAnsi="宋体"/>
                <w:color w:val="auto"/>
                <w:szCs w:val="21"/>
                <w:highlight w:val="none"/>
              </w:rPr>
            </w:pPr>
            <w:r>
              <w:rPr>
                <w:rFonts w:hint="eastAsia" w:ascii="宋体" w:hAnsi="宋体"/>
                <w:b/>
                <w:bCs/>
                <w:color w:val="auto"/>
                <w:szCs w:val="21"/>
                <w:highlight w:val="none"/>
              </w:rPr>
              <w:t>（8分）</w:t>
            </w:r>
          </w:p>
        </w:tc>
        <w:tc>
          <w:tcPr>
            <w:tcW w:w="1137" w:type="dxa"/>
            <w:tcMar>
              <w:top w:w="0" w:type="dxa"/>
              <w:left w:w="108" w:type="dxa"/>
              <w:bottom w:w="0" w:type="dxa"/>
              <w:right w:w="108" w:type="dxa"/>
            </w:tcMar>
            <w:vAlign w:val="center"/>
          </w:tcPr>
          <w:p w14:paraId="3573FC8F">
            <w:pPr>
              <w:pStyle w:val="236"/>
              <w:spacing w:before="48"/>
              <w:rPr>
                <w:rFonts w:ascii="宋体" w:cs="宋体"/>
                <w:color w:val="auto"/>
                <w:kern w:val="0"/>
                <w:sz w:val="21"/>
                <w:szCs w:val="21"/>
                <w:highlight w:val="none"/>
              </w:rPr>
            </w:pPr>
            <w:r>
              <w:rPr>
                <w:rFonts w:hint="eastAsia" w:ascii="宋体" w:cs="宋体"/>
                <w:color w:val="auto"/>
                <w:kern w:val="0"/>
                <w:sz w:val="21"/>
                <w:szCs w:val="21"/>
                <w:highlight w:val="none"/>
              </w:rPr>
              <w:t>专业技术人员</w:t>
            </w:r>
          </w:p>
          <w:p w14:paraId="0383C8C8">
            <w:pPr>
              <w:pStyle w:val="236"/>
              <w:spacing w:before="48"/>
              <w:ind w:firstLine="420" w:firstLineChars="200"/>
              <w:rPr>
                <w:rFonts w:ascii="宋体" w:cs="宋体"/>
                <w:color w:val="auto"/>
                <w:kern w:val="0"/>
                <w:sz w:val="21"/>
                <w:szCs w:val="21"/>
                <w:highlight w:val="none"/>
              </w:rPr>
            </w:pPr>
          </w:p>
        </w:tc>
        <w:tc>
          <w:tcPr>
            <w:tcW w:w="6236" w:type="dxa"/>
            <w:tcMar>
              <w:top w:w="0" w:type="dxa"/>
              <w:left w:w="108" w:type="dxa"/>
              <w:bottom w:w="0" w:type="dxa"/>
              <w:right w:w="108" w:type="dxa"/>
            </w:tcMar>
            <w:vAlign w:val="center"/>
          </w:tcPr>
          <w:p w14:paraId="2FE0B7D3">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以投标人填列的《人员配置表》及提供司法部门颁发的司法鉴定人执业证，其中人员配置表中的司法鉴定人具有高级职称的每提供一个得2分；具有中级职称的每提供一个得1分；本项最多得8分。（提供聘用合同或者协议，及司法鉴定人执业证</w:t>
            </w:r>
            <w:r>
              <w:rPr>
                <w:rFonts w:hint="eastAsia" w:ascii="宋体" w:cs="宋体"/>
                <w:color w:val="auto"/>
                <w:kern w:val="0"/>
                <w:sz w:val="21"/>
                <w:szCs w:val="21"/>
                <w:highlight w:val="none"/>
                <w:lang w:eastAsia="zh-CN"/>
              </w:rPr>
              <w:t>扫描件</w:t>
            </w:r>
            <w:r>
              <w:rPr>
                <w:rFonts w:hint="eastAsia" w:ascii="宋体" w:cs="宋体"/>
                <w:color w:val="auto"/>
                <w:kern w:val="0"/>
                <w:sz w:val="21"/>
                <w:szCs w:val="21"/>
                <w:highlight w:val="none"/>
              </w:rPr>
              <w:t>加盖公章）</w:t>
            </w:r>
          </w:p>
        </w:tc>
        <w:tc>
          <w:tcPr>
            <w:tcW w:w="368" w:type="pct"/>
            <w:tcMar>
              <w:top w:w="0" w:type="dxa"/>
              <w:left w:w="108" w:type="dxa"/>
              <w:bottom w:w="0" w:type="dxa"/>
              <w:right w:w="108" w:type="dxa"/>
            </w:tcMar>
            <w:vAlign w:val="center"/>
          </w:tcPr>
          <w:p w14:paraId="2826FF2A">
            <w:pPr>
              <w:spacing w:line="360" w:lineRule="exact"/>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8</w:t>
            </w:r>
          </w:p>
        </w:tc>
      </w:tr>
      <w:tr w14:paraId="0265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1" w:type="pct"/>
            <w:tcMar>
              <w:top w:w="0" w:type="dxa"/>
              <w:left w:w="108" w:type="dxa"/>
              <w:bottom w:w="0" w:type="dxa"/>
              <w:right w:w="108" w:type="dxa"/>
            </w:tcMar>
            <w:vAlign w:val="center"/>
          </w:tcPr>
          <w:p w14:paraId="2708FAD1">
            <w:pPr>
              <w:spacing w:line="360" w:lineRule="auto"/>
              <w:jc w:val="center"/>
              <w:rPr>
                <w:rFonts w:ascii="宋体" w:hAnsi="宋体"/>
                <w:b/>
                <w:bCs/>
                <w:color w:val="auto"/>
                <w:szCs w:val="21"/>
                <w:highlight w:val="none"/>
              </w:rPr>
            </w:pPr>
            <w:r>
              <w:rPr>
                <w:rFonts w:hint="eastAsia" w:ascii="宋体" w:hAnsi="宋体"/>
                <w:b/>
                <w:bCs/>
                <w:color w:val="auto"/>
                <w:szCs w:val="21"/>
                <w:highlight w:val="none"/>
              </w:rPr>
              <w:t>3.1</w:t>
            </w:r>
          </w:p>
        </w:tc>
        <w:tc>
          <w:tcPr>
            <w:tcW w:w="529" w:type="pct"/>
            <w:tcMar>
              <w:top w:w="0" w:type="dxa"/>
              <w:left w:w="108" w:type="dxa"/>
              <w:bottom w:w="0" w:type="dxa"/>
              <w:right w:w="108" w:type="dxa"/>
            </w:tcMar>
            <w:vAlign w:val="center"/>
          </w:tcPr>
          <w:p w14:paraId="4D16FA47">
            <w:pPr>
              <w:spacing w:line="360" w:lineRule="exact"/>
              <w:jc w:val="center"/>
              <w:rPr>
                <w:rFonts w:ascii="宋体" w:hAnsi="宋体"/>
                <w:b/>
                <w:color w:val="auto"/>
                <w:szCs w:val="21"/>
                <w:highlight w:val="none"/>
              </w:rPr>
            </w:pPr>
            <w:r>
              <w:rPr>
                <w:rFonts w:ascii="宋体" w:hAnsi="宋体"/>
                <w:b/>
                <w:bCs/>
                <w:color w:val="auto"/>
                <w:szCs w:val="21"/>
                <w:highlight w:val="none"/>
              </w:rPr>
              <w:t>专业技术能力</w:t>
            </w:r>
            <w:r>
              <w:rPr>
                <w:rFonts w:hint="eastAsia" w:ascii="宋体" w:hAnsi="宋体"/>
                <w:b/>
                <w:color w:val="auto"/>
                <w:szCs w:val="21"/>
                <w:highlight w:val="none"/>
              </w:rPr>
              <w:t>（8分）</w:t>
            </w:r>
          </w:p>
        </w:tc>
        <w:tc>
          <w:tcPr>
            <w:tcW w:w="1137" w:type="dxa"/>
            <w:tcMar>
              <w:top w:w="0" w:type="dxa"/>
              <w:left w:w="108" w:type="dxa"/>
              <w:bottom w:w="0" w:type="dxa"/>
              <w:right w:w="108" w:type="dxa"/>
            </w:tcMar>
            <w:vAlign w:val="center"/>
          </w:tcPr>
          <w:p w14:paraId="6044FDE8">
            <w:pPr>
              <w:spacing w:line="360" w:lineRule="auto"/>
              <w:jc w:val="center"/>
              <w:rPr>
                <w:rFonts w:ascii="宋体" w:hAnsi="宋体"/>
                <w:color w:val="auto"/>
                <w:szCs w:val="21"/>
                <w:highlight w:val="none"/>
              </w:rPr>
            </w:pPr>
            <w:r>
              <w:rPr>
                <w:rFonts w:hint="eastAsia" w:ascii="宋体" w:hAnsi="宋体" w:eastAsia="宋体" w:cs="宋体"/>
                <w:color w:val="auto"/>
                <w:szCs w:val="21"/>
                <w:highlight w:val="none"/>
              </w:rPr>
              <w:t>专业技术能力</w:t>
            </w:r>
          </w:p>
        </w:tc>
        <w:tc>
          <w:tcPr>
            <w:tcW w:w="6236" w:type="dxa"/>
            <w:tcMar>
              <w:top w:w="0" w:type="dxa"/>
              <w:left w:w="108" w:type="dxa"/>
              <w:bottom w:w="0" w:type="dxa"/>
              <w:right w:w="108" w:type="dxa"/>
            </w:tcMar>
            <w:vAlign w:val="center"/>
          </w:tcPr>
          <w:p w14:paraId="7FCBFA35">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供应商近三年参加并通过司法部或国家认可委或司鉴院组织的相关专业司法鉴定能力验证或测量审核考核，成绩结果通知为满意的，每一项得1分，本项最高得8分。（提供相关证明材料</w:t>
            </w:r>
            <w:r>
              <w:rPr>
                <w:rFonts w:hint="eastAsia" w:ascii="宋体" w:cs="宋体"/>
                <w:color w:val="auto"/>
                <w:kern w:val="0"/>
                <w:sz w:val="21"/>
                <w:szCs w:val="21"/>
                <w:highlight w:val="none"/>
                <w:lang w:eastAsia="zh-CN"/>
              </w:rPr>
              <w:t>扫描件</w:t>
            </w:r>
            <w:r>
              <w:rPr>
                <w:rFonts w:hint="eastAsia" w:ascii="宋体" w:cs="宋体"/>
                <w:color w:val="auto"/>
                <w:kern w:val="0"/>
                <w:sz w:val="21"/>
                <w:szCs w:val="21"/>
                <w:highlight w:val="none"/>
              </w:rPr>
              <w:t>加盖公章）</w:t>
            </w:r>
          </w:p>
        </w:tc>
        <w:tc>
          <w:tcPr>
            <w:tcW w:w="712" w:type="dxa"/>
            <w:tcMar>
              <w:top w:w="0" w:type="dxa"/>
              <w:left w:w="108" w:type="dxa"/>
              <w:bottom w:w="0" w:type="dxa"/>
              <w:right w:w="108" w:type="dxa"/>
            </w:tcMar>
            <w:vAlign w:val="center"/>
          </w:tcPr>
          <w:p w14:paraId="5743656C">
            <w:pPr>
              <w:spacing w:line="360" w:lineRule="exact"/>
              <w:jc w:val="center"/>
              <w:rPr>
                <w:rFonts w:ascii="宋体" w:hAnsi="宋体"/>
                <w:b/>
                <w:bCs/>
                <w:color w:val="auto"/>
                <w:szCs w:val="21"/>
                <w:highlight w:val="none"/>
              </w:rPr>
            </w:pPr>
            <w:r>
              <w:rPr>
                <w:rFonts w:hint="eastAsia" w:ascii="仿宋" w:hAnsi="仿宋" w:eastAsia="仿宋" w:cs="仿宋"/>
                <w:b/>
                <w:bCs/>
                <w:color w:val="auto"/>
                <w:szCs w:val="21"/>
                <w:highlight w:val="none"/>
              </w:rPr>
              <w:t>8</w:t>
            </w:r>
          </w:p>
        </w:tc>
      </w:tr>
      <w:tr w14:paraId="2A64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1" w:type="pct"/>
            <w:tcMar>
              <w:top w:w="0" w:type="dxa"/>
              <w:left w:w="108" w:type="dxa"/>
              <w:bottom w:w="0" w:type="dxa"/>
              <w:right w:w="108" w:type="dxa"/>
            </w:tcMar>
            <w:vAlign w:val="center"/>
          </w:tcPr>
          <w:p w14:paraId="5C425682">
            <w:pPr>
              <w:spacing w:line="360" w:lineRule="auto"/>
              <w:jc w:val="center"/>
              <w:rPr>
                <w:rFonts w:ascii="宋体" w:hAnsi="宋体"/>
                <w:b/>
                <w:bCs/>
                <w:color w:val="auto"/>
                <w:szCs w:val="21"/>
                <w:highlight w:val="none"/>
              </w:rPr>
            </w:pPr>
            <w:r>
              <w:rPr>
                <w:rFonts w:hint="eastAsia" w:ascii="宋体" w:hAnsi="宋体"/>
                <w:b/>
                <w:bCs/>
                <w:color w:val="auto"/>
                <w:szCs w:val="21"/>
                <w:highlight w:val="none"/>
              </w:rPr>
              <w:t>4.1</w:t>
            </w:r>
          </w:p>
        </w:tc>
        <w:tc>
          <w:tcPr>
            <w:tcW w:w="529" w:type="pct"/>
            <w:tcMar>
              <w:top w:w="0" w:type="dxa"/>
              <w:left w:w="108" w:type="dxa"/>
              <w:bottom w:w="0" w:type="dxa"/>
              <w:right w:w="108" w:type="dxa"/>
            </w:tcMar>
            <w:vAlign w:val="center"/>
          </w:tcPr>
          <w:p w14:paraId="13B41D6E">
            <w:pPr>
              <w:spacing w:line="360" w:lineRule="exact"/>
              <w:jc w:val="center"/>
              <w:rPr>
                <w:rFonts w:ascii="宋体" w:hAnsi="宋体"/>
                <w:b/>
                <w:bCs/>
                <w:color w:val="auto"/>
                <w:szCs w:val="21"/>
                <w:highlight w:val="none"/>
              </w:rPr>
            </w:pPr>
            <w:r>
              <w:rPr>
                <w:rFonts w:hint="eastAsia" w:ascii="宋体" w:hAnsi="宋体"/>
                <w:b/>
                <w:bCs/>
                <w:color w:val="auto"/>
                <w:szCs w:val="21"/>
                <w:highlight w:val="none"/>
              </w:rPr>
              <w:t>车辆投入</w:t>
            </w:r>
          </w:p>
          <w:p w14:paraId="6AF1CC7D">
            <w:pPr>
              <w:spacing w:line="360" w:lineRule="exact"/>
              <w:jc w:val="center"/>
              <w:rPr>
                <w:rFonts w:ascii="宋体" w:hAnsi="宋体" w:eastAsia="宋体"/>
                <w:b/>
                <w:color w:val="auto"/>
                <w:szCs w:val="21"/>
                <w:highlight w:val="none"/>
              </w:rPr>
            </w:pPr>
            <w:r>
              <w:rPr>
                <w:rFonts w:hint="eastAsia" w:ascii="宋体" w:hAnsi="宋体"/>
                <w:b/>
                <w:bCs/>
                <w:color w:val="auto"/>
                <w:szCs w:val="21"/>
                <w:highlight w:val="none"/>
              </w:rPr>
              <w:t>（4分）</w:t>
            </w:r>
          </w:p>
        </w:tc>
        <w:tc>
          <w:tcPr>
            <w:tcW w:w="589" w:type="pct"/>
            <w:tcMar>
              <w:top w:w="0" w:type="dxa"/>
              <w:left w:w="108" w:type="dxa"/>
              <w:bottom w:w="0" w:type="dxa"/>
              <w:right w:w="108" w:type="dxa"/>
            </w:tcMar>
            <w:vAlign w:val="center"/>
          </w:tcPr>
          <w:p w14:paraId="46EE8E2E">
            <w:pPr>
              <w:spacing w:line="360" w:lineRule="auto"/>
              <w:jc w:val="center"/>
              <w:rPr>
                <w:rFonts w:ascii="宋体" w:hAnsi="宋体"/>
                <w:color w:val="auto"/>
                <w:szCs w:val="21"/>
                <w:highlight w:val="none"/>
              </w:rPr>
            </w:pPr>
            <w:r>
              <w:rPr>
                <w:rFonts w:hint="eastAsia" w:ascii="宋体" w:hAnsi="宋体"/>
                <w:color w:val="auto"/>
                <w:szCs w:val="21"/>
                <w:highlight w:val="none"/>
              </w:rPr>
              <w:t>车辆</w:t>
            </w:r>
          </w:p>
        </w:tc>
        <w:tc>
          <w:tcPr>
            <w:tcW w:w="3231" w:type="pct"/>
            <w:tcMar>
              <w:top w:w="0" w:type="dxa"/>
              <w:left w:w="108" w:type="dxa"/>
              <w:bottom w:w="0" w:type="dxa"/>
              <w:right w:w="108" w:type="dxa"/>
            </w:tcMar>
            <w:vAlign w:val="center"/>
          </w:tcPr>
          <w:p w14:paraId="6BBDE177">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供应商提供拟投入本项目自有或租赁车辆证明文件（有效期内的机动车行驶证</w:t>
            </w:r>
            <w:r>
              <w:rPr>
                <w:rFonts w:hint="eastAsia" w:ascii="宋体" w:cs="宋体"/>
                <w:color w:val="auto"/>
                <w:kern w:val="0"/>
                <w:sz w:val="21"/>
                <w:szCs w:val="21"/>
                <w:highlight w:val="none"/>
                <w:lang w:eastAsia="zh-CN"/>
              </w:rPr>
              <w:t>扫描件</w:t>
            </w:r>
            <w:r>
              <w:rPr>
                <w:rFonts w:hint="eastAsia" w:ascii="宋体" w:cs="宋体"/>
                <w:color w:val="auto"/>
                <w:kern w:val="0"/>
                <w:sz w:val="21"/>
                <w:szCs w:val="21"/>
                <w:highlight w:val="none"/>
                <w:lang w:val="en-US" w:eastAsia="zh-CN"/>
              </w:rPr>
              <w:t>加盖公章</w:t>
            </w:r>
            <w:bookmarkStart w:id="37" w:name="_GoBack"/>
            <w:bookmarkEnd w:id="37"/>
            <w:r>
              <w:rPr>
                <w:rFonts w:hint="eastAsia" w:ascii="宋体" w:cs="宋体"/>
                <w:color w:val="auto"/>
                <w:kern w:val="0"/>
                <w:sz w:val="21"/>
                <w:szCs w:val="21"/>
                <w:highlight w:val="none"/>
              </w:rPr>
              <w:t>，所有人名称须与供应商名称一致或者提供租赁合同），否则不得分。</w:t>
            </w:r>
          </w:p>
          <w:p w14:paraId="258B5D0D">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供应商拟投入本项目机动车不足2辆，得0分；2辆的得1分，每增加1辆加1分，最高得4分。</w:t>
            </w:r>
          </w:p>
        </w:tc>
        <w:tc>
          <w:tcPr>
            <w:tcW w:w="368" w:type="pct"/>
            <w:tcMar>
              <w:top w:w="0" w:type="dxa"/>
              <w:left w:w="108" w:type="dxa"/>
              <w:bottom w:w="0" w:type="dxa"/>
              <w:right w:w="108" w:type="dxa"/>
            </w:tcMar>
            <w:vAlign w:val="center"/>
          </w:tcPr>
          <w:p w14:paraId="43654EE0">
            <w:pPr>
              <w:spacing w:line="360" w:lineRule="auto"/>
              <w:jc w:val="center"/>
              <w:rPr>
                <w:rFonts w:ascii="宋体" w:hAnsi="宋体"/>
                <w:b/>
                <w:bCs/>
                <w:color w:val="auto"/>
                <w:szCs w:val="21"/>
                <w:highlight w:val="none"/>
              </w:rPr>
            </w:pPr>
            <w:r>
              <w:rPr>
                <w:rFonts w:hint="eastAsia" w:ascii="宋体" w:hAnsi="宋体"/>
                <w:b/>
                <w:bCs/>
                <w:color w:val="auto"/>
                <w:szCs w:val="21"/>
                <w:highlight w:val="none"/>
              </w:rPr>
              <w:t>4</w:t>
            </w:r>
          </w:p>
        </w:tc>
      </w:tr>
      <w:tr w14:paraId="02C9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5" w:hRule="atLeast"/>
          <w:jc w:val="center"/>
        </w:trPr>
        <w:tc>
          <w:tcPr>
            <w:tcW w:w="281" w:type="pct"/>
            <w:tcMar>
              <w:top w:w="0" w:type="dxa"/>
              <w:left w:w="108" w:type="dxa"/>
              <w:bottom w:w="0" w:type="dxa"/>
              <w:right w:w="108" w:type="dxa"/>
            </w:tcMar>
            <w:vAlign w:val="center"/>
          </w:tcPr>
          <w:p w14:paraId="624D3C5F">
            <w:pPr>
              <w:spacing w:line="360" w:lineRule="auto"/>
              <w:jc w:val="center"/>
              <w:rPr>
                <w:rFonts w:ascii="宋体" w:hAnsi="宋体"/>
                <w:b/>
                <w:bCs/>
                <w:color w:val="auto"/>
                <w:szCs w:val="21"/>
                <w:highlight w:val="none"/>
              </w:rPr>
            </w:pPr>
            <w:r>
              <w:rPr>
                <w:rFonts w:hint="eastAsia" w:ascii="宋体" w:hAnsi="宋体"/>
                <w:b/>
                <w:bCs/>
                <w:color w:val="auto"/>
                <w:szCs w:val="21"/>
                <w:highlight w:val="none"/>
              </w:rPr>
              <w:t>5.1</w:t>
            </w:r>
          </w:p>
        </w:tc>
        <w:tc>
          <w:tcPr>
            <w:tcW w:w="529" w:type="pct"/>
            <w:tcMar>
              <w:top w:w="0" w:type="dxa"/>
              <w:left w:w="108" w:type="dxa"/>
              <w:bottom w:w="0" w:type="dxa"/>
              <w:right w:w="108" w:type="dxa"/>
            </w:tcMar>
            <w:vAlign w:val="center"/>
          </w:tcPr>
          <w:p w14:paraId="17ED95E8">
            <w:pPr>
              <w:spacing w:line="360" w:lineRule="exact"/>
              <w:jc w:val="center"/>
              <w:rPr>
                <w:rFonts w:ascii="宋体" w:hAnsi="宋体"/>
                <w:b/>
                <w:bCs/>
                <w:color w:val="auto"/>
                <w:szCs w:val="21"/>
                <w:highlight w:val="none"/>
              </w:rPr>
            </w:pPr>
            <w:r>
              <w:rPr>
                <w:rFonts w:hint="eastAsia" w:ascii="宋体" w:hAnsi="宋体"/>
                <w:b/>
                <w:bCs/>
                <w:color w:val="auto"/>
                <w:szCs w:val="21"/>
                <w:highlight w:val="none"/>
              </w:rPr>
              <w:t>办公场所</w:t>
            </w:r>
          </w:p>
          <w:p w14:paraId="4710A679">
            <w:pPr>
              <w:spacing w:line="360" w:lineRule="exact"/>
              <w:jc w:val="center"/>
              <w:rPr>
                <w:rFonts w:ascii="宋体" w:hAnsi="宋体"/>
                <w:b/>
                <w:bCs/>
                <w:color w:val="auto"/>
                <w:szCs w:val="21"/>
                <w:highlight w:val="none"/>
              </w:rPr>
            </w:pPr>
            <w:r>
              <w:rPr>
                <w:rFonts w:hint="eastAsia" w:ascii="宋体" w:hAnsi="宋体"/>
                <w:b/>
                <w:bCs/>
                <w:color w:val="auto"/>
                <w:szCs w:val="21"/>
                <w:highlight w:val="none"/>
              </w:rPr>
              <w:t>（6分）</w:t>
            </w:r>
          </w:p>
        </w:tc>
        <w:tc>
          <w:tcPr>
            <w:tcW w:w="589" w:type="pct"/>
            <w:tcMar>
              <w:top w:w="0" w:type="dxa"/>
              <w:left w:w="108" w:type="dxa"/>
              <w:bottom w:w="0" w:type="dxa"/>
              <w:right w:w="108" w:type="dxa"/>
            </w:tcMar>
            <w:vAlign w:val="center"/>
          </w:tcPr>
          <w:p w14:paraId="3C75FF8C">
            <w:pPr>
              <w:spacing w:line="360" w:lineRule="auto"/>
              <w:jc w:val="center"/>
              <w:rPr>
                <w:rFonts w:ascii="宋体" w:hAnsi="宋体"/>
                <w:color w:val="auto"/>
                <w:szCs w:val="21"/>
                <w:highlight w:val="none"/>
              </w:rPr>
            </w:pPr>
            <w:r>
              <w:rPr>
                <w:rFonts w:hint="eastAsia" w:ascii="宋体" w:hAnsi="宋体"/>
                <w:color w:val="auto"/>
                <w:szCs w:val="21"/>
                <w:highlight w:val="none"/>
              </w:rPr>
              <w:t>办公场所</w:t>
            </w:r>
          </w:p>
        </w:tc>
        <w:tc>
          <w:tcPr>
            <w:tcW w:w="3231" w:type="pct"/>
            <w:tcMar>
              <w:top w:w="0" w:type="dxa"/>
              <w:left w:w="108" w:type="dxa"/>
              <w:bottom w:w="0" w:type="dxa"/>
              <w:right w:w="108" w:type="dxa"/>
            </w:tcMar>
            <w:vAlign w:val="center"/>
          </w:tcPr>
          <w:p w14:paraId="48A66991">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提供供应商的办公及实验场地的租赁合同或所有权证明文件</w:t>
            </w:r>
            <w:r>
              <w:rPr>
                <w:rFonts w:hint="eastAsia" w:ascii="宋体" w:cs="宋体"/>
                <w:color w:val="auto"/>
                <w:kern w:val="0"/>
                <w:sz w:val="21"/>
                <w:szCs w:val="21"/>
                <w:highlight w:val="none"/>
                <w:lang w:eastAsia="zh-CN"/>
              </w:rPr>
              <w:t>扫描件</w:t>
            </w:r>
            <w:r>
              <w:rPr>
                <w:rFonts w:hint="eastAsia" w:ascii="宋体" w:cs="宋体"/>
                <w:color w:val="auto"/>
                <w:kern w:val="0"/>
                <w:sz w:val="21"/>
                <w:szCs w:val="21"/>
                <w:highlight w:val="none"/>
              </w:rPr>
              <w:t>公章，否则不得分。</w:t>
            </w:r>
          </w:p>
          <w:p w14:paraId="411C548D">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办公+实验场地面积200平米以下（含），2分；</w:t>
            </w:r>
          </w:p>
          <w:p w14:paraId="68EF2131">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办公+实验场地面积200平米-400平米（含），得4分；</w:t>
            </w:r>
          </w:p>
          <w:p w14:paraId="75124355">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办公+实验场地面积400平米以上，得6分；</w:t>
            </w:r>
          </w:p>
          <w:p w14:paraId="09CEEE68">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注：供应商需在投标文件中提供所有权证明文件</w:t>
            </w:r>
            <w:r>
              <w:rPr>
                <w:rFonts w:hint="eastAsia" w:ascii="宋体" w:cs="宋体"/>
                <w:color w:val="auto"/>
                <w:kern w:val="0"/>
                <w:sz w:val="21"/>
                <w:szCs w:val="21"/>
                <w:highlight w:val="none"/>
                <w:lang w:eastAsia="zh-CN"/>
              </w:rPr>
              <w:t>扫描件</w:t>
            </w:r>
            <w:r>
              <w:rPr>
                <w:rFonts w:hint="eastAsia" w:ascii="宋体" w:cs="宋体"/>
                <w:color w:val="auto"/>
                <w:kern w:val="0"/>
                <w:sz w:val="21"/>
                <w:szCs w:val="21"/>
                <w:highlight w:val="none"/>
              </w:rPr>
              <w:t>或租赁合同</w:t>
            </w:r>
            <w:r>
              <w:rPr>
                <w:rFonts w:hint="eastAsia" w:ascii="宋体" w:cs="宋体"/>
                <w:color w:val="auto"/>
                <w:kern w:val="0"/>
                <w:sz w:val="21"/>
                <w:szCs w:val="21"/>
                <w:highlight w:val="none"/>
                <w:lang w:eastAsia="zh-CN"/>
              </w:rPr>
              <w:t>扫描件</w:t>
            </w:r>
            <w:r>
              <w:rPr>
                <w:rFonts w:hint="eastAsia" w:ascii="宋体" w:cs="宋体"/>
                <w:color w:val="auto"/>
                <w:kern w:val="0"/>
                <w:sz w:val="21"/>
                <w:szCs w:val="21"/>
                <w:highlight w:val="none"/>
              </w:rPr>
              <w:t>，所有权人名称须与供应商名称一致。</w:t>
            </w:r>
          </w:p>
        </w:tc>
        <w:tc>
          <w:tcPr>
            <w:tcW w:w="368" w:type="pct"/>
            <w:tcMar>
              <w:top w:w="0" w:type="dxa"/>
              <w:left w:w="108" w:type="dxa"/>
              <w:bottom w:w="0" w:type="dxa"/>
              <w:right w:w="108" w:type="dxa"/>
            </w:tcMar>
            <w:vAlign w:val="center"/>
          </w:tcPr>
          <w:p w14:paraId="6C41C151">
            <w:pPr>
              <w:spacing w:line="360" w:lineRule="auto"/>
              <w:jc w:val="center"/>
              <w:rPr>
                <w:rFonts w:ascii="宋体" w:hAnsi="宋体"/>
                <w:b/>
                <w:bCs/>
                <w:color w:val="auto"/>
                <w:szCs w:val="21"/>
                <w:highlight w:val="none"/>
              </w:rPr>
            </w:pPr>
            <w:r>
              <w:rPr>
                <w:rFonts w:hint="eastAsia" w:ascii="宋体" w:hAnsi="宋体"/>
                <w:b/>
                <w:bCs/>
                <w:color w:val="auto"/>
                <w:szCs w:val="21"/>
                <w:highlight w:val="none"/>
              </w:rPr>
              <w:t>6</w:t>
            </w:r>
          </w:p>
        </w:tc>
      </w:tr>
      <w:tr w14:paraId="473B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1" w:type="pct"/>
            <w:tcMar>
              <w:top w:w="0" w:type="dxa"/>
              <w:left w:w="108" w:type="dxa"/>
              <w:bottom w:w="0" w:type="dxa"/>
              <w:right w:w="108" w:type="dxa"/>
            </w:tcMar>
            <w:vAlign w:val="center"/>
          </w:tcPr>
          <w:p w14:paraId="751921F5">
            <w:pPr>
              <w:spacing w:line="360" w:lineRule="auto"/>
              <w:jc w:val="center"/>
              <w:rPr>
                <w:rFonts w:ascii="宋体" w:hAnsi="宋体"/>
                <w:b/>
                <w:bCs/>
                <w:color w:val="auto"/>
                <w:szCs w:val="21"/>
                <w:highlight w:val="none"/>
              </w:rPr>
            </w:pPr>
            <w:r>
              <w:rPr>
                <w:rFonts w:hint="eastAsia" w:ascii="宋体" w:hAnsi="宋体"/>
                <w:b/>
                <w:bCs/>
                <w:color w:val="auto"/>
                <w:szCs w:val="21"/>
                <w:highlight w:val="none"/>
              </w:rPr>
              <w:t>6.1</w:t>
            </w:r>
          </w:p>
        </w:tc>
        <w:tc>
          <w:tcPr>
            <w:tcW w:w="529" w:type="pct"/>
            <w:tcMar>
              <w:top w:w="0" w:type="dxa"/>
              <w:left w:w="108" w:type="dxa"/>
              <w:bottom w:w="0" w:type="dxa"/>
              <w:right w:w="108" w:type="dxa"/>
            </w:tcMar>
            <w:vAlign w:val="center"/>
          </w:tcPr>
          <w:p w14:paraId="4628F45F">
            <w:pPr>
              <w:spacing w:line="360" w:lineRule="exact"/>
              <w:jc w:val="center"/>
              <w:rPr>
                <w:rFonts w:ascii="宋体" w:hAnsi="宋体"/>
                <w:b/>
                <w:bCs/>
                <w:color w:val="auto"/>
                <w:szCs w:val="21"/>
                <w:highlight w:val="none"/>
              </w:rPr>
            </w:pPr>
            <w:r>
              <w:rPr>
                <w:rFonts w:hint="eastAsia" w:ascii="宋体" w:hAnsi="宋体"/>
                <w:b/>
                <w:bCs/>
                <w:color w:val="auto"/>
                <w:szCs w:val="21"/>
                <w:highlight w:val="none"/>
              </w:rPr>
              <w:t>供应商业绩</w:t>
            </w:r>
          </w:p>
          <w:p w14:paraId="29D4525B">
            <w:pPr>
              <w:spacing w:line="360" w:lineRule="exact"/>
              <w:jc w:val="center"/>
              <w:rPr>
                <w:rFonts w:ascii="宋体" w:hAnsi="宋体"/>
                <w:b/>
                <w:bCs/>
                <w:color w:val="auto"/>
                <w:szCs w:val="21"/>
                <w:highlight w:val="none"/>
              </w:rPr>
            </w:pPr>
            <w:r>
              <w:rPr>
                <w:rFonts w:hint="eastAsia" w:ascii="宋体" w:hAnsi="宋体"/>
                <w:b/>
                <w:bCs/>
                <w:color w:val="auto"/>
                <w:szCs w:val="21"/>
                <w:highlight w:val="none"/>
              </w:rPr>
              <w:t>（9分）</w:t>
            </w:r>
          </w:p>
        </w:tc>
        <w:tc>
          <w:tcPr>
            <w:tcW w:w="589" w:type="pct"/>
            <w:tcMar>
              <w:top w:w="0" w:type="dxa"/>
              <w:left w:w="108" w:type="dxa"/>
              <w:bottom w:w="0" w:type="dxa"/>
              <w:right w:w="108" w:type="dxa"/>
            </w:tcMar>
            <w:vAlign w:val="center"/>
          </w:tcPr>
          <w:p w14:paraId="1BFD36B8">
            <w:pPr>
              <w:spacing w:line="360" w:lineRule="auto"/>
              <w:jc w:val="center"/>
              <w:rPr>
                <w:rFonts w:ascii="宋体" w:hAnsi="宋体"/>
                <w:color w:val="auto"/>
                <w:szCs w:val="21"/>
                <w:highlight w:val="none"/>
              </w:rPr>
            </w:pPr>
            <w:r>
              <w:rPr>
                <w:rFonts w:hint="eastAsia" w:ascii="宋体" w:hAnsi="宋体"/>
                <w:color w:val="auto"/>
                <w:szCs w:val="21"/>
                <w:highlight w:val="none"/>
              </w:rPr>
              <w:t>业绩</w:t>
            </w:r>
          </w:p>
        </w:tc>
        <w:tc>
          <w:tcPr>
            <w:tcW w:w="3231" w:type="pct"/>
            <w:tcMar>
              <w:top w:w="0" w:type="dxa"/>
              <w:left w:w="108" w:type="dxa"/>
              <w:bottom w:w="0" w:type="dxa"/>
              <w:right w:w="108" w:type="dxa"/>
            </w:tcMar>
            <w:vAlign w:val="center"/>
          </w:tcPr>
          <w:p w14:paraId="1C125F41">
            <w:pPr>
              <w:pStyle w:val="236"/>
              <w:spacing w:before="48"/>
              <w:ind w:firstLine="420" w:firstLineChars="200"/>
              <w:jc w:val="both"/>
              <w:rPr>
                <w:rFonts w:ascii="宋体" w:cs="宋体"/>
                <w:color w:val="auto"/>
                <w:kern w:val="0"/>
                <w:sz w:val="21"/>
                <w:szCs w:val="21"/>
                <w:highlight w:val="none"/>
              </w:rPr>
            </w:pPr>
            <w:bookmarkStart w:id="27" w:name="OLE_LINK3"/>
            <w:bookmarkStart w:id="28" w:name="OLE_LINK4"/>
            <w:r>
              <w:rPr>
                <w:rFonts w:hint="eastAsia" w:ascii="宋体" w:cs="宋体"/>
                <w:color w:val="auto"/>
                <w:kern w:val="0"/>
                <w:sz w:val="21"/>
                <w:szCs w:val="21"/>
                <w:highlight w:val="none"/>
              </w:rPr>
              <w:t>供应商</w:t>
            </w:r>
            <w:bookmarkEnd w:id="27"/>
            <w:bookmarkEnd w:id="28"/>
            <w:r>
              <w:rPr>
                <w:rFonts w:hint="eastAsia" w:ascii="宋体" w:cs="宋体"/>
                <w:color w:val="auto"/>
                <w:kern w:val="0"/>
                <w:sz w:val="21"/>
                <w:szCs w:val="21"/>
                <w:highlight w:val="none"/>
              </w:rPr>
              <w:t>自2021年1月1日承担过相关的司法鉴定项目业绩的，提供的证明材料均不得遮挡涂黑，否则不予认定加分。供应方需提供中标/成交通知书</w:t>
            </w:r>
            <w:r>
              <w:rPr>
                <w:rFonts w:hint="eastAsia" w:ascii="宋体" w:cs="宋体"/>
                <w:color w:val="auto"/>
                <w:kern w:val="0"/>
                <w:sz w:val="21"/>
                <w:szCs w:val="21"/>
                <w:highlight w:val="none"/>
                <w:lang w:eastAsia="zh-CN"/>
              </w:rPr>
              <w:t>扫描件</w:t>
            </w:r>
            <w:r>
              <w:rPr>
                <w:rFonts w:hint="eastAsia" w:ascii="宋体" w:cs="宋体"/>
                <w:color w:val="auto"/>
                <w:kern w:val="0"/>
                <w:sz w:val="21"/>
                <w:szCs w:val="21"/>
                <w:highlight w:val="none"/>
              </w:rPr>
              <w:t>或合同</w:t>
            </w:r>
            <w:r>
              <w:rPr>
                <w:rFonts w:hint="eastAsia" w:ascii="宋体" w:cs="宋体"/>
                <w:color w:val="auto"/>
                <w:kern w:val="0"/>
                <w:sz w:val="21"/>
                <w:szCs w:val="21"/>
                <w:highlight w:val="none"/>
                <w:lang w:eastAsia="zh-CN"/>
              </w:rPr>
              <w:t>扫描件</w:t>
            </w:r>
            <w:r>
              <w:rPr>
                <w:rFonts w:hint="eastAsia" w:ascii="宋体" w:cs="宋体"/>
                <w:color w:val="auto"/>
                <w:kern w:val="0"/>
                <w:sz w:val="21"/>
                <w:szCs w:val="21"/>
                <w:highlight w:val="none"/>
              </w:rPr>
              <w:t>（包括合同金额、买卖双方名称及盖章）。</w:t>
            </w:r>
          </w:p>
          <w:p w14:paraId="0623358D">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每有1项业绩得3分，最高得9分。（提供相关证明材料</w:t>
            </w:r>
            <w:r>
              <w:rPr>
                <w:rFonts w:hint="eastAsia" w:ascii="宋体" w:cs="宋体"/>
                <w:color w:val="auto"/>
                <w:kern w:val="0"/>
                <w:sz w:val="21"/>
                <w:szCs w:val="21"/>
                <w:highlight w:val="none"/>
                <w:lang w:eastAsia="zh-CN"/>
              </w:rPr>
              <w:t>扫描件</w:t>
            </w:r>
            <w:r>
              <w:rPr>
                <w:rFonts w:hint="eastAsia" w:ascii="宋体" w:cs="宋体"/>
                <w:color w:val="auto"/>
                <w:kern w:val="0"/>
                <w:sz w:val="21"/>
                <w:szCs w:val="21"/>
                <w:highlight w:val="none"/>
              </w:rPr>
              <w:t>加盖公章）</w:t>
            </w:r>
          </w:p>
        </w:tc>
        <w:tc>
          <w:tcPr>
            <w:tcW w:w="368" w:type="pct"/>
            <w:tcMar>
              <w:top w:w="0" w:type="dxa"/>
              <w:left w:w="108" w:type="dxa"/>
              <w:bottom w:w="0" w:type="dxa"/>
              <w:right w:w="108" w:type="dxa"/>
            </w:tcMar>
            <w:vAlign w:val="center"/>
          </w:tcPr>
          <w:p w14:paraId="5331E52E">
            <w:pPr>
              <w:spacing w:line="360" w:lineRule="auto"/>
              <w:jc w:val="center"/>
              <w:rPr>
                <w:rFonts w:ascii="宋体" w:hAnsi="宋体"/>
                <w:b/>
                <w:bCs/>
                <w:color w:val="auto"/>
                <w:szCs w:val="21"/>
                <w:highlight w:val="none"/>
              </w:rPr>
            </w:pPr>
            <w:r>
              <w:rPr>
                <w:rFonts w:hint="eastAsia" w:ascii="宋体" w:hAnsi="宋体"/>
                <w:b/>
                <w:bCs/>
                <w:color w:val="auto"/>
                <w:szCs w:val="21"/>
                <w:highlight w:val="none"/>
              </w:rPr>
              <w:t>9</w:t>
            </w:r>
          </w:p>
        </w:tc>
      </w:tr>
      <w:tr w14:paraId="21A9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8" w:hRule="atLeast"/>
          <w:jc w:val="center"/>
        </w:trPr>
        <w:tc>
          <w:tcPr>
            <w:tcW w:w="281" w:type="pct"/>
            <w:tcMar>
              <w:top w:w="0" w:type="dxa"/>
              <w:left w:w="108" w:type="dxa"/>
              <w:bottom w:w="0" w:type="dxa"/>
              <w:right w:w="108" w:type="dxa"/>
            </w:tcMar>
            <w:vAlign w:val="center"/>
          </w:tcPr>
          <w:p w14:paraId="1BE23047">
            <w:pPr>
              <w:spacing w:line="360" w:lineRule="auto"/>
              <w:jc w:val="center"/>
              <w:rPr>
                <w:rFonts w:ascii="宋体" w:hAnsi="宋体"/>
                <w:b/>
                <w:bCs/>
                <w:color w:val="auto"/>
                <w:szCs w:val="21"/>
                <w:highlight w:val="none"/>
              </w:rPr>
            </w:pPr>
            <w:r>
              <w:rPr>
                <w:rFonts w:hint="eastAsia" w:ascii="宋体" w:hAnsi="宋体"/>
                <w:b/>
                <w:bCs/>
                <w:color w:val="auto"/>
                <w:szCs w:val="21"/>
                <w:highlight w:val="none"/>
              </w:rPr>
              <w:t>7.1</w:t>
            </w:r>
          </w:p>
        </w:tc>
        <w:tc>
          <w:tcPr>
            <w:tcW w:w="529" w:type="pct"/>
            <w:vMerge w:val="restart"/>
            <w:tcMar>
              <w:top w:w="0" w:type="dxa"/>
              <w:left w:w="108" w:type="dxa"/>
              <w:bottom w:w="0" w:type="dxa"/>
              <w:right w:w="108" w:type="dxa"/>
            </w:tcMar>
            <w:vAlign w:val="center"/>
          </w:tcPr>
          <w:p w14:paraId="3569CA92">
            <w:pPr>
              <w:spacing w:line="360" w:lineRule="exact"/>
              <w:jc w:val="center"/>
              <w:rPr>
                <w:rFonts w:ascii="宋体" w:hAnsi="宋体"/>
                <w:b/>
                <w:bCs/>
                <w:color w:val="auto"/>
                <w:szCs w:val="21"/>
                <w:highlight w:val="none"/>
              </w:rPr>
            </w:pPr>
            <w:r>
              <w:rPr>
                <w:rFonts w:hint="eastAsia" w:ascii="宋体" w:hAnsi="宋体"/>
                <w:b/>
                <w:bCs/>
                <w:color w:val="auto"/>
                <w:szCs w:val="21"/>
                <w:highlight w:val="none"/>
              </w:rPr>
              <w:t>技术评审</w:t>
            </w:r>
          </w:p>
          <w:p w14:paraId="5A9CD837">
            <w:pPr>
              <w:spacing w:line="360" w:lineRule="exact"/>
              <w:jc w:val="center"/>
              <w:rPr>
                <w:rFonts w:ascii="宋体" w:hAnsi="宋体"/>
                <w:b/>
                <w:bCs/>
                <w:color w:val="auto"/>
                <w:szCs w:val="21"/>
                <w:highlight w:val="none"/>
              </w:rPr>
            </w:pPr>
            <w:r>
              <w:rPr>
                <w:rFonts w:hint="eastAsia" w:ascii="宋体" w:hAnsi="宋体"/>
                <w:b/>
                <w:bCs/>
                <w:color w:val="auto"/>
                <w:szCs w:val="21"/>
                <w:highlight w:val="none"/>
              </w:rPr>
              <w:t>（50分）</w:t>
            </w:r>
          </w:p>
        </w:tc>
        <w:tc>
          <w:tcPr>
            <w:tcW w:w="589" w:type="pct"/>
            <w:tcMar>
              <w:top w:w="0" w:type="dxa"/>
              <w:left w:w="108" w:type="dxa"/>
              <w:bottom w:w="0" w:type="dxa"/>
              <w:right w:w="108" w:type="dxa"/>
            </w:tcMar>
            <w:vAlign w:val="center"/>
          </w:tcPr>
          <w:p w14:paraId="14310E17">
            <w:pPr>
              <w:spacing w:line="360" w:lineRule="auto"/>
              <w:jc w:val="center"/>
              <w:rPr>
                <w:rFonts w:ascii="宋体" w:hAnsi="宋体"/>
                <w:color w:val="auto"/>
                <w:szCs w:val="21"/>
                <w:highlight w:val="none"/>
              </w:rPr>
            </w:pPr>
            <w:r>
              <w:rPr>
                <w:rFonts w:hint="eastAsia" w:ascii="宋体" w:hAnsi="宋体"/>
                <w:color w:val="auto"/>
                <w:szCs w:val="21"/>
                <w:highlight w:val="none"/>
              </w:rPr>
              <w:t>服务管理方案</w:t>
            </w:r>
          </w:p>
        </w:tc>
        <w:tc>
          <w:tcPr>
            <w:tcW w:w="3231" w:type="pct"/>
            <w:tcMar>
              <w:top w:w="0" w:type="dxa"/>
              <w:left w:w="108" w:type="dxa"/>
              <w:bottom w:w="0" w:type="dxa"/>
              <w:right w:w="108" w:type="dxa"/>
            </w:tcMar>
            <w:vAlign w:val="center"/>
          </w:tcPr>
          <w:p w14:paraId="04D5C858">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对比各供应商服务管理方案内容全面，科学合理、切实可行，充分考虑项目需求，10分；</w:t>
            </w:r>
          </w:p>
          <w:p w14:paraId="6ABCF93C">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对比各供应商服务管理方案内容较全面，较科学合理、切实可行，较好考虑项目需求，7分；</w:t>
            </w:r>
          </w:p>
          <w:p w14:paraId="577BB33F">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对比各供应商服务管理方案内容简单，基本满足项目需求，4分；</w:t>
            </w:r>
          </w:p>
          <w:p w14:paraId="42B19B22">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未提供不得分。</w:t>
            </w:r>
          </w:p>
        </w:tc>
        <w:tc>
          <w:tcPr>
            <w:tcW w:w="368" w:type="pct"/>
            <w:tcMar>
              <w:top w:w="0" w:type="dxa"/>
              <w:left w:w="108" w:type="dxa"/>
              <w:bottom w:w="0" w:type="dxa"/>
              <w:right w:w="108" w:type="dxa"/>
            </w:tcMar>
            <w:vAlign w:val="center"/>
          </w:tcPr>
          <w:p w14:paraId="75817D11">
            <w:pPr>
              <w:spacing w:line="360" w:lineRule="auto"/>
              <w:jc w:val="center"/>
              <w:rPr>
                <w:rFonts w:ascii="宋体" w:hAnsi="宋体"/>
                <w:b/>
                <w:bCs/>
                <w:color w:val="auto"/>
                <w:szCs w:val="21"/>
                <w:highlight w:val="none"/>
              </w:rPr>
            </w:pPr>
            <w:r>
              <w:rPr>
                <w:rFonts w:hint="eastAsia" w:ascii="宋体" w:hAnsi="宋体"/>
                <w:b/>
                <w:bCs/>
                <w:color w:val="auto"/>
                <w:szCs w:val="21"/>
                <w:highlight w:val="none"/>
              </w:rPr>
              <w:t>10</w:t>
            </w:r>
          </w:p>
        </w:tc>
      </w:tr>
      <w:tr w14:paraId="7F6D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1" w:type="pct"/>
            <w:tcMar>
              <w:top w:w="0" w:type="dxa"/>
              <w:left w:w="108" w:type="dxa"/>
              <w:bottom w:w="0" w:type="dxa"/>
              <w:right w:w="108" w:type="dxa"/>
            </w:tcMar>
            <w:vAlign w:val="center"/>
          </w:tcPr>
          <w:p w14:paraId="6B313B3A">
            <w:pPr>
              <w:spacing w:line="360" w:lineRule="auto"/>
              <w:jc w:val="center"/>
              <w:rPr>
                <w:rFonts w:ascii="宋体" w:hAnsi="宋体"/>
                <w:b/>
                <w:bCs/>
                <w:color w:val="auto"/>
                <w:szCs w:val="21"/>
                <w:highlight w:val="none"/>
              </w:rPr>
            </w:pPr>
            <w:r>
              <w:rPr>
                <w:rFonts w:hint="eastAsia" w:ascii="宋体" w:hAnsi="宋体"/>
                <w:b/>
                <w:bCs/>
                <w:color w:val="auto"/>
                <w:szCs w:val="21"/>
                <w:highlight w:val="none"/>
              </w:rPr>
              <w:t>7.2</w:t>
            </w:r>
          </w:p>
        </w:tc>
        <w:tc>
          <w:tcPr>
            <w:tcW w:w="529" w:type="pct"/>
            <w:vMerge w:val="continue"/>
            <w:tcMar>
              <w:top w:w="0" w:type="dxa"/>
              <w:left w:w="108" w:type="dxa"/>
              <w:bottom w:w="0" w:type="dxa"/>
              <w:right w:w="108" w:type="dxa"/>
            </w:tcMar>
            <w:vAlign w:val="center"/>
          </w:tcPr>
          <w:p w14:paraId="09A22BB6">
            <w:pPr>
              <w:pStyle w:val="237"/>
              <w:ind w:firstLine="0" w:firstLineChars="0"/>
              <w:jc w:val="center"/>
              <w:rPr>
                <w:rFonts w:ascii="宋体" w:hAnsi="宋体" w:eastAsia="宋体"/>
                <w:b/>
                <w:color w:val="auto"/>
                <w:szCs w:val="21"/>
                <w:highlight w:val="none"/>
                <w:lang w:val="en-US"/>
              </w:rPr>
            </w:pPr>
          </w:p>
        </w:tc>
        <w:tc>
          <w:tcPr>
            <w:tcW w:w="589" w:type="pct"/>
            <w:tcMar>
              <w:top w:w="0" w:type="dxa"/>
              <w:left w:w="108" w:type="dxa"/>
              <w:bottom w:w="0" w:type="dxa"/>
              <w:right w:w="108" w:type="dxa"/>
            </w:tcMar>
            <w:vAlign w:val="center"/>
          </w:tcPr>
          <w:p w14:paraId="459C41CF">
            <w:pPr>
              <w:spacing w:line="360" w:lineRule="auto"/>
              <w:jc w:val="center"/>
              <w:rPr>
                <w:rFonts w:ascii="宋体" w:hAnsi="宋体"/>
                <w:color w:val="auto"/>
                <w:szCs w:val="21"/>
                <w:highlight w:val="none"/>
              </w:rPr>
            </w:pPr>
            <w:r>
              <w:rPr>
                <w:rFonts w:hint="eastAsia" w:ascii="宋体" w:hAnsi="宋体"/>
                <w:color w:val="auto"/>
                <w:szCs w:val="21"/>
                <w:highlight w:val="none"/>
              </w:rPr>
              <w:t>突发事件应急预案</w:t>
            </w:r>
          </w:p>
        </w:tc>
        <w:tc>
          <w:tcPr>
            <w:tcW w:w="3231" w:type="pct"/>
            <w:tcMar>
              <w:top w:w="0" w:type="dxa"/>
              <w:left w:w="108" w:type="dxa"/>
              <w:bottom w:w="0" w:type="dxa"/>
              <w:right w:w="108" w:type="dxa"/>
            </w:tcMar>
            <w:vAlign w:val="center"/>
          </w:tcPr>
          <w:p w14:paraId="3B737FC8">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应急方案至少应包括响应时间，到达时间，实现快速检验鉴定相应的制度、保障措施等。</w:t>
            </w:r>
          </w:p>
          <w:p w14:paraId="32F27931">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应急方案考虑全面，响应时间，到达时间及实现快速检验鉴定的相应的制度、保障措施全面，可操作性强，10分；</w:t>
            </w:r>
          </w:p>
          <w:p w14:paraId="02C588CB">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应急方案考虑较为详细，响应时间，到达时间及实现快速检验鉴定的相应的制度、保障措施全面，具有一定的可操作性，7分；</w:t>
            </w:r>
          </w:p>
          <w:p w14:paraId="51F84C48">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方案不全或偏简单，响应时间，到达时间及相应的保障措施简单，可操作性一般，4分；</w:t>
            </w:r>
          </w:p>
          <w:p w14:paraId="624CA126">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未提供不得分。</w:t>
            </w:r>
          </w:p>
        </w:tc>
        <w:tc>
          <w:tcPr>
            <w:tcW w:w="368" w:type="pct"/>
            <w:tcMar>
              <w:top w:w="0" w:type="dxa"/>
              <w:left w:w="108" w:type="dxa"/>
              <w:bottom w:w="0" w:type="dxa"/>
              <w:right w:w="108" w:type="dxa"/>
            </w:tcMar>
            <w:vAlign w:val="center"/>
          </w:tcPr>
          <w:p w14:paraId="65BB8589">
            <w:pPr>
              <w:spacing w:line="360" w:lineRule="auto"/>
              <w:jc w:val="center"/>
              <w:rPr>
                <w:rFonts w:ascii="宋体" w:hAnsi="宋体"/>
                <w:b/>
                <w:bCs/>
                <w:color w:val="auto"/>
                <w:szCs w:val="21"/>
                <w:highlight w:val="none"/>
              </w:rPr>
            </w:pPr>
            <w:r>
              <w:rPr>
                <w:rFonts w:hint="eastAsia" w:ascii="宋体" w:hAnsi="宋体"/>
                <w:b/>
                <w:bCs/>
                <w:color w:val="auto"/>
                <w:szCs w:val="21"/>
                <w:highlight w:val="none"/>
              </w:rPr>
              <w:t>10</w:t>
            </w:r>
          </w:p>
        </w:tc>
      </w:tr>
      <w:tr w14:paraId="68F7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1" w:type="pct"/>
            <w:tcMar>
              <w:top w:w="0" w:type="dxa"/>
              <w:left w:w="108" w:type="dxa"/>
              <w:bottom w:w="0" w:type="dxa"/>
              <w:right w:w="108" w:type="dxa"/>
            </w:tcMar>
            <w:vAlign w:val="center"/>
          </w:tcPr>
          <w:p w14:paraId="21F5D1D3">
            <w:pPr>
              <w:spacing w:line="360" w:lineRule="auto"/>
              <w:jc w:val="center"/>
              <w:rPr>
                <w:rFonts w:ascii="宋体" w:hAnsi="宋体"/>
                <w:b/>
                <w:bCs/>
                <w:color w:val="auto"/>
                <w:szCs w:val="21"/>
                <w:highlight w:val="none"/>
              </w:rPr>
            </w:pPr>
            <w:r>
              <w:rPr>
                <w:rFonts w:hint="eastAsia" w:ascii="宋体" w:hAnsi="宋体"/>
                <w:b/>
                <w:bCs/>
                <w:color w:val="auto"/>
                <w:szCs w:val="21"/>
                <w:highlight w:val="none"/>
              </w:rPr>
              <w:t>7.3</w:t>
            </w:r>
          </w:p>
        </w:tc>
        <w:tc>
          <w:tcPr>
            <w:tcW w:w="529" w:type="pct"/>
            <w:vMerge w:val="continue"/>
            <w:tcMar>
              <w:top w:w="0" w:type="dxa"/>
              <w:left w:w="108" w:type="dxa"/>
              <w:bottom w:w="0" w:type="dxa"/>
              <w:right w:w="108" w:type="dxa"/>
            </w:tcMar>
            <w:vAlign w:val="center"/>
          </w:tcPr>
          <w:p w14:paraId="0F6B694E">
            <w:pPr>
              <w:pStyle w:val="237"/>
              <w:ind w:firstLine="0" w:firstLineChars="0"/>
              <w:jc w:val="center"/>
              <w:rPr>
                <w:rFonts w:ascii="宋体" w:hAnsi="宋体" w:eastAsia="宋体"/>
                <w:b/>
                <w:color w:val="auto"/>
                <w:szCs w:val="21"/>
                <w:highlight w:val="none"/>
                <w:lang w:val="en-US"/>
              </w:rPr>
            </w:pPr>
          </w:p>
        </w:tc>
        <w:tc>
          <w:tcPr>
            <w:tcW w:w="589" w:type="pct"/>
            <w:tcMar>
              <w:top w:w="0" w:type="dxa"/>
              <w:left w:w="108" w:type="dxa"/>
              <w:bottom w:w="0" w:type="dxa"/>
              <w:right w:w="108" w:type="dxa"/>
            </w:tcMar>
            <w:vAlign w:val="center"/>
          </w:tcPr>
          <w:p w14:paraId="055A3B1E">
            <w:pPr>
              <w:pStyle w:val="236"/>
              <w:spacing w:before="48"/>
              <w:jc w:val="both"/>
              <w:rPr>
                <w:rFonts w:ascii="宋体"/>
                <w:color w:val="auto"/>
                <w:szCs w:val="21"/>
                <w:highlight w:val="none"/>
              </w:rPr>
            </w:pPr>
            <w:r>
              <w:rPr>
                <w:rFonts w:hint="eastAsia" w:ascii="宋体" w:cs="宋体"/>
                <w:color w:val="auto"/>
                <w:kern w:val="0"/>
                <w:sz w:val="21"/>
                <w:szCs w:val="21"/>
                <w:highlight w:val="none"/>
              </w:rPr>
              <w:t xml:space="preserve">内部控制方案 </w:t>
            </w:r>
          </w:p>
        </w:tc>
        <w:tc>
          <w:tcPr>
            <w:tcW w:w="3231" w:type="pct"/>
            <w:tcMar>
              <w:top w:w="0" w:type="dxa"/>
              <w:left w:w="108" w:type="dxa"/>
              <w:bottom w:w="0" w:type="dxa"/>
              <w:right w:w="108" w:type="dxa"/>
            </w:tcMar>
            <w:vAlign w:val="center"/>
          </w:tcPr>
          <w:p w14:paraId="0AECEEBD">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内部控制方案应包括质量技术监督及改进控制；文件控制及外部信息控制；设备管理控制。</w:t>
            </w:r>
          </w:p>
          <w:p w14:paraId="0EDEAD83">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内部控制方案详细，可操作性强，10分；</w:t>
            </w:r>
          </w:p>
          <w:p w14:paraId="5F590111">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内部控制方案较为详细，具有一定的可操作性，7分；</w:t>
            </w:r>
          </w:p>
          <w:p w14:paraId="037A636B">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内部控制方案不全面或偏简单，可操作性一班，4分</w:t>
            </w:r>
          </w:p>
          <w:p w14:paraId="719C1AFD">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未提供不得分。</w:t>
            </w:r>
          </w:p>
        </w:tc>
        <w:tc>
          <w:tcPr>
            <w:tcW w:w="368" w:type="pct"/>
            <w:tcMar>
              <w:top w:w="0" w:type="dxa"/>
              <w:left w:w="108" w:type="dxa"/>
              <w:bottom w:w="0" w:type="dxa"/>
              <w:right w:w="108" w:type="dxa"/>
            </w:tcMar>
            <w:vAlign w:val="center"/>
          </w:tcPr>
          <w:p w14:paraId="10850DB7">
            <w:pPr>
              <w:spacing w:line="360" w:lineRule="auto"/>
              <w:jc w:val="center"/>
              <w:rPr>
                <w:rFonts w:ascii="宋体" w:hAnsi="宋体"/>
                <w:b/>
                <w:bCs/>
                <w:color w:val="auto"/>
                <w:szCs w:val="21"/>
                <w:highlight w:val="none"/>
              </w:rPr>
            </w:pPr>
            <w:r>
              <w:rPr>
                <w:rFonts w:hint="eastAsia" w:ascii="宋体" w:hAnsi="宋体"/>
                <w:b/>
                <w:bCs/>
                <w:color w:val="auto"/>
                <w:szCs w:val="21"/>
                <w:highlight w:val="none"/>
              </w:rPr>
              <w:t>10</w:t>
            </w:r>
          </w:p>
        </w:tc>
      </w:tr>
      <w:tr w14:paraId="215B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1" w:type="pct"/>
            <w:tcMar>
              <w:top w:w="0" w:type="dxa"/>
              <w:left w:w="108" w:type="dxa"/>
              <w:bottom w:w="0" w:type="dxa"/>
              <w:right w:w="108" w:type="dxa"/>
            </w:tcMar>
            <w:vAlign w:val="center"/>
          </w:tcPr>
          <w:p w14:paraId="6D23F110">
            <w:pPr>
              <w:spacing w:line="360" w:lineRule="auto"/>
              <w:jc w:val="center"/>
              <w:rPr>
                <w:rFonts w:ascii="宋体" w:hAnsi="宋体"/>
                <w:b/>
                <w:bCs/>
                <w:color w:val="auto"/>
                <w:szCs w:val="21"/>
                <w:highlight w:val="none"/>
              </w:rPr>
            </w:pPr>
            <w:r>
              <w:rPr>
                <w:rFonts w:hint="eastAsia" w:ascii="宋体" w:hAnsi="宋体"/>
                <w:b/>
                <w:bCs/>
                <w:color w:val="auto"/>
                <w:szCs w:val="21"/>
                <w:highlight w:val="none"/>
              </w:rPr>
              <w:t>7.4</w:t>
            </w:r>
          </w:p>
        </w:tc>
        <w:tc>
          <w:tcPr>
            <w:tcW w:w="529" w:type="pct"/>
            <w:vMerge w:val="continue"/>
            <w:tcMar>
              <w:top w:w="0" w:type="dxa"/>
              <w:left w:w="108" w:type="dxa"/>
              <w:bottom w:w="0" w:type="dxa"/>
              <w:right w:w="108" w:type="dxa"/>
            </w:tcMar>
            <w:vAlign w:val="center"/>
          </w:tcPr>
          <w:p w14:paraId="68A71070">
            <w:pPr>
              <w:pStyle w:val="237"/>
              <w:ind w:firstLine="0" w:firstLineChars="0"/>
              <w:jc w:val="center"/>
              <w:rPr>
                <w:rFonts w:ascii="宋体" w:hAnsi="宋体" w:eastAsia="宋体"/>
                <w:b/>
                <w:color w:val="auto"/>
                <w:szCs w:val="21"/>
                <w:highlight w:val="none"/>
                <w:lang w:val="en-US"/>
              </w:rPr>
            </w:pPr>
          </w:p>
        </w:tc>
        <w:tc>
          <w:tcPr>
            <w:tcW w:w="589" w:type="pct"/>
            <w:tcMar>
              <w:top w:w="0" w:type="dxa"/>
              <w:left w:w="108" w:type="dxa"/>
              <w:bottom w:w="0" w:type="dxa"/>
              <w:right w:w="108" w:type="dxa"/>
            </w:tcMar>
            <w:vAlign w:val="center"/>
          </w:tcPr>
          <w:p w14:paraId="6A969019">
            <w:pPr>
              <w:spacing w:line="360" w:lineRule="auto"/>
              <w:jc w:val="center"/>
              <w:rPr>
                <w:rFonts w:ascii="宋体" w:hAnsi="宋体"/>
                <w:color w:val="auto"/>
                <w:szCs w:val="21"/>
                <w:highlight w:val="none"/>
              </w:rPr>
            </w:pPr>
            <w:r>
              <w:rPr>
                <w:rFonts w:hint="eastAsia" w:ascii="宋体" w:hAnsi="宋体"/>
                <w:color w:val="auto"/>
                <w:szCs w:val="21"/>
                <w:highlight w:val="none"/>
              </w:rPr>
              <w:t>增值服务方案</w:t>
            </w:r>
          </w:p>
        </w:tc>
        <w:tc>
          <w:tcPr>
            <w:tcW w:w="3231" w:type="pct"/>
            <w:tcMar>
              <w:top w:w="0" w:type="dxa"/>
              <w:left w:w="108" w:type="dxa"/>
              <w:bottom w:w="0" w:type="dxa"/>
              <w:right w:w="108" w:type="dxa"/>
            </w:tcMar>
            <w:vAlign w:val="center"/>
          </w:tcPr>
          <w:p w14:paraId="2C3BA737">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增值服务方案至少应包含鉴定机构提供增值服务实力、人员、设备、经验等方面。</w:t>
            </w:r>
          </w:p>
          <w:p w14:paraId="5339075D">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增值服务方案中充分体现供应商鉴定经验和能力，人员、设备优势，为招标人提供更多增值服务，使鉴定结果更具说服力，减少鉴定结果纠纷，10分；</w:t>
            </w:r>
          </w:p>
          <w:p w14:paraId="2D99A582">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增值服务方案中体现供应商具有一定鉴定经验和能力，人员、设备优势，为招标人提供一些增值服务，使鉴定结果具有说服力，减少鉴定结果纠纷，7分；</w:t>
            </w:r>
          </w:p>
          <w:p w14:paraId="3042BD20">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增值服务方案中未体现鉴定经验和能力，人员、设备方面一般，但承诺为采供应商提供鉴定检测增值服务，为鉴定结果增加说服力，4分；</w:t>
            </w:r>
          </w:p>
          <w:p w14:paraId="719E8519">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不提供不得分。</w:t>
            </w:r>
          </w:p>
        </w:tc>
        <w:tc>
          <w:tcPr>
            <w:tcW w:w="368" w:type="pct"/>
            <w:tcMar>
              <w:top w:w="0" w:type="dxa"/>
              <w:left w:w="108" w:type="dxa"/>
              <w:bottom w:w="0" w:type="dxa"/>
              <w:right w:w="108" w:type="dxa"/>
            </w:tcMar>
            <w:vAlign w:val="center"/>
          </w:tcPr>
          <w:p w14:paraId="565C952C">
            <w:pPr>
              <w:spacing w:line="360" w:lineRule="auto"/>
              <w:jc w:val="center"/>
              <w:rPr>
                <w:rFonts w:ascii="宋体" w:hAnsi="宋体"/>
                <w:b/>
                <w:bCs/>
                <w:color w:val="auto"/>
                <w:szCs w:val="21"/>
                <w:highlight w:val="none"/>
              </w:rPr>
            </w:pPr>
            <w:r>
              <w:rPr>
                <w:rFonts w:hint="eastAsia" w:ascii="宋体" w:hAnsi="宋体"/>
                <w:b/>
                <w:bCs/>
                <w:color w:val="auto"/>
                <w:szCs w:val="21"/>
                <w:highlight w:val="none"/>
              </w:rPr>
              <w:t>10</w:t>
            </w:r>
          </w:p>
        </w:tc>
      </w:tr>
      <w:tr w14:paraId="76C2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1" w:type="pct"/>
            <w:tcMar>
              <w:top w:w="0" w:type="dxa"/>
              <w:left w:w="108" w:type="dxa"/>
              <w:bottom w:w="0" w:type="dxa"/>
              <w:right w:w="108" w:type="dxa"/>
            </w:tcMar>
            <w:vAlign w:val="center"/>
          </w:tcPr>
          <w:p w14:paraId="4562F8A4">
            <w:pPr>
              <w:spacing w:line="360" w:lineRule="auto"/>
              <w:jc w:val="center"/>
              <w:rPr>
                <w:rFonts w:ascii="宋体" w:hAnsi="宋体"/>
                <w:b/>
                <w:bCs/>
                <w:color w:val="auto"/>
                <w:szCs w:val="21"/>
                <w:highlight w:val="none"/>
              </w:rPr>
            </w:pPr>
            <w:r>
              <w:rPr>
                <w:rFonts w:hint="eastAsia" w:ascii="宋体" w:hAnsi="宋体"/>
                <w:b/>
                <w:bCs/>
                <w:color w:val="auto"/>
                <w:szCs w:val="21"/>
                <w:highlight w:val="none"/>
              </w:rPr>
              <w:t>7.5</w:t>
            </w:r>
          </w:p>
        </w:tc>
        <w:tc>
          <w:tcPr>
            <w:tcW w:w="529" w:type="pct"/>
            <w:vMerge w:val="continue"/>
            <w:tcMar>
              <w:top w:w="0" w:type="dxa"/>
              <w:left w:w="108" w:type="dxa"/>
              <w:bottom w:w="0" w:type="dxa"/>
              <w:right w:w="108" w:type="dxa"/>
            </w:tcMar>
            <w:vAlign w:val="center"/>
          </w:tcPr>
          <w:p w14:paraId="730FC1EB">
            <w:pPr>
              <w:pStyle w:val="237"/>
              <w:ind w:firstLine="0" w:firstLineChars="0"/>
              <w:jc w:val="center"/>
              <w:rPr>
                <w:rFonts w:ascii="宋体" w:hAnsi="宋体" w:eastAsia="宋体"/>
                <w:b/>
                <w:color w:val="auto"/>
                <w:szCs w:val="21"/>
                <w:highlight w:val="none"/>
                <w:lang w:val="en-US"/>
              </w:rPr>
            </w:pPr>
          </w:p>
        </w:tc>
        <w:tc>
          <w:tcPr>
            <w:tcW w:w="589" w:type="pct"/>
            <w:tcMar>
              <w:top w:w="0" w:type="dxa"/>
              <w:left w:w="108" w:type="dxa"/>
              <w:bottom w:w="0" w:type="dxa"/>
              <w:right w:w="108" w:type="dxa"/>
            </w:tcMar>
            <w:vAlign w:val="center"/>
          </w:tcPr>
          <w:p w14:paraId="1DEE8123">
            <w:pPr>
              <w:pStyle w:val="236"/>
              <w:spacing w:before="48"/>
              <w:jc w:val="both"/>
              <w:rPr>
                <w:rFonts w:ascii="宋体" w:cs="宋体"/>
                <w:color w:val="auto"/>
                <w:kern w:val="0"/>
                <w:sz w:val="21"/>
                <w:szCs w:val="21"/>
                <w:highlight w:val="none"/>
              </w:rPr>
            </w:pPr>
            <w:r>
              <w:rPr>
                <w:rFonts w:hint="eastAsia" w:ascii="宋体" w:cs="宋体"/>
                <w:color w:val="auto"/>
                <w:kern w:val="0"/>
                <w:sz w:val="21"/>
                <w:szCs w:val="21"/>
                <w:highlight w:val="none"/>
              </w:rPr>
              <w:t xml:space="preserve">档案管理方案 </w:t>
            </w:r>
          </w:p>
        </w:tc>
        <w:tc>
          <w:tcPr>
            <w:tcW w:w="3231" w:type="pct"/>
            <w:tcMar>
              <w:top w:w="0" w:type="dxa"/>
              <w:left w:w="108" w:type="dxa"/>
              <w:bottom w:w="0" w:type="dxa"/>
              <w:right w:w="108" w:type="dxa"/>
            </w:tcMar>
            <w:vAlign w:val="center"/>
          </w:tcPr>
          <w:p w14:paraId="3EB24B3C">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对本项目的档案资料管理制度、措施流程、档案管理、人员配备、存储及安全、移交查阅评价：</w:t>
            </w:r>
          </w:p>
          <w:p w14:paraId="0234E966">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1.方案完善，内容科学合理，有针对性，清晰规范，齐全的得10分；</w:t>
            </w:r>
          </w:p>
          <w:p w14:paraId="60C6256C">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2.方案较完善，内容科学基本合理，可行性一般的得7分；</w:t>
            </w:r>
          </w:p>
          <w:p w14:paraId="67088345">
            <w:pPr>
              <w:pStyle w:val="236"/>
              <w:spacing w:before="48"/>
              <w:ind w:firstLine="420" w:firstLineChars="200"/>
              <w:jc w:val="both"/>
              <w:rPr>
                <w:rFonts w:ascii="宋体" w:cs="宋体"/>
                <w:color w:val="auto"/>
                <w:kern w:val="0"/>
                <w:sz w:val="21"/>
                <w:szCs w:val="21"/>
                <w:highlight w:val="none"/>
              </w:rPr>
            </w:pPr>
            <w:r>
              <w:rPr>
                <w:rFonts w:hint="eastAsia" w:ascii="宋体" w:cs="宋体"/>
                <w:color w:val="auto"/>
                <w:kern w:val="0"/>
                <w:sz w:val="21"/>
                <w:szCs w:val="21"/>
                <w:highlight w:val="none"/>
              </w:rPr>
              <w:t>3.方案不完整，可行性较低的得4分。</w:t>
            </w:r>
          </w:p>
        </w:tc>
        <w:tc>
          <w:tcPr>
            <w:tcW w:w="368" w:type="pct"/>
            <w:tcMar>
              <w:top w:w="0" w:type="dxa"/>
              <w:left w:w="108" w:type="dxa"/>
              <w:bottom w:w="0" w:type="dxa"/>
              <w:right w:w="108" w:type="dxa"/>
            </w:tcMar>
            <w:vAlign w:val="center"/>
          </w:tcPr>
          <w:p w14:paraId="3BC9C24D">
            <w:pPr>
              <w:spacing w:line="360" w:lineRule="auto"/>
              <w:jc w:val="center"/>
              <w:rPr>
                <w:rFonts w:ascii="宋体" w:hAnsi="宋体"/>
                <w:b/>
                <w:bCs/>
                <w:color w:val="auto"/>
                <w:szCs w:val="21"/>
                <w:highlight w:val="none"/>
              </w:rPr>
            </w:pPr>
            <w:r>
              <w:rPr>
                <w:rFonts w:hint="eastAsia" w:ascii="宋体" w:hAnsi="宋体"/>
                <w:b/>
                <w:bCs/>
                <w:color w:val="auto"/>
                <w:szCs w:val="21"/>
                <w:highlight w:val="none"/>
              </w:rPr>
              <w:t>10</w:t>
            </w:r>
          </w:p>
        </w:tc>
      </w:tr>
      <w:tr w14:paraId="68C8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31" w:type="pct"/>
            <w:gridSpan w:val="4"/>
            <w:tcMar>
              <w:top w:w="0" w:type="dxa"/>
              <w:left w:w="108" w:type="dxa"/>
              <w:bottom w:w="0" w:type="dxa"/>
              <w:right w:w="108" w:type="dxa"/>
            </w:tcMar>
            <w:vAlign w:val="center"/>
          </w:tcPr>
          <w:p w14:paraId="4432A242">
            <w:pPr>
              <w:spacing w:line="360" w:lineRule="exact"/>
              <w:jc w:val="center"/>
              <w:rPr>
                <w:rFonts w:ascii="宋体" w:hAnsi="宋体"/>
                <w:b/>
                <w:bCs/>
                <w:color w:val="auto"/>
                <w:szCs w:val="21"/>
                <w:highlight w:val="none"/>
              </w:rPr>
            </w:pPr>
            <w:r>
              <w:rPr>
                <w:rFonts w:hint="eastAsia" w:ascii="宋体" w:hAnsi="宋体"/>
                <w:b/>
                <w:bCs/>
                <w:color w:val="auto"/>
                <w:szCs w:val="21"/>
                <w:highlight w:val="none"/>
              </w:rPr>
              <w:t>合计总分</w:t>
            </w:r>
          </w:p>
        </w:tc>
        <w:tc>
          <w:tcPr>
            <w:tcW w:w="368" w:type="pct"/>
            <w:tcMar>
              <w:top w:w="0" w:type="dxa"/>
              <w:left w:w="108" w:type="dxa"/>
              <w:bottom w:w="0" w:type="dxa"/>
              <w:right w:w="108" w:type="dxa"/>
            </w:tcMar>
            <w:vAlign w:val="center"/>
          </w:tcPr>
          <w:p w14:paraId="3266B3F4">
            <w:pPr>
              <w:spacing w:line="360" w:lineRule="auto"/>
              <w:jc w:val="center"/>
              <w:rPr>
                <w:rFonts w:ascii="宋体" w:hAnsi="宋体"/>
                <w:b/>
                <w:bCs/>
                <w:color w:val="auto"/>
                <w:szCs w:val="21"/>
                <w:highlight w:val="none"/>
              </w:rPr>
            </w:pPr>
            <w:r>
              <w:rPr>
                <w:rFonts w:hint="eastAsia" w:ascii="宋体" w:hAnsi="宋体"/>
                <w:b/>
                <w:bCs/>
                <w:color w:val="auto"/>
                <w:szCs w:val="21"/>
                <w:highlight w:val="none"/>
              </w:rPr>
              <w:t>100</w:t>
            </w:r>
          </w:p>
        </w:tc>
      </w:tr>
    </w:tbl>
    <w:p w14:paraId="1D274C77">
      <w:pPr>
        <w:spacing w:line="360" w:lineRule="auto"/>
        <w:rPr>
          <w:rFonts w:ascii="宋体" w:hAnsi="宋体" w:cs="宋体"/>
          <w:b/>
          <w:bCs/>
          <w:color w:val="auto"/>
          <w:sz w:val="22"/>
          <w:highlight w:val="none"/>
        </w:rPr>
      </w:pPr>
    </w:p>
    <w:p w14:paraId="3FFA99FA">
      <w:pPr>
        <w:spacing w:line="360" w:lineRule="auto"/>
        <w:rPr>
          <w:rFonts w:ascii="宋体" w:hAnsi="宋体" w:cs="宋体"/>
          <w:b/>
          <w:bCs/>
          <w:color w:val="auto"/>
          <w:sz w:val="22"/>
          <w:highlight w:val="none"/>
        </w:rPr>
      </w:pPr>
      <w:r>
        <w:rPr>
          <w:rFonts w:hint="eastAsia" w:ascii="宋体" w:hAnsi="宋体" w:cs="宋体"/>
          <w:b/>
          <w:bCs/>
          <w:color w:val="auto"/>
          <w:sz w:val="22"/>
          <w:highlight w:val="none"/>
        </w:rPr>
        <w:t>说明：</w:t>
      </w:r>
    </w:p>
    <w:p w14:paraId="0426BAB4">
      <w:pPr>
        <w:spacing w:line="360" w:lineRule="auto"/>
        <w:rPr>
          <w:rFonts w:ascii="宋体" w:hAnsi="宋体" w:cs="宋体"/>
          <w:color w:val="auto"/>
          <w:sz w:val="22"/>
          <w:highlight w:val="none"/>
        </w:rPr>
      </w:pPr>
      <w:r>
        <w:rPr>
          <w:rFonts w:hint="eastAsia" w:ascii="宋体" w:hAnsi="宋体" w:cs="宋体"/>
          <w:color w:val="auto"/>
          <w:sz w:val="22"/>
          <w:highlight w:val="none"/>
        </w:rPr>
        <w:t>1.实质性要求不得负偏离；否则，按照无效报价处理。</w:t>
      </w:r>
    </w:p>
    <w:p w14:paraId="02CAD4DC">
      <w:pPr>
        <w:spacing w:line="360" w:lineRule="auto"/>
        <w:rPr>
          <w:rFonts w:ascii="宋体" w:hAnsi="宋体" w:cs="宋体"/>
          <w:color w:val="auto"/>
          <w:sz w:val="22"/>
          <w:highlight w:val="none"/>
        </w:rPr>
      </w:pPr>
      <w:r>
        <w:rPr>
          <w:rFonts w:hint="eastAsia" w:ascii="宋体" w:hAnsi="宋体" w:cs="宋体"/>
          <w:color w:val="auto"/>
          <w:sz w:val="22"/>
          <w:highlight w:val="none"/>
        </w:rPr>
        <w:t>2 .对国家认定的节能、环保产品分别给予投标价的5%的价格扣除，用扣除后的价格参与评审（特别说明：节能、环保产品必须纳入“中国政府采购网http://www.ccgp.gov.cn”等官方网站“节能、环保产品查询系统”，且以提供的证书</w:t>
      </w:r>
      <w:r>
        <w:rPr>
          <w:rFonts w:hint="eastAsia" w:ascii="宋体" w:hAnsi="宋体" w:cs="宋体"/>
          <w:color w:val="auto"/>
          <w:sz w:val="22"/>
          <w:highlight w:val="none"/>
          <w:lang w:eastAsia="zh-CN"/>
        </w:rPr>
        <w:t>扫描件</w:t>
      </w:r>
      <w:r>
        <w:rPr>
          <w:rFonts w:hint="eastAsia" w:ascii="宋体" w:hAnsi="宋体" w:cs="宋体"/>
          <w:color w:val="auto"/>
          <w:sz w:val="22"/>
          <w:highlight w:val="none"/>
        </w:rPr>
        <w:t xml:space="preserve">加盖公章为准）。 </w:t>
      </w:r>
    </w:p>
    <w:p w14:paraId="7EA76FF7">
      <w:pPr>
        <w:spacing w:line="360" w:lineRule="auto"/>
        <w:rPr>
          <w:rFonts w:ascii="宋体" w:hAnsi="宋体" w:cs="宋体"/>
          <w:color w:val="auto"/>
          <w:sz w:val="22"/>
          <w:highlight w:val="none"/>
        </w:rPr>
      </w:pPr>
      <w:r>
        <w:rPr>
          <w:rFonts w:hint="eastAsia" w:ascii="宋体" w:hAnsi="宋体" w:cs="宋体"/>
          <w:color w:val="auto"/>
          <w:sz w:val="22"/>
          <w:highlight w:val="none"/>
        </w:rPr>
        <w:t>3.小微企业的扣除</w:t>
      </w:r>
    </w:p>
    <w:p w14:paraId="5D39547C">
      <w:pPr>
        <w:spacing w:line="360" w:lineRule="auto"/>
        <w:rPr>
          <w:rFonts w:ascii="宋体" w:hAnsi="宋体" w:cs="宋体"/>
          <w:color w:val="auto"/>
          <w:sz w:val="22"/>
          <w:highlight w:val="none"/>
        </w:rPr>
      </w:pPr>
      <w:r>
        <w:rPr>
          <w:rFonts w:hint="eastAsia" w:ascii="宋体" w:hAnsi="宋体" w:cs="宋体"/>
          <w:color w:val="auto"/>
          <w:sz w:val="22"/>
          <w:highlight w:val="none"/>
        </w:rPr>
        <w:t>3.1对小微企业生产的产品给予报价的10%价格扣除，用扣除后的价格参与评审。</w:t>
      </w:r>
    </w:p>
    <w:p w14:paraId="03529DBA">
      <w:pPr>
        <w:spacing w:line="360" w:lineRule="auto"/>
        <w:rPr>
          <w:rFonts w:ascii="宋体" w:hAnsi="宋体" w:cs="宋体"/>
          <w:color w:val="auto"/>
          <w:sz w:val="22"/>
          <w:highlight w:val="none"/>
        </w:rPr>
      </w:pPr>
      <w:r>
        <w:rPr>
          <w:rFonts w:hint="eastAsia" w:ascii="宋体" w:hAnsi="宋体" w:cs="宋体"/>
          <w:color w:val="auto"/>
          <w:sz w:val="22"/>
          <w:highlight w:val="none"/>
        </w:rPr>
        <w:t>3.2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10%价格扣除，用扣除后的价格参与评审。 小企业（含小型、微型企业）应当同时符合以下条件：</w:t>
      </w:r>
    </w:p>
    <w:p w14:paraId="222C07EF">
      <w:pPr>
        <w:spacing w:line="360" w:lineRule="auto"/>
        <w:rPr>
          <w:rFonts w:ascii="宋体" w:hAnsi="宋体" w:cs="宋体"/>
          <w:color w:val="auto"/>
          <w:sz w:val="22"/>
          <w:highlight w:val="none"/>
        </w:rPr>
      </w:pPr>
      <w:r>
        <w:rPr>
          <w:rFonts w:hint="eastAsia" w:ascii="宋体" w:hAnsi="宋体" w:cs="宋体"/>
          <w:color w:val="auto"/>
          <w:sz w:val="22"/>
          <w:highlight w:val="none"/>
        </w:rPr>
        <w:t>（1）供应商为小企业，且符合中小企业划分标准；</w:t>
      </w:r>
    </w:p>
    <w:p w14:paraId="2C528F1D">
      <w:pPr>
        <w:spacing w:line="360" w:lineRule="auto"/>
        <w:rPr>
          <w:rFonts w:ascii="宋体" w:hAnsi="宋体" w:cs="宋体"/>
          <w:color w:val="auto"/>
          <w:sz w:val="22"/>
          <w:highlight w:val="none"/>
        </w:rPr>
      </w:pPr>
      <w:r>
        <w:rPr>
          <w:rFonts w:hint="eastAsia" w:ascii="宋体" w:hAnsi="宋体" w:cs="宋体"/>
          <w:color w:val="auto"/>
          <w:sz w:val="22"/>
          <w:highlight w:val="none"/>
        </w:rPr>
        <w:t>（2）提供本企业制造的货物、承担的工程或者服务，或者提供其他小企业制造的货物。如果提供的货物为大中型企业注册商标的货物，视同大中型企业。</w:t>
      </w:r>
    </w:p>
    <w:p w14:paraId="7EA1C178">
      <w:pPr>
        <w:widowControl w:val="0"/>
        <w:numPr>
          <w:ilvl w:val="0"/>
          <w:numId w:val="2"/>
        </w:numPr>
        <w:tabs>
          <w:tab w:val="left" w:pos="312"/>
        </w:tabs>
        <w:spacing w:line="360" w:lineRule="auto"/>
        <w:jc w:val="both"/>
        <w:rPr>
          <w:rFonts w:ascii="宋体" w:hAnsi="宋体" w:cs="宋体"/>
          <w:color w:val="auto"/>
          <w:sz w:val="22"/>
          <w:highlight w:val="none"/>
        </w:rPr>
      </w:pPr>
      <w:r>
        <w:rPr>
          <w:rFonts w:hint="eastAsia" w:ascii="宋体" w:hAnsi="宋体" w:cs="宋体"/>
          <w:color w:val="auto"/>
          <w:sz w:val="22"/>
          <w:highlight w:val="none"/>
        </w:rPr>
        <w:t>监狱和戒毒企业的价格扣除</w:t>
      </w:r>
    </w:p>
    <w:p w14:paraId="16825474">
      <w:pPr>
        <w:spacing w:line="360" w:lineRule="auto"/>
        <w:rPr>
          <w:rFonts w:ascii="宋体" w:hAnsi="宋体" w:cs="宋体"/>
          <w:color w:val="auto"/>
          <w:sz w:val="22"/>
          <w:highlight w:val="none"/>
        </w:rPr>
      </w:pPr>
      <w:r>
        <w:rPr>
          <w:rFonts w:hint="eastAsia" w:ascii="宋体" w:hAnsi="宋体" w:cs="宋体"/>
          <w:color w:val="auto"/>
          <w:sz w:val="22"/>
          <w:highlight w:val="none"/>
        </w:rPr>
        <w:t>4.1本项目对监狱和戒毒企业（简称监狱企业），给予10%的价格扣除，用扣除后的价格参与评审。</w:t>
      </w:r>
    </w:p>
    <w:p w14:paraId="0238769E">
      <w:pPr>
        <w:spacing w:line="360" w:lineRule="auto"/>
        <w:rPr>
          <w:rFonts w:ascii="宋体" w:hAnsi="宋体" w:cs="宋体"/>
          <w:color w:val="auto"/>
          <w:sz w:val="22"/>
          <w:highlight w:val="none"/>
        </w:rPr>
      </w:pPr>
      <w:r>
        <w:rPr>
          <w:rFonts w:hint="eastAsia" w:ascii="宋体" w:hAnsi="宋体" w:cs="宋体"/>
          <w:color w:val="auto"/>
          <w:sz w:val="22"/>
          <w:highlight w:val="none"/>
        </w:rPr>
        <w:t>4.2监狱企业需提供由省级以上监狱管理局、戒毒管理局（含新疆生产建设兵团）出具的属于监狱企业的证明文件。</w:t>
      </w:r>
    </w:p>
    <w:p w14:paraId="0983AD65">
      <w:pPr>
        <w:spacing w:line="360" w:lineRule="auto"/>
        <w:rPr>
          <w:rFonts w:ascii="宋体" w:hAnsi="宋体" w:cs="宋体"/>
          <w:color w:val="auto"/>
          <w:sz w:val="22"/>
          <w:highlight w:val="none"/>
        </w:rPr>
      </w:pPr>
      <w:r>
        <w:rPr>
          <w:rFonts w:hint="eastAsia" w:ascii="宋体" w:hAnsi="宋体" w:cs="宋体"/>
          <w:color w:val="auto"/>
          <w:sz w:val="22"/>
          <w:highlight w:val="none"/>
        </w:rPr>
        <w:t>4.3监狱企业标准请参照《关于政府采购支持监狱企业发展有关问题的通知》（财库[2014]68号）。</w:t>
      </w:r>
    </w:p>
    <w:p w14:paraId="707EB4CA">
      <w:pPr>
        <w:spacing w:line="360" w:lineRule="auto"/>
        <w:rPr>
          <w:rFonts w:ascii="宋体" w:hAnsi="宋体" w:cs="宋体"/>
          <w:color w:val="auto"/>
          <w:sz w:val="22"/>
          <w:highlight w:val="none"/>
        </w:rPr>
      </w:pPr>
      <w:r>
        <w:rPr>
          <w:rFonts w:hint="eastAsia" w:ascii="宋体" w:hAnsi="宋体" w:cs="宋体"/>
          <w:color w:val="auto"/>
          <w:sz w:val="22"/>
          <w:highlight w:val="none"/>
        </w:rPr>
        <w:t>5.残疾人福利性单位的价格扣除</w:t>
      </w:r>
    </w:p>
    <w:p w14:paraId="2C9031D5">
      <w:pPr>
        <w:spacing w:line="360" w:lineRule="auto"/>
        <w:rPr>
          <w:rFonts w:ascii="宋体" w:hAnsi="宋体" w:cs="宋体"/>
          <w:color w:val="auto"/>
          <w:sz w:val="22"/>
          <w:highlight w:val="none"/>
        </w:rPr>
      </w:pPr>
      <w:r>
        <w:rPr>
          <w:rFonts w:hint="eastAsia" w:ascii="宋体" w:hAnsi="宋体" w:cs="宋体"/>
          <w:color w:val="auto"/>
          <w:sz w:val="22"/>
          <w:highlight w:val="none"/>
        </w:rPr>
        <w:t>5.1本项目对残疾人福利性单位，给予10%的价格扣除，用扣除后的价格参与评审。</w:t>
      </w:r>
    </w:p>
    <w:p w14:paraId="5FCF69B1">
      <w:pPr>
        <w:spacing w:line="360" w:lineRule="auto"/>
        <w:rPr>
          <w:rFonts w:ascii="宋体" w:hAnsi="宋体" w:cs="宋体"/>
          <w:color w:val="auto"/>
          <w:sz w:val="22"/>
          <w:highlight w:val="none"/>
        </w:rPr>
      </w:pPr>
      <w:r>
        <w:rPr>
          <w:rFonts w:hint="eastAsia" w:ascii="宋体" w:hAnsi="宋体" w:cs="宋体"/>
          <w:color w:val="auto"/>
          <w:sz w:val="22"/>
          <w:highlight w:val="none"/>
        </w:rPr>
        <w:t>5.2残疾人福利单位需按照采购文件的要求提供《残疾人福利性单位声明函》。</w:t>
      </w:r>
    </w:p>
    <w:p w14:paraId="1EABF9D6">
      <w:pPr>
        <w:spacing w:line="360" w:lineRule="auto"/>
        <w:rPr>
          <w:rFonts w:ascii="宋体" w:hAnsi="宋体" w:cs="宋体"/>
          <w:color w:val="auto"/>
          <w:sz w:val="22"/>
          <w:highlight w:val="none"/>
        </w:rPr>
      </w:pPr>
      <w:r>
        <w:rPr>
          <w:rFonts w:hint="eastAsia" w:ascii="宋体" w:hAnsi="宋体" w:cs="宋体"/>
          <w:color w:val="auto"/>
          <w:sz w:val="22"/>
          <w:highlight w:val="none"/>
        </w:rPr>
        <w:t>5.3残疾人福利单位标准请参照《关于促进残疾人就业政府采购政策的通知》（财库〔2017〕141号）。</w:t>
      </w:r>
    </w:p>
    <w:p w14:paraId="7F0DEE06">
      <w:pPr>
        <w:adjustRightInd w:val="0"/>
        <w:snapToGrid w:val="0"/>
        <w:spacing w:line="360" w:lineRule="auto"/>
        <w:rPr>
          <w:rFonts w:ascii="宋体" w:hAnsi="宋体" w:cs="宋体"/>
          <w:color w:val="auto"/>
          <w:sz w:val="22"/>
          <w:highlight w:val="none"/>
        </w:rPr>
      </w:pPr>
      <w:r>
        <w:rPr>
          <w:rFonts w:hint="eastAsia" w:ascii="宋体" w:hAnsi="宋体" w:cs="宋体"/>
          <w:color w:val="auto"/>
          <w:sz w:val="22"/>
          <w:highlight w:val="none"/>
        </w:rPr>
        <w:t>6.监狱企业、残疾人福利单位属于小型、微型企业的，不重复享受政策。</w:t>
      </w:r>
    </w:p>
    <w:p w14:paraId="4862A5B3">
      <w:pPr>
        <w:adjustRightInd w:val="0"/>
        <w:snapToGrid w:val="0"/>
        <w:spacing w:line="360" w:lineRule="auto"/>
        <w:rPr>
          <w:rFonts w:ascii="宋体" w:hAnsi="宋体" w:cs="宋体"/>
          <w:color w:val="auto"/>
          <w:sz w:val="22"/>
          <w:highlight w:val="none"/>
          <w:lang w:val="zh-CN"/>
        </w:rPr>
      </w:pPr>
      <w:r>
        <w:rPr>
          <w:rFonts w:hint="eastAsia" w:ascii="宋体" w:hAnsi="宋体" w:cs="宋体"/>
          <w:color w:val="auto"/>
          <w:sz w:val="22"/>
          <w:highlight w:val="none"/>
        </w:rPr>
        <w:t>7.所有认证、证明和业绩均以有效的</w:t>
      </w:r>
      <w:r>
        <w:rPr>
          <w:rFonts w:hint="eastAsia" w:ascii="宋体" w:hAnsi="宋体" w:cs="宋体"/>
          <w:color w:val="auto"/>
          <w:sz w:val="22"/>
          <w:highlight w:val="none"/>
          <w:lang w:eastAsia="zh-CN"/>
        </w:rPr>
        <w:t>扫描件</w:t>
      </w:r>
      <w:r>
        <w:rPr>
          <w:rFonts w:hint="eastAsia" w:ascii="宋体" w:hAnsi="宋体" w:cs="宋体"/>
          <w:color w:val="auto"/>
          <w:sz w:val="22"/>
          <w:highlight w:val="none"/>
        </w:rPr>
        <w:t>加盖公章为依据（有特别说明的除外）。</w:t>
      </w:r>
    </w:p>
    <w:p w14:paraId="37A04189">
      <w:pPr>
        <w:adjustRightInd w:val="0"/>
        <w:snapToGrid w:val="0"/>
        <w:spacing w:line="360" w:lineRule="auto"/>
        <w:rPr>
          <w:rFonts w:ascii="宋体" w:hAnsi="宋体" w:cs="宋体"/>
          <w:color w:val="auto"/>
          <w:sz w:val="22"/>
          <w:highlight w:val="none"/>
        </w:rPr>
      </w:pPr>
      <w:r>
        <w:rPr>
          <w:rFonts w:hint="eastAsia" w:ascii="宋体" w:hAnsi="宋体" w:cs="宋体"/>
          <w:color w:val="auto"/>
          <w:sz w:val="22"/>
          <w:highlight w:val="none"/>
        </w:rPr>
        <w:t>备注：</w:t>
      </w:r>
    </w:p>
    <w:p w14:paraId="2A87DA8D">
      <w:pPr>
        <w:adjustRightInd w:val="0"/>
        <w:snapToGrid w:val="0"/>
        <w:spacing w:line="360" w:lineRule="auto"/>
        <w:rPr>
          <w:rFonts w:ascii="宋体" w:hAnsi="宋体" w:cs="宋体"/>
          <w:color w:val="auto"/>
          <w:sz w:val="22"/>
          <w:highlight w:val="none"/>
        </w:rPr>
      </w:pPr>
      <w:r>
        <w:rPr>
          <w:rFonts w:hint="eastAsia" w:ascii="宋体" w:hAnsi="宋体" w:cs="宋体"/>
          <w:color w:val="auto"/>
          <w:sz w:val="22"/>
          <w:highlight w:val="none"/>
        </w:rPr>
        <w:t>1.针对评分标准中评分的每一条，投标人均应提供相关资料并作出相应说明供评委评判，不提供相关资料的视为不具备该项得分的条件，资料须编好目录及页码。</w:t>
      </w:r>
    </w:p>
    <w:p w14:paraId="02080F89">
      <w:pPr>
        <w:adjustRightInd w:val="0"/>
        <w:snapToGrid w:val="0"/>
        <w:spacing w:line="360" w:lineRule="auto"/>
        <w:rPr>
          <w:rFonts w:ascii="宋体" w:hAnsi="宋体" w:cs="宋体"/>
          <w:color w:val="auto"/>
          <w:sz w:val="22"/>
          <w:highlight w:val="none"/>
        </w:rPr>
      </w:pPr>
      <w:r>
        <w:rPr>
          <w:rFonts w:hint="eastAsia" w:ascii="宋体" w:hAnsi="宋体" w:cs="宋体"/>
          <w:color w:val="auto"/>
          <w:sz w:val="22"/>
          <w:highlight w:val="none"/>
        </w:rPr>
        <w:t>2.投标文件中如出现前后不一致时，评委有权请投标人澄清说明，澄清说明事项涉及评分时，评委有权酌情扣分。</w:t>
      </w:r>
    </w:p>
    <w:p w14:paraId="6625D3B0">
      <w:pPr>
        <w:adjustRightInd w:val="0"/>
        <w:snapToGrid w:val="0"/>
        <w:spacing w:line="360" w:lineRule="auto"/>
        <w:rPr>
          <w:rFonts w:ascii="宋体" w:hAnsi="宋体" w:cs="宋体"/>
          <w:color w:val="auto"/>
          <w:sz w:val="22"/>
          <w:highlight w:val="none"/>
        </w:rPr>
      </w:pPr>
      <w:r>
        <w:rPr>
          <w:rFonts w:hint="eastAsia" w:ascii="宋体" w:hAnsi="宋体" w:cs="宋体"/>
          <w:color w:val="auto"/>
          <w:sz w:val="22"/>
          <w:highlight w:val="none"/>
        </w:rPr>
        <w:t>3.投标人必须保证全部投标资料的真实性，如有虚假或对招标文件所要求说明的情况故意隐瞒或虚报，视为不实质性投标招标文件，为无效投标，已中标的将取消中标资格，按“提供虚假材料谋取中标、成交”相关处理办法处理。</w:t>
      </w:r>
    </w:p>
    <w:p w14:paraId="1157E7DF">
      <w:pPr>
        <w:spacing w:line="360" w:lineRule="auto"/>
        <w:jc w:val="center"/>
        <w:rPr>
          <w:rFonts w:ascii="宋体" w:hAnsi="宋体" w:cs="宋体"/>
          <w:b/>
          <w:bCs/>
          <w:color w:val="auto"/>
          <w:spacing w:val="-10"/>
          <w:sz w:val="36"/>
          <w:szCs w:val="36"/>
          <w:highlight w:val="none"/>
        </w:rPr>
      </w:pPr>
      <w:r>
        <w:rPr>
          <w:rFonts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 xml:space="preserve">第四章  </w:t>
      </w:r>
      <w:bookmarkStart w:id="29" w:name="_Toc150538845"/>
      <w:r>
        <w:rPr>
          <w:rFonts w:hint="eastAsia" w:ascii="宋体" w:hAnsi="宋体" w:cs="宋体"/>
          <w:b/>
          <w:bCs/>
          <w:color w:val="auto"/>
          <w:spacing w:val="-10"/>
          <w:sz w:val="36"/>
          <w:szCs w:val="36"/>
          <w:highlight w:val="none"/>
        </w:rPr>
        <w:t>采购项目技术、规格和数量要求等</w:t>
      </w:r>
    </w:p>
    <w:bookmarkEnd w:id="29"/>
    <w:p w14:paraId="61A0726B">
      <w:pPr>
        <w:pStyle w:val="236"/>
        <w:spacing w:before="48"/>
        <w:jc w:val="both"/>
        <w:rPr>
          <w:rFonts w:ascii="仿宋" w:hAnsi="仿宋" w:eastAsia="仿宋" w:cs="仿宋"/>
          <w:b/>
          <w:color w:val="auto"/>
          <w:sz w:val="24"/>
          <w:szCs w:val="24"/>
          <w:highlight w:val="none"/>
        </w:rPr>
      </w:pPr>
      <w:bookmarkStart w:id="30" w:name="_Toc90997545"/>
      <w:r>
        <w:rPr>
          <w:rFonts w:hint="eastAsia" w:ascii="仿宋" w:hAnsi="仿宋" w:eastAsia="仿宋" w:cs="仿宋"/>
          <w:b/>
          <w:color w:val="auto"/>
          <w:sz w:val="24"/>
          <w:szCs w:val="24"/>
          <w:highlight w:val="none"/>
        </w:rPr>
        <w:t>一、商务要求</w:t>
      </w:r>
    </w:p>
    <w:p w14:paraId="6D16345A">
      <w:pPr>
        <w:pStyle w:val="236"/>
        <w:spacing w:before="48"/>
        <w:jc w:val="both"/>
        <w:rPr>
          <w:rFonts w:ascii="仿宋" w:hAnsi="仿宋" w:eastAsia="仿宋" w:cs="仿宋"/>
          <w:b/>
          <w:bCs/>
          <w:color w:val="auto"/>
          <w:highlight w:val="none"/>
        </w:rPr>
      </w:pPr>
      <w:r>
        <w:rPr>
          <w:rFonts w:hint="eastAsia" w:ascii="仿宋" w:hAnsi="仿宋" w:eastAsia="仿宋" w:cs="仿宋"/>
          <w:bCs/>
          <w:color w:val="auto"/>
          <w:sz w:val="24"/>
          <w:szCs w:val="24"/>
          <w:highlight w:val="none"/>
        </w:rPr>
        <w:t>（一）项目清单</w:t>
      </w:r>
    </w:p>
    <w:tbl>
      <w:tblPr>
        <w:tblStyle w:val="25"/>
        <w:tblW w:w="9225" w:type="dxa"/>
        <w:tblInd w:w="93" w:type="dxa"/>
        <w:tblLayout w:type="autofit"/>
        <w:tblCellMar>
          <w:top w:w="0" w:type="dxa"/>
          <w:left w:w="108" w:type="dxa"/>
          <w:bottom w:w="0" w:type="dxa"/>
          <w:right w:w="108" w:type="dxa"/>
        </w:tblCellMar>
      </w:tblPr>
      <w:tblGrid>
        <w:gridCol w:w="825"/>
        <w:gridCol w:w="2235"/>
        <w:gridCol w:w="900"/>
        <w:gridCol w:w="1080"/>
        <w:gridCol w:w="4185"/>
      </w:tblGrid>
      <w:tr w14:paraId="189BE23F">
        <w:tblPrEx>
          <w:tblCellMar>
            <w:top w:w="0" w:type="dxa"/>
            <w:left w:w="108" w:type="dxa"/>
            <w:bottom w:w="0" w:type="dxa"/>
            <w:right w:w="108" w:type="dxa"/>
          </w:tblCellMar>
        </w:tblPrEx>
        <w:trPr>
          <w:trHeight w:val="465" w:hRule="atLeast"/>
        </w:trPr>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997FB">
            <w:pPr>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收费项目</w:t>
            </w:r>
          </w:p>
        </w:tc>
        <w:tc>
          <w:tcPr>
            <w:tcW w:w="2235" w:type="dxa"/>
            <w:tcBorders>
              <w:top w:val="single" w:color="000000" w:sz="8" w:space="0"/>
              <w:left w:val="nil"/>
              <w:bottom w:val="single" w:color="000000" w:sz="8" w:space="0"/>
              <w:right w:val="single" w:color="000000" w:sz="8" w:space="0"/>
            </w:tcBorders>
            <w:shd w:val="clear" w:color="auto" w:fill="auto"/>
            <w:vAlign w:val="center"/>
          </w:tcPr>
          <w:p w14:paraId="7CEA787E">
            <w:pPr>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司法鉴定事项</w:t>
            </w:r>
          </w:p>
        </w:tc>
        <w:tc>
          <w:tcPr>
            <w:tcW w:w="900" w:type="dxa"/>
            <w:tcBorders>
              <w:top w:val="single" w:color="000000" w:sz="8" w:space="0"/>
              <w:left w:val="nil"/>
              <w:bottom w:val="single" w:color="000000" w:sz="8" w:space="0"/>
              <w:right w:val="single" w:color="000000" w:sz="8" w:space="0"/>
            </w:tcBorders>
            <w:shd w:val="clear" w:color="auto" w:fill="auto"/>
            <w:vAlign w:val="center"/>
          </w:tcPr>
          <w:p w14:paraId="605BB80C">
            <w:pPr>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单位</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0F1E862">
            <w:pPr>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单价（元）</w:t>
            </w:r>
          </w:p>
        </w:tc>
        <w:tc>
          <w:tcPr>
            <w:tcW w:w="4185" w:type="dxa"/>
            <w:tcBorders>
              <w:top w:val="single" w:color="000000" w:sz="8" w:space="0"/>
              <w:left w:val="nil"/>
              <w:bottom w:val="single" w:color="000000" w:sz="8" w:space="0"/>
              <w:right w:val="single" w:color="000000" w:sz="8" w:space="0"/>
            </w:tcBorders>
            <w:shd w:val="clear" w:color="auto" w:fill="auto"/>
            <w:vAlign w:val="center"/>
          </w:tcPr>
          <w:p w14:paraId="56C0BBDE">
            <w:pPr>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备注</w:t>
            </w:r>
          </w:p>
        </w:tc>
      </w:tr>
      <w:tr w14:paraId="08E34EE7">
        <w:tblPrEx>
          <w:tblCellMar>
            <w:top w:w="0" w:type="dxa"/>
            <w:left w:w="108" w:type="dxa"/>
            <w:bottom w:w="0" w:type="dxa"/>
            <w:right w:w="108" w:type="dxa"/>
          </w:tblCellMar>
        </w:tblPrEx>
        <w:trPr>
          <w:trHeight w:val="720" w:hRule="atLeast"/>
        </w:trPr>
        <w:tc>
          <w:tcPr>
            <w:tcW w:w="825" w:type="dxa"/>
            <w:vMerge w:val="restart"/>
            <w:tcBorders>
              <w:top w:val="nil"/>
              <w:left w:val="single" w:color="000000" w:sz="8" w:space="0"/>
              <w:bottom w:val="single" w:color="000000" w:sz="8" w:space="0"/>
              <w:right w:val="single" w:color="000000" w:sz="8" w:space="0"/>
            </w:tcBorders>
            <w:shd w:val="clear" w:color="auto" w:fill="auto"/>
            <w:vAlign w:val="center"/>
          </w:tcPr>
          <w:p w14:paraId="3C71CC77">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法医病理鉴定</w:t>
            </w:r>
          </w:p>
        </w:tc>
        <w:tc>
          <w:tcPr>
            <w:tcW w:w="2235" w:type="dxa"/>
            <w:tcBorders>
              <w:top w:val="nil"/>
              <w:left w:val="nil"/>
              <w:bottom w:val="single" w:color="000000" w:sz="8" w:space="0"/>
              <w:right w:val="single" w:color="000000" w:sz="8" w:space="0"/>
            </w:tcBorders>
            <w:shd w:val="clear" w:color="auto" w:fill="auto"/>
            <w:vAlign w:val="center"/>
          </w:tcPr>
          <w:p w14:paraId="05555900">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早期尸表检验</w:t>
            </w:r>
          </w:p>
        </w:tc>
        <w:tc>
          <w:tcPr>
            <w:tcW w:w="900" w:type="dxa"/>
            <w:tcBorders>
              <w:top w:val="nil"/>
              <w:left w:val="nil"/>
              <w:bottom w:val="single" w:color="000000" w:sz="8" w:space="0"/>
              <w:right w:val="single" w:color="000000" w:sz="8" w:space="0"/>
            </w:tcBorders>
            <w:shd w:val="clear" w:color="auto" w:fill="auto"/>
            <w:vAlign w:val="center"/>
          </w:tcPr>
          <w:p w14:paraId="2011C054">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具</w:t>
            </w:r>
          </w:p>
        </w:tc>
        <w:tc>
          <w:tcPr>
            <w:tcW w:w="1080" w:type="dxa"/>
            <w:tcBorders>
              <w:top w:val="nil"/>
              <w:left w:val="nil"/>
              <w:bottom w:val="single" w:color="000000" w:sz="8" w:space="0"/>
              <w:right w:val="single" w:color="000000" w:sz="8" w:space="0"/>
            </w:tcBorders>
            <w:shd w:val="clear" w:color="auto" w:fill="auto"/>
            <w:vAlign w:val="center"/>
          </w:tcPr>
          <w:p w14:paraId="56B804E9">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500</w:t>
            </w:r>
          </w:p>
        </w:tc>
        <w:tc>
          <w:tcPr>
            <w:tcW w:w="4185" w:type="dxa"/>
            <w:tcBorders>
              <w:top w:val="nil"/>
              <w:left w:val="nil"/>
              <w:bottom w:val="single" w:color="000000" w:sz="8" w:space="0"/>
              <w:right w:val="single" w:color="000000" w:sz="8" w:space="0"/>
            </w:tcBorders>
            <w:shd w:val="clear" w:color="auto" w:fill="auto"/>
            <w:vAlign w:val="center"/>
          </w:tcPr>
          <w:p w14:paraId="719B4379">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死亡后</w:t>
            </w:r>
            <w:r>
              <w:rPr>
                <w:rFonts w:ascii="Arial" w:hAnsi="Arial" w:eastAsia="宋体" w:cs="Arial"/>
                <w:color w:val="auto"/>
                <w:sz w:val="18"/>
                <w:szCs w:val="18"/>
                <w:highlight w:val="none"/>
              </w:rPr>
              <w:t>24</w:t>
            </w:r>
            <w:r>
              <w:rPr>
                <w:rFonts w:hint="eastAsia" w:ascii="宋体" w:hAnsi="宋体" w:eastAsia="宋体" w:cs="宋体"/>
                <w:color w:val="auto"/>
                <w:sz w:val="18"/>
                <w:szCs w:val="18"/>
                <w:highlight w:val="none"/>
              </w:rPr>
              <w:t>小时以内，含照相、录像</w:t>
            </w:r>
          </w:p>
        </w:tc>
      </w:tr>
      <w:tr w14:paraId="0E591EBB">
        <w:tblPrEx>
          <w:tblCellMar>
            <w:top w:w="0" w:type="dxa"/>
            <w:left w:w="108" w:type="dxa"/>
            <w:bottom w:w="0" w:type="dxa"/>
            <w:right w:w="108" w:type="dxa"/>
          </w:tblCellMar>
        </w:tblPrEx>
        <w:trPr>
          <w:trHeight w:val="480"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19FF95CD">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6F5FF4D1">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晚期尸表检验</w:t>
            </w:r>
          </w:p>
        </w:tc>
        <w:tc>
          <w:tcPr>
            <w:tcW w:w="900" w:type="dxa"/>
            <w:tcBorders>
              <w:top w:val="nil"/>
              <w:left w:val="nil"/>
              <w:bottom w:val="single" w:color="000000" w:sz="8" w:space="0"/>
              <w:right w:val="single" w:color="000000" w:sz="8" w:space="0"/>
            </w:tcBorders>
            <w:shd w:val="clear" w:color="auto" w:fill="auto"/>
            <w:vAlign w:val="center"/>
          </w:tcPr>
          <w:p w14:paraId="188A2392">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具</w:t>
            </w:r>
          </w:p>
        </w:tc>
        <w:tc>
          <w:tcPr>
            <w:tcW w:w="1080" w:type="dxa"/>
            <w:tcBorders>
              <w:top w:val="nil"/>
              <w:left w:val="nil"/>
              <w:bottom w:val="single" w:color="000000" w:sz="8" w:space="0"/>
              <w:right w:val="single" w:color="000000" w:sz="8" w:space="0"/>
            </w:tcBorders>
            <w:shd w:val="clear" w:color="auto" w:fill="auto"/>
            <w:vAlign w:val="center"/>
          </w:tcPr>
          <w:p w14:paraId="41B9C133">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1200</w:t>
            </w:r>
          </w:p>
        </w:tc>
        <w:tc>
          <w:tcPr>
            <w:tcW w:w="4185" w:type="dxa"/>
            <w:tcBorders>
              <w:top w:val="nil"/>
              <w:left w:val="nil"/>
              <w:bottom w:val="single" w:color="000000" w:sz="8" w:space="0"/>
              <w:right w:val="single" w:color="000000" w:sz="8" w:space="0"/>
            </w:tcBorders>
            <w:shd w:val="clear" w:color="auto" w:fill="auto"/>
            <w:vAlign w:val="center"/>
          </w:tcPr>
          <w:p w14:paraId="4C3DE7B4">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死亡后</w:t>
            </w:r>
            <w:r>
              <w:rPr>
                <w:rFonts w:ascii="Arial" w:hAnsi="Arial" w:eastAsia="宋体" w:cs="Arial"/>
                <w:color w:val="auto"/>
                <w:sz w:val="18"/>
                <w:szCs w:val="18"/>
                <w:highlight w:val="none"/>
              </w:rPr>
              <w:t>24</w:t>
            </w:r>
            <w:r>
              <w:rPr>
                <w:rFonts w:hint="eastAsia" w:ascii="宋体" w:hAnsi="宋体" w:eastAsia="宋体" w:cs="宋体"/>
                <w:color w:val="auto"/>
                <w:sz w:val="18"/>
                <w:szCs w:val="18"/>
                <w:highlight w:val="none"/>
              </w:rPr>
              <w:t>小时以外，含照相、录像；高度腐败尸体加收50%</w:t>
            </w:r>
          </w:p>
        </w:tc>
      </w:tr>
      <w:tr w14:paraId="6483F719">
        <w:tblPrEx>
          <w:tblCellMar>
            <w:top w:w="0" w:type="dxa"/>
            <w:left w:w="108" w:type="dxa"/>
            <w:bottom w:w="0" w:type="dxa"/>
            <w:right w:w="108" w:type="dxa"/>
          </w:tblCellMar>
        </w:tblPrEx>
        <w:trPr>
          <w:trHeight w:val="73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038BEDC1">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43933BEF">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早期尸体解剖</w:t>
            </w:r>
          </w:p>
        </w:tc>
        <w:tc>
          <w:tcPr>
            <w:tcW w:w="900" w:type="dxa"/>
            <w:tcBorders>
              <w:top w:val="nil"/>
              <w:left w:val="nil"/>
              <w:bottom w:val="single" w:color="000000" w:sz="8" w:space="0"/>
              <w:right w:val="single" w:color="000000" w:sz="8" w:space="0"/>
            </w:tcBorders>
            <w:shd w:val="clear" w:color="auto" w:fill="auto"/>
            <w:vAlign w:val="center"/>
          </w:tcPr>
          <w:p w14:paraId="546EEF6C">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具</w:t>
            </w:r>
          </w:p>
        </w:tc>
        <w:tc>
          <w:tcPr>
            <w:tcW w:w="1080" w:type="dxa"/>
            <w:tcBorders>
              <w:top w:val="nil"/>
              <w:left w:val="nil"/>
              <w:bottom w:val="single" w:color="000000" w:sz="8" w:space="0"/>
              <w:right w:val="single" w:color="000000" w:sz="8" w:space="0"/>
            </w:tcBorders>
            <w:shd w:val="clear" w:color="auto" w:fill="auto"/>
            <w:vAlign w:val="center"/>
          </w:tcPr>
          <w:p w14:paraId="2ACAA2ED">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2500</w:t>
            </w:r>
          </w:p>
        </w:tc>
        <w:tc>
          <w:tcPr>
            <w:tcW w:w="4185" w:type="dxa"/>
            <w:tcBorders>
              <w:top w:val="nil"/>
              <w:left w:val="nil"/>
              <w:bottom w:val="single" w:color="000000" w:sz="8" w:space="0"/>
              <w:right w:val="single" w:color="000000" w:sz="8" w:space="0"/>
            </w:tcBorders>
            <w:shd w:val="clear" w:color="auto" w:fill="auto"/>
            <w:vAlign w:val="center"/>
          </w:tcPr>
          <w:p w14:paraId="323E6423">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死亡后</w:t>
            </w:r>
            <w:r>
              <w:rPr>
                <w:rFonts w:ascii="Arial" w:hAnsi="Arial" w:eastAsia="宋体" w:cs="Arial"/>
                <w:color w:val="auto"/>
                <w:sz w:val="18"/>
                <w:szCs w:val="18"/>
                <w:highlight w:val="none"/>
              </w:rPr>
              <w:t>24</w:t>
            </w:r>
            <w:r>
              <w:rPr>
                <w:rFonts w:hint="eastAsia" w:ascii="宋体" w:hAnsi="宋体" w:eastAsia="宋体" w:cs="宋体"/>
                <w:color w:val="auto"/>
                <w:sz w:val="18"/>
                <w:szCs w:val="18"/>
                <w:highlight w:val="none"/>
              </w:rPr>
              <w:t>小时以内，含照相、录像、尸表检验、死亡原因、</w:t>
            </w:r>
            <w:r>
              <w:rPr>
                <w:rFonts w:ascii="Arial" w:hAnsi="Arial" w:eastAsia="宋体" w:cs="Arial"/>
                <w:color w:val="auto"/>
                <w:sz w:val="18"/>
                <w:szCs w:val="18"/>
                <w:highlight w:val="none"/>
              </w:rPr>
              <w:t xml:space="preserve"> </w:t>
            </w:r>
            <w:r>
              <w:rPr>
                <w:rFonts w:hint="eastAsia" w:ascii="宋体" w:hAnsi="宋体" w:eastAsia="宋体" w:cs="宋体"/>
                <w:color w:val="auto"/>
                <w:sz w:val="18"/>
                <w:szCs w:val="18"/>
                <w:highlight w:val="none"/>
              </w:rPr>
              <w:t>死亡方式、死亡时间、生前伤死后伤、致伤</w:t>
            </w:r>
            <w:r>
              <w:rPr>
                <w:rFonts w:ascii="Arial" w:hAnsi="Arial" w:eastAsia="宋体" w:cs="Arial"/>
                <w:color w:val="auto"/>
                <w:sz w:val="18"/>
                <w:szCs w:val="18"/>
                <w:highlight w:val="none"/>
              </w:rPr>
              <w:t>(</w:t>
            </w:r>
            <w:r>
              <w:rPr>
                <w:rFonts w:hint="eastAsia" w:ascii="宋体" w:hAnsi="宋体" w:eastAsia="宋体" w:cs="宋体"/>
                <w:color w:val="auto"/>
                <w:sz w:val="18"/>
                <w:szCs w:val="18"/>
                <w:highlight w:val="none"/>
              </w:rPr>
              <w:t>死</w:t>
            </w:r>
            <w:r>
              <w:rPr>
                <w:rFonts w:ascii="Arial" w:hAnsi="Arial" w:eastAsia="宋体" w:cs="Arial"/>
                <w:color w:val="auto"/>
                <w:sz w:val="18"/>
                <w:szCs w:val="18"/>
                <w:highlight w:val="none"/>
              </w:rPr>
              <w:t>)</w:t>
            </w:r>
            <w:r>
              <w:rPr>
                <w:rFonts w:hint="eastAsia" w:ascii="宋体" w:hAnsi="宋体" w:eastAsia="宋体" w:cs="宋体"/>
                <w:color w:val="auto"/>
                <w:sz w:val="18"/>
                <w:szCs w:val="18"/>
                <w:highlight w:val="none"/>
              </w:rPr>
              <w:t>物鉴定，不含组织学检查和毒物分析</w:t>
            </w:r>
          </w:p>
        </w:tc>
      </w:tr>
      <w:tr w14:paraId="52565A02">
        <w:tblPrEx>
          <w:tblCellMar>
            <w:top w:w="0" w:type="dxa"/>
            <w:left w:w="108" w:type="dxa"/>
            <w:bottom w:w="0" w:type="dxa"/>
            <w:right w:w="108" w:type="dxa"/>
          </w:tblCellMar>
        </w:tblPrEx>
        <w:trPr>
          <w:trHeight w:val="73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65214382">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6AF129FA">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晚期尸体解剖</w:t>
            </w:r>
          </w:p>
        </w:tc>
        <w:tc>
          <w:tcPr>
            <w:tcW w:w="900" w:type="dxa"/>
            <w:tcBorders>
              <w:top w:val="nil"/>
              <w:left w:val="nil"/>
              <w:bottom w:val="single" w:color="000000" w:sz="8" w:space="0"/>
              <w:right w:val="single" w:color="000000" w:sz="8" w:space="0"/>
            </w:tcBorders>
            <w:shd w:val="clear" w:color="auto" w:fill="auto"/>
            <w:vAlign w:val="center"/>
          </w:tcPr>
          <w:p w14:paraId="7D6F22CD">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具</w:t>
            </w:r>
          </w:p>
        </w:tc>
        <w:tc>
          <w:tcPr>
            <w:tcW w:w="1080" w:type="dxa"/>
            <w:tcBorders>
              <w:top w:val="nil"/>
              <w:left w:val="nil"/>
              <w:bottom w:val="single" w:color="000000" w:sz="8" w:space="0"/>
              <w:right w:val="single" w:color="000000" w:sz="8" w:space="0"/>
            </w:tcBorders>
            <w:shd w:val="clear" w:color="auto" w:fill="auto"/>
            <w:vAlign w:val="center"/>
          </w:tcPr>
          <w:p w14:paraId="2B780D21">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4000</w:t>
            </w:r>
          </w:p>
        </w:tc>
        <w:tc>
          <w:tcPr>
            <w:tcW w:w="4185" w:type="dxa"/>
            <w:tcBorders>
              <w:top w:val="nil"/>
              <w:left w:val="nil"/>
              <w:bottom w:val="single" w:color="000000" w:sz="8" w:space="0"/>
              <w:right w:val="single" w:color="000000" w:sz="8" w:space="0"/>
            </w:tcBorders>
            <w:shd w:val="clear" w:color="auto" w:fill="auto"/>
            <w:vAlign w:val="center"/>
          </w:tcPr>
          <w:p w14:paraId="77B58D27">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死亡后</w:t>
            </w:r>
            <w:r>
              <w:rPr>
                <w:rFonts w:ascii="Arial" w:hAnsi="Arial" w:eastAsia="宋体" w:cs="Arial"/>
                <w:color w:val="auto"/>
                <w:sz w:val="18"/>
                <w:szCs w:val="18"/>
                <w:highlight w:val="none"/>
              </w:rPr>
              <w:t>24</w:t>
            </w:r>
            <w:r>
              <w:rPr>
                <w:rFonts w:hint="eastAsia" w:ascii="宋体" w:hAnsi="宋体" w:eastAsia="宋体" w:cs="宋体"/>
                <w:color w:val="auto"/>
                <w:sz w:val="18"/>
                <w:szCs w:val="18"/>
                <w:highlight w:val="none"/>
              </w:rPr>
              <w:t>小时以外，含照相、录像、尸表检验、死亡原因、</w:t>
            </w:r>
            <w:r>
              <w:rPr>
                <w:rFonts w:ascii="Arial" w:hAnsi="Arial" w:eastAsia="宋体" w:cs="Arial"/>
                <w:color w:val="auto"/>
                <w:sz w:val="18"/>
                <w:szCs w:val="18"/>
                <w:highlight w:val="none"/>
              </w:rPr>
              <w:t xml:space="preserve"> </w:t>
            </w:r>
            <w:r>
              <w:rPr>
                <w:rFonts w:hint="eastAsia" w:ascii="宋体" w:hAnsi="宋体" w:eastAsia="宋体" w:cs="宋体"/>
                <w:color w:val="auto"/>
                <w:sz w:val="18"/>
                <w:szCs w:val="18"/>
                <w:highlight w:val="none"/>
              </w:rPr>
              <w:t>死亡方式、死亡时间、生前伤死后伤、致伤</w:t>
            </w:r>
            <w:r>
              <w:rPr>
                <w:rFonts w:ascii="Arial" w:hAnsi="Arial" w:eastAsia="宋体" w:cs="Arial"/>
                <w:color w:val="auto"/>
                <w:sz w:val="18"/>
                <w:szCs w:val="18"/>
                <w:highlight w:val="none"/>
              </w:rPr>
              <w:t>(</w:t>
            </w:r>
            <w:r>
              <w:rPr>
                <w:rFonts w:hint="eastAsia" w:ascii="宋体" w:hAnsi="宋体" w:eastAsia="宋体" w:cs="宋体"/>
                <w:color w:val="auto"/>
                <w:sz w:val="18"/>
                <w:szCs w:val="18"/>
                <w:highlight w:val="none"/>
              </w:rPr>
              <w:t>死</w:t>
            </w:r>
            <w:r>
              <w:rPr>
                <w:rFonts w:ascii="Arial" w:hAnsi="Arial" w:eastAsia="宋体" w:cs="Arial"/>
                <w:color w:val="auto"/>
                <w:sz w:val="18"/>
                <w:szCs w:val="18"/>
                <w:highlight w:val="none"/>
              </w:rPr>
              <w:t>)</w:t>
            </w:r>
            <w:r>
              <w:rPr>
                <w:rFonts w:hint="eastAsia" w:ascii="宋体" w:hAnsi="宋体" w:eastAsia="宋体" w:cs="宋体"/>
                <w:color w:val="auto"/>
                <w:sz w:val="18"/>
                <w:szCs w:val="18"/>
                <w:highlight w:val="none"/>
              </w:rPr>
              <w:t>物鉴定，不含组织学检查和毒物分析</w:t>
            </w:r>
          </w:p>
        </w:tc>
      </w:tr>
      <w:tr w14:paraId="5F9E4362">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0F7146AB">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4ED6B8A0">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生前伤死后伤鉴别</w:t>
            </w:r>
          </w:p>
        </w:tc>
        <w:tc>
          <w:tcPr>
            <w:tcW w:w="900" w:type="dxa"/>
            <w:tcBorders>
              <w:top w:val="nil"/>
              <w:left w:val="nil"/>
              <w:bottom w:val="single" w:color="000000" w:sz="8" w:space="0"/>
              <w:right w:val="single" w:color="000000" w:sz="8" w:space="0"/>
            </w:tcBorders>
            <w:shd w:val="clear" w:color="auto" w:fill="auto"/>
            <w:vAlign w:val="center"/>
          </w:tcPr>
          <w:p w14:paraId="5FBC71FD">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例</w:t>
            </w:r>
          </w:p>
        </w:tc>
        <w:tc>
          <w:tcPr>
            <w:tcW w:w="1080" w:type="dxa"/>
            <w:tcBorders>
              <w:top w:val="nil"/>
              <w:left w:val="nil"/>
              <w:bottom w:val="single" w:color="000000" w:sz="8" w:space="0"/>
              <w:right w:val="single" w:color="000000" w:sz="8" w:space="0"/>
            </w:tcBorders>
            <w:shd w:val="clear" w:color="auto" w:fill="auto"/>
            <w:vAlign w:val="center"/>
          </w:tcPr>
          <w:p w14:paraId="17F788A1">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1000</w:t>
            </w:r>
          </w:p>
        </w:tc>
        <w:tc>
          <w:tcPr>
            <w:tcW w:w="4185" w:type="dxa"/>
            <w:tcBorders>
              <w:top w:val="nil"/>
              <w:left w:val="nil"/>
              <w:bottom w:val="single" w:color="000000" w:sz="8" w:space="0"/>
              <w:right w:val="single" w:color="000000" w:sz="8" w:space="0"/>
            </w:tcBorders>
            <w:shd w:val="clear" w:color="auto" w:fill="auto"/>
            <w:vAlign w:val="center"/>
          </w:tcPr>
          <w:p w14:paraId="3F18DBBC">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仅适用于单做此项鉴定</w:t>
            </w:r>
          </w:p>
        </w:tc>
      </w:tr>
      <w:tr w14:paraId="2E60B3D0">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3CD34301">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21963A36">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致伤</w:t>
            </w:r>
            <w:r>
              <w:rPr>
                <w:rFonts w:ascii="Arial" w:hAnsi="Arial" w:eastAsia="宋体" w:cs="Arial"/>
                <w:color w:val="auto"/>
                <w:sz w:val="18"/>
                <w:szCs w:val="18"/>
                <w:highlight w:val="none"/>
              </w:rPr>
              <w:t>(</w:t>
            </w:r>
            <w:r>
              <w:rPr>
                <w:rFonts w:hint="eastAsia" w:ascii="宋体" w:hAnsi="宋体" w:eastAsia="宋体" w:cs="宋体"/>
                <w:color w:val="auto"/>
                <w:sz w:val="18"/>
                <w:szCs w:val="18"/>
                <w:highlight w:val="none"/>
              </w:rPr>
              <w:t>死</w:t>
            </w:r>
            <w:r>
              <w:rPr>
                <w:rFonts w:ascii="Arial" w:hAnsi="Arial" w:eastAsia="宋体" w:cs="Arial"/>
                <w:color w:val="auto"/>
                <w:sz w:val="18"/>
                <w:szCs w:val="18"/>
                <w:highlight w:val="none"/>
              </w:rPr>
              <w:t>)</w:t>
            </w:r>
            <w:r>
              <w:rPr>
                <w:rFonts w:hint="eastAsia" w:ascii="宋体" w:hAnsi="宋体" w:eastAsia="宋体" w:cs="宋体"/>
                <w:color w:val="auto"/>
                <w:sz w:val="18"/>
                <w:szCs w:val="18"/>
                <w:highlight w:val="none"/>
              </w:rPr>
              <w:t>物推断与认定</w:t>
            </w:r>
          </w:p>
        </w:tc>
        <w:tc>
          <w:tcPr>
            <w:tcW w:w="900" w:type="dxa"/>
            <w:tcBorders>
              <w:top w:val="nil"/>
              <w:left w:val="nil"/>
              <w:bottom w:val="single" w:color="000000" w:sz="8" w:space="0"/>
              <w:right w:val="single" w:color="000000" w:sz="8" w:space="0"/>
            </w:tcBorders>
            <w:shd w:val="clear" w:color="auto" w:fill="auto"/>
            <w:vAlign w:val="center"/>
          </w:tcPr>
          <w:p w14:paraId="54C5AA4E">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例</w:t>
            </w:r>
          </w:p>
        </w:tc>
        <w:tc>
          <w:tcPr>
            <w:tcW w:w="1080" w:type="dxa"/>
            <w:tcBorders>
              <w:top w:val="nil"/>
              <w:left w:val="nil"/>
              <w:bottom w:val="single" w:color="000000" w:sz="8" w:space="0"/>
              <w:right w:val="single" w:color="000000" w:sz="8" w:space="0"/>
            </w:tcBorders>
            <w:shd w:val="clear" w:color="auto" w:fill="auto"/>
            <w:vAlign w:val="center"/>
          </w:tcPr>
          <w:p w14:paraId="44B58921">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1000</w:t>
            </w:r>
          </w:p>
        </w:tc>
        <w:tc>
          <w:tcPr>
            <w:tcW w:w="4185" w:type="dxa"/>
            <w:tcBorders>
              <w:top w:val="nil"/>
              <w:left w:val="nil"/>
              <w:bottom w:val="single" w:color="000000" w:sz="8" w:space="0"/>
              <w:right w:val="single" w:color="000000" w:sz="8" w:space="0"/>
            </w:tcBorders>
            <w:shd w:val="clear" w:color="auto" w:fill="auto"/>
            <w:vAlign w:val="center"/>
          </w:tcPr>
          <w:p w14:paraId="5EA92FCD">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仅适用于单做此项鉴定</w:t>
            </w:r>
          </w:p>
        </w:tc>
      </w:tr>
      <w:tr w14:paraId="4946FF7C">
        <w:tblPrEx>
          <w:tblCellMar>
            <w:top w:w="0" w:type="dxa"/>
            <w:left w:w="108" w:type="dxa"/>
            <w:bottom w:w="0" w:type="dxa"/>
            <w:right w:w="108" w:type="dxa"/>
          </w:tblCellMar>
        </w:tblPrEx>
        <w:trPr>
          <w:trHeight w:val="319"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264486C5">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1322C144">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多器官组织学检查与鉴定</w:t>
            </w:r>
          </w:p>
        </w:tc>
        <w:tc>
          <w:tcPr>
            <w:tcW w:w="900" w:type="dxa"/>
            <w:tcBorders>
              <w:top w:val="nil"/>
              <w:left w:val="nil"/>
              <w:bottom w:val="single" w:color="000000" w:sz="8" w:space="0"/>
              <w:right w:val="single" w:color="000000" w:sz="8" w:space="0"/>
            </w:tcBorders>
            <w:shd w:val="clear" w:color="auto" w:fill="auto"/>
            <w:vAlign w:val="center"/>
          </w:tcPr>
          <w:p w14:paraId="0C17D7BC">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例</w:t>
            </w:r>
          </w:p>
        </w:tc>
        <w:tc>
          <w:tcPr>
            <w:tcW w:w="1080" w:type="dxa"/>
            <w:tcBorders>
              <w:top w:val="nil"/>
              <w:left w:val="nil"/>
              <w:bottom w:val="single" w:color="000000" w:sz="8" w:space="0"/>
              <w:right w:val="single" w:color="000000" w:sz="8" w:space="0"/>
            </w:tcBorders>
            <w:shd w:val="clear" w:color="auto" w:fill="auto"/>
            <w:vAlign w:val="center"/>
          </w:tcPr>
          <w:p w14:paraId="400EB97D">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3000</w:t>
            </w:r>
          </w:p>
        </w:tc>
        <w:tc>
          <w:tcPr>
            <w:tcW w:w="4185" w:type="dxa"/>
            <w:tcBorders>
              <w:top w:val="nil"/>
              <w:left w:val="nil"/>
              <w:bottom w:val="single" w:color="000000" w:sz="8" w:space="0"/>
              <w:right w:val="single" w:color="000000" w:sz="8" w:space="0"/>
            </w:tcBorders>
            <w:shd w:val="clear" w:color="auto" w:fill="auto"/>
            <w:vAlign w:val="center"/>
          </w:tcPr>
          <w:p w14:paraId="2B25B9AD">
            <w:pPr>
              <w:jc w:val="center"/>
              <w:rPr>
                <w:rFonts w:ascii="Arial" w:hAnsi="Arial" w:eastAsia="宋体" w:cs="Arial"/>
                <w:color w:val="auto"/>
                <w:sz w:val="18"/>
                <w:szCs w:val="18"/>
                <w:highlight w:val="none"/>
              </w:rPr>
            </w:pPr>
          </w:p>
        </w:tc>
      </w:tr>
      <w:tr w14:paraId="0EB35C04">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6E578F5C">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43E7EC1F">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病理组织切片检查</w:t>
            </w:r>
          </w:p>
        </w:tc>
        <w:tc>
          <w:tcPr>
            <w:tcW w:w="900" w:type="dxa"/>
            <w:tcBorders>
              <w:top w:val="nil"/>
              <w:left w:val="nil"/>
              <w:bottom w:val="single" w:color="000000" w:sz="8" w:space="0"/>
              <w:right w:val="single" w:color="000000" w:sz="8" w:space="0"/>
            </w:tcBorders>
            <w:shd w:val="clear" w:color="auto" w:fill="auto"/>
            <w:vAlign w:val="center"/>
          </w:tcPr>
          <w:p w14:paraId="315E7110">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张</w:t>
            </w:r>
          </w:p>
        </w:tc>
        <w:tc>
          <w:tcPr>
            <w:tcW w:w="1080" w:type="dxa"/>
            <w:tcBorders>
              <w:top w:val="nil"/>
              <w:left w:val="nil"/>
              <w:bottom w:val="single" w:color="000000" w:sz="8" w:space="0"/>
              <w:right w:val="single" w:color="000000" w:sz="8" w:space="0"/>
            </w:tcBorders>
            <w:shd w:val="clear" w:color="auto" w:fill="auto"/>
            <w:vAlign w:val="center"/>
          </w:tcPr>
          <w:p w14:paraId="2B0F8DA8">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70</w:t>
            </w:r>
          </w:p>
        </w:tc>
        <w:tc>
          <w:tcPr>
            <w:tcW w:w="4185" w:type="dxa"/>
            <w:tcBorders>
              <w:top w:val="nil"/>
              <w:left w:val="nil"/>
              <w:bottom w:val="single" w:color="000000" w:sz="8" w:space="0"/>
              <w:right w:val="single" w:color="000000" w:sz="8" w:space="0"/>
            </w:tcBorders>
            <w:shd w:val="clear" w:color="auto" w:fill="auto"/>
            <w:vAlign w:val="center"/>
          </w:tcPr>
          <w:p w14:paraId="566752FF">
            <w:pPr>
              <w:jc w:val="center"/>
              <w:rPr>
                <w:rFonts w:ascii="Arial" w:hAnsi="Arial" w:eastAsia="宋体" w:cs="Arial"/>
                <w:color w:val="auto"/>
                <w:sz w:val="18"/>
                <w:szCs w:val="18"/>
                <w:highlight w:val="none"/>
              </w:rPr>
            </w:pPr>
          </w:p>
        </w:tc>
      </w:tr>
      <w:tr w14:paraId="7C4D0989">
        <w:tblPrEx>
          <w:tblCellMar>
            <w:top w:w="0" w:type="dxa"/>
            <w:left w:w="108" w:type="dxa"/>
            <w:bottom w:w="0" w:type="dxa"/>
            <w:right w:w="108" w:type="dxa"/>
          </w:tblCellMar>
        </w:tblPrEx>
        <w:trPr>
          <w:trHeight w:val="46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00E57B87">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496F3A26">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特殊染色技术</w:t>
            </w:r>
          </w:p>
        </w:tc>
        <w:tc>
          <w:tcPr>
            <w:tcW w:w="900" w:type="dxa"/>
            <w:tcBorders>
              <w:top w:val="nil"/>
              <w:left w:val="nil"/>
              <w:bottom w:val="single" w:color="000000" w:sz="8" w:space="0"/>
              <w:right w:val="single" w:color="000000" w:sz="8" w:space="0"/>
            </w:tcBorders>
            <w:shd w:val="clear" w:color="auto" w:fill="auto"/>
            <w:vAlign w:val="center"/>
          </w:tcPr>
          <w:p w14:paraId="198AB558">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张</w:t>
            </w:r>
          </w:p>
        </w:tc>
        <w:tc>
          <w:tcPr>
            <w:tcW w:w="1080" w:type="dxa"/>
            <w:tcBorders>
              <w:top w:val="nil"/>
              <w:left w:val="nil"/>
              <w:bottom w:val="single" w:color="000000" w:sz="8" w:space="0"/>
              <w:right w:val="single" w:color="000000" w:sz="8" w:space="0"/>
            </w:tcBorders>
            <w:shd w:val="clear" w:color="auto" w:fill="auto"/>
            <w:vAlign w:val="center"/>
          </w:tcPr>
          <w:p w14:paraId="47CD2CFF">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100</w:t>
            </w:r>
          </w:p>
        </w:tc>
        <w:tc>
          <w:tcPr>
            <w:tcW w:w="4185" w:type="dxa"/>
            <w:tcBorders>
              <w:top w:val="nil"/>
              <w:left w:val="nil"/>
              <w:bottom w:val="single" w:color="000000" w:sz="8" w:space="0"/>
              <w:right w:val="single" w:color="000000" w:sz="8" w:space="0"/>
            </w:tcBorders>
            <w:shd w:val="clear" w:color="auto" w:fill="auto"/>
            <w:vAlign w:val="center"/>
          </w:tcPr>
          <w:p w14:paraId="6CCC47A8">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如特殊组织染色、组织化学染色、免疫组化染色、免疫荧光染色等</w:t>
            </w:r>
          </w:p>
        </w:tc>
      </w:tr>
      <w:tr w14:paraId="284C4F31">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0ED7AB98">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19D974CF">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电镜病理检查</w:t>
            </w:r>
          </w:p>
        </w:tc>
        <w:tc>
          <w:tcPr>
            <w:tcW w:w="900" w:type="dxa"/>
            <w:tcBorders>
              <w:top w:val="nil"/>
              <w:left w:val="nil"/>
              <w:bottom w:val="single" w:color="000000" w:sz="8" w:space="0"/>
              <w:right w:val="single" w:color="000000" w:sz="8" w:space="0"/>
            </w:tcBorders>
            <w:shd w:val="clear" w:color="auto" w:fill="auto"/>
            <w:vAlign w:val="center"/>
          </w:tcPr>
          <w:p w14:paraId="0E322FFB">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标本</w:t>
            </w:r>
          </w:p>
        </w:tc>
        <w:tc>
          <w:tcPr>
            <w:tcW w:w="1080" w:type="dxa"/>
            <w:tcBorders>
              <w:top w:val="nil"/>
              <w:left w:val="nil"/>
              <w:bottom w:val="single" w:color="000000" w:sz="8" w:space="0"/>
              <w:right w:val="single" w:color="000000" w:sz="8" w:space="0"/>
            </w:tcBorders>
            <w:shd w:val="clear" w:color="auto" w:fill="auto"/>
            <w:vAlign w:val="center"/>
          </w:tcPr>
          <w:p w14:paraId="480F676F">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300</w:t>
            </w:r>
          </w:p>
        </w:tc>
        <w:tc>
          <w:tcPr>
            <w:tcW w:w="4185" w:type="dxa"/>
            <w:tcBorders>
              <w:top w:val="nil"/>
              <w:left w:val="nil"/>
              <w:bottom w:val="single" w:color="000000" w:sz="8" w:space="0"/>
              <w:right w:val="single" w:color="000000" w:sz="8" w:space="0"/>
            </w:tcBorders>
            <w:shd w:val="clear" w:color="auto" w:fill="auto"/>
            <w:vAlign w:val="center"/>
          </w:tcPr>
          <w:p w14:paraId="2F1A4D1F">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电镜、免疫电镜、扫描电镜等</w:t>
            </w:r>
          </w:p>
        </w:tc>
      </w:tr>
      <w:tr w14:paraId="6D61EECE">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4816E98B">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1F2C2F12">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尸体</w:t>
            </w:r>
            <w:r>
              <w:rPr>
                <w:rFonts w:ascii="Arial" w:hAnsi="Arial" w:eastAsia="宋体" w:cs="Arial"/>
                <w:color w:val="auto"/>
                <w:sz w:val="18"/>
                <w:szCs w:val="18"/>
                <w:highlight w:val="none"/>
              </w:rPr>
              <w:t>X</w:t>
            </w:r>
            <w:r>
              <w:rPr>
                <w:rFonts w:hint="eastAsia" w:ascii="宋体" w:hAnsi="宋体" w:eastAsia="宋体" w:cs="宋体"/>
                <w:color w:val="auto"/>
                <w:sz w:val="18"/>
                <w:szCs w:val="18"/>
                <w:highlight w:val="none"/>
              </w:rPr>
              <w:t>光检验</w:t>
            </w:r>
          </w:p>
        </w:tc>
        <w:tc>
          <w:tcPr>
            <w:tcW w:w="900" w:type="dxa"/>
            <w:tcBorders>
              <w:top w:val="nil"/>
              <w:left w:val="nil"/>
              <w:bottom w:val="single" w:color="000000" w:sz="8" w:space="0"/>
              <w:right w:val="single" w:color="000000" w:sz="8" w:space="0"/>
            </w:tcBorders>
            <w:shd w:val="clear" w:color="auto" w:fill="auto"/>
            <w:vAlign w:val="center"/>
          </w:tcPr>
          <w:p w14:paraId="5FAF92BF">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张</w:t>
            </w:r>
          </w:p>
        </w:tc>
        <w:tc>
          <w:tcPr>
            <w:tcW w:w="1080" w:type="dxa"/>
            <w:tcBorders>
              <w:top w:val="nil"/>
              <w:left w:val="nil"/>
              <w:bottom w:val="single" w:color="000000" w:sz="8" w:space="0"/>
              <w:right w:val="single" w:color="000000" w:sz="8" w:space="0"/>
            </w:tcBorders>
            <w:shd w:val="clear" w:color="auto" w:fill="auto"/>
            <w:vAlign w:val="center"/>
          </w:tcPr>
          <w:p w14:paraId="52F8D28F">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80</w:t>
            </w:r>
          </w:p>
        </w:tc>
        <w:tc>
          <w:tcPr>
            <w:tcW w:w="4185" w:type="dxa"/>
            <w:tcBorders>
              <w:top w:val="nil"/>
              <w:left w:val="nil"/>
              <w:bottom w:val="single" w:color="000000" w:sz="8" w:space="0"/>
              <w:right w:val="single" w:color="000000" w:sz="8" w:space="0"/>
            </w:tcBorders>
            <w:shd w:val="clear" w:color="auto" w:fill="auto"/>
            <w:vAlign w:val="center"/>
          </w:tcPr>
          <w:p w14:paraId="0004E2AE">
            <w:pPr>
              <w:jc w:val="center"/>
              <w:rPr>
                <w:rFonts w:ascii="Arial" w:hAnsi="Arial" w:eastAsia="宋体" w:cs="Arial"/>
                <w:color w:val="auto"/>
                <w:sz w:val="18"/>
                <w:szCs w:val="18"/>
                <w:highlight w:val="none"/>
              </w:rPr>
            </w:pPr>
          </w:p>
        </w:tc>
      </w:tr>
      <w:tr w14:paraId="6FADCBBC">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74EB2E81">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70AE2275">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尸体</w:t>
            </w:r>
            <w:r>
              <w:rPr>
                <w:rFonts w:ascii="Arial" w:hAnsi="Arial" w:eastAsia="宋体" w:cs="Arial"/>
                <w:color w:val="auto"/>
                <w:sz w:val="18"/>
                <w:szCs w:val="18"/>
                <w:highlight w:val="none"/>
              </w:rPr>
              <w:t>CR</w:t>
            </w:r>
            <w:r>
              <w:rPr>
                <w:rFonts w:hint="eastAsia" w:ascii="宋体" w:hAnsi="宋体" w:eastAsia="宋体" w:cs="宋体"/>
                <w:color w:val="auto"/>
                <w:sz w:val="18"/>
                <w:szCs w:val="18"/>
                <w:highlight w:val="none"/>
              </w:rPr>
              <w:t>检验</w:t>
            </w:r>
          </w:p>
        </w:tc>
        <w:tc>
          <w:tcPr>
            <w:tcW w:w="900" w:type="dxa"/>
            <w:tcBorders>
              <w:top w:val="nil"/>
              <w:left w:val="nil"/>
              <w:bottom w:val="single" w:color="000000" w:sz="8" w:space="0"/>
              <w:right w:val="single" w:color="000000" w:sz="8" w:space="0"/>
            </w:tcBorders>
            <w:shd w:val="clear" w:color="auto" w:fill="auto"/>
            <w:vAlign w:val="center"/>
          </w:tcPr>
          <w:p w14:paraId="7A54E01F">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张</w:t>
            </w:r>
          </w:p>
        </w:tc>
        <w:tc>
          <w:tcPr>
            <w:tcW w:w="1080" w:type="dxa"/>
            <w:tcBorders>
              <w:top w:val="nil"/>
              <w:left w:val="nil"/>
              <w:bottom w:val="single" w:color="000000" w:sz="8" w:space="0"/>
              <w:right w:val="single" w:color="000000" w:sz="8" w:space="0"/>
            </w:tcBorders>
            <w:shd w:val="clear" w:color="auto" w:fill="auto"/>
            <w:vAlign w:val="center"/>
          </w:tcPr>
          <w:p w14:paraId="5E10DEC3">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150</w:t>
            </w:r>
          </w:p>
        </w:tc>
        <w:tc>
          <w:tcPr>
            <w:tcW w:w="4185" w:type="dxa"/>
            <w:tcBorders>
              <w:top w:val="nil"/>
              <w:left w:val="nil"/>
              <w:bottom w:val="single" w:color="000000" w:sz="8" w:space="0"/>
              <w:right w:val="single" w:color="000000" w:sz="8" w:space="0"/>
            </w:tcBorders>
            <w:shd w:val="clear" w:color="auto" w:fill="auto"/>
            <w:vAlign w:val="center"/>
          </w:tcPr>
          <w:p w14:paraId="3C51DF58">
            <w:pPr>
              <w:jc w:val="center"/>
              <w:rPr>
                <w:rFonts w:ascii="Arial" w:hAnsi="Arial" w:eastAsia="宋体" w:cs="Arial"/>
                <w:color w:val="auto"/>
                <w:sz w:val="18"/>
                <w:szCs w:val="18"/>
                <w:highlight w:val="none"/>
              </w:rPr>
            </w:pPr>
          </w:p>
        </w:tc>
      </w:tr>
      <w:tr w14:paraId="76D6BEEA">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758AE740">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1EF52BD0">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法医现场检查</w:t>
            </w:r>
          </w:p>
        </w:tc>
        <w:tc>
          <w:tcPr>
            <w:tcW w:w="900" w:type="dxa"/>
            <w:tcBorders>
              <w:top w:val="nil"/>
              <w:left w:val="nil"/>
              <w:bottom w:val="single" w:color="000000" w:sz="8" w:space="0"/>
              <w:right w:val="single" w:color="000000" w:sz="8" w:space="0"/>
            </w:tcBorders>
            <w:shd w:val="clear" w:color="auto" w:fill="auto"/>
            <w:vAlign w:val="center"/>
          </w:tcPr>
          <w:p w14:paraId="12E1EEBE">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例</w:t>
            </w:r>
          </w:p>
        </w:tc>
        <w:tc>
          <w:tcPr>
            <w:tcW w:w="1080" w:type="dxa"/>
            <w:tcBorders>
              <w:top w:val="nil"/>
              <w:left w:val="nil"/>
              <w:bottom w:val="single" w:color="000000" w:sz="8" w:space="0"/>
              <w:right w:val="single" w:color="000000" w:sz="8" w:space="0"/>
            </w:tcBorders>
            <w:shd w:val="clear" w:color="auto" w:fill="auto"/>
            <w:vAlign w:val="center"/>
          </w:tcPr>
          <w:p w14:paraId="35B8C890">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1000</w:t>
            </w:r>
          </w:p>
        </w:tc>
        <w:tc>
          <w:tcPr>
            <w:tcW w:w="4185" w:type="dxa"/>
            <w:tcBorders>
              <w:top w:val="nil"/>
              <w:left w:val="nil"/>
              <w:bottom w:val="single" w:color="000000" w:sz="8" w:space="0"/>
              <w:right w:val="single" w:color="000000" w:sz="8" w:space="0"/>
            </w:tcBorders>
            <w:shd w:val="clear" w:color="auto" w:fill="auto"/>
            <w:vAlign w:val="center"/>
          </w:tcPr>
          <w:p w14:paraId="7950FDB7">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进行现场勘验、物证搜集和现场重建工作</w:t>
            </w:r>
          </w:p>
        </w:tc>
      </w:tr>
      <w:tr w14:paraId="36964CED">
        <w:tblPrEx>
          <w:tblCellMar>
            <w:top w:w="0" w:type="dxa"/>
            <w:left w:w="108" w:type="dxa"/>
            <w:bottom w:w="0" w:type="dxa"/>
            <w:right w:w="108" w:type="dxa"/>
          </w:tblCellMar>
        </w:tblPrEx>
        <w:trPr>
          <w:trHeight w:val="309"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698D9F6B">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40CC822A">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法医病理鉴定文证审查</w:t>
            </w:r>
          </w:p>
        </w:tc>
        <w:tc>
          <w:tcPr>
            <w:tcW w:w="900" w:type="dxa"/>
            <w:tcBorders>
              <w:top w:val="nil"/>
              <w:left w:val="nil"/>
              <w:bottom w:val="single" w:color="000000" w:sz="8" w:space="0"/>
              <w:right w:val="single" w:color="000000" w:sz="8" w:space="0"/>
            </w:tcBorders>
            <w:shd w:val="clear" w:color="auto" w:fill="auto"/>
            <w:vAlign w:val="center"/>
          </w:tcPr>
          <w:p w14:paraId="7EFC05FF">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例</w:t>
            </w:r>
          </w:p>
        </w:tc>
        <w:tc>
          <w:tcPr>
            <w:tcW w:w="1080" w:type="dxa"/>
            <w:tcBorders>
              <w:top w:val="nil"/>
              <w:left w:val="nil"/>
              <w:bottom w:val="single" w:color="000000" w:sz="8" w:space="0"/>
              <w:right w:val="single" w:color="000000" w:sz="8" w:space="0"/>
            </w:tcBorders>
            <w:shd w:val="clear" w:color="auto" w:fill="auto"/>
            <w:vAlign w:val="center"/>
          </w:tcPr>
          <w:p w14:paraId="7AA5A0D2">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1200</w:t>
            </w:r>
          </w:p>
        </w:tc>
        <w:tc>
          <w:tcPr>
            <w:tcW w:w="4185" w:type="dxa"/>
            <w:tcBorders>
              <w:top w:val="nil"/>
              <w:left w:val="nil"/>
              <w:bottom w:val="single" w:color="000000" w:sz="8" w:space="0"/>
              <w:right w:val="single" w:color="000000" w:sz="8" w:space="0"/>
            </w:tcBorders>
            <w:shd w:val="clear" w:color="auto" w:fill="auto"/>
            <w:vAlign w:val="center"/>
          </w:tcPr>
          <w:p w14:paraId="1FF97C18">
            <w:pPr>
              <w:jc w:val="center"/>
              <w:rPr>
                <w:rFonts w:ascii="Arial" w:hAnsi="Arial" w:eastAsia="宋体" w:cs="Arial"/>
                <w:color w:val="auto"/>
                <w:sz w:val="18"/>
                <w:szCs w:val="18"/>
                <w:highlight w:val="none"/>
              </w:rPr>
            </w:pPr>
          </w:p>
        </w:tc>
      </w:tr>
      <w:tr w14:paraId="0738AA0E">
        <w:tblPrEx>
          <w:tblCellMar>
            <w:top w:w="0" w:type="dxa"/>
            <w:left w:w="108" w:type="dxa"/>
            <w:bottom w:w="0" w:type="dxa"/>
            <w:right w:w="108" w:type="dxa"/>
          </w:tblCellMar>
        </w:tblPrEx>
        <w:trPr>
          <w:trHeight w:val="560" w:hRule="atLeast"/>
        </w:trPr>
        <w:tc>
          <w:tcPr>
            <w:tcW w:w="825" w:type="dxa"/>
            <w:vMerge w:val="restart"/>
            <w:tcBorders>
              <w:top w:val="nil"/>
              <w:left w:val="single" w:color="000000" w:sz="8" w:space="0"/>
              <w:bottom w:val="single" w:color="000000" w:sz="8" w:space="0"/>
              <w:right w:val="single" w:color="000000" w:sz="8" w:space="0"/>
            </w:tcBorders>
            <w:shd w:val="clear" w:color="auto" w:fill="auto"/>
            <w:vAlign w:val="center"/>
          </w:tcPr>
          <w:p w14:paraId="75084CFC">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法医临床鉴定</w:t>
            </w:r>
          </w:p>
        </w:tc>
        <w:tc>
          <w:tcPr>
            <w:tcW w:w="2235" w:type="dxa"/>
            <w:vMerge w:val="restart"/>
            <w:tcBorders>
              <w:top w:val="nil"/>
              <w:left w:val="nil"/>
              <w:bottom w:val="single" w:color="000000" w:sz="8" w:space="0"/>
              <w:right w:val="single" w:color="000000" w:sz="8" w:space="0"/>
            </w:tcBorders>
            <w:shd w:val="clear" w:color="auto" w:fill="auto"/>
            <w:vAlign w:val="center"/>
          </w:tcPr>
          <w:p w14:paraId="203FE242">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损伤程度鉴定</w:t>
            </w:r>
          </w:p>
        </w:tc>
        <w:tc>
          <w:tcPr>
            <w:tcW w:w="900" w:type="dxa"/>
            <w:vMerge w:val="restart"/>
            <w:tcBorders>
              <w:top w:val="nil"/>
              <w:left w:val="nil"/>
              <w:bottom w:val="single" w:color="000000" w:sz="8" w:space="0"/>
              <w:right w:val="single" w:color="000000" w:sz="8" w:space="0"/>
            </w:tcBorders>
            <w:shd w:val="clear" w:color="auto" w:fill="auto"/>
            <w:vAlign w:val="center"/>
          </w:tcPr>
          <w:p w14:paraId="0B4B722B">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例</w:t>
            </w:r>
          </w:p>
        </w:tc>
        <w:tc>
          <w:tcPr>
            <w:tcW w:w="1080" w:type="dxa"/>
            <w:vMerge w:val="restart"/>
            <w:tcBorders>
              <w:top w:val="nil"/>
              <w:left w:val="nil"/>
              <w:bottom w:val="single" w:color="000000" w:sz="8" w:space="0"/>
              <w:right w:val="single" w:color="000000" w:sz="8" w:space="0"/>
            </w:tcBorders>
            <w:shd w:val="clear" w:color="auto" w:fill="auto"/>
            <w:vAlign w:val="center"/>
          </w:tcPr>
          <w:p w14:paraId="482CC00B">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500--800</w:t>
            </w:r>
          </w:p>
        </w:tc>
        <w:tc>
          <w:tcPr>
            <w:tcW w:w="4185" w:type="dxa"/>
            <w:tcBorders>
              <w:top w:val="nil"/>
              <w:left w:val="nil"/>
              <w:bottom w:val="nil"/>
              <w:right w:val="single" w:color="000000" w:sz="8" w:space="0"/>
            </w:tcBorders>
            <w:shd w:val="clear" w:color="auto" w:fill="auto"/>
            <w:vAlign w:val="center"/>
          </w:tcPr>
          <w:p w14:paraId="7109BE65">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只涉及体表损伤程度鉴定的，每例</w:t>
            </w:r>
            <w:r>
              <w:rPr>
                <w:rFonts w:ascii="Arial" w:hAnsi="Arial" w:eastAsia="宋体" w:cs="Arial"/>
                <w:color w:val="auto"/>
                <w:sz w:val="18"/>
                <w:szCs w:val="18"/>
                <w:highlight w:val="none"/>
              </w:rPr>
              <w:t>500</w:t>
            </w:r>
            <w:r>
              <w:rPr>
                <w:rFonts w:hint="eastAsia" w:ascii="宋体" w:hAnsi="宋体" w:eastAsia="宋体" w:cs="宋体"/>
                <w:color w:val="auto"/>
                <w:sz w:val="18"/>
                <w:szCs w:val="18"/>
                <w:highlight w:val="none"/>
              </w:rPr>
              <w:t>元；</w:t>
            </w:r>
          </w:p>
        </w:tc>
      </w:tr>
      <w:tr w14:paraId="4262E6A8">
        <w:tblPrEx>
          <w:tblCellMar>
            <w:top w:w="0" w:type="dxa"/>
            <w:left w:w="108" w:type="dxa"/>
            <w:bottom w:w="0" w:type="dxa"/>
            <w:right w:w="108" w:type="dxa"/>
          </w:tblCellMar>
        </w:tblPrEx>
        <w:trPr>
          <w:trHeight w:val="1520"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54B31B12">
            <w:pPr>
              <w:jc w:val="center"/>
              <w:rPr>
                <w:rFonts w:ascii="宋体" w:hAnsi="宋体" w:eastAsia="宋体" w:cs="宋体"/>
                <w:color w:val="auto"/>
                <w:sz w:val="18"/>
                <w:szCs w:val="18"/>
                <w:highlight w:val="none"/>
              </w:rPr>
            </w:pPr>
          </w:p>
        </w:tc>
        <w:tc>
          <w:tcPr>
            <w:tcW w:w="2235" w:type="dxa"/>
            <w:vMerge w:val="continue"/>
            <w:tcBorders>
              <w:top w:val="nil"/>
              <w:left w:val="nil"/>
              <w:bottom w:val="single" w:color="000000" w:sz="8" w:space="0"/>
              <w:right w:val="single" w:color="000000" w:sz="8" w:space="0"/>
            </w:tcBorders>
            <w:shd w:val="clear" w:color="auto" w:fill="auto"/>
            <w:vAlign w:val="center"/>
          </w:tcPr>
          <w:p w14:paraId="421EE050">
            <w:pPr>
              <w:jc w:val="center"/>
              <w:rPr>
                <w:rFonts w:ascii="宋体" w:hAnsi="宋体" w:eastAsia="宋体" w:cs="宋体"/>
                <w:color w:val="auto"/>
                <w:sz w:val="18"/>
                <w:szCs w:val="18"/>
                <w:highlight w:val="none"/>
              </w:rPr>
            </w:pPr>
          </w:p>
        </w:tc>
        <w:tc>
          <w:tcPr>
            <w:tcW w:w="900" w:type="dxa"/>
            <w:vMerge w:val="continue"/>
            <w:tcBorders>
              <w:top w:val="nil"/>
              <w:left w:val="nil"/>
              <w:bottom w:val="single" w:color="000000" w:sz="8" w:space="0"/>
              <w:right w:val="single" w:color="000000" w:sz="8" w:space="0"/>
            </w:tcBorders>
            <w:shd w:val="clear" w:color="auto" w:fill="auto"/>
            <w:vAlign w:val="center"/>
          </w:tcPr>
          <w:p w14:paraId="4097EB9D">
            <w:pPr>
              <w:jc w:val="center"/>
              <w:rPr>
                <w:rFonts w:ascii="宋体" w:hAnsi="宋体" w:eastAsia="宋体" w:cs="宋体"/>
                <w:color w:val="auto"/>
                <w:sz w:val="18"/>
                <w:szCs w:val="18"/>
                <w:highlight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634B16F">
            <w:pPr>
              <w:jc w:val="center"/>
              <w:rPr>
                <w:rFonts w:ascii="Arial" w:hAnsi="Arial" w:eastAsia="宋体" w:cs="Arial"/>
                <w:color w:val="auto"/>
                <w:sz w:val="18"/>
                <w:szCs w:val="18"/>
                <w:highlight w:val="none"/>
              </w:rPr>
            </w:pPr>
          </w:p>
        </w:tc>
        <w:tc>
          <w:tcPr>
            <w:tcW w:w="4185" w:type="dxa"/>
            <w:tcBorders>
              <w:top w:val="nil"/>
              <w:left w:val="nil"/>
              <w:bottom w:val="single" w:color="000000" w:sz="4" w:space="0"/>
              <w:right w:val="single" w:color="000000" w:sz="8" w:space="0"/>
            </w:tcBorders>
            <w:shd w:val="clear" w:color="auto" w:fill="auto"/>
            <w:vAlign w:val="center"/>
          </w:tcPr>
          <w:p w14:paraId="35C4D893">
            <w:pP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含活体检验、 活体照相，不含医学辅助检查费用；视觉、 听觉功能评定为基础，进行伤残程度鉴定或损伤程度鉴定， 功能评定作为伤残程度鉴定或损伤程度鉴定的基础和前提的，应当按伤残等级鉴定或损伤程度鉴定项目收费， 不另收视觉、听觉功能评定费用</w:t>
            </w:r>
          </w:p>
        </w:tc>
      </w:tr>
      <w:tr w14:paraId="3AA1E5E3">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442E518B">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4E3140D6">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伤病关系鉴定</w:t>
            </w:r>
          </w:p>
        </w:tc>
        <w:tc>
          <w:tcPr>
            <w:tcW w:w="900" w:type="dxa"/>
            <w:tcBorders>
              <w:top w:val="nil"/>
              <w:left w:val="nil"/>
              <w:bottom w:val="single" w:color="000000" w:sz="8" w:space="0"/>
              <w:right w:val="single" w:color="000000" w:sz="8" w:space="0"/>
            </w:tcBorders>
            <w:shd w:val="clear" w:color="auto" w:fill="auto"/>
            <w:vAlign w:val="center"/>
          </w:tcPr>
          <w:p w14:paraId="4860A304">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例</w:t>
            </w:r>
          </w:p>
        </w:tc>
        <w:tc>
          <w:tcPr>
            <w:tcW w:w="1080" w:type="dxa"/>
            <w:tcBorders>
              <w:top w:val="nil"/>
              <w:left w:val="nil"/>
              <w:bottom w:val="single" w:color="000000" w:sz="8" w:space="0"/>
              <w:right w:val="single" w:color="000000" w:sz="8" w:space="0"/>
            </w:tcBorders>
            <w:shd w:val="clear" w:color="auto" w:fill="auto"/>
            <w:vAlign w:val="center"/>
          </w:tcPr>
          <w:p w14:paraId="4E7CB9DF">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1000</w:t>
            </w:r>
          </w:p>
        </w:tc>
        <w:tc>
          <w:tcPr>
            <w:tcW w:w="4185" w:type="dxa"/>
            <w:tcBorders>
              <w:top w:val="nil"/>
              <w:left w:val="nil"/>
              <w:bottom w:val="single" w:color="000000" w:sz="8" w:space="0"/>
              <w:right w:val="single" w:color="000000" w:sz="8" w:space="0"/>
            </w:tcBorders>
            <w:shd w:val="clear" w:color="auto" w:fill="auto"/>
            <w:vAlign w:val="center"/>
          </w:tcPr>
          <w:p w14:paraId="0650C92C">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同上</w:t>
            </w:r>
          </w:p>
        </w:tc>
      </w:tr>
      <w:tr w14:paraId="61828E56">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639D1CFF">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44F3C0E2">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因果关系鉴定</w:t>
            </w:r>
          </w:p>
        </w:tc>
        <w:tc>
          <w:tcPr>
            <w:tcW w:w="900" w:type="dxa"/>
            <w:tcBorders>
              <w:top w:val="nil"/>
              <w:left w:val="nil"/>
              <w:bottom w:val="single" w:color="000000" w:sz="8" w:space="0"/>
              <w:right w:val="single" w:color="000000" w:sz="8" w:space="0"/>
            </w:tcBorders>
            <w:shd w:val="clear" w:color="auto" w:fill="auto"/>
            <w:vAlign w:val="center"/>
          </w:tcPr>
          <w:p w14:paraId="1CF4DF2C">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例</w:t>
            </w:r>
          </w:p>
        </w:tc>
        <w:tc>
          <w:tcPr>
            <w:tcW w:w="1080" w:type="dxa"/>
            <w:tcBorders>
              <w:top w:val="nil"/>
              <w:left w:val="nil"/>
              <w:bottom w:val="single" w:color="000000" w:sz="8" w:space="0"/>
              <w:right w:val="single" w:color="000000" w:sz="8" w:space="0"/>
            </w:tcBorders>
            <w:shd w:val="clear" w:color="auto" w:fill="auto"/>
            <w:vAlign w:val="center"/>
          </w:tcPr>
          <w:p w14:paraId="2B5B488B">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1500</w:t>
            </w:r>
          </w:p>
        </w:tc>
        <w:tc>
          <w:tcPr>
            <w:tcW w:w="4185" w:type="dxa"/>
            <w:tcBorders>
              <w:top w:val="nil"/>
              <w:left w:val="nil"/>
              <w:bottom w:val="single" w:color="000000" w:sz="8" w:space="0"/>
              <w:right w:val="single" w:color="000000" w:sz="8" w:space="0"/>
            </w:tcBorders>
            <w:shd w:val="clear" w:color="auto" w:fill="auto"/>
            <w:vAlign w:val="center"/>
          </w:tcPr>
          <w:p w14:paraId="68DB23F1">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同上</w:t>
            </w:r>
          </w:p>
        </w:tc>
      </w:tr>
      <w:tr w14:paraId="688DD4B8">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312E81E3">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08496E43">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听觉功能评定</w:t>
            </w:r>
          </w:p>
        </w:tc>
        <w:tc>
          <w:tcPr>
            <w:tcW w:w="900" w:type="dxa"/>
            <w:tcBorders>
              <w:top w:val="nil"/>
              <w:left w:val="nil"/>
              <w:bottom w:val="single" w:color="000000" w:sz="8" w:space="0"/>
              <w:right w:val="single" w:color="000000" w:sz="8" w:space="0"/>
            </w:tcBorders>
            <w:shd w:val="clear" w:color="auto" w:fill="auto"/>
            <w:vAlign w:val="center"/>
          </w:tcPr>
          <w:p w14:paraId="47F0532D">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例</w:t>
            </w:r>
          </w:p>
        </w:tc>
        <w:tc>
          <w:tcPr>
            <w:tcW w:w="1080" w:type="dxa"/>
            <w:tcBorders>
              <w:top w:val="nil"/>
              <w:left w:val="nil"/>
              <w:bottom w:val="single" w:color="000000" w:sz="8" w:space="0"/>
              <w:right w:val="single" w:color="000000" w:sz="8" w:space="0"/>
            </w:tcBorders>
            <w:shd w:val="clear" w:color="auto" w:fill="auto"/>
            <w:vAlign w:val="center"/>
          </w:tcPr>
          <w:p w14:paraId="6B0CFC88">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700</w:t>
            </w:r>
          </w:p>
        </w:tc>
        <w:tc>
          <w:tcPr>
            <w:tcW w:w="4185" w:type="dxa"/>
            <w:tcBorders>
              <w:top w:val="nil"/>
              <w:left w:val="nil"/>
              <w:bottom w:val="single" w:color="000000" w:sz="8" w:space="0"/>
              <w:right w:val="single" w:color="000000" w:sz="8" w:space="0"/>
            </w:tcBorders>
            <w:shd w:val="clear" w:color="auto" w:fill="auto"/>
            <w:vAlign w:val="center"/>
          </w:tcPr>
          <w:p w14:paraId="474B56B7">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同上</w:t>
            </w:r>
          </w:p>
        </w:tc>
      </w:tr>
      <w:tr w14:paraId="13CE1D0A">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6CD118A0">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46D930DE">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视觉功能评定</w:t>
            </w:r>
          </w:p>
        </w:tc>
        <w:tc>
          <w:tcPr>
            <w:tcW w:w="900" w:type="dxa"/>
            <w:tcBorders>
              <w:top w:val="nil"/>
              <w:left w:val="nil"/>
              <w:bottom w:val="single" w:color="000000" w:sz="8" w:space="0"/>
              <w:right w:val="single" w:color="000000" w:sz="8" w:space="0"/>
            </w:tcBorders>
            <w:shd w:val="clear" w:color="auto" w:fill="auto"/>
            <w:vAlign w:val="center"/>
          </w:tcPr>
          <w:p w14:paraId="39D36D0F">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例</w:t>
            </w:r>
          </w:p>
        </w:tc>
        <w:tc>
          <w:tcPr>
            <w:tcW w:w="1080" w:type="dxa"/>
            <w:tcBorders>
              <w:top w:val="nil"/>
              <w:left w:val="nil"/>
              <w:bottom w:val="single" w:color="000000" w:sz="8" w:space="0"/>
              <w:right w:val="single" w:color="000000" w:sz="8" w:space="0"/>
            </w:tcBorders>
            <w:shd w:val="clear" w:color="auto" w:fill="auto"/>
            <w:vAlign w:val="center"/>
          </w:tcPr>
          <w:p w14:paraId="7D1442A4">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700</w:t>
            </w:r>
          </w:p>
        </w:tc>
        <w:tc>
          <w:tcPr>
            <w:tcW w:w="4185" w:type="dxa"/>
            <w:tcBorders>
              <w:top w:val="nil"/>
              <w:left w:val="nil"/>
              <w:bottom w:val="single" w:color="000000" w:sz="8" w:space="0"/>
              <w:right w:val="single" w:color="000000" w:sz="8" w:space="0"/>
            </w:tcBorders>
            <w:shd w:val="clear" w:color="auto" w:fill="auto"/>
            <w:vAlign w:val="center"/>
          </w:tcPr>
          <w:p w14:paraId="0C6F4DF3">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同上</w:t>
            </w:r>
          </w:p>
        </w:tc>
      </w:tr>
      <w:tr w14:paraId="05C12D45">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425280E4">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3526F3EC">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致伤物和致伤方式推断</w:t>
            </w:r>
          </w:p>
        </w:tc>
        <w:tc>
          <w:tcPr>
            <w:tcW w:w="900" w:type="dxa"/>
            <w:tcBorders>
              <w:top w:val="nil"/>
              <w:left w:val="nil"/>
              <w:bottom w:val="single" w:color="000000" w:sz="8" w:space="0"/>
              <w:right w:val="single" w:color="000000" w:sz="8" w:space="0"/>
            </w:tcBorders>
            <w:shd w:val="clear" w:color="auto" w:fill="auto"/>
            <w:vAlign w:val="center"/>
          </w:tcPr>
          <w:p w14:paraId="1A99CB21">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例</w:t>
            </w:r>
          </w:p>
        </w:tc>
        <w:tc>
          <w:tcPr>
            <w:tcW w:w="1080" w:type="dxa"/>
            <w:tcBorders>
              <w:top w:val="nil"/>
              <w:left w:val="nil"/>
              <w:bottom w:val="single" w:color="000000" w:sz="8" w:space="0"/>
              <w:right w:val="single" w:color="000000" w:sz="8" w:space="0"/>
            </w:tcBorders>
            <w:shd w:val="clear" w:color="auto" w:fill="auto"/>
            <w:vAlign w:val="center"/>
          </w:tcPr>
          <w:p w14:paraId="40F90F91">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900</w:t>
            </w:r>
          </w:p>
        </w:tc>
        <w:tc>
          <w:tcPr>
            <w:tcW w:w="4185" w:type="dxa"/>
            <w:tcBorders>
              <w:top w:val="nil"/>
              <w:left w:val="nil"/>
              <w:bottom w:val="single" w:color="000000" w:sz="8" w:space="0"/>
              <w:right w:val="single" w:color="000000" w:sz="8" w:space="0"/>
            </w:tcBorders>
            <w:shd w:val="clear" w:color="auto" w:fill="auto"/>
            <w:vAlign w:val="center"/>
          </w:tcPr>
          <w:p w14:paraId="03345D18">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同上</w:t>
            </w:r>
          </w:p>
        </w:tc>
      </w:tr>
      <w:tr w14:paraId="2A47E4D4">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34D8C331">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56237748">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法医临床文证审查</w:t>
            </w:r>
          </w:p>
        </w:tc>
        <w:tc>
          <w:tcPr>
            <w:tcW w:w="900" w:type="dxa"/>
            <w:tcBorders>
              <w:top w:val="nil"/>
              <w:left w:val="nil"/>
              <w:bottom w:val="single" w:color="000000" w:sz="8" w:space="0"/>
              <w:right w:val="single" w:color="000000" w:sz="8" w:space="0"/>
            </w:tcBorders>
            <w:shd w:val="clear" w:color="auto" w:fill="auto"/>
            <w:vAlign w:val="center"/>
          </w:tcPr>
          <w:p w14:paraId="04A9E527">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例</w:t>
            </w:r>
          </w:p>
        </w:tc>
        <w:tc>
          <w:tcPr>
            <w:tcW w:w="1080" w:type="dxa"/>
            <w:tcBorders>
              <w:top w:val="nil"/>
              <w:left w:val="nil"/>
              <w:bottom w:val="single" w:color="000000" w:sz="8" w:space="0"/>
              <w:right w:val="single" w:color="000000" w:sz="8" w:space="0"/>
            </w:tcBorders>
            <w:shd w:val="clear" w:color="auto" w:fill="auto"/>
            <w:vAlign w:val="center"/>
          </w:tcPr>
          <w:p w14:paraId="3B6F2BFE">
            <w:pPr>
              <w:jc w:val="center"/>
              <w:textAlignment w:val="center"/>
              <w:rPr>
                <w:rFonts w:ascii="Arial" w:hAnsi="Arial" w:eastAsia="宋体" w:cs="Arial"/>
                <w:color w:val="auto"/>
                <w:sz w:val="18"/>
                <w:szCs w:val="18"/>
                <w:highlight w:val="none"/>
              </w:rPr>
            </w:pPr>
            <w:r>
              <w:rPr>
                <w:rFonts w:ascii="Arial" w:hAnsi="Arial" w:eastAsia="宋体" w:cs="Arial"/>
                <w:color w:val="auto"/>
                <w:sz w:val="18"/>
                <w:szCs w:val="18"/>
                <w:highlight w:val="none"/>
              </w:rPr>
              <w:t>800</w:t>
            </w:r>
          </w:p>
        </w:tc>
        <w:tc>
          <w:tcPr>
            <w:tcW w:w="4185" w:type="dxa"/>
            <w:tcBorders>
              <w:top w:val="nil"/>
              <w:left w:val="nil"/>
              <w:bottom w:val="single" w:color="000000" w:sz="8" w:space="0"/>
              <w:right w:val="single" w:color="000000" w:sz="8" w:space="0"/>
            </w:tcBorders>
            <w:shd w:val="clear" w:color="auto" w:fill="auto"/>
            <w:vAlign w:val="center"/>
          </w:tcPr>
          <w:p w14:paraId="40AA2F68">
            <w:pPr>
              <w:jc w:val="center"/>
              <w:rPr>
                <w:rFonts w:ascii="Arial" w:hAnsi="Arial" w:eastAsia="宋体" w:cs="Arial"/>
                <w:color w:val="auto"/>
                <w:sz w:val="18"/>
                <w:szCs w:val="18"/>
                <w:highlight w:val="none"/>
              </w:rPr>
            </w:pPr>
          </w:p>
        </w:tc>
      </w:tr>
      <w:tr w14:paraId="7226FDBD">
        <w:tblPrEx>
          <w:tblCellMar>
            <w:top w:w="0" w:type="dxa"/>
            <w:left w:w="108" w:type="dxa"/>
            <w:bottom w:w="0" w:type="dxa"/>
            <w:right w:w="108" w:type="dxa"/>
          </w:tblCellMar>
        </w:tblPrEx>
        <w:trPr>
          <w:trHeight w:val="300" w:hRule="atLeast"/>
        </w:trPr>
        <w:tc>
          <w:tcPr>
            <w:tcW w:w="825" w:type="dxa"/>
            <w:vMerge w:val="restart"/>
            <w:tcBorders>
              <w:top w:val="nil"/>
              <w:left w:val="single" w:color="000000" w:sz="8" w:space="0"/>
              <w:bottom w:val="single" w:color="000000" w:sz="8" w:space="0"/>
              <w:right w:val="single" w:color="000000" w:sz="8" w:space="0"/>
            </w:tcBorders>
            <w:shd w:val="clear" w:color="auto" w:fill="auto"/>
            <w:vAlign w:val="center"/>
          </w:tcPr>
          <w:p w14:paraId="708F7A41">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法医毒物</w:t>
            </w:r>
          </w:p>
        </w:tc>
        <w:tc>
          <w:tcPr>
            <w:tcW w:w="2235" w:type="dxa"/>
            <w:tcBorders>
              <w:top w:val="nil"/>
              <w:left w:val="nil"/>
              <w:bottom w:val="single" w:color="000000" w:sz="8" w:space="0"/>
              <w:right w:val="single" w:color="000000" w:sz="8" w:space="0"/>
            </w:tcBorders>
            <w:shd w:val="clear" w:color="auto" w:fill="auto"/>
            <w:vAlign w:val="center"/>
          </w:tcPr>
          <w:p w14:paraId="5143231E">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人体体液中乙醇定性定量分析</w:t>
            </w:r>
          </w:p>
        </w:tc>
        <w:tc>
          <w:tcPr>
            <w:tcW w:w="900" w:type="dxa"/>
            <w:tcBorders>
              <w:top w:val="nil"/>
              <w:left w:val="nil"/>
              <w:bottom w:val="single" w:color="000000" w:sz="8" w:space="0"/>
              <w:right w:val="single" w:color="000000" w:sz="8" w:space="0"/>
            </w:tcBorders>
            <w:shd w:val="clear" w:color="auto" w:fill="auto"/>
            <w:vAlign w:val="center"/>
          </w:tcPr>
          <w:p w14:paraId="32DEADBA">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样本</w:t>
            </w:r>
          </w:p>
        </w:tc>
        <w:tc>
          <w:tcPr>
            <w:tcW w:w="1080" w:type="dxa"/>
            <w:tcBorders>
              <w:top w:val="nil"/>
              <w:left w:val="nil"/>
              <w:bottom w:val="single" w:color="000000" w:sz="8" w:space="0"/>
              <w:right w:val="single" w:color="000000" w:sz="8" w:space="0"/>
            </w:tcBorders>
            <w:shd w:val="clear" w:color="auto" w:fill="auto"/>
            <w:vAlign w:val="center"/>
          </w:tcPr>
          <w:p w14:paraId="528D1C5D">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350</w:t>
            </w:r>
          </w:p>
        </w:tc>
        <w:tc>
          <w:tcPr>
            <w:tcW w:w="4185" w:type="dxa"/>
            <w:tcBorders>
              <w:top w:val="nil"/>
              <w:left w:val="nil"/>
              <w:bottom w:val="single" w:color="000000" w:sz="8" w:space="0"/>
              <w:right w:val="single" w:color="000000" w:sz="8" w:space="0"/>
            </w:tcBorders>
            <w:shd w:val="clear" w:color="auto" w:fill="auto"/>
            <w:vAlign w:val="center"/>
          </w:tcPr>
          <w:p w14:paraId="62953BEF">
            <w:pPr>
              <w:jc w:val="center"/>
              <w:textAlignment w:val="center"/>
              <w:rPr>
                <w:rFonts w:ascii="Arial" w:hAnsi="Arial" w:eastAsia="宋体" w:cs="Arial"/>
                <w:color w:val="auto"/>
                <w:sz w:val="18"/>
                <w:szCs w:val="18"/>
                <w:highlight w:val="none"/>
              </w:rPr>
            </w:pPr>
          </w:p>
        </w:tc>
      </w:tr>
      <w:tr w14:paraId="4B3F03C0">
        <w:tblPrEx>
          <w:tblCellMar>
            <w:top w:w="0" w:type="dxa"/>
            <w:left w:w="108" w:type="dxa"/>
            <w:bottom w:w="0" w:type="dxa"/>
            <w:right w:w="108" w:type="dxa"/>
          </w:tblCellMar>
        </w:tblPrEx>
        <w:trPr>
          <w:trHeight w:val="480"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0E45AB6A">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00E91369">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毛发中滥用药物定性分析</w:t>
            </w:r>
          </w:p>
        </w:tc>
        <w:tc>
          <w:tcPr>
            <w:tcW w:w="900" w:type="dxa"/>
            <w:tcBorders>
              <w:top w:val="nil"/>
              <w:left w:val="nil"/>
              <w:bottom w:val="single" w:color="000000" w:sz="8" w:space="0"/>
              <w:right w:val="single" w:color="000000" w:sz="8" w:space="0"/>
            </w:tcBorders>
            <w:shd w:val="clear" w:color="auto" w:fill="auto"/>
            <w:vAlign w:val="center"/>
          </w:tcPr>
          <w:p w14:paraId="64B8CE4D">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样本</w:t>
            </w:r>
            <w:r>
              <w:rPr>
                <w:rFonts w:ascii="Arial" w:hAnsi="Arial" w:eastAsia="宋体" w:cs="Arial"/>
                <w:color w:val="auto"/>
                <w:sz w:val="18"/>
                <w:szCs w:val="18"/>
                <w:highlight w:val="none"/>
              </w:rPr>
              <w:t xml:space="preserve"> · </w:t>
            </w:r>
            <w:r>
              <w:rPr>
                <w:rFonts w:hint="eastAsia" w:ascii="Arial" w:hAnsi="Arial" w:eastAsia="宋体" w:cs="Arial"/>
                <w:color w:val="auto"/>
                <w:sz w:val="18"/>
                <w:szCs w:val="18"/>
                <w:highlight w:val="none"/>
              </w:rPr>
              <w:t>目标物</w:t>
            </w:r>
          </w:p>
        </w:tc>
        <w:tc>
          <w:tcPr>
            <w:tcW w:w="1080" w:type="dxa"/>
            <w:tcBorders>
              <w:top w:val="nil"/>
              <w:left w:val="nil"/>
              <w:bottom w:val="single" w:color="000000" w:sz="8" w:space="0"/>
              <w:right w:val="single" w:color="000000" w:sz="8" w:space="0"/>
            </w:tcBorders>
            <w:shd w:val="clear" w:color="auto" w:fill="auto"/>
            <w:vAlign w:val="center"/>
          </w:tcPr>
          <w:p w14:paraId="56A8686D">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1200</w:t>
            </w:r>
          </w:p>
        </w:tc>
        <w:tc>
          <w:tcPr>
            <w:tcW w:w="4185" w:type="dxa"/>
            <w:tcBorders>
              <w:top w:val="nil"/>
              <w:left w:val="nil"/>
              <w:bottom w:val="single" w:color="000000" w:sz="8" w:space="0"/>
              <w:right w:val="single" w:color="000000" w:sz="8" w:space="0"/>
            </w:tcBorders>
            <w:shd w:val="clear" w:color="auto" w:fill="auto"/>
            <w:vAlign w:val="center"/>
          </w:tcPr>
          <w:p w14:paraId="33754E5E">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需定量分析的，每样本 · 目标物加收50%</w:t>
            </w:r>
          </w:p>
        </w:tc>
      </w:tr>
      <w:tr w14:paraId="629A7F67">
        <w:tblPrEx>
          <w:tblCellMar>
            <w:top w:w="0" w:type="dxa"/>
            <w:left w:w="108" w:type="dxa"/>
            <w:bottom w:w="0" w:type="dxa"/>
            <w:right w:w="108" w:type="dxa"/>
          </w:tblCellMar>
        </w:tblPrEx>
        <w:trPr>
          <w:trHeight w:val="480"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7C33DBA1">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393B7996">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常见挥发性毒物分析</w:t>
            </w:r>
          </w:p>
        </w:tc>
        <w:tc>
          <w:tcPr>
            <w:tcW w:w="900" w:type="dxa"/>
            <w:tcBorders>
              <w:top w:val="nil"/>
              <w:left w:val="nil"/>
              <w:bottom w:val="single" w:color="000000" w:sz="8" w:space="0"/>
              <w:right w:val="single" w:color="000000" w:sz="8" w:space="0"/>
            </w:tcBorders>
            <w:shd w:val="clear" w:color="auto" w:fill="auto"/>
            <w:vAlign w:val="center"/>
          </w:tcPr>
          <w:p w14:paraId="00A74E17">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样本</w:t>
            </w:r>
            <w:r>
              <w:rPr>
                <w:rFonts w:ascii="Arial" w:hAnsi="Arial" w:eastAsia="宋体" w:cs="Arial"/>
                <w:color w:val="auto"/>
                <w:sz w:val="18"/>
                <w:szCs w:val="18"/>
                <w:highlight w:val="none"/>
              </w:rPr>
              <w:t xml:space="preserve"> · </w:t>
            </w:r>
            <w:r>
              <w:rPr>
                <w:rFonts w:hint="eastAsia" w:ascii="Arial" w:hAnsi="Arial" w:eastAsia="宋体" w:cs="Arial"/>
                <w:color w:val="auto"/>
                <w:sz w:val="18"/>
                <w:szCs w:val="18"/>
                <w:highlight w:val="none"/>
              </w:rPr>
              <w:t>目标物</w:t>
            </w:r>
          </w:p>
        </w:tc>
        <w:tc>
          <w:tcPr>
            <w:tcW w:w="1080" w:type="dxa"/>
            <w:tcBorders>
              <w:top w:val="nil"/>
              <w:left w:val="nil"/>
              <w:bottom w:val="single" w:color="000000" w:sz="8" w:space="0"/>
              <w:right w:val="single" w:color="000000" w:sz="8" w:space="0"/>
            </w:tcBorders>
            <w:shd w:val="clear" w:color="auto" w:fill="auto"/>
            <w:vAlign w:val="center"/>
          </w:tcPr>
          <w:p w14:paraId="493FC094">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1000</w:t>
            </w:r>
          </w:p>
        </w:tc>
        <w:tc>
          <w:tcPr>
            <w:tcW w:w="4185" w:type="dxa"/>
            <w:tcBorders>
              <w:top w:val="nil"/>
              <w:left w:val="nil"/>
              <w:bottom w:val="single" w:color="000000" w:sz="8" w:space="0"/>
              <w:right w:val="single" w:color="000000" w:sz="8" w:space="0"/>
            </w:tcBorders>
            <w:shd w:val="clear" w:color="auto" w:fill="auto"/>
            <w:vAlign w:val="center"/>
          </w:tcPr>
          <w:p w14:paraId="5D381250">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同上</w:t>
            </w:r>
          </w:p>
        </w:tc>
      </w:tr>
      <w:tr w14:paraId="6C5A1F5C">
        <w:tblPrEx>
          <w:tblCellMar>
            <w:top w:w="0" w:type="dxa"/>
            <w:left w:w="108" w:type="dxa"/>
            <w:bottom w:w="0" w:type="dxa"/>
            <w:right w:w="108" w:type="dxa"/>
          </w:tblCellMar>
        </w:tblPrEx>
        <w:trPr>
          <w:trHeight w:val="480"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794D6FE1">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5BC65C75">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常见有机毒物分析</w:t>
            </w:r>
          </w:p>
        </w:tc>
        <w:tc>
          <w:tcPr>
            <w:tcW w:w="900" w:type="dxa"/>
            <w:tcBorders>
              <w:top w:val="nil"/>
              <w:left w:val="nil"/>
              <w:bottom w:val="single" w:color="000000" w:sz="8" w:space="0"/>
              <w:right w:val="single" w:color="000000" w:sz="8" w:space="0"/>
            </w:tcBorders>
            <w:shd w:val="clear" w:color="auto" w:fill="auto"/>
            <w:vAlign w:val="center"/>
          </w:tcPr>
          <w:p w14:paraId="625F8641">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样本</w:t>
            </w:r>
            <w:r>
              <w:rPr>
                <w:rFonts w:ascii="Arial" w:hAnsi="Arial" w:eastAsia="宋体" w:cs="Arial"/>
                <w:color w:val="auto"/>
                <w:sz w:val="18"/>
                <w:szCs w:val="18"/>
                <w:highlight w:val="none"/>
              </w:rPr>
              <w:t xml:space="preserve"> · </w:t>
            </w:r>
            <w:r>
              <w:rPr>
                <w:rFonts w:hint="eastAsia" w:ascii="Arial" w:hAnsi="Arial" w:eastAsia="宋体" w:cs="Arial"/>
                <w:color w:val="auto"/>
                <w:sz w:val="18"/>
                <w:szCs w:val="18"/>
                <w:highlight w:val="none"/>
              </w:rPr>
              <w:t>目标物</w:t>
            </w:r>
          </w:p>
        </w:tc>
        <w:tc>
          <w:tcPr>
            <w:tcW w:w="1080" w:type="dxa"/>
            <w:tcBorders>
              <w:top w:val="nil"/>
              <w:left w:val="nil"/>
              <w:bottom w:val="single" w:color="000000" w:sz="8" w:space="0"/>
              <w:right w:val="single" w:color="000000" w:sz="8" w:space="0"/>
            </w:tcBorders>
            <w:shd w:val="clear" w:color="auto" w:fill="auto"/>
            <w:vAlign w:val="center"/>
          </w:tcPr>
          <w:p w14:paraId="789D9E84">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1000</w:t>
            </w:r>
          </w:p>
        </w:tc>
        <w:tc>
          <w:tcPr>
            <w:tcW w:w="4185" w:type="dxa"/>
            <w:tcBorders>
              <w:top w:val="nil"/>
              <w:left w:val="nil"/>
              <w:bottom w:val="single" w:color="000000" w:sz="8" w:space="0"/>
              <w:right w:val="single" w:color="000000" w:sz="8" w:space="0"/>
            </w:tcBorders>
            <w:shd w:val="clear" w:color="auto" w:fill="auto"/>
            <w:vAlign w:val="center"/>
          </w:tcPr>
          <w:p w14:paraId="42D9DFD4">
            <w:pP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同上</w:t>
            </w:r>
          </w:p>
        </w:tc>
      </w:tr>
      <w:tr w14:paraId="71D4CFCC">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auto" w:sz="4" w:space="0"/>
              <w:right w:val="single" w:color="000000" w:sz="8" w:space="0"/>
            </w:tcBorders>
            <w:shd w:val="clear" w:color="auto" w:fill="auto"/>
            <w:vAlign w:val="center"/>
          </w:tcPr>
          <w:p w14:paraId="4CAB64F2">
            <w:pPr>
              <w:jc w:val="center"/>
              <w:rPr>
                <w:rFonts w:ascii="宋体" w:hAnsi="宋体" w:eastAsia="宋体" w:cs="宋体"/>
                <w:color w:val="auto"/>
                <w:sz w:val="18"/>
                <w:szCs w:val="18"/>
                <w:highlight w:val="none"/>
              </w:rPr>
            </w:pPr>
          </w:p>
        </w:tc>
        <w:tc>
          <w:tcPr>
            <w:tcW w:w="2235" w:type="dxa"/>
            <w:tcBorders>
              <w:top w:val="nil"/>
              <w:left w:val="nil"/>
              <w:bottom w:val="single" w:color="auto" w:sz="4" w:space="0"/>
              <w:right w:val="single" w:color="000000" w:sz="8" w:space="0"/>
            </w:tcBorders>
            <w:shd w:val="clear" w:color="auto" w:fill="auto"/>
            <w:vAlign w:val="center"/>
          </w:tcPr>
          <w:p w14:paraId="2449E9AE">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法医毒物鉴定文证审查</w:t>
            </w:r>
          </w:p>
        </w:tc>
        <w:tc>
          <w:tcPr>
            <w:tcW w:w="900" w:type="dxa"/>
            <w:tcBorders>
              <w:top w:val="nil"/>
              <w:left w:val="nil"/>
              <w:bottom w:val="single" w:color="000000" w:sz="8" w:space="0"/>
              <w:right w:val="single" w:color="000000" w:sz="8" w:space="0"/>
            </w:tcBorders>
            <w:shd w:val="clear" w:color="auto" w:fill="auto"/>
            <w:vAlign w:val="center"/>
          </w:tcPr>
          <w:p w14:paraId="0DD5CD3A">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例</w:t>
            </w:r>
          </w:p>
        </w:tc>
        <w:tc>
          <w:tcPr>
            <w:tcW w:w="1080" w:type="dxa"/>
            <w:tcBorders>
              <w:top w:val="nil"/>
              <w:left w:val="nil"/>
              <w:bottom w:val="single" w:color="000000" w:sz="8" w:space="0"/>
              <w:right w:val="single" w:color="000000" w:sz="8" w:space="0"/>
            </w:tcBorders>
            <w:shd w:val="clear" w:color="auto" w:fill="auto"/>
            <w:vAlign w:val="center"/>
          </w:tcPr>
          <w:p w14:paraId="19E47383">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800</w:t>
            </w:r>
          </w:p>
        </w:tc>
        <w:tc>
          <w:tcPr>
            <w:tcW w:w="4185" w:type="dxa"/>
            <w:tcBorders>
              <w:top w:val="nil"/>
              <w:left w:val="nil"/>
              <w:bottom w:val="single" w:color="000000" w:sz="8" w:space="0"/>
              <w:right w:val="single" w:color="000000" w:sz="8" w:space="0"/>
            </w:tcBorders>
            <w:shd w:val="clear" w:color="auto" w:fill="auto"/>
            <w:vAlign w:val="center"/>
          </w:tcPr>
          <w:p w14:paraId="1250B973">
            <w:pPr>
              <w:jc w:val="both"/>
              <w:rPr>
                <w:rFonts w:ascii="宋体" w:hAnsi="宋体" w:eastAsia="宋体" w:cs="宋体"/>
                <w:color w:val="auto"/>
                <w:sz w:val="18"/>
                <w:szCs w:val="18"/>
                <w:highlight w:val="none"/>
              </w:rPr>
            </w:pPr>
          </w:p>
        </w:tc>
      </w:tr>
      <w:tr w14:paraId="11FFB529">
        <w:tblPrEx>
          <w:tblCellMar>
            <w:top w:w="0" w:type="dxa"/>
            <w:left w:w="108" w:type="dxa"/>
            <w:bottom w:w="0" w:type="dxa"/>
            <w:right w:w="108" w:type="dxa"/>
          </w:tblCellMar>
        </w:tblPrEx>
        <w:trPr>
          <w:trHeight w:val="285" w:hRule="atLeast"/>
        </w:trPr>
        <w:tc>
          <w:tcPr>
            <w:tcW w:w="825" w:type="dxa"/>
            <w:vMerge w:val="restart"/>
            <w:tcBorders>
              <w:top w:val="single" w:color="auto" w:sz="4" w:space="0"/>
              <w:left w:val="single" w:color="000000" w:sz="8" w:space="0"/>
              <w:right w:val="single" w:color="000000" w:sz="8" w:space="0"/>
            </w:tcBorders>
            <w:shd w:val="clear" w:color="auto" w:fill="auto"/>
            <w:vAlign w:val="center"/>
          </w:tcPr>
          <w:p w14:paraId="2C774D6E">
            <w:pPr>
              <w:jc w:val="center"/>
              <w:rPr>
                <w:rFonts w:ascii="宋体" w:hAnsi="宋体" w:eastAsia="宋体" w:cs="宋体"/>
                <w:color w:val="auto"/>
                <w:sz w:val="18"/>
                <w:szCs w:val="18"/>
                <w:highlight w:val="none"/>
              </w:rPr>
            </w:pPr>
            <w:r>
              <w:rPr>
                <w:rFonts w:hint="eastAsia" w:ascii="宋体" w:hAnsi="宋体" w:cs="宋体"/>
                <w:color w:val="auto"/>
                <w:sz w:val="18"/>
                <w:szCs w:val="18"/>
                <w:highlight w:val="none"/>
              </w:rPr>
              <w:t>痕迹鉴定</w:t>
            </w:r>
          </w:p>
        </w:tc>
        <w:tc>
          <w:tcPr>
            <w:tcW w:w="2235" w:type="dxa"/>
            <w:tcBorders>
              <w:top w:val="single" w:color="auto" w:sz="4" w:space="0"/>
              <w:left w:val="nil"/>
              <w:bottom w:val="single" w:color="000000" w:sz="8" w:space="0"/>
              <w:right w:val="single" w:color="000000" w:sz="8" w:space="0"/>
            </w:tcBorders>
            <w:shd w:val="clear" w:color="auto" w:fill="auto"/>
            <w:vAlign w:val="center"/>
          </w:tcPr>
          <w:p w14:paraId="33CEC33D">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整体分离痕迹鉴定</w:t>
            </w:r>
          </w:p>
        </w:tc>
        <w:tc>
          <w:tcPr>
            <w:tcW w:w="900" w:type="dxa"/>
            <w:tcBorders>
              <w:top w:val="nil"/>
              <w:left w:val="nil"/>
              <w:bottom w:val="single" w:color="000000" w:sz="8" w:space="0"/>
              <w:right w:val="single" w:color="000000" w:sz="8" w:space="0"/>
            </w:tcBorders>
            <w:shd w:val="clear" w:color="auto" w:fill="auto"/>
            <w:vAlign w:val="center"/>
          </w:tcPr>
          <w:p w14:paraId="7D99AFC3">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件</w:t>
            </w:r>
          </w:p>
        </w:tc>
        <w:tc>
          <w:tcPr>
            <w:tcW w:w="1080" w:type="dxa"/>
            <w:tcBorders>
              <w:top w:val="nil"/>
              <w:left w:val="nil"/>
              <w:bottom w:val="single" w:color="000000" w:sz="8" w:space="0"/>
              <w:right w:val="single" w:color="000000" w:sz="8" w:space="0"/>
            </w:tcBorders>
            <w:shd w:val="clear" w:color="auto" w:fill="auto"/>
            <w:vAlign w:val="center"/>
          </w:tcPr>
          <w:p w14:paraId="1046D292">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630</w:t>
            </w:r>
          </w:p>
        </w:tc>
        <w:tc>
          <w:tcPr>
            <w:tcW w:w="4185" w:type="dxa"/>
            <w:tcBorders>
              <w:top w:val="nil"/>
              <w:left w:val="nil"/>
              <w:bottom w:val="single" w:color="000000" w:sz="8" w:space="0"/>
              <w:right w:val="single" w:color="000000" w:sz="8" w:space="0"/>
            </w:tcBorders>
            <w:shd w:val="clear" w:color="auto" w:fill="auto"/>
            <w:vAlign w:val="center"/>
          </w:tcPr>
          <w:p w14:paraId="61029292">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痕迹鉴定均以检材数量为单位基数，不计样本数量</w:t>
            </w:r>
          </w:p>
        </w:tc>
      </w:tr>
      <w:tr w14:paraId="3B99C3E1">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569EA286">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6CF5A0D6">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车辆轮迹鉴定</w:t>
            </w:r>
          </w:p>
        </w:tc>
        <w:tc>
          <w:tcPr>
            <w:tcW w:w="900" w:type="dxa"/>
            <w:tcBorders>
              <w:top w:val="nil"/>
              <w:left w:val="nil"/>
              <w:bottom w:val="single" w:color="000000" w:sz="8" w:space="0"/>
              <w:right w:val="single" w:color="000000" w:sz="8" w:space="0"/>
            </w:tcBorders>
            <w:shd w:val="clear" w:color="auto" w:fill="auto"/>
            <w:vAlign w:val="center"/>
          </w:tcPr>
          <w:p w14:paraId="260AD492">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个</w:t>
            </w:r>
          </w:p>
        </w:tc>
        <w:tc>
          <w:tcPr>
            <w:tcW w:w="1080" w:type="dxa"/>
            <w:tcBorders>
              <w:top w:val="nil"/>
              <w:left w:val="nil"/>
              <w:bottom w:val="single" w:color="000000" w:sz="8" w:space="0"/>
              <w:right w:val="single" w:color="000000" w:sz="8" w:space="0"/>
            </w:tcBorders>
            <w:shd w:val="clear" w:color="auto" w:fill="auto"/>
            <w:vAlign w:val="center"/>
          </w:tcPr>
          <w:p w14:paraId="3F8C4F13">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1000</w:t>
            </w:r>
          </w:p>
        </w:tc>
        <w:tc>
          <w:tcPr>
            <w:tcW w:w="4185" w:type="dxa"/>
            <w:tcBorders>
              <w:top w:val="nil"/>
              <w:left w:val="nil"/>
              <w:bottom w:val="single" w:color="000000" w:sz="8" w:space="0"/>
              <w:right w:val="single" w:color="000000" w:sz="8" w:space="0"/>
            </w:tcBorders>
            <w:shd w:val="clear" w:color="auto" w:fill="auto"/>
            <w:vAlign w:val="center"/>
          </w:tcPr>
          <w:p w14:paraId="23C9C920">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同上</w:t>
            </w:r>
          </w:p>
        </w:tc>
      </w:tr>
      <w:tr w14:paraId="2826E4C0">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72328337">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728E8FEC">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车辆痕迹鉴定</w:t>
            </w:r>
          </w:p>
        </w:tc>
        <w:tc>
          <w:tcPr>
            <w:tcW w:w="900" w:type="dxa"/>
            <w:tcBorders>
              <w:top w:val="nil"/>
              <w:left w:val="nil"/>
              <w:bottom w:val="single" w:color="000000" w:sz="8" w:space="0"/>
              <w:right w:val="single" w:color="000000" w:sz="8" w:space="0"/>
            </w:tcBorders>
            <w:shd w:val="clear" w:color="auto" w:fill="auto"/>
            <w:vAlign w:val="center"/>
          </w:tcPr>
          <w:p w14:paraId="6360A85B">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辆</w:t>
            </w:r>
          </w:p>
        </w:tc>
        <w:tc>
          <w:tcPr>
            <w:tcW w:w="1080" w:type="dxa"/>
            <w:tcBorders>
              <w:top w:val="nil"/>
              <w:left w:val="nil"/>
              <w:bottom w:val="single" w:color="000000" w:sz="8" w:space="0"/>
              <w:right w:val="single" w:color="000000" w:sz="8" w:space="0"/>
            </w:tcBorders>
            <w:shd w:val="clear" w:color="auto" w:fill="auto"/>
            <w:vAlign w:val="center"/>
          </w:tcPr>
          <w:p w14:paraId="7A629E2A">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1450</w:t>
            </w:r>
          </w:p>
        </w:tc>
        <w:tc>
          <w:tcPr>
            <w:tcW w:w="4185" w:type="dxa"/>
            <w:tcBorders>
              <w:top w:val="nil"/>
              <w:left w:val="nil"/>
              <w:bottom w:val="single" w:color="000000" w:sz="8" w:space="0"/>
              <w:right w:val="single" w:color="000000" w:sz="8" w:space="0"/>
            </w:tcBorders>
            <w:shd w:val="clear" w:color="auto" w:fill="auto"/>
            <w:vAlign w:val="center"/>
          </w:tcPr>
          <w:p w14:paraId="4E06C52D">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同上</w:t>
            </w:r>
          </w:p>
        </w:tc>
      </w:tr>
      <w:tr w14:paraId="3EC24078">
        <w:tblPrEx>
          <w:tblCellMar>
            <w:top w:w="0" w:type="dxa"/>
            <w:left w:w="108" w:type="dxa"/>
            <w:bottom w:w="0" w:type="dxa"/>
            <w:right w:w="108" w:type="dxa"/>
          </w:tblCellMar>
        </w:tblPrEx>
        <w:trPr>
          <w:trHeight w:val="297"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388D9F7C">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2B272E73">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车辆速度鉴定</w:t>
            </w:r>
          </w:p>
        </w:tc>
        <w:tc>
          <w:tcPr>
            <w:tcW w:w="900" w:type="dxa"/>
            <w:tcBorders>
              <w:top w:val="nil"/>
              <w:left w:val="nil"/>
              <w:bottom w:val="single" w:color="000000" w:sz="8" w:space="0"/>
              <w:right w:val="single" w:color="000000" w:sz="8" w:space="0"/>
            </w:tcBorders>
            <w:shd w:val="clear" w:color="auto" w:fill="auto"/>
            <w:vAlign w:val="center"/>
          </w:tcPr>
          <w:p w14:paraId="4A2CD524">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辆</w:t>
            </w:r>
          </w:p>
        </w:tc>
        <w:tc>
          <w:tcPr>
            <w:tcW w:w="1080" w:type="dxa"/>
            <w:tcBorders>
              <w:top w:val="nil"/>
              <w:left w:val="nil"/>
              <w:bottom w:val="single" w:color="000000" w:sz="8" w:space="0"/>
              <w:right w:val="single" w:color="000000" w:sz="8" w:space="0"/>
            </w:tcBorders>
            <w:shd w:val="clear" w:color="auto" w:fill="auto"/>
            <w:vAlign w:val="center"/>
          </w:tcPr>
          <w:p w14:paraId="6FBB641C">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1500</w:t>
            </w:r>
          </w:p>
        </w:tc>
        <w:tc>
          <w:tcPr>
            <w:tcW w:w="4185" w:type="dxa"/>
            <w:tcBorders>
              <w:top w:val="nil"/>
              <w:left w:val="nil"/>
              <w:bottom w:val="single" w:color="000000" w:sz="8" w:space="0"/>
              <w:right w:val="single" w:color="000000" w:sz="8" w:space="0"/>
            </w:tcBorders>
            <w:shd w:val="clear" w:color="auto" w:fill="auto"/>
            <w:vAlign w:val="center"/>
          </w:tcPr>
          <w:p w14:paraId="3548FB6E">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同上</w:t>
            </w:r>
          </w:p>
        </w:tc>
      </w:tr>
      <w:tr w14:paraId="442FCE3F">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3CB5B65B">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60F90064">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痕迹鉴定文证审查</w:t>
            </w:r>
          </w:p>
        </w:tc>
        <w:tc>
          <w:tcPr>
            <w:tcW w:w="900" w:type="dxa"/>
            <w:tcBorders>
              <w:top w:val="nil"/>
              <w:left w:val="nil"/>
              <w:bottom w:val="single" w:color="000000" w:sz="8" w:space="0"/>
              <w:right w:val="single" w:color="000000" w:sz="8" w:space="0"/>
            </w:tcBorders>
            <w:shd w:val="clear" w:color="auto" w:fill="auto"/>
            <w:vAlign w:val="center"/>
          </w:tcPr>
          <w:p w14:paraId="6740894E">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例</w:t>
            </w:r>
          </w:p>
        </w:tc>
        <w:tc>
          <w:tcPr>
            <w:tcW w:w="1080" w:type="dxa"/>
            <w:tcBorders>
              <w:top w:val="nil"/>
              <w:left w:val="nil"/>
              <w:bottom w:val="single" w:color="000000" w:sz="8" w:space="0"/>
              <w:right w:val="single" w:color="000000" w:sz="8" w:space="0"/>
            </w:tcBorders>
            <w:shd w:val="clear" w:color="auto" w:fill="auto"/>
            <w:vAlign w:val="center"/>
          </w:tcPr>
          <w:p w14:paraId="037D18E4">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800</w:t>
            </w:r>
          </w:p>
        </w:tc>
        <w:tc>
          <w:tcPr>
            <w:tcW w:w="4185" w:type="dxa"/>
            <w:tcBorders>
              <w:top w:val="nil"/>
              <w:left w:val="nil"/>
              <w:bottom w:val="single" w:color="000000" w:sz="8" w:space="0"/>
              <w:right w:val="single" w:color="000000" w:sz="8" w:space="0"/>
            </w:tcBorders>
            <w:shd w:val="clear" w:color="auto" w:fill="auto"/>
            <w:vAlign w:val="center"/>
          </w:tcPr>
          <w:p w14:paraId="77B230FB">
            <w:pPr>
              <w:jc w:val="center"/>
              <w:textAlignment w:val="center"/>
              <w:rPr>
                <w:rFonts w:ascii="宋体" w:hAnsi="宋体" w:eastAsia="宋体" w:cs="宋体"/>
                <w:color w:val="auto"/>
                <w:sz w:val="18"/>
                <w:szCs w:val="18"/>
                <w:highlight w:val="none"/>
              </w:rPr>
            </w:pPr>
          </w:p>
        </w:tc>
      </w:tr>
      <w:tr w14:paraId="7E36370A">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0C0169FE">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15F1CCE8">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车辆安全技术状况鉴定</w:t>
            </w:r>
          </w:p>
        </w:tc>
        <w:tc>
          <w:tcPr>
            <w:tcW w:w="900" w:type="dxa"/>
            <w:tcBorders>
              <w:top w:val="nil"/>
              <w:left w:val="nil"/>
              <w:bottom w:val="single" w:color="000000" w:sz="8" w:space="0"/>
              <w:right w:val="single" w:color="000000" w:sz="8" w:space="0"/>
            </w:tcBorders>
            <w:shd w:val="clear" w:color="auto" w:fill="auto"/>
            <w:vAlign w:val="center"/>
          </w:tcPr>
          <w:p w14:paraId="75EA3429">
            <w:pPr>
              <w:jc w:val="center"/>
              <w:textAlignment w:val="center"/>
              <w:rPr>
                <w:rFonts w:ascii="Arial" w:hAnsi="Arial" w:eastAsia="宋体" w:cs="Arial"/>
                <w:color w:val="auto"/>
                <w:sz w:val="18"/>
                <w:szCs w:val="18"/>
                <w:highlight w:val="none"/>
              </w:rPr>
            </w:pPr>
            <w:r>
              <w:rPr>
                <w:rFonts w:hint="eastAsia" w:ascii="Arial" w:hAnsi="Arial" w:eastAsia="宋体" w:cs="Arial"/>
                <w:color w:val="auto"/>
                <w:sz w:val="18"/>
                <w:szCs w:val="18"/>
                <w:highlight w:val="none"/>
              </w:rPr>
              <w:t>辆</w:t>
            </w:r>
          </w:p>
        </w:tc>
        <w:tc>
          <w:tcPr>
            <w:tcW w:w="1080" w:type="dxa"/>
            <w:tcBorders>
              <w:top w:val="nil"/>
              <w:left w:val="nil"/>
              <w:bottom w:val="single" w:color="000000" w:sz="8" w:space="0"/>
              <w:right w:val="single" w:color="000000" w:sz="8" w:space="0"/>
            </w:tcBorders>
            <w:shd w:val="clear" w:color="auto" w:fill="auto"/>
            <w:vAlign w:val="center"/>
          </w:tcPr>
          <w:p w14:paraId="0160F6D4">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1300</w:t>
            </w:r>
          </w:p>
        </w:tc>
        <w:tc>
          <w:tcPr>
            <w:tcW w:w="4185" w:type="dxa"/>
            <w:tcBorders>
              <w:top w:val="nil"/>
              <w:left w:val="nil"/>
              <w:bottom w:val="single" w:color="000000" w:sz="8" w:space="0"/>
              <w:right w:val="single" w:color="000000" w:sz="8" w:space="0"/>
            </w:tcBorders>
            <w:shd w:val="clear" w:color="auto" w:fill="auto"/>
          </w:tcPr>
          <w:p w14:paraId="283D0B46">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不包含车辆拆解检验费用、上线检测费用路试检测费用。</w:t>
            </w:r>
          </w:p>
        </w:tc>
      </w:tr>
      <w:tr w14:paraId="53FB2931">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607B1AA2">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01307ACB">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车辆属性鉴定</w:t>
            </w:r>
          </w:p>
        </w:tc>
        <w:tc>
          <w:tcPr>
            <w:tcW w:w="900" w:type="dxa"/>
            <w:tcBorders>
              <w:top w:val="nil"/>
              <w:left w:val="nil"/>
              <w:bottom w:val="single" w:color="000000" w:sz="8" w:space="0"/>
              <w:right w:val="single" w:color="000000" w:sz="8" w:space="0"/>
            </w:tcBorders>
            <w:shd w:val="clear" w:color="auto" w:fill="auto"/>
            <w:vAlign w:val="center"/>
          </w:tcPr>
          <w:p w14:paraId="5FE05B1E">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辆</w:t>
            </w:r>
          </w:p>
        </w:tc>
        <w:tc>
          <w:tcPr>
            <w:tcW w:w="1080" w:type="dxa"/>
            <w:tcBorders>
              <w:top w:val="nil"/>
              <w:left w:val="nil"/>
              <w:bottom w:val="single" w:color="000000" w:sz="8" w:space="0"/>
              <w:right w:val="single" w:color="000000" w:sz="8" w:space="0"/>
            </w:tcBorders>
            <w:shd w:val="clear" w:color="auto" w:fill="auto"/>
            <w:vAlign w:val="center"/>
          </w:tcPr>
          <w:p w14:paraId="10070351">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500-750</w:t>
            </w:r>
          </w:p>
        </w:tc>
        <w:tc>
          <w:tcPr>
            <w:tcW w:w="4185" w:type="dxa"/>
            <w:tcBorders>
              <w:top w:val="nil"/>
              <w:left w:val="nil"/>
              <w:bottom w:val="single" w:color="000000" w:sz="8" w:space="0"/>
              <w:right w:val="single" w:color="000000" w:sz="8" w:space="0"/>
            </w:tcBorders>
            <w:shd w:val="clear" w:color="auto" w:fill="auto"/>
          </w:tcPr>
          <w:p w14:paraId="63C338F8">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按被鉴定的车辆数量计，单次送检鉴定1辆车，收费750元</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单次送鉴定2-4（含）辆车，收费为600元</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辆</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单次鉴定5辆车</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含</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以上的，收费为500元</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辆。</w:t>
            </w:r>
          </w:p>
        </w:tc>
      </w:tr>
      <w:tr w14:paraId="2B905441">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5DC5DDE3">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5E5B850C">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道路交通事故交通行为方式鉴定</w:t>
            </w:r>
          </w:p>
        </w:tc>
        <w:tc>
          <w:tcPr>
            <w:tcW w:w="900" w:type="dxa"/>
            <w:tcBorders>
              <w:top w:val="nil"/>
              <w:left w:val="nil"/>
              <w:bottom w:val="single" w:color="000000" w:sz="8" w:space="0"/>
              <w:right w:val="single" w:color="000000" w:sz="8" w:space="0"/>
            </w:tcBorders>
            <w:shd w:val="clear" w:color="auto" w:fill="auto"/>
            <w:vAlign w:val="center"/>
          </w:tcPr>
          <w:p w14:paraId="599FA905">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起</w:t>
            </w:r>
          </w:p>
        </w:tc>
        <w:tc>
          <w:tcPr>
            <w:tcW w:w="1080" w:type="dxa"/>
            <w:tcBorders>
              <w:top w:val="nil"/>
              <w:left w:val="nil"/>
              <w:bottom w:val="single" w:color="000000" w:sz="8" w:space="0"/>
              <w:right w:val="single" w:color="000000" w:sz="8" w:space="0"/>
            </w:tcBorders>
            <w:shd w:val="clear" w:color="auto" w:fill="auto"/>
            <w:vAlign w:val="center"/>
          </w:tcPr>
          <w:p w14:paraId="64151BE2">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750</w:t>
            </w:r>
          </w:p>
        </w:tc>
        <w:tc>
          <w:tcPr>
            <w:tcW w:w="4185" w:type="dxa"/>
            <w:tcBorders>
              <w:top w:val="nil"/>
              <w:left w:val="nil"/>
              <w:bottom w:val="single" w:color="000000" w:sz="8" w:space="0"/>
              <w:right w:val="single" w:color="000000" w:sz="8" w:space="0"/>
            </w:tcBorders>
            <w:shd w:val="clear" w:color="auto" w:fill="auto"/>
          </w:tcPr>
          <w:p w14:paraId="7326A025">
            <w:pPr>
              <w:jc w:val="center"/>
              <w:textAlignment w:val="center"/>
              <w:rPr>
                <w:rFonts w:ascii="宋体" w:hAnsi="宋体" w:eastAsia="宋体" w:cs="宋体"/>
                <w:color w:val="auto"/>
                <w:sz w:val="18"/>
                <w:szCs w:val="18"/>
                <w:highlight w:val="none"/>
              </w:rPr>
            </w:pPr>
          </w:p>
        </w:tc>
      </w:tr>
      <w:tr w14:paraId="2F22A08A">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48B1F30F">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531A0651">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事故车辆运行方式</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骑行、推行、行驶、静止等</w:t>
            </w:r>
            <w:r>
              <w:rPr>
                <w:rFonts w:ascii="宋体" w:hAnsi="宋体" w:eastAsia="宋体" w:cs="宋体"/>
                <w:color w:val="auto"/>
                <w:sz w:val="18"/>
                <w:szCs w:val="18"/>
                <w:highlight w:val="none"/>
              </w:rPr>
              <w:t>)</w:t>
            </w:r>
          </w:p>
        </w:tc>
        <w:tc>
          <w:tcPr>
            <w:tcW w:w="900" w:type="dxa"/>
            <w:tcBorders>
              <w:top w:val="nil"/>
              <w:left w:val="nil"/>
              <w:bottom w:val="single" w:color="000000" w:sz="8" w:space="0"/>
              <w:right w:val="single" w:color="000000" w:sz="8" w:space="0"/>
            </w:tcBorders>
            <w:shd w:val="clear" w:color="auto" w:fill="auto"/>
            <w:vAlign w:val="center"/>
          </w:tcPr>
          <w:p w14:paraId="0F70ED0D">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起</w:t>
            </w:r>
          </w:p>
        </w:tc>
        <w:tc>
          <w:tcPr>
            <w:tcW w:w="1080" w:type="dxa"/>
            <w:tcBorders>
              <w:top w:val="nil"/>
              <w:left w:val="nil"/>
              <w:bottom w:val="single" w:color="000000" w:sz="8" w:space="0"/>
              <w:right w:val="single" w:color="000000" w:sz="8" w:space="0"/>
            </w:tcBorders>
            <w:shd w:val="clear" w:color="auto" w:fill="auto"/>
            <w:vAlign w:val="center"/>
          </w:tcPr>
          <w:p w14:paraId="0155988C">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750</w:t>
            </w:r>
          </w:p>
        </w:tc>
        <w:tc>
          <w:tcPr>
            <w:tcW w:w="4185" w:type="dxa"/>
            <w:tcBorders>
              <w:top w:val="nil"/>
              <w:left w:val="nil"/>
              <w:bottom w:val="single" w:color="000000" w:sz="8" w:space="0"/>
              <w:right w:val="single" w:color="000000" w:sz="8" w:space="0"/>
            </w:tcBorders>
            <w:shd w:val="clear" w:color="auto" w:fill="auto"/>
          </w:tcPr>
          <w:p w14:paraId="65CA333D">
            <w:pPr>
              <w:jc w:val="center"/>
              <w:textAlignment w:val="center"/>
              <w:rPr>
                <w:rFonts w:ascii="宋体" w:hAnsi="宋体" w:eastAsia="宋体" w:cs="宋体"/>
                <w:color w:val="auto"/>
                <w:sz w:val="18"/>
                <w:szCs w:val="18"/>
                <w:highlight w:val="none"/>
              </w:rPr>
            </w:pPr>
          </w:p>
        </w:tc>
      </w:tr>
      <w:tr w14:paraId="63E77170">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71185AC9">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56C26F5F">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事故车辆接触碰撞顺序、碰撞角度及碰撞形态鉴定</w:t>
            </w:r>
          </w:p>
        </w:tc>
        <w:tc>
          <w:tcPr>
            <w:tcW w:w="900" w:type="dxa"/>
            <w:tcBorders>
              <w:top w:val="nil"/>
              <w:left w:val="nil"/>
              <w:bottom w:val="single" w:color="000000" w:sz="8" w:space="0"/>
              <w:right w:val="single" w:color="000000" w:sz="8" w:space="0"/>
            </w:tcBorders>
            <w:shd w:val="clear" w:color="auto" w:fill="auto"/>
            <w:vAlign w:val="center"/>
          </w:tcPr>
          <w:p w14:paraId="680BA2A2">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起</w:t>
            </w:r>
          </w:p>
        </w:tc>
        <w:tc>
          <w:tcPr>
            <w:tcW w:w="1080" w:type="dxa"/>
            <w:tcBorders>
              <w:top w:val="nil"/>
              <w:left w:val="nil"/>
              <w:bottom w:val="single" w:color="000000" w:sz="8" w:space="0"/>
              <w:right w:val="single" w:color="000000" w:sz="8" w:space="0"/>
            </w:tcBorders>
            <w:shd w:val="clear" w:color="auto" w:fill="auto"/>
            <w:vAlign w:val="center"/>
          </w:tcPr>
          <w:p w14:paraId="2ED9CD3C">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750</w:t>
            </w:r>
          </w:p>
        </w:tc>
        <w:tc>
          <w:tcPr>
            <w:tcW w:w="4185" w:type="dxa"/>
            <w:tcBorders>
              <w:top w:val="nil"/>
              <w:left w:val="nil"/>
              <w:bottom w:val="single" w:color="000000" w:sz="8" w:space="0"/>
              <w:right w:val="single" w:color="000000" w:sz="8" w:space="0"/>
            </w:tcBorders>
            <w:shd w:val="clear" w:color="auto" w:fill="auto"/>
          </w:tcPr>
          <w:p w14:paraId="3D155240">
            <w:pPr>
              <w:jc w:val="center"/>
              <w:textAlignment w:val="center"/>
              <w:rPr>
                <w:rFonts w:ascii="宋体" w:hAnsi="宋体" w:eastAsia="宋体" w:cs="宋体"/>
                <w:color w:val="auto"/>
                <w:sz w:val="18"/>
                <w:szCs w:val="18"/>
                <w:highlight w:val="none"/>
              </w:rPr>
            </w:pPr>
          </w:p>
        </w:tc>
      </w:tr>
      <w:tr w14:paraId="4F45CC5E">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2E89B56E">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49D84DC7">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爆胎原因鉴定</w:t>
            </w:r>
          </w:p>
        </w:tc>
        <w:tc>
          <w:tcPr>
            <w:tcW w:w="900" w:type="dxa"/>
            <w:tcBorders>
              <w:top w:val="nil"/>
              <w:left w:val="nil"/>
              <w:bottom w:val="single" w:color="000000" w:sz="8" w:space="0"/>
              <w:right w:val="single" w:color="000000" w:sz="8" w:space="0"/>
            </w:tcBorders>
            <w:shd w:val="clear" w:color="auto" w:fill="auto"/>
            <w:vAlign w:val="center"/>
          </w:tcPr>
          <w:p w14:paraId="49848B36">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起</w:t>
            </w:r>
          </w:p>
        </w:tc>
        <w:tc>
          <w:tcPr>
            <w:tcW w:w="1080" w:type="dxa"/>
            <w:tcBorders>
              <w:top w:val="nil"/>
              <w:left w:val="nil"/>
              <w:bottom w:val="single" w:color="000000" w:sz="8" w:space="0"/>
              <w:right w:val="single" w:color="000000" w:sz="8" w:space="0"/>
            </w:tcBorders>
            <w:shd w:val="clear" w:color="auto" w:fill="auto"/>
            <w:vAlign w:val="center"/>
          </w:tcPr>
          <w:p w14:paraId="2E5F9B0F">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1000</w:t>
            </w:r>
          </w:p>
        </w:tc>
        <w:tc>
          <w:tcPr>
            <w:tcW w:w="4185" w:type="dxa"/>
            <w:tcBorders>
              <w:top w:val="nil"/>
              <w:left w:val="nil"/>
              <w:bottom w:val="single" w:color="000000" w:sz="8" w:space="0"/>
              <w:right w:val="single" w:color="000000" w:sz="8" w:space="0"/>
            </w:tcBorders>
            <w:shd w:val="clear" w:color="auto" w:fill="auto"/>
          </w:tcPr>
          <w:p w14:paraId="073D0786">
            <w:pPr>
              <w:jc w:val="center"/>
              <w:textAlignment w:val="center"/>
              <w:rPr>
                <w:rFonts w:ascii="宋体" w:hAnsi="宋体" w:eastAsia="宋体" w:cs="宋体"/>
                <w:color w:val="auto"/>
                <w:sz w:val="18"/>
                <w:szCs w:val="18"/>
                <w:highlight w:val="none"/>
              </w:rPr>
            </w:pPr>
          </w:p>
        </w:tc>
      </w:tr>
      <w:tr w14:paraId="4E6DD867">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7F5B695A">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3D5C5450">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轮胎印痕比对鉴定</w:t>
            </w:r>
          </w:p>
        </w:tc>
        <w:tc>
          <w:tcPr>
            <w:tcW w:w="900" w:type="dxa"/>
            <w:tcBorders>
              <w:top w:val="nil"/>
              <w:left w:val="nil"/>
              <w:bottom w:val="single" w:color="000000" w:sz="8" w:space="0"/>
              <w:right w:val="single" w:color="000000" w:sz="8" w:space="0"/>
            </w:tcBorders>
            <w:shd w:val="clear" w:color="auto" w:fill="auto"/>
            <w:vAlign w:val="center"/>
          </w:tcPr>
          <w:p w14:paraId="1B57E2D0">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起</w:t>
            </w:r>
          </w:p>
        </w:tc>
        <w:tc>
          <w:tcPr>
            <w:tcW w:w="1080" w:type="dxa"/>
            <w:tcBorders>
              <w:top w:val="nil"/>
              <w:left w:val="nil"/>
              <w:bottom w:val="single" w:color="000000" w:sz="8" w:space="0"/>
              <w:right w:val="single" w:color="000000" w:sz="8" w:space="0"/>
            </w:tcBorders>
            <w:shd w:val="clear" w:color="auto" w:fill="auto"/>
            <w:vAlign w:val="center"/>
          </w:tcPr>
          <w:p w14:paraId="78EA79D6">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1000</w:t>
            </w:r>
          </w:p>
        </w:tc>
        <w:tc>
          <w:tcPr>
            <w:tcW w:w="4185" w:type="dxa"/>
            <w:tcBorders>
              <w:top w:val="nil"/>
              <w:left w:val="nil"/>
              <w:bottom w:val="single" w:color="000000" w:sz="8" w:space="0"/>
              <w:right w:val="single" w:color="000000" w:sz="8" w:space="0"/>
            </w:tcBorders>
            <w:shd w:val="clear" w:color="auto" w:fill="auto"/>
          </w:tcPr>
          <w:p w14:paraId="70DA2757">
            <w:pPr>
              <w:jc w:val="center"/>
              <w:textAlignment w:val="center"/>
              <w:rPr>
                <w:rFonts w:ascii="宋体" w:hAnsi="宋体" w:eastAsia="宋体" w:cs="宋体"/>
                <w:color w:val="auto"/>
                <w:sz w:val="18"/>
                <w:szCs w:val="18"/>
                <w:highlight w:val="none"/>
              </w:rPr>
            </w:pPr>
          </w:p>
        </w:tc>
      </w:tr>
      <w:tr w14:paraId="734B9952">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275E50F2">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4F3982D9">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信号灯鉴定</w:t>
            </w:r>
          </w:p>
        </w:tc>
        <w:tc>
          <w:tcPr>
            <w:tcW w:w="900" w:type="dxa"/>
            <w:tcBorders>
              <w:top w:val="nil"/>
              <w:left w:val="nil"/>
              <w:bottom w:val="single" w:color="000000" w:sz="8" w:space="0"/>
              <w:right w:val="single" w:color="000000" w:sz="8" w:space="0"/>
            </w:tcBorders>
            <w:shd w:val="clear" w:color="auto" w:fill="auto"/>
            <w:vAlign w:val="center"/>
          </w:tcPr>
          <w:p w14:paraId="538A7616">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件</w:t>
            </w:r>
          </w:p>
        </w:tc>
        <w:tc>
          <w:tcPr>
            <w:tcW w:w="1080" w:type="dxa"/>
            <w:tcBorders>
              <w:top w:val="nil"/>
              <w:left w:val="nil"/>
              <w:bottom w:val="single" w:color="000000" w:sz="8" w:space="0"/>
              <w:right w:val="single" w:color="000000" w:sz="8" w:space="0"/>
            </w:tcBorders>
            <w:shd w:val="clear" w:color="auto" w:fill="auto"/>
            <w:vAlign w:val="center"/>
          </w:tcPr>
          <w:p w14:paraId="54CF1554">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2000</w:t>
            </w:r>
          </w:p>
        </w:tc>
        <w:tc>
          <w:tcPr>
            <w:tcW w:w="4185" w:type="dxa"/>
            <w:tcBorders>
              <w:top w:val="nil"/>
              <w:left w:val="nil"/>
              <w:bottom w:val="single" w:color="000000" w:sz="8" w:space="0"/>
              <w:right w:val="single" w:color="000000" w:sz="8" w:space="0"/>
            </w:tcBorders>
            <w:shd w:val="clear" w:color="auto" w:fill="auto"/>
          </w:tcPr>
          <w:p w14:paraId="544F35C3">
            <w:pPr>
              <w:jc w:val="center"/>
              <w:textAlignment w:val="center"/>
              <w:rPr>
                <w:rFonts w:ascii="宋体" w:hAnsi="宋体" w:eastAsia="宋体" w:cs="宋体"/>
                <w:color w:val="auto"/>
                <w:sz w:val="18"/>
                <w:szCs w:val="18"/>
                <w:highlight w:val="none"/>
              </w:rPr>
            </w:pPr>
          </w:p>
        </w:tc>
      </w:tr>
      <w:tr w14:paraId="66D84646">
        <w:tblPrEx>
          <w:tblCellMar>
            <w:top w:w="0" w:type="dxa"/>
            <w:left w:w="108" w:type="dxa"/>
            <w:bottom w:w="0" w:type="dxa"/>
            <w:right w:w="108" w:type="dxa"/>
          </w:tblCellMar>
        </w:tblPrEx>
        <w:trPr>
          <w:trHeight w:val="285" w:hRule="atLeast"/>
        </w:trPr>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63A1AA0F">
            <w:pPr>
              <w:jc w:val="center"/>
              <w:rPr>
                <w:rFonts w:ascii="宋体" w:hAnsi="宋体" w:eastAsia="宋体" w:cs="宋体"/>
                <w:color w:val="auto"/>
                <w:sz w:val="18"/>
                <w:szCs w:val="18"/>
                <w:highlight w:val="none"/>
              </w:rPr>
            </w:pPr>
          </w:p>
        </w:tc>
        <w:tc>
          <w:tcPr>
            <w:tcW w:w="2235" w:type="dxa"/>
            <w:tcBorders>
              <w:top w:val="nil"/>
              <w:left w:val="nil"/>
              <w:bottom w:val="single" w:color="000000" w:sz="8" w:space="0"/>
              <w:right w:val="single" w:color="000000" w:sz="8" w:space="0"/>
            </w:tcBorders>
            <w:shd w:val="clear" w:color="auto" w:fill="auto"/>
            <w:vAlign w:val="center"/>
          </w:tcPr>
          <w:p w14:paraId="62F2051F">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车辆</w:t>
            </w:r>
            <w:r>
              <w:rPr>
                <w:rFonts w:ascii="宋体" w:hAnsi="宋体" w:eastAsia="宋体" w:cs="宋体"/>
                <w:color w:val="auto"/>
                <w:sz w:val="18"/>
                <w:szCs w:val="18"/>
                <w:highlight w:val="none"/>
              </w:rPr>
              <w:t>EDR</w:t>
            </w:r>
            <w:r>
              <w:rPr>
                <w:rFonts w:hint="eastAsia" w:ascii="宋体" w:hAnsi="宋体" w:eastAsia="宋体" w:cs="宋体"/>
                <w:color w:val="auto"/>
                <w:sz w:val="18"/>
                <w:szCs w:val="18"/>
                <w:highlight w:val="none"/>
              </w:rPr>
              <w:t>或CDR数据读取及分析</w:t>
            </w:r>
          </w:p>
        </w:tc>
        <w:tc>
          <w:tcPr>
            <w:tcW w:w="900" w:type="dxa"/>
            <w:tcBorders>
              <w:top w:val="nil"/>
              <w:left w:val="nil"/>
              <w:bottom w:val="single" w:color="000000" w:sz="8" w:space="0"/>
              <w:right w:val="single" w:color="000000" w:sz="8" w:space="0"/>
            </w:tcBorders>
            <w:shd w:val="clear" w:color="auto" w:fill="auto"/>
            <w:vAlign w:val="center"/>
          </w:tcPr>
          <w:p w14:paraId="55374E49">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辆</w:t>
            </w:r>
          </w:p>
        </w:tc>
        <w:tc>
          <w:tcPr>
            <w:tcW w:w="1080" w:type="dxa"/>
            <w:tcBorders>
              <w:top w:val="nil"/>
              <w:left w:val="nil"/>
              <w:bottom w:val="single" w:color="000000" w:sz="8" w:space="0"/>
              <w:right w:val="single" w:color="000000" w:sz="8" w:space="0"/>
            </w:tcBorders>
            <w:shd w:val="clear" w:color="auto" w:fill="auto"/>
            <w:vAlign w:val="center"/>
          </w:tcPr>
          <w:p w14:paraId="0807CCD7">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2500</w:t>
            </w:r>
          </w:p>
        </w:tc>
        <w:tc>
          <w:tcPr>
            <w:tcW w:w="4185" w:type="dxa"/>
            <w:tcBorders>
              <w:top w:val="nil"/>
              <w:left w:val="nil"/>
              <w:bottom w:val="single" w:color="000000" w:sz="8" w:space="0"/>
              <w:right w:val="single" w:color="000000" w:sz="8" w:space="0"/>
            </w:tcBorders>
            <w:shd w:val="clear" w:color="auto" w:fill="auto"/>
          </w:tcPr>
          <w:p w14:paraId="4CF4B600">
            <w:pPr>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按车辆数量计</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仅支持</w:t>
            </w:r>
            <w:r>
              <w:rPr>
                <w:rFonts w:ascii="宋体" w:hAnsi="宋体" w:eastAsia="宋体" w:cs="宋体"/>
                <w:color w:val="auto"/>
                <w:sz w:val="18"/>
                <w:szCs w:val="18"/>
                <w:highlight w:val="none"/>
              </w:rPr>
              <w:t>EDR</w:t>
            </w:r>
            <w:r>
              <w:rPr>
                <w:rFonts w:hint="eastAsia" w:ascii="宋体" w:hAnsi="宋体" w:eastAsia="宋体" w:cs="宋体"/>
                <w:color w:val="auto"/>
                <w:sz w:val="18"/>
                <w:szCs w:val="18"/>
                <w:highlight w:val="none"/>
              </w:rPr>
              <w:t>或CDR数据提取分析</w:t>
            </w:r>
            <w:r>
              <w:rPr>
                <w:rFonts w:ascii="宋体" w:hAnsi="宋体" w:eastAsia="宋体" w:cs="宋体"/>
                <w:color w:val="auto"/>
                <w:sz w:val="18"/>
                <w:szCs w:val="18"/>
                <w:highlight w:val="none"/>
              </w:rPr>
              <w:t>)</w:t>
            </w:r>
          </w:p>
        </w:tc>
      </w:tr>
    </w:tbl>
    <w:p w14:paraId="79E595E8">
      <w:pPr>
        <w:pStyle w:val="236"/>
        <w:spacing w:before="48"/>
        <w:jc w:val="both"/>
        <w:rPr>
          <w:rFonts w:ascii="仿宋" w:hAnsi="仿宋" w:eastAsia="仿宋" w:cs="仿宋"/>
          <w:bCs/>
          <w:color w:val="auto"/>
          <w:sz w:val="24"/>
          <w:highlight w:val="none"/>
        </w:rPr>
      </w:pPr>
      <w:r>
        <w:rPr>
          <w:rFonts w:hint="eastAsia" w:ascii="仿宋" w:hAnsi="仿宋" w:eastAsia="仿宋" w:cs="仿宋"/>
          <w:bCs/>
          <w:color w:val="auto"/>
          <w:sz w:val="24"/>
          <w:highlight w:val="none"/>
        </w:rPr>
        <w:t>备注：</w:t>
      </w:r>
    </w:p>
    <w:p w14:paraId="770789DB">
      <w:pPr>
        <w:pStyle w:val="90"/>
        <w:spacing w:line="360" w:lineRule="auto"/>
        <w:ind w:left="0" w:firstLine="480"/>
        <w:rPr>
          <w:rFonts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lang w:eastAsia="zh-TW"/>
        </w:rPr>
        <w:t>项目</w:t>
      </w:r>
      <w:r>
        <w:rPr>
          <w:rFonts w:hint="eastAsia" w:ascii="仿宋" w:hAnsi="仿宋" w:eastAsia="仿宋" w:cs="仿宋"/>
          <w:color w:val="auto"/>
          <w:sz w:val="24"/>
          <w:highlight w:val="none"/>
        </w:rPr>
        <w:t>最高限</w:t>
      </w:r>
      <w:r>
        <w:rPr>
          <w:rFonts w:hint="eastAsia" w:ascii="仿宋" w:hAnsi="仿宋" w:eastAsia="仿宋" w:cs="仿宋"/>
          <w:color w:val="auto"/>
          <w:sz w:val="24"/>
          <w:highlight w:val="none"/>
          <w:lang w:eastAsia="zh-TW"/>
        </w:rPr>
        <w:t>价参照《江苏省发展改革委省司法厅关于我省司法鉴定收费标准的通知》(苏发改收费发[2019]708号)文件。</w:t>
      </w:r>
    </w:p>
    <w:p w14:paraId="1D107A2E">
      <w:pPr>
        <w:spacing w:line="360" w:lineRule="auto"/>
        <w:ind w:firstLine="480" w:firstLineChars="200"/>
        <w:rPr>
          <w:rFonts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TW"/>
        </w:rPr>
        <w:t>若委托人要求供应商前往南京市区以外的指定地点执行检验鉴定任务，由此产生的下列费用将由委托人承担：</w:t>
      </w:r>
    </w:p>
    <w:p w14:paraId="1A24F952">
      <w:pPr>
        <w:spacing w:line="360" w:lineRule="auto"/>
        <w:ind w:firstLine="240" w:firstLineChars="100"/>
        <w:rPr>
          <w:rFonts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TW"/>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TW"/>
        </w:rPr>
        <w:t>出行燃油费、过桥过路费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TW"/>
        </w:rPr>
        <w:t>按 1元/公里乘以实际行驶公里数计算，另按每人每天100元标准给与外出鉴定人员伙食补助。</w:t>
      </w:r>
    </w:p>
    <w:p w14:paraId="4E80F078">
      <w:pPr>
        <w:spacing w:line="360" w:lineRule="auto"/>
        <w:ind w:firstLine="240" w:firstLineChars="100"/>
        <w:rPr>
          <w:rFonts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TW"/>
        </w:rPr>
        <w:t>乘坐飞机、火车、轮船，依照《江苏省省级机关差旅费管理办法》中一般工作人员标准，凭票据</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lang w:eastAsia="zh-TW"/>
        </w:rPr>
        <w:t>实报实销；出差市内交通费按每人每天80元包干使用，另按每人每天100元标准给与伙食补助。</w:t>
      </w:r>
    </w:p>
    <w:p w14:paraId="52AB58E9">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TW"/>
        </w:rPr>
        <w:t> 住宿费用参照《江苏省省级机关差旅费管理办法》中一般工作人员标准，凭票据</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lang w:eastAsia="zh-TW"/>
        </w:rPr>
        <w:t>实报实销。</w:t>
      </w:r>
    </w:p>
    <w:p w14:paraId="36166691">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TW"/>
        </w:rPr>
        <w:t>（</w:t>
      </w: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TW"/>
        </w:rPr>
        <w:t>）付款方式</w:t>
      </w:r>
      <w:r>
        <w:rPr>
          <w:rFonts w:hint="eastAsia" w:ascii="仿宋" w:hAnsi="仿宋" w:eastAsia="仿宋" w:cs="仿宋"/>
          <w:color w:val="auto"/>
          <w:sz w:val="24"/>
          <w:szCs w:val="24"/>
          <w:highlight w:val="none"/>
        </w:rPr>
        <w:t>：</w:t>
      </w:r>
    </w:p>
    <w:p w14:paraId="3D82BA56">
      <w:pPr>
        <w:spacing w:line="360" w:lineRule="auto"/>
        <w:ind w:firstLine="480"/>
        <w:rPr>
          <w:rFonts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eastAsia="zh-TW"/>
        </w:rPr>
        <w:t>最终付款按照实际鉴定数量产生的费用金额进行结算，每</w:t>
      </w:r>
      <w:r>
        <w:rPr>
          <w:rFonts w:hint="eastAsia" w:ascii="仿宋" w:hAnsi="仿宋" w:eastAsia="仿宋" w:cs="仿宋"/>
          <w:color w:val="auto"/>
          <w:sz w:val="24"/>
          <w:szCs w:val="24"/>
          <w:highlight w:val="none"/>
        </w:rPr>
        <w:t>季度</w:t>
      </w:r>
      <w:r>
        <w:rPr>
          <w:rFonts w:hint="eastAsia" w:ascii="仿宋" w:hAnsi="仿宋" w:eastAsia="仿宋" w:cs="仿宋"/>
          <w:color w:val="auto"/>
          <w:sz w:val="24"/>
          <w:szCs w:val="24"/>
          <w:highlight w:val="none"/>
          <w:lang w:eastAsia="zh-TW"/>
        </w:rPr>
        <w:t>结算一次。（特殊情况以合同为准）。</w:t>
      </w:r>
    </w:p>
    <w:p w14:paraId="2BBAE02D">
      <w:pPr>
        <w:spacing w:line="360" w:lineRule="auto"/>
        <w:ind w:firstLine="480"/>
        <w:rPr>
          <w:rFonts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eastAsia="zh-TW"/>
        </w:rPr>
        <w:t>付款方式:电汇或支票。</w:t>
      </w:r>
    </w:p>
    <w:p w14:paraId="45ADC72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w:t>
      </w:r>
      <w:r>
        <w:rPr>
          <w:rFonts w:hint="eastAsia" w:ascii="仿宋" w:hAnsi="仿宋" w:eastAsia="仿宋" w:cs="仿宋"/>
          <w:bCs/>
          <w:color w:val="auto"/>
          <w:sz w:val="24"/>
          <w:szCs w:val="24"/>
          <w:highlight w:val="none"/>
          <w:lang w:eastAsia="zh-TW"/>
        </w:rPr>
        <w:t>服务</w:t>
      </w:r>
      <w:r>
        <w:rPr>
          <w:rFonts w:hint="eastAsia" w:ascii="仿宋" w:hAnsi="仿宋" w:eastAsia="仿宋" w:cs="仿宋"/>
          <w:bCs/>
          <w:color w:val="auto"/>
          <w:sz w:val="24"/>
          <w:szCs w:val="24"/>
          <w:highlight w:val="none"/>
        </w:rPr>
        <w:t>期限：</w:t>
      </w:r>
      <w:r>
        <w:rPr>
          <w:rFonts w:hint="eastAsia" w:ascii="仿宋" w:hAnsi="仿宋" w:eastAsia="仿宋" w:cs="仿宋"/>
          <w:bCs/>
          <w:color w:val="auto"/>
          <w:sz w:val="24"/>
          <w:szCs w:val="24"/>
          <w:highlight w:val="none"/>
          <w:lang w:eastAsia="zh-TW"/>
        </w:rPr>
        <w:t>合同生效之日起一年，计划日期：2025 年12月1日至2026 年11月30日。合同具体日期可相应调整。</w:t>
      </w:r>
    </w:p>
    <w:p w14:paraId="27880B7B">
      <w:pPr>
        <w:spacing w:line="360" w:lineRule="auto"/>
        <w:ind w:firstLine="241"/>
        <w:rPr>
          <w:rFonts w:ascii="仿宋" w:hAnsi="仿宋" w:eastAsia="仿宋" w:cs="仿宋"/>
          <w:b/>
          <w:bCs/>
          <w:color w:val="auto"/>
          <w:sz w:val="24"/>
          <w:szCs w:val="24"/>
          <w:highlight w:val="none"/>
          <w:lang w:eastAsia="zh-TW"/>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eastAsia="zh-TW"/>
        </w:rPr>
        <w:t>服务要求：</w:t>
      </w:r>
    </w:p>
    <w:p w14:paraId="467CB81A">
      <w:pPr>
        <w:spacing w:line="360" w:lineRule="auto"/>
        <w:ind w:firstLine="240"/>
        <w:rPr>
          <w:rFonts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TW"/>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TW"/>
        </w:rPr>
        <w:t>供应商</w:t>
      </w:r>
      <w:r>
        <w:rPr>
          <w:rFonts w:hint="eastAsia" w:ascii="仿宋" w:hAnsi="仿宋" w:eastAsia="仿宋" w:cs="仿宋"/>
          <w:color w:val="auto"/>
          <w:sz w:val="24"/>
          <w:szCs w:val="24"/>
          <w:highlight w:val="none"/>
          <w:lang w:val="zh-TW" w:eastAsia="zh-TW"/>
        </w:rPr>
        <w:t>须</w:t>
      </w:r>
      <w:r>
        <w:rPr>
          <w:rFonts w:hint="eastAsia" w:ascii="仿宋" w:hAnsi="仿宋" w:eastAsia="仿宋" w:cs="仿宋"/>
          <w:color w:val="auto"/>
          <w:sz w:val="24"/>
          <w:szCs w:val="24"/>
          <w:highlight w:val="none"/>
          <w:lang w:val="zh-TW"/>
        </w:rPr>
        <w:t>在投标文件中</w:t>
      </w:r>
      <w:r>
        <w:rPr>
          <w:rFonts w:hint="eastAsia" w:ascii="仿宋" w:hAnsi="仿宋" w:eastAsia="仿宋" w:cs="仿宋"/>
          <w:color w:val="auto"/>
          <w:sz w:val="24"/>
          <w:szCs w:val="24"/>
          <w:highlight w:val="none"/>
          <w:lang w:eastAsia="zh-TW"/>
        </w:rPr>
        <w:t>提供鉴定公正性保证书、保密承诺书。</w:t>
      </w:r>
    </w:p>
    <w:p w14:paraId="3E2ED5F9">
      <w:pPr>
        <w:spacing w:line="360" w:lineRule="auto"/>
        <w:ind w:firstLine="240"/>
        <w:rPr>
          <w:rFonts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TW"/>
        </w:rPr>
        <w:t>供应商须在委托受理之日起3个工作日内完成尸表检验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TW" w:eastAsia="zh-TW"/>
        </w:rPr>
        <w:t>如无法在规定时限内完成检验的，需经委托方同意。</w:t>
      </w:r>
    </w:p>
    <w:p w14:paraId="346868CF">
      <w:pPr>
        <w:spacing w:line="360" w:lineRule="auto"/>
        <w:ind w:firstLine="24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TW"/>
        </w:rPr>
        <w:t>供应商</w:t>
      </w:r>
      <w:r>
        <w:rPr>
          <w:rFonts w:hint="eastAsia" w:ascii="仿宋" w:hAnsi="仿宋" w:eastAsia="仿宋" w:cs="仿宋"/>
          <w:color w:val="auto"/>
          <w:sz w:val="24"/>
          <w:szCs w:val="24"/>
          <w:highlight w:val="none"/>
          <w:lang w:val="zh-TW" w:eastAsia="zh-TW"/>
        </w:rPr>
        <w:t>须</w:t>
      </w:r>
      <w:r>
        <w:rPr>
          <w:rFonts w:hint="eastAsia" w:ascii="仿宋" w:hAnsi="仿宋" w:eastAsia="仿宋" w:cs="仿宋"/>
          <w:color w:val="auto"/>
          <w:sz w:val="24"/>
          <w:szCs w:val="24"/>
          <w:highlight w:val="none"/>
          <w:lang w:val="zh-TW"/>
        </w:rPr>
        <w:t>在</w:t>
      </w:r>
      <w:r>
        <w:rPr>
          <w:rFonts w:hint="eastAsia" w:ascii="仿宋" w:hAnsi="仿宋" w:eastAsia="仿宋" w:cs="仿宋"/>
          <w:color w:val="auto"/>
          <w:sz w:val="24"/>
          <w:szCs w:val="24"/>
          <w:highlight w:val="none"/>
          <w:lang w:val="zh-TW" w:eastAsia="zh-TW"/>
        </w:rPr>
        <w:t>委托受理之日起</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TW" w:eastAsia="zh-TW"/>
        </w:rPr>
        <w:t>个</w:t>
      </w:r>
      <w:r>
        <w:rPr>
          <w:rFonts w:hint="eastAsia" w:ascii="仿宋" w:hAnsi="仿宋" w:eastAsia="仿宋" w:cs="仿宋"/>
          <w:color w:val="auto"/>
          <w:sz w:val="24"/>
          <w:szCs w:val="24"/>
          <w:highlight w:val="none"/>
          <w:lang w:val="zh-TW"/>
        </w:rPr>
        <w:t>工作</w:t>
      </w:r>
      <w:r>
        <w:rPr>
          <w:rFonts w:hint="eastAsia" w:ascii="仿宋" w:hAnsi="仿宋" w:eastAsia="仿宋" w:cs="仿宋"/>
          <w:color w:val="auto"/>
          <w:sz w:val="24"/>
          <w:szCs w:val="24"/>
          <w:highlight w:val="none"/>
          <w:lang w:val="zh-TW" w:eastAsia="zh-TW"/>
        </w:rPr>
        <w:t>日内完成血液</w:t>
      </w:r>
      <w:r>
        <w:rPr>
          <w:rFonts w:hint="eastAsia" w:ascii="仿宋" w:hAnsi="仿宋" w:eastAsia="仿宋" w:cs="仿宋"/>
          <w:color w:val="auto"/>
          <w:sz w:val="24"/>
          <w:szCs w:val="24"/>
          <w:highlight w:val="none"/>
          <w:lang w:eastAsia="zh-TW"/>
        </w:rPr>
        <w:t>中乙醇定性定量分析检验</w:t>
      </w:r>
      <w:r>
        <w:rPr>
          <w:rFonts w:hint="eastAsia" w:ascii="仿宋" w:hAnsi="仿宋" w:eastAsia="仿宋" w:cs="仿宋"/>
          <w:color w:val="auto"/>
          <w:sz w:val="24"/>
          <w:szCs w:val="24"/>
          <w:highlight w:val="none"/>
          <w:lang w:val="zh-TW"/>
        </w:rPr>
        <w:t>，并对</w:t>
      </w:r>
      <w:r>
        <w:rPr>
          <w:rFonts w:hint="eastAsia" w:ascii="仿宋" w:hAnsi="仿宋" w:eastAsia="仿宋" w:cs="仿宋"/>
          <w:color w:val="auto"/>
          <w:sz w:val="24"/>
          <w:szCs w:val="24"/>
          <w:highlight w:val="none"/>
          <w:lang w:val="zh-TW" w:eastAsia="zh-TW"/>
        </w:rPr>
        <w:t>检验环节进行全程视频监控。如无法在规定时限内完成检验的，需经委托方同意。</w:t>
      </w:r>
    </w:p>
    <w:p w14:paraId="4702F0DA">
      <w:pPr>
        <w:spacing w:line="360" w:lineRule="auto"/>
        <w:ind w:firstLine="240"/>
        <w:rPr>
          <w:rFonts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TW"/>
        </w:rPr>
        <w:t>供应商</w:t>
      </w:r>
      <w:r>
        <w:rPr>
          <w:rFonts w:hint="eastAsia" w:ascii="仿宋" w:hAnsi="仿宋" w:eastAsia="仿宋" w:cs="仿宋"/>
          <w:color w:val="auto"/>
          <w:sz w:val="24"/>
          <w:szCs w:val="24"/>
          <w:highlight w:val="none"/>
          <w:lang w:val="zh-TW" w:eastAsia="zh-TW"/>
        </w:rPr>
        <w:t>须按以下保存条件保存血液样本：血液样本收取后至检测前，血液样本应冷藏保存，冷藏温度应当保持在低温（2～8℃）之间，检测完毕后，血液样本应冷冻保存，冷冻温度应当保持在低温（-10～-</w:t>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zh-TW" w:eastAsia="zh-TW"/>
        </w:rPr>
        <w:t>℃）之间。</w:t>
      </w:r>
    </w:p>
    <w:p w14:paraId="1DE2388D">
      <w:pPr>
        <w:spacing w:line="360" w:lineRule="auto"/>
        <w:ind w:firstLine="24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w:t>
      </w:r>
      <w:r>
        <w:rPr>
          <w:rFonts w:hint="eastAsia" w:ascii="仿宋" w:hAnsi="仿宋" w:eastAsia="仿宋" w:cs="仿宋"/>
          <w:color w:val="auto"/>
          <w:sz w:val="24"/>
          <w:szCs w:val="24"/>
          <w:highlight w:val="none"/>
          <w:lang w:val="zh-TW" w:eastAsia="zh-TW"/>
        </w:rPr>
        <w:t>须</w:t>
      </w:r>
      <w:r>
        <w:rPr>
          <w:rFonts w:hint="eastAsia" w:ascii="仿宋" w:hAnsi="仿宋" w:eastAsia="仿宋" w:cs="仿宋"/>
          <w:color w:val="auto"/>
          <w:sz w:val="24"/>
          <w:szCs w:val="24"/>
          <w:highlight w:val="none"/>
        </w:rPr>
        <w:t>保留每个血液样本及其检验视频监控录像，一般情况保存期限自委托受理之日起不少于3个月；如遇特殊情况，供应商应按委托人具体要求时限保存。</w:t>
      </w:r>
    </w:p>
    <w:p w14:paraId="3EE7EEFA">
      <w:pPr>
        <w:spacing w:line="360" w:lineRule="auto"/>
        <w:ind w:firstLine="24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w:t>
      </w:r>
      <w:r>
        <w:rPr>
          <w:rFonts w:hint="eastAsia" w:ascii="仿宋" w:hAnsi="仿宋" w:eastAsia="仿宋" w:cs="仿宋"/>
          <w:color w:val="auto"/>
          <w:sz w:val="24"/>
          <w:szCs w:val="24"/>
          <w:highlight w:val="none"/>
          <w:lang w:val="zh-TW" w:eastAsia="zh-TW"/>
        </w:rPr>
        <w:t>须在委托受理之日起</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TW" w:eastAsia="zh-TW"/>
        </w:rPr>
        <w:t>个</w:t>
      </w:r>
      <w:r>
        <w:rPr>
          <w:rFonts w:hint="eastAsia" w:ascii="仿宋" w:hAnsi="仿宋" w:eastAsia="仿宋" w:cs="仿宋"/>
          <w:color w:val="auto"/>
          <w:sz w:val="24"/>
          <w:szCs w:val="24"/>
          <w:highlight w:val="none"/>
          <w:lang w:val="zh-TW"/>
        </w:rPr>
        <w:t>工作日</w:t>
      </w:r>
      <w:r>
        <w:rPr>
          <w:rFonts w:hint="eastAsia" w:ascii="仿宋" w:hAnsi="仿宋" w:eastAsia="仿宋" w:cs="仿宋"/>
          <w:color w:val="auto"/>
          <w:sz w:val="24"/>
          <w:szCs w:val="24"/>
          <w:highlight w:val="none"/>
          <w:lang w:val="zh-TW" w:eastAsia="zh-TW"/>
        </w:rPr>
        <w:t>内完成痕迹检验。如无法在规定时限内完成检验的，需经委托方同意。</w:t>
      </w:r>
    </w:p>
    <w:p w14:paraId="08600E48">
      <w:pPr>
        <w:spacing w:line="360" w:lineRule="auto"/>
        <w:ind w:firstLine="240"/>
        <w:rPr>
          <w:rFonts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TW"/>
        </w:rPr>
        <w:t>供应商须在委托受理之日起30个工作日内完成鉴定并出具司法鉴定意见书，</w:t>
      </w:r>
      <w:r>
        <w:rPr>
          <w:rFonts w:hint="eastAsia" w:ascii="仿宋" w:hAnsi="仿宋" w:eastAsia="仿宋" w:cs="仿宋"/>
          <w:color w:val="auto"/>
          <w:sz w:val="24"/>
          <w:szCs w:val="24"/>
          <w:highlight w:val="none"/>
        </w:rPr>
        <w:t>如委托人有特殊要求或供应商</w:t>
      </w:r>
      <w:r>
        <w:rPr>
          <w:rFonts w:hint="eastAsia" w:ascii="仿宋" w:hAnsi="仿宋" w:eastAsia="仿宋" w:cs="仿宋"/>
          <w:color w:val="auto"/>
          <w:sz w:val="24"/>
          <w:szCs w:val="24"/>
          <w:highlight w:val="none"/>
          <w:lang w:eastAsia="zh-TW"/>
        </w:rPr>
        <w:t>无法在规定时限内完成鉴定的，需双方协商鉴定时限</w:t>
      </w:r>
      <w:r>
        <w:rPr>
          <w:rFonts w:hint="eastAsia" w:ascii="仿宋" w:hAnsi="仿宋" w:eastAsia="仿宋" w:cs="仿宋"/>
          <w:color w:val="auto"/>
          <w:sz w:val="24"/>
          <w:szCs w:val="24"/>
          <w:highlight w:val="none"/>
        </w:rPr>
        <w:t>。</w:t>
      </w:r>
    </w:p>
    <w:p w14:paraId="775D9AAB">
      <w:pPr>
        <w:spacing w:line="360" w:lineRule="auto"/>
        <w:ind w:firstLine="240"/>
        <w:rPr>
          <w:rFonts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eastAsia="zh-TW"/>
        </w:rPr>
        <w:t>★8、供应商须在工作区域具备固定合法的办公场所、满足鉴定需求的仪器设备及相对稳定的司法鉴定人和鉴定助理组成的团队，并严格遵守《司法鉴定程序通则》等规范下，开展司法鉴定工作。</w:t>
      </w:r>
    </w:p>
    <w:p w14:paraId="178F4C12">
      <w:pPr>
        <w:pStyle w:val="235"/>
        <w:spacing w:line="480" w:lineRule="exact"/>
        <w:ind w:left="0"/>
        <w:rPr>
          <w:rFonts w:ascii="仿宋" w:hAnsi="仿宋" w:eastAsia="仿宋" w:cs="仿宋"/>
          <w:b/>
          <w:bCs/>
          <w:color w:val="auto"/>
          <w:highlight w:val="none"/>
          <w:lang w:val="zh-TW" w:eastAsia="zh-CN"/>
        </w:rPr>
      </w:pPr>
      <w:r>
        <w:rPr>
          <w:rFonts w:hint="eastAsia" w:ascii="仿宋" w:hAnsi="仿宋" w:eastAsia="仿宋" w:cs="仿宋"/>
          <w:b/>
          <w:bCs/>
          <w:color w:val="auto"/>
          <w:highlight w:val="none"/>
          <w:lang w:val="zh-TW" w:eastAsia="zh-CN"/>
        </w:rPr>
        <w:t>三、技术要求</w:t>
      </w:r>
    </w:p>
    <w:p w14:paraId="2B5DE907">
      <w:pPr>
        <w:numPr>
          <w:ilvl w:val="0"/>
          <w:numId w:val="3"/>
        </w:numPr>
        <w:spacing w:line="480" w:lineRule="exact"/>
        <w:rPr>
          <w:rFonts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t>总体要求</w:t>
      </w:r>
    </w:p>
    <w:p w14:paraId="4BB00E2D">
      <w:pPr>
        <w:pStyle w:val="6"/>
        <w:spacing w:line="480" w:lineRule="exact"/>
        <w:ind w:firstLine="480"/>
        <w:jc w:val="left"/>
        <w:rPr>
          <w:rFonts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TW" w:eastAsia="zh-TW"/>
        </w:rPr>
        <w:t>供应商须承诺所提供的服务、人员及设备符合相关国家强制性规定。如在项目执行过程中发现中标人有违反国家强制性规定，则委托人有权无条件解除合同，并由中标人承担由此给采购人带来的损失。</w:t>
      </w:r>
    </w:p>
    <w:p w14:paraId="32D31536">
      <w:pPr>
        <w:spacing w:line="480" w:lineRule="exact"/>
        <w:ind w:firstLine="480"/>
        <w:rPr>
          <w:rFonts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TW"/>
        </w:rPr>
        <w:t>供应商须承诺检材的提取、运输、保存和检验鉴定过程遵守和采用现行有效的国家标准、行业标准和技术规范。如在服务过程中违反承诺，则委托人有权无条件解除合同。</w:t>
      </w:r>
    </w:p>
    <w:p w14:paraId="46EF1ABB">
      <w:pPr>
        <w:spacing w:line="480" w:lineRule="exact"/>
        <w:ind w:firstLine="480" w:firstLineChars="200"/>
        <w:rPr>
          <w:rFonts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rPr>
        <w:t>3、</w:t>
      </w:r>
      <w:r>
        <w:rPr>
          <w:rFonts w:hint="eastAsia" w:ascii="仿宋" w:hAnsi="仿宋" w:eastAsia="仿宋" w:cs="仿宋"/>
          <w:color w:val="auto"/>
          <w:sz w:val="24"/>
          <w:szCs w:val="24"/>
          <w:highlight w:val="none"/>
          <w:lang w:val="zh-TW" w:eastAsia="zh-TW"/>
        </w:rPr>
        <w:t>本项目不接受赠品或者与采购无关的其他商品、服务，</w:t>
      </w:r>
      <w:r>
        <w:rPr>
          <w:rFonts w:hint="eastAsia" w:ascii="仿宋" w:hAnsi="仿宋" w:eastAsia="仿宋" w:cs="仿宋"/>
          <w:color w:val="auto"/>
          <w:sz w:val="24"/>
          <w:szCs w:val="24"/>
          <w:highlight w:val="none"/>
          <w:lang w:val="zh-TW"/>
        </w:rPr>
        <w:t>供应商</w:t>
      </w:r>
      <w:r>
        <w:rPr>
          <w:rFonts w:hint="eastAsia" w:ascii="仿宋" w:hAnsi="仿宋" w:eastAsia="仿宋" w:cs="仿宋"/>
          <w:color w:val="auto"/>
          <w:sz w:val="24"/>
          <w:szCs w:val="24"/>
          <w:highlight w:val="none"/>
          <w:lang w:val="zh-TW" w:eastAsia="zh-TW"/>
        </w:rPr>
        <w:t>亦不得以</w:t>
      </w:r>
      <w:r>
        <w:rPr>
          <w:rFonts w:hint="eastAsia" w:ascii="仿宋" w:hAnsi="仿宋" w:eastAsia="仿宋" w:cs="仿宋"/>
          <w:color w:val="auto"/>
          <w:sz w:val="24"/>
          <w:szCs w:val="24"/>
          <w:highlight w:val="none"/>
          <w:lang w:val="zh-TW"/>
        </w:rPr>
        <w:t>委托人</w:t>
      </w:r>
      <w:r>
        <w:rPr>
          <w:rFonts w:hint="eastAsia" w:ascii="仿宋" w:hAnsi="仿宋" w:eastAsia="仿宋" w:cs="仿宋"/>
          <w:color w:val="auto"/>
          <w:sz w:val="24"/>
          <w:szCs w:val="24"/>
          <w:highlight w:val="none"/>
          <w:lang w:val="zh-TW" w:eastAsia="zh-TW"/>
        </w:rPr>
        <w:t>要求实施前述馈赠、回扣等行为。</w:t>
      </w:r>
    </w:p>
    <w:p w14:paraId="3EFFDFA6">
      <w:pPr>
        <w:pStyle w:val="235"/>
        <w:spacing w:line="480" w:lineRule="exact"/>
        <w:ind w:left="0"/>
        <w:rPr>
          <w:rFonts w:ascii="仿宋" w:hAnsi="仿宋" w:eastAsia="仿宋" w:cs="仿宋"/>
          <w:color w:val="auto"/>
          <w:highlight w:val="none"/>
          <w:lang w:val="zh-TW" w:eastAsia="zh-CN"/>
        </w:rPr>
      </w:pPr>
      <w:r>
        <w:rPr>
          <w:rFonts w:hint="eastAsia" w:ascii="仿宋" w:hAnsi="仿宋" w:eastAsia="仿宋" w:cs="仿宋"/>
          <w:color w:val="auto"/>
          <w:highlight w:val="none"/>
          <w:lang w:val="zh-TW" w:eastAsia="zh-CN"/>
        </w:rPr>
        <w:t>（二）组织鉴定服务团队</w:t>
      </w:r>
    </w:p>
    <w:p w14:paraId="7A2300BE">
      <w:pPr>
        <w:pStyle w:val="235"/>
        <w:spacing w:line="480" w:lineRule="exact"/>
        <w:ind w:left="0" w:firstLine="720"/>
        <w:rPr>
          <w:rFonts w:ascii="仿宋" w:hAnsi="仿宋" w:eastAsia="仿宋" w:cs="仿宋"/>
          <w:color w:val="auto"/>
          <w:highlight w:val="none"/>
          <w:lang w:val="zh-TW"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zh-TW" w:eastAsia="zh-CN"/>
        </w:rPr>
        <w:t>供应商</w:t>
      </w:r>
      <w:r>
        <w:rPr>
          <w:rFonts w:hint="eastAsia" w:ascii="仿宋" w:hAnsi="仿宋" w:eastAsia="仿宋" w:cs="仿宋"/>
          <w:color w:val="auto"/>
          <w:highlight w:val="none"/>
          <w:lang w:val="zh-TW" w:eastAsia="zh-TW"/>
        </w:rPr>
        <w:t>需提供</w:t>
      </w:r>
      <w:r>
        <w:rPr>
          <w:rFonts w:hint="eastAsia" w:ascii="仿宋" w:hAnsi="仿宋" w:eastAsia="仿宋" w:cs="仿宋"/>
          <w:color w:val="auto"/>
          <w:highlight w:val="none"/>
          <w:lang w:val="zh-TW" w:eastAsia="zh-CN"/>
        </w:rPr>
        <w:t>鉴定服务团队人员整体情况表，分为鉴定人和辅助人员（鉴定人以外均为辅助人员），表中至少包括在本项目岗位、</w:t>
      </w:r>
      <w:r>
        <w:rPr>
          <w:rFonts w:hint="eastAsia" w:ascii="仿宋" w:hAnsi="仿宋" w:eastAsia="仿宋" w:cs="仿宋"/>
          <w:color w:val="auto"/>
          <w:highlight w:val="none"/>
          <w:lang w:val="zh-TW" w:eastAsia="zh-TW"/>
        </w:rPr>
        <w:t>执业</w:t>
      </w:r>
      <w:r>
        <w:rPr>
          <w:rFonts w:hint="eastAsia" w:ascii="仿宋" w:hAnsi="仿宋" w:eastAsia="仿宋" w:cs="仿宋"/>
          <w:color w:val="auto"/>
          <w:highlight w:val="none"/>
          <w:lang w:val="zh-TW" w:eastAsia="zh-CN"/>
        </w:rPr>
        <w:t>范围、专业技术职务职称、执业机构等情况。本表后附机构负责人的工作简历表、鉴定</w:t>
      </w:r>
      <w:r>
        <w:rPr>
          <w:rFonts w:hint="eastAsia" w:ascii="仿宋" w:hAnsi="仿宋" w:eastAsia="仿宋" w:cs="仿宋"/>
          <w:color w:val="auto"/>
          <w:highlight w:val="none"/>
          <w:lang w:val="zh-TW" w:eastAsia="zh-TW"/>
        </w:rPr>
        <w:t>人的 “司法鉴定人执业证”</w:t>
      </w:r>
      <w:r>
        <w:rPr>
          <w:rFonts w:hint="eastAsia" w:ascii="仿宋" w:hAnsi="仿宋" w:eastAsia="仿宋" w:cs="仿宋"/>
          <w:color w:val="auto"/>
          <w:highlight w:val="none"/>
          <w:lang w:val="zh-TW" w:eastAsia="zh-CN"/>
        </w:rPr>
        <w:t>扫描件</w:t>
      </w:r>
      <w:r>
        <w:rPr>
          <w:rFonts w:hint="eastAsia" w:ascii="仿宋" w:hAnsi="仿宋" w:eastAsia="仿宋" w:cs="仿宋"/>
          <w:color w:val="auto"/>
          <w:highlight w:val="none"/>
          <w:lang w:val="zh-TW" w:eastAsia="zh-TW"/>
        </w:rPr>
        <w:t>和“专业技术职称证书”</w:t>
      </w:r>
      <w:r>
        <w:rPr>
          <w:rFonts w:hint="eastAsia" w:ascii="仿宋" w:hAnsi="仿宋" w:eastAsia="仿宋" w:cs="仿宋"/>
          <w:color w:val="auto"/>
          <w:highlight w:val="none"/>
          <w:lang w:val="zh-TW" w:eastAsia="zh-CN"/>
        </w:rPr>
        <w:t>扫描件</w:t>
      </w:r>
      <w:r>
        <w:rPr>
          <w:rFonts w:hint="eastAsia" w:ascii="仿宋" w:hAnsi="仿宋" w:eastAsia="仿宋" w:cs="仿宋"/>
          <w:color w:val="auto"/>
          <w:highlight w:val="none"/>
          <w:lang w:val="zh-TW" w:eastAsia="zh-TW"/>
        </w:rPr>
        <w:t>，并加盖</w:t>
      </w:r>
      <w:r>
        <w:rPr>
          <w:rFonts w:hint="eastAsia" w:ascii="仿宋" w:hAnsi="仿宋" w:eastAsia="仿宋" w:cs="仿宋"/>
          <w:color w:val="auto"/>
          <w:highlight w:val="none"/>
          <w:lang w:val="zh-TW" w:eastAsia="zh-CN"/>
        </w:rPr>
        <w:t>供应商</w:t>
      </w:r>
      <w:r>
        <w:rPr>
          <w:rFonts w:hint="eastAsia" w:ascii="仿宋" w:hAnsi="仿宋" w:eastAsia="仿宋" w:cs="仿宋"/>
          <w:color w:val="auto"/>
          <w:highlight w:val="none"/>
          <w:lang w:val="zh-TW" w:eastAsia="zh-TW"/>
        </w:rPr>
        <w:t>公章。</w:t>
      </w:r>
      <w:r>
        <w:rPr>
          <w:rFonts w:hint="eastAsia" w:ascii="仿宋" w:hAnsi="仿宋" w:eastAsia="仿宋" w:cs="仿宋"/>
          <w:color w:val="auto"/>
          <w:highlight w:val="none"/>
          <w:lang w:val="zh-TW" w:eastAsia="zh-CN"/>
        </w:rPr>
        <w:t>扫描件应清晰可辨。</w:t>
      </w:r>
    </w:p>
    <w:p w14:paraId="79ED0110">
      <w:pPr>
        <w:pStyle w:val="235"/>
        <w:spacing w:line="480" w:lineRule="exact"/>
        <w:ind w:left="0" w:firstLine="720"/>
        <w:rPr>
          <w:rFonts w:ascii="仿宋" w:hAnsi="仿宋" w:eastAsia="仿宋" w:cs="仿宋"/>
          <w:color w:val="auto"/>
          <w:highlight w:val="none"/>
          <w:lang w:val="zh-TW" w:eastAsia="zh-CN"/>
        </w:rPr>
      </w:pPr>
      <w:r>
        <w:rPr>
          <w:rFonts w:hint="eastAsia" w:ascii="仿宋" w:hAnsi="仿宋" w:eastAsia="仿宋" w:cs="仿宋"/>
          <w:color w:val="auto"/>
          <w:highlight w:val="none"/>
          <w:lang w:val="zh-TW" w:eastAsia="zh-CN"/>
        </w:rPr>
        <w:t>2、供应商按各项目需求提供鉴定人名单表</w:t>
      </w:r>
      <w:r>
        <w:rPr>
          <w:rFonts w:hint="eastAsia" w:ascii="仿宋" w:hAnsi="仿宋" w:eastAsia="仿宋" w:cs="仿宋"/>
          <w:color w:val="auto"/>
          <w:highlight w:val="none"/>
          <w:lang w:val="zh-TW" w:eastAsia="zh-TW"/>
        </w:rPr>
        <w:t>加盖</w:t>
      </w:r>
      <w:r>
        <w:rPr>
          <w:rFonts w:hint="eastAsia" w:ascii="仿宋" w:hAnsi="仿宋" w:eastAsia="仿宋" w:cs="仿宋"/>
          <w:color w:val="auto"/>
          <w:highlight w:val="none"/>
          <w:lang w:val="zh-TW" w:eastAsia="zh-CN"/>
        </w:rPr>
        <w:t>供应商</w:t>
      </w:r>
      <w:r>
        <w:rPr>
          <w:rFonts w:hint="eastAsia" w:ascii="仿宋" w:hAnsi="仿宋" w:eastAsia="仿宋" w:cs="仿宋"/>
          <w:color w:val="auto"/>
          <w:highlight w:val="none"/>
          <w:lang w:val="zh-TW" w:eastAsia="zh-TW"/>
        </w:rPr>
        <w:t>公章</w:t>
      </w:r>
      <w:r>
        <w:rPr>
          <w:rFonts w:hint="eastAsia" w:ascii="仿宋" w:hAnsi="仿宋" w:eastAsia="仿宋" w:cs="仿宋"/>
          <w:color w:val="auto"/>
          <w:highlight w:val="none"/>
          <w:lang w:val="zh-TW" w:eastAsia="zh-CN"/>
        </w:rPr>
        <w:t>。鉴定人的</w:t>
      </w:r>
      <w:r>
        <w:rPr>
          <w:rFonts w:hint="eastAsia" w:ascii="仿宋" w:hAnsi="仿宋" w:eastAsia="仿宋" w:cs="仿宋"/>
          <w:color w:val="auto"/>
          <w:highlight w:val="none"/>
          <w:lang w:val="zh-TW" w:eastAsia="zh-TW"/>
        </w:rPr>
        <w:t>司法鉴定人执业证</w:t>
      </w:r>
      <w:r>
        <w:rPr>
          <w:rFonts w:hint="eastAsia" w:ascii="仿宋" w:hAnsi="仿宋" w:eastAsia="仿宋" w:cs="仿宋"/>
          <w:color w:val="auto"/>
          <w:highlight w:val="none"/>
          <w:lang w:val="zh-TW" w:eastAsia="zh-CN"/>
        </w:rPr>
        <w:t>具备相应执业范围，可以在不同的项目需求中兼任。</w:t>
      </w:r>
    </w:p>
    <w:p w14:paraId="3818F22A">
      <w:pPr>
        <w:spacing w:line="4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（三）鉴定仪器设备</w:t>
      </w:r>
    </w:p>
    <w:p w14:paraId="020D7308">
      <w:pPr>
        <w:pStyle w:val="235"/>
        <w:spacing w:line="480" w:lineRule="exact"/>
        <w:ind w:left="0" w:firstLine="2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★1、供应商须承诺所使用的计量工具需取得法定计量检定机构颁发的校准/检定证书，且证书持续有效。</w:t>
      </w:r>
      <w:r>
        <w:rPr>
          <w:rFonts w:hint="eastAsia" w:ascii="仿宋" w:hAnsi="仿宋" w:eastAsia="仿宋" w:cs="仿宋"/>
          <w:b/>
          <w:color w:val="auto"/>
          <w:highlight w:val="none"/>
          <w:lang w:eastAsia="zh-CN"/>
        </w:rPr>
        <w:t>投标文件须附承诺书</w:t>
      </w:r>
      <w:r>
        <w:rPr>
          <w:rFonts w:hint="eastAsia" w:ascii="仿宋" w:hAnsi="仿宋" w:eastAsia="仿宋" w:cs="仿宋"/>
          <w:color w:val="auto"/>
          <w:highlight w:val="none"/>
          <w:lang w:eastAsia="zh-CN"/>
        </w:rPr>
        <w:t>。如项目执行期间未履行承诺，则委托方有权无条件解除合同。</w:t>
      </w:r>
    </w:p>
    <w:tbl>
      <w:tblPr>
        <w:tblStyle w:val="25"/>
        <w:tblW w:w="9270" w:type="dxa"/>
        <w:tblInd w:w="93" w:type="dxa"/>
        <w:tblLayout w:type="autofit"/>
        <w:tblCellMar>
          <w:top w:w="0" w:type="dxa"/>
          <w:left w:w="108" w:type="dxa"/>
          <w:bottom w:w="0" w:type="dxa"/>
          <w:right w:w="108" w:type="dxa"/>
        </w:tblCellMar>
      </w:tblPr>
      <w:tblGrid>
        <w:gridCol w:w="3444"/>
        <w:gridCol w:w="4019"/>
        <w:gridCol w:w="1807"/>
      </w:tblGrid>
      <w:tr w14:paraId="714F2F9E">
        <w:tblPrEx>
          <w:tblCellMar>
            <w:top w:w="0" w:type="dxa"/>
            <w:left w:w="108" w:type="dxa"/>
            <w:bottom w:w="0" w:type="dxa"/>
            <w:right w:w="108" w:type="dxa"/>
          </w:tblCellMar>
        </w:tblPrEx>
        <w:trPr>
          <w:trHeight w:val="660" w:hRule="atLeast"/>
        </w:trPr>
        <w:tc>
          <w:tcPr>
            <w:tcW w:w="9270" w:type="dxa"/>
            <w:gridSpan w:val="3"/>
            <w:tcBorders>
              <w:top w:val="nil"/>
              <w:left w:val="nil"/>
              <w:bottom w:val="nil"/>
              <w:right w:val="nil"/>
            </w:tcBorders>
            <w:shd w:val="clear" w:color="auto" w:fill="auto"/>
            <w:noWrap/>
            <w:vAlign w:val="center"/>
          </w:tcPr>
          <w:p w14:paraId="763DA71F">
            <w:pPr>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高级专业技术职称明细表</w:t>
            </w:r>
          </w:p>
        </w:tc>
      </w:tr>
      <w:tr w14:paraId="2E1F4CAF">
        <w:tblPrEx>
          <w:tblCellMar>
            <w:top w:w="0" w:type="dxa"/>
            <w:left w:w="108" w:type="dxa"/>
            <w:bottom w:w="0" w:type="dxa"/>
            <w:right w:w="108" w:type="dxa"/>
          </w:tblCellMar>
        </w:tblPrEx>
        <w:trPr>
          <w:trHeight w:val="520" w:hRule="atLeast"/>
        </w:trPr>
        <w:tc>
          <w:tcPr>
            <w:tcW w:w="0" w:type="auto"/>
            <w:tcBorders>
              <w:top w:val="single" w:color="000000" w:sz="8" w:space="0"/>
              <w:left w:val="single" w:color="000000" w:sz="8" w:space="0"/>
              <w:bottom w:val="nil"/>
              <w:right w:val="nil"/>
            </w:tcBorders>
            <w:shd w:val="clear" w:color="auto" w:fill="auto"/>
            <w:noWrap/>
            <w:vAlign w:val="center"/>
          </w:tcPr>
          <w:p w14:paraId="6B51E641">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项目类别</w:t>
            </w:r>
          </w:p>
        </w:tc>
        <w:tc>
          <w:tcPr>
            <w:tcW w:w="0" w:type="auto"/>
            <w:tcBorders>
              <w:top w:val="single" w:color="000000" w:sz="8" w:space="0"/>
              <w:left w:val="nil"/>
              <w:bottom w:val="nil"/>
              <w:right w:val="nil"/>
            </w:tcBorders>
            <w:shd w:val="clear" w:color="auto" w:fill="auto"/>
            <w:noWrap/>
            <w:vAlign w:val="center"/>
          </w:tcPr>
          <w:p w14:paraId="5008C9E9">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技术职称</w:t>
            </w:r>
          </w:p>
        </w:tc>
        <w:tc>
          <w:tcPr>
            <w:tcW w:w="0" w:type="auto"/>
            <w:tcBorders>
              <w:top w:val="single" w:color="000000" w:sz="8" w:space="0"/>
              <w:left w:val="nil"/>
              <w:bottom w:val="nil"/>
              <w:right w:val="single" w:color="000000" w:sz="8" w:space="0"/>
            </w:tcBorders>
            <w:shd w:val="clear" w:color="auto" w:fill="auto"/>
            <w:noWrap/>
            <w:vAlign w:val="center"/>
          </w:tcPr>
          <w:p w14:paraId="2C15E6C9">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38258171">
        <w:tblPrEx>
          <w:tblCellMar>
            <w:top w:w="0" w:type="dxa"/>
            <w:left w:w="108" w:type="dxa"/>
            <w:bottom w:w="0" w:type="dxa"/>
            <w:right w:w="108" w:type="dxa"/>
          </w:tblCellMar>
        </w:tblPrEx>
        <w:trPr>
          <w:trHeight w:val="285"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17F0AA2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法医病理</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14:paraId="10D7AB69">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主任法医师</w:t>
            </w:r>
          </w:p>
        </w:tc>
        <w:tc>
          <w:tcPr>
            <w:tcW w:w="0" w:type="auto"/>
            <w:tcBorders>
              <w:top w:val="single" w:color="000000" w:sz="8" w:space="0"/>
              <w:left w:val="single" w:color="000000" w:sz="4" w:space="0"/>
              <w:bottom w:val="single" w:color="000000" w:sz="4" w:space="0"/>
              <w:right w:val="single" w:color="000000" w:sz="8" w:space="0"/>
            </w:tcBorders>
            <w:shd w:val="clear" w:color="auto" w:fill="auto"/>
            <w:noWrap/>
            <w:vAlign w:val="center"/>
          </w:tcPr>
          <w:p w14:paraId="648333BC">
            <w:pPr>
              <w:rPr>
                <w:rFonts w:ascii="宋体" w:hAnsi="宋体" w:eastAsia="宋体" w:cs="宋体"/>
                <w:color w:val="auto"/>
                <w:sz w:val="24"/>
                <w:szCs w:val="24"/>
                <w:highlight w:val="none"/>
              </w:rPr>
            </w:pPr>
          </w:p>
        </w:tc>
      </w:tr>
      <w:tr w14:paraId="74E45A2D">
        <w:tblPrEx>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6F41FA6C">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4255">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副主任法医师</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C0F62D">
            <w:pPr>
              <w:rPr>
                <w:rFonts w:ascii="宋体" w:hAnsi="宋体" w:eastAsia="宋体" w:cs="宋体"/>
                <w:color w:val="auto"/>
                <w:sz w:val="24"/>
                <w:szCs w:val="24"/>
                <w:highlight w:val="none"/>
              </w:rPr>
            </w:pPr>
          </w:p>
        </w:tc>
      </w:tr>
      <w:tr w14:paraId="218BC5AB">
        <w:tblPrEx>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60B0AE8E">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9D99">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教授</w:t>
            </w:r>
          </w:p>
        </w:tc>
        <w:tc>
          <w:tcPr>
            <w:tcW w:w="0" w:type="auto"/>
            <w:vMerge w:val="restart"/>
            <w:tcBorders>
              <w:top w:val="single" w:color="000000" w:sz="4" w:space="0"/>
              <w:left w:val="single" w:color="000000" w:sz="4" w:space="0"/>
              <w:bottom w:val="single" w:color="000000" w:sz="8" w:space="0"/>
              <w:right w:val="single" w:color="000000" w:sz="8" w:space="0"/>
            </w:tcBorders>
            <w:shd w:val="clear" w:color="auto" w:fill="auto"/>
            <w:noWrap/>
            <w:vAlign w:val="center"/>
          </w:tcPr>
          <w:p w14:paraId="2AA8179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相关专业</w:t>
            </w:r>
          </w:p>
        </w:tc>
      </w:tr>
      <w:tr w14:paraId="3D44F4E3">
        <w:tblPrEx>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13818D85">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0A74185">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副教授</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14:paraId="79C11C0B">
            <w:pPr>
              <w:jc w:val="center"/>
              <w:rPr>
                <w:rFonts w:ascii="宋体" w:hAnsi="宋体" w:eastAsia="宋体" w:cs="宋体"/>
                <w:color w:val="auto"/>
                <w:sz w:val="24"/>
                <w:szCs w:val="24"/>
                <w:highlight w:val="none"/>
              </w:rPr>
            </w:pPr>
          </w:p>
        </w:tc>
      </w:tr>
      <w:tr w14:paraId="66947D0D">
        <w:tblPrEx>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43592383">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026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主任技师</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14:paraId="2018BA9A">
            <w:pPr>
              <w:jc w:val="center"/>
              <w:rPr>
                <w:rFonts w:ascii="宋体" w:hAnsi="宋体" w:eastAsia="宋体" w:cs="宋体"/>
                <w:color w:val="auto"/>
                <w:sz w:val="24"/>
                <w:szCs w:val="24"/>
                <w:highlight w:val="none"/>
              </w:rPr>
            </w:pPr>
          </w:p>
        </w:tc>
      </w:tr>
      <w:tr w14:paraId="0030B709">
        <w:tblPrEx>
          <w:tblCellMar>
            <w:top w:w="0" w:type="dxa"/>
            <w:left w:w="108" w:type="dxa"/>
            <w:bottom w:w="0" w:type="dxa"/>
            <w:right w:w="108" w:type="dxa"/>
          </w:tblCellMar>
        </w:tblPrEx>
        <w:trPr>
          <w:trHeight w:val="30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104FB63E">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14:paraId="196C7374">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副主任技师</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14:paraId="7AB08852">
            <w:pPr>
              <w:jc w:val="center"/>
              <w:rPr>
                <w:rFonts w:ascii="宋体" w:hAnsi="宋体" w:eastAsia="宋体" w:cs="宋体"/>
                <w:color w:val="auto"/>
                <w:sz w:val="24"/>
                <w:szCs w:val="24"/>
                <w:highlight w:val="none"/>
              </w:rPr>
            </w:pPr>
          </w:p>
        </w:tc>
      </w:tr>
      <w:tr w14:paraId="6196279A">
        <w:tblPrEx>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4" w:space="0"/>
              <w:right w:val="single" w:color="000000" w:sz="4" w:space="0"/>
            </w:tcBorders>
            <w:shd w:val="clear" w:color="auto" w:fill="auto"/>
            <w:noWrap/>
            <w:vAlign w:val="center"/>
          </w:tcPr>
          <w:p w14:paraId="23DE629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法医临床</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F7FDEF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主任法医师</w:t>
            </w:r>
          </w:p>
        </w:tc>
        <w:tc>
          <w:tcPr>
            <w:tcW w:w="0" w:type="auto"/>
            <w:tcBorders>
              <w:top w:val="nil"/>
              <w:left w:val="single" w:color="000000" w:sz="4" w:space="0"/>
              <w:bottom w:val="single" w:color="000000" w:sz="4" w:space="0"/>
              <w:right w:val="single" w:color="000000" w:sz="8" w:space="0"/>
            </w:tcBorders>
            <w:shd w:val="clear" w:color="auto" w:fill="auto"/>
            <w:noWrap/>
            <w:vAlign w:val="center"/>
          </w:tcPr>
          <w:p w14:paraId="57368A45">
            <w:pPr>
              <w:rPr>
                <w:rFonts w:ascii="宋体" w:hAnsi="宋体" w:eastAsia="宋体" w:cs="宋体"/>
                <w:color w:val="auto"/>
                <w:sz w:val="24"/>
                <w:szCs w:val="24"/>
                <w:highlight w:val="none"/>
              </w:rPr>
            </w:pPr>
          </w:p>
        </w:tc>
      </w:tr>
      <w:tr w14:paraId="5C00CDB8">
        <w:tblPrEx>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4" w:space="0"/>
              <w:right w:val="single" w:color="000000" w:sz="4" w:space="0"/>
            </w:tcBorders>
            <w:shd w:val="clear" w:color="auto" w:fill="auto"/>
            <w:noWrap/>
            <w:vAlign w:val="center"/>
          </w:tcPr>
          <w:p w14:paraId="0E0B4663">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3C52">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副主任法医师</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CF0AD4">
            <w:pPr>
              <w:rPr>
                <w:rFonts w:ascii="宋体" w:hAnsi="宋体" w:eastAsia="宋体" w:cs="宋体"/>
                <w:color w:val="auto"/>
                <w:sz w:val="24"/>
                <w:szCs w:val="24"/>
                <w:highlight w:val="none"/>
              </w:rPr>
            </w:pPr>
          </w:p>
        </w:tc>
      </w:tr>
      <w:tr w14:paraId="1EA5933D">
        <w:tblPrEx>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4" w:space="0"/>
              <w:right w:val="single" w:color="000000" w:sz="4" w:space="0"/>
            </w:tcBorders>
            <w:shd w:val="clear" w:color="auto" w:fill="auto"/>
            <w:noWrap/>
            <w:vAlign w:val="center"/>
          </w:tcPr>
          <w:p w14:paraId="30D906DB">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12A1">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主任医师</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0D9B0B">
            <w:pPr>
              <w:rPr>
                <w:rFonts w:ascii="宋体" w:hAnsi="宋体" w:eastAsia="宋体" w:cs="宋体"/>
                <w:color w:val="auto"/>
                <w:sz w:val="24"/>
                <w:szCs w:val="24"/>
                <w:highlight w:val="none"/>
              </w:rPr>
            </w:pPr>
          </w:p>
        </w:tc>
      </w:tr>
      <w:tr w14:paraId="212EC2A6">
        <w:tblPrEx>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4" w:space="0"/>
              <w:right w:val="single" w:color="000000" w:sz="4" w:space="0"/>
            </w:tcBorders>
            <w:shd w:val="clear" w:color="auto" w:fill="auto"/>
            <w:noWrap/>
            <w:vAlign w:val="center"/>
          </w:tcPr>
          <w:p w14:paraId="15421455">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4658">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副主任医师</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05C0C4">
            <w:pPr>
              <w:rPr>
                <w:rFonts w:ascii="宋体" w:hAnsi="宋体" w:eastAsia="宋体" w:cs="宋体"/>
                <w:color w:val="auto"/>
                <w:sz w:val="24"/>
                <w:szCs w:val="24"/>
                <w:highlight w:val="none"/>
              </w:rPr>
            </w:pPr>
          </w:p>
        </w:tc>
      </w:tr>
      <w:tr w14:paraId="08AAE800">
        <w:tblPrEx>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4" w:space="0"/>
              <w:right w:val="single" w:color="000000" w:sz="4" w:space="0"/>
            </w:tcBorders>
            <w:shd w:val="clear" w:color="auto" w:fill="auto"/>
            <w:noWrap/>
            <w:vAlign w:val="center"/>
          </w:tcPr>
          <w:p w14:paraId="2543ED58">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DDCC">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教授</w:t>
            </w:r>
          </w:p>
        </w:tc>
        <w:tc>
          <w:tcPr>
            <w:tcW w:w="0" w:type="auto"/>
            <w:vMerge w:val="restart"/>
            <w:tcBorders>
              <w:top w:val="single" w:color="000000" w:sz="4" w:space="0"/>
              <w:left w:val="single" w:color="000000" w:sz="4" w:space="0"/>
              <w:bottom w:val="single" w:color="000000" w:sz="8" w:space="0"/>
              <w:right w:val="single" w:color="000000" w:sz="8" w:space="0"/>
            </w:tcBorders>
            <w:shd w:val="clear" w:color="auto" w:fill="auto"/>
            <w:noWrap/>
            <w:vAlign w:val="center"/>
          </w:tcPr>
          <w:p w14:paraId="3350456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相关专业</w:t>
            </w:r>
          </w:p>
        </w:tc>
      </w:tr>
      <w:tr w14:paraId="4F02E29E">
        <w:tblPrEx>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4" w:space="0"/>
              <w:right w:val="single" w:color="000000" w:sz="4" w:space="0"/>
            </w:tcBorders>
            <w:shd w:val="clear" w:color="auto" w:fill="auto"/>
            <w:noWrap/>
            <w:vAlign w:val="center"/>
          </w:tcPr>
          <w:p w14:paraId="0F4AE0D1">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14:paraId="0824918C">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副教授</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14:paraId="2E19DE01">
            <w:pPr>
              <w:jc w:val="center"/>
              <w:rPr>
                <w:rFonts w:ascii="宋体" w:hAnsi="宋体" w:eastAsia="宋体" w:cs="宋体"/>
                <w:color w:val="auto"/>
                <w:sz w:val="24"/>
                <w:szCs w:val="24"/>
                <w:highlight w:val="none"/>
              </w:rPr>
            </w:pPr>
          </w:p>
        </w:tc>
      </w:tr>
      <w:tr w14:paraId="32AB769C">
        <w:tblPrEx>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4" w:space="0"/>
              <w:right w:val="single" w:color="000000" w:sz="4" w:space="0"/>
            </w:tcBorders>
            <w:shd w:val="clear" w:color="auto" w:fill="auto"/>
            <w:noWrap/>
            <w:vAlign w:val="center"/>
          </w:tcPr>
          <w:p w14:paraId="61382BE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法医毒物</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39814B3">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主任法医师</w:t>
            </w:r>
          </w:p>
        </w:tc>
        <w:tc>
          <w:tcPr>
            <w:tcW w:w="0" w:type="auto"/>
            <w:tcBorders>
              <w:top w:val="nil"/>
              <w:left w:val="single" w:color="000000" w:sz="4" w:space="0"/>
              <w:bottom w:val="single" w:color="000000" w:sz="4" w:space="0"/>
              <w:right w:val="single" w:color="000000" w:sz="8" w:space="0"/>
            </w:tcBorders>
            <w:shd w:val="clear" w:color="auto" w:fill="auto"/>
            <w:noWrap/>
            <w:vAlign w:val="center"/>
          </w:tcPr>
          <w:p w14:paraId="4A52EF8A">
            <w:pPr>
              <w:rPr>
                <w:rFonts w:ascii="宋体" w:hAnsi="宋体" w:eastAsia="宋体" w:cs="宋体"/>
                <w:color w:val="auto"/>
                <w:sz w:val="24"/>
                <w:szCs w:val="24"/>
                <w:highlight w:val="none"/>
              </w:rPr>
            </w:pPr>
          </w:p>
        </w:tc>
      </w:tr>
      <w:tr w14:paraId="09F8E078">
        <w:tblPrEx>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4" w:space="0"/>
              <w:right w:val="single" w:color="000000" w:sz="4" w:space="0"/>
            </w:tcBorders>
            <w:shd w:val="clear" w:color="auto" w:fill="auto"/>
            <w:noWrap/>
            <w:vAlign w:val="center"/>
          </w:tcPr>
          <w:p w14:paraId="11039D32">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2B3D">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副主任法医师</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828D79">
            <w:pPr>
              <w:rPr>
                <w:rFonts w:ascii="宋体" w:hAnsi="宋体" w:eastAsia="宋体" w:cs="宋体"/>
                <w:color w:val="auto"/>
                <w:sz w:val="24"/>
                <w:szCs w:val="24"/>
                <w:highlight w:val="none"/>
              </w:rPr>
            </w:pPr>
          </w:p>
        </w:tc>
      </w:tr>
      <w:tr w14:paraId="4071FB9C">
        <w:tblPrEx>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4" w:space="0"/>
              <w:right w:val="single" w:color="000000" w:sz="4" w:space="0"/>
            </w:tcBorders>
            <w:shd w:val="clear" w:color="auto" w:fill="auto"/>
            <w:noWrap/>
            <w:vAlign w:val="center"/>
          </w:tcPr>
          <w:p w14:paraId="4AC7FD69">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4752">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正高级工程师</w:t>
            </w:r>
          </w:p>
        </w:tc>
        <w:tc>
          <w:tcPr>
            <w:tcW w:w="0" w:type="auto"/>
            <w:vMerge w:val="restart"/>
            <w:tcBorders>
              <w:top w:val="single" w:color="000000" w:sz="4" w:space="0"/>
              <w:left w:val="single" w:color="000000" w:sz="4" w:space="0"/>
              <w:bottom w:val="single" w:color="000000" w:sz="8" w:space="0"/>
              <w:right w:val="single" w:color="000000" w:sz="8" w:space="0"/>
            </w:tcBorders>
            <w:shd w:val="clear" w:color="auto" w:fill="auto"/>
            <w:noWrap/>
            <w:vAlign w:val="center"/>
          </w:tcPr>
          <w:p w14:paraId="76EF88D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相关专业</w:t>
            </w:r>
          </w:p>
        </w:tc>
      </w:tr>
      <w:tr w14:paraId="2FD7F89C">
        <w:tblPrEx>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4" w:space="0"/>
              <w:right w:val="single" w:color="000000" w:sz="4" w:space="0"/>
            </w:tcBorders>
            <w:shd w:val="clear" w:color="auto" w:fill="auto"/>
            <w:noWrap/>
            <w:vAlign w:val="center"/>
          </w:tcPr>
          <w:p w14:paraId="0635874D">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6C45">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高级工程师</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14:paraId="0C24985A">
            <w:pPr>
              <w:jc w:val="center"/>
              <w:rPr>
                <w:rFonts w:ascii="宋体" w:hAnsi="宋体" w:eastAsia="宋体" w:cs="宋体"/>
                <w:color w:val="auto"/>
                <w:sz w:val="24"/>
                <w:szCs w:val="24"/>
                <w:highlight w:val="none"/>
              </w:rPr>
            </w:pPr>
          </w:p>
        </w:tc>
      </w:tr>
      <w:tr w14:paraId="03C599BE">
        <w:tblPrEx>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4" w:space="0"/>
              <w:right w:val="single" w:color="000000" w:sz="4" w:space="0"/>
            </w:tcBorders>
            <w:shd w:val="clear" w:color="auto" w:fill="auto"/>
            <w:noWrap/>
            <w:vAlign w:val="center"/>
          </w:tcPr>
          <w:p w14:paraId="088BD003">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AA9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教授</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14:paraId="64A2D79C">
            <w:pPr>
              <w:jc w:val="center"/>
              <w:rPr>
                <w:rFonts w:ascii="宋体" w:hAnsi="宋体" w:eastAsia="宋体" w:cs="宋体"/>
                <w:color w:val="auto"/>
                <w:sz w:val="24"/>
                <w:szCs w:val="24"/>
                <w:highlight w:val="none"/>
              </w:rPr>
            </w:pPr>
          </w:p>
        </w:tc>
      </w:tr>
      <w:tr w14:paraId="5FDB3868">
        <w:tblPrEx>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4" w:space="0"/>
              <w:right w:val="single" w:color="000000" w:sz="4" w:space="0"/>
            </w:tcBorders>
            <w:shd w:val="clear" w:color="auto" w:fill="auto"/>
            <w:noWrap/>
            <w:vAlign w:val="center"/>
          </w:tcPr>
          <w:p w14:paraId="4AD6F3EC">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E574">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副教授</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14:paraId="41AEDA22">
            <w:pPr>
              <w:jc w:val="center"/>
              <w:rPr>
                <w:rFonts w:ascii="宋体" w:hAnsi="宋体" w:eastAsia="宋体" w:cs="宋体"/>
                <w:color w:val="auto"/>
                <w:sz w:val="24"/>
                <w:szCs w:val="24"/>
                <w:highlight w:val="none"/>
              </w:rPr>
            </w:pPr>
          </w:p>
        </w:tc>
      </w:tr>
      <w:tr w14:paraId="57574896">
        <w:tblPrEx>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4" w:space="0"/>
              <w:right w:val="single" w:color="000000" w:sz="4" w:space="0"/>
            </w:tcBorders>
            <w:shd w:val="clear" w:color="auto" w:fill="auto"/>
            <w:noWrap/>
            <w:vAlign w:val="center"/>
          </w:tcPr>
          <w:p w14:paraId="5FC3B302">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FE37">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主任技师</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14:paraId="2FE3BB1B">
            <w:pPr>
              <w:jc w:val="center"/>
              <w:rPr>
                <w:rFonts w:ascii="宋体" w:hAnsi="宋体" w:eastAsia="宋体" w:cs="宋体"/>
                <w:color w:val="auto"/>
                <w:sz w:val="24"/>
                <w:szCs w:val="24"/>
                <w:highlight w:val="none"/>
              </w:rPr>
            </w:pPr>
          </w:p>
        </w:tc>
      </w:tr>
      <w:tr w14:paraId="1AAAA93A">
        <w:tblPrEx>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4" w:space="0"/>
              <w:right w:val="single" w:color="000000" w:sz="4" w:space="0"/>
            </w:tcBorders>
            <w:shd w:val="clear" w:color="auto" w:fill="auto"/>
            <w:noWrap/>
            <w:vAlign w:val="center"/>
          </w:tcPr>
          <w:p w14:paraId="5E427484">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4827">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副主任技师</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14:paraId="2D4073F9">
            <w:pPr>
              <w:jc w:val="center"/>
              <w:rPr>
                <w:rFonts w:ascii="宋体" w:hAnsi="宋体" w:eastAsia="宋体" w:cs="宋体"/>
                <w:color w:val="auto"/>
                <w:sz w:val="24"/>
                <w:szCs w:val="24"/>
                <w:highlight w:val="none"/>
              </w:rPr>
            </w:pPr>
          </w:p>
        </w:tc>
      </w:tr>
      <w:tr w14:paraId="74415E0F">
        <w:tblPrEx>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4" w:space="0"/>
              <w:right w:val="single" w:color="000000" w:sz="4" w:space="0"/>
            </w:tcBorders>
            <w:shd w:val="clear" w:color="auto" w:fill="auto"/>
            <w:noWrap/>
            <w:vAlign w:val="center"/>
          </w:tcPr>
          <w:p w14:paraId="730ECF8F">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838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研究员</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14:paraId="582C0BC2">
            <w:pPr>
              <w:jc w:val="center"/>
              <w:rPr>
                <w:rFonts w:ascii="宋体" w:hAnsi="宋体" w:eastAsia="宋体" w:cs="宋体"/>
                <w:color w:val="auto"/>
                <w:sz w:val="24"/>
                <w:szCs w:val="24"/>
                <w:highlight w:val="none"/>
              </w:rPr>
            </w:pPr>
          </w:p>
        </w:tc>
      </w:tr>
      <w:tr w14:paraId="65BDF150">
        <w:tblPrEx>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4" w:space="0"/>
              <w:right w:val="single" w:color="000000" w:sz="4" w:space="0"/>
            </w:tcBorders>
            <w:shd w:val="clear" w:color="auto" w:fill="auto"/>
            <w:noWrap/>
            <w:vAlign w:val="center"/>
          </w:tcPr>
          <w:p w14:paraId="057F3B7A">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14:paraId="68B7ED81">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副研究员</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14:paraId="216C487E">
            <w:pPr>
              <w:jc w:val="center"/>
              <w:rPr>
                <w:rFonts w:ascii="宋体" w:hAnsi="宋体" w:eastAsia="宋体" w:cs="宋体"/>
                <w:color w:val="auto"/>
                <w:sz w:val="24"/>
                <w:szCs w:val="24"/>
                <w:highlight w:val="none"/>
              </w:rPr>
            </w:pPr>
          </w:p>
        </w:tc>
      </w:tr>
      <w:tr w14:paraId="59D268E7">
        <w:tblPrEx>
          <w:tblCellMar>
            <w:top w:w="0" w:type="dxa"/>
            <w:left w:w="108" w:type="dxa"/>
            <w:bottom w:w="0" w:type="dxa"/>
            <w:right w:w="108" w:type="dxa"/>
          </w:tblCellMar>
        </w:tblPrEx>
        <w:trPr>
          <w:trHeight w:val="285" w:hRule="atLeast"/>
        </w:trPr>
        <w:tc>
          <w:tcPr>
            <w:tcW w:w="3304"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14:paraId="762B7F1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痕迹（相关的交通事故痕迹物证鉴定）</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14:paraId="0626C259">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痕迹检验正高级工程师</w:t>
            </w:r>
          </w:p>
        </w:tc>
        <w:tc>
          <w:tcPr>
            <w:tcW w:w="0" w:type="auto"/>
            <w:tcBorders>
              <w:top w:val="single" w:color="000000" w:sz="8" w:space="0"/>
              <w:left w:val="single" w:color="000000" w:sz="4" w:space="0"/>
              <w:bottom w:val="single" w:color="000000" w:sz="4" w:space="0"/>
              <w:right w:val="single" w:color="000000" w:sz="8" w:space="0"/>
            </w:tcBorders>
            <w:shd w:val="clear" w:color="auto" w:fill="auto"/>
            <w:noWrap/>
            <w:vAlign w:val="center"/>
          </w:tcPr>
          <w:p w14:paraId="64D9BBEA">
            <w:pPr>
              <w:jc w:val="center"/>
              <w:rPr>
                <w:rFonts w:ascii="宋体" w:hAnsi="宋体" w:eastAsia="宋体" w:cs="宋体"/>
                <w:color w:val="auto"/>
                <w:sz w:val="24"/>
                <w:szCs w:val="24"/>
                <w:highlight w:val="none"/>
              </w:rPr>
            </w:pPr>
          </w:p>
        </w:tc>
      </w:tr>
      <w:tr w14:paraId="77110B5D">
        <w:tblPrEx>
          <w:tblCellMar>
            <w:top w:w="0" w:type="dxa"/>
            <w:left w:w="108" w:type="dxa"/>
            <w:bottom w:w="0" w:type="dxa"/>
            <w:right w:w="108" w:type="dxa"/>
          </w:tblCellMar>
        </w:tblPrEx>
        <w:trPr>
          <w:trHeight w:val="285" w:hRule="atLeast"/>
        </w:trPr>
        <w:tc>
          <w:tcPr>
            <w:tcW w:w="3304"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663D07EF">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592D">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痕迹检验高级工程师</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4EFF89">
            <w:pPr>
              <w:jc w:val="center"/>
              <w:rPr>
                <w:rFonts w:ascii="宋体" w:hAnsi="宋体" w:eastAsia="宋体" w:cs="宋体"/>
                <w:color w:val="auto"/>
                <w:sz w:val="24"/>
                <w:szCs w:val="24"/>
                <w:highlight w:val="none"/>
              </w:rPr>
            </w:pPr>
          </w:p>
        </w:tc>
      </w:tr>
      <w:tr w14:paraId="6D967409">
        <w:tblPrEx>
          <w:tblCellMar>
            <w:top w:w="0" w:type="dxa"/>
            <w:left w:w="108" w:type="dxa"/>
            <w:bottom w:w="0" w:type="dxa"/>
            <w:right w:w="108" w:type="dxa"/>
          </w:tblCellMar>
        </w:tblPrEx>
        <w:trPr>
          <w:trHeight w:val="285" w:hRule="atLeast"/>
        </w:trPr>
        <w:tc>
          <w:tcPr>
            <w:tcW w:w="3304"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7174A738">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74E5">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教授</w:t>
            </w:r>
          </w:p>
        </w:tc>
        <w:tc>
          <w:tcPr>
            <w:tcW w:w="0" w:type="auto"/>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C26F5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相关专业</w:t>
            </w:r>
          </w:p>
        </w:tc>
      </w:tr>
      <w:tr w14:paraId="21986056">
        <w:tblPrEx>
          <w:tblCellMar>
            <w:top w:w="0" w:type="dxa"/>
            <w:left w:w="108" w:type="dxa"/>
            <w:bottom w:w="0" w:type="dxa"/>
            <w:right w:w="108" w:type="dxa"/>
          </w:tblCellMar>
        </w:tblPrEx>
        <w:trPr>
          <w:trHeight w:val="300" w:hRule="atLeast"/>
        </w:trPr>
        <w:tc>
          <w:tcPr>
            <w:tcW w:w="3304"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6D9D412D">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14:paraId="4579267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副教授</w:t>
            </w:r>
          </w:p>
        </w:tc>
        <w:tc>
          <w:tcPr>
            <w:tcW w:w="0" w:type="auto"/>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C1A938">
            <w:pPr>
              <w:jc w:val="center"/>
              <w:rPr>
                <w:rFonts w:ascii="宋体" w:hAnsi="宋体" w:eastAsia="宋体" w:cs="宋体"/>
                <w:color w:val="auto"/>
                <w:sz w:val="24"/>
                <w:szCs w:val="24"/>
                <w:highlight w:val="none"/>
              </w:rPr>
            </w:pPr>
          </w:p>
        </w:tc>
      </w:tr>
      <w:tr w14:paraId="5B785329">
        <w:tblPrEx>
          <w:tblCellMar>
            <w:top w:w="0" w:type="dxa"/>
            <w:left w:w="108" w:type="dxa"/>
            <w:bottom w:w="0" w:type="dxa"/>
            <w:right w:w="108" w:type="dxa"/>
          </w:tblCellMar>
        </w:tblPrEx>
        <w:trPr>
          <w:trHeight w:val="285" w:hRule="atLeast"/>
        </w:trPr>
        <w:tc>
          <w:tcPr>
            <w:tcW w:w="3304"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6E67A7E6">
            <w:pPr>
              <w:jc w:val="center"/>
              <w:rPr>
                <w:rFonts w:ascii="宋体" w:hAnsi="宋体" w:eastAsia="宋体" w:cs="宋体"/>
                <w:color w:val="auto"/>
                <w:sz w:val="24"/>
                <w:szCs w:val="24"/>
                <w:highlight w:val="none"/>
              </w:rPr>
            </w:pP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14:paraId="4F100C4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车辆工程正高级工程师</w:t>
            </w:r>
          </w:p>
        </w:tc>
        <w:tc>
          <w:tcPr>
            <w:tcW w:w="0" w:type="auto"/>
            <w:tcBorders>
              <w:top w:val="single" w:color="000000" w:sz="8" w:space="0"/>
              <w:left w:val="single" w:color="000000" w:sz="4" w:space="0"/>
              <w:bottom w:val="single" w:color="000000" w:sz="4" w:space="0"/>
              <w:right w:val="single" w:color="000000" w:sz="8" w:space="0"/>
            </w:tcBorders>
            <w:shd w:val="clear" w:color="auto" w:fill="auto"/>
            <w:noWrap/>
            <w:vAlign w:val="center"/>
          </w:tcPr>
          <w:p w14:paraId="42125632">
            <w:pPr>
              <w:rPr>
                <w:rFonts w:ascii="宋体" w:hAnsi="宋体" w:eastAsia="宋体" w:cs="宋体"/>
                <w:color w:val="auto"/>
                <w:sz w:val="24"/>
                <w:szCs w:val="24"/>
                <w:highlight w:val="none"/>
              </w:rPr>
            </w:pPr>
          </w:p>
        </w:tc>
      </w:tr>
      <w:tr w14:paraId="58CDE1AF">
        <w:tblPrEx>
          <w:tblCellMar>
            <w:top w:w="0" w:type="dxa"/>
            <w:left w:w="108" w:type="dxa"/>
            <w:bottom w:w="0" w:type="dxa"/>
            <w:right w:w="108" w:type="dxa"/>
          </w:tblCellMar>
        </w:tblPrEx>
        <w:trPr>
          <w:trHeight w:val="285" w:hRule="atLeast"/>
        </w:trPr>
        <w:tc>
          <w:tcPr>
            <w:tcW w:w="3304"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532C6EE8">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60D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车辆工程高级工程师</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167BC4">
            <w:pPr>
              <w:rPr>
                <w:rFonts w:ascii="宋体" w:hAnsi="宋体" w:eastAsia="宋体" w:cs="宋体"/>
                <w:color w:val="auto"/>
                <w:sz w:val="24"/>
                <w:szCs w:val="24"/>
                <w:highlight w:val="none"/>
              </w:rPr>
            </w:pPr>
          </w:p>
        </w:tc>
      </w:tr>
      <w:tr w14:paraId="1C637195">
        <w:tblPrEx>
          <w:tblCellMar>
            <w:top w:w="0" w:type="dxa"/>
            <w:left w:w="108" w:type="dxa"/>
            <w:bottom w:w="0" w:type="dxa"/>
            <w:right w:w="108" w:type="dxa"/>
          </w:tblCellMar>
        </w:tblPrEx>
        <w:trPr>
          <w:trHeight w:val="285" w:hRule="atLeast"/>
        </w:trPr>
        <w:tc>
          <w:tcPr>
            <w:tcW w:w="3304"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74D99775">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7D9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交通工程正高级工程师</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FE2CDF">
            <w:pPr>
              <w:rPr>
                <w:rFonts w:ascii="宋体" w:hAnsi="宋体" w:eastAsia="宋体" w:cs="宋体"/>
                <w:color w:val="auto"/>
                <w:sz w:val="24"/>
                <w:szCs w:val="24"/>
                <w:highlight w:val="none"/>
              </w:rPr>
            </w:pPr>
          </w:p>
        </w:tc>
      </w:tr>
      <w:tr w14:paraId="2DDCE313">
        <w:tblPrEx>
          <w:tblCellMar>
            <w:top w:w="0" w:type="dxa"/>
            <w:left w:w="108" w:type="dxa"/>
            <w:bottom w:w="0" w:type="dxa"/>
            <w:right w:w="108" w:type="dxa"/>
          </w:tblCellMar>
        </w:tblPrEx>
        <w:trPr>
          <w:trHeight w:val="285" w:hRule="atLeast"/>
        </w:trPr>
        <w:tc>
          <w:tcPr>
            <w:tcW w:w="3304" w:type="dxa"/>
            <w:vMerge w:val="continue"/>
            <w:tcBorders>
              <w:top w:val="single" w:color="000000" w:sz="8" w:space="0"/>
              <w:left w:val="single" w:color="000000" w:sz="8" w:space="0"/>
              <w:bottom w:val="single" w:color="auto" w:sz="4" w:space="0"/>
              <w:right w:val="single" w:color="000000" w:sz="4" w:space="0"/>
            </w:tcBorders>
            <w:shd w:val="clear" w:color="auto" w:fill="auto"/>
            <w:vAlign w:val="center"/>
          </w:tcPr>
          <w:p w14:paraId="767F7A3E">
            <w:pPr>
              <w:jc w:val="center"/>
              <w:rPr>
                <w:rFonts w:ascii="宋体" w:hAnsi="宋体" w:eastAsia="宋体" w:cs="宋体"/>
                <w:color w:val="auto"/>
                <w:sz w:val="24"/>
                <w:szCs w:val="24"/>
                <w:highlight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7AFA6DA8">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交通工程高级工程师</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EC5680">
            <w:pPr>
              <w:rPr>
                <w:rFonts w:ascii="宋体" w:hAnsi="宋体" w:eastAsia="宋体" w:cs="宋体"/>
                <w:color w:val="auto"/>
                <w:sz w:val="24"/>
                <w:szCs w:val="24"/>
                <w:highlight w:val="none"/>
              </w:rPr>
            </w:pPr>
          </w:p>
        </w:tc>
      </w:tr>
    </w:tbl>
    <w:p w14:paraId="49E50353">
      <w:pPr>
        <w:rPr>
          <w:rFonts w:ascii="宋体" w:hAnsi="宋体"/>
          <w:color w:val="auto"/>
          <w:sz w:val="24"/>
          <w:szCs w:val="24"/>
          <w:highlight w:val="none"/>
        </w:rPr>
      </w:pPr>
      <w:r>
        <w:rPr>
          <w:rFonts w:hint="eastAsia" w:ascii="宋体" w:hAnsi="宋体"/>
          <w:color w:val="auto"/>
          <w:sz w:val="24"/>
          <w:szCs w:val="24"/>
          <w:highlight w:val="none"/>
        </w:rPr>
        <w:t>说明：本招标文件中，带“★”标记的内容均为实质性条款，供应商在</w:t>
      </w:r>
      <w:r>
        <w:rPr>
          <w:rFonts w:ascii="Arial" w:hAnsi="Arial"/>
          <w:color w:val="auto"/>
          <w:sz w:val="24"/>
          <w:szCs w:val="24"/>
          <w:highlight w:val="none"/>
        </w:rPr>
        <w:t>“</w:t>
      </w:r>
      <w:r>
        <w:rPr>
          <w:rFonts w:hint="eastAsia" w:ascii="Arial" w:hAnsi="宋体"/>
          <w:color w:val="auto"/>
          <w:sz w:val="24"/>
          <w:szCs w:val="24"/>
          <w:highlight w:val="none"/>
          <w:lang w:val="zh-TW"/>
        </w:rPr>
        <w:t>商务</w:t>
      </w:r>
      <w:r>
        <w:rPr>
          <w:rFonts w:hint="eastAsia" w:ascii="Arial" w:hAnsi="Arial"/>
          <w:color w:val="auto"/>
          <w:sz w:val="24"/>
          <w:szCs w:val="24"/>
          <w:highlight w:val="none"/>
        </w:rPr>
        <w:t>、</w:t>
      </w:r>
      <w:r>
        <w:rPr>
          <w:rFonts w:hint="eastAsia" w:ascii="Arial" w:hAnsi="宋体"/>
          <w:color w:val="auto"/>
          <w:sz w:val="24"/>
          <w:szCs w:val="24"/>
          <w:highlight w:val="none"/>
        </w:rPr>
        <w:t>服务、</w:t>
      </w:r>
      <w:r>
        <w:rPr>
          <w:rFonts w:ascii="Arial" w:hAnsi="宋体"/>
          <w:color w:val="auto"/>
          <w:sz w:val="24"/>
          <w:szCs w:val="24"/>
          <w:highlight w:val="none"/>
          <w:lang w:val="zh-TW" w:eastAsia="zh-TW"/>
        </w:rPr>
        <w:t>技术要求点对点应答表</w:t>
      </w:r>
      <w:r>
        <w:rPr>
          <w:rFonts w:ascii="Arial" w:hAnsi="Arial"/>
          <w:color w:val="auto"/>
          <w:sz w:val="24"/>
          <w:szCs w:val="24"/>
          <w:highlight w:val="none"/>
        </w:rPr>
        <w:t>”</w:t>
      </w:r>
      <w:r>
        <w:rPr>
          <w:rFonts w:ascii="Arial" w:hAnsi="宋体"/>
          <w:color w:val="auto"/>
          <w:sz w:val="24"/>
          <w:szCs w:val="24"/>
          <w:highlight w:val="none"/>
          <w:lang w:val="zh-TW" w:eastAsia="zh-TW"/>
        </w:rPr>
        <w:t>中</w:t>
      </w:r>
      <w:r>
        <w:rPr>
          <w:rFonts w:hint="eastAsia" w:ascii="宋体" w:hAnsi="宋体"/>
          <w:color w:val="auto"/>
          <w:sz w:val="24"/>
          <w:szCs w:val="24"/>
          <w:highlight w:val="none"/>
        </w:rPr>
        <w:t>，对实质性条款的应答不得有任何偏离，否则作废标处理。</w:t>
      </w:r>
    </w:p>
    <w:p w14:paraId="53BD685A">
      <w:pPr>
        <w:rPr>
          <w:rFonts w:ascii="宋体" w:hAnsi="宋体"/>
          <w:b/>
          <w:bCs/>
          <w:color w:val="auto"/>
          <w:sz w:val="36"/>
          <w:szCs w:val="36"/>
          <w:highlight w:val="none"/>
        </w:rPr>
      </w:pPr>
      <w:r>
        <w:rPr>
          <w:rFonts w:ascii="宋体" w:hAnsi="宋体"/>
          <w:b/>
          <w:bCs/>
          <w:color w:val="auto"/>
          <w:sz w:val="36"/>
          <w:szCs w:val="36"/>
          <w:highlight w:val="none"/>
        </w:rPr>
        <w:br w:type="page"/>
      </w:r>
    </w:p>
    <w:p w14:paraId="621E428C">
      <w:pPr>
        <w:adjustRightInd w:val="0"/>
        <w:snapToGrid w:val="0"/>
        <w:spacing w:line="360" w:lineRule="auto"/>
        <w:ind w:firstLine="2530" w:firstLineChars="700"/>
        <w:rPr>
          <w:rFonts w:ascii="宋体" w:hAnsi="宋体"/>
          <w:color w:val="auto"/>
          <w:sz w:val="36"/>
          <w:szCs w:val="36"/>
          <w:highlight w:val="none"/>
        </w:rPr>
      </w:pPr>
      <w:r>
        <w:rPr>
          <w:rFonts w:hint="eastAsia" w:ascii="宋体" w:hAnsi="宋体"/>
          <w:b/>
          <w:bCs/>
          <w:color w:val="auto"/>
          <w:sz w:val="36"/>
          <w:szCs w:val="36"/>
          <w:highlight w:val="none"/>
          <w:lang w:val="zh-CN"/>
        </w:rPr>
        <w:t>第</w:t>
      </w:r>
      <w:r>
        <w:rPr>
          <w:rFonts w:hint="eastAsia" w:ascii="宋体" w:hAnsi="宋体"/>
          <w:b/>
          <w:bCs/>
          <w:color w:val="auto"/>
          <w:sz w:val="36"/>
          <w:szCs w:val="36"/>
          <w:highlight w:val="none"/>
        </w:rPr>
        <w:t>五</w:t>
      </w:r>
      <w:r>
        <w:rPr>
          <w:rFonts w:hint="eastAsia" w:ascii="宋体" w:hAnsi="宋体"/>
          <w:b/>
          <w:bCs/>
          <w:color w:val="auto"/>
          <w:sz w:val="36"/>
          <w:szCs w:val="36"/>
          <w:highlight w:val="none"/>
          <w:lang w:val="zh-CN"/>
        </w:rPr>
        <w:t>章</w:t>
      </w:r>
      <w:r>
        <w:rPr>
          <w:rFonts w:ascii="宋体" w:hAnsi="宋体"/>
          <w:b/>
          <w:bCs/>
          <w:color w:val="auto"/>
          <w:sz w:val="36"/>
          <w:szCs w:val="36"/>
          <w:highlight w:val="none"/>
          <w:lang w:val="zh-CN"/>
        </w:rPr>
        <w:t xml:space="preserve"> </w:t>
      </w:r>
      <w:r>
        <w:rPr>
          <w:rFonts w:ascii="宋体" w:hAnsi="宋体"/>
          <w:color w:val="auto"/>
          <w:sz w:val="36"/>
          <w:szCs w:val="36"/>
          <w:highlight w:val="none"/>
          <w:lang w:val="zh-CN"/>
        </w:rPr>
        <w:t xml:space="preserve"> </w:t>
      </w:r>
      <w:r>
        <w:rPr>
          <w:rFonts w:hint="eastAsia" w:ascii="宋体" w:hAnsi="宋体"/>
          <w:color w:val="auto"/>
          <w:sz w:val="36"/>
          <w:szCs w:val="36"/>
          <w:highlight w:val="none"/>
          <w:lang w:val="zh-CN"/>
        </w:rPr>
        <w:t>合同草案条款</w:t>
      </w:r>
    </w:p>
    <w:p w14:paraId="5356C15C">
      <w:pPr>
        <w:ind w:firstLine="2080" w:firstLineChars="400"/>
        <w:rPr>
          <w:rFonts w:ascii="宋体" w:hAnsi="宋体"/>
          <w:color w:val="auto"/>
          <w:sz w:val="52"/>
          <w:highlight w:val="none"/>
        </w:rPr>
      </w:pPr>
      <w:r>
        <w:rPr>
          <w:rFonts w:hint="eastAsia" w:ascii="宋体" w:hAnsi="宋体"/>
          <w:color w:val="auto"/>
          <w:sz w:val="52"/>
          <w:highlight w:val="none"/>
        </w:rPr>
        <w:t>南京市政府采购合同</w:t>
      </w:r>
    </w:p>
    <w:p w14:paraId="388A2600">
      <w:pPr>
        <w:ind w:firstLine="315"/>
        <w:rPr>
          <w:rFonts w:ascii="宋体" w:hAnsi="宋体"/>
          <w:b/>
          <w:color w:val="auto"/>
          <w:sz w:val="36"/>
          <w:highlight w:val="none"/>
        </w:rPr>
      </w:pPr>
      <w:r>
        <w:rPr>
          <w:rFonts w:ascii="宋体" w:hAnsi="宋体"/>
          <w:b/>
          <w:color w:val="auto"/>
          <w:sz w:val="32"/>
          <w:highlight w:val="none"/>
        </w:rPr>
        <w:t xml:space="preserve">            </w:t>
      </w:r>
      <w:r>
        <w:rPr>
          <w:rFonts w:ascii="宋体" w:hAnsi="宋体"/>
          <w:color w:val="auto"/>
          <w:sz w:val="32"/>
          <w:highlight w:val="none"/>
        </w:rPr>
        <w:t xml:space="preserve">  </w:t>
      </w:r>
    </w:p>
    <w:p w14:paraId="6C9A9C8D">
      <w:pPr>
        <w:ind w:firstLine="1807" w:firstLineChars="500"/>
        <w:rPr>
          <w:rFonts w:ascii="宋体" w:hAnsi="宋体"/>
          <w:b/>
          <w:color w:val="auto"/>
          <w:sz w:val="36"/>
          <w:highlight w:val="none"/>
        </w:rPr>
      </w:pPr>
    </w:p>
    <w:p w14:paraId="3983AE89">
      <w:pPr>
        <w:ind w:firstLine="1807" w:firstLineChars="500"/>
        <w:rPr>
          <w:rFonts w:ascii="宋体" w:hAnsi="宋体"/>
          <w:b/>
          <w:color w:val="auto"/>
          <w:sz w:val="36"/>
          <w:highlight w:val="none"/>
        </w:rPr>
      </w:pPr>
    </w:p>
    <w:p w14:paraId="4EE6256A">
      <w:pPr>
        <w:ind w:firstLine="1918"/>
        <w:rPr>
          <w:rFonts w:ascii="宋体" w:hAnsi="宋体"/>
          <w:b/>
          <w:color w:val="auto"/>
          <w:sz w:val="36"/>
          <w:highlight w:val="none"/>
        </w:rPr>
      </w:pPr>
      <w:r>
        <w:rPr>
          <w:rFonts w:hint="eastAsia" w:ascii="宋体" w:hAnsi="宋体"/>
          <w:b/>
          <w:color w:val="auto"/>
          <w:sz w:val="36"/>
          <w:highlight w:val="none"/>
        </w:rPr>
        <w:t>合同编号</w:t>
      </w:r>
      <w:r>
        <w:rPr>
          <w:rFonts w:ascii="宋体" w:hAnsi="宋体"/>
          <w:b/>
          <w:color w:val="auto"/>
          <w:sz w:val="36"/>
          <w:highlight w:val="none"/>
        </w:rPr>
        <w:t xml:space="preserve"> </w:t>
      </w:r>
      <w:r>
        <w:rPr>
          <w:rFonts w:hint="eastAsia" w:ascii="宋体" w:hAnsi="宋体"/>
          <w:b/>
          <w:color w:val="auto"/>
          <w:sz w:val="36"/>
          <w:highlight w:val="none"/>
        </w:rPr>
        <w:t>：</w:t>
      </w:r>
      <w:r>
        <w:rPr>
          <w:rFonts w:ascii="宋体" w:hAnsi="宋体"/>
          <w:b/>
          <w:color w:val="auto"/>
          <w:sz w:val="36"/>
          <w:highlight w:val="none"/>
          <w:u w:val="single"/>
        </w:rPr>
        <w:t xml:space="preserve">                    </w:t>
      </w:r>
    </w:p>
    <w:p w14:paraId="50E98BDA">
      <w:pPr>
        <w:ind w:firstLine="1918"/>
        <w:rPr>
          <w:rFonts w:ascii="宋体" w:hAnsi="宋体"/>
          <w:b/>
          <w:color w:val="auto"/>
          <w:sz w:val="36"/>
          <w:highlight w:val="none"/>
          <w:u w:val="single"/>
        </w:rPr>
      </w:pPr>
      <w:r>
        <w:rPr>
          <w:rFonts w:hint="eastAsia" w:ascii="宋体" w:hAnsi="宋体"/>
          <w:b/>
          <w:color w:val="auto"/>
          <w:sz w:val="36"/>
          <w:highlight w:val="none"/>
        </w:rPr>
        <w:t>项目名称</w:t>
      </w:r>
      <w:r>
        <w:rPr>
          <w:rFonts w:ascii="宋体" w:hAnsi="宋体"/>
          <w:b/>
          <w:color w:val="auto"/>
          <w:sz w:val="36"/>
          <w:highlight w:val="none"/>
        </w:rPr>
        <w:t xml:space="preserve"> </w:t>
      </w:r>
      <w:r>
        <w:rPr>
          <w:rFonts w:hint="eastAsia" w:ascii="宋体" w:hAnsi="宋体"/>
          <w:b/>
          <w:color w:val="auto"/>
          <w:sz w:val="36"/>
          <w:highlight w:val="none"/>
        </w:rPr>
        <w:t>：</w:t>
      </w:r>
      <w:r>
        <w:rPr>
          <w:rFonts w:ascii="宋体" w:hAnsi="宋体"/>
          <w:b/>
          <w:color w:val="auto"/>
          <w:sz w:val="36"/>
          <w:highlight w:val="none"/>
          <w:u w:val="single"/>
        </w:rPr>
        <w:t xml:space="preserve">                    </w:t>
      </w:r>
    </w:p>
    <w:p w14:paraId="174330E7">
      <w:pPr>
        <w:ind w:firstLine="1918"/>
        <w:rPr>
          <w:rFonts w:ascii="宋体" w:hAnsi="宋体"/>
          <w:b/>
          <w:color w:val="auto"/>
          <w:sz w:val="36"/>
          <w:highlight w:val="none"/>
          <w:u w:val="single"/>
        </w:rPr>
      </w:pPr>
      <w:r>
        <w:rPr>
          <w:rFonts w:hint="eastAsia" w:ascii="宋体" w:hAnsi="宋体"/>
          <w:b/>
          <w:color w:val="auto"/>
          <w:sz w:val="36"/>
          <w:highlight w:val="none"/>
        </w:rPr>
        <w:t>使用单位</w:t>
      </w:r>
      <w:r>
        <w:rPr>
          <w:rFonts w:ascii="宋体" w:hAnsi="宋体"/>
          <w:b/>
          <w:color w:val="auto"/>
          <w:sz w:val="36"/>
          <w:highlight w:val="none"/>
        </w:rPr>
        <w:t xml:space="preserve"> </w:t>
      </w:r>
      <w:r>
        <w:rPr>
          <w:rFonts w:hint="eastAsia" w:ascii="宋体" w:hAnsi="宋体"/>
          <w:b/>
          <w:color w:val="auto"/>
          <w:sz w:val="36"/>
          <w:highlight w:val="none"/>
        </w:rPr>
        <w:t>：</w:t>
      </w:r>
      <w:r>
        <w:rPr>
          <w:rFonts w:ascii="宋体" w:hAnsi="宋体"/>
          <w:b/>
          <w:color w:val="auto"/>
          <w:sz w:val="36"/>
          <w:highlight w:val="none"/>
          <w:u w:val="single"/>
        </w:rPr>
        <w:t xml:space="preserve">                    </w:t>
      </w:r>
    </w:p>
    <w:p w14:paraId="48DEFAF1">
      <w:pPr>
        <w:ind w:firstLine="1916"/>
        <w:rPr>
          <w:rFonts w:ascii="宋体" w:hAnsi="宋体"/>
          <w:b/>
          <w:color w:val="auto"/>
          <w:sz w:val="36"/>
          <w:highlight w:val="none"/>
        </w:rPr>
      </w:pPr>
      <w:r>
        <w:rPr>
          <w:rFonts w:hint="eastAsia" w:ascii="宋体" w:hAnsi="宋体"/>
          <w:b/>
          <w:color w:val="auto"/>
          <w:sz w:val="36"/>
          <w:highlight w:val="none"/>
        </w:rPr>
        <w:t>供货单位</w:t>
      </w:r>
      <w:r>
        <w:rPr>
          <w:rFonts w:ascii="宋体" w:hAnsi="宋体"/>
          <w:b/>
          <w:color w:val="auto"/>
          <w:sz w:val="36"/>
          <w:highlight w:val="none"/>
        </w:rPr>
        <w:t xml:space="preserve"> </w:t>
      </w:r>
      <w:r>
        <w:rPr>
          <w:rFonts w:hint="eastAsia" w:ascii="宋体" w:hAnsi="宋体"/>
          <w:b/>
          <w:color w:val="auto"/>
          <w:sz w:val="36"/>
          <w:highlight w:val="none"/>
        </w:rPr>
        <w:t>：</w:t>
      </w:r>
      <w:r>
        <w:rPr>
          <w:rFonts w:ascii="宋体" w:hAnsi="宋体"/>
          <w:b/>
          <w:color w:val="auto"/>
          <w:sz w:val="36"/>
          <w:highlight w:val="none"/>
          <w:u w:val="single"/>
        </w:rPr>
        <w:t xml:space="preserve">                    </w:t>
      </w:r>
    </w:p>
    <w:p w14:paraId="6E48F140">
      <w:pPr>
        <w:ind w:firstLine="1916"/>
        <w:rPr>
          <w:rFonts w:ascii="宋体" w:hAnsi="宋体"/>
          <w:b/>
          <w:color w:val="auto"/>
          <w:sz w:val="36"/>
          <w:highlight w:val="none"/>
        </w:rPr>
      </w:pPr>
      <w:r>
        <w:rPr>
          <w:rFonts w:hint="eastAsia" w:ascii="宋体" w:hAnsi="宋体"/>
          <w:b/>
          <w:color w:val="auto"/>
          <w:sz w:val="36"/>
          <w:highlight w:val="none"/>
        </w:rPr>
        <w:t>签订日期</w:t>
      </w:r>
      <w:r>
        <w:rPr>
          <w:rFonts w:ascii="宋体" w:hAnsi="宋体"/>
          <w:b/>
          <w:color w:val="auto"/>
          <w:sz w:val="36"/>
          <w:highlight w:val="none"/>
        </w:rPr>
        <w:t xml:space="preserve"> </w:t>
      </w:r>
      <w:r>
        <w:rPr>
          <w:rFonts w:hint="eastAsia" w:ascii="宋体" w:hAnsi="宋体"/>
          <w:b/>
          <w:color w:val="auto"/>
          <w:sz w:val="36"/>
          <w:highlight w:val="none"/>
        </w:rPr>
        <w:t>：</w:t>
      </w:r>
      <w:r>
        <w:rPr>
          <w:rFonts w:ascii="宋体" w:hAnsi="宋体"/>
          <w:b/>
          <w:color w:val="auto"/>
          <w:sz w:val="36"/>
          <w:highlight w:val="none"/>
          <w:u w:val="single"/>
        </w:rPr>
        <w:t xml:space="preserve">                    </w:t>
      </w:r>
    </w:p>
    <w:p w14:paraId="57DCECB7">
      <w:pPr>
        <w:rPr>
          <w:rFonts w:ascii="宋体" w:hAnsi="宋体"/>
          <w:color w:val="auto"/>
          <w:w w:val="105"/>
          <w:sz w:val="36"/>
          <w:highlight w:val="none"/>
        </w:rPr>
      </w:pPr>
      <w:r>
        <w:rPr>
          <w:rFonts w:ascii="宋体" w:hAnsi="宋体"/>
          <w:color w:val="auto"/>
          <w:w w:val="105"/>
          <w:sz w:val="36"/>
          <w:highlight w:val="none"/>
        </w:rPr>
        <w:t xml:space="preserve">       </w:t>
      </w:r>
    </w:p>
    <w:p w14:paraId="0CAA5FD1">
      <w:pPr>
        <w:rPr>
          <w:rFonts w:ascii="宋体" w:hAnsi="宋体"/>
          <w:color w:val="auto"/>
          <w:w w:val="105"/>
          <w:sz w:val="36"/>
          <w:highlight w:val="none"/>
        </w:rPr>
      </w:pPr>
    </w:p>
    <w:p w14:paraId="2BDABDA7">
      <w:pPr>
        <w:rPr>
          <w:rFonts w:ascii="宋体" w:hAnsi="宋体"/>
          <w:color w:val="auto"/>
          <w:w w:val="105"/>
          <w:sz w:val="36"/>
          <w:highlight w:val="none"/>
        </w:rPr>
      </w:pPr>
    </w:p>
    <w:p w14:paraId="3E7C4F17">
      <w:pPr>
        <w:pStyle w:val="4"/>
        <w:rPr>
          <w:rFonts w:ascii="宋体" w:hAnsi="宋体" w:eastAsia="宋体"/>
          <w:color w:val="auto"/>
          <w:w w:val="105"/>
          <w:sz w:val="36"/>
          <w:highlight w:val="none"/>
        </w:rPr>
      </w:pPr>
    </w:p>
    <w:p w14:paraId="704F6287">
      <w:pPr>
        <w:rPr>
          <w:rFonts w:ascii="宋体" w:hAnsi="宋体"/>
          <w:color w:val="auto"/>
          <w:w w:val="105"/>
          <w:sz w:val="36"/>
          <w:highlight w:val="none"/>
        </w:rPr>
      </w:pPr>
    </w:p>
    <w:p w14:paraId="770A8C38">
      <w:pPr>
        <w:pStyle w:val="4"/>
        <w:rPr>
          <w:rFonts w:ascii="宋体" w:hAnsi="宋体" w:eastAsia="宋体"/>
          <w:color w:val="auto"/>
          <w:w w:val="105"/>
          <w:sz w:val="36"/>
          <w:highlight w:val="none"/>
        </w:rPr>
      </w:pPr>
    </w:p>
    <w:p w14:paraId="13BF5853">
      <w:pPr>
        <w:rPr>
          <w:rFonts w:ascii="宋体" w:hAnsi="宋体"/>
          <w:color w:val="auto"/>
          <w:highlight w:val="none"/>
        </w:rPr>
      </w:pPr>
    </w:p>
    <w:p w14:paraId="7F8398D8">
      <w:pPr>
        <w:rPr>
          <w:rFonts w:ascii="宋体" w:hAnsi="宋体"/>
          <w:color w:val="auto"/>
          <w:w w:val="105"/>
          <w:sz w:val="36"/>
          <w:highlight w:val="none"/>
        </w:rPr>
      </w:pPr>
    </w:p>
    <w:p w14:paraId="49C0BC3D">
      <w:pPr>
        <w:jc w:val="center"/>
        <w:rPr>
          <w:rFonts w:ascii="宋体" w:hAnsi="宋体"/>
          <w:b/>
          <w:color w:val="auto"/>
          <w:w w:val="105"/>
          <w:sz w:val="36"/>
          <w:highlight w:val="none"/>
        </w:rPr>
      </w:pPr>
      <w:r>
        <w:rPr>
          <w:rFonts w:hint="eastAsia" w:ascii="宋体" w:hAnsi="宋体"/>
          <w:b/>
          <w:color w:val="auto"/>
          <w:w w:val="105"/>
          <w:sz w:val="36"/>
          <w:highlight w:val="none"/>
        </w:rPr>
        <w:t>南京市工商行政管理局</w:t>
      </w:r>
    </w:p>
    <w:p w14:paraId="44D76996">
      <w:pPr>
        <w:jc w:val="center"/>
        <w:rPr>
          <w:rFonts w:ascii="宋体" w:hAnsi="宋体"/>
          <w:b/>
          <w:color w:val="auto"/>
          <w:w w:val="105"/>
          <w:sz w:val="36"/>
          <w:highlight w:val="none"/>
        </w:rPr>
      </w:pPr>
    </w:p>
    <w:p w14:paraId="2679A8EE">
      <w:pPr>
        <w:jc w:val="center"/>
        <w:rPr>
          <w:rFonts w:ascii="宋体" w:hAnsi="宋体"/>
          <w:b/>
          <w:color w:val="auto"/>
          <w:w w:val="105"/>
          <w:sz w:val="36"/>
          <w:highlight w:val="none"/>
        </w:rPr>
      </w:pPr>
      <w:r>
        <w:rPr>
          <w:rFonts w:hint="eastAsia" w:ascii="宋体" w:hAnsi="宋体"/>
          <w:b/>
          <w:color w:val="auto"/>
          <w:w w:val="105"/>
          <w:sz w:val="36"/>
          <w:highlight w:val="none"/>
        </w:rPr>
        <w:t>南</w:t>
      </w:r>
      <w:r>
        <w:rPr>
          <w:rFonts w:ascii="宋体" w:hAnsi="宋体"/>
          <w:b/>
          <w:color w:val="auto"/>
          <w:w w:val="105"/>
          <w:sz w:val="36"/>
          <w:highlight w:val="none"/>
        </w:rPr>
        <w:t xml:space="preserve"> </w:t>
      </w:r>
      <w:r>
        <w:rPr>
          <w:rFonts w:hint="eastAsia" w:ascii="宋体" w:hAnsi="宋体"/>
          <w:b/>
          <w:color w:val="auto"/>
          <w:w w:val="105"/>
          <w:sz w:val="36"/>
          <w:highlight w:val="none"/>
        </w:rPr>
        <w:t>京</w:t>
      </w:r>
      <w:r>
        <w:rPr>
          <w:rFonts w:ascii="宋体" w:hAnsi="宋体"/>
          <w:b/>
          <w:color w:val="auto"/>
          <w:w w:val="105"/>
          <w:sz w:val="36"/>
          <w:highlight w:val="none"/>
        </w:rPr>
        <w:t xml:space="preserve"> </w:t>
      </w:r>
      <w:r>
        <w:rPr>
          <w:rFonts w:hint="eastAsia" w:ascii="宋体" w:hAnsi="宋体"/>
          <w:b/>
          <w:color w:val="auto"/>
          <w:w w:val="105"/>
          <w:sz w:val="36"/>
          <w:highlight w:val="none"/>
        </w:rPr>
        <w:t>市</w:t>
      </w:r>
      <w:r>
        <w:rPr>
          <w:rFonts w:ascii="宋体" w:hAnsi="宋体"/>
          <w:b/>
          <w:color w:val="auto"/>
          <w:w w:val="105"/>
          <w:sz w:val="36"/>
          <w:highlight w:val="none"/>
        </w:rPr>
        <w:t xml:space="preserve"> </w:t>
      </w:r>
      <w:r>
        <w:rPr>
          <w:rFonts w:hint="eastAsia" w:ascii="宋体" w:hAnsi="宋体"/>
          <w:b/>
          <w:color w:val="auto"/>
          <w:w w:val="105"/>
          <w:sz w:val="36"/>
          <w:highlight w:val="none"/>
        </w:rPr>
        <w:t>财</w:t>
      </w:r>
      <w:r>
        <w:rPr>
          <w:rFonts w:ascii="宋体" w:hAnsi="宋体"/>
          <w:b/>
          <w:color w:val="auto"/>
          <w:w w:val="105"/>
          <w:sz w:val="36"/>
          <w:highlight w:val="none"/>
        </w:rPr>
        <w:t xml:space="preserve"> </w:t>
      </w:r>
      <w:r>
        <w:rPr>
          <w:rFonts w:hint="eastAsia" w:ascii="宋体" w:hAnsi="宋体"/>
          <w:b/>
          <w:color w:val="auto"/>
          <w:w w:val="105"/>
          <w:sz w:val="36"/>
          <w:highlight w:val="none"/>
        </w:rPr>
        <w:t>政</w:t>
      </w:r>
      <w:r>
        <w:rPr>
          <w:rFonts w:ascii="宋体" w:hAnsi="宋体"/>
          <w:b/>
          <w:color w:val="auto"/>
          <w:w w:val="105"/>
          <w:sz w:val="36"/>
          <w:highlight w:val="none"/>
        </w:rPr>
        <w:t xml:space="preserve"> </w:t>
      </w:r>
      <w:r>
        <w:rPr>
          <w:rFonts w:hint="eastAsia" w:ascii="宋体" w:hAnsi="宋体"/>
          <w:b/>
          <w:color w:val="auto"/>
          <w:w w:val="105"/>
          <w:sz w:val="36"/>
          <w:highlight w:val="none"/>
        </w:rPr>
        <w:t>局</w:t>
      </w:r>
      <w:r>
        <w:rPr>
          <w:rFonts w:ascii="宋体" w:hAnsi="宋体"/>
          <w:b/>
          <w:color w:val="auto"/>
          <w:w w:val="105"/>
          <w:sz w:val="36"/>
          <w:highlight w:val="none"/>
        </w:rPr>
        <w:t xml:space="preserve">  </w:t>
      </w:r>
      <w:r>
        <w:rPr>
          <w:rFonts w:hint="eastAsia" w:ascii="宋体" w:hAnsi="宋体"/>
          <w:b/>
          <w:color w:val="auto"/>
          <w:w w:val="105"/>
          <w:sz w:val="36"/>
          <w:highlight w:val="none"/>
        </w:rPr>
        <w:t>监制</w:t>
      </w:r>
    </w:p>
    <w:p w14:paraId="346CA7E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（本项目最终签订的合同由合同双方协商后确定）</w:t>
      </w:r>
    </w:p>
    <w:p w14:paraId="4C2F1A02">
      <w:pPr>
        <w:pStyle w:val="6"/>
        <w:rPr>
          <w:color w:val="auto"/>
          <w:highlight w:val="none"/>
        </w:rPr>
      </w:pPr>
    </w:p>
    <w:p w14:paraId="7187D242">
      <w:pPr>
        <w:spacing w:line="240" w:lineRule="atLeast"/>
        <w:rPr>
          <w:rFonts w:ascii="宋体" w:hAnsi="宋体"/>
          <w:color w:val="auto"/>
          <w:sz w:val="22"/>
          <w:highlight w:val="none"/>
          <w:lang w:val="zh-CN"/>
        </w:rPr>
      </w:pPr>
      <w:r>
        <w:rPr>
          <w:rFonts w:ascii="宋体" w:hAnsi="宋体"/>
          <w:b/>
          <w:color w:val="auto"/>
          <w:w w:val="105"/>
          <w:sz w:val="36"/>
          <w:highlight w:val="none"/>
        </w:rPr>
        <w:br w:type="page"/>
      </w:r>
      <w:r>
        <w:rPr>
          <w:rFonts w:hint="eastAsia" w:ascii="宋体" w:hAnsi="宋体"/>
          <w:color w:val="auto"/>
          <w:sz w:val="22"/>
          <w:highlight w:val="none"/>
          <w:lang w:val="zh-CN"/>
        </w:rPr>
        <w:t>合同编号：</w:t>
      </w:r>
      <w:r>
        <w:rPr>
          <w:rFonts w:hint="eastAsia" w:ascii="宋体" w:hAnsi="宋体"/>
          <w:b/>
          <w:color w:val="auto"/>
          <w:sz w:val="22"/>
          <w:highlight w:val="none"/>
          <w:lang w:val="zh-CN"/>
        </w:rPr>
        <w:t xml:space="preserve"> </w:t>
      </w:r>
    </w:p>
    <w:tbl>
      <w:tblPr>
        <w:tblStyle w:val="25"/>
        <w:tblW w:w="0" w:type="auto"/>
        <w:tblInd w:w="-108" w:type="dxa"/>
        <w:tblLayout w:type="fixed"/>
        <w:tblCellMar>
          <w:top w:w="0" w:type="dxa"/>
          <w:left w:w="0" w:type="dxa"/>
          <w:bottom w:w="0" w:type="dxa"/>
          <w:right w:w="0" w:type="dxa"/>
        </w:tblCellMar>
      </w:tblPr>
      <w:tblGrid>
        <w:gridCol w:w="4643"/>
        <w:gridCol w:w="4643"/>
      </w:tblGrid>
      <w:tr w14:paraId="16AE2327">
        <w:tblPrEx>
          <w:tblCellMar>
            <w:top w:w="0" w:type="dxa"/>
            <w:left w:w="0" w:type="dxa"/>
            <w:bottom w:w="0" w:type="dxa"/>
            <w:right w:w="0" w:type="dxa"/>
          </w:tblCellMar>
        </w:tblPrEx>
        <w:tc>
          <w:tcPr>
            <w:tcW w:w="4643" w:type="dxa"/>
            <w:tcBorders>
              <w:top w:val="nil"/>
              <w:left w:val="nil"/>
              <w:bottom w:val="nil"/>
              <w:right w:val="nil"/>
            </w:tcBorders>
          </w:tcPr>
          <w:p w14:paraId="5C80FB62">
            <w:pPr>
              <w:autoSpaceDE w:val="0"/>
              <w:autoSpaceDN w:val="0"/>
              <w:adjustRightInd w:val="0"/>
              <w:spacing w:line="240" w:lineRule="atLeast"/>
              <w:rPr>
                <w:rFonts w:ascii="宋体" w:hAnsi="宋体"/>
                <w:color w:val="auto"/>
                <w:sz w:val="22"/>
                <w:highlight w:val="none"/>
                <w:lang w:val="zh-CN"/>
              </w:rPr>
            </w:pPr>
            <w:r>
              <w:rPr>
                <w:rFonts w:hint="eastAsia" w:ascii="宋体" w:hAnsi="宋体"/>
                <w:color w:val="auto"/>
                <w:sz w:val="22"/>
                <w:highlight w:val="none"/>
              </w:rPr>
              <w:t xml:space="preserve"> </w:t>
            </w:r>
            <w:r>
              <w:rPr>
                <w:rFonts w:hint="eastAsia" w:ascii="宋体" w:hAnsi="宋体"/>
                <w:color w:val="auto"/>
                <w:sz w:val="22"/>
                <w:highlight w:val="none"/>
                <w:lang w:val="zh-CN"/>
              </w:rPr>
              <w:t>采购人（以下称甲方）</w:t>
            </w:r>
          </w:p>
        </w:tc>
        <w:tc>
          <w:tcPr>
            <w:tcW w:w="4643" w:type="dxa"/>
            <w:tcBorders>
              <w:top w:val="nil"/>
              <w:left w:val="nil"/>
              <w:bottom w:val="nil"/>
              <w:right w:val="nil"/>
            </w:tcBorders>
          </w:tcPr>
          <w:p w14:paraId="6B1D87A3">
            <w:pPr>
              <w:autoSpaceDE w:val="0"/>
              <w:autoSpaceDN w:val="0"/>
              <w:adjustRightInd w:val="0"/>
              <w:spacing w:line="240" w:lineRule="atLeast"/>
              <w:rPr>
                <w:rFonts w:ascii="宋体" w:hAnsi="宋体"/>
                <w:color w:val="auto"/>
                <w:sz w:val="22"/>
                <w:highlight w:val="none"/>
                <w:lang w:val="zh-CN"/>
              </w:rPr>
            </w:pPr>
            <w:r>
              <w:rPr>
                <w:rFonts w:hint="eastAsia" w:ascii="宋体" w:hAnsi="宋体"/>
                <w:color w:val="auto"/>
                <w:sz w:val="22"/>
                <w:highlight w:val="none"/>
                <w:lang w:val="zh-CN"/>
              </w:rPr>
              <w:t>供应商：（以下称乙方）</w:t>
            </w:r>
          </w:p>
        </w:tc>
      </w:tr>
      <w:tr w14:paraId="29F76FDF">
        <w:tblPrEx>
          <w:tblCellMar>
            <w:top w:w="0" w:type="dxa"/>
            <w:left w:w="0" w:type="dxa"/>
            <w:bottom w:w="0" w:type="dxa"/>
            <w:right w:w="0" w:type="dxa"/>
          </w:tblCellMar>
        </w:tblPrEx>
        <w:tc>
          <w:tcPr>
            <w:tcW w:w="4643" w:type="dxa"/>
            <w:tcBorders>
              <w:top w:val="nil"/>
              <w:left w:val="nil"/>
              <w:bottom w:val="nil"/>
              <w:right w:val="nil"/>
            </w:tcBorders>
          </w:tcPr>
          <w:p w14:paraId="359F4E56">
            <w:pPr>
              <w:autoSpaceDE w:val="0"/>
              <w:autoSpaceDN w:val="0"/>
              <w:adjustRightInd w:val="0"/>
              <w:spacing w:line="240" w:lineRule="atLeast"/>
              <w:rPr>
                <w:rFonts w:ascii="宋体" w:hAnsi="宋体"/>
                <w:color w:val="auto"/>
                <w:sz w:val="22"/>
                <w:highlight w:val="none"/>
              </w:rPr>
            </w:pPr>
            <w:r>
              <w:rPr>
                <w:rFonts w:hint="eastAsia" w:ascii="宋体" w:hAnsi="宋体"/>
                <w:color w:val="auto"/>
                <w:sz w:val="22"/>
                <w:highlight w:val="none"/>
                <w:lang w:val="zh-CN"/>
              </w:rPr>
              <w:t xml:space="preserve"> 住所地：</w:t>
            </w:r>
          </w:p>
        </w:tc>
        <w:tc>
          <w:tcPr>
            <w:tcW w:w="4643" w:type="dxa"/>
            <w:tcBorders>
              <w:top w:val="nil"/>
              <w:left w:val="nil"/>
              <w:bottom w:val="nil"/>
              <w:right w:val="nil"/>
            </w:tcBorders>
          </w:tcPr>
          <w:p w14:paraId="058CB10D">
            <w:pPr>
              <w:autoSpaceDE w:val="0"/>
              <w:autoSpaceDN w:val="0"/>
              <w:adjustRightInd w:val="0"/>
              <w:spacing w:line="240" w:lineRule="atLeast"/>
              <w:rPr>
                <w:rFonts w:ascii="宋体" w:hAnsi="宋体"/>
                <w:color w:val="auto"/>
                <w:sz w:val="22"/>
                <w:highlight w:val="none"/>
              </w:rPr>
            </w:pPr>
            <w:r>
              <w:rPr>
                <w:rFonts w:hint="eastAsia" w:ascii="宋体" w:hAnsi="宋体"/>
                <w:color w:val="auto"/>
                <w:sz w:val="22"/>
                <w:highlight w:val="none"/>
                <w:lang w:val="zh-CN"/>
              </w:rPr>
              <w:t>住所地</w:t>
            </w:r>
          </w:p>
        </w:tc>
      </w:tr>
    </w:tbl>
    <w:p w14:paraId="3782271A">
      <w:pPr>
        <w:autoSpaceDE w:val="0"/>
        <w:autoSpaceDN w:val="0"/>
        <w:adjustRightInd w:val="0"/>
        <w:spacing w:line="240" w:lineRule="atLeast"/>
        <w:rPr>
          <w:rFonts w:ascii="宋体" w:hAnsi="宋体"/>
          <w:color w:val="auto"/>
          <w:sz w:val="22"/>
          <w:highlight w:val="none"/>
        </w:rPr>
      </w:pPr>
      <w:r>
        <w:rPr>
          <w:rFonts w:hint="eastAsia" w:ascii="宋体" w:hAnsi="宋体"/>
          <w:color w:val="auto"/>
          <w:sz w:val="22"/>
          <w:highlight w:val="none"/>
          <w:lang w:val="zh-CN"/>
        </w:rPr>
        <w:t xml:space="preserve">    根据《中华人民共和国合同法》等法律法规的规定，甲乙双方按照公开招标结果签订本合同。</w:t>
      </w:r>
    </w:p>
    <w:p w14:paraId="097ED2EA">
      <w:pPr>
        <w:autoSpaceDE w:val="0"/>
        <w:autoSpaceDN w:val="0"/>
        <w:adjustRightInd w:val="0"/>
        <w:spacing w:line="240" w:lineRule="atLeast"/>
        <w:ind w:firstLine="420"/>
        <w:rPr>
          <w:rFonts w:ascii="宋体" w:hAnsi="宋体"/>
          <w:color w:val="auto"/>
          <w:sz w:val="22"/>
          <w:highlight w:val="none"/>
          <w:lang w:val="zh-CN"/>
        </w:rPr>
      </w:pPr>
      <w:r>
        <w:rPr>
          <w:rFonts w:hint="eastAsia" w:ascii="宋体" w:hAnsi="宋体"/>
          <w:b/>
          <w:bCs/>
          <w:color w:val="auto"/>
          <w:sz w:val="22"/>
          <w:highlight w:val="none"/>
          <w:lang w:val="zh-CN"/>
        </w:rPr>
        <w:t>第一条</w:t>
      </w:r>
      <w:r>
        <w:rPr>
          <w:rFonts w:ascii="宋体" w:hAnsi="宋体"/>
          <w:b/>
          <w:bCs/>
          <w:color w:val="auto"/>
          <w:sz w:val="22"/>
          <w:highlight w:val="none"/>
          <w:lang w:val="zh-CN"/>
        </w:rPr>
        <w:t xml:space="preserve"> </w:t>
      </w:r>
      <w:r>
        <w:rPr>
          <w:rFonts w:hint="eastAsia" w:ascii="宋体" w:hAnsi="宋体"/>
          <w:b/>
          <w:bCs/>
          <w:color w:val="auto"/>
          <w:sz w:val="22"/>
          <w:highlight w:val="none"/>
          <w:lang w:val="zh-CN"/>
        </w:rPr>
        <w:t>合同标的</w:t>
      </w:r>
      <w:r>
        <w:rPr>
          <w:rFonts w:ascii="宋体" w:hAnsi="宋体"/>
          <w:color w:val="auto"/>
          <w:sz w:val="22"/>
          <w:highlight w:val="none"/>
          <w:lang w:val="zh-CN"/>
        </w:rPr>
        <w:t xml:space="preserve">  </w:t>
      </w:r>
      <w:r>
        <w:rPr>
          <w:rFonts w:hint="eastAsia" w:ascii="宋体" w:hAnsi="宋体"/>
          <w:color w:val="auto"/>
          <w:sz w:val="22"/>
          <w:highlight w:val="none"/>
          <w:lang w:val="zh-CN"/>
        </w:rPr>
        <w:t>乙方根据甲方需求提供下列服务：</w:t>
      </w:r>
      <w:r>
        <w:rPr>
          <w:rFonts w:ascii="宋体" w:hAnsi="宋体"/>
          <w:color w:val="auto"/>
          <w:sz w:val="22"/>
          <w:highlight w:val="none"/>
          <w:u w:val="single"/>
          <w:lang w:val="zh-CN"/>
        </w:rPr>
        <w:t xml:space="preserve">                    </w:t>
      </w:r>
      <w:r>
        <w:rPr>
          <w:rFonts w:hint="eastAsia" w:ascii="宋体" w:hAnsi="宋体"/>
          <w:color w:val="auto"/>
          <w:sz w:val="22"/>
          <w:highlight w:val="none"/>
          <w:lang w:val="zh-CN"/>
        </w:rPr>
        <w:t>，详见乙方响应文件。</w:t>
      </w:r>
    </w:p>
    <w:p w14:paraId="387CE4C1">
      <w:pPr>
        <w:spacing w:line="240" w:lineRule="atLeast"/>
        <w:ind w:firstLine="420"/>
        <w:rPr>
          <w:rFonts w:ascii="宋体" w:hAnsi="宋体"/>
          <w:color w:val="auto"/>
          <w:sz w:val="22"/>
          <w:highlight w:val="none"/>
          <w:lang w:val="zh-CN"/>
        </w:rPr>
      </w:pPr>
      <w:r>
        <w:rPr>
          <w:rFonts w:hint="eastAsia" w:ascii="宋体" w:hAnsi="宋体"/>
          <w:b/>
          <w:bCs/>
          <w:color w:val="auto"/>
          <w:sz w:val="22"/>
          <w:highlight w:val="none"/>
          <w:lang w:val="zh-CN"/>
        </w:rPr>
        <w:t>第二条</w:t>
      </w:r>
      <w:r>
        <w:rPr>
          <w:rFonts w:ascii="宋体" w:hAnsi="宋体"/>
          <w:b/>
          <w:bCs/>
          <w:color w:val="auto"/>
          <w:sz w:val="22"/>
          <w:highlight w:val="none"/>
          <w:lang w:val="zh-CN"/>
        </w:rPr>
        <w:t xml:space="preserve"> </w:t>
      </w:r>
      <w:r>
        <w:rPr>
          <w:rFonts w:hint="eastAsia" w:ascii="宋体" w:hAnsi="宋体"/>
          <w:b/>
          <w:bCs/>
          <w:color w:val="auto"/>
          <w:sz w:val="22"/>
          <w:highlight w:val="none"/>
          <w:lang w:val="zh-CN"/>
        </w:rPr>
        <w:t>合同总价款</w:t>
      </w:r>
      <w:r>
        <w:rPr>
          <w:rFonts w:ascii="宋体" w:hAnsi="宋体"/>
          <w:color w:val="auto"/>
          <w:sz w:val="22"/>
          <w:highlight w:val="none"/>
          <w:lang w:val="zh-CN"/>
        </w:rPr>
        <w:t xml:space="preserve">  </w:t>
      </w:r>
      <w:r>
        <w:rPr>
          <w:rFonts w:hint="eastAsia" w:ascii="宋体" w:hAnsi="宋体"/>
          <w:color w:val="auto"/>
          <w:sz w:val="22"/>
          <w:highlight w:val="none"/>
          <w:lang w:val="zh-CN"/>
        </w:rPr>
        <w:t>优惠率为</w:t>
      </w:r>
      <w:r>
        <w:rPr>
          <w:rFonts w:ascii="宋体" w:hAnsi="宋体"/>
          <w:color w:val="auto"/>
          <w:sz w:val="22"/>
          <w:highlight w:val="none"/>
          <w:u w:val="single"/>
          <w:lang w:val="zh-CN"/>
        </w:rPr>
        <w:t xml:space="preserve">          </w:t>
      </w:r>
      <w:r>
        <w:rPr>
          <w:rFonts w:hint="eastAsia" w:ascii="宋体" w:hAnsi="宋体"/>
          <w:color w:val="auto"/>
          <w:sz w:val="22"/>
          <w:highlight w:val="none"/>
          <w:lang w:val="zh-CN"/>
        </w:rPr>
        <w:t>，年度服务费用据实结算，分项价款在“报价表”中有明确规定。</w:t>
      </w:r>
    </w:p>
    <w:p w14:paraId="2B387DB2">
      <w:pPr>
        <w:spacing w:line="240" w:lineRule="atLeast"/>
        <w:ind w:firstLine="440" w:firstLineChars="200"/>
        <w:rPr>
          <w:rFonts w:ascii="宋体" w:hAnsi="宋体"/>
          <w:b/>
          <w:color w:val="auto"/>
          <w:sz w:val="22"/>
          <w:highlight w:val="none"/>
        </w:rPr>
      </w:pPr>
      <w:r>
        <w:rPr>
          <w:rFonts w:hint="eastAsia" w:ascii="宋体" w:hAnsi="宋体"/>
          <w:color w:val="auto"/>
          <w:sz w:val="22"/>
          <w:highlight w:val="none"/>
          <w:lang w:val="zh-CN"/>
        </w:rPr>
        <w:t>本合同总价款是</w:t>
      </w:r>
      <w:r>
        <w:rPr>
          <w:rFonts w:hint="eastAsia" w:ascii="宋体" w:hAnsi="宋体" w:cs="宋体"/>
          <w:color w:val="auto"/>
          <w:sz w:val="22"/>
          <w:highlight w:val="none"/>
          <w:lang w:val="zh-CN"/>
        </w:rPr>
        <w:t>完成本项目所发生的所有含税费用、支付给员工的工资和国家强制缴纳的各种社会保障资金</w:t>
      </w:r>
      <w:r>
        <w:rPr>
          <w:rFonts w:hint="eastAsia" w:ascii="宋体" w:hAnsi="宋体"/>
          <w:bCs/>
          <w:color w:val="auto"/>
          <w:sz w:val="22"/>
          <w:highlight w:val="none"/>
        </w:rPr>
        <w:t>，以</w:t>
      </w:r>
      <w:r>
        <w:rPr>
          <w:rFonts w:hint="eastAsia" w:ascii="宋体" w:hAnsi="宋体"/>
          <w:color w:val="auto"/>
          <w:sz w:val="22"/>
          <w:highlight w:val="none"/>
        </w:rPr>
        <w:t>及供应商认为需要的其他费用等</w:t>
      </w:r>
      <w:r>
        <w:rPr>
          <w:rFonts w:hint="eastAsia" w:ascii="宋体" w:hAnsi="宋体"/>
          <w:color w:val="auto"/>
          <w:sz w:val="22"/>
          <w:highlight w:val="none"/>
          <w:lang w:val="zh-CN"/>
        </w:rPr>
        <w:t>。</w:t>
      </w:r>
    </w:p>
    <w:p w14:paraId="140D3375">
      <w:pPr>
        <w:autoSpaceDE w:val="0"/>
        <w:autoSpaceDN w:val="0"/>
        <w:adjustRightInd w:val="0"/>
        <w:spacing w:line="240" w:lineRule="atLeast"/>
        <w:ind w:firstLine="420"/>
        <w:rPr>
          <w:rFonts w:ascii="宋体" w:hAnsi="宋体"/>
          <w:color w:val="auto"/>
          <w:sz w:val="22"/>
          <w:highlight w:val="none"/>
          <w:lang w:val="zh-CN"/>
        </w:rPr>
      </w:pPr>
      <w:r>
        <w:rPr>
          <w:rFonts w:hint="eastAsia" w:ascii="宋体" w:hAnsi="宋体"/>
          <w:color w:val="auto"/>
          <w:sz w:val="22"/>
          <w:highlight w:val="none"/>
          <w:lang w:val="zh-CN"/>
        </w:rPr>
        <w:t>本合同执行期间合同总价款不变。</w:t>
      </w:r>
    </w:p>
    <w:p w14:paraId="40728644">
      <w:pPr>
        <w:autoSpaceDE w:val="0"/>
        <w:autoSpaceDN w:val="0"/>
        <w:adjustRightInd w:val="0"/>
        <w:spacing w:line="240" w:lineRule="atLeast"/>
        <w:ind w:firstLine="433" w:firstLineChars="196"/>
        <w:rPr>
          <w:rFonts w:ascii="宋体" w:hAnsi="宋体"/>
          <w:color w:val="auto"/>
          <w:sz w:val="22"/>
          <w:highlight w:val="none"/>
          <w:lang w:val="zh-CN"/>
        </w:rPr>
      </w:pPr>
      <w:r>
        <w:rPr>
          <w:rFonts w:hint="eastAsia" w:ascii="宋体" w:hAnsi="宋体"/>
          <w:b/>
          <w:bCs/>
          <w:color w:val="auto"/>
          <w:sz w:val="22"/>
          <w:highlight w:val="none"/>
          <w:lang w:val="zh-CN"/>
        </w:rPr>
        <w:t>第三条</w:t>
      </w:r>
      <w:r>
        <w:rPr>
          <w:rFonts w:ascii="宋体" w:hAnsi="宋体"/>
          <w:b/>
          <w:bCs/>
          <w:color w:val="auto"/>
          <w:sz w:val="22"/>
          <w:highlight w:val="none"/>
          <w:lang w:val="zh-CN"/>
        </w:rPr>
        <w:t xml:space="preserve"> </w:t>
      </w:r>
      <w:r>
        <w:rPr>
          <w:rFonts w:hint="eastAsia" w:ascii="宋体" w:hAnsi="宋体"/>
          <w:b/>
          <w:bCs/>
          <w:color w:val="auto"/>
          <w:sz w:val="22"/>
          <w:highlight w:val="none"/>
          <w:lang w:val="zh-CN"/>
        </w:rPr>
        <w:t>组成本合同的有关文件</w:t>
      </w:r>
      <w:r>
        <w:rPr>
          <w:rFonts w:ascii="宋体" w:hAnsi="宋体"/>
          <w:color w:val="auto"/>
          <w:sz w:val="22"/>
          <w:highlight w:val="none"/>
          <w:lang w:val="zh-CN"/>
        </w:rPr>
        <w:t xml:space="preserve">  </w:t>
      </w:r>
      <w:r>
        <w:rPr>
          <w:rFonts w:hint="eastAsia" w:ascii="宋体" w:hAnsi="宋体"/>
          <w:color w:val="auto"/>
          <w:sz w:val="22"/>
          <w:highlight w:val="none"/>
          <w:lang w:val="zh-CN"/>
        </w:rPr>
        <w:t>下列关于</w:t>
      </w:r>
      <w:r>
        <w:rPr>
          <w:rFonts w:hint="eastAsia" w:ascii="宋体" w:hAnsi="宋体"/>
          <w:b/>
          <w:color w:val="auto"/>
          <w:sz w:val="22"/>
          <w:highlight w:val="none"/>
          <w:u w:val="single"/>
          <w:lang w:val="zh-CN"/>
        </w:rPr>
        <w:t xml:space="preserve">    </w:t>
      </w:r>
      <w:r>
        <w:rPr>
          <w:rFonts w:hint="eastAsia" w:ascii="宋体" w:hAnsi="宋体"/>
          <w:color w:val="auto"/>
          <w:sz w:val="22"/>
          <w:highlight w:val="none"/>
          <w:u w:val="single"/>
          <w:lang w:val="zh-CN"/>
        </w:rPr>
        <w:t>号</w:t>
      </w:r>
      <w:r>
        <w:rPr>
          <w:rFonts w:hint="eastAsia" w:ascii="宋体" w:hAnsi="宋体"/>
          <w:color w:val="auto"/>
          <w:sz w:val="22"/>
          <w:highlight w:val="none"/>
          <w:lang w:val="zh-CN"/>
        </w:rPr>
        <w:t>的公开招标文件、供应商响应文件，或与本次采购活动方式相适应的文件，以及有关附件是本合同不可分割的组成部分，与本合同具有同等法律效力，这些文件包括但不限于：</w:t>
      </w:r>
    </w:p>
    <w:p w14:paraId="00F01235">
      <w:pPr>
        <w:autoSpaceDE w:val="0"/>
        <w:autoSpaceDN w:val="0"/>
        <w:adjustRightInd w:val="0"/>
        <w:spacing w:line="240" w:lineRule="atLeast"/>
        <w:ind w:firstLine="420"/>
        <w:rPr>
          <w:rFonts w:ascii="宋体" w:hAnsi="宋体"/>
          <w:color w:val="auto"/>
          <w:sz w:val="22"/>
          <w:highlight w:val="none"/>
          <w:lang w:val="zh-CN"/>
        </w:rPr>
      </w:pPr>
      <w:r>
        <w:rPr>
          <w:rFonts w:hint="eastAsia" w:ascii="宋体" w:hAnsi="宋体"/>
          <w:color w:val="auto"/>
          <w:sz w:val="22"/>
          <w:highlight w:val="none"/>
          <w:lang w:val="zh-CN"/>
        </w:rPr>
        <w:t>（</w:t>
      </w:r>
      <w:r>
        <w:rPr>
          <w:rFonts w:ascii="宋体" w:hAnsi="宋体"/>
          <w:color w:val="auto"/>
          <w:sz w:val="22"/>
          <w:highlight w:val="none"/>
          <w:lang w:val="zh-CN"/>
        </w:rPr>
        <w:t>1</w:t>
      </w:r>
      <w:r>
        <w:rPr>
          <w:rFonts w:hint="eastAsia" w:ascii="宋体" w:hAnsi="宋体"/>
          <w:color w:val="auto"/>
          <w:sz w:val="22"/>
          <w:highlight w:val="none"/>
          <w:lang w:val="zh-CN"/>
        </w:rPr>
        <w:t>）乙方提供的响应文件和报价表；</w:t>
      </w:r>
    </w:p>
    <w:p w14:paraId="193C793C">
      <w:pPr>
        <w:autoSpaceDE w:val="0"/>
        <w:autoSpaceDN w:val="0"/>
        <w:adjustRightInd w:val="0"/>
        <w:spacing w:line="240" w:lineRule="atLeast"/>
        <w:ind w:firstLine="420"/>
        <w:rPr>
          <w:rFonts w:ascii="宋体" w:hAnsi="宋体"/>
          <w:color w:val="auto"/>
          <w:sz w:val="22"/>
          <w:highlight w:val="none"/>
          <w:lang w:val="zh-CN"/>
        </w:rPr>
      </w:pPr>
      <w:r>
        <w:rPr>
          <w:rFonts w:hint="eastAsia" w:ascii="宋体" w:hAnsi="宋体"/>
          <w:color w:val="auto"/>
          <w:sz w:val="22"/>
          <w:highlight w:val="none"/>
          <w:lang w:val="zh-CN"/>
        </w:rPr>
        <w:t>（2）技术规格响应表；</w:t>
      </w:r>
    </w:p>
    <w:p w14:paraId="7679B541">
      <w:pPr>
        <w:autoSpaceDE w:val="0"/>
        <w:autoSpaceDN w:val="0"/>
        <w:adjustRightInd w:val="0"/>
        <w:spacing w:line="240" w:lineRule="atLeast"/>
        <w:ind w:firstLine="420"/>
        <w:rPr>
          <w:rFonts w:ascii="宋体" w:hAnsi="宋体"/>
          <w:color w:val="auto"/>
          <w:sz w:val="22"/>
          <w:highlight w:val="none"/>
          <w:lang w:val="zh-CN"/>
        </w:rPr>
      </w:pPr>
      <w:r>
        <w:rPr>
          <w:rFonts w:hint="eastAsia" w:ascii="宋体" w:hAnsi="宋体"/>
          <w:color w:val="auto"/>
          <w:sz w:val="22"/>
          <w:highlight w:val="none"/>
          <w:lang w:val="zh-CN"/>
        </w:rPr>
        <w:t>（3）</w:t>
      </w:r>
      <w:r>
        <w:rPr>
          <w:rFonts w:hint="eastAsia" w:ascii="宋体" w:hAnsi="宋体"/>
          <w:color w:val="auto"/>
          <w:sz w:val="22"/>
          <w:highlight w:val="none"/>
        </w:rPr>
        <w:t>公开招标</w:t>
      </w:r>
      <w:r>
        <w:rPr>
          <w:rFonts w:hint="eastAsia" w:ascii="宋体" w:hAnsi="宋体"/>
          <w:color w:val="auto"/>
          <w:sz w:val="22"/>
          <w:highlight w:val="none"/>
          <w:lang w:val="zh-CN"/>
        </w:rPr>
        <w:t>承诺/服务承诺；</w:t>
      </w:r>
    </w:p>
    <w:p w14:paraId="13953AF9">
      <w:pPr>
        <w:autoSpaceDE w:val="0"/>
        <w:autoSpaceDN w:val="0"/>
        <w:adjustRightInd w:val="0"/>
        <w:spacing w:line="240" w:lineRule="atLeast"/>
        <w:ind w:firstLine="420"/>
        <w:rPr>
          <w:rFonts w:ascii="宋体" w:hAnsi="宋体"/>
          <w:color w:val="auto"/>
          <w:sz w:val="22"/>
          <w:highlight w:val="none"/>
          <w:lang w:val="zh-CN"/>
        </w:rPr>
      </w:pPr>
      <w:r>
        <w:rPr>
          <w:rFonts w:hint="eastAsia" w:ascii="宋体" w:hAnsi="宋体"/>
          <w:color w:val="auto"/>
          <w:sz w:val="22"/>
          <w:highlight w:val="none"/>
          <w:lang w:val="zh-CN"/>
        </w:rPr>
        <w:t>（4）成交通知书；</w:t>
      </w:r>
    </w:p>
    <w:p w14:paraId="316D4F00">
      <w:pPr>
        <w:autoSpaceDE w:val="0"/>
        <w:autoSpaceDN w:val="0"/>
        <w:adjustRightInd w:val="0"/>
        <w:spacing w:line="240" w:lineRule="atLeast"/>
        <w:ind w:firstLine="420"/>
        <w:rPr>
          <w:rFonts w:ascii="宋体" w:hAnsi="宋体"/>
          <w:color w:val="auto"/>
          <w:sz w:val="22"/>
          <w:highlight w:val="none"/>
          <w:lang w:val="zh-CN"/>
        </w:rPr>
      </w:pPr>
      <w:r>
        <w:rPr>
          <w:rFonts w:hint="eastAsia" w:ascii="宋体" w:hAnsi="宋体"/>
          <w:color w:val="auto"/>
          <w:sz w:val="22"/>
          <w:highlight w:val="none"/>
          <w:lang w:val="zh-CN"/>
        </w:rPr>
        <w:t>（5）甲乙双方商定的其他文件等。</w:t>
      </w:r>
    </w:p>
    <w:p w14:paraId="2AF22EF5">
      <w:pPr>
        <w:autoSpaceDE w:val="0"/>
        <w:autoSpaceDN w:val="0"/>
        <w:adjustRightInd w:val="0"/>
        <w:spacing w:line="240" w:lineRule="atLeast"/>
        <w:ind w:firstLine="420"/>
        <w:rPr>
          <w:rFonts w:ascii="宋体" w:hAnsi="宋体"/>
          <w:b/>
          <w:bCs/>
          <w:color w:val="auto"/>
          <w:sz w:val="22"/>
          <w:highlight w:val="none"/>
          <w:lang w:val="zh-CN"/>
        </w:rPr>
      </w:pPr>
      <w:r>
        <w:rPr>
          <w:rFonts w:hint="eastAsia" w:ascii="宋体" w:hAnsi="宋体"/>
          <w:b/>
          <w:bCs/>
          <w:color w:val="auto"/>
          <w:sz w:val="22"/>
          <w:highlight w:val="none"/>
          <w:lang w:val="zh-CN"/>
        </w:rPr>
        <w:t>第四条</w:t>
      </w:r>
      <w:r>
        <w:rPr>
          <w:rFonts w:ascii="宋体" w:hAnsi="宋体"/>
          <w:b/>
          <w:bCs/>
          <w:color w:val="auto"/>
          <w:sz w:val="22"/>
          <w:highlight w:val="none"/>
          <w:lang w:val="zh-CN"/>
        </w:rPr>
        <w:t xml:space="preserve"> </w:t>
      </w:r>
      <w:r>
        <w:rPr>
          <w:rFonts w:hint="eastAsia" w:ascii="宋体" w:hAnsi="宋体"/>
          <w:b/>
          <w:bCs/>
          <w:color w:val="auto"/>
          <w:sz w:val="22"/>
          <w:highlight w:val="none"/>
          <w:lang w:val="zh-CN"/>
        </w:rPr>
        <w:t>权利保证</w:t>
      </w:r>
    </w:p>
    <w:p w14:paraId="03AC0D7C">
      <w:pPr>
        <w:autoSpaceDE w:val="0"/>
        <w:autoSpaceDN w:val="0"/>
        <w:adjustRightInd w:val="0"/>
        <w:ind w:firstLine="420"/>
        <w:rPr>
          <w:rFonts w:ascii="宋体" w:hAnsi="宋体"/>
          <w:color w:val="auto"/>
          <w:sz w:val="22"/>
          <w:highlight w:val="none"/>
          <w:lang w:val="zh-CN"/>
        </w:rPr>
      </w:pPr>
      <w:r>
        <w:rPr>
          <w:rFonts w:hint="eastAsia" w:ascii="宋体" w:hAnsi="宋体"/>
          <w:color w:val="auto"/>
          <w:sz w:val="22"/>
          <w:highlight w:val="none"/>
          <w:lang w:val="zh-CN"/>
        </w:rPr>
        <w:t>乙方应保证甲方在使用该服务或其任何一部分时不受第三方提出侵犯其专利权、版权、商标权或其他权利的起诉。一旦出现侵权，乙方应承担全部责任。</w:t>
      </w:r>
    </w:p>
    <w:p w14:paraId="3D965E2D">
      <w:pPr>
        <w:autoSpaceDE w:val="0"/>
        <w:autoSpaceDN w:val="0"/>
        <w:adjustRightInd w:val="0"/>
        <w:ind w:firstLine="420"/>
        <w:rPr>
          <w:rFonts w:ascii="宋体" w:hAnsi="宋体"/>
          <w:b/>
          <w:bCs/>
          <w:color w:val="auto"/>
          <w:sz w:val="22"/>
          <w:highlight w:val="none"/>
          <w:lang w:val="zh-CN"/>
        </w:rPr>
      </w:pPr>
      <w:r>
        <w:rPr>
          <w:rFonts w:hint="eastAsia" w:ascii="宋体" w:hAnsi="宋体"/>
          <w:b/>
          <w:bCs/>
          <w:color w:val="auto"/>
          <w:sz w:val="22"/>
          <w:highlight w:val="none"/>
          <w:lang w:val="zh-CN"/>
        </w:rPr>
        <w:t>第五条</w:t>
      </w:r>
      <w:r>
        <w:rPr>
          <w:rFonts w:ascii="宋体" w:hAnsi="宋体"/>
          <w:b/>
          <w:bCs/>
          <w:color w:val="auto"/>
          <w:sz w:val="22"/>
          <w:highlight w:val="none"/>
          <w:lang w:val="zh-CN"/>
        </w:rPr>
        <w:t xml:space="preserve"> </w:t>
      </w:r>
      <w:r>
        <w:rPr>
          <w:rFonts w:hint="eastAsia" w:ascii="宋体" w:hAnsi="宋体"/>
          <w:b/>
          <w:bCs/>
          <w:color w:val="auto"/>
          <w:sz w:val="22"/>
          <w:highlight w:val="none"/>
          <w:lang w:val="zh-CN"/>
        </w:rPr>
        <w:t>质量保证</w:t>
      </w:r>
    </w:p>
    <w:p w14:paraId="6AB88526">
      <w:pPr>
        <w:autoSpaceDE w:val="0"/>
        <w:autoSpaceDN w:val="0"/>
        <w:adjustRightInd w:val="0"/>
        <w:ind w:firstLine="420"/>
        <w:rPr>
          <w:rFonts w:ascii="宋体" w:hAnsi="宋体"/>
          <w:color w:val="auto"/>
          <w:sz w:val="22"/>
          <w:highlight w:val="none"/>
          <w:lang w:val="zh-CN"/>
        </w:rPr>
      </w:pPr>
      <w:r>
        <w:rPr>
          <w:rFonts w:hint="eastAsia" w:ascii="宋体" w:hAnsi="宋体"/>
          <w:color w:val="auto"/>
          <w:sz w:val="22"/>
          <w:highlight w:val="none"/>
          <w:lang w:val="zh-CN"/>
        </w:rPr>
        <w:t>乙方所提供的服务的技术规格应与采购文件规定的技术规格及所附的“技术条款偏离表”相一致；若技术性能无特殊说明，则按国家有关部门最新颁布的标准及规范为准。</w:t>
      </w:r>
    </w:p>
    <w:p w14:paraId="3E1668AD">
      <w:pPr>
        <w:autoSpaceDE w:val="0"/>
        <w:autoSpaceDN w:val="0"/>
        <w:adjustRightInd w:val="0"/>
        <w:ind w:firstLine="420"/>
        <w:rPr>
          <w:rFonts w:ascii="宋体" w:hAnsi="宋体"/>
          <w:b/>
          <w:bCs/>
          <w:color w:val="auto"/>
          <w:sz w:val="22"/>
          <w:highlight w:val="none"/>
          <w:lang w:val="zh-CN"/>
        </w:rPr>
      </w:pPr>
      <w:r>
        <w:rPr>
          <w:rFonts w:hint="eastAsia" w:ascii="宋体" w:hAnsi="宋体"/>
          <w:b/>
          <w:bCs/>
          <w:color w:val="auto"/>
          <w:sz w:val="22"/>
          <w:highlight w:val="none"/>
          <w:lang w:val="zh-CN"/>
        </w:rPr>
        <w:t>第六条</w:t>
      </w:r>
      <w:r>
        <w:rPr>
          <w:rFonts w:ascii="宋体" w:hAnsi="宋体"/>
          <w:b/>
          <w:bCs/>
          <w:color w:val="auto"/>
          <w:sz w:val="22"/>
          <w:highlight w:val="none"/>
          <w:lang w:val="zh-CN"/>
        </w:rPr>
        <w:t xml:space="preserve"> </w:t>
      </w:r>
      <w:r>
        <w:rPr>
          <w:rFonts w:hint="eastAsia" w:ascii="宋体" w:hAnsi="宋体"/>
          <w:b/>
          <w:bCs/>
          <w:color w:val="auto"/>
          <w:sz w:val="22"/>
          <w:highlight w:val="none"/>
          <w:lang w:val="zh-CN"/>
        </w:rPr>
        <w:t>验收标准</w:t>
      </w:r>
    </w:p>
    <w:p w14:paraId="2A743F59">
      <w:pPr>
        <w:autoSpaceDE w:val="0"/>
        <w:autoSpaceDN w:val="0"/>
        <w:adjustRightInd w:val="0"/>
        <w:ind w:firstLine="420"/>
        <w:rPr>
          <w:rFonts w:ascii="宋体" w:hAnsi="宋体"/>
          <w:color w:val="auto"/>
          <w:sz w:val="22"/>
          <w:highlight w:val="none"/>
          <w:lang w:val="zh-CN"/>
        </w:rPr>
      </w:pPr>
      <w:r>
        <w:rPr>
          <w:rFonts w:ascii="宋体" w:hAnsi="宋体"/>
          <w:color w:val="auto"/>
          <w:sz w:val="22"/>
          <w:highlight w:val="none"/>
          <w:lang w:val="zh-CN"/>
        </w:rPr>
        <w:t xml:space="preserve"> </w:t>
      </w:r>
      <w:r>
        <w:rPr>
          <w:rFonts w:hint="eastAsia" w:ascii="宋体" w:hAnsi="宋体"/>
          <w:color w:val="auto"/>
          <w:sz w:val="22"/>
          <w:highlight w:val="none"/>
          <w:lang w:val="zh-CN"/>
        </w:rPr>
        <w:t>1、由甲方组织或委托相关部门服务期间进行现场巡检、验收。</w:t>
      </w:r>
    </w:p>
    <w:p w14:paraId="280D0F6F">
      <w:pPr>
        <w:autoSpaceDE w:val="0"/>
        <w:autoSpaceDN w:val="0"/>
        <w:adjustRightInd w:val="0"/>
        <w:ind w:firstLine="420"/>
        <w:rPr>
          <w:rFonts w:ascii="宋体" w:hAnsi="宋体"/>
          <w:color w:val="auto"/>
          <w:sz w:val="22"/>
          <w:highlight w:val="none"/>
          <w:lang w:val="zh-CN"/>
        </w:rPr>
      </w:pPr>
      <w:r>
        <w:rPr>
          <w:rFonts w:hint="eastAsia" w:ascii="宋体" w:hAnsi="宋体"/>
          <w:color w:val="auto"/>
          <w:sz w:val="22"/>
          <w:highlight w:val="none"/>
          <w:lang w:val="zh-CN"/>
        </w:rPr>
        <w:t>2、验收依据：</w:t>
      </w:r>
    </w:p>
    <w:p w14:paraId="7D804B11">
      <w:pPr>
        <w:autoSpaceDE w:val="0"/>
        <w:autoSpaceDN w:val="0"/>
        <w:adjustRightInd w:val="0"/>
        <w:ind w:firstLine="420"/>
        <w:rPr>
          <w:rFonts w:ascii="宋体" w:hAnsi="宋体"/>
          <w:color w:val="auto"/>
          <w:sz w:val="22"/>
          <w:highlight w:val="none"/>
          <w:lang w:val="zh-CN"/>
        </w:rPr>
      </w:pPr>
      <w:r>
        <w:rPr>
          <w:rFonts w:hint="eastAsia" w:ascii="宋体" w:hAnsi="宋体"/>
          <w:color w:val="auto"/>
          <w:sz w:val="22"/>
          <w:highlight w:val="none"/>
          <w:lang w:val="zh-CN"/>
        </w:rPr>
        <w:t>2-1、合同文本、合同附件、公开招标文件和投标文件。</w:t>
      </w:r>
    </w:p>
    <w:p w14:paraId="06EE2D70">
      <w:pPr>
        <w:autoSpaceDE w:val="0"/>
        <w:autoSpaceDN w:val="0"/>
        <w:adjustRightInd w:val="0"/>
        <w:ind w:firstLine="420"/>
        <w:rPr>
          <w:rFonts w:ascii="宋体" w:hAnsi="宋体"/>
          <w:color w:val="auto"/>
          <w:sz w:val="22"/>
          <w:highlight w:val="none"/>
        </w:rPr>
      </w:pPr>
    </w:p>
    <w:p w14:paraId="11ABE351">
      <w:pPr>
        <w:autoSpaceDE w:val="0"/>
        <w:autoSpaceDN w:val="0"/>
        <w:adjustRightInd w:val="0"/>
        <w:ind w:firstLine="420"/>
        <w:rPr>
          <w:rFonts w:ascii="宋体" w:hAnsi="宋体"/>
          <w:b/>
          <w:bCs/>
          <w:color w:val="auto"/>
          <w:sz w:val="22"/>
          <w:highlight w:val="none"/>
          <w:lang w:val="zh-CN"/>
        </w:rPr>
      </w:pPr>
      <w:r>
        <w:rPr>
          <w:rFonts w:hint="eastAsia" w:ascii="宋体" w:hAnsi="宋体"/>
          <w:b/>
          <w:bCs/>
          <w:color w:val="auto"/>
          <w:sz w:val="22"/>
          <w:highlight w:val="none"/>
          <w:lang w:val="zh-CN"/>
        </w:rPr>
        <w:t>第七条</w:t>
      </w:r>
      <w:r>
        <w:rPr>
          <w:rFonts w:ascii="宋体" w:hAnsi="宋体"/>
          <w:b/>
          <w:bCs/>
          <w:color w:val="auto"/>
          <w:sz w:val="22"/>
          <w:highlight w:val="none"/>
          <w:lang w:val="zh-CN"/>
        </w:rPr>
        <w:t xml:space="preserve"> </w:t>
      </w:r>
      <w:r>
        <w:rPr>
          <w:rFonts w:hint="eastAsia" w:ascii="宋体" w:hAnsi="宋体"/>
          <w:b/>
          <w:bCs/>
          <w:color w:val="auto"/>
          <w:sz w:val="22"/>
          <w:highlight w:val="none"/>
          <w:lang w:val="zh-CN"/>
        </w:rPr>
        <w:t>履约保证金</w:t>
      </w:r>
    </w:p>
    <w:p w14:paraId="4F698692">
      <w:pPr>
        <w:autoSpaceDE w:val="0"/>
        <w:autoSpaceDN w:val="0"/>
        <w:adjustRightInd w:val="0"/>
        <w:ind w:firstLine="420"/>
        <w:rPr>
          <w:rFonts w:ascii="宋体" w:hAnsi="宋体"/>
          <w:color w:val="auto"/>
          <w:sz w:val="22"/>
          <w:highlight w:val="none"/>
          <w:lang w:val="zh-CN"/>
        </w:rPr>
      </w:pPr>
      <w:r>
        <w:rPr>
          <w:rFonts w:ascii="宋体" w:hAnsi="宋体"/>
          <w:color w:val="auto"/>
          <w:sz w:val="22"/>
          <w:highlight w:val="none"/>
          <w:lang w:val="zh-CN"/>
        </w:rPr>
        <w:t>1</w:t>
      </w:r>
      <w:r>
        <w:rPr>
          <w:rFonts w:hint="eastAsia" w:ascii="宋体" w:hAnsi="宋体"/>
          <w:color w:val="auto"/>
          <w:sz w:val="22"/>
          <w:highlight w:val="none"/>
          <w:lang w:val="zh-CN"/>
        </w:rPr>
        <w:t>、乙方在签订本合同时</w:t>
      </w:r>
      <w:r>
        <w:rPr>
          <w:rFonts w:hint="eastAsia" w:ascii="宋体" w:hAnsi="宋体"/>
          <w:color w:val="auto"/>
          <w:sz w:val="22"/>
          <w:highlight w:val="none"/>
        </w:rPr>
        <w:t>公开招标</w:t>
      </w:r>
      <w:r>
        <w:rPr>
          <w:rFonts w:hint="eastAsia" w:ascii="宋体" w:hAnsi="宋体"/>
          <w:color w:val="auto"/>
          <w:sz w:val="22"/>
          <w:highlight w:val="none"/>
          <w:lang w:val="zh-CN"/>
        </w:rPr>
        <w:t>保证金自动转为履约保证金（采购文件另有约定的从其约定）。</w:t>
      </w:r>
    </w:p>
    <w:p w14:paraId="33F87F4C">
      <w:pPr>
        <w:autoSpaceDE w:val="0"/>
        <w:autoSpaceDN w:val="0"/>
        <w:adjustRightInd w:val="0"/>
        <w:ind w:firstLine="420"/>
        <w:rPr>
          <w:rFonts w:ascii="宋体" w:hAnsi="宋体"/>
          <w:color w:val="auto"/>
          <w:sz w:val="22"/>
          <w:highlight w:val="none"/>
          <w:lang w:val="zh-CN"/>
        </w:rPr>
      </w:pPr>
      <w:r>
        <w:rPr>
          <w:rFonts w:ascii="宋体" w:hAnsi="宋体"/>
          <w:color w:val="auto"/>
          <w:sz w:val="22"/>
          <w:highlight w:val="none"/>
          <w:lang w:val="zh-CN"/>
        </w:rPr>
        <w:t>2</w:t>
      </w:r>
      <w:r>
        <w:rPr>
          <w:rFonts w:hint="eastAsia" w:ascii="宋体" w:hAnsi="宋体"/>
          <w:color w:val="auto"/>
          <w:sz w:val="22"/>
          <w:highlight w:val="none"/>
          <w:lang w:val="zh-CN"/>
        </w:rPr>
        <w:t>、履约保证金的有效期为该项目免费维护期满时止。</w:t>
      </w:r>
    </w:p>
    <w:p w14:paraId="6E97AC7C">
      <w:pPr>
        <w:autoSpaceDE w:val="0"/>
        <w:autoSpaceDN w:val="0"/>
        <w:adjustRightInd w:val="0"/>
        <w:ind w:firstLine="420"/>
        <w:rPr>
          <w:rFonts w:ascii="宋体" w:hAnsi="宋体"/>
          <w:color w:val="auto"/>
          <w:sz w:val="22"/>
          <w:highlight w:val="none"/>
          <w:lang w:val="zh-CN"/>
        </w:rPr>
      </w:pPr>
      <w:r>
        <w:rPr>
          <w:rFonts w:ascii="宋体" w:hAnsi="宋体"/>
          <w:color w:val="auto"/>
          <w:sz w:val="22"/>
          <w:highlight w:val="none"/>
          <w:lang w:val="zh-CN"/>
        </w:rPr>
        <w:t>3</w:t>
      </w:r>
      <w:r>
        <w:rPr>
          <w:rFonts w:hint="eastAsia" w:ascii="宋体" w:hAnsi="宋体"/>
          <w:color w:val="auto"/>
          <w:sz w:val="22"/>
          <w:highlight w:val="none"/>
          <w:lang w:val="zh-CN"/>
        </w:rPr>
        <w:t>、如乙方未能履行合同规定的义务，甲方有权从履约保证金中取得补偿。</w:t>
      </w:r>
    </w:p>
    <w:p w14:paraId="4FB6878D">
      <w:pPr>
        <w:autoSpaceDE w:val="0"/>
        <w:autoSpaceDN w:val="0"/>
        <w:adjustRightInd w:val="0"/>
        <w:ind w:firstLine="420"/>
        <w:rPr>
          <w:rFonts w:ascii="宋体" w:hAnsi="宋体"/>
          <w:i/>
          <w:iCs/>
          <w:color w:val="auto"/>
          <w:sz w:val="22"/>
          <w:highlight w:val="none"/>
          <w:lang w:val="zh-CN"/>
        </w:rPr>
      </w:pPr>
      <w:r>
        <w:rPr>
          <w:rFonts w:ascii="宋体" w:hAnsi="宋体"/>
          <w:color w:val="auto"/>
          <w:sz w:val="22"/>
          <w:highlight w:val="none"/>
          <w:lang w:val="zh-CN"/>
        </w:rPr>
        <w:t>4</w:t>
      </w:r>
      <w:r>
        <w:rPr>
          <w:rFonts w:hint="eastAsia" w:ascii="宋体" w:hAnsi="宋体"/>
          <w:color w:val="auto"/>
          <w:sz w:val="22"/>
          <w:highlight w:val="none"/>
          <w:lang w:val="zh-CN"/>
        </w:rPr>
        <w:t>、履约保证金扣除甲方应得的补偿后的余额在有效期满后七工作日内无息退还给乙方。</w:t>
      </w:r>
    </w:p>
    <w:p w14:paraId="4E955FCC">
      <w:pPr>
        <w:autoSpaceDE w:val="0"/>
        <w:autoSpaceDN w:val="0"/>
        <w:adjustRightInd w:val="0"/>
        <w:ind w:firstLine="420"/>
        <w:rPr>
          <w:rFonts w:ascii="宋体" w:hAnsi="宋体"/>
          <w:b/>
          <w:bCs/>
          <w:i/>
          <w:iCs/>
          <w:color w:val="auto"/>
          <w:sz w:val="22"/>
          <w:highlight w:val="none"/>
          <w:lang w:val="zh-CN"/>
        </w:rPr>
      </w:pPr>
      <w:r>
        <w:rPr>
          <w:rFonts w:hint="eastAsia" w:ascii="宋体" w:hAnsi="宋体"/>
          <w:b/>
          <w:bCs/>
          <w:color w:val="auto"/>
          <w:sz w:val="22"/>
          <w:highlight w:val="none"/>
          <w:lang w:val="zh-CN"/>
        </w:rPr>
        <w:t>第八条</w:t>
      </w:r>
      <w:r>
        <w:rPr>
          <w:rFonts w:ascii="宋体" w:hAnsi="宋体"/>
          <w:b/>
          <w:bCs/>
          <w:color w:val="auto"/>
          <w:sz w:val="22"/>
          <w:highlight w:val="none"/>
          <w:lang w:val="zh-CN"/>
        </w:rPr>
        <w:t xml:space="preserve"> </w:t>
      </w:r>
      <w:r>
        <w:rPr>
          <w:rFonts w:hint="eastAsia" w:ascii="宋体" w:hAnsi="宋体"/>
          <w:b/>
          <w:bCs/>
          <w:color w:val="auto"/>
          <w:sz w:val="22"/>
          <w:highlight w:val="none"/>
          <w:lang w:val="zh-CN"/>
        </w:rPr>
        <w:t>合同款支付</w:t>
      </w:r>
    </w:p>
    <w:p w14:paraId="77B55293">
      <w:pPr>
        <w:autoSpaceDE w:val="0"/>
        <w:autoSpaceDN w:val="0"/>
        <w:adjustRightInd w:val="0"/>
        <w:ind w:firstLine="420"/>
        <w:rPr>
          <w:rFonts w:ascii="宋体" w:hAnsi="宋体"/>
          <w:color w:val="auto"/>
          <w:sz w:val="22"/>
          <w:highlight w:val="none"/>
          <w:lang w:val="zh-CN"/>
        </w:rPr>
      </w:pPr>
      <w:r>
        <w:rPr>
          <w:rFonts w:hint="eastAsia" w:ascii="宋体" w:hAnsi="宋体"/>
          <w:color w:val="auto"/>
          <w:sz w:val="22"/>
          <w:highlight w:val="none"/>
          <w:lang w:val="zh-CN"/>
        </w:rPr>
        <w:t xml:space="preserve">   </w:t>
      </w:r>
      <w:r>
        <w:rPr>
          <w:rFonts w:hint="eastAsia" w:ascii="宋体" w:hAnsi="宋体"/>
          <w:color w:val="auto"/>
          <w:sz w:val="22"/>
          <w:highlight w:val="none"/>
          <w:lang w:val="zh-CN" w:eastAsia="zh-TW"/>
        </w:rPr>
        <w:t>最终付款按照实际鉴定数量产生的费用金额进行结算，每</w:t>
      </w:r>
      <w:r>
        <w:rPr>
          <w:rFonts w:hint="eastAsia" w:ascii="宋体" w:hAnsi="宋体"/>
          <w:color w:val="auto"/>
          <w:sz w:val="22"/>
          <w:highlight w:val="none"/>
        </w:rPr>
        <w:t>季度</w:t>
      </w:r>
      <w:r>
        <w:rPr>
          <w:rFonts w:hint="eastAsia" w:ascii="宋体" w:hAnsi="宋体"/>
          <w:color w:val="auto"/>
          <w:sz w:val="22"/>
          <w:highlight w:val="none"/>
          <w:lang w:val="zh-CN" w:eastAsia="zh-TW"/>
        </w:rPr>
        <w:t>结算一次。（特殊情况以合同为准）。</w:t>
      </w:r>
    </w:p>
    <w:p w14:paraId="68487588">
      <w:pPr>
        <w:pStyle w:val="234"/>
        <w:spacing w:before="120" w:after="120"/>
        <w:ind w:left="905" w:leftChars="189" w:hanging="508" w:hangingChars="230"/>
        <w:rPr>
          <w:rFonts w:ascii="宋体"/>
          <w:b/>
          <w:bCs/>
          <w:color w:val="auto"/>
          <w:sz w:val="22"/>
          <w:szCs w:val="22"/>
          <w:highlight w:val="none"/>
          <w:lang w:val="zh-CN"/>
        </w:rPr>
      </w:pPr>
      <w:r>
        <w:rPr>
          <w:rFonts w:hint="eastAsia" w:ascii="宋体"/>
          <w:b/>
          <w:bCs/>
          <w:color w:val="auto"/>
          <w:sz w:val="22"/>
          <w:szCs w:val="22"/>
          <w:highlight w:val="none"/>
          <w:lang w:val="zh-CN"/>
        </w:rPr>
        <w:t>第九条</w:t>
      </w:r>
      <w:r>
        <w:rPr>
          <w:rFonts w:ascii="宋体"/>
          <w:b/>
          <w:bCs/>
          <w:color w:val="auto"/>
          <w:sz w:val="22"/>
          <w:szCs w:val="22"/>
          <w:highlight w:val="none"/>
          <w:lang w:val="zh-CN"/>
        </w:rPr>
        <w:t xml:space="preserve"> </w:t>
      </w:r>
      <w:r>
        <w:rPr>
          <w:rFonts w:hint="eastAsia" w:ascii="宋体"/>
          <w:b/>
          <w:bCs/>
          <w:color w:val="auto"/>
          <w:sz w:val="22"/>
          <w:szCs w:val="22"/>
          <w:highlight w:val="none"/>
          <w:lang w:val="zh-CN"/>
        </w:rPr>
        <w:t>违约责任</w:t>
      </w:r>
    </w:p>
    <w:p w14:paraId="6D75F07F">
      <w:pPr>
        <w:adjustRightInd w:val="0"/>
        <w:ind w:firstLine="420"/>
        <w:rPr>
          <w:rFonts w:ascii="宋体" w:hAnsi="宋体" w:cs="宋体"/>
          <w:color w:val="auto"/>
          <w:sz w:val="22"/>
          <w:highlight w:val="none"/>
          <w:lang w:val="zh-CN"/>
        </w:rPr>
      </w:pPr>
      <w:r>
        <w:rPr>
          <w:rFonts w:hint="eastAsia" w:ascii="宋体" w:hAnsi="宋体" w:cs="宋体"/>
          <w:color w:val="auto"/>
          <w:sz w:val="22"/>
          <w:highlight w:val="none"/>
          <w:lang w:val="zh-CN"/>
        </w:rPr>
        <w:t>１、甲方无正当理由拒收服务、拒付服务款的，甲方向乙方偿付合同总价的</w:t>
      </w:r>
      <w:r>
        <w:rPr>
          <w:rFonts w:ascii="宋体" w:hAnsi="宋体" w:cs="宋体"/>
          <w:color w:val="auto"/>
          <w:sz w:val="22"/>
          <w:highlight w:val="none"/>
          <w:lang w:val="zh-CN"/>
        </w:rPr>
        <w:t>5%</w:t>
      </w:r>
      <w:r>
        <w:rPr>
          <w:rFonts w:hint="eastAsia" w:ascii="宋体" w:hAnsi="宋体" w:cs="宋体"/>
          <w:color w:val="auto"/>
          <w:sz w:val="22"/>
          <w:highlight w:val="none"/>
          <w:lang w:val="zh-CN"/>
        </w:rPr>
        <w:t>违约金。</w:t>
      </w:r>
    </w:p>
    <w:p w14:paraId="271EAB85">
      <w:pPr>
        <w:adjustRightInd w:val="0"/>
        <w:ind w:firstLine="420"/>
        <w:rPr>
          <w:rFonts w:ascii="宋体" w:hAnsi="宋体" w:cs="宋体"/>
          <w:color w:val="auto"/>
          <w:sz w:val="22"/>
          <w:highlight w:val="none"/>
          <w:lang w:val="zh-CN"/>
        </w:rPr>
      </w:pPr>
      <w:r>
        <w:rPr>
          <w:rFonts w:hint="eastAsia" w:ascii="宋体" w:hAnsi="宋体" w:cs="宋体"/>
          <w:color w:val="auto"/>
          <w:sz w:val="22"/>
          <w:highlight w:val="none"/>
          <w:lang w:val="zh-CN"/>
        </w:rPr>
        <w:t>２、甲方未按合同规定的期限向乙方支付货款的，每逾期</w:t>
      </w:r>
      <w:r>
        <w:rPr>
          <w:rFonts w:ascii="宋体" w:hAnsi="宋体" w:cs="宋体"/>
          <w:color w:val="auto"/>
          <w:sz w:val="22"/>
          <w:highlight w:val="none"/>
          <w:lang w:val="zh-CN"/>
        </w:rPr>
        <w:t>1</w:t>
      </w:r>
      <w:r>
        <w:rPr>
          <w:rFonts w:hint="eastAsia" w:ascii="宋体" w:hAnsi="宋体" w:cs="宋体"/>
          <w:color w:val="auto"/>
          <w:sz w:val="22"/>
          <w:highlight w:val="none"/>
          <w:lang w:val="zh-CN"/>
        </w:rPr>
        <w:t>天甲方向乙方偿付欠款总额的</w:t>
      </w:r>
      <w:r>
        <w:rPr>
          <w:rFonts w:ascii="宋体" w:hAnsi="宋体" w:cs="宋体"/>
          <w:color w:val="auto"/>
          <w:sz w:val="22"/>
          <w:highlight w:val="none"/>
          <w:lang w:val="zh-CN"/>
        </w:rPr>
        <w:t>5</w:t>
      </w:r>
      <w:r>
        <w:rPr>
          <w:rFonts w:hint="eastAsia" w:ascii="宋体" w:hAnsi="宋体" w:cs="宋体"/>
          <w:color w:val="auto"/>
          <w:sz w:val="22"/>
          <w:highlight w:val="none"/>
          <w:lang w:val="zh-CN"/>
        </w:rPr>
        <w:t>‰滞纳金，但累计滞纳金总额不超过欠款总额的</w:t>
      </w:r>
      <w:r>
        <w:rPr>
          <w:rFonts w:ascii="宋体" w:hAnsi="宋体" w:cs="宋体"/>
          <w:color w:val="auto"/>
          <w:sz w:val="22"/>
          <w:highlight w:val="none"/>
          <w:lang w:val="zh-CN"/>
        </w:rPr>
        <w:t xml:space="preserve">5% </w:t>
      </w:r>
      <w:r>
        <w:rPr>
          <w:rFonts w:hint="eastAsia" w:ascii="宋体" w:hAnsi="宋体" w:cs="宋体"/>
          <w:color w:val="auto"/>
          <w:sz w:val="22"/>
          <w:highlight w:val="none"/>
          <w:lang w:val="zh-CN"/>
        </w:rPr>
        <w:t>。</w:t>
      </w:r>
    </w:p>
    <w:p w14:paraId="48F9190A">
      <w:pPr>
        <w:adjustRightInd w:val="0"/>
        <w:ind w:firstLine="420"/>
        <w:rPr>
          <w:rFonts w:ascii="宋体" w:hAnsi="宋体" w:cs="宋体"/>
          <w:color w:val="auto"/>
          <w:sz w:val="22"/>
          <w:highlight w:val="none"/>
          <w:lang w:val="zh-CN"/>
        </w:rPr>
      </w:pPr>
      <w:r>
        <w:rPr>
          <w:rFonts w:hint="eastAsia" w:ascii="宋体" w:hAnsi="宋体" w:cs="宋体"/>
          <w:color w:val="auto"/>
          <w:sz w:val="22"/>
          <w:highlight w:val="none"/>
          <w:lang w:val="zh-CN"/>
        </w:rPr>
        <w:t>３、如乙方不能交付服务的，甲方有权扣留全部履约保证金；同时乙方应向甲方支付合同总价</w:t>
      </w:r>
      <w:r>
        <w:rPr>
          <w:rFonts w:ascii="宋体" w:hAnsi="宋体" w:cs="宋体"/>
          <w:color w:val="auto"/>
          <w:sz w:val="22"/>
          <w:highlight w:val="none"/>
          <w:lang w:val="zh-CN"/>
        </w:rPr>
        <w:t>5%</w:t>
      </w:r>
      <w:r>
        <w:rPr>
          <w:rFonts w:hint="eastAsia" w:ascii="宋体" w:hAnsi="宋体" w:cs="宋体"/>
          <w:color w:val="auto"/>
          <w:sz w:val="22"/>
          <w:highlight w:val="none"/>
          <w:lang w:val="zh-CN"/>
        </w:rPr>
        <w:t>的违约金。</w:t>
      </w:r>
    </w:p>
    <w:p w14:paraId="42DA6901">
      <w:pPr>
        <w:adjustRightInd w:val="0"/>
        <w:ind w:firstLine="420"/>
        <w:rPr>
          <w:rFonts w:ascii="宋体" w:hAnsi="宋体" w:cs="宋体"/>
          <w:color w:val="auto"/>
          <w:sz w:val="22"/>
          <w:highlight w:val="none"/>
          <w:lang w:val="zh-CN"/>
        </w:rPr>
      </w:pPr>
      <w:r>
        <w:rPr>
          <w:rFonts w:hint="eastAsia" w:ascii="宋体" w:hAnsi="宋体" w:cs="宋体"/>
          <w:color w:val="auto"/>
          <w:sz w:val="22"/>
          <w:highlight w:val="none"/>
          <w:lang w:val="zh-CN"/>
        </w:rPr>
        <w:t>４、乙方逾期交付的，每逾期</w:t>
      </w:r>
      <w:r>
        <w:rPr>
          <w:rFonts w:ascii="宋体" w:hAnsi="宋体" w:cs="宋体"/>
          <w:color w:val="auto"/>
          <w:sz w:val="22"/>
          <w:highlight w:val="none"/>
          <w:lang w:val="zh-CN"/>
        </w:rPr>
        <w:t>1</w:t>
      </w:r>
      <w:r>
        <w:rPr>
          <w:rFonts w:hint="eastAsia" w:ascii="宋体" w:hAnsi="宋体" w:cs="宋体"/>
          <w:color w:val="auto"/>
          <w:sz w:val="22"/>
          <w:highlight w:val="none"/>
          <w:lang w:val="zh-CN"/>
        </w:rPr>
        <w:t>天，乙方向甲方偿付合同总额的</w:t>
      </w:r>
      <w:r>
        <w:rPr>
          <w:rFonts w:ascii="宋体" w:hAnsi="宋体" w:cs="宋体"/>
          <w:color w:val="auto"/>
          <w:sz w:val="22"/>
          <w:highlight w:val="none"/>
          <w:lang w:val="zh-CN"/>
        </w:rPr>
        <w:t>5</w:t>
      </w:r>
      <w:r>
        <w:rPr>
          <w:rFonts w:hint="eastAsia" w:ascii="宋体" w:hAnsi="宋体" w:cs="宋体"/>
          <w:color w:val="auto"/>
          <w:sz w:val="22"/>
          <w:highlight w:val="none"/>
          <w:lang w:val="zh-CN"/>
        </w:rPr>
        <w:t>‰的滞纳金。如乙方逾期交付达</w:t>
      </w:r>
      <w:r>
        <w:rPr>
          <w:rFonts w:ascii="宋体" w:hAnsi="宋体" w:cs="宋体"/>
          <w:color w:val="auto"/>
          <w:sz w:val="22"/>
          <w:highlight w:val="none"/>
          <w:lang w:val="zh-CN"/>
        </w:rPr>
        <w:t>10</w:t>
      </w:r>
      <w:r>
        <w:rPr>
          <w:rFonts w:hint="eastAsia" w:ascii="宋体" w:hAnsi="宋体" w:cs="宋体"/>
          <w:color w:val="auto"/>
          <w:sz w:val="22"/>
          <w:highlight w:val="none"/>
          <w:lang w:val="zh-CN"/>
        </w:rPr>
        <w:t>天，甲方有权解除合同，解除合同的通知自到达乙方时生效。</w:t>
      </w:r>
    </w:p>
    <w:p w14:paraId="4729103B">
      <w:pPr>
        <w:adjustRightInd w:val="0"/>
        <w:ind w:firstLine="420"/>
        <w:rPr>
          <w:rFonts w:ascii="宋体" w:hAnsi="宋体" w:cs="宋体"/>
          <w:color w:val="auto"/>
          <w:sz w:val="22"/>
          <w:highlight w:val="none"/>
          <w:lang w:val="zh-CN"/>
        </w:rPr>
      </w:pPr>
      <w:r>
        <w:rPr>
          <w:rFonts w:hint="eastAsia" w:ascii="宋体" w:hAnsi="宋体" w:cs="宋体"/>
          <w:color w:val="auto"/>
          <w:sz w:val="22"/>
          <w:highlight w:val="none"/>
          <w:lang w:val="zh-CN"/>
        </w:rPr>
        <w:t>５、乙方所交付的服务不符合合同规定的，甲方有权拒收。甲方拒收的，乙方应向甲方支付合同总款</w:t>
      </w:r>
      <w:r>
        <w:rPr>
          <w:rFonts w:ascii="宋体" w:hAnsi="宋体" w:cs="宋体"/>
          <w:color w:val="auto"/>
          <w:sz w:val="22"/>
          <w:highlight w:val="none"/>
          <w:lang w:val="zh-CN"/>
        </w:rPr>
        <w:t>5%</w:t>
      </w:r>
      <w:r>
        <w:rPr>
          <w:rFonts w:hint="eastAsia" w:ascii="宋体" w:hAnsi="宋体" w:cs="宋体"/>
          <w:color w:val="auto"/>
          <w:sz w:val="22"/>
          <w:highlight w:val="none"/>
          <w:lang w:val="zh-CN"/>
        </w:rPr>
        <w:t>的违约金。甲方未拒收的，代理机构发现后将向有关部门反映，并责成乙方按照采购结果提供服务，同时视情给予不退还部分或全部履约保证金处理。</w:t>
      </w:r>
    </w:p>
    <w:p w14:paraId="2C79D8A4">
      <w:pPr>
        <w:adjustRightInd w:val="0"/>
        <w:ind w:firstLine="420"/>
        <w:rPr>
          <w:rFonts w:ascii="宋体" w:hAnsi="宋体" w:cs="宋体"/>
          <w:color w:val="auto"/>
          <w:sz w:val="22"/>
          <w:highlight w:val="none"/>
          <w:lang w:val="zh-CN"/>
        </w:rPr>
      </w:pPr>
      <w:r>
        <w:rPr>
          <w:rFonts w:hint="eastAsia" w:ascii="宋体" w:hAnsi="宋体" w:cs="宋体"/>
          <w:color w:val="auto"/>
          <w:sz w:val="22"/>
          <w:highlight w:val="none"/>
          <w:lang w:val="zh-CN"/>
        </w:rPr>
        <w:t>６、在乙方承诺的或国家规定的质量保证期内（取两者中最长的期限），如经乙方两次整改仍不能达到合同约定的质量标准，乙方应退回全部合同价款，并按第</w:t>
      </w:r>
      <w:r>
        <w:rPr>
          <w:rFonts w:ascii="宋体" w:hAnsi="宋体" w:cs="宋体"/>
          <w:color w:val="auto"/>
          <w:sz w:val="22"/>
          <w:highlight w:val="none"/>
          <w:lang w:val="zh-CN"/>
        </w:rPr>
        <w:t>3</w:t>
      </w:r>
      <w:r>
        <w:rPr>
          <w:rFonts w:hint="eastAsia" w:ascii="宋体" w:hAnsi="宋体" w:cs="宋体"/>
          <w:color w:val="auto"/>
          <w:sz w:val="22"/>
          <w:highlight w:val="none"/>
          <w:lang w:val="zh-CN"/>
        </w:rPr>
        <w:t>款处理，同时，乙方还须赔偿甲方因此遭受的损失。</w:t>
      </w:r>
    </w:p>
    <w:p w14:paraId="18D96913">
      <w:pPr>
        <w:adjustRightInd w:val="0"/>
        <w:ind w:firstLine="420"/>
        <w:rPr>
          <w:rFonts w:ascii="宋体" w:hAnsi="宋体" w:cs="宋体"/>
          <w:color w:val="auto"/>
          <w:sz w:val="22"/>
          <w:highlight w:val="none"/>
          <w:lang w:val="zh-CN"/>
        </w:rPr>
      </w:pPr>
      <w:r>
        <w:rPr>
          <w:rFonts w:ascii="宋体" w:hAnsi="宋体" w:cs="宋体"/>
          <w:color w:val="auto"/>
          <w:sz w:val="22"/>
          <w:highlight w:val="none"/>
          <w:lang w:val="zh-CN"/>
        </w:rPr>
        <w:t>7</w:t>
      </w:r>
      <w:r>
        <w:rPr>
          <w:rFonts w:hint="eastAsia" w:ascii="宋体" w:hAnsi="宋体" w:cs="宋体"/>
          <w:color w:val="auto"/>
          <w:sz w:val="22"/>
          <w:highlight w:val="none"/>
          <w:lang w:val="zh-CN"/>
        </w:rPr>
        <w:t>、乙方未按本合同的规定和“服务承诺”提供伴随服务</w:t>
      </w:r>
      <w:r>
        <w:rPr>
          <w:rFonts w:ascii="宋体" w:hAnsi="宋体" w:cs="宋体"/>
          <w:color w:val="auto"/>
          <w:sz w:val="22"/>
          <w:highlight w:val="none"/>
          <w:lang w:val="zh-CN"/>
        </w:rPr>
        <w:t>/</w:t>
      </w:r>
      <w:r>
        <w:rPr>
          <w:rFonts w:hint="eastAsia" w:ascii="宋体" w:hAnsi="宋体" w:cs="宋体"/>
          <w:color w:val="auto"/>
          <w:sz w:val="22"/>
          <w:highlight w:val="none"/>
          <w:lang w:val="zh-CN"/>
        </w:rPr>
        <w:t>售后服务的，应按合同总价款的</w:t>
      </w:r>
      <w:r>
        <w:rPr>
          <w:rFonts w:ascii="宋体" w:hAnsi="宋体" w:cs="宋体"/>
          <w:color w:val="auto"/>
          <w:sz w:val="22"/>
          <w:highlight w:val="none"/>
          <w:lang w:val="zh-CN"/>
        </w:rPr>
        <w:t>5 %</w:t>
      </w:r>
      <w:r>
        <w:rPr>
          <w:rFonts w:hint="eastAsia" w:ascii="宋体" w:hAnsi="宋体" w:cs="宋体"/>
          <w:color w:val="auto"/>
          <w:sz w:val="22"/>
          <w:highlight w:val="none"/>
          <w:lang w:val="zh-CN"/>
        </w:rPr>
        <w:t>向甲方承担违约责任。</w:t>
      </w:r>
    </w:p>
    <w:p w14:paraId="7982E326">
      <w:pPr>
        <w:adjustRightInd w:val="0"/>
        <w:ind w:firstLine="420"/>
        <w:rPr>
          <w:rFonts w:ascii="宋体" w:hAnsi="宋体" w:cs="宋体"/>
          <w:color w:val="auto"/>
          <w:sz w:val="22"/>
          <w:highlight w:val="none"/>
          <w:lang w:val="zh-CN"/>
        </w:rPr>
      </w:pPr>
      <w:r>
        <w:rPr>
          <w:rFonts w:ascii="宋体" w:hAnsi="宋体" w:cs="宋体"/>
          <w:color w:val="auto"/>
          <w:sz w:val="22"/>
          <w:highlight w:val="none"/>
          <w:lang w:val="zh-CN"/>
        </w:rPr>
        <w:t>8</w:t>
      </w:r>
      <w:r>
        <w:rPr>
          <w:rFonts w:hint="eastAsia" w:ascii="宋体" w:hAnsi="宋体" w:cs="宋体"/>
          <w:color w:val="auto"/>
          <w:sz w:val="22"/>
          <w:highlight w:val="none"/>
          <w:lang w:val="zh-CN"/>
        </w:rPr>
        <w:t>、乙方在承担上述</w:t>
      </w:r>
      <w:r>
        <w:rPr>
          <w:rFonts w:ascii="宋体" w:hAnsi="宋体" w:cs="宋体"/>
          <w:color w:val="auto"/>
          <w:sz w:val="22"/>
          <w:highlight w:val="none"/>
          <w:lang w:val="zh-CN"/>
        </w:rPr>
        <w:t>4-7</w:t>
      </w:r>
      <w:r>
        <w:rPr>
          <w:rFonts w:hint="eastAsia" w:ascii="宋体" w:hAnsi="宋体" w:cs="宋体"/>
          <w:color w:val="auto"/>
          <w:sz w:val="22"/>
          <w:highlight w:val="none"/>
          <w:lang w:val="zh-CN"/>
        </w:rPr>
        <w:t>款一项或多项违约责任后，仍应继续履行合同规定的义务（甲方解除合同的除外）。甲方未能及时追究乙方的任何一项违约责任并不表明甲方放弃追究乙方该项或其他违约责任。</w:t>
      </w:r>
    </w:p>
    <w:p w14:paraId="10AEB5B5">
      <w:pPr>
        <w:adjustRightInd w:val="0"/>
        <w:ind w:firstLine="420"/>
        <w:rPr>
          <w:rFonts w:ascii="宋体" w:hAnsi="宋体" w:cs="宋体"/>
          <w:color w:val="auto"/>
          <w:sz w:val="22"/>
          <w:highlight w:val="none"/>
          <w:lang w:val="zh-CN"/>
        </w:rPr>
      </w:pPr>
      <w:r>
        <w:rPr>
          <w:rFonts w:ascii="宋体" w:hAnsi="宋体" w:cs="宋体"/>
          <w:color w:val="auto"/>
          <w:sz w:val="22"/>
          <w:highlight w:val="none"/>
          <w:lang w:val="zh-CN"/>
        </w:rPr>
        <w:t>9</w:t>
      </w:r>
      <w:r>
        <w:rPr>
          <w:rFonts w:hint="eastAsia" w:ascii="宋体" w:hAnsi="宋体" w:cs="宋体"/>
          <w:color w:val="auto"/>
          <w:sz w:val="22"/>
          <w:highlight w:val="none"/>
          <w:lang w:val="zh-CN"/>
        </w:rPr>
        <w:t>、乙方响应属虚假承诺，或经权威部门监测提供的服务不能满足公开招标文件要求，或是由于乙方的过错造成合同无法继续履行的，乙方履约保证金不予退还外，还应向甲方支付不少于合同总价</w:t>
      </w:r>
      <w:r>
        <w:rPr>
          <w:rFonts w:ascii="宋体" w:hAnsi="宋体" w:cs="宋体"/>
          <w:color w:val="auto"/>
          <w:sz w:val="22"/>
          <w:highlight w:val="none"/>
          <w:lang w:val="zh-CN"/>
        </w:rPr>
        <w:t>30%</w:t>
      </w:r>
      <w:r>
        <w:rPr>
          <w:rFonts w:hint="eastAsia" w:ascii="宋体" w:hAnsi="宋体" w:cs="宋体"/>
          <w:color w:val="auto"/>
          <w:sz w:val="22"/>
          <w:highlight w:val="none"/>
          <w:lang w:val="zh-CN"/>
        </w:rPr>
        <w:t>赔偿金。</w:t>
      </w:r>
    </w:p>
    <w:p w14:paraId="4A6B95E6">
      <w:pPr>
        <w:adjustRightInd w:val="0"/>
        <w:ind w:firstLine="420"/>
        <w:rPr>
          <w:rFonts w:ascii="宋体" w:hAnsi="宋体" w:cs="宋体"/>
          <w:b/>
          <w:bCs/>
          <w:color w:val="auto"/>
          <w:sz w:val="22"/>
          <w:highlight w:val="none"/>
          <w:lang w:val="zh-CN"/>
        </w:rPr>
      </w:pPr>
      <w:r>
        <w:rPr>
          <w:rFonts w:hint="eastAsia" w:ascii="宋体" w:hAnsi="宋体" w:cs="宋体"/>
          <w:b/>
          <w:bCs/>
          <w:color w:val="auto"/>
          <w:sz w:val="22"/>
          <w:highlight w:val="none"/>
          <w:lang w:val="zh-CN"/>
        </w:rPr>
        <w:t>第十条</w:t>
      </w:r>
      <w:r>
        <w:rPr>
          <w:rFonts w:ascii="宋体" w:hAnsi="宋体" w:cs="宋体"/>
          <w:b/>
          <w:bCs/>
          <w:color w:val="auto"/>
          <w:sz w:val="22"/>
          <w:highlight w:val="none"/>
          <w:lang w:val="zh-CN"/>
        </w:rPr>
        <w:t xml:space="preserve"> </w:t>
      </w:r>
      <w:r>
        <w:rPr>
          <w:rFonts w:hint="eastAsia" w:ascii="宋体" w:hAnsi="宋体" w:cs="宋体"/>
          <w:b/>
          <w:bCs/>
          <w:color w:val="auto"/>
          <w:sz w:val="22"/>
          <w:highlight w:val="none"/>
          <w:lang w:val="zh-CN"/>
        </w:rPr>
        <w:t>合同的变更和终止</w:t>
      </w:r>
    </w:p>
    <w:p w14:paraId="099A75A6">
      <w:pPr>
        <w:adjustRightInd w:val="0"/>
        <w:ind w:firstLine="440" w:firstLineChars="200"/>
        <w:rPr>
          <w:rFonts w:ascii="宋体" w:hAnsi="宋体" w:cs="宋体"/>
          <w:color w:val="auto"/>
          <w:sz w:val="22"/>
          <w:highlight w:val="none"/>
          <w:lang w:val="zh-CN"/>
        </w:rPr>
      </w:pPr>
      <w:r>
        <w:rPr>
          <w:rFonts w:ascii="宋体" w:hAnsi="宋体"/>
          <w:color w:val="auto"/>
          <w:sz w:val="22"/>
          <w:highlight w:val="none"/>
          <w:lang w:val="zh-CN"/>
        </w:rPr>
        <w:t>1</w:t>
      </w:r>
      <w:r>
        <w:rPr>
          <w:rFonts w:hint="eastAsia" w:ascii="宋体" w:hAnsi="宋体" w:cs="宋体"/>
          <w:color w:val="auto"/>
          <w:sz w:val="22"/>
          <w:highlight w:val="none"/>
          <w:lang w:val="zh-CN"/>
        </w:rPr>
        <w:t>、本合同一经签订，甲乙双方不得擅自变更、中止或终止合同。</w:t>
      </w:r>
    </w:p>
    <w:p w14:paraId="3D31940D">
      <w:pPr>
        <w:adjustRightInd w:val="0"/>
        <w:ind w:firstLine="440" w:firstLineChars="200"/>
        <w:rPr>
          <w:rFonts w:ascii="宋体" w:hAnsi="宋体" w:cs="宋体"/>
          <w:color w:val="auto"/>
          <w:sz w:val="22"/>
          <w:highlight w:val="none"/>
          <w:lang w:val="zh-CN"/>
        </w:rPr>
      </w:pPr>
      <w:r>
        <w:rPr>
          <w:rFonts w:ascii="宋体" w:hAnsi="宋体"/>
          <w:color w:val="auto"/>
          <w:sz w:val="22"/>
          <w:highlight w:val="none"/>
          <w:lang w:val="zh-CN"/>
        </w:rPr>
        <w:t>2</w:t>
      </w:r>
      <w:r>
        <w:rPr>
          <w:rFonts w:hint="eastAsia" w:ascii="宋体" w:hAnsi="宋体" w:cs="宋体"/>
          <w:color w:val="auto"/>
          <w:sz w:val="22"/>
          <w:highlight w:val="none"/>
          <w:lang w:val="zh-CN"/>
        </w:rPr>
        <w:t>、</w:t>
      </w:r>
      <w:r>
        <w:rPr>
          <w:rFonts w:hint="eastAsia" w:ascii="宋体" w:hAnsi="宋体" w:cs="宋体"/>
          <w:color w:val="auto"/>
          <w:sz w:val="22"/>
          <w:highlight w:val="none"/>
        </w:rPr>
        <w:t>除发生法律规定的不能预见、不能避免并不能克服的客观情况外，甲乙双方不得放弃或拒绝履行合同。乙方放弃或拒绝履行合同，保证金不予退还。</w:t>
      </w:r>
    </w:p>
    <w:p w14:paraId="110F9546">
      <w:pPr>
        <w:adjustRightInd w:val="0"/>
        <w:ind w:firstLine="420"/>
        <w:rPr>
          <w:rFonts w:ascii="宋体" w:hAnsi="宋体" w:cs="宋体"/>
          <w:b/>
          <w:bCs/>
          <w:color w:val="auto"/>
          <w:sz w:val="22"/>
          <w:highlight w:val="none"/>
          <w:lang w:val="zh-CN"/>
        </w:rPr>
      </w:pPr>
      <w:r>
        <w:rPr>
          <w:rFonts w:hint="eastAsia" w:ascii="宋体" w:hAnsi="宋体" w:cs="宋体"/>
          <w:b/>
          <w:bCs/>
          <w:color w:val="auto"/>
          <w:sz w:val="22"/>
          <w:highlight w:val="none"/>
          <w:lang w:val="zh-CN"/>
        </w:rPr>
        <w:t>第十一条</w:t>
      </w:r>
      <w:r>
        <w:rPr>
          <w:rFonts w:ascii="宋体" w:hAnsi="宋体" w:cs="宋体"/>
          <w:b/>
          <w:bCs/>
          <w:color w:val="auto"/>
          <w:sz w:val="22"/>
          <w:highlight w:val="none"/>
          <w:lang w:val="zh-CN"/>
        </w:rPr>
        <w:t xml:space="preserve"> </w:t>
      </w:r>
      <w:r>
        <w:rPr>
          <w:rFonts w:hint="eastAsia" w:ascii="宋体" w:hAnsi="宋体" w:cs="宋体"/>
          <w:b/>
          <w:bCs/>
          <w:color w:val="auto"/>
          <w:sz w:val="22"/>
          <w:highlight w:val="none"/>
          <w:lang w:val="zh-CN"/>
        </w:rPr>
        <w:t>合同的转让</w:t>
      </w:r>
    </w:p>
    <w:p w14:paraId="43FB63F2">
      <w:pPr>
        <w:adjustRightInd w:val="0"/>
        <w:ind w:firstLine="420"/>
        <w:rPr>
          <w:rFonts w:ascii="宋体" w:hAnsi="宋体" w:cs="宋体"/>
          <w:color w:val="auto"/>
          <w:sz w:val="22"/>
          <w:highlight w:val="none"/>
          <w:lang w:val="zh-CN"/>
        </w:rPr>
      </w:pPr>
      <w:r>
        <w:rPr>
          <w:rFonts w:hint="eastAsia" w:ascii="宋体" w:hAnsi="宋体" w:cs="宋体"/>
          <w:color w:val="auto"/>
          <w:sz w:val="22"/>
          <w:highlight w:val="none"/>
          <w:lang w:val="zh-CN"/>
        </w:rPr>
        <w:t>乙方不得擅自部分或全部转让其应履行的合同义务。</w:t>
      </w:r>
    </w:p>
    <w:p w14:paraId="2BB4B6FF">
      <w:pPr>
        <w:adjustRightInd w:val="0"/>
        <w:ind w:firstLine="420"/>
        <w:rPr>
          <w:rFonts w:ascii="宋体" w:hAnsi="宋体" w:cs="宋体"/>
          <w:b/>
          <w:bCs/>
          <w:color w:val="auto"/>
          <w:sz w:val="22"/>
          <w:highlight w:val="none"/>
          <w:lang w:val="zh-CN"/>
        </w:rPr>
      </w:pPr>
      <w:r>
        <w:rPr>
          <w:rFonts w:hint="eastAsia" w:ascii="宋体" w:hAnsi="宋体" w:cs="宋体"/>
          <w:b/>
          <w:bCs/>
          <w:color w:val="auto"/>
          <w:sz w:val="22"/>
          <w:highlight w:val="none"/>
          <w:lang w:val="zh-CN"/>
        </w:rPr>
        <w:t>第十二条</w:t>
      </w:r>
      <w:r>
        <w:rPr>
          <w:rFonts w:ascii="宋体" w:hAnsi="宋体" w:cs="宋体"/>
          <w:b/>
          <w:bCs/>
          <w:color w:val="auto"/>
          <w:sz w:val="22"/>
          <w:highlight w:val="none"/>
          <w:lang w:val="zh-CN"/>
        </w:rPr>
        <w:t xml:space="preserve"> </w:t>
      </w:r>
      <w:r>
        <w:rPr>
          <w:rFonts w:hint="eastAsia" w:ascii="宋体" w:hAnsi="宋体" w:cs="宋体"/>
          <w:b/>
          <w:bCs/>
          <w:color w:val="auto"/>
          <w:sz w:val="22"/>
          <w:highlight w:val="none"/>
          <w:lang w:val="zh-CN"/>
        </w:rPr>
        <w:t>争议的解决</w:t>
      </w:r>
    </w:p>
    <w:p w14:paraId="19FC0580">
      <w:pPr>
        <w:adjustRightInd w:val="0"/>
        <w:ind w:firstLine="420"/>
        <w:rPr>
          <w:rFonts w:ascii="宋体" w:hAnsi="宋体" w:cs="宋体"/>
          <w:color w:val="auto"/>
          <w:sz w:val="22"/>
          <w:highlight w:val="none"/>
          <w:lang w:val="zh-CN"/>
        </w:rPr>
      </w:pPr>
      <w:r>
        <w:rPr>
          <w:rFonts w:ascii="宋体" w:hAnsi="宋体" w:cs="宋体"/>
          <w:color w:val="auto"/>
          <w:sz w:val="22"/>
          <w:highlight w:val="none"/>
          <w:lang w:val="zh-CN"/>
        </w:rPr>
        <w:t>1</w:t>
      </w:r>
      <w:r>
        <w:rPr>
          <w:rFonts w:hint="eastAsia" w:ascii="宋体" w:hAnsi="宋体" w:cs="宋体"/>
          <w:color w:val="auto"/>
          <w:sz w:val="22"/>
          <w:highlight w:val="none"/>
          <w:lang w:val="zh-CN"/>
        </w:rPr>
        <w:t>、因服务的质量问题发生争议的，应当邀请国家认可的质量检测机构对服务质量进行鉴定。符合标准的，鉴定费由甲方承担；不符合质量标准的，鉴定费由乙方承担。</w:t>
      </w:r>
    </w:p>
    <w:p w14:paraId="40C05165">
      <w:pPr>
        <w:adjustRightInd w:val="0"/>
        <w:ind w:firstLine="420"/>
        <w:rPr>
          <w:rFonts w:ascii="宋体" w:hAnsi="宋体" w:cs="宋体"/>
          <w:color w:val="auto"/>
          <w:sz w:val="22"/>
          <w:highlight w:val="none"/>
          <w:lang w:val="zh-CN"/>
        </w:rPr>
      </w:pPr>
      <w:r>
        <w:rPr>
          <w:rFonts w:ascii="宋体" w:hAnsi="宋体" w:cs="宋体"/>
          <w:color w:val="auto"/>
          <w:sz w:val="22"/>
          <w:highlight w:val="none"/>
          <w:lang w:val="zh-CN"/>
        </w:rPr>
        <w:t>2</w:t>
      </w:r>
      <w:r>
        <w:rPr>
          <w:rFonts w:hint="eastAsia" w:ascii="宋体" w:hAnsi="宋体" w:cs="宋体"/>
          <w:color w:val="auto"/>
          <w:sz w:val="22"/>
          <w:highlight w:val="none"/>
          <w:lang w:val="zh-CN"/>
        </w:rPr>
        <w:t>、因履行本合同引起的或与本合同有关的争议，甲、乙双方应首先通过友好协商解决，如果协商不能解决争议，则采取以下第（1）种方式解决争议：</w:t>
      </w:r>
    </w:p>
    <w:p w14:paraId="03B22CF7">
      <w:pPr>
        <w:adjustRightInd w:val="0"/>
        <w:ind w:firstLine="560"/>
        <w:rPr>
          <w:rFonts w:ascii="宋体" w:hAnsi="宋体" w:cs="宋体"/>
          <w:color w:val="auto"/>
          <w:sz w:val="22"/>
          <w:highlight w:val="none"/>
          <w:lang w:val="zh-CN"/>
        </w:rPr>
      </w:pPr>
      <w:r>
        <w:rPr>
          <w:rFonts w:hint="eastAsia" w:ascii="宋体" w:hAnsi="宋体" w:cs="宋体"/>
          <w:color w:val="auto"/>
          <w:sz w:val="22"/>
          <w:highlight w:val="none"/>
          <w:lang w:val="zh-CN"/>
        </w:rPr>
        <w:t>（</w:t>
      </w:r>
      <w:r>
        <w:rPr>
          <w:rFonts w:ascii="宋体" w:hAnsi="宋体" w:cs="宋体"/>
          <w:color w:val="auto"/>
          <w:sz w:val="22"/>
          <w:highlight w:val="none"/>
          <w:lang w:val="zh-CN"/>
        </w:rPr>
        <w:t>1</w:t>
      </w:r>
      <w:r>
        <w:rPr>
          <w:rFonts w:hint="eastAsia" w:ascii="宋体" w:hAnsi="宋体" w:cs="宋体"/>
          <w:color w:val="auto"/>
          <w:sz w:val="22"/>
          <w:highlight w:val="none"/>
          <w:lang w:val="zh-CN"/>
        </w:rPr>
        <w:t>）向甲方所在地有管辖权的人民法院提起诉讼；</w:t>
      </w:r>
    </w:p>
    <w:p w14:paraId="07839B4F">
      <w:pPr>
        <w:adjustRightInd w:val="0"/>
        <w:ind w:firstLine="560"/>
        <w:rPr>
          <w:rFonts w:ascii="宋体" w:hAnsi="宋体" w:cs="宋体"/>
          <w:color w:val="auto"/>
          <w:sz w:val="22"/>
          <w:highlight w:val="none"/>
          <w:lang w:val="zh-CN"/>
        </w:rPr>
      </w:pPr>
      <w:r>
        <w:rPr>
          <w:rFonts w:hint="eastAsia" w:ascii="宋体" w:hAnsi="宋体" w:cs="宋体"/>
          <w:color w:val="auto"/>
          <w:sz w:val="22"/>
          <w:highlight w:val="none"/>
          <w:lang w:val="zh-CN"/>
        </w:rPr>
        <w:t>（</w:t>
      </w:r>
      <w:r>
        <w:rPr>
          <w:rFonts w:ascii="宋体" w:hAnsi="宋体" w:cs="宋体"/>
          <w:color w:val="auto"/>
          <w:sz w:val="22"/>
          <w:highlight w:val="none"/>
          <w:lang w:val="zh-CN"/>
        </w:rPr>
        <w:t>2</w:t>
      </w:r>
      <w:r>
        <w:rPr>
          <w:rFonts w:hint="eastAsia" w:ascii="宋体" w:hAnsi="宋体" w:cs="宋体"/>
          <w:color w:val="auto"/>
          <w:sz w:val="22"/>
          <w:highlight w:val="none"/>
          <w:lang w:val="zh-CN"/>
        </w:rPr>
        <w:t>）向南京仲裁委员会按其仲裁规则申请仲裁。</w:t>
      </w:r>
    </w:p>
    <w:p w14:paraId="48902665">
      <w:pPr>
        <w:adjustRightInd w:val="0"/>
        <w:ind w:firstLine="560"/>
        <w:rPr>
          <w:rFonts w:ascii="宋体" w:hAnsi="宋体" w:cs="宋体"/>
          <w:color w:val="auto"/>
          <w:sz w:val="22"/>
          <w:highlight w:val="none"/>
          <w:lang w:val="zh-CN"/>
        </w:rPr>
      </w:pPr>
      <w:r>
        <w:rPr>
          <w:rFonts w:hint="eastAsia" w:ascii="宋体" w:hAnsi="宋体" w:cs="宋体"/>
          <w:color w:val="auto"/>
          <w:sz w:val="22"/>
          <w:highlight w:val="none"/>
          <w:lang w:val="zh-CN"/>
        </w:rPr>
        <w:t>如没有约定，默认采取第2种方式解决争议。</w:t>
      </w:r>
    </w:p>
    <w:p w14:paraId="5C88E487">
      <w:pPr>
        <w:adjustRightInd w:val="0"/>
        <w:ind w:firstLine="420"/>
        <w:rPr>
          <w:rFonts w:ascii="宋体" w:hAnsi="宋体" w:cs="宋体"/>
          <w:color w:val="auto"/>
          <w:sz w:val="22"/>
          <w:highlight w:val="none"/>
          <w:lang w:val="zh-CN"/>
        </w:rPr>
      </w:pPr>
      <w:r>
        <w:rPr>
          <w:rFonts w:ascii="宋体" w:hAnsi="宋体" w:cs="宋体"/>
          <w:color w:val="auto"/>
          <w:sz w:val="22"/>
          <w:highlight w:val="none"/>
          <w:lang w:val="zh-CN"/>
        </w:rPr>
        <w:t>3</w:t>
      </w:r>
      <w:r>
        <w:rPr>
          <w:rFonts w:hint="eastAsia" w:ascii="宋体" w:hAnsi="宋体" w:cs="宋体"/>
          <w:color w:val="auto"/>
          <w:sz w:val="22"/>
          <w:highlight w:val="none"/>
          <w:lang w:val="zh-CN"/>
        </w:rPr>
        <w:t>、在仲裁期间，本合同应继续履行。</w:t>
      </w:r>
    </w:p>
    <w:p w14:paraId="1193EE28">
      <w:pPr>
        <w:adjustRightInd w:val="0"/>
        <w:ind w:firstLine="420"/>
        <w:rPr>
          <w:rFonts w:ascii="宋体" w:hAnsi="宋体" w:cs="宋体"/>
          <w:b/>
          <w:bCs/>
          <w:color w:val="auto"/>
          <w:sz w:val="22"/>
          <w:highlight w:val="none"/>
          <w:lang w:val="zh-CN"/>
        </w:rPr>
      </w:pPr>
      <w:r>
        <w:rPr>
          <w:rFonts w:hint="eastAsia" w:ascii="宋体" w:hAnsi="宋体" w:cs="宋体"/>
          <w:b/>
          <w:bCs/>
          <w:color w:val="auto"/>
          <w:sz w:val="22"/>
          <w:highlight w:val="none"/>
          <w:lang w:val="zh-CN"/>
        </w:rPr>
        <w:t>第十三条</w:t>
      </w:r>
      <w:r>
        <w:rPr>
          <w:rFonts w:ascii="宋体" w:hAnsi="宋体" w:cs="宋体"/>
          <w:b/>
          <w:bCs/>
          <w:color w:val="auto"/>
          <w:sz w:val="22"/>
          <w:highlight w:val="none"/>
          <w:lang w:val="zh-CN"/>
        </w:rPr>
        <w:t xml:space="preserve"> </w:t>
      </w:r>
      <w:r>
        <w:rPr>
          <w:rFonts w:hint="eastAsia" w:ascii="宋体" w:hAnsi="宋体" w:cs="宋体"/>
          <w:b/>
          <w:bCs/>
          <w:color w:val="auto"/>
          <w:sz w:val="22"/>
          <w:highlight w:val="none"/>
          <w:lang w:val="zh-CN"/>
        </w:rPr>
        <w:t>诚实信用</w:t>
      </w:r>
      <w:r>
        <w:rPr>
          <w:rFonts w:ascii="宋体" w:hAnsi="宋体" w:cs="宋体"/>
          <w:b/>
          <w:bCs/>
          <w:color w:val="auto"/>
          <w:sz w:val="22"/>
          <w:highlight w:val="none"/>
          <w:lang w:val="zh-CN"/>
        </w:rPr>
        <w:t xml:space="preserve"> </w:t>
      </w:r>
    </w:p>
    <w:p w14:paraId="7E334EB3">
      <w:pPr>
        <w:adjustRightInd w:val="0"/>
        <w:ind w:firstLine="420"/>
        <w:rPr>
          <w:rFonts w:ascii="宋体" w:hAnsi="宋体" w:cs="宋体"/>
          <w:color w:val="auto"/>
          <w:sz w:val="22"/>
          <w:highlight w:val="none"/>
          <w:lang w:val="zh-CN"/>
        </w:rPr>
      </w:pPr>
      <w:r>
        <w:rPr>
          <w:rFonts w:hint="eastAsia" w:ascii="宋体" w:hAnsi="宋体" w:cs="宋体"/>
          <w:color w:val="auto"/>
          <w:sz w:val="22"/>
          <w:highlight w:val="none"/>
          <w:lang w:val="zh-CN"/>
        </w:rPr>
        <w:t>乙方应诚实信用，严格按照公开招标文件要求和响应承诺履行合同，不向甲方进行商业贿赂或者提供不正当利益。</w:t>
      </w:r>
    </w:p>
    <w:p w14:paraId="7AF1B81B">
      <w:pPr>
        <w:adjustRightInd w:val="0"/>
        <w:ind w:firstLine="420"/>
        <w:rPr>
          <w:rFonts w:ascii="宋体" w:hAnsi="宋体" w:cs="宋体"/>
          <w:b/>
          <w:bCs/>
          <w:color w:val="auto"/>
          <w:sz w:val="22"/>
          <w:highlight w:val="none"/>
          <w:lang w:val="zh-CN"/>
        </w:rPr>
      </w:pPr>
      <w:r>
        <w:rPr>
          <w:rFonts w:hint="eastAsia" w:ascii="宋体" w:hAnsi="宋体" w:cs="宋体"/>
          <w:b/>
          <w:bCs/>
          <w:color w:val="auto"/>
          <w:sz w:val="22"/>
          <w:highlight w:val="none"/>
          <w:lang w:val="zh-CN"/>
        </w:rPr>
        <w:t>第十四条</w:t>
      </w:r>
      <w:r>
        <w:rPr>
          <w:rFonts w:ascii="宋体" w:hAnsi="宋体" w:cs="宋体"/>
          <w:b/>
          <w:bCs/>
          <w:color w:val="auto"/>
          <w:sz w:val="22"/>
          <w:highlight w:val="none"/>
          <w:lang w:val="zh-CN"/>
        </w:rPr>
        <w:t xml:space="preserve"> </w:t>
      </w:r>
      <w:r>
        <w:rPr>
          <w:rFonts w:hint="eastAsia" w:ascii="宋体" w:hAnsi="宋体" w:cs="宋体"/>
          <w:b/>
          <w:bCs/>
          <w:color w:val="auto"/>
          <w:sz w:val="22"/>
          <w:highlight w:val="none"/>
          <w:lang w:val="zh-CN"/>
        </w:rPr>
        <w:t>合同生效及其他</w:t>
      </w:r>
    </w:p>
    <w:p w14:paraId="4847B5BB">
      <w:pPr>
        <w:adjustRightInd w:val="0"/>
        <w:ind w:firstLine="420"/>
        <w:rPr>
          <w:rFonts w:ascii="宋体" w:hAnsi="宋体" w:cs="宋体"/>
          <w:color w:val="auto"/>
          <w:sz w:val="22"/>
          <w:highlight w:val="none"/>
          <w:lang w:val="zh-CN"/>
        </w:rPr>
      </w:pPr>
      <w:r>
        <w:rPr>
          <w:rFonts w:ascii="宋体" w:hAnsi="宋体" w:cs="宋体"/>
          <w:color w:val="auto"/>
          <w:sz w:val="22"/>
          <w:highlight w:val="none"/>
          <w:lang w:val="zh-CN"/>
        </w:rPr>
        <w:t>1</w:t>
      </w:r>
      <w:r>
        <w:rPr>
          <w:rFonts w:hint="eastAsia" w:ascii="宋体" w:hAnsi="宋体" w:cs="宋体"/>
          <w:color w:val="auto"/>
          <w:sz w:val="22"/>
          <w:highlight w:val="none"/>
          <w:lang w:val="zh-CN"/>
        </w:rPr>
        <w:t>、本合同自签订之日起生效。</w:t>
      </w:r>
    </w:p>
    <w:p w14:paraId="46B23738">
      <w:pPr>
        <w:adjustRightInd w:val="0"/>
        <w:ind w:firstLine="420"/>
        <w:rPr>
          <w:rFonts w:ascii="宋体" w:hAnsi="宋体" w:cs="宋体"/>
          <w:color w:val="auto"/>
          <w:sz w:val="22"/>
          <w:highlight w:val="none"/>
          <w:lang w:val="zh-CN"/>
        </w:rPr>
      </w:pPr>
      <w:r>
        <w:rPr>
          <w:rFonts w:ascii="宋体" w:hAnsi="宋体" w:cs="宋体"/>
          <w:color w:val="auto"/>
          <w:sz w:val="22"/>
          <w:highlight w:val="none"/>
          <w:lang w:val="zh-CN"/>
        </w:rPr>
        <w:t>2</w:t>
      </w:r>
      <w:r>
        <w:rPr>
          <w:rFonts w:hint="eastAsia" w:ascii="宋体" w:hAnsi="宋体" w:cs="宋体"/>
          <w:color w:val="auto"/>
          <w:sz w:val="22"/>
          <w:highlight w:val="none"/>
          <w:lang w:val="zh-CN"/>
        </w:rPr>
        <w:t>、本合同一式四份，甲乙双方各执贰份。</w:t>
      </w:r>
    </w:p>
    <w:p w14:paraId="4D3A35FE">
      <w:pPr>
        <w:adjustRightInd w:val="0"/>
        <w:ind w:firstLine="420"/>
        <w:rPr>
          <w:rFonts w:ascii="宋体" w:hAnsi="宋体" w:cs="宋体"/>
          <w:color w:val="auto"/>
          <w:sz w:val="22"/>
          <w:highlight w:val="none"/>
          <w:lang w:val="zh-CN"/>
        </w:rPr>
      </w:pPr>
      <w:r>
        <w:rPr>
          <w:rFonts w:ascii="宋体" w:hAnsi="宋体" w:cs="宋体"/>
          <w:color w:val="auto"/>
          <w:sz w:val="22"/>
          <w:highlight w:val="none"/>
          <w:lang w:val="zh-CN"/>
        </w:rPr>
        <w:t>3</w:t>
      </w:r>
      <w:r>
        <w:rPr>
          <w:rFonts w:hint="eastAsia" w:ascii="宋体" w:hAnsi="宋体" w:cs="宋体"/>
          <w:color w:val="auto"/>
          <w:sz w:val="22"/>
          <w:highlight w:val="none"/>
          <w:lang w:val="zh-CN"/>
        </w:rPr>
        <w:t>、本合同应按照中华人民共和国的现行法律进行解释。</w:t>
      </w:r>
    </w:p>
    <w:p w14:paraId="57B6B824">
      <w:pPr>
        <w:adjustRightInd w:val="0"/>
        <w:ind w:firstLine="420"/>
        <w:rPr>
          <w:rFonts w:ascii="宋体" w:hAnsi="宋体" w:cs="宋体"/>
          <w:color w:val="auto"/>
          <w:sz w:val="22"/>
          <w:highlight w:val="none"/>
          <w:lang w:val="zh-CN"/>
        </w:rPr>
      </w:pPr>
    </w:p>
    <w:tbl>
      <w:tblPr>
        <w:tblStyle w:val="25"/>
        <w:tblW w:w="0" w:type="auto"/>
        <w:tblInd w:w="-108" w:type="dxa"/>
        <w:tblLayout w:type="fixed"/>
        <w:tblCellMar>
          <w:top w:w="0" w:type="dxa"/>
          <w:left w:w="0" w:type="dxa"/>
          <w:bottom w:w="0" w:type="dxa"/>
          <w:right w:w="0" w:type="dxa"/>
        </w:tblCellMar>
      </w:tblPr>
      <w:tblGrid>
        <w:gridCol w:w="4643"/>
        <w:gridCol w:w="4643"/>
      </w:tblGrid>
      <w:tr w14:paraId="114CAA11">
        <w:tblPrEx>
          <w:tblCellMar>
            <w:top w:w="0" w:type="dxa"/>
            <w:left w:w="0" w:type="dxa"/>
            <w:bottom w:w="0" w:type="dxa"/>
            <w:right w:w="0" w:type="dxa"/>
          </w:tblCellMar>
        </w:tblPrEx>
        <w:tc>
          <w:tcPr>
            <w:tcW w:w="4643" w:type="dxa"/>
            <w:tcBorders>
              <w:top w:val="nil"/>
              <w:left w:val="nil"/>
              <w:bottom w:val="nil"/>
              <w:right w:val="nil"/>
            </w:tcBorders>
          </w:tcPr>
          <w:p w14:paraId="56FC0238">
            <w:pPr>
              <w:adjustRightInd w:val="0"/>
              <w:rPr>
                <w:rFonts w:ascii="宋体" w:hAnsi="宋体" w:cs="宋体"/>
                <w:color w:val="auto"/>
                <w:sz w:val="22"/>
                <w:highlight w:val="none"/>
                <w:lang w:val="zh-CN"/>
              </w:rPr>
            </w:pPr>
            <w:r>
              <w:rPr>
                <w:rFonts w:hint="eastAsia" w:ascii="宋体" w:hAnsi="宋体" w:cs="宋体"/>
                <w:color w:val="auto"/>
                <w:sz w:val="22"/>
                <w:highlight w:val="none"/>
                <w:lang w:val="zh-CN"/>
              </w:rPr>
              <w:t>甲方（采购人）：（盖章）</w:t>
            </w:r>
          </w:p>
        </w:tc>
        <w:tc>
          <w:tcPr>
            <w:tcW w:w="4643" w:type="dxa"/>
            <w:tcBorders>
              <w:top w:val="nil"/>
              <w:left w:val="nil"/>
              <w:bottom w:val="nil"/>
              <w:right w:val="nil"/>
            </w:tcBorders>
          </w:tcPr>
          <w:p w14:paraId="0404A88A">
            <w:pPr>
              <w:adjustRightInd w:val="0"/>
              <w:rPr>
                <w:rFonts w:ascii="宋体" w:hAnsi="宋体" w:cs="宋体"/>
                <w:color w:val="auto"/>
                <w:sz w:val="22"/>
                <w:highlight w:val="none"/>
                <w:lang w:val="zh-CN"/>
              </w:rPr>
            </w:pPr>
            <w:r>
              <w:rPr>
                <w:rFonts w:hint="eastAsia" w:ascii="宋体" w:hAnsi="宋体" w:cs="宋体"/>
                <w:color w:val="auto"/>
                <w:sz w:val="22"/>
                <w:highlight w:val="none"/>
                <w:lang w:val="zh-CN"/>
              </w:rPr>
              <w:t>乙方（供应商）：（盖章）</w:t>
            </w:r>
          </w:p>
        </w:tc>
      </w:tr>
      <w:tr w14:paraId="08168706">
        <w:tblPrEx>
          <w:tblCellMar>
            <w:top w:w="0" w:type="dxa"/>
            <w:left w:w="0" w:type="dxa"/>
            <w:bottom w:w="0" w:type="dxa"/>
            <w:right w:w="0" w:type="dxa"/>
          </w:tblCellMar>
        </w:tblPrEx>
        <w:tc>
          <w:tcPr>
            <w:tcW w:w="4643" w:type="dxa"/>
            <w:tcBorders>
              <w:top w:val="nil"/>
              <w:left w:val="nil"/>
              <w:bottom w:val="nil"/>
              <w:right w:val="nil"/>
            </w:tcBorders>
          </w:tcPr>
          <w:p w14:paraId="641745AD">
            <w:pPr>
              <w:adjustRightInd w:val="0"/>
              <w:rPr>
                <w:rFonts w:ascii="宋体" w:hAnsi="宋体" w:cs="宋体"/>
                <w:color w:val="auto"/>
                <w:sz w:val="22"/>
                <w:highlight w:val="none"/>
              </w:rPr>
            </w:pPr>
            <w:r>
              <w:rPr>
                <w:rFonts w:hint="eastAsia" w:ascii="宋体" w:hAnsi="宋体" w:cs="宋体"/>
                <w:color w:val="auto"/>
                <w:sz w:val="22"/>
                <w:highlight w:val="none"/>
                <w:lang w:val="zh-CN"/>
              </w:rPr>
              <w:t>代表人：</w:t>
            </w:r>
          </w:p>
        </w:tc>
        <w:tc>
          <w:tcPr>
            <w:tcW w:w="4643" w:type="dxa"/>
            <w:tcBorders>
              <w:top w:val="nil"/>
              <w:left w:val="nil"/>
              <w:bottom w:val="nil"/>
              <w:right w:val="nil"/>
            </w:tcBorders>
          </w:tcPr>
          <w:p w14:paraId="03B4BE33">
            <w:pPr>
              <w:adjustRightInd w:val="0"/>
              <w:rPr>
                <w:rFonts w:ascii="宋体" w:hAnsi="宋体" w:cs="宋体"/>
                <w:color w:val="auto"/>
                <w:sz w:val="22"/>
                <w:highlight w:val="none"/>
              </w:rPr>
            </w:pPr>
            <w:r>
              <w:rPr>
                <w:rFonts w:hint="eastAsia" w:ascii="宋体" w:hAnsi="宋体" w:cs="宋体"/>
                <w:color w:val="auto"/>
                <w:sz w:val="22"/>
                <w:highlight w:val="none"/>
                <w:lang w:val="zh-CN"/>
              </w:rPr>
              <w:t>代表人</w:t>
            </w:r>
            <w:r>
              <w:rPr>
                <w:rFonts w:hint="eastAsia" w:ascii="宋体" w:hAnsi="宋体" w:cs="宋体"/>
                <w:color w:val="auto"/>
                <w:sz w:val="22"/>
                <w:highlight w:val="none"/>
              </w:rPr>
              <w:t>：</w:t>
            </w:r>
          </w:p>
        </w:tc>
      </w:tr>
      <w:tr w14:paraId="0BB9F42A">
        <w:tblPrEx>
          <w:tblCellMar>
            <w:top w:w="0" w:type="dxa"/>
            <w:left w:w="0" w:type="dxa"/>
            <w:bottom w:w="0" w:type="dxa"/>
            <w:right w:w="0" w:type="dxa"/>
          </w:tblCellMar>
        </w:tblPrEx>
        <w:tc>
          <w:tcPr>
            <w:tcW w:w="4643" w:type="dxa"/>
            <w:tcBorders>
              <w:top w:val="nil"/>
              <w:left w:val="nil"/>
              <w:bottom w:val="nil"/>
              <w:right w:val="nil"/>
            </w:tcBorders>
          </w:tcPr>
          <w:p w14:paraId="67AEEEF8">
            <w:pPr>
              <w:adjustRightInd w:val="0"/>
              <w:rPr>
                <w:rFonts w:ascii="宋体" w:hAnsi="宋体" w:cs="宋体"/>
                <w:color w:val="auto"/>
                <w:sz w:val="22"/>
                <w:highlight w:val="none"/>
              </w:rPr>
            </w:pPr>
            <w:r>
              <w:rPr>
                <w:rFonts w:hint="eastAsia" w:ascii="宋体" w:hAnsi="宋体" w:cs="宋体"/>
                <w:color w:val="auto"/>
                <w:sz w:val="22"/>
                <w:highlight w:val="none"/>
                <w:lang w:val="zh-CN"/>
              </w:rPr>
              <w:t>电</w:t>
            </w:r>
            <w:r>
              <w:rPr>
                <w:rFonts w:ascii="宋体" w:hAnsi="宋体"/>
                <w:color w:val="auto"/>
                <w:sz w:val="22"/>
                <w:highlight w:val="none"/>
              </w:rPr>
              <w:t xml:space="preserve">    </w:t>
            </w:r>
            <w:r>
              <w:rPr>
                <w:rFonts w:hint="eastAsia" w:ascii="宋体" w:hAnsi="宋体" w:cs="宋体"/>
                <w:color w:val="auto"/>
                <w:sz w:val="22"/>
                <w:highlight w:val="none"/>
                <w:lang w:val="zh-CN"/>
              </w:rPr>
              <w:t>话：</w:t>
            </w:r>
          </w:p>
        </w:tc>
        <w:tc>
          <w:tcPr>
            <w:tcW w:w="4643" w:type="dxa"/>
            <w:tcBorders>
              <w:top w:val="nil"/>
              <w:left w:val="nil"/>
              <w:bottom w:val="nil"/>
              <w:right w:val="nil"/>
            </w:tcBorders>
          </w:tcPr>
          <w:p w14:paraId="502AFB19">
            <w:pPr>
              <w:adjustRightInd w:val="0"/>
              <w:rPr>
                <w:rFonts w:ascii="宋体" w:hAnsi="宋体" w:cs="宋体"/>
                <w:color w:val="auto"/>
                <w:sz w:val="22"/>
                <w:highlight w:val="none"/>
              </w:rPr>
            </w:pPr>
            <w:r>
              <w:rPr>
                <w:rFonts w:hint="eastAsia" w:ascii="宋体" w:hAnsi="宋体" w:cs="宋体"/>
                <w:color w:val="auto"/>
                <w:sz w:val="22"/>
                <w:highlight w:val="none"/>
                <w:lang w:val="zh-CN"/>
              </w:rPr>
              <w:t>电</w:t>
            </w:r>
            <w:r>
              <w:rPr>
                <w:rFonts w:ascii="宋体" w:hAnsi="宋体"/>
                <w:color w:val="auto"/>
                <w:sz w:val="22"/>
                <w:highlight w:val="none"/>
              </w:rPr>
              <w:t xml:space="preserve">    </w:t>
            </w:r>
            <w:r>
              <w:rPr>
                <w:rFonts w:hint="eastAsia" w:ascii="宋体" w:hAnsi="宋体" w:cs="宋体"/>
                <w:color w:val="auto"/>
                <w:sz w:val="22"/>
                <w:highlight w:val="none"/>
                <w:lang w:val="zh-CN"/>
              </w:rPr>
              <w:t>话：</w:t>
            </w:r>
          </w:p>
        </w:tc>
      </w:tr>
      <w:tr w14:paraId="19749B4D">
        <w:tblPrEx>
          <w:tblCellMar>
            <w:top w:w="0" w:type="dxa"/>
            <w:left w:w="0" w:type="dxa"/>
            <w:bottom w:w="0" w:type="dxa"/>
            <w:right w:w="0" w:type="dxa"/>
          </w:tblCellMar>
        </w:tblPrEx>
        <w:tc>
          <w:tcPr>
            <w:tcW w:w="4643" w:type="dxa"/>
            <w:tcBorders>
              <w:top w:val="nil"/>
              <w:left w:val="nil"/>
              <w:bottom w:val="nil"/>
              <w:right w:val="nil"/>
            </w:tcBorders>
          </w:tcPr>
          <w:p w14:paraId="2FAAB44C">
            <w:pPr>
              <w:adjustRightInd w:val="0"/>
              <w:rPr>
                <w:rFonts w:ascii="宋体" w:hAnsi="宋体" w:cs="宋体"/>
                <w:color w:val="auto"/>
                <w:sz w:val="22"/>
                <w:highlight w:val="none"/>
              </w:rPr>
            </w:pPr>
            <w:r>
              <w:rPr>
                <w:rFonts w:hint="eastAsia" w:ascii="宋体" w:hAnsi="宋体" w:cs="宋体"/>
                <w:color w:val="auto"/>
                <w:sz w:val="22"/>
                <w:highlight w:val="none"/>
                <w:lang w:val="zh-CN"/>
              </w:rPr>
              <w:t>开户银行：</w:t>
            </w:r>
          </w:p>
        </w:tc>
        <w:tc>
          <w:tcPr>
            <w:tcW w:w="4643" w:type="dxa"/>
            <w:tcBorders>
              <w:top w:val="nil"/>
              <w:left w:val="nil"/>
              <w:bottom w:val="nil"/>
              <w:right w:val="nil"/>
            </w:tcBorders>
          </w:tcPr>
          <w:p w14:paraId="0EF2C569">
            <w:pPr>
              <w:adjustRightInd w:val="0"/>
              <w:rPr>
                <w:rFonts w:ascii="宋体" w:hAnsi="宋体" w:cs="宋体"/>
                <w:color w:val="auto"/>
                <w:sz w:val="22"/>
                <w:highlight w:val="none"/>
              </w:rPr>
            </w:pPr>
            <w:r>
              <w:rPr>
                <w:rFonts w:hint="eastAsia" w:ascii="宋体" w:hAnsi="宋体" w:cs="宋体"/>
                <w:color w:val="auto"/>
                <w:sz w:val="22"/>
                <w:highlight w:val="none"/>
                <w:lang w:val="zh-CN"/>
              </w:rPr>
              <w:t>开户银行：</w:t>
            </w:r>
          </w:p>
        </w:tc>
      </w:tr>
      <w:tr w14:paraId="32604DC9">
        <w:tblPrEx>
          <w:tblCellMar>
            <w:top w:w="0" w:type="dxa"/>
            <w:left w:w="0" w:type="dxa"/>
            <w:bottom w:w="0" w:type="dxa"/>
            <w:right w:w="0" w:type="dxa"/>
          </w:tblCellMar>
        </w:tblPrEx>
        <w:tc>
          <w:tcPr>
            <w:tcW w:w="4643" w:type="dxa"/>
            <w:tcBorders>
              <w:top w:val="nil"/>
              <w:left w:val="nil"/>
              <w:bottom w:val="nil"/>
              <w:right w:val="nil"/>
            </w:tcBorders>
          </w:tcPr>
          <w:p w14:paraId="134E4022">
            <w:pPr>
              <w:adjustRightInd w:val="0"/>
              <w:rPr>
                <w:rFonts w:ascii="宋体" w:hAnsi="宋体" w:cs="宋体"/>
                <w:color w:val="auto"/>
                <w:sz w:val="22"/>
                <w:highlight w:val="none"/>
              </w:rPr>
            </w:pPr>
            <w:r>
              <w:rPr>
                <w:rFonts w:hint="eastAsia" w:ascii="宋体" w:hAnsi="宋体" w:cs="宋体"/>
                <w:color w:val="auto"/>
                <w:sz w:val="22"/>
                <w:highlight w:val="none"/>
                <w:lang w:val="zh-CN"/>
              </w:rPr>
              <w:t>帐</w:t>
            </w:r>
            <w:r>
              <w:rPr>
                <w:rFonts w:ascii="宋体" w:hAnsi="宋体"/>
                <w:color w:val="auto"/>
                <w:sz w:val="22"/>
                <w:highlight w:val="none"/>
              </w:rPr>
              <w:t xml:space="preserve">    </w:t>
            </w:r>
            <w:r>
              <w:rPr>
                <w:rFonts w:hint="eastAsia" w:ascii="宋体" w:hAnsi="宋体" w:cs="宋体"/>
                <w:color w:val="auto"/>
                <w:sz w:val="22"/>
                <w:highlight w:val="none"/>
                <w:lang w:val="zh-CN"/>
              </w:rPr>
              <w:t>号：</w:t>
            </w:r>
          </w:p>
        </w:tc>
        <w:tc>
          <w:tcPr>
            <w:tcW w:w="4643" w:type="dxa"/>
            <w:tcBorders>
              <w:top w:val="nil"/>
              <w:left w:val="nil"/>
              <w:bottom w:val="nil"/>
              <w:right w:val="nil"/>
            </w:tcBorders>
          </w:tcPr>
          <w:p w14:paraId="1E053A74">
            <w:pPr>
              <w:adjustRightInd w:val="0"/>
              <w:rPr>
                <w:rFonts w:ascii="宋体" w:hAnsi="宋体" w:cs="宋体"/>
                <w:color w:val="auto"/>
                <w:sz w:val="22"/>
                <w:highlight w:val="none"/>
                <w:lang w:val="zh-CN"/>
              </w:rPr>
            </w:pPr>
            <w:r>
              <w:rPr>
                <w:rFonts w:hint="eastAsia" w:ascii="宋体" w:hAnsi="宋体" w:cs="宋体"/>
                <w:color w:val="auto"/>
                <w:sz w:val="22"/>
                <w:highlight w:val="none"/>
                <w:lang w:val="zh-CN"/>
              </w:rPr>
              <w:t>帐</w:t>
            </w:r>
            <w:r>
              <w:rPr>
                <w:rFonts w:ascii="宋体" w:hAnsi="宋体"/>
                <w:color w:val="auto"/>
                <w:sz w:val="22"/>
                <w:highlight w:val="none"/>
              </w:rPr>
              <w:t xml:space="preserve">    </w:t>
            </w:r>
            <w:r>
              <w:rPr>
                <w:rFonts w:hint="eastAsia" w:ascii="宋体" w:hAnsi="宋体" w:cs="宋体"/>
                <w:color w:val="auto"/>
                <w:sz w:val="22"/>
                <w:highlight w:val="none"/>
                <w:lang w:val="zh-CN"/>
              </w:rPr>
              <w:t>号：</w:t>
            </w:r>
          </w:p>
          <w:p w14:paraId="7D9D7BA5">
            <w:pPr>
              <w:adjustRightInd w:val="0"/>
              <w:rPr>
                <w:rFonts w:ascii="宋体" w:hAnsi="宋体" w:cs="宋体"/>
                <w:color w:val="auto"/>
                <w:sz w:val="22"/>
                <w:highlight w:val="none"/>
                <w:lang w:val="zh-CN"/>
              </w:rPr>
            </w:pPr>
          </w:p>
        </w:tc>
      </w:tr>
      <w:bookmarkEnd w:id="30"/>
    </w:tbl>
    <w:p w14:paraId="54AE064C">
      <w:pPr>
        <w:autoSpaceDE w:val="0"/>
        <w:autoSpaceDN w:val="0"/>
        <w:adjustRightInd w:val="0"/>
        <w:spacing w:line="360" w:lineRule="auto"/>
        <w:ind w:left="560"/>
        <w:jc w:val="center"/>
        <w:outlineLvl w:val="0"/>
        <w:rPr>
          <w:rFonts w:ascii="宋体" w:hAnsi="宋体" w:cs="宋体"/>
          <w:b/>
          <w:bCs/>
          <w:color w:val="auto"/>
          <w:sz w:val="36"/>
          <w:szCs w:val="36"/>
          <w:highlight w:val="none"/>
          <w:lang w:val="zh-CN"/>
        </w:rPr>
      </w:pPr>
    </w:p>
    <w:p w14:paraId="1FD7DBB3">
      <w:pPr>
        <w:rPr>
          <w:rFonts w:ascii="宋体" w:hAnsi="宋体" w:eastAsia="宋体" w:cs="宋体"/>
          <w:color w:val="auto"/>
          <w:sz w:val="36"/>
          <w:highlight w:val="none"/>
        </w:rPr>
      </w:pPr>
    </w:p>
    <w:p w14:paraId="18CC1DDF">
      <w:pPr>
        <w:rPr>
          <w:rFonts w:ascii="宋体" w:hAnsi="宋体" w:eastAsia="宋体" w:cs="宋体"/>
          <w:color w:val="auto"/>
          <w:sz w:val="36"/>
          <w:highlight w:val="none"/>
        </w:rPr>
      </w:pPr>
    </w:p>
    <w:p w14:paraId="19705108">
      <w:pPr>
        <w:rPr>
          <w:rFonts w:ascii="宋体" w:hAnsi="宋体" w:eastAsia="宋体" w:cs="宋体"/>
          <w:color w:val="auto"/>
          <w:sz w:val="36"/>
          <w:highlight w:val="none"/>
        </w:rPr>
      </w:pPr>
    </w:p>
    <w:p w14:paraId="46ABA0AD">
      <w:pPr>
        <w:jc w:val="both"/>
        <w:rPr>
          <w:rFonts w:ascii="仿宋" w:hAnsi="仿宋" w:eastAsia="仿宋" w:cs="仿宋"/>
          <w:b/>
          <w:color w:val="auto"/>
          <w:highlight w:val="none"/>
        </w:rPr>
      </w:pPr>
      <w:r>
        <w:rPr>
          <w:rFonts w:hint="eastAsia" w:ascii="仿宋" w:hAnsi="仿宋" w:eastAsia="仿宋" w:cs="仿宋"/>
          <w:b/>
          <w:color w:val="auto"/>
          <w:highlight w:val="none"/>
        </w:rPr>
        <w:t>合同附件、鉴定质量考核表</w:t>
      </w:r>
    </w:p>
    <w:tbl>
      <w:tblPr>
        <w:tblStyle w:val="25"/>
        <w:tblW w:w="10080" w:type="dxa"/>
        <w:tblInd w:w="93" w:type="dxa"/>
        <w:tblLayout w:type="autofit"/>
        <w:tblCellMar>
          <w:top w:w="0" w:type="dxa"/>
          <w:left w:w="108" w:type="dxa"/>
          <w:bottom w:w="0" w:type="dxa"/>
          <w:right w:w="108" w:type="dxa"/>
        </w:tblCellMar>
      </w:tblPr>
      <w:tblGrid>
        <w:gridCol w:w="890"/>
        <w:gridCol w:w="1139"/>
        <w:gridCol w:w="1649"/>
        <w:gridCol w:w="4223"/>
        <w:gridCol w:w="2179"/>
      </w:tblGrid>
      <w:tr w14:paraId="6E9D857A">
        <w:tblPrEx>
          <w:tblCellMar>
            <w:top w:w="0" w:type="dxa"/>
            <w:left w:w="108" w:type="dxa"/>
            <w:bottom w:w="0" w:type="dxa"/>
            <w:right w:w="108" w:type="dxa"/>
          </w:tblCellMar>
        </w:tblPrEx>
        <w:trPr>
          <w:trHeight w:val="465" w:hRule="atLeast"/>
        </w:trPr>
        <w:tc>
          <w:tcPr>
            <w:tcW w:w="10080" w:type="dxa"/>
            <w:gridSpan w:val="5"/>
            <w:tcBorders>
              <w:top w:val="nil"/>
              <w:left w:val="nil"/>
              <w:bottom w:val="nil"/>
              <w:right w:val="nil"/>
            </w:tcBorders>
            <w:shd w:val="clear" w:color="auto" w:fill="auto"/>
            <w:noWrap/>
            <w:vAlign w:val="center"/>
          </w:tcPr>
          <w:p w14:paraId="5AE48E29">
            <w:pPr>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供应商考核表</w:t>
            </w:r>
          </w:p>
        </w:tc>
      </w:tr>
      <w:tr w14:paraId="0B1EFF76">
        <w:tblPrEx>
          <w:tblCellMar>
            <w:top w:w="0" w:type="dxa"/>
            <w:left w:w="108" w:type="dxa"/>
            <w:bottom w:w="0" w:type="dxa"/>
            <w:right w:w="108" w:type="dxa"/>
          </w:tblCellMar>
        </w:tblPrEx>
        <w:trPr>
          <w:trHeight w:val="720" w:hRule="atLeast"/>
        </w:trPr>
        <w:tc>
          <w:tcPr>
            <w:tcW w:w="202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650A166">
            <w:pPr>
              <w:jc w:val="center"/>
              <w:rPr>
                <w:rFonts w:ascii="仿宋" w:hAnsi="仿宋" w:eastAsia="仿宋" w:cs="仿宋"/>
                <w:color w:val="auto"/>
                <w:sz w:val="24"/>
                <w:szCs w:val="24"/>
                <w:highlight w:val="none"/>
              </w:rPr>
            </w:pPr>
            <w:r>
              <w:rPr>
                <w:rStyle w:val="243"/>
                <w:rFonts w:ascii="仿宋" w:hAnsi="仿宋" w:eastAsia="仿宋" w:cs="仿宋"/>
                <w:color w:val="auto"/>
                <w:highlight w:val="none"/>
              </w:rPr>
              <w:t>供应商名称</w:t>
            </w:r>
          </w:p>
        </w:tc>
        <w:tc>
          <w:tcPr>
            <w:tcW w:w="0" w:type="auto"/>
            <w:gridSpan w:val="3"/>
            <w:tcBorders>
              <w:top w:val="single" w:color="000000" w:sz="8" w:space="0"/>
              <w:left w:val="nil"/>
              <w:bottom w:val="single" w:color="000000" w:sz="8" w:space="0"/>
              <w:right w:val="single" w:color="000000" w:sz="8" w:space="0"/>
            </w:tcBorders>
            <w:shd w:val="clear" w:color="auto" w:fill="auto"/>
            <w:noWrap/>
            <w:vAlign w:val="center"/>
          </w:tcPr>
          <w:p w14:paraId="5A345AD4">
            <w:pPr>
              <w:jc w:val="both"/>
              <w:rPr>
                <w:rFonts w:ascii="仿宋" w:hAnsi="仿宋" w:eastAsia="仿宋" w:cs="仿宋"/>
                <w:color w:val="auto"/>
                <w:sz w:val="22"/>
                <w:highlight w:val="none"/>
              </w:rPr>
            </w:pPr>
          </w:p>
        </w:tc>
      </w:tr>
      <w:tr w14:paraId="3BC268FC">
        <w:tblPrEx>
          <w:tblCellMar>
            <w:top w:w="0" w:type="dxa"/>
            <w:left w:w="108" w:type="dxa"/>
            <w:bottom w:w="0" w:type="dxa"/>
            <w:right w:w="108" w:type="dxa"/>
          </w:tblCellMar>
        </w:tblPrEx>
        <w:trPr>
          <w:trHeight w:val="720" w:hRule="atLeast"/>
        </w:trPr>
        <w:tc>
          <w:tcPr>
            <w:tcW w:w="2029" w:type="dxa"/>
            <w:gridSpan w:val="2"/>
            <w:tcBorders>
              <w:top w:val="nil"/>
              <w:left w:val="single" w:color="000000" w:sz="8" w:space="0"/>
              <w:bottom w:val="single" w:color="000000" w:sz="8" w:space="0"/>
              <w:right w:val="single" w:color="000000" w:sz="8" w:space="0"/>
            </w:tcBorders>
            <w:shd w:val="clear" w:color="auto" w:fill="auto"/>
            <w:vAlign w:val="center"/>
          </w:tcPr>
          <w:p w14:paraId="60000F3A">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考核起止日期</w:t>
            </w:r>
          </w:p>
        </w:tc>
        <w:tc>
          <w:tcPr>
            <w:tcW w:w="0" w:type="auto"/>
            <w:gridSpan w:val="3"/>
            <w:tcBorders>
              <w:top w:val="nil"/>
              <w:left w:val="nil"/>
              <w:bottom w:val="single" w:color="000000" w:sz="8" w:space="0"/>
              <w:right w:val="single" w:color="000000" w:sz="8" w:space="0"/>
            </w:tcBorders>
            <w:shd w:val="clear" w:color="auto" w:fill="auto"/>
            <w:noWrap/>
            <w:vAlign w:val="center"/>
          </w:tcPr>
          <w:p w14:paraId="76A4D4C6">
            <w:pPr>
              <w:jc w:val="both"/>
              <w:rPr>
                <w:rFonts w:ascii="仿宋" w:hAnsi="仿宋" w:eastAsia="仿宋" w:cs="仿宋"/>
                <w:color w:val="auto"/>
                <w:sz w:val="22"/>
                <w:highlight w:val="none"/>
              </w:rPr>
            </w:pPr>
          </w:p>
        </w:tc>
      </w:tr>
      <w:tr w14:paraId="4D9236EF">
        <w:tblPrEx>
          <w:tblCellMar>
            <w:top w:w="0" w:type="dxa"/>
            <w:left w:w="108" w:type="dxa"/>
            <w:bottom w:w="0" w:type="dxa"/>
            <w:right w:w="108" w:type="dxa"/>
          </w:tblCellMar>
        </w:tblPrEx>
        <w:trPr>
          <w:trHeight w:val="720" w:hRule="atLeast"/>
        </w:trPr>
        <w:tc>
          <w:tcPr>
            <w:tcW w:w="2029" w:type="dxa"/>
            <w:gridSpan w:val="2"/>
            <w:tcBorders>
              <w:top w:val="nil"/>
              <w:left w:val="single" w:color="000000" w:sz="8" w:space="0"/>
              <w:bottom w:val="single" w:color="000000" w:sz="8" w:space="0"/>
              <w:right w:val="single" w:color="000000" w:sz="8" w:space="0"/>
            </w:tcBorders>
            <w:shd w:val="clear" w:color="auto" w:fill="auto"/>
            <w:vAlign w:val="center"/>
          </w:tcPr>
          <w:p w14:paraId="18819177">
            <w:pPr>
              <w:jc w:val="center"/>
              <w:rPr>
                <w:rFonts w:ascii="仿宋" w:hAnsi="仿宋" w:eastAsia="仿宋" w:cs="仿宋"/>
                <w:color w:val="auto"/>
                <w:sz w:val="24"/>
                <w:szCs w:val="24"/>
                <w:highlight w:val="none"/>
              </w:rPr>
            </w:pPr>
            <w:r>
              <w:rPr>
                <w:rStyle w:val="243"/>
                <w:rFonts w:ascii="仿宋" w:hAnsi="仿宋" w:eastAsia="仿宋" w:cs="仿宋"/>
                <w:color w:val="auto"/>
                <w:highlight w:val="none"/>
              </w:rPr>
              <w:t>服务项目</w:t>
            </w:r>
          </w:p>
        </w:tc>
        <w:tc>
          <w:tcPr>
            <w:tcW w:w="0" w:type="auto"/>
            <w:gridSpan w:val="3"/>
            <w:tcBorders>
              <w:top w:val="nil"/>
              <w:left w:val="nil"/>
              <w:bottom w:val="single" w:color="000000" w:sz="8" w:space="0"/>
              <w:right w:val="single" w:color="000000" w:sz="8" w:space="0"/>
            </w:tcBorders>
            <w:shd w:val="clear" w:color="auto" w:fill="auto"/>
            <w:noWrap/>
            <w:vAlign w:val="center"/>
          </w:tcPr>
          <w:p w14:paraId="5F143910">
            <w:pPr>
              <w:jc w:val="both"/>
              <w:rPr>
                <w:rFonts w:ascii="仿宋" w:hAnsi="仿宋" w:eastAsia="仿宋" w:cs="仿宋"/>
                <w:color w:val="auto"/>
                <w:sz w:val="22"/>
                <w:highlight w:val="none"/>
              </w:rPr>
            </w:pPr>
          </w:p>
        </w:tc>
      </w:tr>
      <w:tr w14:paraId="2B71976C">
        <w:tblPrEx>
          <w:tblCellMar>
            <w:top w:w="0" w:type="dxa"/>
            <w:left w:w="108" w:type="dxa"/>
            <w:bottom w:w="0" w:type="dxa"/>
            <w:right w:w="108" w:type="dxa"/>
          </w:tblCellMar>
        </w:tblPrEx>
        <w:trPr>
          <w:trHeight w:val="585" w:hRule="atLeast"/>
        </w:trPr>
        <w:tc>
          <w:tcPr>
            <w:tcW w:w="890" w:type="dxa"/>
            <w:tcBorders>
              <w:top w:val="nil"/>
              <w:left w:val="single" w:color="000000" w:sz="8" w:space="0"/>
              <w:bottom w:val="single" w:color="000000" w:sz="8" w:space="0"/>
              <w:right w:val="single" w:color="000000" w:sz="8" w:space="0"/>
            </w:tcBorders>
            <w:shd w:val="clear" w:color="auto" w:fill="auto"/>
            <w:vAlign w:val="center"/>
          </w:tcPr>
          <w:p w14:paraId="42C8FCFB">
            <w:pPr>
              <w:jc w:val="center"/>
              <w:rPr>
                <w:rFonts w:ascii="仿宋" w:hAnsi="仿宋" w:eastAsia="仿宋" w:cs="仿宋"/>
                <w:color w:val="auto"/>
                <w:sz w:val="24"/>
                <w:szCs w:val="24"/>
                <w:highlight w:val="none"/>
              </w:rPr>
            </w:pPr>
            <w:r>
              <w:rPr>
                <w:rStyle w:val="243"/>
                <w:rFonts w:ascii="仿宋" w:hAnsi="仿宋" w:eastAsia="仿宋" w:cs="仿宋"/>
                <w:color w:val="auto"/>
                <w:highlight w:val="none"/>
              </w:rPr>
              <w:t>序号</w:t>
            </w:r>
          </w:p>
        </w:tc>
        <w:tc>
          <w:tcPr>
            <w:tcW w:w="1139" w:type="dxa"/>
            <w:tcBorders>
              <w:top w:val="nil"/>
              <w:left w:val="nil"/>
              <w:bottom w:val="single" w:color="000000" w:sz="8" w:space="0"/>
              <w:right w:val="single" w:color="000000" w:sz="8" w:space="0"/>
            </w:tcBorders>
            <w:shd w:val="clear" w:color="auto" w:fill="auto"/>
            <w:vAlign w:val="center"/>
          </w:tcPr>
          <w:p w14:paraId="0932B55F">
            <w:pPr>
              <w:jc w:val="center"/>
              <w:rPr>
                <w:rFonts w:ascii="仿宋" w:hAnsi="仿宋" w:eastAsia="仿宋" w:cs="仿宋"/>
                <w:color w:val="auto"/>
                <w:sz w:val="24"/>
                <w:szCs w:val="24"/>
                <w:highlight w:val="none"/>
              </w:rPr>
            </w:pPr>
            <w:r>
              <w:rPr>
                <w:rStyle w:val="243"/>
                <w:rFonts w:ascii="仿宋" w:hAnsi="仿宋" w:eastAsia="仿宋" w:cs="仿宋"/>
                <w:color w:val="auto"/>
                <w:highlight w:val="none"/>
              </w:rPr>
              <w:t>考核项目</w:t>
            </w:r>
          </w:p>
        </w:tc>
        <w:tc>
          <w:tcPr>
            <w:tcW w:w="1649" w:type="dxa"/>
            <w:tcBorders>
              <w:top w:val="single" w:color="000000" w:sz="8" w:space="0"/>
              <w:left w:val="nil"/>
              <w:bottom w:val="single" w:color="000000" w:sz="8" w:space="0"/>
              <w:right w:val="single" w:color="000000" w:sz="8" w:space="0"/>
            </w:tcBorders>
            <w:shd w:val="clear" w:color="auto" w:fill="auto"/>
            <w:vAlign w:val="center"/>
          </w:tcPr>
          <w:p w14:paraId="73C31501">
            <w:pPr>
              <w:jc w:val="center"/>
              <w:rPr>
                <w:rFonts w:ascii="仿宋" w:hAnsi="仿宋" w:eastAsia="仿宋" w:cs="仿宋"/>
                <w:color w:val="auto"/>
                <w:sz w:val="24"/>
                <w:szCs w:val="24"/>
                <w:highlight w:val="none"/>
              </w:rPr>
            </w:pPr>
            <w:r>
              <w:rPr>
                <w:rStyle w:val="243"/>
                <w:rFonts w:ascii="仿宋" w:hAnsi="仿宋" w:eastAsia="仿宋" w:cs="仿宋"/>
                <w:color w:val="auto"/>
                <w:highlight w:val="none"/>
              </w:rPr>
              <w:t>处罚条款</w:t>
            </w:r>
          </w:p>
        </w:tc>
        <w:tc>
          <w:tcPr>
            <w:tcW w:w="4223" w:type="dxa"/>
            <w:tcBorders>
              <w:top w:val="single" w:color="000000" w:sz="8" w:space="0"/>
              <w:left w:val="nil"/>
              <w:bottom w:val="single" w:color="000000" w:sz="8" w:space="0"/>
              <w:right w:val="single" w:color="000000" w:sz="8" w:space="0"/>
            </w:tcBorders>
            <w:shd w:val="clear" w:color="auto" w:fill="auto"/>
            <w:vAlign w:val="center"/>
          </w:tcPr>
          <w:p w14:paraId="03527740">
            <w:pPr>
              <w:jc w:val="center"/>
              <w:rPr>
                <w:rFonts w:ascii="仿宋" w:hAnsi="仿宋" w:eastAsia="仿宋" w:cs="仿宋"/>
                <w:color w:val="auto"/>
                <w:sz w:val="24"/>
                <w:szCs w:val="24"/>
                <w:highlight w:val="none"/>
              </w:rPr>
            </w:pPr>
            <w:r>
              <w:rPr>
                <w:rStyle w:val="243"/>
                <w:rFonts w:ascii="仿宋" w:hAnsi="仿宋" w:eastAsia="仿宋" w:cs="仿宋"/>
                <w:color w:val="auto"/>
                <w:highlight w:val="none"/>
              </w:rPr>
              <w:t>处罚方法</w:t>
            </w:r>
          </w:p>
        </w:tc>
        <w:tc>
          <w:tcPr>
            <w:tcW w:w="2179" w:type="dxa"/>
            <w:tcBorders>
              <w:top w:val="single" w:color="000000" w:sz="8" w:space="0"/>
              <w:left w:val="nil"/>
              <w:bottom w:val="single" w:color="000000" w:sz="8" w:space="0"/>
              <w:right w:val="single" w:color="000000" w:sz="8" w:space="0"/>
            </w:tcBorders>
            <w:shd w:val="clear" w:color="auto" w:fill="auto"/>
            <w:vAlign w:val="center"/>
          </w:tcPr>
          <w:p w14:paraId="39F23366">
            <w:pPr>
              <w:jc w:val="center"/>
              <w:rPr>
                <w:rFonts w:ascii="仿宋" w:hAnsi="仿宋" w:eastAsia="仿宋" w:cs="仿宋"/>
                <w:color w:val="auto"/>
                <w:sz w:val="24"/>
                <w:szCs w:val="24"/>
                <w:highlight w:val="none"/>
              </w:rPr>
            </w:pPr>
            <w:r>
              <w:rPr>
                <w:rStyle w:val="243"/>
                <w:rFonts w:ascii="仿宋" w:hAnsi="仿宋" w:eastAsia="仿宋" w:cs="仿宋"/>
                <w:color w:val="auto"/>
                <w:highlight w:val="none"/>
              </w:rPr>
              <w:t>处罚依据</w:t>
            </w:r>
          </w:p>
        </w:tc>
      </w:tr>
      <w:tr w14:paraId="2310C451">
        <w:tblPrEx>
          <w:tblCellMar>
            <w:top w:w="0" w:type="dxa"/>
            <w:left w:w="108" w:type="dxa"/>
            <w:bottom w:w="0" w:type="dxa"/>
            <w:right w:w="108" w:type="dxa"/>
          </w:tblCellMar>
        </w:tblPrEx>
        <w:trPr>
          <w:trHeight w:val="600" w:hRule="atLeast"/>
        </w:trPr>
        <w:tc>
          <w:tcPr>
            <w:tcW w:w="890" w:type="dxa"/>
            <w:vMerge w:val="restart"/>
            <w:tcBorders>
              <w:top w:val="nil"/>
              <w:left w:val="single" w:color="000000" w:sz="8" w:space="0"/>
              <w:bottom w:val="single" w:color="000000" w:sz="8" w:space="0"/>
              <w:right w:val="single" w:color="000000" w:sz="8" w:space="0"/>
            </w:tcBorders>
            <w:shd w:val="clear" w:color="auto" w:fill="auto"/>
            <w:vAlign w:val="center"/>
          </w:tcPr>
          <w:p w14:paraId="320CBAF7">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39" w:type="dxa"/>
            <w:vMerge w:val="restart"/>
            <w:tcBorders>
              <w:top w:val="nil"/>
              <w:left w:val="nil"/>
              <w:bottom w:val="single" w:color="000000" w:sz="8" w:space="0"/>
              <w:right w:val="single" w:color="000000" w:sz="8" w:space="0"/>
            </w:tcBorders>
            <w:shd w:val="clear" w:color="auto" w:fill="auto"/>
            <w:vAlign w:val="center"/>
          </w:tcPr>
          <w:p w14:paraId="139A795C">
            <w:pPr>
              <w:jc w:val="center"/>
              <w:rPr>
                <w:rFonts w:ascii="仿宋" w:hAnsi="仿宋" w:eastAsia="仿宋" w:cs="仿宋"/>
                <w:color w:val="auto"/>
                <w:sz w:val="22"/>
                <w:highlight w:val="none"/>
              </w:rPr>
            </w:pPr>
            <w:r>
              <w:rPr>
                <w:rStyle w:val="244"/>
                <w:rFonts w:ascii="仿宋" w:hAnsi="仿宋" w:eastAsia="仿宋" w:cs="仿宋"/>
                <w:color w:val="auto"/>
                <w:highlight w:val="none"/>
              </w:rPr>
              <w:t>服务质量</w:t>
            </w:r>
          </w:p>
        </w:tc>
        <w:tc>
          <w:tcPr>
            <w:tcW w:w="1649" w:type="dxa"/>
            <w:vMerge w:val="restart"/>
            <w:tcBorders>
              <w:top w:val="nil"/>
              <w:left w:val="nil"/>
              <w:bottom w:val="single" w:color="000000" w:sz="8" w:space="0"/>
              <w:right w:val="single" w:color="000000" w:sz="8" w:space="0"/>
            </w:tcBorders>
            <w:shd w:val="clear" w:color="auto" w:fill="auto"/>
            <w:vAlign w:val="center"/>
          </w:tcPr>
          <w:p w14:paraId="5E2326B8">
            <w:pPr>
              <w:jc w:val="center"/>
              <w:rPr>
                <w:rFonts w:ascii="仿宋" w:hAnsi="仿宋" w:eastAsia="仿宋" w:cs="仿宋"/>
                <w:color w:val="auto"/>
                <w:sz w:val="22"/>
                <w:highlight w:val="none"/>
              </w:rPr>
            </w:pPr>
            <w:r>
              <w:rPr>
                <w:rStyle w:val="244"/>
                <w:rFonts w:ascii="仿宋" w:hAnsi="仿宋" w:eastAsia="仿宋" w:cs="仿宋"/>
                <w:color w:val="auto"/>
                <w:highlight w:val="none"/>
              </w:rPr>
              <w:t>供应商无正当理由而拒绝鉴定的</w:t>
            </w:r>
          </w:p>
        </w:tc>
        <w:tc>
          <w:tcPr>
            <w:tcW w:w="4223" w:type="dxa"/>
            <w:tcBorders>
              <w:top w:val="nil"/>
              <w:left w:val="nil"/>
              <w:bottom w:val="nil"/>
              <w:right w:val="single" w:color="000000" w:sz="8" w:space="0"/>
            </w:tcBorders>
            <w:shd w:val="clear" w:color="auto" w:fill="auto"/>
            <w:vAlign w:val="center"/>
          </w:tcPr>
          <w:p w14:paraId="21BE7F63">
            <w:pPr>
              <w:jc w:val="both"/>
              <w:rPr>
                <w:rFonts w:ascii="仿宋" w:hAnsi="仿宋" w:eastAsia="仿宋" w:cs="仿宋"/>
                <w:color w:val="auto"/>
                <w:szCs w:val="21"/>
                <w:highlight w:val="none"/>
              </w:rPr>
            </w:pPr>
            <w:r>
              <w:rPr>
                <w:rStyle w:val="245"/>
                <w:rFonts w:ascii="仿宋" w:hAnsi="仿宋" w:eastAsia="仿宋" w:cs="仿宋"/>
                <w:color w:val="auto"/>
                <w:highlight w:val="none"/>
              </w:rPr>
              <w:t>发生一例</w:t>
            </w:r>
            <w:r>
              <w:rPr>
                <w:rStyle w:val="244"/>
                <w:rFonts w:ascii="仿宋" w:hAnsi="仿宋" w:eastAsia="仿宋" w:cs="仿宋"/>
                <w:color w:val="auto"/>
                <w:highlight w:val="none"/>
              </w:rPr>
              <w:t>，扣除供应商服务费</w:t>
            </w:r>
            <w:r>
              <w:rPr>
                <w:rStyle w:val="246"/>
                <w:rFonts w:ascii="仿宋" w:hAnsi="仿宋" w:eastAsia="仿宋" w:cs="仿宋"/>
                <w:color w:val="auto"/>
                <w:highlight w:val="none"/>
              </w:rPr>
              <w:t>1000</w:t>
            </w:r>
            <w:r>
              <w:rPr>
                <w:rStyle w:val="245"/>
                <w:rFonts w:ascii="仿宋" w:hAnsi="仿宋" w:eastAsia="仿宋" w:cs="仿宋"/>
                <w:color w:val="auto"/>
                <w:highlight w:val="none"/>
              </w:rPr>
              <w:t>元；</w:t>
            </w:r>
          </w:p>
        </w:tc>
        <w:tc>
          <w:tcPr>
            <w:tcW w:w="2179" w:type="dxa"/>
            <w:vMerge w:val="restart"/>
            <w:tcBorders>
              <w:top w:val="nil"/>
              <w:left w:val="nil"/>
              <w:bottom w:val="single" w:color="000000" w:sz="8" w:space="0"/>
              <w:right w:val="single" w:color="000000" w:sz="8" w:space="0"/>
            </w:tcBorders>
            <w:shd w:val="clear" w:color="auto" w:fill="auto"/>
            <w:vAlign w:val="center"/>
          </w:tcPr>
          <w:p w14:paraId="62484B36">
            <w:pPr>
              <w:jc w:val="both"/>
              <w:rPr>
                <w:rFonts w:ascii="仿宋" w:hAnsi="仿宋" w:eastAsia="仿宋" w:cs="仿宋"/>
                <w:b/>
                <w:bCs/>
                <w:color w:val="auto"/>
                <w:szCs w:val="21"/>
                <w:highlight w:val="none"/>
              </w:rPr>
            </w:pPr>
          </w:p>
        </w:tc>
      </w:tr>
      <w:tr w14:paraId="6021202D">
        <w:tblPrEx>
          <w:tblCellMar>
            <w:top w:w="0" w:type="dxa"/>
            <w:left w:w="108" w:type="dxa"/>
            <w:bottom w:w="0" w:type="dxa"/>
            <w:right w:w="108" w:type="dxa"/>
          </w:tblCellMar>
        </w:tblPrEx>
        <w:trPr>
          <w:trHeight w:val="600" w:hRule="atLeast"/>
        </w:trPr>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14:paraId="4CC6150F">
            <w:pPr>
              <w:jc w:val="center"/>
              <w:rPr>
                <w:rFonts w:ascii="仿宋" w:hAnsi="仿宋" w:eastAsia="仿宋" w:cs="仿宋"/>
                <w:color w:val="auto"/>
                <w:sz w:val="24"/>
                <w:szCs w:val="24"/>
                <w:highlight w:val="none"/>
              </w:rPr>
            </w:pPr>
          </w:p>
        </w:tc>
        <w:tc>
          <w:tcPr>
            <w:tcW w:w="1139" w:type="dxa"/>
            <w:vMerge w:val="continue"/>
            <w:tcBorders>
              <w:top w:val="nil"/>
              <w:left w:val="nil"/>
              <w:bottom w:val="single" w:color="000000" w:sz="8" w:space="0"/>
              <w:right w:val="single" w:color="000000" w:sz="8" w:space="0"/>
            </w:tcBorders>
            <w:shd w:val="clear" w:color="auto" w:fill="auto"/>
            <w:vAlign w:val="center"/>
          </w:tcPr>
          <w:p w14:paraId="2E79382B">
            <w:pPr>
              <w:jc w:val="center"/>
              <w:rPr>
                <w:rFonts w:ascii="仿宋" w:hAnsi="仿宋" w:eastAsia="仿宋" w:cs="仿宋"/>
                <w:color w:val="auto"/>
                <w:sz w:val="22"/>
                <w:highlight w:val="none"/>
              </w:rPr>
            </w:pPr>
          </w:p>
        </w:tc>
        <w:tc>
          <w:tcPr>
            <w:tcW w:w="1649" w:type="dxa"/>
            <w:vMerge w:val="continue"/>
            <w:tcBorders>
              <w:top w:val="nil"/>
              <w:left w:val="nil"/>
              <w:bottom w:val="single" w:color="000000" w:sz="8" w:space="0"/>
              <w:right w:val="single" w:color="000000" w:sz="8" w:space="0"/>
            </w:tcBorders>
            <w:shd w:val="clear" w:color="auto" w:fill="auto"/>
            <w:vAlign w:val="center"/>
          </w:tcPr>
          <w:p w14:paraId="253FEFC5">
            <w:pPr>
              <w:jc w:val="center"/>
              <w:rPr>
                <w:rFonts w:ascii="仿宋" w:hAnsi="仿宋" w:eastAsia="仿宋" w:cs="仿宋"/>
                <w:color w:val="auto"/>
                <w:sz w:val="22"/>
                <w:highlight w:val="none"/>
              </w:rPr>
            </w:pPr>
          </w:p>
        </w:tc>
        <w:tc>
          <w:tcPr>
            <w:tcW w:w="4223" w:type="dxa"/>
            <w:tcBorders>
              <w:top w:val="nil"/>
              <w:left w:val="nil"/>
              <w:bottom w:val="nil"/>
              <w:right w:val="single" w:color="000000" w:sz="8" w:space="0"/>
            </w:tcBorders>
            <w:shd w:val="clear" w:color="auto" w:fill="auto"/>
            <w:vAlign w:val="center"/>
          </w:tcPr>
          <w:p w14:paraId="519D30A9">
            <w:pPr>
              <w:jc w:val="both"/>
              <w:rPr>
                <w:rFonts w:ascii="仿宋" w:hAnsi="仿宋" w:eastAsia="仿宋" w:cs="仿宋"/>
                <w:color w:val="auto"/>
                <w:sz w:val="22"/>
                <w:highlight w:val="none"/>
              </w:rPr>
            </w:pPr>
            <w:r>
              <w:rPr>
                <w:rStyle w:val="244"/>
                <w:rFonts w:ascii="仿宋" w:hAnsi="仿宋" w:eastAsia="仿宋" w:cs="仿宋"/>
                <w:color w:val="auto"/>
                <w:highlight w:val="none"/>
              </w:rPr>
              <w:t>发生三</w:t>
            </w:r>
            <w:r>
              <w:rPr>
                <w:rStyle w:val="245"/>
                <w:rFonts w:ascii="仿宋" w:hAnsi="仿宋" w:eastAsia="仿宋" w:cs="仿宋"/>
                <w:color w:val="auto"/>
                <w:highlight w:val="none"/>
              </w:rPr>
              <w:t>例</w:t>
            </w:r>
            <w:r>
              <w:rPr>
                <w:rStyle w:val="244"/>
                <w:rFonts w:ascii="仿宋" w:hAnsi="仿宋" w:eastAsia="仿宋" w:cs="仿宋"/>
                <w:color w:val="auto"/>
                <w:highlight w:val="none"/>
              </w:rPr>
              <w:t>（含），扣除供应商服务费</w:t>
            </w:r>
            <w:r>
              <w:rPr>
                <w:rStyle w:val="246"/>
                <w:rFonts w:ascii="仿宋" w:hAnsi="仿宋" w:eastAsia="仿宋" w:cs="仿宋"/>
                <w:color w:val="auto"/>
                <w:highlight w:val="none"/>
              </w:rPr>
              <w:t>5000</w:t>
            </w:r>
            <w:r>
              <w:rPr>
                <w:rStyle w:val="245"/>
                <w:rFonts w:ascii="仿宋" w:hAnsi="仿宋" w:eastAsia="仿宋" w:cs="仿宋"/>
                <w:color w:val="auto"/>
                <w:highlight w:val="none"/>
              </w:rPr>
              <w:t>元；</w:t>
            </w:r>
          </w:p>
        </w:tc>
        <w:tc>
          <w:tcPr>
            <w:tcW w:w="2179" w:type="dxa"/>
            <w:vMerge w:val="continue"/>
            <w:tcBorders>
              <w:top w:val="nil"/>
              <w:left w:val="nil"/>
              <w:bottom w:val="single" w:color="000000" w:sz="8" w:space="0"/>
              <w:right w:val="single" w:color="000000" w:sz="8" w:space="0"/>
            </w:tcBorders>
            <w:shd w:val="clear" w:color="auto" w:fill="auto"/>
            <w:vAlign w:val="center"/>
          </w:tcPr>
          <w:p w14:paraId="626E1C73">
            <w:pPr>
              <w:jc w:val="both"/>
              <w:rPr>
                <w:rFonts w:ascii="仿宋" w:hAnsi="仿宋" w:eastAsia="仿宋" w:cs="仿宋"/>
                <w:b/>
                <w:bCs/>
                <w:color w:val="auto"/>
                <w:szCs w:val="21"/>
                <w:highlight w:val="none"/>
              </w:rPr>
            </w:pPr>
          </w:p>
        </w:tc>
      </w:tr>
      <w:tr w14:paraId="1050AB2D">
        <w:tblPrEx>
          <w:tblCellMar>
            <w:top w:w="0" w:type="dxa"/>
            <w:left w:w="108" w:type="dxa"/>
            <w:bottom w:w="0" w:type="dxa"/>
            <w:right w:w="108" w:type="dxa"/>
          </w:tblCellMar>
        </w:tblPrEx>
        <w:trPr>
          <w:trHeight w:val="1100" w:hRule="atLeast"/>
        </w:trPr>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14:paraId="565D2CAE">
            <w:pPr>
              <w:jc w:val="center"/>
              <w:rPr>
                <w:rFonts w:ascii="仿宋" w:hAnsi="仿宋" w:eastAsia="仿宋" w:cs="仿宋"/>
                <w:color w:val="auto"/>
                <w:sz w:val="24"/>
                <w:szCs w:val="24"/>
                <w:highlight w:val="none"/>
              </w:rPr>
            </w:pPr>
          </w:p>
        </w:tc>
        <w:tc>
          <w:tcPr>
            <w:tcW w:w="1139" w:type="dxa"/>
            <w:vMerge w:val="continue"/>
            <w:tcBorders>
              <w:top w:val="nil"/>
              <w:left w:val="nil"/>
              <w:bottom w:val="single" w:color="000000" w:sz="8" w:space="0"/>
              <w:right w:val="single" w:color="000000" w:sz="8" w:space="0"/>
            </w:tcBorders>
            <w:shd w:val="clear" w:color="auto" w:fill="auto"/>
            <w:vAlign w:val="center"/>
          </w:tcPr>
          <w:p w14:paraId="05EC4B98">
            <w:pPr>
              <w:jc w:val="center"/>
              <w:rPr>
                <w:rFonts w:ascii="仿宋" w:hAnsi="仿宋" w:eastAsia="仿宋" w:cs="仿宋"/>
                <w:color w:val="auto"/>
                <w:sz w:val="22"/>
                <w:highlight w:val="none"/>
              </w:rPr>
            </w:pPr>
          </w:p>
        </w:tc>
        <w:tc>
          <w:tcPr>
            <w:tcW w:w="1649" w:type="dxa"/>
            <w:vMerge w:val="continue"/>
            <w:tcBorders>
              <w:top w:val="nil"/>
              <w:left w:val="nil"/>
              <w:bottom w:val="single" w:color="000000" w:sz="8" w:space="0"/>
              <w:right w:val="single" w:color="000000" w:sz="8" w:space="0"/>
            </w:tcBorders>
            <w:shd w:val="clear" w:color="auto" w:fill="auto"/>
            <w:vAlign w:val="center"/>
          </w:tcPr>
          <w:p w14:paraId="5FA5538F">
            <w:pPr>
              <w:jc w:val="center"/>
              <w:rPr>
                <w:rFonts w:ascii="仿宋" w:hAnsi="仿宋" w:eastAsia="仿宋" w:cs="仿宋"/>
                <w:color w:val="auto"/>
                <w:sz w:val="22"/>
                <w:highlight w:val="none"/>
              </w:rPr>
            </w:pPr>
          </w:p>
        </w:tc>
        <w:tc>
          <w:tcPr>
            <w:tcW w:w="4223" w:type="dxa"/>
            <w:tcBorders>
              <w:top w:val="nil"/>
              <w:left w:val="nil"/>
              <w:bottom w:val="single" w:color="000000" w:sz="8" w:space="0"/>
              <w:right w:val="single" w:color="000000" w:sz="8" w:space="0"/>
            </w:tcBorders>
            <w:shd w:val="clear" w:color="auto" w:fill="auto"/>
            <w:vAlign w:val="center"/>
          </w:tcPr>
          <w:p w14:paraId="6307820F">
            <w:pPr>
              <w:jc w:val="both"/>
              <w:rPr>
                <w:rFonts w:ascii="仿宋" w:hAnsi="仿宋" w:eastAsia="仿宋" w:cs="仿宋"/>
                <w:color w:val="auto"/>
                <w:sz w:val="22"/>
                <w:highlight w:val="none"/>
              </w:rPr>
            </w:pPr>
            <w:r>
              <w:rPr>
                <w:rStyle w:val="244"/>
                <w:rFonts w:ascii="仿宋" w:hAnsi="仿宋" w:eastAsia="仿宋" w:cs="仿宋"/>
                <w:color w:val="auto"/>
                <w:highlight w:val="none"/>
              </w:rPr>
              <w:t>发生五</w:t>
            </w:r>
            <w:r>
              <w:rPr>
                <w:rStyle w:val="245"/>
                <w:rFonts w:ascii="仿宋" w:hAnsi="仿宋" w:eastAsia="仿宋" w:cs="仿宋"/>
                <w:color w:val="auto"/>
                <w:highlight w:val="none"/>
              </w:rPr>
              <w:t>例</w:t>
            </w:r>
            <w:r>
              <w:rPr>
                <w:rStyle w:val="244"/>
                <w:rFonts w:ascii="仿宋" w:hAnsi="仿宋" w:eastAsia="仿宋" w:cs="仿宋"/>
                <w:color w:val="auto"/>
                <w:highlight w:val="none"/>
              </w:rPr>
              <w:t>（含）及以上，委托人有权终止合同，并向委托人赔偿所造成的实际损失；</w:t>
            </w:r>
          </w:p>
        </w:tc>
        <w:tc>
          <w:tcPr>
            <w:tcW w:w="2179" w:type="dxa"/>
            <w:vMerge w:val="continue"/>
            <w:tcBorders>
              <w:top w:val="nil"/>
              <w:left w:val="nil"/>
              <w:bottom w:val="single" w:color="000000" w:sz="8" w:space="0"/>
              <w:right w:val="single" w:color="000000" w:sz="8" w:space="0"/>
            </w:tcBorders>
            <w:shd w:val="clear" w:color="auto" w:fill="auto"/>
            <w:vAlign w:val="center"/>
          </w:tcPr>
          <w:p w14:paraId="4AB45F31">
            <w:pPr>
              <w:jc w:val="both"/>
              <w:rPr>
                <w:rFonts w:ascii="仿宋" w:hAnsi="仿宋" w:eastAsia="仿宋" w:cs="仿宋"/>
                <w:b/>
                <w:bCs/>
                <w:color w:val="auto"/>
                <w:szCs w:val="21"/>
                <w:highlight w:val="none"/>
              </w:rPr>
            </w:pPr>
          </w:p>
        </w:tc>
      </w:tr>
      <w:tr w14:paraId="17B0DD4D">
        <w:tblPrEx>
          <w:tblCellMar>
            <w:top w:w="0" w:type="dxa"/>
            <w:left w:w="108" w:type="dxa"/>
            <w:bottom w:w="0" w:type="dxa"/>
            <w:right w:w="108" w:type="dxa"/>
          </w:tblCellMar>
        </w:tblPrEx>
        <w:trPr>
          <w:trHeight w:val="600" w:hRule="atLeast"/>
        </w:trPr>
        <w:tc>
          <w:tcPr>
            <w:tcW w:w="890" w:type="dxa"/>
            <w:vMerge w:val="restart"/>
            <w:tcBorders>
              <w:top w:val="nil"/>
              <w:left w:val="single" w:color="000000" w:sz="8" w:space="0"/>
              <w:bottom w:val="single" w:color="000000" w:sz="8" w:space="0"/>
              <w:right w:val="single" w:color="000000" w:sz="8" w:space="0"/>
            </w:tcBorders>
            <w:shd w:val="clear" w:color="auto" w:fill="auto"/>
            <w:vAlign w:val="center"/>
          </w:tcPr>
          <w:p w14:paraId="0F6F1BAE">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139" w:type="dxa"/>
            <w:vMerge w:val="restart"/>
            <w:tcBorders>
              <w:top w:val="nil"/>
              <w:left w:val="nil"/>
              <w:bottom w:val="single" w:color="000000" w:sz="8" w:space="0"/>
              <w:right w:val="single" w:color="000000" w:sz="8" w:space="0"/>
            </w:tcBorders>
            <w:shd w:val="clear" w:color="auto" w:fill="auto"/>
            <w:vAlign w:val="center"/>
          </w:tcPr>
          <w:p w14:paraId="16001E34">
            <w:pPr>
              <w:jc w:val="center"/>
              <w:rPr>
                <w:rFonts w:ascii="仿宋" w:hAnsi="仿宋" w:eastAsia="仿宋" w:cs="仿宋"/>
                <w:color w:val="auto"/>
                <w:sz w:val="24"/>
                <w:szCs w:val="24"/>
                <w:highlight w:val="none"/>
              </w:rPr>
            </w:pPr>
            <w:r>
              <w:rPr>
                <w:rStyle w:val="243"/>
                <w:rFonts w:ascii="仿宋" w:hAnsi="仿宋" w:eastAsia="仿宋" w:cs="仿宋"/>
                <w:color w:val="auto"/>
                <w:highlight w:val="none"/>
              </w:rPr>
              <w:t>服务质量</w:t>
            </w:r>
          </w:p>
        </w:tc>
        <w:tc>
          <w:tcPr>
            <w:tcW w:w="1649" w:type="dxa"/>
            <w:vMerge w:val="restart"/>
            <w:tcBorders>
              <w:top w:val="nil"/>
              <w:left w:val="nil"/>
              <w:bottom w:val="single" w:color="000000" w:sz="8" w:space="0"/>
              <w:right w:val="single" w:color="000000" w:sz="8" w:space="0"/>
            </w:tcBorders>
            <w:shd w:val="clear" w:color="auto" w:fill="auto"/>
            <w:vAlign w:val="center"/>
          </w:tcPr>
          <w:p w14:paraId="6F1EF10F">
            <w:pPr>
              <w:jc w:val="center"/>
              <w:rPr>
                <w:rFonts w:ascii="仿宋" w:hAnsi="仿宋" w:eastAsia="仿宋" w:cs="仿宋"/>
                <w:color w:val="auto"/>
                <w:sz w:val="22"/>
                <w:highlight w:val="none"/>
              </w:rPr>
            </w:pPr>
            <w:r>
              <w:rPr>
                <w:rStyle w:val="244"/>
                <w:rFonts w:ascii="仿宋" w:hAnsi="仿宋" w:eastAsia="仿宋" w:cs="仿宋"/>
                <w:color w:val="auto"/>
                <w:highlight w:val="none"/>
              </w:rPr>
              <w:t>供应商未在双方约定的时限内或法律规定的时限内完成检验鉴定，并提交鉴定意见书的</w:t>
            </w:r>
          </w:p>
        </w:tc>
        <w:tc>
          <w:tcPr>
            <w:tcW w:w="4223" w:type="dxa"/>
            <w:tcBorders>
              <w:top w:val="nil"/>
              <w:left w:val="nil"/>
              <w:bottom w:val="nil"/>
              <w:right w:val="single" w:color="000000" w:sz="8" w:space="0"/>
            </w:tcBorders>
            <w:shd w:val="clear" w:color="auto" w:fill="auto"/>
            <w:vAlign w:val="center"/>
          </w:tcPr>
          <w:p w14:paraId="11107B84">
            <w:pPr>
              <w:jc w:val="both"/>
              <w:rPr>
                <w:rFonts w:ascii="仿宋" w:hAnsi="仿宋" w:eastAsia="仿宋" w:cs="仿宋"/>
                <w:color w:val="auto"/>
                <w:szCs w:val="21"/>
                <w:highlight w:val="none"/>
              </w:rPr>
            </w:pPr>
            <w:r>
              <w:rPr>
                <w:rStyle w:val="245"/>
                <w:rFonts w:ascii="仿宋" w:hAnsi="仿宋" w:eastAsia="仿宋" w:cs="仿宋"/>
                <w:color w:val="auto"/>
                <w:highlight w:val="none"/>
              </w:rPr>
              <w:t>发生一例</w:t>
            </w:r>
            <w:r>
              <w:rPr>
                <w:rStyle w:val="244"/>
                <w:rFonts w:ascii="仿宋" w:hAnsi="仿宋" w:eastAsia="仿宋" w:cs="仿宋"/>
                <w:color w:val="auto"/>
                <w:highlight w:val="none"/>
              </w:rPr>
              <w:t>，扣除供应商服务费</w:t>
            </w:r>
            <w:r>
              <w:rPr>
                <w:rStyle w:val="246"/>
                <w:rFonts w:ascii="仿宋" w:hAnsi="仿宋" w:eastAsia="仿宋" w:cs="仿宋"/>
                <w:color w:val="auto"/>
                <w:highlight w:val="none"/>
              </w:rPr>
              <w:t>1000</w:t>
            </w:r>
            <w:r>
              <w:rPr>
                <w:rStyle w:val="245"/>
                <w:rFonts w:ascii="仿宋" w:hAnsi="仿宋" w:eastAsia="仿宋" w:cs="仿宋"/>
                <w:color w:val="auto"/>
                <w:highlight w:val="none"/>
              </w:rPr>
              <w:t>元；</w:t>
            </w:r>
          </w:p>
        </w:tc>
        <w:tc>
          <w:tcPr>
            <w:tcW w:w="2179" w:type="dxa"/>
            <w:vMerge w:val="restart"/>
            <w:tcBorders>
              <w:top w:val="nil"/>
              <w:left w:val="nil"/>
              <w:bottom w:val="single" w:color="000000" w:sz="8" w:space="0"/>
              <w:right w:val="single" w:color="000000" w:sz="8" w:space="0"/>
            </w:tcBorders>
            <w:shd w:val="clear" w:color="auto" w:fill="auto"/>
            <w:vAlign w:val="center"/>
          </w:tcPr>
          <w:p w14:paraId="517BEC25">
            <w:pPr>
              <w:jc w:val="center"/>
              <w:rPr>
                <w:rFonts w:ascii="仿宋" w:hAnsi="仿宋" w:eastAsia="仿宋" w:cs="仿宋"/>
                <w:color w:val="auto"/>
                <w:szCs w:val="21"/>
                <w:highlight w:val="none"/>
              </w:rPr>
            </w:pPr>
          </w:p>
        </w:tc>
      </w:tr>
      <w:tr w14:paraId="612BFC9F">
        <w:tblPrEx>
          <w:tblCellMar>
            <w:top w:w="0" w:type="dxa"/>
            <w:left w:w="108" w:type="dxa"/>
            <w:bottom w:w="0" w:type="dxa"/>
            <w:right w:w="108" w:type="dxa"/>
          </w:tblCellMar>
        </w:tblPrEx>
        <w:trPr>
          <w:trHeight w:val="600" w:hRule="atLeast"/>
        </w:trPr>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14:paraId="6FB272A4">
            <w:pPr>
              <w:jc w:val="center"/>
              <w:rPr>
                <w:rFonts w:ascii="仿宋" w:hAnsi="仿宋" w:eastAsia="仿宋" w:cs="仿宋"/>
                <w:color w:val="auto"/>
                <w:sz w:val="24"/>
                <w:szCs w:val="24"/>
                <w:highlight w:val="none"/>
              </w:rPr>
            </w:pPr>
          </w:p>
        </w:tc>
        <w:tc>
          <w:tcPr>
            <w:tcW w:w="1139" w:type="dxa"/>
            <w:vMerge w:val="continue"/>
            <w:tcBorders>
              <w:top w:val="nil"/>
              <w:left w:val="nil"/>
              <w:bottom w:val="single" w:color="000000" w:sz="8" w:space="0"/>
              <w:right w:val="single" w:color="000000" w:sz="8" w:space="0"/>
            </w:tcBorders>
            <w:shd w:val="clear" w:color="auto" w:fill="auto"/>
            <w:vAlign w:val="center"/>
          </w:tcPr>
          <w:p w14:paraId="78549DC6">
            <w:pPr>
              <w:jc w:val="center"/>
              <w:rPr>
                <w:rFonts w:ascii="仿宋" w:hAnsi="仿宋" w:eastAsia="仿宋" w:cs="仿宋"/>
                <w:color w:val="auto"/>
                <w:sz w:val="24"/>
                <w:szCs w:val="24"/>
                <w:highlight w:val="none"/>
              </w:rPr>
            </w:pPr>
          </w:p>
        </w:tc>
        <w:tc>
          <w:tcPr>
            <w:tcW w:w="1649" w:type="dxa"/>
            <w:vMerge w:val="continue"/>
            <w:tcBorders>
              <w:top w:val="nil"/>
              <w:left w:val="nil"/>
              <w:bottom w:val="single" w:color="000000" w:sz="8" w:space="0"/>
              <w:right w:val="single" w:color="000000" w:sz="8" w:space="0"/>
            </w:tcBorders>
            <w:shd w:val="clear" w:color="auto" w:fill="auto"/>
            <w:vAlign w:val="center"/>
          </w:tcPr>
          <w:p w14:paraId="7326008F">
            <w:pPr>
              <w:jc w:val="center"/>
              <w:rPr>
                <w:rFonts w:ascii="仿宋" w:hAnsi="仿宋" w:eastAsia="仿宋" w:cs="仿宋"/>
                <w:color w:val="auto"/>
                <w:sz w:val="22"/>
                <w:highlight w:val="none"/>
              </w:rPr>
            </w:pPr>
          </w:p>
        </w:tc>
        <w:tc>
          <w:tcPr>
            <w:tcW w:w="4223" w:type="dxa"/>
            <w:tcBorders>
              <w:top w:val="nil"/>
              <w:left w:val="nil"/>
              <w:bottom w:val="nil"/>
              <w:right w:val="single" w:color="000000" w:sz="8" w:space="0"/>
            </w:tcBorders>
            <w:shd w:val="clear" w:color="auto" w:fill="auto"/>
            <w:vAlign w:val="center"/>
          </w:tcPr>
          <w:p w14:paraId="1DF99A9A">
            <w:pPr>
              <w:jc w:val="both"/>
              <w:rPr>
                <w:rFonts w:ascii="仿宋" w:hAnsi="仿宋" w:eastAsia="仿宋" w:cs="仿宋"/>
                <w:color w:val="auto"/>
                <w:sz w:val="22"/>
                <w:highlight w:val="none"/>
              </w:rPr>
            </w:pPr>
            <w:r>
              <w:rPr>
                <w:rStyle w:val="244"/>
                <w:rFonts w:ascii="仿宋" w:hAnsi="仿宋" w:eastAsia="仿宋" w:cs="仿宋"/>
                <w:color w:val="auto"/>
                <w:highlight w:val="none"/>
              </w:rPr>
              <w:t>发生三</w:t>
            </w:r>
            <w:r>
              <w:rPr>
                <w:rStyle w:val="245"/>
                <w:rFonts w:ascii="仿宋" w:hAnsi="仿宋" w:eastAsia="仿宋" w:cs="仿宋"/>
                <w:color w:val="auto"/>
                <w:highlight w:val="none"/>
              </w:rPr>
              <w:t>例</w:t>
            </w:r>
            <w:r>
              <w:rPr>
                <w:rStyle w:val="244"/>
                <w:rFonts w:ascii="仿宋" w:hAnsi="仿宋" w:eastAsia="仿宋" w:cs="仿宋"/>
                <w:color w:val="auto"/>
                <w:highlight w:val="none"/>
              </w:rPr>
              <w:t>（含），扣除供应商服务费</w:t>
            </w:r>
            <w:r>
              <w:rPr>
                <w:rStyle w:val="246"/>
                <w:rFonts w:ascii="仿宋" w:hAnsi="仿宋" w:eastAsia="仿宋" w:cs="仿宋"/>
                <w:color w:val="auto"/>
                <w:highlight w:val="none"/>
              </w:rPr>
              <w:t>5000</w:t>
            </w:r>
            <w:r>
              <w:rPr>
                <w:rStyle w:val="245"/>
                <w:rFonts w:ascii="仿宋" w:hAnsi="仿宋" w:eastAsia="仿宋" w:cs="仿宋"/>
                <w:color w:val="auto"/>
                <w:highlight w:val="none"/>
              </w:rPr>
              <w:t>元；</w:t>
            </w:r>
          </w:p>
        </w:tc>
        <w:tc>
          <w:tcPr>
            <w:tcW w:w="2179" w:type="dxa"/>
            <w:vMerge w:val="continue"/>
            <w:tcBorders>
              <w:top w:val="nil"/>
              <w:left w:val="nil"/>
              <w:bottom w:val="single" w:color="000000" w:sz="8" w:space="0"/>
              <w:right w:val="single" w:color="000000" w:sz="8" w:space="0"/>
            </w:tcBorders>
            <w:shd w:val="clear" w:color="auto" w:fill="auto"/>
            <w:vAlign w:val="center"/>
          </w:tcPr>
          <w:p w14:paraId="1D13D7BA">
            <w:pPr>
              <w:jc w:val="center"/>
              <w:rPr>
                <w:rFonts w:ascii="仿宋" w:hAnsi="仿宋" w:eastAsia="仿宋" w:cs="仿宋"/>
                <w:color w:val="auto"/>
                <w:szCs w:val="21"/>
                <w:highlight w:val="none"/>
              </w:rPr>
            </w:pPr>
          </w:p>
        </w:tc>
      </w:tr>
      <w:tr w14:paraId="382DC41C">
        <w:tblPrEx>
          <w:tblCellMar>
            <w:top w:w="0" w:type="dxa"/>
            <w:left w:w="108" w:type="dxa"/>
            <w:bottom w:w="0" w:type="dxa"/>
            <w:right w:w="108" w:type="dxa"/>
          </w:tblCellMar>
        </w:tblPrEx>
        <w:trPr>
          <w:trHeight w:val="1100" w:hRule="atLeast"/>
        </w:trPr>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14:paraId="73CB0EC0">
            <w:pPr>
              <w:jc w:val="center"/>
              <w:rPr>
                <w:rFonts w:ascii="仿宋" w:hAnsi="仿宋" w:eastAsia="仿宋" w:cs="仿宋"/>
                <w:color w:val="auto"/>
                <w:sz w:val="24"/>
                <w:szCs w:val="24"/>
                <w:highlight w:val="none"/>
              </w:rPr>
            </w:pPr>
          </w:p>
        </w:tc>
        <w:tc>
          <w:tcPr>
            <w:tcW w:w="1139" w:type="dxa"/>
            <w:vMerge w:val="continue"/>
            <w:tcBorders>
              <w:top w:val="nil"/>
              <w:left w:val="nil"/>
              <w:bottom w:val="single" w:color="000000" w:sz="8" w:space="0"/>
              <w:right w:val="single" w:color="000000" w:sz="8" w:space="0"/>
            </w:tcBorders>
            <w:shd w:val="clear" w:color="auto" w:fill="auto"/>
            <w:vAlign w:val="center"/>
          </w:tcPr>
          <w:p w14:paraId="606F17FE">
            <w:pPr>
              <w:jc w:val="center"/>
              <w:rPr>
                <w:rFonts w:ascii="仿宋" w:hAnsi="仿宋" w:eastAsia="仿宋" w:cs="仿宋"/>
                <w:color w:val="auto"/>
                <w:sz w:val="24"/>
                <w:szCs w:val="24"/>
                <w:highlight w:val="none"/>
              </w:rPr>
            </w:pPr>
          </w:p>
        </w:tc>
        <w:tc>
          <w:tcPr>
            <w:tcW w:w="1649" w:type="dxa"/>
            <w:vMerge w:val="continue"/>
            <w:tcBorders>
              <w:top w:val="nil"/>
              <w:left w:val="nil"/>
              <w:bottom w:val="single" w:color="000000" w:sz="8" w:space="0"/>
              <w:right w:val="single" w:color="000000" w:sz="8" w:space="0"/>
            </w:tcBorders>
            <w:shd w:val="clear" w:color="auto" w:fill="auto"/>
            <w:vAlign w:val="center"/>
          </w:tcPr>
          <w:p w14:paraId="758136D1">
            <w:pPr>
              <w:jc w:val="center"/>
              <w:rPr>
                <w:rFonts w:ascii="仿宋" w:hAnsi="仿宋" w:eastAsia="仿宋" w:cs="仿宋"/>
                <w:color w:val="auto"/>
                <w:sz w:val="22"/>
                <w:highlight w:val="none"/>
              </w:rPr>
            </w:pPr>
          </w:p>
        </w:tc>
        <w:tc>
          <w:tcPr>
            <w:tcW w:w="4223" w:type="dxa"/>
            <w:tcBorders>
              <w:top w:val="nil"/>
              <w:left w:val="nil"/>
              <w:bottom w:val="single" w:color="000000" w:sz="8" w:space="0"/>
              <w:right w:val="single" w:color="000000" w:sz="8" w:space="0"/>
            </w:tcBorders>
            <w:shd w:val="clear" w:color="auto" w:fill="auto"/>
            <w:vAlign w:val="center"/>
          </w:tcPr>
          <w:p w14:paraId="0C6AA97B">
            <w:pPr>
              <w:jc w:val="both"/>
              <w:rPr>
                <w:rFonts w:ascii="仿宋" w:hAnsi="仿宋" w:eastAsia="仿宋" w:cs="仿宋"/>
                <w:color w:val="auto"/>
                <w:sz w:val="22"/>
                <w:highlight w:val="none"/>
              </w:rPr>
            </w:pPr>
            <w:r>
              <w:rPr>
                <w:rStyle w:val="244"/>
                <w:rFonts w:ascii="仿宋" w:hAnsi="仿宋" w:eastAsia="仿宋" w:cs="仿宋"/>
                <w:color w:val="auto"/>
                <w:highlight w:val="none"/>
              </w:rPr>
              <w:t>发生五次（含）及以上，委托人有权终止合同，并向委托人赔偿所造成的实际损失；</w:t>
            </w:r>
          </w:p>
        </w:tc>
        <w:tc>
          <w:tcPr>
            <w:tcW w:w="2179" w:type="dxa"/>
            <w:vMerge w:val="continue"/>
            <w:tcBorders>
              <w:top w:val="nil"/>
              <w:left w:val="nil"/>
              <w:bottom w:val="single" w:color="000000" w:sz="8" w:space="0"/>
              <w:right w:val="single" w:color="000000" w:sz="8" w:space="0"/>
            </w:tcBorders>
            <w:shd w:val="clear" w:color="auto" w:fill="auto"/>
            <w:vAlign w:val="center"/>
          </w:tcPr>
          <w:p w14:paraId="19CFF778">
            <w:pPr>
              <w:jc w:val="center"/>
              <w:rPr>
                <w:rFonts w:ascii="仿宋" w:hAnsi="仿宋" w:eastAsia="仿宋" w:cs="仿宋"/>
                <w:color w:val="auto"/>
                <w:szCs w:val="21"/>
                <w:highlight w:val="none"/>
              </w:rPr>
            </w:pPr>
          </w:p>
        </w:tc>
      </w:tr>
      <w:tr w14:paraId="1765D7AF">
        <w:tblPrEx>
          <w:tblCellMar>
            <w:top w:w="0" w:type="dxa"/>
            <w:left w:w="108" w:type="dxa"/>
            <w:bottom w:w="0" w:type="dxa"/>
            <w:right w:w="108" w:type="dxa"/>
          </w:tblCellMar>
        </w:tblPrEx>
        <w:trPr>
          <w:trHeight w:val="600" w:hRule="atLeast"/>
        </w:trPr>
        <w:tc>
          <w:tcPr>
            <w:tcW w:w="890" w:type="dxa"/>
            <w:vMerge w:val="restart"/>
            <w:tcBorders>
              <w:top w:val="nil"/>
              <w:left w:val="single" w:color="000000" w:sz="8" w:space="0"/>
              <w:bottom w:val="single" w:color="000000" w:sz="8" w:space="0"/>
              <w:right w:val="single" w:color="000000" w:sz="8" w:space="0"/>
            </w:tcBorders>
            <w:shd w:val="clear" w:color="auto" w:fill="auto"/>
            <w:vAlign w:val="center"/>
          </w:tcPr>
          <w:p w14:paraId="417DA7E4">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139" w:type="dxa"/>
            <w:vMerge w:val="restart"/>
            <w:tcBorders>
              <w:top w:val="nil"/>
              <w:left w:val="nil"/>
              <w:bottom w:val="single" w:color="000000" w:sz="8" w:space="0"/>
              <w:right w:val="single" w:color="000000" w:sz="8" w:space="0"/>
            </w:tcBorders>
            <w:shd w:val="clear" w:color="auto" w:fill="auto"/>
            <w:vAlign w:val="center"/>
          </w:tcPr>
          <w:p w14:paraId="755F14E2">
            <w:pPr>
              <w:jc w:val="center"/>
              <w:rPr>
                <w:rFonts w:ascii="仿宋" w:hAnsi="仿宋" w:eastAsia="仿宋" w:cs="仿宋"/>
                <w:color w:val="auto"/>
                <w:sz w:val="24"/>
                <w:szCs w:val="24"/>
                <w:highlight w:val="none"/>
              </w:rPr>
            </w:pPr>
            <w:r>
              <w:rPr>
                <w:rStyle w:val="243"/>
                <w:rFonts w:ascii="仿宋" w:hAnsi="仿宋" w:eastAsia="仿宋" w:cs="仿宋"/>
                <w:color w:val="auto"/>
                <w:highlight w:val="none"/>
              </w:rPr>
              <w:t>服务质量</w:t>
            </w:r>
          </w:p>
        </w:tc>
        <w:tc>
          <w:tcPr>
            <w:tcW w:w="1649" w:type="dxa"/>
            <w:vMerge w:val="restart"/>
            <w:tcBorders>
              <w:top w:val="nil"/>
              <w:left w:val="nil"/>
              <w:bottom w:val="single" w:color="000000" w:sz="8" w:space="0"/>
              <w:right w:val="single" w:color="000000" w:sz="8" w:space="0"/>
            </w:tcBorders>
            <w:shd w:val="clear" w:color="auto" w:fill="auto"/>
            <w:vAlign w:val="center"/>
          </w:tcPr>
          <w:p w14:paraId="14DEDCB4">
            <w:pPr>
              <w:jc w:val="center"/>
              <w:rPr>
                <w:rFonts w:ascii="仿宋" w:hAnsi="仿宋" w:eastAsia="仿宋" w:cs="仿宋"/>
                <w:color w:val="auto"/>
                <w:sz w:val="22"/>
                <w:highlight w:val="none"/>
              </w:rPr>
            </w:pPr>
            <w:r>
              <w:rPr>
                <w:rStyle w:val="244"/>
                <w:rFonts w:ascii="仿宋" w:hAnsi="仿宋" w:eastAsia="仿宋" w:cs="仿宋"/>
                <w:color w:val="auto"/>
                <w:highlight w:val="none"/>
              </w:rPr>
              <w:t>供应商鉴定人员无正当理由拒绝进行现场勘验的</w:t>
            </w:r>
          </w:p>
        </w:tc>
        <w:tc>
          <w:tcPr>
            <w:tcW w:w="4223" w:type="dxa"/>
            <w:tcBorders>
              <w:top w:val="nil"/>
              <w:left w:val="nil"/>
              <w:bottom w:val="nil"/>
              <w:right w:val="single" w:color="000000" w:sz="8" w:space="0"/>
            </w:tcBorders>
            <w:shd w:val="clear" w:color="auto" w:fill="auto"/>
            <w:vAlign w:val="center"/>
          </w:tcPr>
          <w:p w14:paraId="12530039">
            <w:pPr>
              <w:jc w:val="both"/>
              <w:rPr>
                <w:rFonts w:ascii="仿宋" w:hAnsi="仿宋" w:eastAsia="仿宋" w:cs="仿宋"/>
                <w:color w:val="auto"/>
                <w:szCs w:val="21"/>
                <w:highlight w:val="none"/>
              </w:rPr>
            </w:pPr>
            <w:r>
              <w:rPr>
                <w:rStyle w:val="245"/>
                <w:rFonts w:ascii="仿宋" w:hAnsi="仿宋" w:eastAsia="仿宋" w:cs="仿宋"/>
                <w:color w:val="auto"/>
                <w:highlight w:val="none"/>
              </w:rPr>
              <w:t>发生一例</w:t>
            </w:r>
            <w:r>
              <w:rPr>
                <w:rStyle w:val="244"/>
                <w:rFonts w:ascii="仿宋" w:hAnsi="仿宋" w:eastAsia="仿宋" w:cs="仿宋"/>
                <w:color w:val="auto"/>
                <w:highlight w:val="none"/>
              </w:rPr>
              <w:t>，扣除供应商服务费</w:t>
            </w:r>
            <w:r>
              <w:rPr>
                <w:rStyle w:val="246"/>
                <w:rFonts w:ascii="仿宋" w:hAnsi="仿宋" w:eastAsia="仿宋" w:cs="仿宋"/>
                <w:color w:val="auto"/>
                <w:highlight w:val="none"/>
              </w:rPr>
              <w:t>1000</w:t>
            </w:r>
            <w:r>
              <w:rPr>
                <w:rStyle w:val="245"/>
                <w:rFonts w:ascii="仿宋" w:hAnsi="仿宋" w:eastAsia="仿宋" w:cs="仿宋"/>
                <w:color w:val="auto"/>
                <w:highlight w:val="none"/>
              </w:rPr>
              <w:t>元；</w:t>
            </w:r>
          </w:p>
        </w:tc>
        <w:tc>
          <w:tcPr>
            <w:tcW w:w="2179" w:type="dxa"/>
            <w:tcBorders>
              <w:top w:val="nil"/>
              <w:left w:val="nil"/>
              <w:bottom w:val="nil"/>
              <w:right w:val="single" w:color="000000" w:sz="8" w:space="0"/>
            </w:tcBorders>
            <w:shd w:val="clear" w:color="auto" w:fill="auto"/>
            <w:vAlign w:val="center"/>
          </w:tcPr>
          <w:p w14:paraId="4E049296">
            <w:pPr>
              <w:jc w:val="center"/>
              <w:rPr>
                <w:rFonts w:ascii="仿宋" w:hAnsi="仿宋" w:eastAsia="仿宋" w:cs="仿宋"/>
                <w:color w:val="auto"/>
                <w:szCs w:val="21"/>
                <w:highlight w:val="none"/>
              </w:rPr>
            </w:pPr>
          </w:p>
        </w:tc>
      </w:tr>
      <w:tr w14:paraId="21E6B234">
        <w:tblPrEx>
          <w:tblCellMar>
            <w:top w:w="0" w:type="dxa"/>
            <w:left w:w="108" w:type="dxa"/>
            <w:bottom w:w="0" w:type="dxa"/>
            <w:right w:w="108" w:type="dxa"/>
          </w:tblCellMar>
        </w:tblPrEx>
        <w:trPr>
          <w:trHeight w:val="600" w:hRule="atLeast"/>
        </w:trPr>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14:paraId="6CB91D6D">
            <w:pPr>
              <w:jc w:val="center"/>
              <w:rPr>
                <w:rFonts w:ascii="仿宋" w:hAnsi="仿宋" w:eastAsia="仿宋" w:cs="仿宋"/>
                <w:color w:val="auto"/>
                <w:sz w:val="24"/>
                <w:szCs w:val="24"/>
                <w:highlight w:val="none"/>
              </w:rPr>
            </w:pPr>
          </w:p>
        </w:tc>
        <w:tc>
          <w:tcPr>
            <w:tcW w:w="1139" w:type="dxa"/>
            <w:vMerge w:val="continue"/>
            <w:tcBorders>
              <w:top w:val="nil"/>
              <w:left w:val="nil"/>
              <w:bottom w:val="single" w:color="000000" w:sz="8" w:space="0"/>
              <w:right w:val="single" w:color="000000" w:sz="8" w:space="0"/>
            </w:tcBorders>
            <w:shd w:val="clear" w:color="auto" w:fill="auto"/>
            <w:vAlign w:val="center"/>
          </w:tcPr>
          <w:p w14:paraId="275B42E7">
            <w:pPr>
              <w:jc w:val="center"/>
              <w:rPr>
                <w:rFonts w:ascii="仿宋" w:hAnsi="仿宋" w:eastAsia="仿宋" w:cs="仿宋"/>
                <w:color w:val="auto"/>
                <w:sz w:val="24"/>
                <w:szCs w:val="24"/>
                <w:highlight w:val="none"/>
              </w:rPr>
            </w:pPr>
          </w:p>
        </w:tc>
        <w:tc>
          <w:tcPr>
            <w:tcW w:w="1649" w:type="dxa"/>
            <w:vMerge w:val="continue"/>
            <w:tcBorders>
              <w:top w:val="nil"/>
              <w:left w:val="nil"/>
              <w:bottom w:val="single" w:color="000000" w:sz="8" w:space="0"/>
              <w:right w:val="single" w:color="000000" w:sz="8" w:space="0"/>
            </w:tcBorders>
            <w:shd w:val="clear" w:color="auto" w:fill="auto"/>
            <w:vAlign w:val="center"/>
          </w:tcPr>
          <w:p w14:paraId="5B99D82F">
            <w:pPr>
              <w:jc w:val="center"/>
              <w:rPr>
                <w:rFonts w:ascii="仿宋" w:hAnsi="仿宋" w:eastAsia="仿宋" w:cs="仿宋"/>
                <w:color w:val="auto"/>
                <w:sz w:val="22"/>
                <w:highlight w:val="none"/>
              </w:rPr>
            </w:pPr>
          </w:p>
        </w:tc>
        <w:tc>
          <w:tcPr>
            <w:tcW w:w="4223" w:type="dxa"/>
            <w:tcBorders>
              <w:top w:val="nil"/>
              <w:left w:val="nil"/>
              <w:bottom w:val="nil"/>
              <w:right w:val="single" w:color="000000" w:sz="8" w:space="0"/>
            </w:tcBorders>
            <w:shd w:val="clear" w:color="auto" w:fill="auto"/>
            <w:vAlign w:val="center"/>
          </w:tcPr>
          <w:p w14:paraId="552F027B">
            <w:pPr>
              <w:jc w:val="both"/>
              <w:rPr>
                <w:rFonts w:ascii="仿宋" w:hAnsi="仿宋" w:eastAsia="仿宋" w:cs="仿宋"/>
                <w:color w:val="auto"/>
                <w:sz w:val="22"/>
                <w:highlight w:val="none"/>
              </w:rPr>
            </w:pPr>
            <w:r>
              <w:rPr>
                <w:rStyle w:val="244"/>
                <w:rFonts w:ascii="仿宋" w:hAnsi="仿宋" w:eastAsia="仿宋" w:cs="仿宋"/>
                <w:color w:val="auto"/>
                <w:highlight w:val="none"/>
              </w:rPr>
              <w:t>发生三</w:t>
            </w:r>
            <w:r>
              <w:rPr>
                <w:rStyle w:val="245"/>
                <w:rFonts w:ascii="仿宋" w:hAnsi="仿宋" w:eastAsia="仿宋" w:cs="仿宋"/>
                <w:color w:val="auto"/>
                <w:highlight w:val="none"/>
              </w:rPr>
              <w:t>例</w:t>
            </w:r>
            <w:r>
              <w:rPr>
                <w:rStyle w:val="244"/>
                <w:rFonts w:ascii="仿宋" w:hAnsi="仿宋" w:eastAsia="仿宋" w:cs="仿宋"/>
                <w:color w:val="auto"/>
                <w:highlight w:val="none"/>
              </w:rPr>
              <w:t>（含），扣除供应商服务费</w:t>
            </w:r>
            <w:r>
              <w:rPr>
                <w:rStyle w:val="246"/>
                <w:rFonts w:ascii="仿宋" w:hAnsi="仿宋" w:eastAsia="仿宋" w:cs="仿宋"/>
                <w:color w:val="auto"/>
                <w:highlight w:val="none"/>
              </w:rPr>
              <w:t>5000</w:t>
            </w:r>
            <w:r>
              <w:rPr>
                <w:rStyle w:val="245"/>
                <w:rFonts w:ascii="仿宋" w:hAnsi="仿宋" w:eastAsia="仿宋" w:cs="仿宋"/>
                <w:color w:val="auto"/>
                <w:highlight w:val="none"/>
              </w:rPr>
              <w:t>元；</w:t>
            </w:r>
          </w:p>
        </w:tc>
        <w:tc>
          <w:tcPr>
            <w:tcW w:w="2179" w:type="dxa"/>
            <w:tcBorders>
              <w:top w:val="nil"/>
              <w:left w:val="nil"/>
              <w:bottom w:val="nil"/>
              <w:right w:val="single" w:color="000000" w:sz="8" w:space="0"/>
            </w:tcBorders>
            <w:shd w:val="clear" w:color="auto" w:fill="auto"/>
            <w:vAlign w:val="center"/>
          </w:tcPr>
          <w:p w14:paraId="18C23C47">
            <w:pPr>
              <w:jc w:val="center"/>
              <w:rPr>
                <w:rFonts w:ascii="仿宋" w:hAnsi="仿宋" w:eastAsia="仿宋" w:cs="仿宋"/>
                <w:color w:val="auto"/>
                <w:szCs w:val="21"/>
                <w:highlight w:val="none"/>
              </w:rPr>
            </w:pPr>
          </w:p>
        </w:tc>
      </w:tr>
      <w:tr w14:paraId="6AD3C197">
        <w:tblPrEx>
          <w:tblCellMar>
            <w:top w:w="0" w:type="dxa"/>
            <w:left w:w="108" w:type="dxa"/>
            <w:bottom w:w="0" w:type="dxa"/>
            <w:right w:w="108" w:type="dxa"/>
          </w:tblCellMar>
        </w:tblPrEx>
        <w:trPr>
          <w:trHeight w:val="1160" w:hRule="atLeast"/>
        </w:trPr>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14:paraId="0D33A3A0">
            <w:pPr>
              <w:jc w:val="center"/>
              <w:rPr>
                <w:rFonts w:ascii="仿宋" w:hAnsi="仿宋" w:eastAsia="仿宋" w:cs="仿宋"/>
                <w:color w:val="auto"/>
                <w:sz w:val="24"/>
                <w:szCs w:val="24"/>
                <w:highlight w:val="none"/>
              </w:rPr>
            </w:pPr>
          </w:p>
        </w:tc>
        <w:tc>
          <w:tcPr>
            <w:tcW w:w="1139" w:type="dxa"/>
            <w:vMerge w:val="continue"/>
            <w:tcBorders>
              <w:top w:val="nil"/>
              <w:left w:val="nil"/>
              <w:bottom w:val="single" w:color="000000" w:sz="8" w:space="0"/>
              <w:right w:val="single" w:color="000000" w:sz="8" w:space="0"/>
            </w:tcBorders>
            <w:shd w:val="clear" w:color="auto" w:fill="auto"/>
            <w:vAlign w:val="center"/>
          </w:tcPr>
          <w:p w14:paraId="275ABA05">
            <w:pPr>
              <w:jc w:val="center"/>
              <w:rPr>
                <w:rFonts w:ascii="仿宋" w:hAnsi="仿宋" w:eastAsia="仿宋" w:cs="仿宋"/>
                <w:color w:val="auto"/>
                <w:sz w:val="24"/>
                <w:szCs w:val="24"/>
                <w:highlight w:val="none"/>
              </w:rPr>
            </w:pPr>
          </w:p>
        </w:tc>
        <w:tc>
          <w:tcPr>
            <w:tcW w:w="1649" w:type="dxa"/>
            <w:vMerge w:val="continue"/>
            <w:tcBorders>
              <w:top w:val="nil"/>
              <w:left w:val="nil"/>
              <w:bottom w:val="single" w:color="000000" w:sz="8" w:space="0"/>
              <w:right w:val="single" w:color="000000" w:sz="8" w:space="0"/>
            </w:tcBorders>
            <w:shd w:val="clear" w:color="auto" w:fill="auto"/>
            <w:vAlign w:val="center"/>
          </w:tcPr>
          <w:p w14:paraId="18B8CDE3">
            <w:pPr>
              <w:jc w:val="center"/>
              <w:rPr>
                <w:rFonts w:ascii="仿宋" w:hAnsi="仿宋" w:eastAsia="仿宋" w:cs="仿宋"/>
                <w:color w:val="auto"/>
                <w:sz w:val="22"/>
                <w:highlight w:val="none"/>
              </w:rPr>
            </w:pPr>
          </w:p>
        </w:tc>
        <w:tc>
          <w:tcPr>
            <w:tcW w:w="4223" w:type="dxa"/>
            <w:tcBorders>
              <w:top w:val="nil"/>
              <w:left w:val="nil"/>
              <w:bottom w:val="single" w:color="000000" w:sz="8" w:space="0"/>
              <w:right w:val="single" w:color="000000" w:sz="8" w:space="0"/>
            </w:tcBorders>
            <w:shd w:val="clear" w:color="auto" w:fill="auto"/>
            <w:vAlign w:val="center"/>
          </w:tcPr>
          <w:p w14:paraId="0BCE4EB8">
            <w:pPr>
              <w:jc w:val="both"/>
              <w:rPr>
                <w:rFonts w:ascii="仿宋" w:hAnsi="仿宋" w:eastAsia="仿宋" w:cs="仿宋"/>
                <w:color w:val="auto"/>
                <w:sz w:val="22"/>
                <w:highlight w:val="none"/>
              </w:rPr>
            </w:pPr>
            <w:r>
              <w:rPr>
                <w:rStyle w:val="244"/>
                <w:rFonts w:ascii="仿宋" w:hAnsi="仿宋" w:eastAsia="仿宋" w:cs="仿宋"/>
                <w:color w:val="auto"/>
                <w:highlight w:val="none"/>
              </w:rPr>
              <w:t>发生五</w:t>
            </w:r>
            <w:r>
              <w:rPr>
                <w:rStyle w:val="245"/>
                <w:rFonts w:ascii="仿宋" w:hAnsi="仿宋" w:eastAsia="仿宋" w:cs="仿宋"/>
                <w:color w:val="auto"/>
                <w:highlight w:val="none"/>
              </w:rPr>
              <w:t>例</w:t>
            </w:r>
            <w:r>
              <w:rPr>
                <w:rStyle w:val="244"/>
                <w:rFonts w:ascii="仿宋" w:hAnsi="仿宋" w:eastAsia="仿宋" w:cs="仿宋"/>
                <w:color w:val="auto"/>
                <w:highlight w:val="none"/>
              </w:rPr>
              <w:t>（含）及以上，委托人有权终止合同，并向委托人赔偿所造成的实际损失；</w:t>
            </w:r>
          </w:p>
        </w:tc>
        <w:tc>
          <w:tcPr>
            <w:tcW w:w="2179" w:type="dxa"/>
            <w:tcBorders>
              <w:top w:val="nil"/>
              <w:left w:val="nil"/>
              <w:bottom w:val="single" w:color="000000" w:sz="8" w:space="0"/>
              <w:right w:val="single" w:color="000000" w:sz="8" w:space="0"/>
            </w:tcBorders>
            <w:shd w:val="clear" w:color="auto" w:fill="auto"/>
            <w:vAlign w:val="center"/>
          </w:tcPr>
          <w:p w14:paraId="658B0707">
            <w:pPr>
              <w:jc w:val="center"/>
              <w:rPr>
                <w:rFonts w:ascii="仿宋" w:hAnsi="仿宋" w:eastAsia="仿宋" w:cs="仿宋"/>
                <w:color w:val="auto"/>
                <w:szCs w:val="21"/>
                <w:highlight w:val="none"/>
              </w:rPr>
            </w:pPr>
          </w:p>
        </w:tc>
      </w:tr>
      <w:tr w14:paraId="7CECB910">
        <w:tblPrEx>
          <w:tblCellMar>
            <w:top w:w="0" w:type="dxa"/>
            <w:left w:w="108" w:type="dxa"/>
            <w:bottom w:w="0" w:type="dxa"/>
            <w:right w:w="108" w:type="dxa"/>
          </w:tblCellMar>
        </w:tblPrEx>
        <w:trPr>
          <w:trHeight w:val="600" w:hRule="atLeast"/>
        </w:trPr>
        <w:tc>
          <w:tcPr>
            <w:tcW w:w="890" w:type="dxa"/>
            <w:vMerge w:val="restart"/>
            <w:tcBorders>
              <w:top w:val="nil"/>
              <w:left w:val="single" w:color="000000" w:sz="8" w:space="0"/>
              <w:bottom w:val="single" w:color="000000" w:sz="8" w:space="0"/>
              <w:right w:val="single" w:color="000000" w:sz="8" w:space="0"/>
            </w:tcBorders>
            <w:shd w:val="clear" w:color="auto" w:fill="auto"/>
            <w:vAlign w:val="center"/>
          </w:tcPr>
          <w:p w14:paraId="774E883B">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139" w:type="dxa"/>
            <w:vMerge w:val="restart"/>
            <w:tcBorders>
              <w:top w:val="nil"/>
              <w:left w:val="nil"/>
              <w:bottom w:val="single" w:color="000000" w:sz="8" w:space="0"/>
              <w:right w:val="single" w:color="000000" w:sz="8" w:space="0"/>
            </w:tcBorders>
            <w:shd w:val="clear" w:color="auto" w:fill="auto"/>
            <w:vAlign w:val="center"/>
          </w:tcPr>
          <w:p w14:paraId="5F4BD5A0">
            <w:pPr>
              <w:jc w:val="center"/>
              <w:rPr>
                <w:rFonts w:ascii="仿宋" w:hAnsi="仿宋" w:eastAsia="仿宋" w:cs="仿宋"/>
                <w:color w:val="auto"/>
                <w:sz w:val="24"/>
                <w:szCs w:val="24"/>
                <w:highlight w:val="none"/>
              </w:rPr>
            </w:pPr>
            <w:r>
              <w:rPr>
                <w:rStyle w:val="243"/>
                <w:rFonts w:ascii="仿宋" w:hAnsi="仿宋" w:eastAsia="仿宋" w:cs="仿宋"/>
                <w:color w:val="auto"/>
                <w:highlight w:val="none"/>
              </w:rPr>
              <w:t>鉴定质量</w:t>
            </w:r>
          </w:p>
        </w:tc>
        <w:tc>
          <w:tcPr>
            <w:tcW w:w="1649" w:type="dxa"/>
            <w:vMerge w:val="restart"/>
            <w:tcBorders>
              <w:top w:val="nil"/>
              <w:left w:val="nil"/>
              <w:bottom w:val="single" w:color="000000" w:sz="8" w:space="0"/>
              <w:right w:val="single" w:color="000000" w:sz="8" w:space="0"/>
            </w:tcBorders>
            <w:shd w:val="clear" w:color="auto" w:fill="auto"/>
            <w:vAlign w:val="center"/>
          </w:tcPr>
          <w:p w14:paraId="6073D715">
            <w:pPr>
              <w:jc w:val="center"/>
              <w:rPr>
                <w:rFonts w:ascii="仿宋" w:hAnsi="仿宋" w:eastAsia="仿宋" w:cs="仿宋"/>
                <w:color w:val="auto"/>
                <w:sz w:val="22"/>
                <w:highlight w:val="none"/>
              </w:rPr>
            </w:pPr>
            <w:r>
              <w:rPr>
                <w:rStyle w:val="244"/>
                <w:rFonts w:ascii="仿宋" w:hAnsi="仿宋" w:eastAsia="仿宋" w:cs="仿宋"/>
                <w:color w:val="auto"/>
                <w:highlight w:val="none"/>
              </w:rPr>
              <w:t>因供应商内部审核不严，出现文字错误</w:t>
            </w:r>
          </w:p>
        </w:tc>
        <w:tc>
          <w:tcPr>
            <w:tcW w:w="4223" w:type="dxa"/>
            <w:tcBorders>
              <w:top w:val="nil"/>
              <w:left w:val="nil"/>
              <w:bottom w:val="nil"/>
              <w:right w:val="single" w:color="000000" w:sz="8" w:space="0"/>
            </w:tcBorders>
            <w:shd w:val="clear" w:color="auto" w:fill="auto"/>
            <w:vAlign w:val="center"/>
          </w:tcPr>
          <w:p w14:paraId="6BE9EB8E">
            <w:pPr>
              <w:jc w:val="both"/>
              <w:rPr>
                <w:rFonts w:ascii="仿宋" w:hAnsi="仿宋" w:eastAsia="仿宋" w:cs="仿宋"/>
                <w:color w:val="auto"/>
                <w:szCs w:val="21"/>
                <w:highlight w:val="none"/>
              </w:rPr>
            </w:pPr>
            <w:r>
              <w:rPr>
                <w:rStyle w:val="245"/>
                <w:rFonts w:ascii="仿宋" w:hAnsi="仿宋" w:eastAsia="仿宋" w:cs="仿宋"/>
                <w:color w:val="auto"/>
                <w:highlight w:val="none"/>
              </w:rPr>
              <w:t>发生一例</w:t>
            </w:r>
            <w:r>
              <w:rPr>
                <w:rStyle w:val="244"/>
                <w:rFonts w:ascii="仿宋" w:hAnsi="仿宋" w:eastAsia="仿宋" w:cs="仿宋"/>
                <w:color w:val="auto"/>
                <w:highlight w:val="none"/>
              </w:rPr>
              <w:t>，扣除供应商服务费</w:t>
            </w:r>
            <w:r>
              <w:rPr>
                <w:rStyle w:val="246"/>
                <w:rFonts w:ascii="仿宋" w:hAnsi="仿宋" w:eastAsia="仿宋" w:cs="仿宋"/>
                <w:color w:val="auto"/>
                <w:highlight w:val="none"/>
              </w:rPr>
              <w:t>100</w:t>
            </w:r>
            <w:r>
              <w:rPr>
                <w:rStyle w:val="245"/>
                <w:rFonts w:ascii="仿宋" w:hAnsi="仿宋" w:eastAsia="仿宋" w:cs="仿宋"/>
                <w:color w:val="auto"/>
                <w:highlight w:val="none"/>
              </w:rPr>
              <w:t>元；</w:t>
            </w:r>
          </w:p>
        </w:tc>
        <w:tc>
          <w:tcPr>
            <w:tcW w:w="2179" w:type="dxa"/>
            <w:tcBorders>
              <w:top w:val="nil"/>
              <w:left w:val="nil"/>
              <w:bottom w:val="nil"/>
              <w:right w:val="single" w:color="000000" w:sz="8" w:space="0"/>
            </w:tcBorders>
            <w:shd w:val="clear" w:color="auto" w:fill="auto"/>
            <w:vAlign w:val="center"/>
          </w:tcPr>
          <w:p w14:paraId="5F506545">
            <w:pPr>
              <w:jc w:val="center"/>
              <w:rPr>
                <w:rFonts w:ascii="仿宋" w:hAnsi="仿宋" w:eastAsia="仿宋" w:cs="仿宋"/>
                <w:color w:val="auto"/>
                <w:szCs w:val="21"/>
                <w:highlight w:val="none"/>
              </w:rPr>
            </w:pPr>
          </w:p>
        </w:tc>
      </w:tr>
      <w:tr w14:paraId="362B3E43">
        <w:tblPrEx>
          <w:tblCellMar>
            <w:top w:w="0" w:type="dxa"/>
            <w:left w:w="108" w:type="dxa"/>
            <w:bottom w:w="0" w:type="dxa"/>
            <w:right w:w="108" w:type="dxa"/>
          </w:tblCellMar>
        </w:tblPrEx>
        <w:trPr>
          <w:trHeight w:val="1780" w:hRule="atLeast"/>
        </w:trPr>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14:paraId="529925FD">
            <w:pPr>
              <w:jc w:val="center"/>
              <w:rPr>
                <w:rFonts w:ascii="仿宋" w:hAnsi="仿宋" w:eastAsia="仿宋" w:cs="仿宋"/>
                <w:color w:val="auto"/>
                <w:sz w:val="24"/>
                <w:szCs w:val="24"/>
                <w:highlight w:val="none"/>
              </w:rPr>
            </w:pPr>
          </w:p>
        </w:tc>
        <w:tc>
          <w:tcPr>
            <w:tcW w:w="1139" w:type="dxa"/>
            <w:vMerge w:val="continue"/>
            <w:tcBorders>
              <w:top w:val="nil"/>
              <w:left w:val="nil"/>
              <w:bottom w:val="single" w:color="000000" w:sz="8" w:space="0"/>
              <w:right w:val="single" w:color="000000" w:sz="8" w:space="0"/>
            </w:tcBorders>
            <w:shd w:val="clear" w:color="auto" w:fill="auto"/>
            <w:vAlign w:val="center"/>
          </w:tcPr>
          <w:p w14:paraId="57600B2F">
            <w:pPr>
              <w:jc w:val="center"/>
              <w:rPr>
                <w:rFonts w:ascii="仿宋" w:hAnsi="仿宋" w:eastAsia="仿宋" w:cs="仿宋"/>
                <w:color w:val="auto"/>
                <w:sz w:val="24"/>
                <w:szCs w:val="24"/>
                <w:highlight w:val="none"/>
              </w:rPr>
            </w:pPr>
          </w:p>
        </w:tc>
        <w:tc>
          <w:tcPr>
            <w:tcW w:w="1649" w:type="dxa"/>
            <w:vMerge w:val="continue"/>
            <w:tcBorders>
              <w:top w:val="nil"/>
              <w:left w:val="nil"/>
              <w:bottom w:val="single" w:color="000000" w:sz="8" w:space="0"/>
              <w:right w:val="single" w:color="000000" w:sz="8" w:space="0"/>
            </w:tcBorders>
            <w:shd w:val="clear" w:color="auto" w:fill="auto"/>
            <w:vAlign w:val="center"/>
          </w:tcPr>
          <w:p w14:paraId="48C051EE">
            <w:pPr>
              <w:jc w:val="center"/>
              <w:rPr>
                <w:rFonts w:ascii="仿宋" w:hAnsi="仿宋" w:eastAsia="仿宋" w:cs="仿宋"/>
                <w:color w:val="auto"/>
                <w:sz w:val="22"/>
                <w:highlight w:val="none"/>
              </w:rPr>
            </w:pPr>
          </w:p>
        </w:tc>
        <w:tc>
          <w:tcPr>
            <w:tcW w:w="4223" w:type="dxa"/>
            <w:tcBorders>
              <w:top w:val="nil"/>
              <w:left w:val="nil"/>
              <w:right w:val="single" w:color="000000" w:sz="8" w:space="0"/>
            </w:tcBorders>
            <w:shd w:val="clear" w:color="auto" w:fill="auto"/>
            <w:vAlign w:val="center"/>
          </w:tcPr>
          <w:p w14:paraId="78CA38E1">
            <w:pPr>
              <w:jc w:val="both"/>
              <w:rPr>
                <w:rFonts w:ascii="仿宋" w:hAnsi="仿宋" w:eastAsia="仿宋" w:cs="仿宋"/>
                <w:color w:val="auto"/>
                <w:sz w:val="22"/>
                <w:highlight w:val="none"/>
              </w:rPr>
            </w:pPr>
            <w:r>
              <w:rPr>
                <w:rStyle w:val="244"/>
                <w:rFonts w:ascii="仿宋" w:hAnsi="仿宋" w:eastAsia="仿宋" w:cs="仿宋"/>
                <w:color w:val="auto"/>
                <w:highlight w:val="none"/>
              </w:rPr>
              <w:t>给委托人造成严重负面影响及损失的，甲方可以解除合同，并向委托人赔偿所造成的实际损失</w:t>
            </w:r>
          </w:p>
        </w:tc>
        <w:tc>
          <w:tcPr>
            <w:tcW w:w="2179" w:type="dxa"/>
            <w:tcBorders>
              <w:top w:val="nil"/>
              <w:left w:val="nil"/>
              <w:bottom w:val="single" w:color="000000" w:sz="8" w:space="0"/>
              <w:right w:val="single" w:color="000000" w:sz="8" w:space="0"/>
            </w:tcBorders>
            <w:shd w:val="clear" w:color="auto" w:fill="auto"/>
            <w:vAlign w:val="center"/>
          </w:tcPr>
          <w:p w14:paraId="751A1B79">
            <w:pPr>
              <w:jc w:val="center"/>
              <w:rPr>
                <w:rFonts w:ascii="仿宋" w:hAnsi="仿宋" w:eastAsia="仿宋" w:cs="仿宋"/>
                <w:color w:val="auto"/>
                <w:szCs w:val="21"/>
                <w:highlight w:val="none"/>
              </w:rPr>
            </w:pPr>
          </w:p>
        </w:tc>
      </w:tr>
      <w:tr w14:paraId="7499315A">
        <w:tblPrEx>
          <w:tblCellMar>
            <w:top w:w="0" w:type="dxa"/>
            <w:left w:w="108" w:type="dxa"/>
            <w:bottom w:w="0" w:type="dxa"/>
            <w:right w:w="108" w:type="dxa"/>
          </w:tblCellMar>
        </w:tblPrEx>
        <w:trPr>
          <w:trHeight w:val="600" w:hRule="atLeast"/>
        </w:trPr>
        <w:tc>
          <w:tcPr>
            <w:tcW w:w="890" w:type="dxa"/>
            <w:vMerge w:val="restart"/>
            <w:tcBorders>
              <w:top w:val="nil"/>
              <w:left w:val="single" w:color="000000" w:sz="8" w:space="0"/>
              <w:bottom w:val="single" w:color="000000" w:sz="8" w:space="0"/>
              <w:right w:val="single" w:color="000000" w:sz="8" w:space="0"/>
            </w:tcBorders>
            <w:shd w:val="clear" w:color="auto" w:fill="auto"/>
            <w:vAlign w:val="center"/>
          </w:tcPr>
          <w:p w14:paraId="235184DB">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139" w:type="dxa"/>
            <w:vMerge w:val="restart"/>
            <w:tcBorders>
              <w:top w:val="nil"/>
              <w:left w:val="nil"/>
              <w:bottom w:val="single" w:color="000000" w:sz="8" w:space="0"/>
              <w:right w:val="single" w:color="000000" w:sz="8" w:space="0"/>
            </w:tcBorders>
            <w:shd w:val="clear" w:color="auto" w:fill="auto"/>
            <w:vAlign w:val="center"/>
          </w:tcPr>
          <w:p w14:paraId="1876993A">
            <w:pPr>
              <w:jc w:val="center"/>
              <w:rPr>
                <w:rFonts w:ascii="仿宋" w:hAnsi="仿宋" w:eastAsia="仿宋" w:cs="仿宋"/>
                <w:color w:val="auto"/>
                <w:sz w:val="24"/>
                <w:szCs w:val="24"/>
                <w:highlight w:val="none"/>
              </w:rPr>
            </w:pPr>
            <w:r>
              <w:rPr>
                <w:rStyle w:val="243"/>
                <w:rFonts w:ascii="仿宋" w:hAnsi="仿宋" w:eastAsia="仿宋" w:cs="仿宋"/>
                <w:color w:val="auto"/>
                <w:highlight w:val="none"/>
              </w:rPr>
              <w:t>鉴定质量</w:t>
            </w:r>
          </w:p>
        </w:tc>
        <w:tc>
          <w:tcPr>
            <w:tcW w:w="1649" w:type="dxa"/>
            <w:vMerge w:val="restart"/>
            <w:tcBorders>
              <w:top w:val="nil"/>
              <w:left w:val="nil"/>
              <w:bottom w:val="single" w:color="000000" w:sz="8" w:space="0"/>
              <w:right w:val="single" w:color="000000" w:sz="8" w:space="0"/>
            </w:tcBorders>
            <w:shd w:val="clear" w:color="auto" w:fill="auto"/>
            <w:vAlign w:val="center"/>
          </w:tcPr>
          <w:p w14:paraId="5B4645E8">
            <w:pPr>
              <w:jc w:val="center"/>
              <w:rPr>
                <w:rFonts w:ascii="仿宋" w:hAnsi="仿宋" w:eastAsia="仿宋" w:cs="仿宋"/>
                <w:color w:val="auto"/>
                <w:sz w:val="22"/>
                <w:highlight w:val="none"/>
              </w:rPr>
            </w:pPr>
            <w:r>
              <w:rPr>
                <w:rStyle w:val="244"/>
                <w:rFonts w:ascii="仿宋" w:hAnsi="仿宋" w:eastAsia="仿宋" w:cs="仿宋"/>
                <w:color w:val="auto"/>
                <w:highlight w:val="none"/>
              </w:rPr>
              <w:t>供应商未按行业内认可的技术规范和方法开展鉴定工作，出具的鉴定意见书存在偏差</w:t>
            </w:r>
          </w:p>
        </w:tc>
        <w:tc>
          <w:tcPr>
            <w:tcW w:w="4223" w:type="dxa"/>
            <w:tcBorders>
              <w:top w:val="nil"/>
              <w:left w:val="nil"/>
              <w:bottom w:val="nil"/>
              <w:right w:val="single" w:color="000000" w:sz="8" w:space="0"/>
            </w:tcBorders>
            <w:shd w:val="clear" w:color="auto" w:fill="auto"/>
            <w:vAlign w:val="center"/>
          </w:tcPr>
          <w:p w14:paraId="6BE2BBC7">
            <w:pPr>
              <w:jc w:val="both"/>
              <w:rPr>
                <w:rFonts w:ascii="仿宋" w:hAnsi="仿宋" w:eastAsia="仿宋" w:cs="仿宋"/>
                <w:color w:val="auto"/>
                <w:szCs w:val="21"/>
                <w:highlight w:val="none"/>
              </w:rPr>
            </w:pPr>
            <w:r>
              <w:rPr>
                <w:rStyle w:val="245"/>
                <w:rFonts w:ascii="仿宋" w:hAnsi="仿宋" w:eastAsia="仿宋" w:cs="仿宋"/>
                <w:color w:val="auto"/>
                <w:highlight w:val="none"/>
              </w:rPr>
              <w:t>发生一例</w:t>
            </w:r>
            <w:r>
              <w:rPr>
                <w:rStyle w:val="244"/>
                <w:rFonts w:ascii="仿宋" w:hAnsi="仿宋" w:eastAsia="仿宋" w:cs="仿宋"/>
                <w:color w:val="auto"/>
                <w:highlight w:val="none"/>
              </w:rPr>
              <w:t>，扣除供应商服务费</w:t>
            </w:r>
            <w:r>
              <w:rPr>
                <w:rStyle w:val="246"/>
                <w:rFonts w:ascii="仿宋" w:hAnsi="仿宋" w:eastAsia="仿宋" w:cs="仿宋"/>
                <w:color w:val="auto"/>
                <w:highlight w:val="none"/>
              </w:rPr>
              <w:t>1000</w:t>
            </w:r>
            <w:r>
              <w:rPr>
                <w:rStyle w:val="245"/>
                <w:rFonts w:ascii="仿宋" w:hAnsi="仿宋" w:eastAsia="仿宋" w:cs="仿宋"/>
                <w:color w:val="auto"/>
                <w:highlight w:val="none"/>
              </w:rPr>
              <w:t>元</w:t>
            </w:r>
            <w:r>
              <w:rPr>
                <w:rStyle w:val="246"/>
                <w:rFonts w:ascii="仿宋" w:hAnsi="仿宋" w:eastAsia="仿宋" w:cs="仿宋"/>
                <w:color w:val="auto"/>
                <w:highlight w:val="none"/>
              </w:rPr>
              <w:t>/</w:t>
            </w:r>
            <w:r>
              <w:rPr>
                <w:rStyle w:val="245"/>
                <w:rFonts w:ascii="仿宋" w:hAnsi="仿宋" w:eastAsia="仿宋" w:cs="仿宋"/>
                <w:color w:val="auto"/>
                <w:highlight w:val="none"/>
              </w:rPr>
              <w:t>次；</w:t>
            </w:r>
          </w:p>
        </w:tc>
        <w:tc>
          <w:tcPr>
            <w:tcW w:w="2179" w:type="dxa"/>
            <w:tcBorders>
              <w:top w:val="nil"/>
              <w:left w:val="nil"/>
              <w:bottom w:val="nil"/>
              <w:right w:val="single" w:color="000000" w:sz="8" w:space="0"/>
            </w:tcBorders>
            <w:shd w:val="clear" w:color="auto" w:fill="auto"/>
            <w:vAlign w:val="center"/>
          </w:tcPr>
          <w:p w14:paraId="47AC5CD6">
            <w:pPr>
              <w:jc w:val="center"/>
              <w:rPr>
                <w:rFonts w:ascii="仿宋" w:hAnsi="仿宋" w:eastAsia="仿宋" w:cs="仿宋"/>
                <w:color w:val="auto"/>
                <w:szCs w:val="21"/>
                <w:highlight w:val="none"/>
              </w:rPr>
            </w:pPr>
          </w:p>
        </w:tc>
      </w:tr>
      <w:tr w14:paraId="4882BB7E">
        <w:tblPrEx>
          <w:tblCellMar>
            <w:top w:w="0" w:type="dxa"/>
            <w:left w:w="108" w:type="dxa"/>
            <w:bottom w:w="0" w:type="dxa"/>
            <w:right w:w="108" w:type="dxa"/>
          </w:tblCellMar>
        </w:tblPrEx>
        <w:trPr>
          <w:trHeight w:val="600" w:hRule="atLeast"/>
        </w:trPr>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14:paraId="03AE4128">
            <w:pPr>
              <w:jc w:val="center"/>
              <w:rPr>
                <w:rFonts w:ascii="仿宋" w:hAnsi="仿宋" w:eastAsia="仿宋" w:cs="仿宋"/>
                <w:color w:val="auto"/>
                <w:sz w:val="24"/>
                <w:szCs w:val="24"/>
                <w:highlight w:val="none"/>
              </w:rPr>
            </w:pPr>
          </w:p>
        </w:tc>
        <w:tc>
          <w:tcPr>
            <w:tcW w:w="1139" w:type="dxa"/>
            <w:vMerge w:val="continue"/>
            <w:tcBorders>
              <w:top w:val="nil"/>
              <w:left w:val="nil"/>
              <w:bottom w:val="single" w:color="000000" w:sz="8" w:space="0"/>
              <w:right w:val="single" w:color="000000" w:sz="8" w:space="0"/>
            </w:tcBorders>
            <w:shd w:val="clear" w:color="auto" w:fill="auto"/>
            <w:vAlign w:val="center"/>
          </w:tcPr>
          <w:p w14:paraId="21AF9AF2">
            <w:pPr>
              <w:jc w:val="center"/>
              <w:rPr>
                <w:rFonts w:ascii="仿宋" w:hAnsi="仿宋" w:eastAsia="仿宋" w:cs="仿宋"/>
                <w:color w:val="auto"/>
                <w:sz w:val="24"/>
                <w:szCs w:val="24"/>
                <w:highlight w:val="none"/>
              </w:rPr>
            </w:pPr>
          </w:p>
        </w:tc>
        <w:tc>
          <w:tcPr>
            <w:tcW w:w="1649" w:type="dxa"/>
            <w:vMerge w:val="continue"/>
            <w:tcBorders>
              <w:top w:val="nil"/>
              <w:left w:val="nil"/>
              <w:bottom w:val="single" w:color="000000" w:sz="8" w:space="0"/>
              <w:right w:val="single" w:color="000000" w:sz="8" w:space="0"/>
            </w:tcBorders>
            <w:shd w:val="clear" w:color="auto" w:fill="auto"/>
            <w:vAlign w:val="center"/>
          </w:tcPr>
          <w:p w14:paraId="068A028C">
            <w:pPr>
              <w:jc w:val="center"/>
              <w:rPr>
                <w:rFonts w:ascii="仿宋" w:hAnsi="仿宋" w:eastAsia="仿宋" w:cs="仿宋"/>
                <w:color w:val="auto"/>
                <w:sz w:val="22"/>
                <w:highlight w:val="none"/>
              </w:rPr>
            </w:pPr>
          </w:p>
        </w:tc>
        <w:tc>
          <w:tcPr>
            <w:tcW w:w="4223" w:type="dxa"/>
            <w:tcBorders>
              <w:top w:val="nil"/>
              <w:left w:val="nil"/>
              <w:bottom w:val="nil"/>
              <w:right w:val="single" w:color="000000" w:sz="8" w:space="0"/>
            </w:tcBorders>
            <w:shd w:val="clear" w:color="auto" w:fill="auto"/>
            <w:vAlign w:val="center"/>
          </w:tcPr>
          <w:p w14:paraId="75D27771">
            <w:pPr>
              <w:jc w:val="both"/>
              <w:rPr>
                <w:rFonts w:ascii="仿宋" w:hAnsi="仿宋" w:eastAsia="仿宋" w:cs="仿宋"/>
                <w:color w:val="auto"/>
                <w:sz w:val="22"/>
                <w:highlight w:val="none"/>
              </w:rPr>
            </w:pPr>
            <w:r>
              <w:rPr>
                <w:rStyle w:val="244"/>
                <w:rFonts w:ascii="仿宋" w:hAnsi="仿宋" w:eastAsia="仿宋" w:cs="仿宋"/>
                <w:color w:val="auto"/>
                <w:highlight w:val="none"/>
              </w:rPr>
              <w:t>发生三</w:t>
            </w:r>
            <w:r>
              <w:rPr>
                <w:rStyle w:val="245"/>
                <w:rFonts w:ascii="仿宋" w:hAnsi="仿宋" w:eastAsia="仿宋" w:cs="仿宋"/>
                <w:color w:val="auto"/>
                <w:highlight w:val="none"/>
              </w:rPr>
              <w:t>例</w:t>
            </w:r>
            <w:r>
              <w:rPr>
                <w:rStyle w:val="244"/>
                <w:rFonts w:ascii="仿宋" w:hAnsi="仿宋" w:eastAsia="仿宋" w:cs="仿宋"/>
                <w:color w:val="auto"/>
                <w:highlight w:val="none"/>
              </w:rPr>
              <w:t>（含），扣除供应商服务费</w:t>
            </w:r>
            <w:r>
              <w:rPr>
                <w:rStyle w:val="246"/>
                <w:rFonts w:ascii="仿宋" w:hAnsi="仿宋" w:eastAsia="仿宋" w:cs="仿宋"/>
                <w:color w:val="auto"/>
                <w:highlight w:val="none"/>
              </w:rPr>
              <w:t>5000</w:t>
            </w:r>
            <w:r>
              <w:rPr>
                <w:rStyle w:val="245"/>
                <w:rFonts w:ascii="仿宋" w:hAnsi="仿宋" w:eastAsia="仿宋" w:cs="仿宋"/>
                <w:color w:val="auto"/>
                <w:highlight w:val="none"/>
              </w:rPr>
              <w:t>元；</w:t>
            </w:r>
          </w:p>
        </w:tc>
        <w:tc>
          <w:tcPr>
            <w:tcW w:w="2179" w:type="dxa"/>
            <w:tcBorders>
              <w:top w:val="nil"/>
              <w:left w:val="nil"/>
              <w:bottom w:val="nil"/>
              <w:right w:val="single" w:color="000000" w:sz="8" w:space="0"/>
            </w:tcBorders>
            <w:shd w:val="clear" w:color="auto" w:fill="auto"/>
            <w:vAlign w:val="center"/>
          </w:tcPr>
          <w:p w14:paraId="579B262C">
            <w:pPr>
              <w:jc w:val="center"/>
              <w:rPr>
                <w:rFonts w:ascii="仿宋" w:hAnsi="仿宋" w:eastAsia="仿宋" w:cs="仿宋"/>
                <w:color w:val="auto"/>
                <w:szCs w:val="21"/>
                <w:highlight w:val="none"/>
              </w:rPr>
            </w:pPr>
          </w:p>
        </w:tc>
      </w:tr>
      <w:tr w14:paraId="00C3C8D7">
        <w:tblPrEx>
          <w:tblCellMar>
            <w:top w:w="0" w:type="dxa"/>
            <w:left w:w="108" w:type="dxa"/>
            <w:bottom w:w="0" w:type="dxa"/>
            <w:right w:w="108" w:type="dxa"/>
          </w:tblCellMar>
        </w:tblPrEx>
        <w:trPr>
          <w:trHeight w:val="1160" w:hRule="atLeast"/>
        </w:trPr>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14:paraId="663A762B">
            <w:pPr>
              <w:jc w:val="center"/>
              <w:rPr>
                <w:rFonts w:ascii="仿宋" w:hAnsi="仿宋" w:eastAsia="仿宋" w:cs="仿宋"/>
                <w:color w:val="auto"/>
                <w:sz w:val="24"/>
                <w:szCs w:val="24"/>
                <w:highlight w:val="none"/>
              </w:rPr>
            </w:pPr>
          </w:p>
        </w:tc>
        <w:tc>
          <w:tcPr>
            <w:tcW w:w="1139" w:type="dxa"/>
            <w:vMerge w:val="continue"/>
            <w:tcBorders>
              <w:top w:val="nil"/>
              <w:left w:val="nil"/>
              <w:bottom w:val="single" w:color="000000" w:sz="8" w:space="0"/>
              <w:right w:val="single" w:color="000000" w:sz="8" w:space="0"/>
            </w:tcBorders>
            <w:shd w:val="clear" w:color="auto" w:fill="auto"/>
            <w:vAlign w:val="center"/>
          </w:tcPr>
          <w:p w14:paraId="2241F725">
            <w:pPr>
              <w:jc w:val="center"/>
              <w:rPr>
                <w:rFonts w:ascii="仿宋" w:hAnsi="仿宋" w:eastAsia="仿宋" w:cs="仿宋"/>
                <w:color w:val="auto"/>
                <w:sz w:val="24"/>
                <w:szCs w:val="24"/>
                <w:highlight w:val="none"/>
              </w:rPr>
            </w:pPr>
          </w:p>
        </w:tc>
        <w:tc>
          <w:tcPr>
            <w:tcW w:w="1649" w:type="dxa"/>
            <w:vMerge w:val="continue"/>
            <w:tcBorders>
              <w:top w:val="nil"/>
              <w:left w:val="nil"/>
              <w:bottom w:val="single" w:color="000000" w:sz="8" w:space="0"/>
              <w:right w:val="single" w:color="000000" w:sz="8" w:space="0"/>
            </w:tcBorders>
            <w:shd w:val="clear" w:color="auto" w:fill="auto"/>
            <w:vAlign w:val="center"/>
          </w:tcPr>
          <w:p w14:paraId="22E666AC">
            <w:pPr>
              <w:jc w:val="center"/>
              <w:rPr>
                <w:rFonts w:ascii="仿宋" w:hAnsi="仿宋" w:eastAsia="仿宋" w:cs="仿宋"/>
                <w:color w:val="auto"/>
                <w:sz w:val="22"/>
                <w:highlight w:val="none"/>
              </w:rPr>
            </w:pPr>
          </w:p>
        </w:tc>
        <w:tc>
          <w:tcPr>
            <w:tcW w:w="4223" w:type="dxa"/>
            <w:tcBorders>
              <w:top w:val="nil"/>
              <w:left w:val="nil"/>
              <w:bottom w:val="single" w:color="000000" w:sz="8" w:space="0"/>
              <w:right w:val="single" w:color="000000" w:sz="8" w:space="0"/>
            </w:tcBorders>
            <w:shd w:val="clear" w:color="auto" w:fill="auto"/>
            <w:vAlign w:val="center"/>
          </w:tcPr>
          <w:p w14:paraId="301B69B7">
            <w:pPr>
              <w:jc w:val="both"/>
              <w:rPr>
                <w:rFonts w:ascii="仿宋" w:hAnsi="仿宋" w:eastAsia="仿宋" w:cs="仿宋"/>
                <w:color w:val="auto"/>
                <w:sz w:val="22"/>
                <w:highlight w:val="none"/>
              </w:rPr>
            </w:pPr>
            <w:r>
              <w:rPr>
                <w:rStyle w:val="244"/>
                <w:rFonts w:ascii="仿宋" w:hAnsi="仿宋" w:eastAsia="仿宋" w:cs="仿宋"/>
                <w:color w:val="auto"/>
                <w:highlight w:val="none"/>
              </w:rPr>
              <w:t>发生五</w:t>
            </w:r>
            <w:r>
              <w:rPr>
                <w:rStyle w:val="245"/>
                <w:rFonts w:ascii="仿宋" w:hAnsi="仿宋" w:eastAsia="仿宋" w:cs="仿宋"/>
                <w:color w:val="auto"/>
                <w:highlight w:val="none"/>
              </w:rPr>
              <w:t>例</w:t>
            </w:r>
            <w:r>
              <w:rPr>
                <w:rStyle w:val="244"/>
                <w:rFonts w:ascii="仿宋" w:hAnsi="仿宋" w:eastAsia="仿宋" w:cs="仿宋"/>
                <w:color w:val="auto"/>
                <w:highlight w:val="none"/>
              </w:rPr>
              <w:t>（含）及以上或出现程序违法，委托人有权终止合同，并向委托人赔偿所造成的实际损失；</w:t>
            </w:r>
          </w:p>
        </w:tc>
        <w:tc>
          <w:tcPr>
            <w:tcW w:w="2179" w:type="dxa"/>
            <w:tcBorders>
              <w:top w:val="nil"/>
              <w:left w:val="nil"/>
              <w:bottom w:val="single" w:color="000000" w:sz="8" w:space="0"/>
              <w:right w:val="single" w:color="000000" w:sz="8" w:space="0"/>
            </w:tcBorders>
            <w:shd w:val="clear" w:color="auto" w:fill="auto"/>
            <w:vAlign w:val="center"/>
          </w:tcPr>
          <w:p w14:paraId="047B9378">
            <w:pPr>
              <w:jc w:val="center"/>
              <w:rPr>
                <w:rFonts w:ascii="仿宋" w:hAnsi="仿宋" w:eastAsia="仿宋" w:cs="仿宋"/>
                <w:color w:val="auto"/>
                <w:szCs w:val="21"/>
                <w:highlight w:val="none"/>
              </w:rPr>
            </w:pPr>
          </w:p>
        </w:tc>
      </w:tr>
      <w:tr w14:paraId="7BBDCB67">
        <w:tblPrEx>
          <w:tblCellMar>
            <w:top w:w="0" w:type="dxa"/>
            <w:left w:w="108" w:type="dxa"/>
            <w:bottom w:w="0" w:type="dxa"/>
            <w:right w:w="108" w:type="dxa"/>
          </w:tblCellMar>
        </w:tblPrEx>
        <w:trPr>
          <w:trHeight w:val="270" w:hRule="atLeast"/>
        </w:trPr>
        <w:tc>
          <w:tcPr>
            <w:tcW w:w="0" w:type="auto"/>
            <w:gridSpan w:val="5"/>
            <w:tcBorders>
              <w:top w:val="nil"/>
              <w:left w:val="nil"/>
              <w:bottom w:val="nil"/>
              <w:right w:val="nil"/>
            </w:tcBorders>
            <w:shd w:val="clear" w:color="auto" w:fill="auto"/>
            <w:noWrap/>
            <w:vAlign w:val="center"/>
          </w:tcPr>
          <w:p w14:paraId="10F4AFCE">
            <w:pP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注：上述考核需经委托人及供应商共同确认属实后实施。</w:t>
            </w:r>
          </w:p>
        </w:tc>
      </w:tr>
    </w:tbl>
    <w:p w14:paraId="5BBF33EA">
      <w:pPr>
        <w:spacing w:line="360" w:lineRule="auto"/>
        <w:rPr>
          <w:rFonts w:ascii="仿宋" w:hAnsi="仿宋" w:eastAsia="仿宋" w:cs="仿宋"/>
          <w:color w:val="auto"/>
          <w:sz w:val="22"/>
          <w:highlight w:val="none"/>
        </w:rPr>
      </w:pPr>
    </w:p>
    <w:p w14:paraId="38C9DEB5">
      <w:pPr>
        <w:rPr>
          <w:rFonts w:ascii="宋体" w:hAnsi="宋体" w:eastAsia="宋体" w:cs="宋体"/>
          <w:color w:val="auto"/>
          <w:sz w:val="36"/>
          <w:highlight w:val="none"/>
        </w:rPr>
      </w:pPr>
      <w:r>
        <w:rPr>
          <w:rFonts w:ascii="宋体" w:hAnsi="宋体" w:eastAsia="宋体" w:cs="宋体"/>
          <w:color w:val="auto"/>
          <w:sz w:val="36"/>
          <w:highlight w:val="none"/>
        </w:rPr>
        <w:br w:type="page"/>
      </w:r>
    </w:p>
    <w:p w14:paraId="60D119A7">
      <w:pPr>
        <w:autoSpaceDE w:val="0"/>
        <w:autoSpaceDN w:val="0"/>
        <w:adjustRightInd w:val="0"/>
        <w:spacing w:line="360" w:lineRule="auto"/>
        <w:jc w:val="both"/>
        <w:outlineLvl w:val="0"/>
        <w:rPr>
          <w:rFonts w:ascii="宋体" w:hAnsi="宋体" w:cs="宋体"/>
          <w:b/>
          <w:bCs/>
          <w:color w:val="auto"/>
          <w:sz w:val="36"/>
          <w:szCs w:val="36"/>
          <w:highlight w:val="none"/>
          <w:lang w:val="zh-CN"/>
        </w:rPr>
      </w:pPr>
    </w:p>
    <w:p w14:paraId="4EC9ACEA">
      <w:pPr>
        <w:autoSpaceDE w:val="0"/>
        <w:autoSpaceDN w:val="0"/>
        <w:adjustRightInd w:val="0"/>
        <w:spacing w:line="360" w:lineRule="auto"/>
        <w:ind w:left="560"/>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 xml:space="preserve">第六章 </w:t>
      </w:r>
      <w:r>
        <w:rPr>
          <w:rFonts w:hint="eastAsia" w:ascii="宋体" w:hAnsi="宋体" w:cs="宋体"/>
          <w:b/>
          <w:bCs/>
          <w:color w:val="auto"/>
          <w:sz w:val="36"/>
          <w:szCs w:val="36"/>
          <w:highlight w:val="none"/>
        </w:rPr>
        <w:t>投标文件</w:t>
      </w:r>
      <w:r>
        <w:rPr>
          <w:rFonts w:hint="eastAsia" w:ascii="宋体" w:hAnsi="宋体" w:cs="宋体"/>
          <w:b/>
          <w:bCs/>
          <w:color w:val="auto"/>
          <w:sz w:val="36"/>
          <w:szCs w:val="36"/>
          <w:highlight w:val="none"/>
          <w:lang w:val="zh-CN"/>
        </w:rPr>
        <w:t>格式</w:t>
      </w:r>
    </w:p>
    <w:p w14:paraId="1BBD2198">
      <w:pPr>
        <w:autoSpaceDE w:val="0"/>
        <w:autoSpaceDN w:val="0"/>
        <w:adjustRightInd w:val="0"/>
        <w:spacing w:line="360" w:lineRule="auto"/>
        <w:ind w:left="560"/>
        <w:jc w:val="center"/>
        <w:outlineLvl w:val="0"/>
        <w:rPr>
          <w:rFonts w:ascii="宋体" w:hAnsi="宋体" w:cs="宋体"/>
          <w:b/>
          <w:bCs/>
          <w:color w:val="auto"/>
          <w:sz w:val="36"/>
          <w:szCs w:val="36"/>
          <w:highlight w:val="none"/>
          <w:lang w:val="zh-CN"/>
        </w:rPr>
      </w:pPr>
    </w:p>
    <w:p w14:paraId="748233BE">
      <w:pPr>
        <w:spacing w:line="360" w:lineRule="auto"/>
        <w:jc w:val="center"/>
        <w:rPr>
          <w:rFonts w:ascii="宋体" w:hAnsi="宋体" w:cs="宋体"/>
          <w:b/>
          <w:color w:val="auto"/>
          <w:sz w:val="72"/>
          <w:highlight w:val="none"/>
        </w:rPr>
      </w:pPr>
    </w:p>
    <w:p w14:paraId="59961989">
      <w:pPr>
        <w:spacing w:line="360" w:lineRule="auto"/>
        <w:jc w:val="center"/>
        <w:rPr>
          <w:rFonts w:ascii="宋体" w:hAnsi="宋体" w:cs="宋体"/>
          <w:b/>
          <w:color w:val="auto"/>
          <w:sz w:val="72"/>
          <w:highlight w:val="none"/>
        </w:rPr>
      </w:pPr>
      <w:r>
        <w:rPr>
          <w:rFonts w:hint="eastAsia" w:ascii="宋体" w:hAnsi="宋体" w:cs="宋体"/>
          <w:b/>
          <w:color w:val="auto"/>
          <w:sz w:val="72"/>
          <w:highlight w:val="none"/>
        </w:rPr>
        <w:t>投标文件</w:t>
      </w:r>
    </w:p>
    <w:p w14:paraId="6162C25E">
      <w:pPr>
        <w:spacing w:line="360" w:lineRule="auto"/>
        <w:ind w:firstLine="3708" w:firstLineChars="1026"/>
        <w:rPr>
          <w:rFonts w:ascii="宋体" w:hAnsi="宋体" w:cs="宋体"/>
          <w:b/>
          <w:color w:val="auto"/>
          <w:sz w:val="36"/>
          <w:highlight w:val="none"/>
        </w:rPr>
      </w:pPr>
    </w:p>
    <w:p w14:paraId="75EA8D59">
      <w:pPr>
        <w:spacing w:line="360" w:lineRule="auto"/>
        <w:rPr>
          <w:rFonts w:ascii="宋体" w:hAnsi="宋体" w:cs="宋体"/>
          <w:b/>
          <w:color w:val="auto"/>
          <w:sz w:val="36"/>
          <w:highlight w:val="none"/>
        </w:rPr>
      </w:pPr>
    </w:p>
    <w:p w14:paraId="201CA3E4">
      <w:pPr>
        <w:spacing w:line="360" w:lineRule="auto"/>
        <w:jc w:val="center"/>
        <w:rPr>
          <w:rFonts w:ascii="宋体" w:hAnsi="宋体" w:cs="宋体"/>
          <w:b/>
          <w:color w:val="auto"/>
          <w:sz w:val="36"/>
          <w:highlight w:val="none"/>
        </w:rPr>
      </w:pPr>
    </w:p>
    <w:p w14:paraId="1CA0B877">
      <w:pPr>
        <w:spacing w:line="360" w:lineRule="auto"/>
        <w:jc w:val="center"/>
        <w:rPr>
          <w:rFonts w:ascii="宋体" w:hAnsi="宋体" w:cs="宋体"/>
          <w:b/>
          <w:color w:val="auto"/>
          <w:sz w:val="36"/>
          <w:highlight w:val="none"/>
        </w:rPr>
      </w:pPr>
    </w:p>
    <w:p w14:paraId="3743DE1B">
      <w:pPr>
        <w:spacing w:line="360" w:lineRule="auto"/>
        <w:ind w:firstLine="1084" w:firstLineChars="300"/>
        <w:rPr>
          <w:rFonts w:ascii="宋体" w:hAnsi="宋体" w:cs="宋体"/>
          <w:b/>
          <w:color w:val="auto"/>
          <w:sz w:val="36"/>
          <w:highlight w:val="none"/>
        </w:rPr>
      </w:pPr>
      <w:r>
        <w:rPr>
          <w:rFonts w:hint="eastAsia" w:ascii="宋体" w:hAnsi="宋体" w:cs="宋体"/>
          <w:b/>
          <w:color w:val="auto"/>
          <w:sz w:val="36"/>
          <w:highlight w:val="none"/>
        </w:rPr>
        <w:t xml:space="preserve">项 目 编 号： </w:t>
      </w:r>
      <w:r>
        <w:rPr>
          <w:rFonts w:hint="eastAsia" w:ascii="宋体" w:hAnsi="宋体" w:cs="宋体"/>
          <w:b/>
          <w:color w:val="auto"/>
          <w:sz w:val="36"/>
          <w:highlight w:val="none"/>
          <w:u w:val="single"/>
        </w:rPr>
        <w:t xml:space="preserve">               </w:t>
      </w:r>
    </w:p>
    <w:p w14:paraId="22B3C1C0">
      <w:pPr>
        <w:spacing w:line="360" w:lineRule="auto"/>
        <w:ind w:firstLine="1084" w:firstLineChars="300"/>
        <w:rPr>
          <w:rFonts w:ascii="宋体" w:hAnsi="宋体" w:cs="宋体"/>
          <w:b/>
          <w:color w:val="auto"/>
          <w:sz w:val="36"/>
          <w:highlight w:val="none"/>
          <w:u w:val="single"/>
        </w:rPr>
      </w:pPr>
      <w:r>
        <w:rPr>
          <w:rFonts w:hint="eastAsia" w:ascii="宋体" w:hAnsi="宋体" w:cs="宋体"/>
          <w:b/>
          <w:color w:val="auto"/>
          <w:sz w:val="36"/>
          <w:highlight w:val="none"/>
        </w:rPr>
        <w:t xml:space="preserve">项 目 名 称： </w:t>
      </w:r>
      <w:r>
        <w:rPr>
          <w:rFonts w:hint="eastAsia" w:ascii="宋体" w:hAnsi="宋体" w:cs="宋体"/>
          <w:b/>
          <w:color w:val="auto"/>
          <w:sz w:val="36"/>
          <w:highlight w:val="none"/>
          <w:u w:val="single"/>
        </w:rPr>
        <w:t xml:space="preserve">               </w:t>
      </w:r>
    </w:p>
    <w:p w14:paraId="4104B945">
      <w:pPr>
        <w:spacing w:line="360" w:lineRule="auto"/>
        <w:rPr>
          <w:rFonts w:ascii="宋体" w:hAnsi="宋体" w:cs="宋体"/>
          <w:b/>
          <w:color w:val="auto"/>
          <w:sz w:val="36"/>
          <w:highlight w:val="none"/>
        </w:rPr>
      </w:pPr>
    </w:p>
    <w:p w14:paraId="5FB30509">
      <w:pPr>
        <w:spacing w:line="360" w:lineRule="auto"/>
        <w:rPr>
          <w:rFonts w:ascii="宋体" w:hAnsi="宋体" w:cs="宋体"/>
          <w:b/>
          <w:color w:val="auto"/>
          <w:sz w:val="36"/>
          <w:highlight w:val="none"/>
        </w:rPr>
      </w:pPr>
    </w:p>
    <w:p w14:paraId="3B3E774C">
      <w:pPr>
        <w:spacing w:line="360" w:lineRule="auto"/>
        <w:rPr>
          <w:rFonts w:ascii="宋体" w:hAnsi="宋体" w:cs="宋体"/>
          <w:b/>
          <w:color w:val="auto"/>
          <w:sz w:val="36"/>
          <w:highlight w:val="none"/>
        </w:rPr>
      </w:pPr>
    </w:p>
    <w:p w14:paraId="1E4BFDCC">
      <w:pPr>
        <w:spacing w:line="360" w:lineRule="auto"/>
        <w:rPr>
          <w:rFonts w:ascii="宋体" w:hAnsi="宋体" w:cs="宋体"/>
          <w:b/>
          <w:color w:val="auto"/>
          <w:sz w:val="36"/>
          <w:highlight w:val="none"/>
        </w:rPr>
      </w:pPr>
    </w:p>
    <w:p w14:paraId="10CB7B71">
      <w:pPr>
        <w:spacing w:line="360" w:lineRule="auto"/>
        <w:rPr>
          <w:rFonts w:ascii="宋体" w:hAnsi="宋体" w:cs="宋体"/>
          <w:b/>
          <w:color w:val="auto"/>
          <w:sz w:val="36"/>
          <w:highlight w:val="none"/>
          <w:u w:val="single"/>
        </w:rPr>
      </w:pPr>
      <w:r>
        <w:rPr>
          <w:rFonts w:hint="eastAsia" w:ascii="宋体" w:hAnsi="宋体" w:cs="宋体"/>
          <w:b/>
          <w:color w:val="auto"/>
          <w:sz w:val="36"/>
          <w:highlight w:val="none"/>
        </w:rPr>
        <w:t xml:space="preserve">       供应商名称 ：</w:t>
      </w:r>
      <w:r>
        <w:rPr>
          <w:rFonts w:hint="eastAsia" w:ascii="宋体" w:hAnsi="宋体" w:cs="宋体"/>
          <w:b/>
          <w:color w:val="auto"/>
          <w:sz w:val="36"/>
          <w:highlight w:val="none"/>
          <w:u w:val="single"/>
        </w:rPr>
        <w:t xml:space="preserve">               </w:t>
      </w:r>
    </w:p>
    <w:p w14:paraId="547A29A6">
      <w:pPr>
        <w:spacing w:line="360" w:lineRule="auto"/>
        <w:rPr>
          <w:rFonts w:ascii="宋体" w:hAnsi="宋体" w:cs="宋体"/>
          <w:b/>
          <w:color w:val="auto"/>
          <w:sz w:val="36"/>
          <w:highlight w:val="none"/>
        </w:rPr>
      </w:pPr>
      <w:r>
        <w:rPr>
          <w:rFonts w:hint="eastAsia" w:ascii="宋体" w:hAnsi="宋体" w:cs="宋体"/>
          <w:b/>
          <w:color w:val="auto"/>
          <w:sz w:val="36"/>
          <w:highlight w:val="none"/>
        </w:rPr>
        <w:t xml:space="preserve">       日      期 ：</w:t>
      </w:r>
      <w:r>
        <w:rPr>
          <w:rFonts w:hint="eastAsia" w:ascii="宋体" w:hAnsi="宋体" w:cs="宋体"/>
          <w:b/>
          <w:color w:val="auto"/>
          <w:sz w:val="36"/>
          <w:highlight w:val="none"/>
          <w:u w:val="single"/>
        </w:rPr>
        <w:t xml:space="preserve">               </w:t>
      </w:r>
    </w:p>
    <w:p w14:paraId="1BFE9717">
      <w:pPr>
        <w:autoSpaceDE w:val="0"/>
        <w:autoSpaceDN w:val="0"/>
        <w:adjustRightInd w:val="0"/>
        <w:spacing w:line="360" w:lineRule="auto"/>
        <w:rPr>
          <w:rFonts w:ascii="宋体" w:hAnsi="宋体" w:cs="宋体"/>
          <w:b/>
          <w:color w:val="auto"/>
          <w:szCs w:val="21"/>
          <w:highlight w:val="none"/>
        </w:rPr>
      </w:pPr>
    </w:p>
    <w:p w14:paraId="0320128D">
      <w:pPr>
        <w:autoSpaceDE w:val="0"/>
        <w:autoSpaceDN w:val="0"/>
        <w:adjustRightInd w:val="0"/>
        <w:spacing w:line="360" w:lineRule="auto"/>
        <w:rPr>
          <w:rFonts w:ascii="宋体" w:hAnsi="宋体" w:cs="宋体"/>
          <w:b/>
          <w:color w:val="auto"/>
          <w:szCs w:val="21"/>
          <w:highlight w:val="none"/>
        </w:rPr>
      </w:pPr>
    </w:p>
    <w:p w14:paraId="29861286">
      <w:pPr>
        <w:rPr>
          <w:rFonts w:ascii="宋体" w:hAnsi="宋体" w:cs="宋体"/>
          <w:b/>
          <w:color w:val="auto"/>
          <w:szCs w:val="21"/>
          <w:highlight w:val="none"/>
          <w:lang w:val="zh-CN"/>
        </w:rPr>
      </w:pPr>
      <w:r>
        <w:rPr>
          <w:rFonts w:ascii="宋体" w:hAnsi="宋体" w:cs="宋体"/>
          <w:b/>
          <w:color w:val="auto"/>
          <w:szCs w:val="21"/>
          <w:highlight w:val="none"/>
          <w:lang w:val="zh-CN"/>
        </w:rPr>
        <w:br w:type="page"/>
      </w:r>
    </w:p>
    <w:p w14:paraId="5AB4FBE1">
      <w:pPr>
        <w:spacing w:line="360" w:lineRule="auto"/>
        <w:jc w:val="center"/>
        <w:rPr>
          <w:rFonts w:ascii="宋体" w:hAnsi="宋体" w:cs="宋体"/>
          <w:color w:val="auto"/>
          <w:sz w:val="36"/>
          <w:szCs w:val="36"/>
          <w:highlight w:val="none"/>
        </w:rPr>
      </w:pPr>
      <w:r>
        <w:rPr>
          <w:rFonts w:hint="eastAsia" w:ascii="宋体" w:hAnsi="宋体" w:cs="宋体"/>
          <w:b/>
          <w:bCs/>
          <w:color w:val="auto"/>
          <w:sz w:val="36"/>
          <w:szCs w:val="36"/>
          <w:highlight w:val="none"/>
          <w:lang w:val="zh-CN"/>
        </w:rPr>
        <w:t>投标申请及声明</w:t>
      </w:r>
    </w:p>
    <w:p w14:paraId="1AC55384">
      <w:pPr>
        <w:autoSpaceDE w:val="0"/>
        <w:autoSpaceDN w:val="0"/>
        <w:adjustRightInd w:val="0"/>
        <w:spacing w:line="360" w:lineRule="auto"/>
        <w:rPr>
          <w:rFonts w:ascii="宋体" w:hAnsi="宋体" w:cs="宋体"/>
          <w:color w:val="auto"/>
          <w:sz w:val="22"/>
          <w:highlight w:val="none"/>
          <w:lang w:val="zh-CN"/>
        </w:rPr>
      </w:pPr>
      <w:r>
        <w:rPr>
          <w:rFonts w:hint="eastAsia" w:ascii="宋体" w:hAnsi="宋体" w:cs="宋体"/>
          <w:color w:val="auto"/>
          <w:sz w:val="22"/>
          <w:highlight w:val="none"/>
          <w:lang w:val="zh-CN"/>
        </w:rPr>
        <w:t xml:space="preserve">致： </w:t>
      </w:r>
    </w:p>
    <w:p w14:paraId="3F8EA0E1">
      <w:pPr>
        <w:autoSpaceDE w:val="0"/>
        <w:autoSpaceDN w:val="0"/>
        <w:adjustRightInd w:val="0"/>
        <w:spacing w:line="360" w:lineRule="auto"/>
        <w:ind w:firstLine="420"/>
        <w:rPr>
          <w:rFonts w:ascii="宋体" w:hAnsi="宋体" w:cs="宋体"/>
          <w:color w:val="auto"/>
          <w:sz w:val="22"/>
          <w:highlight w:val="none"/>
          <w:lang w:val="zh-CN"/>
        </w:rPr>
      </w:pPr>
      <w:r>
        <w:rPr>
          <w:rFonts w:hint="eastAsia" w:ascii="宋体" w:hAnsi="宋体" w:cs="宋体"/>
          <w:color w:val="auto"/>
          <w:sz w:val="22"/>
          <w:highlight w:val="none"/>
          <w:lang w:val="zh-CN"/>
        </w:rPr>
        <w:t>根据贵方</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 xml:space="preserve">（项目名称） </w:t>
      </w:r>
      <w:r>
        <w:rPr>
          <w:rFonts w:hint="eastAsia" w:ascii="宋体" w:hAnsi="宋体" w:cs="宋体"/>
          <w:b/>
          <w:color w:val="auto"/>
          <w:sz w:val="22"/>
          <w:highlight w:val="none"/>
          <w:u w:val="single"/>
          <w:lang w:val="zh-CN"/>
        </w:rPr>
        <w:t xml:space="preserve">  </w:t>
      </w:r>
      <w:r>
        <w:rPr>
          <w:rFonts w:hint="eastAsia" w:ascii="宋体" w:hAnsi="宋体" w:cs="宋体"/>
          <w:b/>
          <w:color w:val="auto"/>
          <w:sz w:val="22"/>
          <w:highlight w:val="none"/>
          <w:u w:val="single"/>
        </w:rPr>
        <w:t xml:space="preserve">       </w:t>
      </w:r>
      <w:r>
        <w:rPr>
          <w:rFonts w:hint="eastAsia" w:ascii="宋体" w:hAnsi="宋体" w:cs="宋体"/>
          <w:b/>
          <w:color w:val="auto"/>
          <w:sz w:val="22"/>
          <w:highlight w:val="none"/>
          <w:u w:val="single"/>
          <w:lang w:val="zh-CN"/>
        </w:rPr>
        <w:t xml:space="preserve">  </w:t>
      </w:r>
      <w:r>
        <w:rPr>
          <w:rFonts w:hint="eastAsia" w:ascii="宋体" w:hAnsi="宋体" w:cs="宋体"/>
          <w:color w:val="auto"/>
          <w:sz w:val="22"/>
          <w:highlight w:val="none"/>
          <w:lang w:val="zh-CN"/>
        </w:rPr>
        <w:t>（项目编号）投标邀请，我方授权</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，代表投标人</w:t>
      </w:r>
      <w:r>
        <w:rPr>
          <w:rFonts w:hint="eastAsia" w:ascii="宋体" w:hAnsi="宋体" w:cs="宋体"/>
          <w:bCs/>
          <w:color w:val="auto"/>
          <w:sz w:val="22"/>
          <w:highlight w:val="none"/>
          <w:lang w:val="zh-CN"/>
        </w:rPr>
        <w:t>递交</w:t>
      </w:r>
      <w:r>
        <w:rPr>
          <w:rFonts w:hint="eastAsia" w:ascii="宋体" w:hAnsi="宋体" w:cs="宋体"/>
          <w:color w:val="auto"/>
          <w:sz w:val="22"/>
          <w:highlight w:val="none"/>
          <w:lang w:val="zh-CN"/>
        </w:rPr>
        <w:t>投标文件并声明如下。</w:t>
      </w:r>
    </w:p>
    <w:p w14:paraId="4C695C26">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1.我方的资格条件符合政府采购法和本次招标要求，我方同意并向贵方提供了与投标有关的所有证据和资料。</w:t>
      </w:r>
    </w:p>
    <w:p w14:paraId="1F7F4D2D">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2. 我方投标优惠率为</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p>
    <w:p w14:paraId="17161594">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 xml:space="preserve">3.我方参加本次采购活动前三年内，在经营活动中没有重大违法记录。 </w:t>
      </w:r>
    </w:p>
    <w:p w14:paraId="24886A88">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 xml:space="preserve">4.我方参加本次采购活动前，没有被信用中国网站、中国政府采购网站列入失信被执行人名单、重大税收违法案件当事人名单、政府采购 严重违法失信行为记录名单。 </w:t>
      </w:r>
    </w:p>
    <w:p w14:paraId="349F6242">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 xml:space="preserve">5.我方在全国范围内未受过财政部门禁止参加政府采购活动的处罚，或禁止参加政府采购活动的处罚期限已满。 </w:t>
      </w:r>
    </w:p>
    <w:p w14:paraId="7FF736FE">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 xml:space="preserve">6.我方与参与本次采购活动的其他供应商的授权代理人(或法定代表人、项目负责人等)，在招标文件发布日上月至投标截止日当月未在同一单位缴纳社会保险。 </w:t>
      </w:r>
    </w:p>
    <w:p w14:paraId="7E49C957">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 xml:space="preserve">7.我方与参与本次采购活动的其他供应商的法定代表人或委托代理人无夫妻、直系血亲关系。 </w:t>
      </w:r>
    </w:p>
    <w:p w14:paraId="66757424">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 xml:space="preserve">8.我方与参与本次采购活动的其他供应商的负责人不是同一人，也不存在直接控股、管理关系。 </w:t>
      </w:r>
    </w:p>
    <w:p w14:paraId="205758C1">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9.我方已详细审阅全部招标文件及其有效补充文件，放弃对招标文件任何误解的权利，</w:t>
      </w:r>
      <w:r>
        <w:rPr>
          <w:rFonts w:hint="eastAsia" w:ascii="宋体" w:hAnsi="宋体" w:cs="宋体"/>
          <w:bCs/>
          <w:color w:val="auto"/>
          <w:sz w:val="22"/>
          <w:highlight w:val="none"/>
          <w:lang w:val="zh-CN"/>
        </w:rPr>
        <w:t>递交</w:t>
      </w:r>
      <w:r>
        <w:rPr>
          <w:rFonts w:hint="eastAsia" w:ascii="宋体" w:hAnsi="宋体" w:cs="宋体"/>
          <w:color w:val="auto"/>
          <w:sz w:val="22"/>
          <w:highlight w:val="none"/>
        </w:rPr>
        <w:t xml:space="preserve">投标文件后，不对招标文件本身提出质疑。 否则，属于不诚信和故意扰乱政府采购活动行为，我们将无条件接受处罚。 </w:t>
      </w:r>
    </w:p>
    <w:p w14:paraId="62463E94">
      <w:pPr>
        <w:spacing w:line="360" w:lineRule="auto"/>
        <w:ind w:left="420" w:leftChars="200"/>
        <w:rPr>
          <w:rFonts w:ascii="宋体" w:hAnsi="宋体" w:cs="宋体"/>
          <w:color w:val="auto"/>
          <w:sz w:val="22"/>
          <w:highlight w:val="none"/>
        </w:rPr>
      </w:pPr>
      <w:r>
        <w:rPr>
          <w:rFonts w:hint="eastAsia" w:ascii="宋体" w:hAnsi="宋体" w:cs="宋体"/>
          <w:color w:val="auto"/>
          <w:sz w:val="22"/>
          <w:highlight w:val="none"/>
        </w:rPr>
        <w:t>10.我方同意从规定的开标日期起遵循本投标文件，并在规定的投标有效期期满之前均具有约束力。</w:t>
      </w:r>
    </w:p>
    <w:p w14:paraId="3FEEAB7B">
      <w:pPr>
        <w:spacing w:line="360" w:lineRule="auto"/>
        <w:ind w:left="420" w:leftChars="200"/>
        <w:rPr>
          <w:rFonts w:ascii="宋体" w:hAnsi="宋体" w:cs="宋体"/>
          <w:color w:val="auto"/>
          <w:sz w:val="22"/>
          <w:highlight w:val="none"/>
        </w:rPr>
      </w:pPr>
      <w:r>
        <w:rPr>
          <w:rFonts w:hint="eastAsia" w:ascii="宋体" w:hAnsi="宋体" w:cs="宋体"/>
          <w:color w:val="auto"/>
          <w:sz w:val="22"/>
          <w:highlight w:val="none"/>
        </w:rPr>
        <w:t xml:space="preserve"> 11.一旦我方中标，将根据招标文件的规定严格履行合同，并保证按承诺的时间完成服务的启动/集成、调试等服务，交付采购人验收、使用。 </w:t>
      </w:r>
    </w:p>
    <w:p w14:paraId="48FA002B">
      <w:pPr>
        <w:spacing w:line="360" w:lineRule="auto"/>
        <w:ind w:left="420" w:leftChars="200"/>
        <w:rPr>
          <w:rFonts w:ascii="宋体" w:hAnsi="宋体" w:cs="宋体"/>
          <w:color w:val="auto"/>
          <w:sz w:val="22"/>
          <w:highlight w:val="none"/>
        </w:rPr>
      </w:pPr>
      <w:r>
        <w:rPr>
          <w:rFonts w:hint="eastAsia" w:ascii="宋体" w:hAnsi="宋体" w:cs="宋体"/>
          <w:color w:val="auto"/>
          <w:sz w:val="22"/>
          <w:highlight w:val="none"/>
        </w:rPr>
        <w:t>12.我方决不提供虚假材料谋取中标、决不采取不正当手段诋毁、排挤其他供应商、决不与采购人、其它供应商或者代理公司恶意串通、 决不向采购人、代理公司工作人员和评委进行商业贿赂、决不在采购过程中与采购人进行协商谈判、决不拒绝有关部门监督检查或提供虚假情况，如有违反，无条件接受贵方及相关管理部门的处罚。</w:t>
      </w:r>
    </w:p>
    <w:p w14:paraId="71A797FD">
      <w:pPr>
        <w:spacing w:line="360" w:lineRule="auto"/>
        <w:ind w:left="420" w:leftChars="200"/>
        <w:rPr>
          <w:rFonts w:ascii="宋体" w:hAnsi="宋体" w:cs="宋体"/>
          <w:color w:val="auto"/>
          <w:sz w:val="22"/>
          <w:highlight w:val="none"/>
        </w:rPr>
      </w:pPr>
      <w:r>
        <w:rPr>
          <w:rFonts w:hint="eastAsia" w:ascii="宋体" w:hAnsi="宋体" w:cs="宋体"/>
          <w:color w:val="auto"/>
          <w:sz w:val="22"/>
          <w:highlight w:val="none"/>
        </w:rPr>
        <w:t xml:space="preserve">14.与本次投标有关的联系方式为： </w:t>
      </w:r>
    </w:p>
    <w:p w14:paraId="567D62EF">
      <w:pPr>
        <w:spacing w:line="360" w:lineRule="auto"/>
        <w:ind w:left="420" w:leftChars="200"/>
        <w:rPr>
          <w:rFonts w:ascii="宋体" w:hAnsi="宋体" w:cs="宋体"/>
          <w:color w:val="auto"/>
          <w:sz w:val="22"/>
          <w:highlight w:val="none"/>
        </w:rPr>
      </w:pPr>
      <w:r>
        <w:rPr>
          <w:rFonts w:hint="eastAsia" w:ascii="宋体" w:hAnsi="宋体" w:cs="宋体"/>
          <w:color w:val="auto"/>
          <w:sz w:val="22"/>
          <w:highlight w:val="none"/>
        </w:rPr>
        <w:t>地 址：</w:t>
      </w:r>
      <w:r>
        <w:rPr>
          <w:rFonts w:hint="eastAsia" w:ascii="宋体" w:hAnsi="宋体" w:cs="宋体"/>
          <w:color w:val="auto"/>
          <w:sz w:val="22"/>
          <w:highlight w:val="none"/>
          <w:u w:val="single"/>
        </w:rPr>
        <w:t xml:space="preserve">                                </w:t>
      </w:r>
    </w:p>
    <w:p w14:paraId="528B9730">
      <w:pPr>
        <w:spacing w:line="360" w:lineRule="auto"/>
        <w:ind w:left="420" w:leftChars="200"/>
        <w:rPr>
          <w:rFonts w:ascii="宋体" w:hAnsi="宋体" w:cs="宋体"/>
          <w:color w:val="auto"/>
          <w:sz w:val="22"/>
          <w:highlight w:val="none"/>
        </w:rPr>
      </w:pPr>
      <w:r>
        <w:rPr>
          <w:rFonts w:hint="eastAsia" w:ascii="宋体" w:hAnsi="宋体" w:cs="宋体"/>
          <w:color w:val="auto"/>
          <w:sz w:val="22"/>
          <w:highlight w:val="none"/>
        </w:rPr>
        <w:t>电 话：</w:t>
      </w:r>
      <w:r>
        <w:rPr>
          <w:rFonts w:hint="eastAsia" w:ascii="宋体" w:hAnsi="宋体" w:cs="宋体"/>
          <w:color w:val="auto"/>
          <w:sz w:val="22"/>
          <w:highlight w:val="none"/>
          <w:u w:val="single"/>
        </w:rPr>
        <w:t xml:space="preserve">                                </w:t>
      </w:r>
    </w:p>
    <w:p w14:paraId="13DD5054">
      <w:pPr>
        <w:spacing w:line="360" w:lineRule="auto"/>
        <w:ind w:left="420" w:leftChars="200"/>
        <w:rPr>
          <w:rFonts w:ascii="宋体" w:hAnsi="宋体" w:cs="宋体"/>
          <w:color w:val="auto"/>
          <w:sz w:val="22"/>
          <w:highlight w:val="none"/>
        </w:rPr>
      </w:pPr>
      <w:r>
        <w:rPr>
          <w:rFonts w:hint="eastAsia" w:ascii="宋体" w:hAnsi="宋体" w:cs="宋体"/>
          <w:color w:val="auto"/>
          <w:sz w:val="22"/>
          <w:highlight w:val="none"/>
        </w:rPr>
        <w:t>传 真：</w:t>
      </w:r>
      <w:r>
        <w:rPr>
          <w:rFonts w:hint="eastAsia" w:ascii="宋体" w:hAnsi="宋体" w:cs="宋体"/>
          <w:color w:val="auto"/>
          <w:sz w:val="22"/>
          <w:highlight w:val="none"/>
          <w:u w:val="single"/>
        </w:rPr>
        <w:t xml:space="preserve">                                </w:t>
      </w:r>
    </w:p>
    <w:p w14:paraId="221145D6">
      <w:pPr>
        <w:spacing w:line="360" w:lineRule="auto"/>
        <w:ind w:left="420" w:leftChars="200"/>
        <w:rPr>
          <w:rFonts w:ascii="宋体" w:hAnsi="宋体" w:cs="宋体"/>
          <w:color w:val="auto"/>
          <w:sz w:val="22"/>
          <w:highlight w:val="none"/>
        </w:rPr>
      </w:pPr>
      <w:r>
        <w:rPr>
          <w:rFonts w:hint="eastAsia" w:ascii="宋体" w:hAnsi="宋体" w:cs="宋体"/>
          <w:color w:val="auto"/>
          <w:sz w:val="22"/>
          <w:highlight w:val="none"/>
        </w:rPr>
        <w:t>开户银行：</w:t>
      </w:r>
      <w:r>
        <w:rPr>
          <w:rFonts w:hint="eastAsia" w:ascii="宋体" w:hAnsi="宋体" w:cs="宋体"/>
          <w:color w:val="auto"/>
          <w:sz w:val="22"/>
          <w:highlight w:val="none"/>
          <w:u w:val="single"/>
        </w:rPr>
        <w:t xml:space="preserve">                             </w:t>
      </w:r>
    </w:p>
    <w:p w14:paraId="4A8B7734">
      <w:pPr>
        <w:spacing w:line="360" w:lineRule="auto"/>
        <w:ind w:left="420" w:leftChars="200"/>
        <w:rPr>
          <w:rFonts w:ascii="宋体" w:hAnsi="宋体" w:cs="宋体"/>
          <w:color w:val="auto"/>
          <w:sz w:val="22"/>
          <w:highlight w:val="none"/>
        </w:rPr>
      </w:pPr>
      <w:r>
        <w:rPr>
          <w:rFonts w:hint="eastAsia" w:ascii="宋体" w:hAnsi="宋体" w:cs="宋体"/>
          <w:color w:val="auto"/>
          <w:sz w:val="22"/>
          <w:highlight w:val="none"/>
        </w:rPr>
        <w:t>银行帐号：</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p>
    <w:p w14:paraId="475F5E24">
      <w:pPr>
        <w:spacing w:line="360" w:lineRule="auto"/>
        <w:ind w:left="420" w:leftChars="200"/>
        <w:rPr>
          <w:rFonts w:ascii="宋体" w:hAnsi="宋体" w:cs="宋体"/>
          <w:color w:val="auto"/>
          <w:highlight w:val="none"/>
          <w:u w:val="single"/>
        </w:rPr>
      </w:pPr>
      <w:r>
        <w:rPr>
          <w:rFonts w:hint="eastAsia" w:ascii="宋体" w:hAnsi="宋体" w:cs="宋体"/>
          <w:color w:val="auto"/>
          <w:highlight w:val="none"/>
        </w:rPr>
        <w:t>授权代表姓名（签字）：</w:t>
      </w:r>
      <w:r>
        <w:rPr>
          <w:rFonts w:hint="eastAsia" w:ascii="宋体" w:hAnsi="宋体" w:cs="宋体"/>
          <w:color w:val="auto"/>
          <w:highlight w:val="none"/>
          <w:u w:val="single"/>
        </w:rPr>
        <w:t xml:space="preserve">                 </w:t>
      </w:r>
    </w:p>
    <w:p w14:paraId="3C3D88C7">
      <w:pPr>
        <w:spacing w:line="360" w:lineRule="auto"/>
        <w:ind w:left="420" w:leftChars="200"/>
        <w:rPr>
          <w:rFonts w:ascii="宋体" w:hAnsi="宋体" w:cs="宋体"/>
          <w:color w:val="auto"/>
          <w:highlight w:val="none"/>
          <w:u w:val="single"/>
        </w:rPr>
      </w:pPr>
      <w:r>
        <w:rPr>
          <w:rFonts w:hint="eastAsia" w:ascii="宋体" w:hAnsi="宋体" w:cs="宋体"/>
          <w:color w:val="auto"/>
          <w:highlight w:val="none"/>
        </w:rPr>
        <w:t>供应商名称（盖章）：</w:t>
      </w:r>
      <w:r>
        <w:rPr>
          <w:rFonts w:hint="eastAsia" w:ascii="宋体" w:hAnsi="宋体" w:cs="宋体"/>
          <w:color w:val="auto"/>
          <w:highlight w:val="none"/>
          <w:u w:val="single"/>
        </w:rPr>
        <w:t xml:space="preserve">                   </w:t>
      </w:r>
    </w:p>
    <w:p w14:paraId="4EB3F231">
      <w:pPr>
        <w:spacing w:line="360" w:lineRule="auto"/>
        <w:ind w:left="420" w:leftChars="200"/>
        <w:rPr>
          <w:rFonts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5E1E73A5">
      <w:pPr>
        <w:autoSpaceDE w:val="0"/>
        <w:autoSpaceDN w:val="0"/>
        <w:adjustRightInd w:val="0"/>
        <w:spacing w:line="360" w:lineRule="auto"/>
        <w:rPr>
          <w:rFonts w:ascii="宋体" w:hAnsi="宋体" w:cs="宋体"/>
          <w:color w:val="auto"/>
          <w:szCs w:val="21"/>
          <w:highlight w:val="none"/>
          <w:lang w:val="zh-CN"/>
        </w:rPr>
      </w:pPr>
    </w:p>
    <w:p w14:paraId="6952B76E">
      <w:pPr>
        <w:pStyle w:val="4"/>
        <w:rPr>
          <w:rFonts w:ascii="宋体" w:hAnsi="宋体" w:eastAsia="宋体" w:cs="宋体"/>
          <w:color w:val="auto"/>
          <w:highlight w:val="none"/>
          <w:lang w:val="zh-CN"/>
        </w:rPr>
      </w:pPr>
    </w:p>
    <w:p w14:paraId="185B0401">
      <w:pPr>
        <w:autoSpaceDE w:val="0"/>
        <w:autoSpaceDN w:val="0"/>
        <w:adjustRightInd w:val="0"/>
        <w:spacing w:line="360" w:lineRule="auto"/>
        <w:rPr>
          <w:rFonts w:ascii="宋体" w:hAnsi="宋体" w:cs="宋体"/>
          <w:color w:val="auto"/>
          <w:szCs w:val="21"/>
          <w:highlight w:val="none"/>
          <w:lang w:val="zh-CN"/>
        </w:rPr>
      </w:pPr>
    </w:p>
    <w:p w14:paraId="1915FAAA">
      <w:pPr>
        <w:autoSpaceDE w:val="0"/>
        <w:autoSpaceDN w:val="0"/>
        <w:adjustRightInd w:val="0"/>
        <w:spacing w:line="360" w:lineRule="auto"/>
        <w:rPr>
          <w:rFonts w:ascii="宋体" w:hAnsi="宋体" w:cs="宋体"/>
          <w:b/>
          <w:color w:val="auto"/>
          <w:szCs w:val="21"/>
          <w:highlight w:val="none"/>
          <w:lang w:val="zh-CN"/>
        </w:rPr>
      </w:pPr>
    </w:p>
    <w:p w14:paraId="39CF1242">
      <w:pPr>
        <w:autoSpaceDE w:val="0"/>
        <w:autoSpaceDN w:val="0"/>
        <w:adjustRightInd w:val="0"/>
        <w:spacing w:line="360" w:lineRule="auto"/>
        <w:rPr>
          <w:rFonts w:ascii="宋体" w:hAnsi="宋体" w:cs="宋体"/>
          <w:b/>
          <w:color w:val="auto"/>
          <w:szCs w:val="21"/>
          <w:highlight w:val="none"/>
          <w:lang w:val="zh-CN"/>
        </w:rPr>
      </w:pPr>
    </w:p>
    <w:p w14:paraId="655AADF4">
      <w:pPr>
        <w:autoSpaceDE w:val="0"/>
        <w:autoSpaceDN w:val="0"/>
        <w:adjustRightInd w:val="0"/>
        <w:spacing w:line="360" w:lineRule="auto"/>
        <w:rPr>
          <w:rFonts w:ascii="宋体" w:hAnsi="宋体" w:cs="宋体"/>
          <w:b/>
          <w:color w:val="auto"/>
          <w:szCs w:val="21"/>
          <w:highlight w:val="none"/>
          <w:lang w:val="zh-CN"/>
        </w:rPr>
      </w:pPr>
    </w:p>
    <w:p w14:paraId="746D4277">
      <w:pPr>
        <w:autoSpaceDE w:val="0"/>
        <w:autoSpaceDN w:val="0"/>
        <w:adjustRightInd w:val="0"/>
        <w:spacing w:line="360" w:lineRule="auto"/>
        <w:rPr>
          <w:rFonts w:ascii="宋体" w:hAnsi="宋体" w:cs="宋体"/>
          <w:b/>
          <w:color w:val="auto"/>
          <w:szCs w:val="21"/>
          <w:highlight w:val="none"/>
          <w:lang w:val="zh-CN"/>
        </w:rPr>
      </w:pPr>
    </w:p>
    <w:p w14:paraId="47710955">
      <w:pPr>
        <w:autoSpaceDE w:val="0"/>
        <w:autoSpaceDN w:val="0"/>
        <w:adjustRightInd w:val="0"/>
        <w:spacing w:line="360" w:lineRule="auto"/>
        <w:rPr>
          <w:rFonts w:ascii="宋体" w:hAnsi="宋体" w:cs="宋体"/>
          <w:b/>
          <w:color w:val="auto"/>
          <w:szCs w:val="21"/>
          <w:highlight w:val="none"/>
          <w:lang w:val="zh-CN"/>
        </w:rPr>
      </w:pPr>
    </w:p>
    <w:p w14:paraId="79B11EB0">
      <w:pPr>
        <w:autoSpaceDE w:val="0"/>
        <w:autoSpaceDN w:val="0"/>
        <w:adjustRightInd w:val="0"/>
        <w:spacing w:line="360" w:lineRule="auto"/>
        <w:rPr>
          <w:rFonts w:ascii="宋体" w:hAnsi="宋体" w:cs="宋体"/>
          <w:b/>
          <w:color w:val="auto"/>
          <w:szCs w:val="21"/>
          <w:highlight w:val="none"/>
          <w:lang w:val="zh-CN"/>
        </w:rPr>
      </w:pPr>
    </w:p>
    <w:p w14:paraId="5B04C496">
      <w:pPr>
        <w:autoSpaceDE w:val="0"/>
        <w:autoSpaceDN w:val="0"/>
        <w:adjustRightInd w:val="0"/>
        <w:spacing w:line="360" w:lineRule="auto"/>
        <w:rPr>
          <w:rFonts w:ascii="宋体" w:hAnsi="宋体" w:cs="宋体"/>
          <w:b/>
          <w:color w:val="auto"/>
          <w:szCs w:val="21"/>
          <w:highlight w:val="none"/>
          <w:lang w:val="zh-CN"/>
        </w:rPr>
      </w:pPr>
    </w:p>
    <w:p w14:paraId="7D282441">
      <w:pPr>
        <w:autoSpaceDE w:val="0"/>
        <w:autoSpaceDN w:val="0"/>
        <w:adjustRightInd w:val="0"/>
        <w:spacing w:line="360" w:lineRule="auto"/>
        <w:rPr>
          <w:rFonts w:ascii="宋体" w:hAnsi="宋体" w:cs="宋体"/>
          <w:b/>
          <w:color w:val="auto"/>
          <w:szCs w:val="21"/>
          <w:highlight w:val="none"/>
          <w:lang w:val="zh-CN"/>
        </w:rPr>
      </w:pPr>
    </w:p>
    <w:p w14:paraId="402E96FC">
      <w:pPr>
        <w:autoSpaceDE w:val="0"/>
        <w:autoSpaceDN w:val="0"/>
        <w:adjustRightInd w:val="0"/>
        <w:spacing w:line="360" w:lineRule="auto"/>
        <w:rPr>
          <w:rFonts w:ascii="宋体" w:hAnsi="宋体" w:cs="宋体"/>
          <w:b/>
          <w:color w:val="auto"/>
          <w:szCs w:val="21"/>
          <w:highlight w:val="none"/>
          <w:lang w:val="zh-CN"/>
        </w:rPr>
      </w:pPr>
    </w:p>
    <w:p w14:paraId="64F62186">
      <w:pPr>
        <w:autoSpaceDE w:val="0"/>
        <w:autoSpaceDN w:val="0"/>
        <w:adjustRightInd w:val="0"/>
        <w:spacing w:line="360" w:lineRule="auto"/>
        <w:rPr>
          <w:rFonts w:ascii="宋体" w:hAnsi="宋体" w:cs="宋体"/>
          <w:b/>
          <w:color w:val="auto"/>
          <w:szCs w:val="21"/>
          <w:highlight w:val="none"/>
          <w:lang w:val="zh-CN"/>
        </w:rPr>
      </w:pPr>
    </w:p>
    <w:p w14:paraId="36F953CC">
      <w:pPr>
        <w:autoSpaceDE w:val="0"/>
        <w:autoSpaceDN w:val="0"/>
        <w:adjustRightInd w:val="0"/>
        <w:spacing w:line="360" w:lineRule="auto"/>
        <w:rPr>
          <w:rFonts w:ascii="宋体" w:hAnsi="宋体" w:cs="宋体"/>
          <w:b/>
          <w:color w:val="auto"/>
          <w:szCs w:val="21"/>
          <w:highlight w:val="none"/>
          <w:lang w:val="zh-CN"/>
        </w:rPr>
      </w:pPr>
    </w:p>
    <w:p w14:paraId="0CB46151">
      <w:pPr>
        <w:autoSpaceDE w:val="0"/>
        <w:autoSpaceDN w:val="0"/>
        <w:adjustRightInd w:val="0"/>
        <w:spacing w:line="360" w:lineRule="auto"/>
        <w:rPr>
          <w:rFonts w:ascii="宋体" w:hAnsi="宋体" w:cs="宋体"/>
          <w:b/>
          <w:color w:val="auto"/>
          <w:szCs w:val="21"/>
          <w:highlight w:val="none"/>
          <w:lang w:val="zh-CN"/>
        </w:rPr>
      </w:pPr>
    </w:p>
    <w:p w14:paraId="4E520168">
      <w:pPr>
        <w:autoSpaceDE w:val="0"/>
        <w:autoSpaceDN w:val="0"/>
        <w:adjustRightInd w:val="0"/>
        <w:spacing w:line="360" w:lineRule="auto"/>
        <w:rPr>
          <w:rFonts w:ascii="宋体" w:hAnsi="宋体" w:cs="宋体"/>
          <w:b/>
          <w:color w:val="auto"/>
          <w:szCs w:val="21"/>
          <w:highlight w:val="none"/>
          <w:lang w:val="zh-CN"/>
        </w:rPr>
      </w:pPr>
    </w:p>
    <w:p w14:paraId="446F16FF">
      <w:pPr>
        <w:autoSpaceDE w:val="0"/>
        <w:autoSpaceDN w:val="0"/>
        <w:adjustRightInd w:val="0"/>
        <w:spacing w:line="360" w:lineRule="auto"/>
        <w:rPr>
          <w:rFonts w:ascii="宋体" w:hAnsi="宋体" w:cs="宋体"/>
          <w:b/>
          <w:color w:val="auto"/>
          <w:szCs w:val="21"/>
          <w:highlight w:val="none"/>
          <w:lang w:val="zh-CN"/>
        </w:rPr>
      </w:pPr>
    </w:p>
    <w:p w14:paraId="6600D520">
      <w:pPr>
        <w:autoSpaceDE w:val="0"/>
        <w:autoSpaceDN w:val="0"/>
        <w:adjustRightInd w:val="0"/>
        <w:spacing w:line="360" w:lineRule="auto"/>
        <w:rPr>
          <w:rFonts w:ascii="宋体" w:hAnsi="宋体" w:cs="宋体"/>
          <w:b/>
          <w:color w:val="auto"/>
          <w:szCs w:val="21"/>
          <w:highlight w:val="none"/>
          <w:lang w:val="zh-CN"/>
        </w:rPr>
      </w:pPr>
    </w:p>
    <w:p w14:paraId="5C1F1275">
      <w:pPr>
        <w:autoSpaceDE w:val="0"/>
        <w:autoSpaceDN w:val="0"/>
        <w:adjustRightInd w:val="0"/>
        <w:spacing w:line="360" w:lineRule="auto"/>
        <w:rPr>
          <w:rFonts w:ascii="宋体" w:hAnsi="宋体" w:cs="宋体"/>
          <w:b/>
          <w:color w:val="auto"/>
          <w:szCs w:val="21"/>
          <w:highlight w:val="none"/>
          <w:lang w:val="zh-CN"/>
        </w:rPr>
      </w:pPr>
    </w:p>
    <w:p w14:paraId="0700DC8E">
      <w:pPr>
        <w:autoSpaceDE w:val="0"/>
        <w:autoSpaceDN w:val="0"/>
        <w:adjustRightInd w:val="0"/>
        <w:spacing w:line="360" w:lineRule="auto"/>
        <w:rPr>
          <w:rFonts w:ascii="宋体" w:hAnsi="宋体" w:cs="宋体"/>
          <w:b/>
          <w:color w:val="auto"/>
          <w:szCs w:val="21"/>
          <w:highlight w:val="none"/>
          <w:lang w:val="zh-CN"/>
        </w:rPr>
      </w:pPr>
    </w:p>
    <w:p w14:paraId="38A3CFC2">
      <w:pPr>
        <w:autoSpaceDE w:val="0"/>
        <w:autoSpaceDN w:val="0"/>
        <w:adjustRightInd w:val="0"/>
        <w:spacing w:line="360" w:lineRule="auto"/>
        <w:rPr>
          <w:rFonts w:ascii="宋体" w:hAnsi="宋体" w:cs="宋体"/>
          <w:b/>
          <w:color w:val="auto"/>
          <w:szCs w:val="21"/>
          <w:highlight w:val="none"/>
          <w:lang w:val="zh-CN"/>
        </w:rPr>
      </w:pPr>
    </w:p>
    <w:p w14:paraId="5BD1C519">
      <w:pPr>
        <w:autoSpaceDE w:val="0"/>
        <w:autoSpaceDN w:val="0"/>
        <w:adjustRightInd w:val="0"/>
        <w:spacing w:line="360" w:lineRule="auto"/>
        <w:rPr>
          <w:rFonts w:ascii="宋体" w:hAnsi="宋体" w:cs="宋体"/>
          <w:b/>
          <w:color w:val="auto"/>
          <w:szCs w:val="21"/>
          <w:highlight w:val="none"/>
          <w:lang w:val="zh-CN"/>
        </w:rPr>
      </w:pPr>
    </w:p>
    <w:p w14:paraId="38473CBB">
      <w:pPr>
        <w:autoSpaceDE w:val="0"/>
        <w:autoSpaceDN w:val="0"/>
        <w:adjustRightInd w:val="0"/>
        <w:spacing w:line="360" w:lineRule="auto"/>
        <w:rPr>
          <w:rFonts w:ascii="宋体" w:hAnsi="宋体" w:cs="宋体"/>
          <w:b/>
          <w:color w:val="auto"/>
          <w:szCs w:val="21"/>
          <w:highlight w:val="none"/>
          <w:lang w:val="zh-CN"/>
        </w:rPr>
      </w:pPr>
    </w:p>
    <w:p w14:paraId="6C841E55">
      <w:pPr>
        <w:autoSpaceDE w:val="0"/>
        <w:autoSpaceDN w:val="0"/>
        <w:adjustRightInd w:val="0"/>
        <w:spacing w:line="360" w:lineRule="auto"/>
        <w:rPr>
          <w:rFonts w:ascii="宋体" w:hAnsi="宋体" w:cs="宋体"/>
          <w:b/>
          <w:color w:val="auto"/>
          <w:szCs w:val="21"/>
          <w:highlight w:val="none"/>
          <w:lang w:val="zh-CN"/>
        </w:rPr>
      </w:pPr>
    </w:p>
    <w:p w14:paraId="778B5A4F">
      <w:pPr>
        <w:autoSpaceDE w:val="0"/>
        <w:autoSpaceDN w:val="0"/>
        <w:adjustRightInd w:val="0"/>
        <w:spacing w:line="360" w:lineRule="auto"/>
        <w:rPr>
          <w:rFonts w:ascii="宋体" w:hAnsi="宋体" w:cs="宋体"/>
          <w:b/>
          <w:color w:val="auto"/>
          <w:szCs w:val="21"/>
          <w:highlight w:val="none"/>
          <w:lang w:val="zh-CN"/>
        </w:rPr>
      </w:pPr>
    </w:p>
    <w:p w14:paraId="47EC5CC0">
      <w:pPr>
        <w:autoSpaceDE w:val="0"/>
        <w:autoSpaceDN w:val="0"/>
        <w:adjustRightInd w:val="0"/>
        <w:spacing w:line="360" w:lineRule="auto"/>
        <w:rPr>
          <w:rFonts w:ascii="宋体" w:hAnsi="宋体" w:cs="宋体"/>
          <w:b/>
          <w:color w:val="auto"/>
          <w:szCs w:val="21"/>
          <w:highlight w:val="none"/>
          <w:lang w:val="zh-CN"/>
        </w:rPr>
      </w:pPr>
    </w:p>
    <w:p w14:paraId="32E2B536">
      <w:pPr>
        <w:autoSpaceDE w:val="0"/>
        <w:autoSpaceDN w:val="0"/>
        <w:adjustRightInd w:val="0"/>
        <w:spacing w:line="360" w:lineRule="auto"/>
        <w:rPr>
          <w:rFonts w:ascii="宋体" w:hAnsi="宋体" w:cs="宋体"/>
          <w:b/>
          <w:color w:val="auto"/>
          <w:szCs w:val="21"/>
          <w:highlight w:val="none"/>
          <w:lang w:val="zh-CN"/>
        </w:rPr>
      </w:pPr>
    </w:p>
    <w:p w14:paraId="030A484F">
      <w:pPr>
        <w:autoSpaceDE w:val="0"/>
        <w:autoSpaceDN w:val="0"/>
        <w:adjustRightInd w:val="0"/>
        <w:spacing w:line="360" w:lineRule="auto"/>
        <w:rPr>
          <w:rFonts w:ascii="宋体" w:hAnsi="宋体" w:cs="宋体"/>
          <w:b/>
          <w:color w:val="auto"/>
          <w:szCs w:val="21"/>
          <w:highlight w:val="none"/>
          <w:lang w:val="zh-CN"/>
        </w:rPr>
      </w:pPr>
    </w:p>
    <w:p w14:paraId="579112F0">
      <w:pPr>
        <w:autoSpaceDE w:val="0"/>
        <w:autoSpaceDN w:val="0"/>
        <w:adjustRightInd w:val="0"/>
        <w:spacing w:line="360" w:lineRule="auto"/>
        <w:rPr>
          <w:rFonts w:ascii="宋体" w:hAnsi="宋体" w:cs="宋体"/>
          <w:b/>
          <w:color w:val="auto"/>
          <w:szCs w:val="21"/>
          <w:highlight w:val="none"/>
          <w:lang w:val="zh-CN"/>
        </w:rPr>
      </w:pPr>
    </w:p>
    <w:p w14:paraId="3BD75754">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目录二、法定代表人授权书格式</w:t>
      </w:r>
    </w:p>
    <w:p w14:paraId="12A56F76">
      <w:pPr>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lang w:val="zh-CN"/>
        </w:rPr>
        <w:t>法定代表人授权书</w:t>
      </w:r>
    </w:p>
    <w:p w14:paraId="2271CE14">
      <w:pPr>
        <w:autoSpaceDE w:val="0"/>
        <w:autoSpaceDN w:val="0"/>
        <w:adjustRightInd w:val="0"/>
        <w:spacing w:line="360" w:lineRule="auto"/>
        <w:rPr>
          <w:rFonts w:ascii="宋体" w:hAnsi="宋体" w:cs="宋体"/>
          <w:color w:val="auto"/>
          <w:sz w:val="22"/>
          <w:highlight w:val="none"/>
          <w:lang w:val="zh-CN"/>
        </w:rPr>
      </w:pPr>
      <w:r>
        <w:rPr>
          <w:rFonts w:hint="eastAsia" w:ascii="宋体" w:hAnsi="宋体" w:cs="宋体"/>
          <w:color w:val="auto"/>
          <w:szCs w:val="21"/>
          <w:highlight w:val="none"/>
          <w:lang w:val="zh-CN"/>
        </w:rPr>
        <w:t xml:space="preserve"> </w:t>
      </w:r>
      <w:r>
        <w:rPr>
          <w:rFonts w:hint="eastAsia" w:ascii="宋体" w:hAnsi="宋体" w:cs="宋体"/>
          <w:color w:val="auto"/>
          <w:sz w:val="22"/>
          <w:highlight w:val="none"/>
          <w:lang w:val="zh-CN"/>
        </w:rPr>
        <w:t>：</w:t>
      </w:r>
    </w:p>
    <w:p w14:paraId="00377655">
      <w:pPr>
        <w:spacing w:line="480" w:lineRule="exact"/>
        <w:ind w:firstLine="560"/>
        <w:rPr>
          <w:rFonts w:ascii="宋体" w:hAnsi="宋体" w:eastAsia="宋体" w:cs="仿宋"/>
          <w:color w:val="auto"/>
          <w:sz w:val="28"/>
          <w:highlight w:val="none"/>
        </w:rPr>
      </w:pPr>
      <w:r>
        <w:rPr>
          <w:rFonts w:hint="eastAsia" w:ascii="宋体" w:hAnsi="宋体" w:eastAsia="宋体" w:cs="宋体"/>
          <w:color w:val="auto"/>
          <w:sz w:val="22"/>
          <w:highlight w:val="none"/>
          <w:lang w:val="zh-CN"/>
        </w:rPr>
        <w:t xml:space="preserve">   </w:t>
      </w:r>
      <w:r>
        <w:rPr>
          <w:rFonts w:hint="eastAsia" w:ascii="宋体" w:hAnsi="宋体" w:eastAsia="宋体" w:cs="仿宋"/>
          <w:color w:val="auto"/>
          <w:sz w:val="28"/>
          <w:highlight w:val="none"/>
        </w:rPr>
        <w:t>本授权书声明：注册于</w:t>
      </w:r>
      <w:r>
        <w:rPr>
          <w:rFonts w:hint="eastAsia" w:ascii="宋体" w:hAnsi="宋体" w:eastAsia="宋体" w:cs="仿宋"/>
          <w:color w:val="auto"/>
          <w:sz w:val="28"/>
          <w:highlight w:val="none"/>
          <w:u w:val="single"/>
        </w:rPr>
        <w:t xml:space="preserve">                             </w:t>
      </w:r>
      <w:r>
        <w:rPr>
          <w:rFonts w:hint="eastAsia" w:ascii="宋体" w:hAnsi="宋体" w:eastAsia="宋体" w:cs="仿宋"/>
          <w:color w:val="auto"/>
          <w:sz w:val="28"/>
          <w:highlight w:val="none"/>
        </w:rPr>
        <w:t>（投标人住址）的</w:t>
      </w:r>
      <w:r>
        <w:rPr>
          <w:rFonts w:hint="eastAsia" w:ascii="宋体" w:hAnsi="宋体" w:eastAsia="宋体" w:cs="仿宋"/>
          <w:color w:val="auto"/>
          <w:sz w:val="28"/>
          <w:highlight w:val="none"/>
          <w:u w:val="single"/>
        </w:rPr>
        <w:t xml:space="preserve">                 </w:t>
      </w:r>
      <w:r>
        <w:rPr>
          <w:rFonts w:hint="eastAsia" w:ascii="宋体" w:hAnsi="宋体" w:eastAsia="宋体" w:cs="仿宋"/>
          <w:color w:val="auto"/>
          <w:sz w:val="28"/>
          <w:highlight w:val="none"/>
        </w:rPr>
        <w:t>（投标人名称）法定代表人</w:t>
      </w:r>
      <w:r>
        <w:rPr>
          <w:rFonts w:hint="eastAsia" w:ascii="宋体" w:hAnsi="宋体" w:eastAsia="宋体" w:cs="仿宋"/>
          <w:color w:val="auto"/>
          <w:sz w:val="28"/>
          <w:highlight w:val="none"/>
          <w:u w:val="single"/>
        </w:rPr>
        <w:t xml:space="preserve">                      </w:t>
      </w:r>
      <w:r>
        <w:rPr>
          <w:rFonts w:hint="eastAsia" w:ascii="宋体" w:hAnsi="宋体" w:eastAsia="宋体" w:cs="仿宋"/>
          <w:color w:val="auto"/>
          <w:sz w:val="28"/>
          <w:highlight w:val="none"/>
        </w:rPr>
        <w:t>（法定代表人姓名、职务）代表本公司授权在下面签字的</w:t>
      </w:r>
      <w:r>
        <w:rPr>
          <w:rFonts w:hint="eastAsia" w:ascii="宋体" w:hAnsi="宋体" w:eastAsia="宋体" w:cs="仿宋"/>
          <w:color w:val="auto"/>
          <w:sz w:val="28"/>
          <w:highlight w:val="none"/>
          <w:u w:val="single"/>
        </w:rPr>
        <w:t xml:space="preserve">            </w:t>
      </w:r>
      <w:r>
        <w:rPr>
          <w:rFonts w:hint="eastAsia" w:ascii="宋体" w:hAnsi="宋体" w:eastAsia="宋体" w:cs="仿宋"/>
          <w:color w:val="auto"/>
          <w:sz w:val="28"/>
          <w:highlight w:val="none"/>
        </w:rPr>
        <w:t>（投标人法定代表人授权代表的姓名、职务）为本公司的合法代理人，就贵方组织的</w:t>
      </w:r>
      <w:r>
        <w:rPr>
          <w:rFonts w:hint="eastAsia" w:ascii="宋体" w:hAnsi="宋体" w:eastAsia="宋体" w:cs="仿宋"/>
          <w:b/>
          <w:color w:val="auto"/>
          <w:sz w:val="28"/>
          <w:highlight w:val="none"/>
          <w:u w:val="single"/>
        </w:rPr>
        <w:t xml:space="preserve">                          </w:t>
      </w:r>
      <w:r>
        <w:rPr>
          <w:rFonts w:hint="eastAsia" w:ascii="宋体" w:hAnsi="宋体" w:eastAsia="宋体" w:cs="仿宋"/>
          <w:color w:val="auto"/>
          <w:sz w:val="28"/>
          <w:highlight w:val="none"/>
        </w:rPr>
        <w:t>（项目名称），</w:t>
      </w:r>
      <w:r>
        <w:rPr>
          <w:rFonts w:hint="eastAsia" w:ascii="宋体" w:hAnsi="宋体" w:eastAsia="宋体" w:cs="仿宋"/>
          <w:color w:val="auto"/>
          <w:sz w:val="28"/>
          <w:highlight w:val="none"/>
          <w:u w:val="single"/>
        </w:rPr>
        <w:t xml:space="preserve">                 </w:t>
      </w:r>
      <w:r>
        <w:rPr>
          <w:rFonts w:hint="eastAsia" w:ascii="宋体" w:hAnsi="宋体" w:eastAsia="宋体" w:cs="仿宋"/>
          <w:color w:val="auto"/>
          <w:sz w:val="28"/>
          <w:highlight w:val="none"/>
        </w:rPr>
        <w:t>（项目编号）的投标，以本公司名义处理一切与之有关的事务。</w:t>
      </w:r>
    </w:p>
    <w:p w14:paraId="584E54CC">
      <w:pPr>
        <w:spacing w:line="480" w:lineRule="exact"/>
        <w:ind w:firstLine="560"/>
        <w:rPr>
          <w:rFonts w:ascii="宋体" w:hAnsi="宋体" w:eastAsia="宋体" w:cs="仿宋"/>
          <w:color w:val="auto"/>
          <w:sz w:val="28"/>
          <w:highlight w:val="none"/>
        </w:rPr>
      </w:pPr>
      <w:r>
        <w:rPr>
          <w:rFonts w:hint="eastAsia" w:ascii="宋体" w:hAnsi="宋体" w:eastAsia="宋体" w:cs="仿宋"/>
          <w:color w:val="auto"/>
          <w:sz w:val="28"/>
          <w:highlight w:val="none"/>
        </w:rPr>
        <w:t>本授权书于</w:t>
      </w:r>
      <w:r>
        <w:rPr>
          <w:rFonts w:hint="eastAsia" w:ascii="宋体" w:hAnsi="宋体" w:eastAsia="宋体" w:cs="仿宋"/>
          <w:color w:val="auto"/>
          <w:sz w:val="28"/>
          <w:highlight w:val="none"/>
          <w:u w:val="single"/>
        </w:rPr>
        <w:t xml:space="preserve">    </w:t>
      </w:r>
      <w:r>
        <w:rPr>
          <w:rFonts w:hint="eastAsia" w:ascii="宋体" w:hAnsi="宋体" w:eastAsia="宋体" w:cs="仿宋"/>
          <w:color w:val="auto"/>
          <w:sz w:val="28"/>
          <w:highlight w:val="none"/>
        </w:rPr>
        <w:t>年</w:t>
      </w:r>
      <w:r>
        <w:rPr>
          <w:rFonts w:hint="eastAsia" w:ascii="宋体" w:hAnsi="宋体" w:eastAsia="宋体" w:cs="仿宋"/>
          <w:color w:val="auto"/>
          <w:sz w:val="28"/>
          <w:highlight w:val="none"/>
          <w:u w:val="single"/>
        </w:rPr>
        <w:t xml:space="preserve">  </w:t>
      </w:r>
      <w:r>
        <w:rPr>
          <w:rFonts w:hint="eastAsia" w:ascii="宋体" w:hAnsi="宋体" w:eastAsia="宋体" w:cs="仿宋"/>
          <w:color w:val="auto"/>
          <w:sz w:val="28"/>
          <w:highlight w:val="none"/>
        </w:rPr>
        <w:t>月</w:t>
      </w:r>
      <w:r>
        <w:rPr>
          <w:rFonts w:hint="eastAsia" w:ascii="宋体" w:hAnsi="宋体" w:eastAsia="宋体" w:cs="仿宋"/>
          <w:color w:val="auto"/>
          <w:sz w:val="28"/>
          <w:highlight w:val="none"/>
          <w:u w:val="single"/>
        </w:rPr>
        <w:t xml:space="preserve">  </w:t>
      </w:r>
      <w:r>
        <w:rPr>
          <w:rFonts w:hint="eastAsia" w:ascii="宋体" w:hAnsi="宋体" w:eastAsia="宋体" w:cs="仿宋"/>
          <w:color w:val="auto"/>
          <w:sz w:val="28"/>
          <w:highlight w:val="none"/>
        </w:rPr>
        <w:t>日签字生效，特此声明。</w:t>
      </w:r>
    </w:p>
    <w:p w14:paraId="79E664F2">
      <w:pPr>
        <w:spacing w:line="480" w:lineRule="exact"/>
        <w:ind w:firstLine="560"/>
        <w:rPr>
          <w:rFonts w:ascii="宋体" w:hAnsi="宋体" w:eastAsia="宋体" w:cs="仿宋"/>
          <w:color w:val="auto"/>
          <w:sz w:val="28"/>
          <w:highlight w:val="none"/>
        </w:rPr>
      </w:pPr>
    </w:p>
    <w:p w14:paraId="3E6C2609">
      <w:pPr>
        <w:spacing w:line="480" w:lineRule="exact"/>
        <w:rPr>
          <w:rFonts w:ascii="宋体" w:hAnsi="宋体" w:eastAsia="宋体" w:cs="仿宋"/>
          <w:color w:val="auto"/>
          <w:sz w:val="28"/>
          <w:highlight w:val="none"/>
        </w:rPr>
      </w:pPr>
      <w:r>
        <w:rPr>
          <w:rFonts w:hint="eastAsia" w:ascii="宋体" w:hAnsi="宋体" w:eastAsia="宋体" w:cs="仿宋"/>
          <w:color w:val="auto"/>
          <w:sz w:val="28"/>
          <w:highlight w:val="none"/>
        </w:rPr>
        <w:t>被授权人身份证号码：</w:t>
      </w:r>
    </w:p>
    <w:p w14:paraId="4139F6BC">
      <w:pPr>
        <w:spacing w:line="480" w:lineRule="exact"/>
        <w:rPr>
          <w:rFonts w:ascii="宋体" w:hAnsi="宋体" w:eastAsia="宋体" w:cs="仿宋"/>
          <w:color w:val="auto"/>
          <w:sz w:val="28"/>
          <w:highlight w:val="none"/>
        </w:rPr>
      </w:pPr>
      <w:r>
        <w:rPr>
          <w:rFonts w:hint="eastAsia" w:ascii="宋体" w:hAnsi="宋体" w:eastAsia="宋体" w:cs="仿宋"/>
          <w:color w:val="auto"/>
          <w:sz w:val="28"/>
          <w:highlight w:val="none"/>
        </w:rPr>
        <w:t>被授权人联系电话：（手机）</w:t>
      </w:r>
    </w:p>
    <w:p w14:paraId="077CC0B6">
      <w:pPr>
        <w:spacing w:line="480" w:lineRule="exact"/>
        <w:rPr>
          <w:rFonts w:ascii="宋体" w:hAnsi="宋体" w:eastAsia="宋体" w:cs="仿宋"/>
          <w:color w:val="auto"/>
          <w:sz w:val="28"/>
          <w:highlight w:val="none"/>
        </w:rPr>
      </w:pPr>
      <w:bookmarkStart w:id="31" w:name="OLE_LINK17"/>
      <w:bookmarkStart w:id="32" w:name="OLE_LINK18"/>
      <w:r>
        <w:rPr>
          <w:rFonts w:hint="eastAsia" w:ascii="宋体" w:hAnsi="宋体" w:eastAsia="宋体" w:cs="仿宋"/>
          <w:color w:val="auto"/>
          <w:sz w:val="28"/>
          <w:highlight w:val="none"/>
        </w:rPr>
        <w:t>单位名称：（加盖电子公章）</w:t>
      </w:r>
    </w:p>
    <w:bookmarkEnd w:id="31"/>
    <w:bookmarkEnd w:id="32"/>
    <w:p w14:paraId="271E6DD3">
      <w:pPr>
        <w:spacing w:line="480" w:lineRule="exact"/>
        <w:rPr>
          <w:rFonts w:ascii="宋体" w:hAnsi="宋体" w:eastAsia="宋体" w:cs="仿宋"/>
          <w:color w:val="auto"/>
          <w:sz w:val="28"/>
          <w:highlight w:val="none"/>
        </w:rPr>
      </w:pPr>
      <w:r>
        <w:rPr>
          <w:rFonts w:hint="eastAsia" w:ascii="宋体" w:hAnsi="宋体" w:eastAsia="宋体" w:cs="仿宋"/>
          <w:color w:val="auto"/>
          <w:sz w:val="28"/>
          <w:highlight w:val="none"/>
        </w:rPr>
        <w:t>单位地址：</w:t>
      </w:r>
    </w:p>
    <w:p w14:paraId="52A651B1">
      <w:pPr>
        <w:spacing w:line="360" w:lineRule="auto"/>
        <w:rPr>
          <w:rFonts w:ascii="宋体" w:hAnsi="宋体" w:eastAsia="宋体" w:cs="仿宋"/>
          <w:color w:val="auto"/>
          <w:sz w:val="22"/>
          <w:highlight w:val="none"/>
          <w:lang w:val="zh-CN"/>
        </w:rPr>
      </w:pPr>
      <w:r>
        <w:rPr>
          <w:rFonts w:hint="eastAsia" w:ascii="宋体" w:hAnsi="宋体" w:eastAsia="宋体" w:cs="仿宋"/>
          <w:color w:val="auto"/>
          <w:sz w:val="28"/>
          <w:highlight w:val="none"/>
        </w:rPr>
        <w:t>日    期：</w:t>
      </w:r>
    </w:p>
    <w:p w14:paraId="3D65D47E">
      <w:pPr>
        <w:spacing w:line="360" w:lineRule="auto"/>
        <w:ind w:firstLine="440"/>
        <w:rPr>
          <w:rFonts w:ascii="宋体" w:hAnsi="宋体" w:eastAsia="宋体" w:cs="仿宋"/>
          <w:color w:val="auto"/>
          <w:sz w:val="22"/>
          <w:highlight w:val="none"/>
          <w:lang w:val="zh-CN"/>
        </w:rPr>
      </w:pPr>
      <w:r>
        <w:rPr>
          <w:rFonts w:hint="eastAsia" w:ascii="宋体" w:hAnsi="宋体" w:eastAsia="宋体" w:cs="仿宋"/>
          <w:color w:val="auto"/>
          <w:sz w:val="22"/>
          <w:highlight w:val="none"/>
          <w:lang w:val="zh-CN"/>
        </w:rPr>
        <w:t>法定代表人身份证明文件的扫描件：</w:t>
      </w:r>
    </w:p>
    <w:p w14:paraId="24FB5C79">
      <w:pPr>
        <w:spacing w:line="360" w:lineRule="auto"/>
        <w:ind w:firstLine="440"/>
        <w:rPr>
          <w:rFonts w:ascii="宋体" w:hAnsi="宋体" w:eastAsia="宋体" w:cs="仿宋"/>
          <w:color w:val="auto"/>
          <w:sz w:val="22"/>
          <w:highlight w:val="none"/>
          <w:lang w:val="zh-CN"/>
        </w:rPr>
      </w:pPr>
      <w:r>
        <w:rPr>
          <w:rFonts w:hint="eastAsia" w:ascii="宋体" w:hAnsi="宋体" w:eastAsia="宋体" w:cs="仿宋"/>
          <w:color w:val="auto"/>
          <w:sz w:val="22"/>
          <w:highlight w:val="none"/>
          <w:lang w:val="zh-CN"/>
        </w:rPr>
        <w:t>代理人的身份证明文件的扫描件：</w:t>
      </w:r>
    </w:p>
    <w:p w14:paraId="58A3A960">
      <w:pPr>
        <w:autoSpaceDE w:val="0"/>
        <w:autoSpaceDN w:val="0"/>
        <w:adjustRightInd w:val="0"/>
        <w:spacing w:line="360" w:lineRule="auto"/>
        <w:rPr>
          <w:rFonts w:ascii="宋体" w:hAnsi="宋体" w:eastAsia="宋体" w:cs="宋体"/>
          <w:color w:val="auto"/>
          <w:sz w:val="22"/>
          <w:highlight w:val="none"/>
          <w:lang w:val="zh-CN"/>
        </w:rPr>
      </w:pPr>
    </w:p>
    <w:p w14:paraId="715DE821">
      <w:pPr>
        <w:rPr>
          <w:rFonts w:ascii="宋体" w:hAnsi="宋体"/>
          <w:b/>
          <w:color w:val="auto"/>
          <w:szCs w:val="21"/>
          <w:highlight w:val="none"/>
          <w:lang w:val="zh-CN"/>
        </w:rPr>
      </w:pPr>
      <w:r>
        <w:rPr>
          <w:rFonts w:ascii="宋体" w:hAnsi="宋体"/>
          <w:b/>
          <w:color w:val="auto"/>
          <w:szCs w:val="21"/>
          <w:highlight w:val="none"/>
          <w:lang w:val="zh-CN"/>
        </w:rPr>
        <w:br w:type="page"/>
      </w:r>
    </w:p>
    <w:p w14:paraId="0D09B14F">
      <w:pPr>
        <w:autoSpaceDE w:val="0"/>
        <w:autoSpaceDN w:val="0"/>
        <w:adjustRightInd w:val="0"/>
        <w:spacing w:line="360" w:lineRule="auto"/>
        <w:rPr>
          <w:rFonts w:ascii="宋体" w:hAnsi="宋体"/>
          <w:b/>
          <w:color w:val="auto"/>
          <w:sz w:val="22"/>
          <w:highlight w:val="none"/>
          <w:lang w:val="zh-CN"/>
        </w:rPr>
      </w:pPr>
      <w:r>
        <w:rPr>
          <w:rFonts w:hint="eastAsia" w:ascii="宋体" w:hAnsi="宋体"/>
          <w:b/>
          <w:color w:val="auto"/>
          <w:szCs w:val="21"/>
          <w:highlight w:val="none"/>
          <w:lang w:val="zh-CN"/>
        </w:rPr>
        <w:t>附件三、报价表格式</w:t>
      </w:r>
    </w:p>
    <w:p w14:paraId="69731517">
      <w:pPr>
        <w:spacing w:line="420" w:lineRule="auto"/>
        <w:jc w:val="center"/>
        <w:outlineLvl w:val="0"/>
        <w:rPr>
          <w:rFonts w:cs="仿宋" w:asciiTheme="minorEastAsia" w:hAnsiTheme="minorEastAsia"/>
          <w:color w:val="auto"/>
          <w:sz w:val="24"/>
          <w:highlight w:val="none"/>
        </w:rPr>
      </w:pPr>
      <w:bookmarkStart w:id="33" w:name="_Toc70"/>
      <w:r>
        <w:rPr>
          <w:rFonts w:hint="eastAsia" w:cs="仿宋" w:asciiTheme="minorEastAsia" w:hAnsiTheme="minorEastAsia"/>
          <w:color w:val="auto"/>
          <w:sz w:val="24"/>
          <w:highlight w:val="none"/>
        </w:rPr>
        <w:t>开标一览表格式</w:t>
      </w:r>
      <w:bookmarkEnd w:id="33"/>
    </w:p>
    <w:tbl>
      <w:tblPr>
        <w:tblStyle w:val="25"/>
        <w:tblW w:w="9390" w:type="dxa"/>
        <w:tblInd w:w="-2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11"/>
        <w:gridCol w:w="2557"/>
        <w:gridCol w:w="2186"/>
        <w:gridCol w:w="903"/>
        <w:gridCol w:w="462"/>
        <w:gridCol w:w="2571"/>
      </w:tblGrid>
      <w:tr w14:paraId="4DCD2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6" w:hRule="atLeast"/>
        </w:trPr>
        <w:tc>
          <w:tcPr>
            <w:tcW w:w="6353" w:type="dxa"/>
            <w:gridSpan w:val="4"/>
            <w:tcBorders>
              <w:top w:val="nil"/>
              <w:left w:val="nil"/>
              <w:bottom w:val="single" w:color="auto" w:sz="6" w:space="0"/>
              <w:right w:val="nil"/>
            </w:tcBorders>
            <w:vAlign w:val="center"/>
          </w:tcPr>
          <w:p w14:paraId="5891387A">
            <w:pPr>
              <w:spacing w:line="420" w:lineRule="auto"/>
              <w:rPr>
                <w:rFonts w:cs="仿宋" w:asciiTheme="minorEastAsia" w:hAnsiTheme="minorEastAsia"/>
                <w:color w:val="auto"/>
                <w:kern w:val="2"/>
                <w:sz w:val="24"/>
                <w:szCs w:val="24"/>
                <w:highlight w:val="none"/>
              </w:rPr>
            </w:pPr>
            <w:r>
              <w:rPr>
                <w:rFonts w:hint="eastAsia" w:cs="仿宋" w:asciiTheme="minorEastAsia" w:hAnsiTheme="minorEastAsia"/>
                <w:color w:val="auto"/>
                <w:kern w:val="2"/>
                <w:sz w:val="24"/>
                <w:highlight w:val="none"/>
              </w:rPr>
              <w:t>项目名称：</w:t>
            </w:r>
          </w:p>
        </w:tc>
        <w:tc>
          <w:tcPr>
            <w:tcW w:w="3032" w:type="dxa"/>
            <w:gridSpan w:val="2"/>
            <w:tcBorders>
              <w:top w:val="nil"/>
              <w:left w:val="nil"/>
              <w:bottom w:val="single" w:color="auto" w:sz="6" w:space="0"/>
              <w:right w:val="nil"/>
            </w:tcBorders>
            <w:vAlign w:val="center"/>
          </w:tcPr>
          <w:p w14:paraId="78102C07">
            <w:pPr>
              <w:spacing w:line="420" w:lineRule="auto"/>
              <w:rPr>
                <w:rFonts w:cs="仿宋" w:asciiTheme="minorEastAsia" w:hAnsiTheme="minorEastAsia"/>
                <w:color w:val="auto"/>
                <w:kern w:val="2"/>
                <w:sz w:val="24"/>
                <w:szCs w:val="24"/>
                <w:highlight w:val="none"/>
              </w:rPr>
            </w:pPr>
            <w:r>
              <w:rPr>
                <w:rFonts w:hint="eastAsia" w:cs="仿宋" w:asciiTheme="minorEastAsia" w:hAnsiTheme="minorEastAsia"/>
                <w:color w:val="auto"/>
                <w:kern w:val="2"/>
                <w:sz w:val="24"/>
                <w:highlight w:val="none"/>
              </w:rPr>
              <w:t>项目编号：</w:t>
            </w:r>
          </w:p>
        </w:tc>
      </w:tr>
      <w:tr w14:paraId="42E28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4" w:hRule="atLeast"/>
        </w:trPr>
        <w:tc>
          <w:tcPr>
            <w:tcW w:w="710" w:type="dxa"/>
            <w:tcBorders>
              <w:top w:val="single" w:color="auto" w:sz="6" w:space="0"/>
              <w:left w:val="single" w:color="auto" w:sz="6" w:space="0"/>
              <w:bottom w:val="single" w:color="auto" w:sz="6" w:space="0"/>
              <w:right w:val="single" w:color="auto" w:sz="6" w:space="0"/>
            </w:tcBorders>
            <w:vAlign w:val="center"/>
          </w:tcPr>
          <w:p w14:paraId="3B1F2B6A">
            <w:pPr>
              <w:widowControl w:val="0"/>
              <w:spacing w:line="420" w:lineRule="auto"/>
              <w:jc w:val="center"/>
              <w:rPr>
                <w:rFonts w:cs="仿宋" w:asciiTheme="minorEastAsia" w:hAnsiTheme="minorEastAsia"/>
                <w:color w:val="auto"/>
                <w:kern w:val="2"/>
                <w:sz w:val="24"/>
                <w:szCs w:val="24"/>
                <w:highlight w:val="none"/>
              </w:rPr>
            </w:pPr>
            <w:r>
              <w:rPr>
                <w:rFonts w:hint="eastAsia" w:cs="仿宋" w:asciiTheme="minorEastAsia" w:hAnsiTheme="minorEastAsia"/>
                <w:color w:val="auto"/>
                <w:kern w:val="2"/>
                <w:sz w:val="24"/>
                <w:highlight w:val="none"/>
              </w:rPr>
              <w:t>序号</w:t>
            </w:r>
          </w:p>
        </w:tc>
        <w:tc>
          <w:tcPr>
            <w:tcW w:w="4740" w:type="dxa"/>
            <w:gridSpan w:val="2"/>
            <w:tcBorders>
              <w:top w:val="single" w:color="auto" w:sz="6" w:space="0"/>
              <w:left w:val="single" w:color="auto" w:sz="6" w:space="0"/>
              <w:bottom w:val="single" w:color="auto" w:sz="6" w:space="0"/>
              <w:right w:val="single" w:color="auto" w:sz="6" w:space="0"/>
            </w:tcBorders>
            <w:vAlign w:val="center"/>
          </w:tcPr>
          <w:p w14:paraId="685D42DF">
            <w:pPr>
              <w:widowControl w:val="0"/>
              <w:spacing w:line="420" w:lineRule="auto"/>
              <w:jc w:val="center"/>
              <w:rPr>
                <w:rFonts w:cs="仿宋" w:asciiTheme="minorEastAsia" w:hAnsiTheme="minorEastAsia"/>
                <w:color w:val="auto"/>
                <w:kern w:val="2"/>
                <w:sz w:val="24"/>
                <w:szCs w:val="24"/>
                <w:highlight w:val="none"/>
              </w:rPr>
            </w:pPr>
            <w:r>
              <w:rPr>
                <w:rFonts w:hint="eastAsia" w:cs="仿宋" w:asciiTheme="minorEastAsia" w:hAnsiTheme="minorEastAsia"/>
                <w:color w:val="auto"/>
                <w:kern w:val="2"/>
                <w:sz w:val="24"/>
                <w:highlight w:val="none"/>
              </w:rPr>
              <w:t>名               称</w:t>
            </w:r>
          </w:p>
        </w:tc>
        <w:tc>
          <w:tcPr>
            <w:tcW w:w="1365" w:type="dxa"/>
            <w:gridSpan w:val="2"/>
            <w:tcBorders>
              <w:top w:val="single" w:color="auto" w:sz="6" w:space="0"/>
              <w:left w:val="single" w:color="auto" w:sz="6" w:space="0"/>
              <w:bottom w:val="single" w:color="auto" w:sz="6" w:space="0"/>
              <w:right w:val="single" w:color="auto" w:sz="6" w:space="0"/>
            </w:tcBorders>
            <w:vAlign w:val="center"/>
          </w:tcPr>
          <w:p w14:paraId="37639F87">
            <w:pPr>
              <w:widowControl w:val="0"/>
              <w:spacing w:line="420" w:lineRule="auto"/>
              <w:jc w:val="center"/>
              <w:rPr>
                <w:rFonts w:cs="仿宋" w:asciiTheme="minorEastAsia" w:hAnsiTheme="minorEastAsia"/>
                <w:color w:val="auto"/>
                <w:kern w:val="2"/>
                <w:sz w:val="24"/>
                <w:szCs w:val="24"/>
                <w:highlight w:val="none"/>
              </w:rPr>
            </w:pPr>
            <w:r>
              <w:rPr>
                <w:rFonts w:hint="eastAsia" w:cs="仿宋" w:asciiTheme="minorEastAsia" w:hAnsiTheme="minorEastAsia"/>
                <w:bCs/>
                <w:color w:val="auto"/>
                <w:kern w:val="2"/>
                <w:sz w:val="22"/>
                <w:highlight w:val="none"/>
              </w:rPr>
              <w:t>优惠</w:t>
            </w:r>
            <w:r>
              <w:rPr>
                <w:rFonts w:hint="eastAsia" w:cs="仿宋" w:asciiTheme="minorEastAsia" w:hAnsiTheme="minorEastAsia"/>
                <w:bCs/>
                <w:color w:val="auto"/>
                <w:kern w:val="2"/>
                <w:sz w:val="22"/>
                <w:highlight w:val="none"/>
                <w:lang w:val="zh-CN"/>
              </w:rPr>
              <w:t>率</w:t>
            </w:r>
          </w:p>
        </w:tc>
        <w:tc>
          <w:tcPr>
            <w:tcW w:w="2570" w:type="dxa"/>
            <w:tcBorders>
              <w:top w:val="single" w:color="auto" w:sz="6" w:space="0"/>
              <w:left w:val="single" w:color="auto" w:sz="6" w:space="0"/>
              <w:bottom w:val="single" w:color="auto" w:sz="6" w:space="0"/>
              <w:right w:val="single" w:color="auto" w:sz="6" w:space="0"/>
            </w:tcBorders>
            <w:vAlign w:val="center"/>
          </w:tcPr>
          <w:p w14:paraId="7EE7DC1E">
            <w:pPr>
              <w:widowControl w:val="0"/>
              <w:spacing w:line="420" w:lineRule="auto"/>
              <w:jc w:val="center"/>
              <w:rPr>
                <w:rFonts w:cs="仿宋" w:asciiTheme="minorEastAsia" w:hAnsiTheme="minorEastAsia"/>
                <w:color w:val="auto"/>
                <w:kern w:val="2"/>
                <w:sz w:val="24"/>
                <w:szCs w:val="24"/>
                <w:highlight w:val="none"/>
              </w:rPr>
            </w:pPr>
          </w:p>
        </w:tc>
      </w:tr>
      <w:tr w14:paraId="724E7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4" w:hRule="atLeast"/>
        </w:trPr>
        <w:tc>
          <w:tcPr>
            <w:tcW w:w="710" w:type="dxa"/>
            <w:tcBorders>
              <w:top w:val="single" w:color="auto" w:sz="6" w:space="0"/>
              <w:left w:val="single" w:color="auto" w:sz="6" w:space="0"/>
              <w:bottom w:val="single" w:color="auto" w:sz="6" w:space="0"/>
              <w:right w:val="single" w:color="auto" w:sz="6" w:space="0"/>
            </w:tcBorders>
            <w:vAlign w:val="center"/>
          </w:tcPr>
          <w:p w14:paraId="1EBC6D73">
            <w:pPr>
              <w:widowControl w:val="0"/>
              <w:spacing w:line="420" w:lineRule="auto"/>
              <w:jc w:val="center"/>
              <w:rPr>
                <w:rFonts w:cs="仿宋" w:asciiTheme="minorEastAsia" w:hAnsiTheme="minorEastAsia"/>
                <w:bCs/>
                <w:color w:val="auto"/>
                <w:spacing w:val="-2"/>
                <w:kern w:val="2"/>
                <w:sz w:val="24"/>
                <w:szCs w:val="24"/>
                <w:highlight w:val="none"/>
              </w:rPr>
            </w:pPr>
            <w:r>
              <w:rPr>
                <w:rFonts w:hint="eastAsia" w:cs="仿宋" w:asciiTheme="minorEastAsia" w:hAnsiTheme="minorEastAsia"/>
                <w:bCs/>
                <w:color w:val="auto"/>
                <w:spacing w:val="-2"/>
                <w:kern w:val="2"/>
                <w:sz w:val="24"/>
                <w:highlight w:val="none"/>
              </w:rPr>
              <w:t>1</w:t>
            </w:r>
          </w:p>
        </w:tc>
        <w:tc>
          <w:tcPr>
            <w:tcW w:w="4740" w:type="dxa"/>
            <w:gridSpan w:val="2"/>
            <w:tcBorders>
              <w:top w:val="single" w:color="auto" w:sz="6" w:space="0"/>
              <w:left w:val="single" w:color="auto" w:sz="6" w:space="0"/>
              <w:bottom w:val="single" w:color="auto" w:sz="6" w:space="0"/>
              <w:right w:val="single" w:color="auto" w:sz="6" w:space="0"/>
            </w:tcBorders>
            <w:vAlign w:val="center"/>
          </w:tcPr>
          <w:p w14:paraId="6D2B81DC">
            <w:pPr>
              <w:widowControl w:val="0"/>
              <w:spacing w:line="420" w:lineRule="auto"/>
              <w:ind w:firstLine="1888"/>
              <w:jc w:val="both"/>
              <w:rPr>
                <w:rFonts w:cs="仿宋" w:asciiTheme="minorEastAsia" w:hAnsiTheme="minorEastAsia"/>
                <w:bCs/>
                <w:color w:val="auto"/>
                <w:spacing w:val="-2"/>
                <w:kern w:val="2"/>
                <w:sz w:val="24"/>
                <w:szCs w:val="24"/>
                <w:highlight w:val="none"/>
              </w:rPr>
            </w:pPr>
          </w:p>
        </w:tc>
        <w:tc>
          <w:tcPr>
            <w:tcW w:w="1365" w:type="dxa"/>
            <w:gridSpan w:val="2"/>
            <w:tcBorders>
              <w:top w:val="single" w:color="auto" w:sz="6" w:space="0"/>
              <w:left w:val="single" w:color="auto" w:sz="6" w:space="0"/>
              <w:bottom w:val="single" w:color="auto" w:sz="6" w:space="0"/>
              <w:right w:val="single" w:color="auto" w:sz="6" w:space="0"/>
            </w:tcBorders>
            <w:vAlign w:val="center"/>
          </w:tcPr>
          <w:p w14:paraId="79615DA4">
            <w:pPr>
              <w:widowControl w:val="0"/>
              <w:spacing w:line="420" w:lineRule="auto"/>
              <w:jc w:val="center"/>
              <w:rPr>
                <w:rFonts w:cs="仿宋" w:asciiTheme="minorEastAsia" w:hAnsiTheme="minorEastAsia"/>
                <w:color w:val="auto"/>
                <w:kern w:val="2"/>
                <w:sz w:val="24"/>
                <w:szCs w:val="24"/>
                <w:highlight w:val="none"/>
              </w:rPr>
            </w:pPr>
          </w:p>
        </w:tc>
        <w:tc>
          <w:tcPr>
            <w:tcW w:w="2570" w:type="dxa"/>
            <w:tcBorders>
              <w:top w:val="single" w:color="auto" w:sz="6" w:space="0"/>
              <w:left w:val="single" w:color="auto" w:sz="6" w:space="0"/>
              <w:bottom w:val="single" w:color="auto" w:sz="6" w:space="0"/>
              <w:right w:val="single" w:color="auto" w:sz="6" w:space="0"/>
            </w:tcBorders>
            <w:vAlign w:val="center"/>
          </w:tcPr>
          <w:p w14:paraId="4AFF1C6F">
            <w:pPr>
              <w:widowControl w:val="0"/>
              <w:spacing w:line="420" w:lineRule="auto"/>
              <w:jc w:val="center"/>
              <w:rPr>
                <w:rFonts w:cs="仿宋" w:asciiTheme="minorEastAsia" w:hAnsiTheme="minorEastAsia"/>
                <w:color w:val="auto"/>
                <w:kern w:val="2"/>
                <w:sz w:val="24"/>
                <w:szCs w:val="24"/>
                <w:highlight w:val="none"/>
              </w:rPr>
            </w:pPr>
          </w:p>
        </w:tc>
      </w:tr>
      <w:tr w14:paraId="16DF0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4" w:hRule="atLeast"/>
        </w:trPr>
        <w:tc>
          <w:tcPr>
            <w:tcW w:w="710" w:type="dxa"/>
            <w:tcBorders>
              <w:top w:val="single" w:color="auto" w:sz="6" w:space="0"/>
              <w:left w:val="single" w:color="auto" w:sz="6" w:space="0"/>
              <w:bottom w:val="single" w:color="auto" w:sz="6" w:space="0"/>
              <w:right w:val="single" w:color="auto" w:sz="6" w:space="0"/>
            </w:tcBorders>
            <w:vAlign w:val="center"/>
          </w:tcPr>
          <w:p w14:paraId="5A9A0809">
            <w:pPr>
              <w:widowControl w:val="0"/>
              <w:spacing w:line="420" w:lineRule="auto"/>
              <w:jc w:val="center"/>
              <w:rPr>
                <w:rFonts w:cs="仿宋" w:asciiTheme="minorEastAsia" w:hAnsiTheme="minorEastAsia"/>
                <w:color w:val="auto"/>
                <w:spacing w:val="-2"/>
                <w:kern w:val="2"/>
                <w:sz w:val="24"/>
                <w:szCs w:val="24"/>
                <w:highlight w:val="none"/>
              </w:rPr>
            </w:pPr>
          </w:p>
        </w:tc>
        <w:tc>
          <w:tcPr>
            <w:tcW w:w="4740" w:type="dxa"/>
            <w:gridSpan w:val="2"/>
            <w:tcBorders>
              <w:top w:val="single" w:color="auto" w:sz="6" w:space="0"/>
              <w:left w:val="single" w:color="auto" w:sz="6" w:space="0"/>
              <w:bottom w:val="single" w:color="auto" w:sz="6" w:space="0"/>
              <w:right w:val="single" w:color="auto" w:sz="6" w:space="0"/>
            </w:tcBorders>
            <w:vAlign w:val="center"/>
          </w:tcPr>
          <w:p w14:paraId="5101A0F3">
            <w:pPr>
              <w:widowControl w:val="0"/>
              <w:spacing w:line="420" w:lineRule="auto"/>
              <w:ind w:firstLine="2124"/>
              <w:jc w:val="both"/>
              <w:rPr>
                <w:rFonts w:cs="仿宋" w:asciiTheme="minorEastAsia" w:hAnsiTheme="minorEastAsia"/>
                <w:color w:val="auto"/>
                <w:spacing w:val="-2"/>
                <w:kern w:val="2"/>
                <w:sz w:val="24"/>
                <w:szCs w:val="24"/>
                <w:highlight w:val="none"/>
              </w:rPr>
            </w:pPr>
          </w:p>
        </w:tc>
        <w:tc>
          <w:tcPr>
            <w:tcW w:w="1365" w:type="dxa"/>
            <w:gridSpan w:val="2"/>
            <w:tcBorders>
              <w:top w:val="single" w:color="auto" w:sz="6" w:space="0"/>
              <w:left w:val="single" w:color="auto" w:sz="6" w:space="0"/>
              <w:bottom w:val="single" w:color="auto" w:sz="6" w:space="0"/>
              <w:right w:val="single" w:color="auto" w:sz="6" w:space="0"/>
            </w:tcBorders>
            <w:vAlign w:val="center"/>
          </w:tcPr>
          <w:p w14:paraId="3542383B">
            <w:pPr>
              <w:widowControl w:val="0"/>
              <w:spacing w:line="420" w:lineRule="auto"/>
              <w:jc w:val="center"/>
              <w:rPr>
                <w:rFonts w:cs="仿宋" w:asciiTheme="minorEastAsia" w:hAnsiTheme="minorEastAsia"/>
                <w:color w:val="auto"/>
                <w:kern w:val="2"/>
                <w:sz w:val="24"/>
                <w:szCs w:val="24"/>
                <w:highlight w:val="none"/>
              </w:rPr>
            </w:pPr>
          </w:p>
        </w:tc>
        <w:tc>
          <w:tcPr>
            <w:tcW w:w="2570" w:type="dxa"/>
            <w:tcBorders>
              <w:top w:val="single" w:color="auto" w:sz="6" w:space="0"/>
              <w:left w:val="single" w:color="auto" w:sz="6" w:space="0"/>
              <w:bottom w:val="single" w:color="auto" w:sz="6" w:space="0"/>
              <w:right w:val="single" w:color="auto" w:sz="6" w:space="0"/>
            </w:tcBorders>
            <w:vAlign w:val="center"/>
          </w:tcPr>
          <w:p w14:paraId="6BEE590A">
            <w:pPr>
              <w:widowControl w:val="0"/>
              <w:spacing w:line="420" w:lineRule="auto"/>
              <w:jc w:val="center"/>
              <w:rPr>
                <w:rFonts w:cs="仿宋" w:asciiTheme="minorEastAsia" w:hAnsiTheme="minorEastAsia"/>
                <w:color w:val="auto"/>
                <w:kern w:val="2"/>
                <w:sz w:val="24"/>
                <w:szCs w:val="24"/>
                <w:highlight w:val="none"/>
              </w:rPr>
            </w:pPr>
          </w:p>
        </w:tc>
      </w:tr>
      <w:tr w14:paraId="06118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4" w:hRule="atLeast"/>
        </w:trPr>
        <w:tc>
          <w:tcPr>
            <w:tcW w:w="710" w:type="dxa"/>
            <w:tcBorders>
              <w:top w:val="single" w:color="auto" w:sz="6" w:space="0"/>
              <w:left w:val="single" w:color="auto" w:sz="6" w:space="0"/>
              <w:bottom w:val="single" w:color="auto" w:sz="6" w:space="0"/>
              <w:right w:val="single" w:color="auto" w:sz="6" w:space="0"/>
            </w:tcBorders>
            <w:vAlign w:val="center"/>
          </w:tcPr>
          <w:p w14:paraId="42668064">
            <w:pPr>
              <w:widowControl w:val="0"/>
              <w:spacing w:line="420" w:lineRule="auto"/>
              <w:jc w:val="center"/>
              <w:rPr>
                <w:rFonts w:cs="仿宋" w:asciiTheme="minorEastAsia" w:hAnsiTheme="minorEastAsia"/>
                <w:color w:val="auto"/>
                <w:spacing w:val="-2"/>
                <w:kern w:val="2"/>
                <w:sz w:val="24"/>
                <w:szCs w:val="24"/>
                <w:highlight w:val="none"/>
              </w:rPr>
            </w:pPr>
          </w:p>
        </w:tc>
        <w:tc>
          <w:tcPr>
            <w:tcW w:w="4740" w:type="dxa"/>
            <w:gridSpan w:val="2"/>
            <w:tcBorders>
              <w:top w:val="single" w:color="auto" w:sz="6" w:space="0"/>
              <w:left w:val="single" w:color="auto" w:sz="6" w:space="0"/>
              <w:bottom w:val="single" w:color="auto" w:sz="6" w:space="0"/>
              <w:right w:val="single" w:color="auto" w:sz="6" w:space="0"/>
            </w:tcBorders>
            <w:vAlign w:val="center"/>
          </w:tcPr>
          <w:p w14:paraId="7A710166">
            <w:pPr>
              <w:widowControl w:val="0"/>
              <w:spacing w:line="420" w:lineRule="auto"/>
              <w:jc w:val="both"/>
              <w:rPr>
                <w:rFonts w:cs="仿宋" w:asciiTheme="minorEastAsia" w:hAnsiTheme="minorEastAsia"/>
                <w:color w:val="auto"/>
                <w:spacing w:val="-2"/>
                <w:kern w:val="2"/>
                <w:sz w:val="24"/>
                <w:szCs w:val="24"/>
                <w:highlight w:val="none"/>
              </w:rPr>
            </w:pPr>
          </w:p>
        </w:tc>
        <w:tc>
          <w:tcPr>
            <w:tcW w:w="1365" w:type="dxa"/>
            <w:gridSpan w:val="2"/>
            <w:tcBorders>
              <w:top w:val="single" w:color="auto" w:sz="6" w:space="0"/>
              <w:left w:val="single" w:color="auto" w:sz="6" w:space="0"/>
              <w:bottom w:val="single" w:color="auto" w:sz="6" w:space="0"/>
              <w:right w:val="single" w:color="auto" w:sz="6" w:space="0"/>
            </w:tcBorders>
            <w:vAlign w:val="center"/>
          </w:tcPr>
          <w:p w14:paraId="6DE10A12">
            <w:pPr>
              <w:widowControl w:val="0"/>
              <w:spacing w:line="420" w:lineRule="auto"/>
              <w:jc w:val="center"/>
              <w:rPr>
                <w:rFonts w:cs="仿宋" w:asciiTheme="minorEastAsia" w:hAnsiTheme="minorEastAsia"/>
                <w:color w:val="auto"/>
                <w:kern w:val="2"/>
                <w:sz w:val="24"/>
                <w:szCs w:val="24"/>
                <w:highlight w:val="none"/>
              </w:rPr>
            </w:pPr>
          </w:p>
        </w:tc>
        <w:tc>
          <w:tcPr>
            <w:tcW w:w="2570" w:type="dxa"/>
            <w:tcBorders>
              <w:top w:val="single" w:color="auto" w:sz="6" w:space="0"/>
              <w:left w:val="single" w:color="auto" w:sz="6" w:space="0"/>
              <w:bottom w:val="single" w:color="auto" w:sz="6" w:space="0"/>
              <w:right w:val="single" w:color="auto" w:sz="6" w:space="0"/>
            </w:tcBorders>
            <w:vAlign w:val="center"/>
          </w:tcPr>
          <w:p w14:paraId="471E9876">
            <w:pPr>
              <w:widowControl w:val="0"/>
              <w:spacing w:line="420" w:lineRule="auto"/>
              <w:jc w:val="center"/>
              <w:rPr>
                <w:rFonts w:cs="仿宋" w:asciiTheme="minorEastAsia" w:hAnsiTheme="minorEastAsia"/>
                <w:color w:val="auto"/>
                <w:kern w:val="2"/>
                <w:sz w:val="24"/>
                <w:szCs w:val="24"/>
                <w:highlight w:val="none"/>
              </w:rPr>
            </w:pPr>
          </w:p>
        </w:tc>
      </w:tr>
      <w:tr w14:paraId="21DA7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4" w:hRule="atLeast"/>
        </w:trPr>
        <w:tc>
          <w:tcPr>
            <w:tcW w:w="3265" w:type="dxa"/>
            <w:gridSpan w:val="2"/>
            <w:tcBorders>
              <w:top w:val="single" w:color="auto" w:sz="6" w:space="0"/>
              <w:left w:val="single" w:color="auto" w:sz="6" w:space="0"/>
              <w:bottom w:val="single" w:color="auto" w:sz="6" w:space="0"/>
              <w:right w:val="single" w:color="auto" w:sz="6" w:space="0"/>
            </w:tcBorders>
            <w:vAlign w:val="center"/>
          </w:tcPr>
          <w:p w14:paraId="7DD95741">
            <w:pPr>
              <w:spacing w:line="420" w:lineRule="auto"/>
              <w:jc w:val="center"/>
              <w:rPr>
                <w:rFonts w:cs="仿宋" w:asciiTheme="minorEastAsia" w:hAnsiTheme="minorEastAsia"/>
                <w:color w:val="auto"/>
                <w:kern w:val="2"/>
                <w:sz w:val="24"/>
                <w:szCs w:val="24"/>
                <w:highlight w:val="none"/>
              </w:rPr>
            </w:pPr>
            <w:r>
              <w:rPr>
                <w:rFonts w:hint="eastAsia" w:cs="仿宋" w:asciiTheme="minorEastAsia" w:hAnsiTheme="minorEastAsia"/>
                <w:color w:val="auto"/>
                <w:kern w:val="2"/>
                <w:sz w:val="24"/>
                <w:highlight w:val="none"/>
              </w:rPr>
              <w:t>供应商是否属于小微企业</w:t>
            </w:r>
          </w:p>
        </w:tc>
        <w:tc>
          <w:tcPr>
            <w:tcW w:w="6120" w:type="dxa"/>
            <w:gridSpan w:val="4"/>
            <w:tcBorders>
              <w:top w:val="single" w:color="auto" w:sz="6" w:space="0"/>
              <w:left w:val="single" w:color="auto" w:sz="6" w:space="0"/>
              <w:bottom w:val="single" w:color="auto" w:sz="6" w:space="0"/>
              <w:right w:val="single" w:color="auto" w:sz="6" w:space="0"/>
            </w:tcBorders>
            <w:vAlign w:val="center"/>
          </w:tcPr>
          <w:p w14:paraId="09005B29">
            <w:pPr>
              <w:spacing w:line="420" w:lineRule="auto"/>
              <w:jc w:val="center"/>
              <w:rPr>
                <w:rFonts w:cs="仿宋" w:asciiTheme="minorEastAsia" w:hAnsiTheme="minorEastAsia"/>
                <w:color w:val="auto"/>
                <w:kern w:val="2"/>
                <w:sz w:val="24"/>
                <w:szCs w:val="24"/>
                <w:highlight w:val="none"/>
              </w:rPr>
            </w:pPr>
            <w:r>
              <w:rPr>
                <w:rFonts w:hint="eastAsia" w:cs="仿宋" w:asciiTheme="minorEastAsia" w:hAnsiTheme="minorEastAsia"/>
                <w:color w:val="auto"/>
                <w:kern w:val="2"/>
                <w:sz w:val="24"/>
                <w:highlight w:val="none"/>
              </w:rPr>
              <w:t>是       否</w:t>
            </w:r>
          </w:p>
        </w:tc>
      </w:tr>
    </w:tbl>
    <w:p w14:paraId="29FAFBF9">
      <w:pPr>
        <w:spacing w:line="360" w:lineRule="auto"/>
        <w:rPr>
          <w:rFonts w:cs="仿宋" w:asciiTheme="minorEastAsia" w:hAnsiTheme="minorEastAsia"/>
          <w:bCs/>
          <w:color w:val="auto"/>
          <w:sz w:val="22"/>
          <w:highlight w:val="none"/>
          <w:lang w:val="zh-CN"/>
        </w:rPr>
      </w:pPr>
      <w:r>
        <w:rPr>
          <w:rFonts w:hint="eastAsia" w:cs="仿宋" w:asciiTheme="minorEastAsia" w:hAnsiTheme="minorEastAsia"/>
          <w:bCs/>
          <w:color w:val="auto"/>
          <w:sz w:val="22"/>
          <w:highlight w:val="none"/>
          <w:lang w:val="zh-CN"/>
        </w:rPr>
        <w:t>1价格部分是对投标服务价格构成的说明，每一项服务仅接受一个价格。</w:t>
      </w:r>
    </w:p>
    <w:p w14:paraId="56A2B660">
      <w:pPr>
        <w:spacing w:line="360" w:lineRule="auto"/>
        <w:rPr>
          <w:rFonts w:cs="仿宋" w:asciiTheme="minorEastAsia" w:hAnsiTheme="minorEastAsia"/>
          <w:bCs/>
          <w:color w:val="auto"/>
          <w:sz w:val="22"/>
          <w:highlight w:val="none"/>
          <w:lang w:val="zh-CN"/>
        </w:rPr>
      </w:pPr>
      <w:r>
        <w:rPr>
          <w:rFonts w:hint="eastAsia" w:cs="仿宋" w:asciiTheme="minorEastAsia" w:hAnsiTheme="minorEastAsia"/>
          <w:bCs/>
          <w:color w:val="auto"/>
          <w:sz w:val="22"/>
          <w:highlight w:val="none"/>
          <w:lang w:val="zh-CN"/>
        </w:rPr>
        <w:t>2报价应包含完成本服务项目发生的所有含税费用、支付给员工的工资和国家强制缴纳的各种社会保障资金，以及供应商认为需要的其他费用等。</w:t>
      </w:r>
    </w:p>
    <w:p w14:paraId="7F7ADD13">
      <w:pPr>
        <w:spacing w:line="360" w:lineRule="auto"/>
        <w:rPr>
          <w:rFonts w:cs="仿宋" w:asciiTheme="minorEastAsia" w:hAnsiTheme="minorEastAsia"/>
          <w:bCs/>
          <w:color w:val="auto"/>
          <w:sz w:val="22"/>
          <w:highlight w:val="none"/>
          <w:lang w:val="zh-CN"/>
        </w:rPr>
      </w:pPr>
      <w:r>
        <w:rPr>
          <w:rFonts w:hint="eastAsia" w:cs="仿宋" w:asciiTheme="minorEastAsia" w:hAnsiTheme="minorEastAsia"/>
          <w:bCs/>
          <w:color w:val="auto"/>
          <w:sz w:val="22"/>
          <w:highlight w:val="none"/>
          <w:lang w:val="zh-CN"/>
        </w:rPr>
        <w:t>3本次项目投标报价以项目预算的</w:t>
      </w:r>
      <w:r>
        <w:rPr>
          <w:rFonts w:hint="eastAsia" w:cs="仿宋" w:asciiTheme="minorEastAsia" w:hAnsiTheme="minorEastAsia"/>
          <w:bCs/>
          <w:color w:val="auto"/>
          <w:sz w:val="22"/>
          <w:highlight w:val="none"/>
        </w:rPr>
        <w:t>优惠率</w:t>
      </w:r>
      <w:r>
        <w:rPr>
          <w:rFonts w:hint="eastAsia" w:cs="仿宋" w:asciiTheme="minorEastAsia" w:hAnsiTheme="minorEastAsia"/>
          <w:bCs/>
          <w:color w:val="auto"/>
          <w:sz w:val="22"/>
          <w:highlight w:val="none"/>
          <w:lang w:val="zh-CN"/>
        </w:rPr>
        <w:t>填写，以百分数填写，百分数填写整数，如：</w:t>
      </w:r>
      <w:r>
        <w:rPr>
          <w:rFonts w:hint="eastAsia" w:cs="仿宋" w:asciiTheme="minorEastAsia" w:hAnsiTheme="minorEastAsia"/>
          <w:bCs/>
          <w:color w:val="auto"/>
          <w:sz w:val="22"/>
          <w:highlight w:val="none"/>
        </w:rPr>
        <w:t>10</w:t>
      </w:r>
      <w:r>
        <w:rPr>
          <w:rFonts w:hint="eastAsia" w:cs="仿宋" w:asciiTheme="minorEastAsia" w:hAnsiTheme="minorEastAsia"/>
          <w:bCs/>
          <w:color w:val="auto"/>
          <w:sz w:val="22"/>
          <w:highlight w:val="none"/>
          <w:lang w:val="zh-CN"/>
        </w:rPr>
        <w:t>%、</w:t>
      </w:r>
      <w:r>
        <w:rPr>
          <w:rFonts w:hint="eastAsia" w:cs="仿宋" w:asciiTheme="minorEastAsia" w:hAnsiTheme="minorEastAsia"/>
          <w:bCs/>
          <w:color w:val="auto"/>
          <w:sz w:val="22"/>
          <w:highlight w:val="none"/>
        </w:rPr>
        <w:t>15</w:t>
      </w:r>
      <w:r>
        <w:rPr>
          <w:rFonts w:hint="eastAsia" w:cs="仿宋" w:asciiTheme="minorEastAsia" w:hAnsiTheme="minorEastAsia"/>
          <w:bCs/>
          <w:color w:val="auto"/>
          <w:sz w:val="22"/>
          <w:highlight w:val="none"/>
          <w:lang w:val="zh-CN"/>
        </w:rPr>
        <w:t>%、</w:t>
      </w:r>
      <w:r>
        <w:rPr>
          <w:rFonts w:hint="eastAsia" w:cs="仿宋" w:asciiTheme="minorEastAsia" w:hAnsiTheme="minorEastAsia"/>
          <w:bCs/>
          <w:color w:val="auto"/>
          <w:sz w:val="22"/>
          <w:highlight w:val="none"/>
        </w:rPr>
        <w:t>20</w:t>
      </w:r>
      <w:r>
        <w:rPr>
          <w:rFonts w:hint="eastAsia" w:cs="仿宋" w:asciiTheme="minorEastAsia" w:hAnsiTheme="minorEastAsia"/>
          <w:bCs/>
          <w:color w:val="auto"/>
          <w:sz w:val="22"/>
          <w:highlight w:val="none"/>
          <w:lang w:val="zh-CN"/>
        </w:rPr>
        <w:t>%。项目公示时中标金额为本项目预算价，不作为签订合同、付款和合同结算依据，结算费用以实际发生的数量×中标子项单价为准。</w:t>
      </w:r>
    </w:p>
    <w:p w14:paraId="6FEA694D">
      <w:pPr>
        <w:spacing w:line="360" w:lineRule="auto"/>
        <w:rPr>
          <w:rFonts w:cs="仿宋" w:asciiTheme="minorEastAsia" w:hAnsiTheme="minorEastAsia"/>
          <w:bCs/>
          <w:color w:val="auto"/>
          <w:sz w:val="22"/>
          <w:highlight w:val="none"/>
          <w:lang w:val="zh-CN"/>
        </w:rPr>
      </w:pPr>
      <w:r>
        <w:rPr>
          <w:rFonts w:hint="eastAsia" w:cs="仿宋" w:asciiTheme="minorEastAsia" w:hAnsiTheme="minorEastAsia"/>
          <w:bCs/>
          <w:color w:val="auto"/>
          <w:sz w:val="22"/>
          <w:highlight w:val="none"/>
          <w:lang w:val="zh-CN"/>
        </w:rPr>
        <w:t>4中标价=项目预算价×（</w:t>
      </w:r>
      <w:r>
        <w:rPr>
          <w:rFonts w:hint="eastAsia" w:cs="仿宋" w:asciiTheme="minorEastAsia" w:hAnsiTheme="minorEastAsia"/>
          <w:bCs/>
          <w:color w:val="auto"/>
          <w:sz w:val="22"/>
          <w:highlight w:val="none"/>
        </w:rPr>
        <w:t>1-优惠率）</w:t>
      </w:r>
      <w:r>
        <w:rPr>
          <w:rFonts w:hint="eastAsia" w:cs="仿宋" w:asciiTheme="minorEastAsia" w:hAnsiTheme="minorEastAsia"/>
          <w:bCs/>
          <w:color w:val="auto"/>
          <w:sz w:val="22"/>
          <w:highlight w:val="none"/>
          <w:lang w:val="zh-CN"/>
        </w:rPr>
        <w:t>；中标子项单价=子项预算价×（</w:t>
      </w:r>
      <w:r>
        <w:rPr>
          <w:rFonts w:hint="eastAsia" w:cs="仿宋" w:asciiTheme="minorEastAsia" w:hAnsiTheme="minorEastAsia"/>
          <w:bCs/>
          <w:color w:val="auto"/>
          <w:sz w:val="22"/>
          <w:highlight w:val="none"/>
        </w:rPr>
        <w:t>1-优惠率）</w:t>
      </w:r>
      <w:r>
        <w:rPr>
          <w:rFonts w:hint="eastAsia" w:cs="仿宋" w:asciiTheme="minorEastAsia" w:hAnsiTheme="minorEastAsia"/>
          <w:bCs/>
          <w:color w:val="auto"/>
          <w:sz w:val="22"/>
          <w:highlight w:val="none"/>
          <w:lang w:val="zh-CN"/>
        </w:rPr>
        <w:t>。</w:t>
      </w:r>
    </w:p>
    <w:p w14:paraId="69C5EE3B">
      <w:pPr>
        <w:spacing w:line="360" w:lineRule="auto"/>
        <w:rPr>
          <w:rFonts w:cs="仿宋" w:asciiTheme="minorEastAsia" w:hAnsiTheme="minorEastAsia"/>
          <w:bCs/>
          <w:color w:val="auto"/>
          <w:sz w:val="22"/>
          <w:highlight w:val="none"/>
          <w:lang w:val="zh-CN"/>
        </w:rPr>
      </w:pPr>
      <w:r>
        <w:rPr>
          <w:rFonts w:hint="eastAsia" w:cs="仿宋" w:asciiTheme="minorEastAsia" w:hAnsiTheme="minorEastAsia"/>
          <w:bCs/>
          <w:color w:val="auto"/>
          <w:sz w:val="22"/>
          <w:highlight w:val="none"/>
          <w:lang w:val="zh-CN"/>
        </w:rPr>
        <w:t>5投标报价</w:t>
      </w:r>
      <w:r>
        <w:rPr>
          <w:rFonts w:hint="eastAsia" w:cs="仿宋" w:asciiTheme="minorEastAsia" w:hAnsiTheme="minorEastAsia"/>
          <w:bCs/>
          <w:color w:val="auto"/>
          <w:sz w:val="22"/>
          <w:highlight w:val="none"/>
        </w:rPr>
        <w:t>优惠率</w:t>
      </w:r>
      <w:r>
        <w:rPr>
          <w:rFonts w:hint="eastAsia" w:cs="仿宋" w:asciiTheme="minorEastAsia" w:hAnsiTheme="minorEastAsia"/>
          <w:bCs/>
          <w:color w:val="auto"/>
          <w:sz w:val="22"/>
          <w:highlight w:val="none"/>
          <w:lang w:val="zh-CN"/>
        </w:rPr>
        <w:t>明显不合理，有可能影响服务质量或不能诚信履约的，由评标委员会认定该供应商以低于成本报价竞标，视为无效报价。</w:t>
      </w:r>
    </w:p>
    <w:p w14:paraId="573DA1FA">
      <w:pPr>
        <w:spacing w:line="420" w:lineRule="auto"/>
        <w:rPr>
          <w:rFonts w:cs="仿宋" w:asciiTheme="minorEastAsia" w:hAnsiTheme="minorEastAsia"/>
          <w:color w:val="auto"/>
          <w:sz w:val="24"/>
          <w:szCs w:val="24"/>
          <w:highlight w:val="none"/>
        </w:rPr>
      </w:pPr>
      <w:r>
        <w:rPr>
          <w:rFonts w:hint="eastAsia" w:cs="仿宋" w:asciiTheme="minorEastAsia" w:hAnsiTheme="minorEastAsia"/>
          <w:bCs/>
          <w:color w:val="auto"/>
          <w:sz w:val="22"/>
          <w:highlight w:val="none"/>
          <w:lang w:val="zh-CN"/>
        </w:rPr>
        <w:t>6 供应商应在《开标一览表》《分项报价表》等标明提供货物和服务的总价以及分项报价。供应商系小企业（含小型、微型企 业）、残疾人福利性单位、监狱企业，并提供本企业制造的货物、承担的工程或者服务，或者提供其他小企业、残疾人福利性单位、监狱 企业制造的货物和服务的，须在《开标一览表》《分项报价表》中注明,供应商应当如实申报,否则评标委员会有权取消其小微企业、残疾 人福利性单位、监狱企业优惠政策。</w:t>
      </w:r>
    </w:p>
    <w:p w14:paraId="332AAE86">
      <w:pPr>
        <w:spacing w:line="480" w:lineRule="exact"/>
        <w:rPr>
          <w:rFonts w:ascii="宋体" w:hAnsi="宋体" w:eastAsia="宋体" w:cs="仿宋"/>
          <w:color w:val="auto"/>
          <w:szCs w:val="21"/>
          <w:highlight w:val="none"/>
          <w:u w:val="single"/>
        </w:rPr>
      </w:pPr>
      <w:r>
        <w:rPr>
          <w:rFonts w:hint="eastAsia" w:ascii="宋体" w:hAnsi="宋体" w:eastAsia="宋体" w:cs="仿宋"/>
          <w:color w:val="auto"/>
          <w:szCs w:val="21"/>
          <w:highlight w:val="none"/>
        </w:rPr>
        <w:t xml:space="preserve">投标人名称:  </w:t>
      </w:r>
      <w:r>
        <w:rPr>
          <w:rFonts w:hint="eastAsia" w:ascii="宋体" w:hAnsi="宋体" w:eastAsia="宋体" w:cs="仿宋"/>
          <w:color w:val="auto"/>
          <w:szCs w:val="21"/>
          <w:highlight w:val="none"/>
          <w:u w:val="single"/>
        </w:rPr>
        <w:t xml:space="preserve">     （加盖电子公章）</w:t>
      </w:r>
    </w:p>
    <w:p w14:paraId="54FFD0CA">
      <w:pPr>
        <w:spacing w:line="480" w:lineRule="exact"/>
        <w:rPr>
          <w:rFonts w:ascii="宋体" w:hAnsi="宋体" w:eastAsia="宋体" w:cs="仿宋"/>
          <w:color w:val="auto"/>
          <w:szCs w:val="21"/>
          <w:highlight w:val="none"/>
        </w:rPr>
      </w:pPr>
      <w:r>
        <w:rPr>
          <w:rFonts w:hint="eastAsia" w:ascii="宋体" w:hAnsi="宋体" w:eastAsia="宋体" w:cs="仿宋"/>
          <w:color w:val="auto"/>
          <w:szCs w:val="21"/>
          <w:highlight w:val="none"/>
        </w:rPr>
        <w:t xml:space="preserve">                     </w:t>
      </w:r>
    </w:p>
    <w:p w14:paraId="0236D25E">
      <w:pPr>
        <w:spacing w:line="480" w:lineRule="exact"/>
        <w:rPr>
          <w:rFonts w:ascii="宋体" w:hAnsi="宋体" w:eastAsia="宋体" w:cs="仿宋"/>
          <w:color w:val="auto"/>
          <w:szCs w:val="21"/>
          <w:highlight w:val="none"/>
        </w:rPr>
      </w:pPr>
      <w:r>
        <w:rPr>
          <w:rFonts w:hint="eastAsia" w:ascii="宋体" w:hAnsi="宋体" w:eastAsia="宋体" w:cs="仿宋"/>
          <w:color w:val="auto"/>
          <w:szCs w:val="21"/>
          <w:highlight w:val="none"/>
        </w:rPr>
        <w:t>日     期：            年    月    日</w:t>
      </w:r>
    </w:p>
    <w:p w14:paraId="66914E87">
      <w:pPr>
        <w:adjustRightInd w:val="0"/>
        <w:spacing w:line="360" w:lineRule="auto"/>
        <w:rPr>
          <w:rFonts w:ascii="宋体" w:hAnsi="宋体" w:eastAsia="宋体" w:cs="宋体"/>
          <w:color w:val="auto"/>
          <w:szCs w:val="21"/>
          <w:highlight w:val="none"/>
        </w:rPr>
      </w:pPr>
    </w:p>
    <w:p w14:paraId="452715F8">
      <w:pPr>
        <w:adjustRightInd w:val="0"/>
        <w:spacing w:line="360" w:lineRule="auto"/>
        <w:rPr>
          <w:rFonts w:ascii="宋体" w:hAnsi="宋体" w:cs="宋体"/>
          <w:b/>
          <w:color w:val="auto"/>
          <w:sz w:val="22"/>
          <w:highlight w:val="none"/>
          <w:lang w:val="zh-CN"/>
        </w:rPr>
      </w:pPr>
      <w:bookmarkStart w:id="34" w:name="OLE_LINK23"/>
      <w:bookmarkStart w:id="35" w:name="OLE_LINK24"/>
      <w:bookmarkStart w:id="36" w:name="OLE_LINK25"/>
      <w:r>
        <w:rPr>
          <w:rFonts w:hint="eastAsia" w:ascii="宋体" w:hAnsi="宋体" w:cs="宋体"/>
          <w:b/>
          <w:color w:val="auto"/>
          <w:sz w:val="22"/>
          <w:highlight w:val="none"/>
          <w:lang w:val="zh-CN"/>
        </w:rPr>
        <w:t xml:space="preserve"> </w:t>
      </w:r>
    </w:p>
    <w:p w14:paraId="1ACDED41">
      <w:pPr>
        <w:pStyle w:val="72"/>
        <w:rPr>
          <w:color w:val="auto"/>
          <w:highlight w:val="none"/>
          <w:lang w:val="zh-CN"/>
        </w:rPr>
      </w:pPr>
      <w:r>
        <w:rPr>
          <w:color w:val="auto"/>
          <w:highlight w:val="none"/>
          <w:lang w:val="zh-CN"/>
        </w:rPr>
        <w:br w:type="page"/>
      </w:r>
    </w:p>
    <w:p w14:paraId="5D3E8AD0">
      <w:pPr>
        <w:adjustRightInd w:val="0"/>
        <w:spacing w:line="360" w:lineRule="auto"/>
        <w:rPr>
          <w:rFonts w:eastAsia="楷体_GB2312"/>
          <w:color w:val="auto"/>
          <w:highlight w:val="none"/>
        </w:rPr>
      </w:pPr>
      <w:r>
        <w:rPr>
          <w:rFonts w:hint="eastAsia" w:ascii="宋体" w:hAnsi="宋体" w:cs="宋体"/>
          <w:b/>
          <w:color w:val="auto"/>
          <w:sz w:val="22"/>
          <w:highlight w:val="none"/>
          <w:lang w:val="zh-CN"/>
        </w:rPr>
        <w:t>目录四、分项报价表格式（</w:t>
      </w:r>
      <w:r>
        <w:rPr>
          <w:rFonts w:hint="eastAsia" w:ascii="宋体" w:hAnsi="宋体" w:cs="宋体"/>
          <w:b/>
          <w:color w:val="auto"/>
          <w:sz w:val="22"/>
          <w:highlight w:val="none"/>
        </w:rPr>
        <w:t>如有自拟</w:t>
      </w:r>
      <w:r>
        <w:rPr>
          <w:rFonts w:hint="eastAsia" w:ascii="宋体" w:hAnsi="宋体" w:cs="宋体"/>
          <w:b/>
          <w:color w:val="auto"/>
          <w:sz w:val="22"/>
          <w:highlight w:val="none"/>
          <w:lang w:val="zh-CN"/>
        </w:rPr>
        <w:t>）</w:t>
      </w:r>
    </w:p>
    <w:p w14:paraId="7DCBF1A6">
      <w:pPr>
        <w:adjustRightInd w:val="0"/>
        <w:spacing w:line="360" w:lineRule="auto"/>
        <w:jc w:val="center"/>
        <w:rPr>
          <w:rFonts w:ascii="宋体" w:hAnsi="宋体" w:cs="宋体"/>
          <w:b/>
          <w:bCs/>
          <w:color w:val="auto"/>
          <w:sz w:val="22"/>
          <w:highlight w:val="none"/>
          <w:lang w:val="zh-CN"/>
        </w:rPr>
      </w:pPr>
      <w:r>
        <w:rPr>
          <w:rFonts w:hint="eastAsia" w:ascii="宋体" w:hAnsi="宋体" w:cs="宋体"/>
          <w:b/>
          <w:bCs/>
          <w:color w:val="auto"/>
          <w:sz w:val="22"/>
          <w:highlight w:val="none"/>
          <w:lang w:val="zh-CN"/>
        </w:rPr>
        <w:t>分项报价表</w:t>
      </w:r>
    </w:p>
    <w:p w14:paraId="60BE3AB5">
      <w:pPr>
        <w:snapToGrid w:val="0"/>
        <w:spacing w:line="360" w:lineRule="auto"/>
        <w:rPr>
          <w:rFonts w:ascii="宋体" w:hAnsi="宋体" w:cs="宋体"/>
          <w:color w:val="auto"/>
          <w:sz w:val="22"/>
          <w:highlight w:val="none"/>
        </w:rPr>
      </w:pPr>
      <w:r>
        <w:rPr>
          <w:rFonts w:hint="eastAsia" w:ascii="宋体" w:hAnsi="宋体" w:cs="宋体"/>
          <w:color w:val="auto"/>
          <w:sz w:val="22"/>
          <w:highlight w:val="none"/>
          <w:lang w:val="zh-CN"/>
        </w:rPr>
        <w:t>项目名称：</w:t>
      </w:r>
      <w:r>
        <w:rPr>
          <w:rFonts w:hint="eastAsia" w:ascii="宋体" w:hAnsi="宋体" w:cs="宋体"/>
          <w:color w:val="auto"/>
          <w:sz w:val="22"/>
          <w:highlight w:val="none"/>
        </w:rPr>
        <w:t xml:space="preserve">                                               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650"/>
        <w:gridCol w:w="3037"/>
        <w:gridCol w:w="992"/>
        <w:gridCol w:w="1276"/>
        <w:gridCol w:w="1559"/>
      </w:tblGrid>
      <w:tr w14:paraId="776A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vAlign w:val="center"/>
          </w:tcPr>
          <w:p w14:paraId="403C0030">
            <w:pPr>
              <w:adjustRightInd w:val="0"/>
              <w:spacing w:line="360" w:lineRule="auto"/>
              <w:jc w:val="center"/>
              <w:rPr>
                <w:rFonts w:ascii="宋体" w:hAnsi="宋体" w:cs="宋体"/>
                <w:color w:val="auto"/>
                <w:sz w:val="22"/>
                <w:highlight w:val="none"/>
                <w:lang w:val="zh-CN"/>
              </w:rPr>
            </w:pPr>
            <w:r>
              <w:rPr>
                <w:rFonts w:hint="eastAsia" w:ascii="宋体" w:hAnsi="宋体" w:cs="宋体"/>
                <w:color w:val="auto"/>
                <w:sz w:val="22"/>
                <w:highlight w:val="none"/>
                <w:lang w:val="zh-CN"/>
              </w:rPr>
              <w:t xml:space="preserve"> 序号 </w:t>
            </w:r>
          </w:p>
        </w:tc>
        <w:tc>
          <w:tcPr>
            <w:tcW w:w="1650" w:type="dxa"/>
            <w:tcBorders>
              <w:top w:val="single" w:color="auto" w:sz="4" w:space="0"/>
              <w:left w:val="single" w:color="auto" w:sz="4" w:space="0"/>
              <w:right w:val="single" w:color="auto" w:sz="4" w:space="0"/>
            </w:tcBorders>
            <w:vAlign w:val="center"/>
          </w:tcPr>
          <w:p w14:paraId="071DD551">
            <w:pPr>
              <w:adjustRightInd w:val="0"/>
              <w:spacing w:line="360" w:lineRule="auto"/>
              <w:jc w:val="center"/>
              <w:rPr>
                <w:rFonts w:ascii="宋体" w:hAnsi="宋体" w:cs="宋体"/>
                <w:color w:val="auto"/>
                <w:sz w:val="22"/>
                <w:highlight w:val="none"/>
                <w:lang w:val="zh-CN"/>
              </w:rPr>
            </w:pPr>
            <w:r>
              <w:rPr>
                <w:rFonts w:hint="eastAsia" w:ascii="宋体" w:hAnsi="宋体" w:cs="宋体"/>
                <w:color w:val="auto"/>
                <w:sz w:val="22"/>
                <w:highlight w:val="none"/>
                <w:lang w:val="zh-CN"/>
              </w:rPr>
              <w:t>名称</w:t>
            </w:r>
          </w:p>
        </w:tc>
        <w:tc>
          <w:tcPr>
            <w:tcW w:w="3037" w:type="dxa"/>
            <w:tcBorders>
              <w:top w:val="single" w:color="auto" w:sz="4" w:space="0"/>
              <w:left w:val="single" w:color="auto" w:sz="4" w:space="0"/>
              <w:right w:val="single" w:color="auto" w:sz="4" w:space="0"/>
            </w:tcBorders>
            <w:vAlign w:val="center"/>
          </w:tcPr>
          <w:p w14:paraId="58C8F491">
            <w:pPr>
              <w:adjustRightInd w:val="0"/>
              <w:spacing w:line="360" w:lineRule="auto"/>
              <w:jc w:val="center"/>
              <w:rPr>
                <w:rFonts w:ascii="宋体" w:hAnsi="宋体" w:cs="宋体"/>
                <w:color w:val="auto"/>
                <w:sz w:val="22"/>
                <w:highlight w:val="none"/>
                <w:lang w:val="zh-CN"/>
              </w:rPr>
            </w:pPr>
            <w:r>
              <w:rPr>
                <w:rFonts w:hint="eastAsia" w:ascii="宋体" w:hAnsi="宋体" w:cs="宋体"/>
                <w:color w:val="auto"/>
                <w:sz w:val="22"/>
                <w:highlight w:val="none"/>
                <w:lang w:val="zh-CN"/>
              </w:rPr>
              <w:t>技术参数</w:t>
            </w:r>
          </w:p>
        </w:tc>
        <w:tc>
          <w:tcPr>
            <w:tcW w:w="992" w:type="dxa"/>
            <w:tcBorders>
              <w:top w:val="single" w:color="auto" w:sz="4" w:space="0"/>
              <w:left w:val="single" w:color="auto" w:sz="4" w:space="0"/>
              <w:right w:val="single" w:color="auto" w:sz="4" w:space="0"/>
            </w:tcBorders>
            <w:vAlign w:val="center"/>
          </w:tcPr>
          <w:p w14:paraId="41A98135">
            <w:pPr>
              <w:adjustRightInd w:val="0"/>
              <w:spacing w:line="360" w:lineRule="auto"/>
              <w:jc w:val="center"/>
              <w:rPr>
                <w:rFonts w:ascii="宋体" w:hAnsi="宋体" w:cs="宋体"/>
                <w:color w:val="auto"/>
                <w:sz w:val="22"/>
                <w:highlight w:val="none"/>
                <w:lang w:val="zh-CN"/>
              </w:rPr>
            </w:pPr>
            <w:r>
              <w:rPr>
                <w:rFonts w:hint="eastAsia" w:ascii="宋体" w:hAnsi="宋体" w:cs="宋体"/>
                <w:color w:val="auto"/>
                <w:sz w:val="22"/>
                <w:highlight w:val="none"/>
                <w:lang w:val="zh-CN"/>
              </w:rPr>
              <w:t>数量</w:t>
            </w:r>
          </w:p>
        </w:tc>
        <w:tc>
          <w:tcPr>
            <w:tcW w:w="1276" w:type="dxa"/>
            <w:tcBorders>
              <w:top w:val="single" w:color="auto" w:sz="4" w:space="0"/>
              <w:left w:val="single" w:color="auto" w:sz="4" w:space="0"/>
              <w:bottom w:val="single" w:color="auto" w:sz="4" w:space="0"/>
              <w:right w:val="single" w:color="auto" w:sz="4" w:space="0"/>
            </w:tcBorders>
            <w:vAlign w:val="center"/>
          </w:tcPr>
          <w:p w14:paraId="038EFF04">
            <w:pPr>
              <w:adjustRightInd w:val="0"/>
              <w:spacing w:line="360" w:lineRule="auto"/>
              <w:jc w:val="center"/>
              <w:rPr>
                <w:rFonts w:ascii="宋体" w:hAnsi="宋体" w:cs="宋体"/>
                <w:color w:val="auto"/>
                <w:sz w:val="22"/>
                <w:highlight w:val="none"/>
                <w:lang w:val="zh-CN"/>
              </w:rPr>
            </w:pPr>
            <w:r>
              <w:rPr>
                <w:rFonts w:hint="eastAsia" w:ascii="宋体" w:hAnsi="宋体" w:cs="宋体"/>
                <w:color w:val="auto"/>
                <w:sz w:val="22"/>
                <w:highlight w:val="none"/>
                <w:lang w:val="zh-CN"/>
              </w:rPr>
              <w:t>单价</w:t>
            </w:r>
            <w:r>
              <w:rPr>
                <w:rFonts w:hint="eastAsia" w:ascii="宋体" w:hAnsi="宋体" w:cs="宋体"/>
                <w:color w:val="auto"/>
                <w:sz w:val="22"/>
                <w:highlight w:val="none"/>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72F0A17">
            <w:pPr>
              <w:adjustRightInd w:val="0"/>
              <w:spacing w:line="360" w:lineRule="auto"/>
              <w:jc w:val="center"/>
              <w:rPr>
                <w:rFonts w:ascii="宋体" w:hAnsi="宋体" w:cs="宋体"/>
                <w:color w:val="auto"/>
                <w:sz w:val="22"/>
                <w:highlight w:val="none"/>
                <w:lang w:val="zh-CN"/>
              </w:rPr>
            </w:pPr>
            <w:r>
              <w:rPr>
                <w:rFonts w:hint="eastAsia" w:ascii="宋体" w:hAnsi="宋体" w:cs="宋体"/>
                <w:color w:val="auto"/>
                <w:sz w:val="22"/>
                <w:highlight w:val="none"/>
                <w:lang w:val="zh-CN"/>
              </w:rPr>
              <w:t>总价（元）</w:t>
            </w:r>
          </w:p>
        </w:tc>
      </w:tr>
      <w:tr w14:paraId="6CC6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tcPr>
          <w:p w14:paraId="36519BD4">
            <w:pPr>
              <w:adjustRightInd w:val="0"/>
              <w:spacing w:line="360" w:lineRule="auto"/>
              <w:rPr>
                <w:rFonts w:ascii="宋体" w:hAnsi="宋体" w:cs="宋体"/>
                <w:color w:val="auto"/>
                <w:sz w:val="22"/>
                <w:highlight w:val="none"/>
                <w:lang w:val="zh-CN"/>
              </w:rPr>
            </w:pPr>
          </w:p>
        </w:tc>
        <w:tc>
          <w:tcPr>
            <w:tcW w:w="1650" w:type="dxa"/>
            <w:tcBorders>
              <w:left w:val="single" w:color="auto" w:sz="4" w:space="0"/>
              <w:right w:val="single" w:color="auto" w:sz="4" w:space="0"/>
            </w:tcBorders>
          </w:tcPr>
          <w:p w14:paraId="54A87939">
            <w:pPr>
              <w:adjustRightInd w:val="0"/>
              <w:spacing w:line="360" w:lineRule="auto"/>
              <w:rPr>
                <w:rFonts w:ascii="宋体" w:hAnsi="宋体" w:cs="宋体"/>
                <w:color w:val="auto"/>
                <w:sz w:val="22"/>
                <w:highlight w:val="none"/>
                <w:lang w:val="zh-CN"/>
              </w:rPr>
            </w:pPr>
          </w:p>
        </w:tc>
        <w:tc>
          <w:tcPr>
            <w:tcW w:w="3037" w:type="dxa"/>
            <w:tcBorders>
              <w:left w:val="single" w:color="auto" w:sz="4" w:space="0"/>
              <w:right w:val="single" w:color="auto" w:sz="4" w:space="0"/>
            </w:tcBorders>
          </w:tcPr>
          <w:p w14:paraId="54B4C909">
            <w:pPr>
              <w:adjustRightInd w:val="0"/>
              <w:spacing w:line="360" w:lineRule="auto"/>
              <w:rPr>
                <w:rFonts w:ascii="宋体" w:hAnsi="宋体" w:cs="宋体"/>
                <w:color w:val="auto"/>
                <w:sz w:val="22"/>
                <w:highlight w:val="none"/>
                <w:lang w:val="zh-CN"/>
              </w:rPr>
            </w:pPr>
          </w:p>
        </w:tc>
        <w:tc>
          <w:tcPr>
            <w:tcW w:w="992" w:type="dxa"/>
            <w:tcBorders>
              <w:left w:val="single" w:color="auto" w:sz="4" w:space="0"/>
              <w:right w:val="single" w:color="auto" w:sz="4" w:space="0"/>
            </w:tcBorders>
          </w:tcPr>
          <w:p w14:paraId="656C0550">
            <w:pPr>
              <w:adjustRightInd w:val="0"/>
              <w:spacing w:line="360" w:lineRule="auto"/>
              <w:rPr>
                <w:rFonts w:ascii="宋体" w:hAnsi="宋体" w:cs="宋体"/>
                <w:color w:val="auto"/>
                <w:sz w:val="22"/>
                <w:highlight w:val="none"/>
                <w:lang w:val="zh-CN"/>
              </w:rPr>
            </w:pPr>
          </w:p>
        </w:tc>
        <w:tc>
          <w:tcPr>
            <w:tcW w:w="1276" w:type="dxa"/>
            <w:tcBorders>
              <w:top w:val="single" w:color="auto" w:sz="4" w:space="0"/>
              <w:left w:val="single" w:color="auto" w:sz="4" w:space="0"/>
              <w:bottom w:val="single" w:color="auto" w:sz="4" w:space="0"/>
              <w:right w:val="single" w:color="auto" w:sz="4" w:space="0"/>
            </w:tcBorders>
          </w:tcPr>
          <w:p w14:paraId="78B99083">
            <w:pPr>
              <w:adjustRightInd w:val="0"/>
              <w:spacing w:line="360" w:lineRule="auto"/>
              <w:rPr>
                <w:rFonts w:ascii="宋体" w:hAnsi="宋体" w:cs="宋体"/>
                <w:color w:val="auto"/>
                <w:sz w:val="22"/>
                <w:highlight w:val="none"/>
                <w:lang w:val="zh-CN"/>
              </w:rPr>
            </w:pPr>
          </w:p>
        </w:tc>
        <w:tc>
          <w:tcPr>
            <w:tcW w:w="1559" w:type="dxa"/>
            <w:tcBorders>
              <w:top w:val="single" w:color="auto" w:sz="4" w:space="0"/>
              <w:left w:val="single" w:color="auto" w:sz="4" w:space="0"/>
              <w:bottom w:val="single" w:color="auto" w:sz="4" w:space="0"/>
              <w:right w:val="single" w:color="auto" w:sz="4" w:space="0"/>
            </w:tcBorders>
          </w:tcPr>
          <w:p w14:paraId="67E77B47">
            <w:pPr>
              <w:adjustRightInd w:val="0"/>
              <w:spacing w:line="360" w:lineRule="auto"/>
              <w:rPr>
                <w:rFonts w:ascii="宋体" w:hAnsi="宋体" w:cs="宋体"/>
                <w:color w:val="auto"/>
                <w:sz w:val="22"/>
                <w:highlight w:val="none"/>
                <w:lang w:val="zh-CN"/>
              </w:rPr>
            </w:pPr>
          </w:p>
        </w:tc>
      </w:tr>
      <w:tr w14:paraId="50B8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tcPr>
          <w:p w14:paraId="24995A6F">
            <w:pPr>
              <w:adjustRightInd w:val="0"/>
              <w:spacing w:line="360" w:lineRule="auto"/>
              <w:rPr>
                <w:rFonts w:ascii="宋体" w:hAnsi="宋体" w:cs="宋体"/>
                <w:color w:val="auto"/>
                <w:sz w:val="22"/>
                <w:highlight w:val="none"/>
                <w:lang w:val="zh-CN"/>
              </w:rPr>
            </w:pPr>
          </w:p>
        </w:tc>
        <w:tc>
          <w:tcPr>
            <w:tcW w:w="1650" w:type="dxa"/>
            <w:tcBorders>
              <w:left w:val="single" w:color="auto" w:sz="4" w:space="0"/>
              <w:right w:val="single" w:color="auto" w:sz="4" w:space="0"/>
            </w:tcBorders>
          </w:tcPr>
          <w:p w14:paraId="21DF516C">
            <w:pPr>
              <w:adjustRightInd w:val="0"/>
              <w:spacing w:line="360" w:lineRule="auto"/>
              <w:rPr>
                <w:rFonts w:ascii="宋体" w:hAnsi="宋体" w:cs="宋体"/>
                <w:color w:val="auto"/>
                <w:sz w:val="22"/>
                <w:highlight w:val="none"/>
                <w:lang w:val="zh-CN"/>
              </w:rPr>
            </w:pPr>
          </w:p>
        </w:tc>
        <w:tc>
          <w:tcPr>
            <w:tcW w:w="3037" w:type="dxa"/>
            <w:tcBorders>
              <w:left w:val="single" w:color="auto" w:sz="4" w:space="0"/>
              <w:right w:val="single" w:color="auto" w:sz="4" w:space="0"/>
            </w:tcBorders>
          </w:tcPr>
          <w:p w14:paraId="611005C3">
            <w:pPr>
              <w:adjustRightInd w:val="0"/>
              <w:spacing w:line="360" w:lineRule="auto"/>
              <w:rPr>
                <w:rFonts w:ascii="宋体" w:hAnsi="宋体" w:cs="宋体"/>
                <w:color w:val="auto"/>
                <w:sz w:val="22"/>
                <w:highlight w:val="none"/>
                <w:lang w:val="zh-CN"/>
              </w:rPr>
            </w:pPr>
          </w:p>
        </w:tc>
        <w:tc>
          <w:tcPr>
            <w:tcW w:w="992" w:type="dxa"/>
            <w:tcBorders>
              <w:left w:val="single" w:color="auto" w:sz="4" w:space="0"/>
              <w:right w:val="single" w:color="auto" w:sz="4" w:space="0"/>
            </w:tcBorders>
          </w:tcPr>
          <w:p w14:paraId="17804A68">
            <w:pPr>
              <w:adjustRightInd w:val="0"/>
              <w:spacing w:line="360" w:lineRule="auto"/>
              <w:rPr>
                <w:rFonts w:ascii="宋体" w:hAnsi="宋体" w:cs="宋体"/>
                <w:color w:val="auto"/>
                <w:sz w:val="22"/>
                <w:highlight w:val="none"/>
                <w:lang w:val="zh-CN"/>
              </w:rPr>
            </w:pPr>
          </w:p>
        </w:tc>
        <w:tc>
          <w:tcPr>
            <w:tcW w:w="1276" w:type="dxa"/>
            <w:tcBorders>
              <w:top w:val="single" w:color="auto" w:sz="4" w:space="0"/>
              <w:left w:val="single" w:color="auto" w:sz="4" w:space="0"/>
              <w:bottom w:val="single" w:color="auto" w:sz="4" w:space="0"/>
              <w:right w:val="single" w:color="auto" w:sz="4" w:space="0"/>
            </w:tcBorders>
          </w:tcPr>
          <w:p w14:paraId="52F6330B">
            <w:pPr>
              <w:adjustRightInd w:val="0"/>
              <w:spacing w:line="360" w:lineRule="auto"/>
              <w:rPr>
                <w:rFonts w:ascii="宋体" w:hAnsi="宋体" w:cs="宋体"/>
                <w:color w:val="auto"/>
                <w:sz w:val="22"/>
                <w:highlight w:val="none"/>
                <w:lang w:val="zh-CN"/>
              </w:rPr>
            </w:pPr>
          </w:p>
        </w:tc>
        <w:tc>
          <w:tcPr>
            <w:tcW w:w="1559" w:type="dxa"/>
            <w:tcBorders>
              <w:top w:val="single" w:color="auto" w:sz="4" w:space="0"/>
              <w:left w:val="single" w:color="auto" w:sz="4" w:space="0"/>
              <w:bottom w:val="single" w:color="auto" w:sz="4" w:space="0"/>
              <w:right w:val="single" w:color="auto" w:sz="4" w:space="0"/>
            </w:tcBorders>
          </w:tcPr>
          <w:p w14:paraId="0F3808D4">
            <w:pPr>
              <w:adjustRightInd w:val="0"/>
              <w:spacing w:line="360" w:lineRule="auto"/>
              <w:rPr>
                <w:rFonts w:ascii="宋体" w:hAnsi="宋体" w:cs="宋体"/>
                <w:color w:val="auto"/>
                <w:sz w:val="22"/>
                <w:highlight w:val="none"/>
                <w:lang w:val="zh-CN"/>
              </w:rPr>
            </w:pPr>
          </w:p>
        </w:tc>
      </w:tr>
      <w:tr w14:paraId="51B3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tcPr>
          <w:p w14:paraId="3FFB33F6">
            <w:pPr>
              <w:adjustRightInd w:val="0"/>
              <w:spacing w:line="360" w:lineRule="auto"/>
              <w:rPr>
                <w:rFonts w:ascii="宋体" w:hAnsi="宋体" w:cs="宋体"/>
                <w:color w:val="auto"/>
                <w:sz w:val="22"/>
                <w:highlight w:val="none"/>
                <w:lang w:val="zh-CN"/>
              </w:rPr>
            </w:pPr>
          </w:p>
        </w:tc>
        <w:tc>
          <w:tcPr>
            <w:tcW w:w="1650" w:type="dxa"/>
            <w:tcBorders>
              <w:left w:val="single" w:color="auto" w:sz="4" w:space="0"/>
              <w:right w:val="single" w:color="auto" w:sz="4" w:space="0"/>
            </w:tcBorders>
          </w:tcPr>
          <w:p w14:paraId="0E99C71E">
            <w:pPr>
              <w:adjustRightInd w:val="0"/>
              <w:spacing w:line="360" w:lineRule="auto"/>
              <w:rPr>
                <w:rFonts w:ascii="宋体" w:hAnsi="宋体" w:cs="宋体"/>
                <w:color w:val="auto"/>
                <w:sz w:val="22"/>
                <w:highlight w:val="none"/>
                <w:lang w:val="zh-CN"/>
              </w:rPr>
            </w:pPr>
          </w:p>
        </w:tc>
        <w:tc>
          <w:tcPr>
            <w:tcW w:w="3037" w:type="dxa"/>
            <w:tcBorders>
              <w:left w:val="single" w:color="auto" w:sz="4" w:space="0"/>
              <w:right w:val="single" w:color="auto" w:sz="4" w:space="0"/>
            </w:tcBorders>
          </w:tcPr>
          <w:p w14:paraId="55DB5CBB">
            <w:pPr>
              <w:adjustRightInd w:val="0"/>
              <w:spacing w:line="360" w:lineRule="auto"/>
              <w:rPr>
                <w:rFonts w:ascii="宋体" w:hAnsi="宋体" w:cs="宋体"/>
                <w:color w:val="auto"/>
                <w:sz w:val="22"/>
                <w:highlight w:val="none"/>
                <w:lang w:val="zh-CN"/>
              </w:rPr>
            </w:pPr>
          </w:p>
        </w:tc>
        <w:tc>
          <w:tcPr>
            <w:tcW w:w="992" w:type="dxa"/>
            <w:tcBorders>
              <w:left w:val="single" w:color="auto" w:sz="4" w:space="0"/>
              <w:right w:val="single" w:color="auto" w:sz="4" w:space="0"/>
            </w:tcBorders>
          </w:tcPr>
          <w:p w14:paraId="127B3FD1">
            <w:pPr>
              <w:adjustRightInd w:val="0"/>
              <w:spacing w:line="360" w:lineRule="auto"/>
              <w:rPr>
                <w:rFonts w:ascii="宋体" w:hAnsi="宋体" w:cs="宋体"/>
                <w:color w:val="auto"/>
                <w:sz w:val="22"/>
                <w:highlight w:val="none"/>
                <w:lang w:val="zh-CN"/>
              </w:rPr>
            </w:pPr>
          </w:p>
        </w:tc>
        <w:tc>
          <w:tcPr>
            <w:tcW w:w="1276" w:type="dxa"/>
            <w:tcBorders>
              <w:top w:val="single" w:color="auto" w:sz="4" w:space="0"/>
              <w:left w:val="single" w:color="auto" w:sz="4" w:space="0"/>
              <w:bottom w:val="single" w:color="auto" w:sz="4" w:space="0"/>
              <w:right w:val="single" w:color="auto" w:sz="4" w:space="0"/>
            </w:tcBorders>
          </w:tcPr>
          <w:p w14:paraId="1D18E41A">
            <w:pPr>
              <w:adjustRightInd w:val="0"/>
              <w:spacing w:line="360" w:lineRule="auto"/>
              <w:rPr>
                <w:rFonts w:ascii="宋体" w:hAnsi="宋体" w:cs="宋体"/>
                <w:color w:val="auto"/>
                <w:sz w:val="22"/>
                <w:highlight w:val="none"/>
                <w:lang w:val="zh-CN"/>
              </w:rPr>
            </w:pPr>
          </w:p>
        </w:tc>
        <w:tc>
          <w:tcPr>
            <w:tcW w:w="1559" w:type="dxa"/>
            <w:tcBorders>
              <w:top w:val="single" w:color="auto" w:sz="4" w:space="0"/>
              <w:left w:val="single" w:color="auto" w:sz="4" w:space="0"/>
              <w:bottom w:val="single" w:color="auto" w:sz="4" w:space="0"/>
              <w:right w:val="single" w:color="auto" w:sz="4" w:space="0"/>
            </w:tcBorders>
          </w:tcPr>
          <w:p w14:paraId="7170559A">
            <w:pPr>
              <w:adjustRightInd w:val="0"/>
              <w:spacing w:line="360" w:lineRule="auto"/>
              <w:rPr>
                <w:rFonts w:ascii="宋体" w:hAnsi="宋体" w:cs="宋体"/>
                <w:color w:val="auto"/>
                <w:sz w:val="22"/>
                <w:highlight w:val="none"/>
                <w:lang w:val="zh-CN"/>
              </w:rPr>
            </w:pPr>
          </w:p>
        </w:tc>
      </w:tr>
      <w:tr w14:paraId="44B3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tcPr>
          <w:p w14:paraId="7BE4D5A8">
            <w:pPr>
              <w:adjustRightInd w:val="0"/>
              <w:spacing w:line="360" w:lineRule="auto"/>
              <w:rPr>
                <w:rFonts w:ascii="宋体" w:hAnsi="宋体" w:cs="宋体"/>
                <w:color w:val="auto"/>
                <w:sz w:val="22"/>
                <w:highlight w:val="none"/>
                <w:lang w:val="zh-CN"/>
              </w:rPr>
            </w:pPr>
          </w:p>
        </w:tc>
        <w:tc>
          <w:tcPr>
            <w:tcW w:w="1650" w:type="dxa"/>
            <w:tcBorders>
              <w:left w:val="single" w:color="auto" w:sz="4" w:space="0"/>
              <w:right w:val="single" w:color="auto" w:sz="4" w:space="0"/>
            </w:tcBorders>
          </w:tcPr>
          <w:p w14:paraId="6A099833">
            <w:pPr>
              <w:adjustRightInd w:val="0"/>
              <w:spacing w:line="360" w:lineRule="auto"/>
              <w:rPr>
                <w:rFonts w:ascii="宋体" w:hAnsi="宋体" w:cs="宋体"/>
                <w:color w:val="auto"/>
                <w:sz w:val="22"/>
                <w:highlight w:val="none"/>
                <w:lang w:val="zh-CN"/>
              </w:rPr>
            </w:pPr>
          </w:p>
        </w:tc>
        <w:tc>
          <w:tcPr>
            <w:tcW w:w="3037" w:type="dxa"/>
            <w:tcBorders>
              <w:left w:val="single" w:color="auto" w:sz="4" w:space="0"/>
              <w:right w:val="single" w:color="auto" w:sz="4" w:space="0"/>
            </w:tcBorders>
          </w:tcPr>
          <w:p w14:paraId="31E3763E">
            <w:pPr>
              <w:adjustRightInd w:val="0"/>
              <w:spacing w:line="360" w:lineRule="auto"/>
              <w:rPr>
                <w:rFonts w:ascii="宋体" w:hAnsi="宋体" w:cs="宋体"/>
                <w:color w:val="auto"/>
                <w:sz w:val="22"/>
                <w:highlight w:val="none"/>
                <w:lang w:val="zh-CN"/>
              </w:rPr>
            </w:pPr>
          </w:p>
        </w:tc>
        <w:tc>
          <w:tcPr>
            <w:tcW w:w="992" w:type="dxa"/>
            <w:tcBorders>
              <w:left w:val="single" w:color="auto" w:sz="4" w:space="0"/>
              <w:right w:val="single" w:color="auto" w:sz="4" w:space="0"/>
            </w:tcBorders>
          </w:tcPr>
          <w:p w14:paraId="572761B0">
            <w:pPr>
              <w:adjustRightInd w:val="0"/>
              <w:spacing w:line="360" w:lineRule="auto"/>
              <w:rPr>
                <w:rFonts w:ascii="宋体" w:hAnsi="宋体" w:cs="宋体"/>
                <w:color w:val="auto"/>
                <w:sz w:val="22"/>
                <w:highlight w:val="none"/>
                <w:lang w:val="zh-CN"/>
              </w:rPr>
            </w:pPr>
          </w:p>
        </w:tc>
        <w:tc>
          <w:tcPr>
            <w:tcW w:w="1276" w:type="dxa"/>
            <w:tcBorders>
              <w:top w:val="single" w:color="auto" w:sz="4" w:space="0"/>
              <w:left w:val="single" w:color="auto" w:sz="4" w:space="0"/>
              <w:bottom w:val="single" w:color="auto" w:sz="4" w:space="0"/>
              <w:right w:val="single" w:color="auto" w:sz="4" w:space="0"/>
            </w:tcBorders>
          </w:tcPr>
          <w:p w14:paraId="37C1598B">
            <w:pPr>
              <w:adjustRightInd w:val="0"/>
              <w:spacing w:line="360" w:lineRule="auto"/>
              <w:rPr>
                <w:rFonts w:ascii="宋体" w:hAnsi="宋体" w:cs="宋体"/>
                <w:color w:val="auto"/>
                <w:sz w:val="22"/>
                <w:highlight w:val="none"/>
                <w:lang w:val="zh-CN"/>
              </w:rPr>
            </w:pPr>
          </w:p>
        </w:tc>
        <w:tc>
          <w:tcPr>
            <w:tcW w:w="1559" w:type="dxa"/>
            <w:tcBorders>
              <w:top w:val="single" w:color="auto" w:sz="4" w:space="0"/>
              <w:left w:val="single" w:color="auto" w:sz="4" w:space="0"/>
              <w:bottom w:val="single" w:color="auto" w:sz="4" w:space="0"/>
              <w:right w:val="single" w:color="auto" w:sz="4" w:space="0"/>
            </w:tcBorders>
          </w:tcPr>
          <w:p w14:paraId="5E1606C3">
            <w:pPr>
              <w:adjustRightInd w:val="0"/>
              <w:spacing w:line="360" w:lineRule="auto"/>
              <w:rPr>
                <w:rFonts w:ascii="宋体" w:hAnsi="宋体" w:cs="宋体"/>
                <w:color w:val="auto"/>
                <w:sz w:val="22"/>
                <w:highlight w:val="none"/>
                <w:lang w:val="zh-CN"/>
              </w:rPr>
            </w:pPr>
          </w:p>
        </w:tc>
      </w:tr>
      <w:tr w14:paraId="1515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tcPr>
          <w:p w14:paraId="11B58495">
            <w:pPr>
              <w:adjustRightInd w:val="0"/>
              <w:spacing w:line="360" w:lineRule="auto"/>
              <w:rPr>
                <w:rFonts w:ascii="宋体" w:hAnsi="宋体" w:cs="宋体"/>
                <w:color w:val="auto"/>
                <w:sz w:val="22"/>
                <w:highlight w:val="none"/>
                <w:lang w:val="zh-CN"/>
              </w:rPr>
            </w:pPr>
          </w:p>
        </w:tc>
        <w:tc>
          <w:tcPr>
            <w:tcW w:w="1650" w:type="dxa"/>
            <w:tcBorders>
              <w:left w:val="single" w:color="auto" w:sz="4" w:space="0"/>
              <w:right w:val="single" w:color="auto" w:sz="4" w:space="0"/>
            </w:tcBorders>
          </w:tcPr>
          <w:p w14:paraId="12C63843">
            <w:pPr>
              <w:adjustRightInd w:val="0"/>
              <w:spacing w:line="360" w:lineRule="auto"/>
              <w:rPr>
                <w:rFonts w:ascii="宋体" w:hAnsi="宋体" w:cs="宋体"/>
                <w:color w:val="auto"/>
                <w:sz w:val="22"/>
                <w:highlight w:val="none"/>
                <w:lang w:val="zh-CN"/>
              </w:rPr>
            </w:pPr>
          </w:p>
        </w:tc>
        <w:tc>
          <w:tcPr>
            <w:tcW w:w="3037" w:type="dxa"/>
            <w:tcBorders>
              <w:left w:val="single" w:color="auto" w:sz="4" w:space="0"/>
              <w:right w:val="single" w:color="auto" w:sz="4" w:space="0"/>
            </w:tcBorders>
          </w:tcPr>
          <w:p w14:paraId="7D425962">
            <w:pPr>
              <w:adjustRightInd w:val="0"/>
              <w:spacing w:line="360" w:lineRule="auto"/>
              <w:rPr>
                <w:rFonts w:ascii="宋体" w:hAnsi="宋体" w:cs="宋体"/>
                <w:color w:val="auto"/>
                <w:sz w:val="22"/>
                <w:highlight w:val="none"/>
                <w:lang w:val="zh-CN"/>
              </w:rPr>
            </w:pPr>
          </w:p>
        </w:tc>
        <w:tc>
          <w:tcPr>
            <w:tcW w:w="992" w:type="dxa"/>
            <w:tcBorders>
              <w:left w:val="single" w:color="auto" w:sz="4" w:space="0"/>
              <w:right w:val="single" w:color="auto" w:sz="4" w:space="0"/>
            </w:tcBorders>
          </w:tcPr>
          <w:p w14:paraId="6ACCD280">
            <w:pPr>
              <w:adjustRightInd w:val="0"/>
              <w:spacing w:line="360" w:lineRule="auto"/>
              <w:rPr>
                <w:rFonts w:ascii="宋体" w:hAnsi="宋体" w:cs="宋体"/>
                <w:color w:val="auto"/>
                <w:sz w:val="22"/>
                <w:highlight w:val="none"/>
                <w:lang w:val="zh-CN"/>
              </w:rPr>
            </w:pPr>
          </w:p>
        </w:tc>
        <w:tc>
          <w:tcPr>
            <w:tcW w:w="1276" w:type="dxa"/>
            <w:tcBorders>
              <w:top w:val="single" w:color="auto" w:sz="4" w:space="0"/>
              <w:left w:val="single" w:color="auto" w:sz="4" w:space="0"/>
              <w:bottom w:val="single" w:color="auto" w:sz="4" w:space="0"/>
              <w:right w:val="single" w:color="auto" w:sz="4" w:space="0"/>
            </w:tcBorders>
          </w:tcPr>
          <w:p w14:paraId="2E51AD29">
            <w:pPr>
              <w:adjustRightInd w:val="0"/>
              <w:spacing w:line="360" w:lineRule="auto"/>
              <w:rPr>
                <w:rFonts w:ascii="宋体" w:hAnsi="宋体" w:cs="宋体"/>
                <w:color w:val="auto"/>
                <w:sz w:val="22"/>
                <w:highlight w:val="none"/>
                <w:lang w:val="zh-CN"/>
              </w:rPr>
            </w:pPr>
          </w:p>
        </w:tc>
        <w:tc>
          <w:tcPr>
            <w:tcW w:w="1559" w:type="dxa"/>
            <w:tcBorders>
              <w:top w:val="single" w:color="auto" w:sz="4" w:space="0"/>
              <w:left w:val="single" w:color="auto" w:sz="4" w:space="0"/>
              <w:bottom w:val="single" w:color="auto" w:sz="4" w:space="0"/>
              <w:right w:val="single" w:color="auto" w:sz="4" w:space="0"/>
            </w:tcBorders>
          </w:tcPr>
          <w:p w14:paraId="7B8B35D6">
            <w:pPr>
              <w:adjustRightInd w:val="0"/>
              <w:spacing w:line="360" w:lineRule="auto"/>
              <w:rPr>
                <w:rFonts w:ascii="宋体" w:hAnsi="宋体" w:cs="宋体"/>
                <w:color w:val="auto"/>
                <w:sz w:val="22"/>
                <w:highlight w:val="none"/>
                <w:lang w:val="zh-CN"/>
              </w:rPr>
            </w:pPr>
          </w:p>
        </w:tc>
      </w:tr>
      <w:tr w14:paraId="6F7C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tcPr>
          <w:p w14:paraId="5D9C2822">
            <w:pPr>
              <w:adjustRightInd w:val="0"/>
              <w:spacing w:line="360" w:lineRule="auto"/>
              <w:rPr>
                <w:rFonts w:ascii="宋体" w:hAnsi="宋体" w:cs="宋体"/>
                <w:color w:val="auto"/>
                <w:sz w:val="22"/>
                <w:highlight w:val="none"/>
                <w:lang w:val="zh-CN"/>
              </w:rPr>
            </w:pPr>
          </w:p>
        </w:tc>
        <w:tc>
          <w:tcPr>
            <w:tcW w:w="1650" w:type="dxa"/>
            <w:tcBorders>
              <w:left w:val="single" w:color="auto" w:sz="4" w:space="0"/>
              <w:right w:val="single" w:color="auto" w:sz="4" w:space="0"/>
            </w:tcBorders>
          </w:tcPr>
          <w:p w14:paraId="055F3E56">
            <w:pPr>
              <w:adjustRightInd w:val="0"/>
              <w:spacing w:line="360" w:lineRule="auto"/>
              <w:rPr>
                <w:rFonts w:ascii="宋体" w:hAnsi="宋体" w:cs="宋体"/>
                <w:color w:val="auto"/>
                <w:sz w:val="22"/>
                <w:highlight w:val="none"/>
                <w:lang w:val="zh-CN"/>
              </w:rPr>
            </w:pPr>
          </w:p>
        </w:tc>
        <w:tc>
          <w:tcPr>
            <w:tcW w:w="3037" w:type="dxa"/>
            <w:tcBorders>
              <w:left w:val="single" w:color="auto" w:sz="4" w:space="0"/>
              <w:right w:val="single" w:color="auto" w:sz="4" w:space="0"/>
            </w:tcBorders>
          </w:tcPr>
          <w:p w14:paraId="2DD9C12F">
            <w:pPr>
              <w:adjustRightInd w:val="0"/>
              <w:spacing w:line="360" w:lineRule="auto"/>
              <w:rPr>
                <w:rFonts w:ascii="宋体" w:hAnsi="宋体" w:cs="宋体"/>
                <w:color w:val="auto"/>
                <w:sz w:val="22"/>
                <w:highlight w:val="none"/>
                <w:lang w:val="zh-CN"/>
              </w:rPr>
            </w:pPr>
          </w:p>
        </w:tc>
        <w:tc>
          <w:tcPr>
            <w:tcW w:w="992" w:type="dxa"/>
            <w:tcBorders>
              <w:left w:val="single" w:color="auto" w:sz="4" w:space="0"/>
              <w:right w:val="single" w:color="auto" w:sz="4" w:space="0"/>
            </w:tcBorders>
          </w:tcPr>
          <w:p w14:paraId="71AB0CB1">
            <w:pPr>
              <w:adjustRightInd w:val="0"/>
              <w:spacing w:line="360" w:lineRule="auto"/>
              <w:rPr>
                <w:rFonts w:ascii="宋体" w:hAnsi="宋体" w:cs="宋体"/>
                <w:color w:val="auto"/>
                <w:sz w:val="22"/>
                <w:highlight w:val="none"/>
                <w:lang w:val="zh-CN"/>
              </w:rPr>
            </w:pPr>
          </w:p>
        </w:tc>
        <w:tc>
          <w:tcPr>
            <w:tcW w:w="1276" w:type="dxa"/>
            <w:tcBorders>
              <w:top w:val="single" w:color="auto" w:sz="4" w:space="0"/>
              <w:left w:val="single" w:color="auto" w:sz="4" w:space="0"/>
              <w:bottom w:val="single" w:color="auto" w:sz="4" w:space="0"/>
              <w:right w:val="single" w:color="auto" w:sz="4" w:space="0"/>
            </w:tcBorders>
          </w:tcPr>
          <w:p w14:paraId="0FD50C80">
            <w:pPr>
              <w:adjustRightInd w:val="0"/>
              <w:spacing w:line="360" w:lineRule="auto"/>
              <w:rPr>
                <w:rFonts w:ascii="宋体" w:hAnsi="宋体" w:cs="宋体"/>
                <w:color w:val="auto"/>
                <w:sz w:val="22"/>
                <w:highlight w:val="none"/>
                <w:lang w:val="zh-CN"/>
              </w:rPr>
            </w:pPr>
          </w:p>
        </w:tc>
        <w:tc>
          <w:tcPr>
            <w:tcW w:w="1559" w:type="dxa"/>
            <w:tcBorders>
              <w:top w:val="single" w:color="auto" w:sz="4" w:space="0"/>
              <w:left w:val="single" w:color="auto" w:sz="4" w:space="0"/>
              <w:bottom w:val="single" w:color="auto" w:sz="4" w:space="0"/>
              <w:right w:val="single" w:color="auto" w:sz="4" w:space="0"/>
            </w:tcBorders>
          </w:tcPr>
          <w:p w14:paraId="00BA730E">
            <w:pPr>
              <w:adjustRightInd w:val="0"/>
              <w:spacing w:line="360" w:lineRule="auto"/>
              <w:rPr>
                <w:rFonts w:ascii="宋体" w:hAnsi="宋体" w:cs="宋体"/>
                <w:color w:val="auto"/>
                <w:sz w:val="22"/>
                <w:highlight w:val="none"/>
                <w:lang w:val="zh-CN"/>
              </w:rPr>
            </w:pPr>
          </w:p>
        </w:tc>
      </w:tr>
      <w:tr w14:paraId="4944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614" w:type="dxa"/>
            <w:gridSpan w:val="2"/>
            <w:tcBorders>
              <w:top w:val="single" w:color="auto" w:sz="4" w:space="0"/>
              <w:left w:val="single" w:color="auto" w:sz="4" w:space="0"/>
              <w:bottom w:val="single" w:color="auto" w:sz="4" w:space="0"/>
              <w:right w:val="single" w:color="auto" w:sz="4" w:space="0"/>
            </w:tcBorders>
          </w:tcPr>
          <w:p w14:paraId="2D3F052C">
            <w:pPr>
              <w:adjustRightInd w:val="0"/>
              <w:spacing w:line="360" w:lineRule="auto"/>
              <w:rPr>
                <w:rFonts w:ascii="宋体" w:hAnsi="宋体" w:cs="宋体"/>
                <w:color w:val="auto"/>
                <w:sz w:val="22"/>
                <w:highlight w:val="none"/>
                <w:lang w:val="zh-CN"/>
              </w:rPr>
            </w:pPr>
            <w:r>
              <w:rPr>
                <w:rFonts w:hint="eastAsia" w:ascii="宋体" w:hAnsi="宋体" w:cs="宋体"/>
                <w:color w:val="auto"/>
                <w:sz w:val="22"/>
                <w:highlight w:val="none"/>
                <w:lang w:val="zh-CN"/>
              </w:rPr>
              <w:t>总价小计：</w:t>
            </w:r>
          </w:p>
        </w:tc>
        <w:tc>
          <w:tcPr>
            <w:tcW w:w="6864" w:type="dxa"/>
            <w:gridSpan w:val="4"/>
            <w:tcBorders>
              <w:left w:val="single" w:color="auto" w:sz="4" w:space="0"/>
              <w:right w:val="single" w:color="auto" w:sz="4" w:space="0"/>
            </w:tcBorders>
          </w:tcPr>
          <w:p w14:paraId="32054E13">
            <w:pPr>
              <w:adjustRightInd w:val="0"/>
              <w:spacing w:line="360" w:lineRule="auto"/>
              <w:rPr>
                <w:rFonts w:ascii="宋体" w:hAnsi="宋体" w:cs="宋体"/>
                <w:color w:val="auto"/>
                <w:sz w:val="22"/>
                <w:highlight w:val="none"/>
                <w:lang w:val="zh-CN"/>
              </w:rPr>
            </w:pPr>
          </w:p>
        </w:tc>
      </w:tr>
    </w:tbl>
    <w:p w14:paraId="4E0A5336">
      <w:pPr>
        <w:adjustRightInd w:val="0"/>
        <w:spacing w:line="360" w:lineRule="auto"/>
        <w:rPr>
          <w:rFonts w:ascii="宋体" w:hAnsi="宋体" w:cs="宋体"/>
          <w:color w:val="auto"/>
          <w:sz w:val="22"/>
          <w:highlight w:val="none"/>
          <w:lang w:val="zh-CN"/>
        </w:rPr>
      </w:pPr>
      <w:r>
        <w:rPr>
          <w:rFonts w:hint="eastAsia" w:ascii="宋体" w:hAnsi="宋体" w:cs="宋体"/>
          <w:color w:val="auto"/>
          <w:sz w:val="22"/>
          <w:highlight w:val="none"/>
          <w:lang w:val="zh-CN"/>
        </w:rPr>
        <w:t>供应商名称：</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（盖章）</w:t>
      </w:r>
    </w:p>
    <w:p w14:paraId="5B08A436">
      <w:pPr>
        <w:adjustRightInd w:val="0"/>
        <w:spacing w:line="360" w:lineRule="auto"/>
        <w:rPr>
          <w:rFonts w:ascii="宋体" w:hAnsi="宋体" w:cs="宋体"/>
          <w:color w:val="auto"/>
          <w:sz w:val="22"/>
          <w:highlight w:val="none"/>
        </w:rPr>
      </w:pPr>
      <w:r>
        <w:rPr>
          <w:rFonts w:hint="eastAsia" w:ascii="宋体" w:hAnsi="宋体" w:cs="宋体"/>
          <w:color w:val="auto"/>
          <w:sz w:val="22"/>
          <w:highlight w:val="none"/>
          <w:lang w:val="zh-CN"/>
        </w:rPr>
        <w:t>说明：1、如果行数不够，请自行增加。</w:t>
      </w:r>
    </w:p>
    <w:p w14:paraId="365B968F">
      <w:pPr>
        <w:adjustRightInd w:val="0"/>
        <w:spacing w:line="360" w:lineRule="auto"/>
        <w:outlineLvl w:val="0"/>
        <w:rPr>
          <w:rFonts w:ascii="宋体" w:hAnsi="宋体" w:cs="宋体"/>
          <w:b/>
          <w:color w:val="auto"/>
          <w:sz w:val="22"/>
          <w:highlight w:val="none"/>
          <w:lang w:val="zh-CN"/>
        </w:rPr>
      </w:pPr>
      <w:r>
        <w:rPr>
          <w:rFonts w:hint="eastAsia" w:ascii="宋体" w:hAnsi="宋体" w:cs="宋体"/>
          <w:color w:val="auto"/>
          <w:sz w:val="22"/>
          <w:highlight w:val="none"/>
          <w:lang w:val="zh-CN"/>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 xml:space="preserve"> </w:t>
      </w:r>
    </w:p>
    <w:bookmarkEnd w:id="34"/>
    <w:bookmarkEnd w:id="35"/>
    <w:p w14:paraId="01B5F7EF">
      <w:pPr>
        <w:pStyle w:val="24"/>
        <w:rPr>
          <w:rFonts w:ascii="宋体" w:hAnsi="宋体" w:eastAsia="宋体" w:cs="宋体"/>
          <w:color w:val="auto"/>
          <w:highlight w:val="none"/>
          <w:lang w:val="zh-CN"/>
        </w:rPr>
      </w:pPr>
    </w:p>
    <w:p w14:paraId="546EA26A">
      <w:pPr>
        <w:pStyle w:val="24"/>
        <w:rPr>
          <w:rFonts w:ascii="宋体" w:hAnsi="宋体" w:eastAsia="宋体" w:cs="宋体"/>
          <w:color w:val="auto"/>
          <w:highlight w:val="none"/>
          <w:lang w:val="zh-CN"/>
        </w:rPr>
      </w:pPr>
    </w:p>
    <w:p w14:paraId="34169B88">
      <w:pPr>
        <w:adjustRightInd w:val="0"/>
        <w:spacing w:line="360" w:lineRule="auto"/>
        <w:outlineLvl w:val="0"/>
        <w:rPr>
          <w:rFonts w:ascii="宋体" w:hAnsi="宋体" w:cs="宋体"/>
          <w:b/>
          <w:color w:val="auto"/>
          <w:szCs w:val="21"/>
          <w:highlight w:val="none"/>
          <w:lang w:val="zh-CN"/>
        </w:rPr>
      </w:pPr>
    </w:p>
    <w:p w14:paraId="13048057">
      <w:pPr>
        <w:adjustRightInd w:val="0"/>
        <w:spacing w:line="360" w:lineRule="auto"/>
        <w:outlineLvl w:val="0"/>
        <w:rPr>
          <w:rFonts w:ascii="宋体" w:hAnsi="宋体" w:cs="宋体"/>
          <w:b/>
          <w:color w:val="auto"/>
          <w:szCs w:val="21"/>
          <w:highlight w:val="none"/>
          <w:lang w:val="zh-CN"/>
        </w:rPr>
      </w:pPr>
      <w:r>
        <w:rPr>
          <w:rFonts w:hint="eastAsia" w:ascii="宋体" w:hAnsi="宋体" w:cs="宋体"/>
          <w:b/>
          <w:color w:val="auto"/>
          <w:szCs w:val="21"/>
          <w:highlight w:val="none"/>
          <w:lang w:val="zh-CN"/>
        </w:rPr>
        <w:t>目录五、商务条款偏离表格式</w:t>
      </w:r>
    </w:p>
    <w:p w14:paraId="3BE1799F">
      <w:pPr>
        <w:adjustRightInd w:val="0"/>
        <w:spacing w:line="360" w:lineRule="auto"/>
        <w:ind w:left="420"/>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商务条款偏离表</w:t>
      </w:r>
    </w:p>
    <w:tbl>
      <w:tblPr>
        <w:tblStyle w:val="2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1615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right w:val="nil"/>
            </w:tcBorders>
            <w:vAlign w:val="center"/>
          </w:tcPr>
          <w:p w14:paraId="7B60CE75">
            <w:pPr>
              <w:adjustRightInd w:val="0"/>
              <w:spacing w:line="360" w:lineRule="auto"/>
              <w:rPr>
                <w:rFonts w:ascii="宋体" w:hAnsi="宋体" w:cs="宋体"/>
                <w:color w:val="auto"/>
                <w:sz w:val="22"/>
                <w:highlight w:val="none"/>
                <w:lang w:val="zh-CN"/>
              </w:rPr>
            </w:pPr>
            <w:r>
              <w:rPr>
                <w:rFonts w:hint="eastAsia" w:ascii="宋体" w:hAnsi="宋体" w:cs="宋体"/>
                <w:color w:val="auto"/>
                <w:sz w:val="22"/>
                <w:highlight w:val="none"/>
                <w:lang w:val="zh-CN"/>
              </w:rPr>
              <w:t>项目名称：</w:t>
            </w:r>
          </w:p>
        </w:tc>
        <w:tc>
          <w:tcPr>
            <w:tcW w:w="2830" w:type="dxa"/>
            <w:gridSpan w:val="2"/>
            <w:tcBorders>
              <w:top w:val="nil"/>
              <w:left w:val="nil"/>
              <w:right w:val="nil"/>
            </w:tcBorders>
            <w:vAlign w:val="center"/>
          </w:tcPr>
          <w:p w14:paraId="6A286144">
            <w:pPr>
              <w:adjustRightInd w:val="0"/>
              <w:spacing w:line="360" w:lineRule="auto"/>
              <w:rPr>
                <w:rFonts w:ascii="宋体" w:hAnsi="宋体" w:cs="宋体"/>
                <w:color w:val="auto"/>
                <w:sz w:val="22"/>
                <w:highlight w:val="none"/>
                <w:lang w:val="zh-CN"/>
              </w:rPr>
            </w:pPr>
            <w:r>
              <w:rPr>
                <w:rFonts w:hint="eastAsia" w:ascii="宋体" w:hAnsi="宋体" w:cs="宋体"/>
                <w:color w:val="auto"/>
                <w:sz w:val="22"/>
                <w:highlight w:val="none"/>
                <w:lang w:val="zh-CN"/>
              </w:rPr>
              <w:t>项目编号：</w:t>
            </w:r>
          </w:p>
        </w:tc>
      </w:tr>
      <w:tr w14:paraId="2748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40E9E446">
            <w:pPr>
              <w:adjustRightInd w:val="0"/>
              <w:spacing w:line="360" w:lineRule="auto"/>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vAlign w:val="center"/>
          </w:tcPr>
          <w:p w14:paraId="29951399">
            <w:pPr>
              <w:adjustRightInd w:val="0"/>
              <w:spacing w:line="360" w:lineRule="auto"/>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招标文件条目号</w:t>
            </w:r>
          </w:p>
        </w:tc>
        <w:tc>
          <w:tcPr>
            <w:tcW w:w="2700" w:type="dxa"/>
            <w:vAlign w:val="center"/>
          </w:tcPr>
          <w:p w14:paraId="0EC1981B">
            <w:pPr>
              <w:adjustRightInd w:val="0"/>
              <w:spacing w:line="360" w:lineRule="auto"/>
              <w:jc w:val="center"/>
              <w:rPr>
                <w:rFonts w:ascii="宋体" w:hAnsi="宋体" w:cs="宋体"/>
                <w:color w:val="auto"/>
                <w:sz w:val="22"/>
                <w:highlight w:val="none"/>
                <w:lang w:val="zh-CN"/>
              </w:rPr>
            </w:pPr>
            <w:r>
              <w:rPr>
                <w:rFonts w:hint="eastAsia" w:ascii="宋体" w:hAnsi="宋体" w:cs="宋体"/>
                <w:color w:val="auto"/>
                <w:sz w:val="22"/>
                <w:highlight w:val="none"/>
                <w:lang w:val="zh-CN"/>
              </w:rPr>
              <w:t>招标要求规格</w:t>
            </w:r>
          </w:p>
        </w:tc>
        <w:tc>
          <w:tcPr>
            <w:tcW w:w="2873" w:type="dxa"/>
            <w:gridSpan w:val="2"/>
            <w:vAlign w:val="center"/>
          </w:tcPr>
          <w:p w14:paraId="4B23EBB1">
            <w:pPr>
              <w:adjustRightInd w:val="0"/>
              <w:spacing w:line="360" w:lineRule="auto"/>
              <w:jc w:val="center"/>
              <w:rPr>
                <w:rFonts w:ascii="宋体" w:hAnsi="宋体" w:cs="宋体"/>
                <w:color w:val="auto"/>
                <w:sz w:val="22"/>
                <w:highlight w:val="none"/>
                <w:lang w:val="zh-CN"/>
              </w:rPr>
            </w:pPr>
            <w:r>
              <w:rPr>
                <w:rFonts w:hint="eastAsia" w:ascii="宋体" w:hAnsi="宋体" w:cs="宋体"/>
                <w:color w:val="auto"/>
                <w:sz w:val="22"/>
                <w:highlight w:val="none"/>
                <w:lang w:val="zh-CN"/>
              </w:rPr>
              <w:t>投标响应</w:t>
            </w:r>
          </w:p>
        </w:tc>
        <w:tc>
          <w:tcPr>
            <w:tcW w:w="1372" w:type="dxa"/>
            <w:vAlign w:val="center"/>
          </w:tcPr>
          <w:p w14:paraId="1101D0AB">
            <w:pPr>
              <w:adjustRightInd w:val="0"/>
              <w:spacing w:line="360" w:lineRule="auto"/>
              <w:jc w:val="center"/>
              <w:rPr>
                <w:rFonts w:ascii="宋体" w:hAnsi="宋体" w:cs="宋体"/>
                <w:color w:val="auto"/>
                <w:sz w:val="22"/>
                <w:highlight w:val="none"/>
                <w:lang w:val="zh-CN"/>
              </w:rPr>
            </w:pPr>
            <w:r>
              <w:rPr>
                <w:rFonts w:hint="eastAsia" w:ascii="宋体" w:hAnsi="宋体" w:cs="宋体"/>
                <w:color w:val="auto"/>
                <w:sz w:val="22"/>
                <w:highlight w:val="none"/>
                <w:lang w:val="zh-CN"/>
              </w:rPr>
              <w:t>偏离</w:t>
            </w:r>
          </w:p>
        </w:tc>
      </w:tr>
      <w:tr w14:paraId="5998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2AEBC28A">
            <w:pPr>
              <w:adjustRightInd w:val="0"/>
              <w:spacing w:line="360" w:lineRule="auto"/>
              <w:jc w:val="center"/>
              <w:rPr>
                <w:rFonts w:ascii="宋体" w:hAnsi="宋体" w:cs="宋体"/>
                <w:color w:val="auto"/>
                <w:sz w:val="22"/>
                <w:highlight w:val="none"/>
                <w:lang w:val="zh-CN"/>
              </w:rPr>
            </w:pPr>
          </w:p>
        </w:tc>
        <w:tc>
          <w:tcPr>
            <w:tcW w:w="1620" w:type="dxa"/>
            <w:vAlign w:val="center"/>
          </w:tcPr>
          <w:p w14:paraId="1044859D">
            <w:pPr>
              <w:adjustRightInd w:val="0"/>
              <w:spacing w:line="360" w:lineRule="auto"/>
              <w:jc w:val="center"/>
              <w:rPr>
                <w:rFonts w:ascii="宋体" w:hAnsi="宋体" w:cs="宋体"/>
                <w:color w:val="auto"/>
                <w:sz w:val="22"/>
                <w:highlight w:val="none"/>
                <w:lang w:val="zh-CN"/>
              </w:rPr>
            </w:pPr>
          </w:p>
        </w:tc>
        <w:tc>
          <w:tcPr>
            <w:tcW w:w="2700" w:type="dxa"/>
            <w:vAlign w:val="center"/>
          </w:tcPr>
          <w:p w14:paraId="5372D7EF">
            <w:pPr>
              <w:adjustRightInd w:val="0"/>
              <w:spacing w:line="360" w:lineRule="auto"/>
              <w:jc w:val="center"/>
              <w:rPr>
                <w:rFonts w:ascii="宋体" w:hAnsi="宋体" w:cs="宋体"/>
                <w:color w:val="auto"/>
                <w:sz w:val="22"/>
                <w:highlight w:val="none"/>
                <w:lang w:val="zh-CN"/>
              </w:rPr>
            </w:pPr>
          </w:p>
        </w:tc>
        <w:tc>
          <w:tcPr>
            <w:tcW w:w="2873" w:type="dxa"/>
            <w:gridSpan w:val="2"/>
            <w:vAlign w:val="center"/>
          </w:tcPr>
          <w:p w14:paraId="4C782437">
            <w:pPr>
              <w:adjustRightInd w:val="0"/>
              <w:spacing w:line="360" w:lineRule="auto"/>
              <w:jc w:val="center"/>
              <w:rPr>
                <w:rFonts w:ascii="宋体" w:hAnsi="宋体" w:cs="宋体"/>
                <w:color w:val="auto"/>
                <w:sz w:val="22"/>
                <w:highlight w:val="none"/>
                <w:lang w:val="zh-CN"/>
              </w:rPr>
            </w:pPr>
          </w:p>
        </w:tc>
        <w:tc>
          <w:tcPr>
            <w:tcW w:w="1372" w:type="dxa"/>
            <w:vAlign w:val="center"/>
          </w:tcPr>
          <w:p w14:paraId="028E40D4">
            <w:pPr>
              <w:adjustRightInd w:val="0"/>
              <w:spacing w:line="360" w:lineRule="auto"/>
              <w:jc w:val="center"/>
              <w:rPr>
                <w:rFonts w:ascii="宋体" w:hAnsi="宋体" w:cs="宋体"/>
                <w:color w:val="auto"/>
                <w:sz w:val="22"/>
                <w:highlight w:val="none"/>
                <w:lang w:val="zh-CN"/>
              </w:rPr>
            </w:pPr>
          </w:p>
        </w:tc>
      </w:tr>
      <w:tr w14:paraId="783F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3D11DCC1">
            <w:pPr>
              <w:adjustRightInd w:val="0"/>
              <w:spacing w:line="360" w:lineRule="auto"/>
              <w:jc w:val="center"/>
              <w:rPr>
                <w:rFonts w:ascii="宋体" w:hAnsi="宋体" w:cs="宋体"/>
                <w:color w:val="auto"/>
                <w:sz w:val="22"/>
                <w:highlight w:val="none"/>
                <w:lang w:val="zh-CN"/>
              </w:rPr>
            </w:pPr>
          </w:p>
        </w:tc>
        <w:tc>
          <w:tcPr>
            <w:tcW w:w="1620" w:type="dxa"/>
            <w:vAlign w:val="center"/>
          </w:tcPr>
          <w:p w14:paraId="15B383B3">
            <w:pPr>
              <w:adjustRightInd w:val="0"/>
              <w:spacing w:line="360" w:lineRule="auto"/>
              <w:jc w:val="center"/>
              <w:rPr>
                <w:rFonts w:ascii="宋体" w:hAnsi="宋体" w:cs="宋体"/>
                <w:color w:val="auto"/>
                <w:sz w:val="22"/>
                <w:highlight w:val="none"/>
                <w:lang w:val="zh-CN"/>
              </w:rPr>
            </w:pPr>
          </w:p>
        </w:tc>
        <w:tc>
          <w:tcPr>
            <w:tcW w:w="2700" w:type="dxa"/>
            <w:vAlign w:val="center"/>
          </w:tcPr>
          <w:p w14:paraId="08500659">
            <w:pPr>
              <w:adjustRightInd w:val="0"/>
              <w:spacing w:line="360" w:lineRule="auto"/>
              <w:jc w:val="center"/>
              <w:rPr>
                <w:rFonts w:ascii="宋体" w:hAnsi="宋体" w:cs="宋体"/>
                <w:color w:val="auto"/>
                <w:sz w:val="22"/>
                <w:highlight w:val="none"/>
                <w:lang w:val="zh-CN"/>
              </w:rPr>
            </w:pPr>
          </w:p>
        </w:tc>
        <w:tc>
          <w:tcPr>
            <w:tcW w:w="2873" w:type="dxa"/>
            <w:gridSpan w:val="2"/>
            <w:vAlign w:val="center"/>
          </w:tcPr>
          <w:p w14:paraId="70908DC7">
            <w:pPr>
              <w:adjustRightInd w:val="0"/>
              <w:spacing w:line="360" w:lineRule="auto"/>
              <w:jc w:val="center"/>
              <w:rPr>
                <w:rFonts w:ascii="宋体" w:hAnsi="宋体" w:cs="宋体"/>
                <w:color w:val="auto"/>
                <w:sz w:val="22"/>
                <w:highlight w:val="none"/>
                <w:lang w:val="zh-CN"/>
              </w:rPr>
            </w:pPr>
          </w:p>
        </w:tc>
        <w:tc>
          <w:tcPr>
            <w:tcW w:w="1372" w:type="dxa"/>
            <w:vAlign w:val="center"/>
          </w:tcPr>
          <w:p w14:paraId="7FF37DEA">
            <w:pPr>
              <w:adjustRightInd w:val="0"/>
              <w:spacing w:line="360" w:lineRule="auto"/>
              <w:jc w:val="center"/>
              <w:rPr>
                <w:rFonts w:ascii="宋体" w:hAnsi="宋体" w:cs="宋体"/>
                <w:color w:val="auto"/>
                <w:sz w:val="22"/>
                <w:highlight w:val="none"/>
                <w:lang w:val="zh-CN"/>
              </w:rPr>
            </w:pPr>
          </w:p>
        </w:tc>
      </w:tr>
      <w:tr w14:paraId="377C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2852134B">
            <w:pPr>
              <w:adjustRightInd w:val="0"/>
              <w:spacing w:line="360" w:lineRule="auto"/>
              <w:jc w:val="center"/>
              <w:rPr>
                <w:rFonts w:ascii="宋体" w:hAnsi="宋体" w:cs="宋体"/>
                <w:color w:val="auto"/>
                <w:sz w:val="22"/>
                <w:highlight w:val="none"/>
                <w:lang w:val="zh-CN"/>
              </w:rPr>
            </w:pPr>
          </w:p>
        </w:tc>
        <w:tc>
          <w:tcPr>
            <w:tcW w:w="1620" w:type="dxa"/>
            <w:vAlign w:val="center"/>
          </w:tcPr>
          <w:p w14:paraId="2E957E1A">
            <w:pPr>
              <w:adjustRightInd w:val="0"/>
              <w:spacing w:line="360" w:lineRule="auto"/>
              <w:jc w:val="center"/>
              <w:rPr>
                <w:rFonts w:ascii="宋体" w:hAnsi="宋体" w:cs="宋体"/>
                <w:color w:val="auto"/>
                <w:sz w:val="22"/>
                <w:highlight w:val="none"/>
                <w:lang w:val="zh-CN"/>
              </w:rPr>
            </w:pPr>
          </w:p>
        </w:tc>
        <w:tc>
          <w:tcPr>
            <w:tcW w:w="2700" w:type="dxa"/>
            <w:vAlign w:val="center"/>
          </w:tcPr>
          <w:p w14:paraId="3535A93C">
            <w:pPr>
              <w:adjustRightInd w:val="0"/>
              <w:spacing w:line="360" w:lineRule="auto"/>
              <w:jc w:val="center"/>
              <w:rPr>
                <w:rFonts w:ascii="宋体" w:hAnsi="宋体" w:cs="宋体"/>
                <w:color w:val="auto"/>
                <w:sz w:val="22"/>
                <w:highlight w:val="none"/>
                <w:lang w:val="zh-CN"/>
              </w:rPr>
            </w:pPr>
          </w:p>
        </w:tc>
        <w:tc>
          <w:tcPr>
            <w:tcW w:w="2873" w:type="dxa"/>
            <w:gridSpan w:val="2"/>
            <w:vAlign w:val="center"/>
          </w:tcPr>
          <w:p w14:paraId="702380B0">
            <w:pPr>
              <w:adjustRightInd w:val="0"/>
              <w:spacing w:line="360" w:lineRule="auto"/>
              <w:jc w:val="center"/>
              <w:rPr>
                <w:rFonts w:ascii="宋体" w:hAnsi="宋体" w:cs="宋体"/>
                <w:color w:val="auto"/>
                <w:sz w:val="22"/>
                <w:highlight w:val="none"/>
                <w:lang w:val="zh-CN"/>
              </w:rPr>
            </w:pPr>
          </w:p>
        </w:tc>
        <w:tc>
          <w:tcPr>
            <w:tcW w:w="1372" w:type="dxa"/>
            <w:vAlign w:val="center"/>
          </w:tcPr>
          <w:p w14:paraId="2E7B2BB2">
            <w:pPr>
              <w:adjustRightInd w:val="0"/>
              <w:spacing w:line="360" w:lineRule="auto"/>
              <w:jc w:val="center"/>
              <w:rPr>
                <w:rFonts w:ascii="宋体" w:hAnsi="宋体" w:cs="宋体"/>
                <w:color w:val="auto"/>
                <w:sz w:val="22"/>
                <w:highlight w:val="none"/>
                <w:lang w:val="zh-CN"/>
              </w:rPr>
            </w:pPr>
          </w:p>
        </w:tc>
      </w:tr>
      <w:tr w14:paraId="2C76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1EEBC4DF">
            <w:pPr>
              <w:adjustRightInd w:val="0"/>
              <w:spacing w:line="360" w:lineRule="auto"/>
              <w:jc w:val="center"/>
              <w:rPr>
                <w:rFonts w:ascii="宋体" w:hAnsi="宋体" w:cs="宋体"/>
                <w:color w:val="auto"/>
                <w:sz w:val="22"/>
                <w:highlight w:val="none"/>
                <w:lang w:val="zh-CN"/>
              </w:rPr>
            </w:pPr>
          </w:p>
        </w:tc>
        <w:tc>
          <w:tcPr>
            <w:tcW w:w="1620" w:type="dxa"/>
            <w:vAlign w:val="center"/>
          </w:tcPr>
          <w:p w14:paraId="78C60C66">
            <w:pPr>
              <w:adjustRightInd w:val="0"/>
              <w:spacing w:line="360" w:lineRule="auto"/>
              <w:jc w:val="center"/>
              <w:rPr>
                <w:rFonts w:ascii="宋体" w:hAnsi="宋体" w:cs="宋体"/>
                <w:color w:val="auto"/>
                <w:sz w:val="22"/>
                <w:highlight w:val="none"/>
                <w:lang w:val="zh-CN"/>
              </w:rPr>
            </w:pPr>
          </w:p>
        </w:tc>
        <w:tc>
          <w:tcPr>
            <w:tcW w:w="2700" w:type="dxa"/>
            <w:vAlign w:val="center"/>
          </w:tcPr>
          <w:p w14:paraId="1D7B8DCA">
            <w:pPr>
              <w:adjustRightInd w:val="0"/>
              <w:spacing w:line="360" w:lineRule="auto"/>
              <w:jc w:val="center"/>
              <w:rPr>
                <w:rFonts w:ascii="宋体" w:hAnsi="宋体" w:cs="宋体"/>
                <w:color w:val="auto"/>
                <w:sz w:val="22"/>
                <w:highlight w:val="none"/>
                <w:lang w:val="zh-CN"/>
              </w:rPr>
            </w:pPr>
          </w:p>
        </w:tc>
        <w:tc>
          <w:tcPr>
            <w:tcW w:w="2873" w:type="dxa"/>
            <w:gridSpan w:val="2"/>
            <w:vAlign w:val="center"/>
          </w:tcPr>
          <w:p w14:paraId="4FC7A89B">
            <w:pPr>
              <w:adjustRightInd w:val="0"/>
              <w:spacing w:line="360" w:lineRule="auto"/>
              <w:jc w:val="center"/>
              <w:rPr>
                <w:rFonts w:ascii="宋体" w:hAnsi="宋体" w:cs="宋体"/>
                <w:color w:val="auto"/>
                <w:sz w:val="22"/>
                <w:highlight w:val="none"/>
                <w:lang w:val="zh-CN"/>
              </w:rPr>
            </w:pPr>
          </w:p>
        </w:tc>
        <w:tc>
          <w:tcPr>
            <w:tcW w:w="1372" w:type="dxa"/>
            <w:vAlign w:val="center"/>
          </w:tcPr>
          <w:p w14:paraId="25531EE2">
            <w:pPr>
              <w:adjustRightInd w:val="0"/>
              <w:spacing w:line="360" w:lineRule="auto"/>
              <w:jc w:val="center"/>
              <w:rPr>
                <w:rFonts w:ascii="宋体" w:hAnsi="宋体" w:cs="宋体"/>
                <w:color w:val="auto"/>
                <w:sz w:val="22"/>
                <w:highlight w:val="none"/>
                <w:lang w:val="zh-CN"/>
              </w:rPr>
            </w:pPr>
          </w:p>
        </w:tc>
      </w:tr>
      <w:tr w14:paraId="27AF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42BA6DC7">
            <w:pPr>
              <w:adjustRightInd w:val="0"/>
              <w:spacing w:line="360" w:lineRule="auto"/>
              <w:jc w:val="center"/>
              <w:rPr>
                <w:rFonts w:ascii="宋体" w:hAnsi="宋体" w:cs="宋体"/>
                <w:color w:val="auto"/>
                <w:sz w:val="22"/>
                <w:highlight w:val="none"/>
                <w:lang w:val="zh-CN"/>
              </w:rPr>
            </w:pPr>
          </w:p>
        </w:tc>
        <w:tc>
          <w:tcPr>
            <w:tcW w:w="1620" w:type="dxa"/>
            <w:vAlign w:val="center"/>
          </w:tcPr>
          <w:p w14:paraId="310CFE7F">
            <w:pPr>
              <w:adjustRightInd w:val="0"/>
              <w:spacing w:line="360" w:lineRule="auto"/>
              <w:jc w:val="center"/>
              <w:rPr>
                <w:rFonts w:ascii="宋体" w:hAnsi="宋体" w:cs="宋体"/>
                <w:color w:val="auto"/>
                <w:sz w:val="22"/>
                <w:highlight w:val="none"/>
                <w:lang w:val="zh-CN"/>
              </w:rPr>
            </w:pPr>
          </w:p>
        </w:tc>
        <w:tc>
          <w:tcPr>
            <w:tcW w:w="2700" w:type="dxa"/>
            <w:vAlign w:val="center"/>
          </w:tcPr>
          <w:p w14:paraId="33305422">
            <w:pPr>
              <w:adjustRightInd w:val="0"/>
              <w:spacing w:line="360" w:lineRule="auto"/>
              <w:jc w:val="center"/>
              <w:rPr>
                <w:rFonts w:ascii="宋体" w:hAnsi="宋体" w:cs="宋体"/>
                <w:color w:val="auto"/>
                <w:sz w:val="22"/>
                <w:highlight w:val="none"/>
                <w:lang w:val="zh-CN"/>
              </w:rPr>
            </w:pPr>
          </w:p>
        </w:tc>
        <w:tc>
          <w:tcPr>
            <w:tcW w:w="2873" w:type="dxa"/>
            <w:gridSpan w:val="2"/>
            <w:vAlign w:val="center"/>
          </w:tcPr>
          <w:p w14:paraId="470EC1CD">
            <w:pPr>
              <w:adjustRightInd w:val="0"/>
              <w:spacing w:line="360" w:lineRule="auto"/>
              <w:jc w:val="center"/>
              <w:rPr>
                <w:rFonts w:ascii="宋体" w:hAnsi="宋体" w:cs="宋体"/>
                <w:color w:val="auto"/>
                <w:sz w:val="22"/>
                <w:highlight w:val="none"/>
                <w:lang w:val="zh-CN"/>
              </w:rPr>
            </w:pPr>
          </w:p>
        </w:tc>
        <w:tc>
          <w:tcPr>
            <w:tcW w:w="1372" w:type="dxa"/>
            <w:vAlign w:val="center"/>
          </w:tcPr>
          <w:p w14:paraId="155C087F">
            <w:pPr>
              <w:adjustRightInd w:val="0"/>
              <w:spacing w:line="360" w:lineRule="auto"/>
              <w:jc w:val="center"/>
              <w:rPr>
                <w:rFonts w:ascii="宋体" w:hAnsi="宋体" w:cs="宋体"/>
                <w:color w:val="auto"/>
                <w:sz w:val="22"/>
                <w:highlight w:val="none"/>
                <w:lang w:val="zh-CN"/>
              </w:rPr>
            </w:pPr>
          </w:p>
        </w:tc>
      </w:tr>
      <w:tr w14:paraId="4BE7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07799535">
            <w:pPr>
              <w:adjustRightInd w:val="0"/>
              <w:spacing w:line="360" w:lineRule="auto"/>
              <w:jc w:val="center"/>
              <w:rPr>
                <w:rFonts w:ascii="宋体" w:hAnsi="宋体" w:cs="宋体"/>
                <w:color w:val="auto"/>
                <w:sz w:val="22"/>
                <w:highlight w:val="none"/>
                <w:lang w:val="zh-CN"/>
              </w:rPr>
            </w:pPr>
          </w:p>
        </w:tc>
        <w:tc>
          <w:tcPr>
            <w:tcW w:w="1620" w:type="dxa"/>
            <w:vAlign w:val="center"/>
          </w:tcPr>
          <w:p w14:paraId="0F2C2AB0">
            <w:pPr>
              <w:adjustRightInd w:val="0"/>
              <w:spacing w:line="360" w:lineRule="auto"/>
              <w:jc w:val="center"/>
              <w:rPr>
                <w:rFonts w:ascii="宋体" w:hAnsi="宋体" w:cs="宋体"/>
                <w:color w:val="auto"/>
                <w:sz w:val="22"/>
                <w:highlight w:val="none"/>
                <w:lang w:val="zh-CN"/>
              </w:rPr>
            </w:pPr>
          </w:p>
        </w:tc>
        <w:tc>
          <w:tcPr>
            <w:tcW w:w="2700" w:type="dxa"/>
            <w:vAlign w:val="center"/>
          </w:tcPr>
          <w:p w14:paraId="1A5C9797">
            <w:pPr>
              <w:adjustRightInd w:val="0"/>
              <w:spacing w:line="360" w:lineRule="auto"/>
              <w:jc w:val="center"/>
              <w:rPr>
                <w:rFonts w:ascii="宋体" w:hAnsi="宋体" w:cs="宋体"/>
                <w:color w:val="auto"/>
                <w:sz w:val="22"/>
                <w:highlight w:val="none"/>
                <w:lang w:val="zh-CN"/>
              </w:rPr>
            </w:pPr>
          </w:p>
        </w:tc>
        <w:tc>
          <w:tcPr>
            <w:tcW w:w="2873" w:type="dxa"/>
            <w:gridSpan w:val="2"/>
            <w:vAlign w:val="center"/>
          </w:tcPr>
          <w:p w14:paraId="75F3428B">
            <w:pPr>
              <w:adjustRightInd w:val="0"/>
              <w:spacing w:line="360" w:lineRule="auto"/>
              <w:jc w:val="center"/>
              <w:rPr>
                <w:rFonts w:ascii="宋体" w:hAnsi="宋体" w:cs="宋体"/>
                <w:color w:val="auto"/>
                <w:sz w:val="22"/>
                <w:highlight w:val="none"/>
                <w:lang w:val="zh-CN"/>
              </w:rPr>
            </w:pPr>
          </w:p>
        </w:tc>
        <w:tc>
          <w:tcPr>
            <w:tcW w:w="1372" w:type="dxa"/>
            <w:vAlign w:val="center"/>
          </w:tcPr>
          <w:p w14:paraId="6BEAB89E">
            <w:pPr>
              <w:adjustRightInd w:val="0"/>
              <w:spacing w:line="360" w:lineRule="auto"/>
              <w:jc w:val="center"/>
              <w:rPr>
                <w:rFonts w:ascii="宋体" w:hAnsi="宋体" w:cs="宋体"/>
                <w:color w:val="auto"/>
                <w:sz w:val="22"/>
                <w:highlight w:val="none"/>
                <w:lang w:val="zh-CN"/>
              </w:rPr>
            </w:pPr>
          </w:p>
        </w:tc>
      </w:tr>
    </w:tbl>
    <w:p w14:paraId="4F527D71">
      <w:pPr>
        <w:adjustRightInd w:val="0"/>
        <w:spacing w:line="360" w:lineRule="auto"/>
        <w:ind w:firstLine="220" w:firstLineChars="100"/>
        <w:rPr>
          <w:rFonts w:ascii="宋体" w:hAnsi="宋体" w:cs="宋体"/>
          <w:color w:val="auto"/>
          <w:sz w:val="22"/>
          <w:highlight w:val="none"/>
          <w:lang w:val="zh-CN"/>
        </w:rPr>
      </w:pPr>
      <w:r>
        <w:rPr>
          <w:rFonts w:hint="eastAsia" w:ascii="宋体" w:hAnsi="宋体" w:cs="宋体"/>
          <w:color w:val="auto"/>
          <w:sz w:val="22"/>
          <w:highlight w:val="none"/>
          <w:lang w:val="zh-CN"/>
        </w:rPr>
        <w:t>供应商名称：</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（盖章）</w:t>
      </w:r>
    </w:p>
    <w:p w14:paraId="55D0A4B6">
      <w:pPr>
        <w:snapToGrid w:val="0"/>
        <w:spacing w:line="360" w:lineRule="auto"/>
        <w:ind w:firstLine="220" w:firstLineChars="100"/>
        <w:rPr>
          <w:rFonts w:ascii="宋体" w:hAnsi="宋体" w:cs="宋体"/>
          <w:b/>
          <w:color w:val="auto"/>
          <w:sz w:val="22"/>
          <w:highlight w:val="none"/>
          <w:lang w:val="zh-CN"/>
        </w:rPr>
      </w:pPr>
      <w:r>
        <w:rPr>
          <w:rFonts w:hint="eastAsia" w:ascii="宋体" w:hAnsi="宋体" w:cs="宋体"/>
          <w:color w:val="auto"/>
          <w:sz w:val="22"/>
          <w:highlight w:val="none"/>
          <w:lang w:val="zh-CN"/>
        </w:rPr>
        <w:t>说明：如果行数不够，请自行增加。</w:t>
      </w:r>
    </w:p>
    <w:p w14:paraId="0C5D9418">
      <w:pPr>
        <w:snapToGrid w:val="0"/>
        <w:spacing w:line="360" w:lineRule="auto"/>
        <w:rPr>
          <w:rFonts w:ascii="宋体" w:hAnsi="宋体" w:cs="宋体"/>
          <w:b/>
          <w:color w:val="auto"/>
          <w:szCs w:val="21"/>
          <w:highlight w:val="none"/>
          <w:lang w:val="zh-CN"/>
        </w:rPr>
      </w:pPr>
    </w:p>
    <w:p w14:paraId="3AA6E58B">
      <w:pPr>
        <w:snapToGrid w:val="0"/>
        <w:spacing w:line="360" w:lineRule="auto"/>
        <w:rPr>
          <w:rFonts w:ascii="宋体" w:hAnsi="宋体" w:cs="宋体"/>
          <w:b/>
          <w:color w:val="auto"/>
          <w:szCs w:val="21"/>
          <w:highlight w:val="none"/>
          <w:lang w:val="zh-CN"/>
        </w:rPr>
      </w:pPr>
    </w:p>
    <w:p w14:paraId="148C591F">
      <w:pPr>
        <w:snapToGrid w:val="0"/>
        <w:spacing w:line="360" w:lineRule="auto"/>
        <w:rPr>
          <w:rFonts w:ascii="宋体" w:hAnsi="宋体" w:cs="宋体"/>
          <w:b/>
          <w:color w:val="auto"/>
          <w:szCs w:val="21"/>
          <w:highlight w:val="none"/>
          <w:lang w:val="zh-CN"/>
        </w:rPr>
      </w:pPr>
    </w:p>
    <w:p w14:paraId="42CC3131">
      <w:pPr>
        <w:snapToGri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目录六、技术条款偏离表格式</w:t>
      </w:r>
    </w:p>
    <w:p w14:paraId="01C2C514">
      <w:pPr>
        <w:adjustRightInd w:val="0"/>
        <w:spacing w:line="360" w:lineRule="auto"/>
        <w:ind w:left="420"/>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技术条款偏离表</w:t>
      </w:r>
    </w:p>
    <w:tbl>
      <w:tblPr>
        <w:tblStyle w:val="25"/>
        <w:tblW w:w="0" w:type="auto"/>
        <w:jc w:val="center"/>
        <w:tblLayout w:type="fixed"/>
        <w:tblCellMar>
          <w:top w:w="0" w:type="dxa"/>
          <w:left w:w="10" w:type="dxa"/>
          <w:bottom w:w="0" w:type="dxa"/>
          <w:right w:w="10" w:type="dxa"/>
        </w:tblCellMar>
      </w:tblPr>
      <w:tblGrid>
        <w:gridCol w:w="765"/>
        <w:gridCol w:w="1620"/>
        <w:gridCol w:w="2700"/>
        <w:gridCol w:w="943"/>
        <w:gridCol w:w="2297"/>
        <w:gridCol w:w="1110"/>
      </w:tblGrid>
      <w:tr w14:paraId="1FFBC826">
        <w:tblPrEx>
          <w:tblCellMar>
            <w:top w:w="0" w:type="dxa"/>
            <w:left w:w="10" w:type="dxa"/>
            <w:bottom w:w="0" w:type="dxa"/>
            <w:right w:w="10" w:type="dxa"/>
          </w:tblCellMar>
        </w:tblPrEx>
        <w:trPr>
          <w:trHeight w:val="284" w:hRule="atLeast"/>
          <w:jc w:val="center"/>
        </w:trPr>
        <w:tc>
          <w:tcPr>
            <w:tcW w:w="6028" w:type="dxa"/>
            <w:gridSpan w:val="4"/>
            <w:tcBorders>
              <w:top w:val="nil"/>
              <w:left w:val="nil"/>
              <w:bottom w:val="single" w:color="auto" w:sz="6" w:space="0"/>
              <w:right w:val="nil"/>
            </w:tcBorders>
            <w:vAlign w:val="center"/>
          </w:tcPr>
          <w:p w14:paraId="49164BB7">
            <w:pPr>
              <w:adjustRightInd w:val="0"/>
              <w:spacing w:line="360" w:lineRule="auto"/>
              <w:rPr>
                <w:rFonts w:ascii="宋体" w:hAnsi="宋体" w:cs="宋体"/>
                <w:color w:val="auto"/>
                <w:sz w:val="22"/>
                <w:highlight w:val="none"/>
                <w:lang w:val="zh-CN"/>
              </w:rPr>
            </w:pPr>
            <w:r>
              <w:rPr>
                <w:rFonts w:hint="eastAsia" w:ascii="宋体" w:hAnsi="宋体" w:cs="宋体"/>
                <w:color w:val="auto"/>
                <w:sz w:val="22"/>
                <w:highlight w:val="none"/>
                <w:lang w:val="zh-CN"/>
              </w:rPr>
              <w:t xml:space="preserve">  项目名称：</w:t>
            </w:r>
          </w:p>
        </w:tc>
        <w:tc>
          <w:tcPr>
            <w:tcW w:w="3407" w:type="dxa"/>
            <w:gridSpan w:val="2"/>
            <w:tcBorders>
              <w:top w:val="nil"/>
              <w:left w:val="nil"/>
              <w:bottom w:val="single" w:color="auto" w:sz="6" w:space="0"/>
              <w:right w:val="nil"/>
            </w:tcBorders>
            <w:vAlign w:val="center"/>
          </w:tcPr>
          <w:p w14:paraId="18A0C53E">
            <w:pPr>
              <w:adjustRightInd w:val="0"/>
              <w:spacing w:line="360" w:lineRule="auto"/>
              <w:rPr>
                <w:rFonts w:ascii="宋体" w:hAnsi="宋体" w:cs="宋体"/>
                <w:color w:val="auto"/>
                <w:sz w:val="22"/>
                <w:highlight w:val="none"/>
                <w:lang w:val="zh-CN"/>
              </w:rPr>
            </w:pPr>
            <w:r>
              <w:rPr>
                <w:rFonts w:hint="eastAsia" w:ascii="宋体" w:hAnsi="宋体" w:cs="宋体"/>
                <w:color w:val="auto"/>
                <w:sz w:val="22"/>
                <w:highlight w:val="none"/>
                <w:lang w:val="zh-CN"/>
              </w:rPr>
              <w:t>项目编号：</w:t>
            </w:r>
          </w:p>
        </w:tc>
      </w:tr>
      <w:tr w14:paraId="45F98DB1">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53C4DCD5">
            <w:pPr>
              <w:adjustRightInd w:val="0"/>
              <w:spacing w:line="360" w:lineRule="auto"/>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51F39FF">
            <w:pPr>
              <w:adjustRightInd w:val="0"/>
              <w:spacing w:line="360" w:lineRule="auto"/>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招标文件条目号</w:t>
            </w:r>
          </w:p>
        </w:tc>
        <w:tc>
          <w:tcPr>
            <w:tcW w:w="2700" w:type="dxa"/>
            <w:tcBorders>
              <w:top w:val="single" w:color="auto" w:sz="6" w:space="0"/>
              <w:left w:val="single" w:color="auto" w:sz="6" w:space="0"/>
              <w:bottom w:val="single" w:color="auto" w:sz="6" w:space="0"/>
              <w:right w:val="single" w:color="auto" w:sz="6" w:space="0"/>
            </w:tcBorders>
            <w:vAlign w:val="center"/>
          </w:tcPr>
          <w:p w14:paraId="4D64173D">
            <w:pPr>
              <w:adjustRightInd w:val="0"/>
              <w:spacing w:line="360" w:lineRule="auto"/>
              <w:jc w:val="center"/>
              <w:rPr>
                <w:rFonts w:ascii="宋体" w:hAnsi="宋体" w:cs="宋体"/>
                <w:color w:val="auto"/>
                <w:sz w:val="22"/>
                <w:highlight w:val="none"/>
                <w:lang w:val="zh-CN"/>
              </w:rPr>
            </w:pPr>
            <w:r>
              <w:rPr>
                <w:rFonts w:hint="eastAsia" w:ascii="宋体" w:hAnsi="宋体" w:cs="宋体"/>
                <w:color w:val="auto"/>
                <w:sz w:val="22"/>
                <w:highlight w:val="none"/>
                <w:lang w:val="zh-CN"/>
              </w:rPr>
              <w:t>招标要求规格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7350E92">
            <w:pPr>
              <w:adjustRightInd w:val="0"/>
              <w:spacing w:line="360" w:lineRule="auto"/>
              <w:jc w:val="center"/>
              <w:rPr>
                <w:rFonts w:ascii="宋体" w:hAnsi="宋体" w:cs="宋体"/>
                <w:color w:val="auto"/>
                <w:sz w:val="22"/>
                <w:highlight w:val="none"/>
                <w:lang w:val="zh-CN"/>
              </w:rPr>
            </w:pPr>
            <w:r>
              <w:rPr>
                <w:rFonts w:hint="eastAsia" w:ascii="宋体" w:hAnsi="宋体" w:cs="宋体"/>
                <w:color w:val="auto"/>
                <w:sz w:val="22"/>
                <w:highlight w:val="none"/>
                <w:lang w:val="zh-CN"/>
              </w:rPr>
              <w:t>投标响应</w:t>
            </w:r>
          </w:p>
        </w:tc>
        <w:tc>
          <w:tcPr>
            <w:tcW w:w="1110" w:type="dxa"/>
            <w:tcBorders>
              <w:top w:val="single" w:color="auto" w:sz="6" w:space="0"/>
              <w:left w:val="single" w:color="auto" w:sz="6" w:space="0"/>
              <w:bottom w:val="single" w:color="auto" w:sz="6" w:space="0"/>
              <w:right w:val="single" w:color="auto" w:sz="6" w:space="0"/>
            </w:tcBorders>
            <w:vAlign w:val="center"/>
          </w:tcPr>
          <w:p w14:paraId="43E07D66">
            <w:pPr>
              <w:adjustRightInd w:val="0"/>
              <w:spacing w:line="360" w:lineRule="auto"/>
              <w:jc w:val="center"/>
              <w:rPr>
                <w:rFonts w:ascii="宋体" w:hAnsi="宋体" w:cs="宋体"/>
                <w:color w:val="auto"/>
                <w:sz w:val="22"/>
                <w:highlight w:val="none"/>
                <w:lang w:val="zh-CN"/>
              </w:rPr>
            </w:pPr>
            <w:r>
              <w:rPr>
                <w:rFonts w:hint="eastAsia" w:ascii="宋体" w:hAnsi="宋体" w:cs="宋体"/>
                <w:color w:val="auto"/>
                <w:sz w:val="22"/>
                <w:highlight w:val="none"/>
                <w:lang w:val="zh-CN"/>
              </w:rPr>
              <w:t>偏离</w:t>
            </w:r>
          </w:p>
        </w:tc>
      </w:tr>
      <w:tr w14:paraId="70976DF3">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714F65DF">
            <w:pPr>
              <w:adjustRightInd w:val="0"/>
              <w:spacing w:line="360" w:lineRule="auto"/>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1CAAB268">
            <w:pPr>
              <w:adjustRightInd w:val="0"/>
              <w:spacing w:line="360" w:lineRule="auto"/>
              <w:jc w:val="center"/>
              <w:rPr>
                <w:rFonts w:ascii="宋体" w:hAnsi="宋体" w:cs="宋体"/>
                <w:color w:val="auto"/>
                <w:sz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05069FF5">
            <w:pPr>
              <w:adjustRightInd w:val="0"/>
              <w:spacing w:line="360" w:lineRule="auto"/>
              <w:jc w:val="center"/>
              <w:rPr>
                <w:rFonts w:ascii="宋体" w:hAnsi="宋体" w:cs="宋体"/>
                <w:color w:val="auto"/>
                <w:sz w:val="22"/>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52EE78DC">
            <w:pPr>
              <w:adjustRightInd w:val="0"/>
              <w:spacing w:line="360" w:lineRule="auto"/>
              <w:jc w:val="center"/>
              <w:rPr>
                <w:rFonts w:ascii="宋体" w:hAnsi="宋体" w:cs="宋体"/>
                <w:color w:val="auto"/>
                <w:sz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3ECE19C4">
            <w:pPr>
              <w:adjustRightInd w:val="0"/>
              <w:spacing w:line="360" w:lineRule="auto"/>
              <w:jc w:val="center"/>
              <w:rPr>
                <w:rFonts w:ascii="宋体" w:hAnsi="宋体" w:cs="宋体"/>
                <w:color w:val="auto"/>
                <w:sz w:val="22"/>
                <w:highlight w:val="none"/>
                <w:lang w:val="zh-CN"/>
              </w:rPr>
            </w:pPr>
          </w:p>
        </w:tc>
      </w:tr>
      <w:tr w14:paraId="0936CFCF">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73E11870">
            <w:pPr>
              <w:adjustRightInd w:val="0"/>
              <w:spacing w:line="360" w:lineRule="auto"/>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1526D28C">
            <w:pPr>
              <w:adjustRightInd w:val="0"/>
              <w:spacing w:line="360" w:lineRule="auto"/>
              <w:jc w:val="center"/>
              <w:rPr>
                <w:rFonts w:ascii="宋体" w:hAnsi="宋体" w:cs="宋体"/>
                <w:color w:val="auto"/>
                <w:sz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240FC7C5">
            <w:pPr>
              <w:adjustRightInd w:val="0"/>
              <w:spacing w:line="360" w:lineRule="auto"/>
              <w:jc w:val="center"/>
              <w:rPr>
                <w:rFonts w:ascii="宋体" w:hAnsi="宋体" w:cs="宋体"/>
                <w:color w:val="auto"/>
                <w:sz w:val="22"/>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A3E018E">
            <w:pPr>
              <w:adjustRightInd w:val="0"/>
              <w:spacing w:line="360" w:lineRule="auto"/>
              <w:jc w:val="center"/>
              <w:rPr>
                <w:rFonts w:ascii="宋体" w:hAnsi="宋体" w:cs="宋体"/>
                <w:color w:val="auto"/>
                <w:sz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3C474061">
            <w:pPr>
              <w:adjustRightInd w:val="0"/>
              <w:spacing w:line="360" w:lineRule="auto"/>
              <w:jc w:val="center"/>
              <w:rPr>
                <w:rFonts w:ascii="宋体" w:hAnsi="宋体" w:cs="宋体"/>
                <w:color w:val="auto"/>
                <w:sz w:val="22"/>
                <w:highlight w:val="none"/>
                <w:lang w:val="zh-CN"/>
              </w:rPr>
            </w:pPr>
          </w:p>
        </w:tc>
      </w:tr>
      <w:tr w14:paraId="1A9C9BA0">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025E2753">
            <w:pPr>
              <w:adjustRightInd w:val="0"/>
              <w:spacing w:line="360" w:lineRule="auto"/>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60BBCC97">
            <w:pPr>
              <w:adjustRightInd w:val="0"/>
              <w:spacing w:line="360" w:lineRule="auto"/>
              <w:jc w:val="center"/>
              <w:rPr>
                <w:rFonts w:ascii="宋体" w:hAnsi="宋体" w:cs="宋体"/>
                <w:color w:val="auto"/>
                <w:sz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5F691695">
            <w:pPr>
              <w:adjustRightInd w:val="0"/>
              <w:spacing w:line="360" w:lineRule="auto"/>
              <w:jc w:val="center"/>
              <w:rPr>
                <w:rFonts w:ascii="宋体" w:hAnsi="宋体" w:cs="宋体"/>
                <w:color w:val="auto"/>
                <w:sz w:val="22"/>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21CA422">
            <w:pPr>
              <w:adjustRightInd w:val="0"/>
              <w:spacing w:line="360" w:lineRule="auto"/>
              <w:jc w:val="center"/>
              <w:rPr>
                <w:rFonts w:ascii="宋体" w:hAnsi="宋体" w:cs="宋体"/>
                <w:color w:val="auto"/>
                <w:sz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723DD781">
            <w:pPr>
              <w:adjustRightInd w:val="0"/>
              <w:spacing w:line="360" w:lineRule="auto"/>
              <w:jc w:val="center"/>
              <w:rPr>
                <w:rFonts w:ascii="宋体" w:hAnsi="宋体" w:cs="宋体"/>
                <w:color w:val="auto"/>
                <w:sz w:val="22"/>
                <w:highlight w:val="none"/>
                <w:lang w:val="zh-CN"/>
              </w:rPr>
            </w:pPr>
          </w:p>
        </w:tc>
      </w:tr>
      <w:tr w14:paraId="04DFE3C1">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4F23F3E1">
            <w:pPr>
              <w:adjustRightInd w:val="0"/>
              <w:spacing w:line="360" w:lineRule="auto"/>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7C1CEF7C">
            <w:pPr>
              <w:adjustRightInd w:val="0"/>
              <w:spacing w:line="360" w:lineRule="auto"/>
              <w:jc w:val="center"/>
              <w:rPr>
                <w:rFonts w:ascii="宋体" w:hAnsi="宋体" w:cs="宋体"/>
                <w:color w:val="auto"/>
                <w:sz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07049879">
            <w:pPr>
              <w:adjustRightInd w:val="0"/>
              <w:spacing w:line="360" w:lineRule="auto"/>
              <w:jc w:val="center"/>
              <w:rPr>
                <w:rFonts w:ascii="宋体" w:hAnsi="宋体" w:cs="宋体"/>
                <w:color w:val="auto"/>
                <w:sz w:val="22"/>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F77DD46">
            <w:pPr>
              <w:adjustRightInd w:val="0"/>
              <w:spacing w:line="360" w:lineRule="auto"/>
              <w:jc w:val="center"/>
              <w:rPr>
                <w:rFonts w:ascii="宋体" w:hAnsi="宋体" w:cs="宋体"/>
                <w:color w:val="auto"/>
                <w:sz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21219A46">
            <w:pPr>
              <w:adjustRightInd w:val="0"/>
              <w:spacing w:line="360" w:lineRule="auto"/>
              <w:jc w:val="center"/>
              <w:rPr>
                <w:rFonts w:ascii="宋体" w:hAnsi="宋体" w:cs="宋体"/>
                <w:color w:val="auto"/>
                <w:sz w:val="22"/>
                <w:highlight w:val="none"/>
                <w:lang w:val="zh-CN"/>
              </w:rPr>
            </w:pPr>
          </w:p>
        </w:tc>
      </w:tr>
      <w:tr w14:paraId="49CD17A3">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73FCC9C2">
            <w:pPr>
              <w:adjustRightInd w:val="0"/>
              <w:spacing w:line="360" w:lineRule="auto"/>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774A30DF">
            <w:pPr>
              <w:adjustRightInd w:val="0"/>
              <w:spacing w:line="360" w:lineRule="auto"/>
              <w:jc w:val="center"/>
              <w:rPr>
                <w:rFonts w:ascii="宋体" w:hAnsi="宋体" w:cs="宋体"/>
                <w:color w:val="auto"/>
                <w:sz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168874E1">
            <w:pPr>
              <w:adjustRightInd w:val="0"/>
              <w:spacing w:line="360" w:lineRule="auto"/>
              <w:jc w:val="center"/>
              <w:rPr>
                <w:rFonts w:ascii="宋体" w:hAnsi="宋体" w:cs="宋体"/>
                <w:color w:val="auto"/>
                <w:sz w:val="22"/>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5C49C16">
            <w:pPr>
              <w:adjustRightInd w:val="0"/>
              <w:spacing w:line="360" w:lineRule="auto"/>
              <w:jc w:val="center"/>
              <w:rPr>
                <w:rFonts w:ascii="宋体" w:hAnsi="宋体" w:cs="宋体"/>
                <w:color w:val="auto"/>
                <w:sz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68E3754B">
            <w:pPr>
              <w:adjustRightInd w:val="0"/>
              <w:spacing w:line="360" w:lineRule="auto"/>
              <w:jc w:val="center"/>
              <w:rPr>
                <w:rFonts w:ascii="宋体" w:hAnsi="宋体" w:cs="宋体"/>
                <w:color w:val="auto"/>
                <w:sz w:val="22"/>
                <w:highlight w:val="none"/>
                <w:lang w:val="zh-CN"/>
              </w:rPr>
            </w:pPr>
          </w:p>
        </w:tc>
      </w:tr>
      <w:tr w14:paraId="493D6328">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35A55021">
            <w:pPr>
              <w:adjustRightInd w:val="0"/>
              <w:spacing w:line="360" w:lineRule="auto"/>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6B43FBF1">
            <w:pPr>
              <w:adjustRightInd w:val="0"/>
              <w:spacing w:line="360" w:lineRule="auto"/>
              <w:jc w:val="center"/>
              <w:rPr>
                <w:rFonts w:ascii="宋体" w:hAnsi="宋体" w:cs="宋体"/>
                <w:color w:val="auto"/>
                <w:sz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6B48232E">
            <w:pPr>
              <w:adjustRightInd w:val="0"/>
              <w:spacing w:line="360" w:lineRule="auto"/>
              <w:jc w:val="center"/>
              <w:rPr>
                <w:rFonts w:ascii="宋体" w:hAnsi="宋体" w:cs="宋体"/>
                <w:color w:val="auto"/>
                <w:sz w:val="22"/>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07B88E4D">
            <w:pPr>
              <w:adjustRightInd w:val="0"/>
              <w:spacing w:line="360" w:lineRule="auto"/>
              <w:jc w:val="center"/>
              <w:rPr>
                <w:rFonts w:ascii="宋体" w:hAnsi="宋体" w:cs="宋体"/>
                <w:color w:val="auto"/>
                <w:sz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764C5B4D">
            <w:pPr>
              <w:adjustRightInd w:val="0"/>
              <w:spacing w:line="360" w:lineRule="auto"/>
              <w:jc w:val="center"/>
              <w:rPr>
                <w:rFonts w:ascii="宋体" w:hAnsi="宋体" w:cs="宋体"/>
                <w:color w:val="auto"/>
                <w:sz w:val="22"/>
                <w:highlight w:val="none"/>
                <w:lang w:val="zh-CN"/>
              </w:rPr>
            </w:pPr>
          </w:p>
        </w:tc>
      </w:tr>
    </w:tbl>
    <w:p w14:paraId="5E92AFBC">
      <w:pPr>
        <w:adjustRightInd w:val="0"/>
        <w:spacing w:line="360" w:lineRule="auto"/>
        <w:ind w:firstLine="220" w:firstLineChars="100"/>
        <w:rPr>
          <w:rFonts w:ascii="宋体" w:hAnsi="宋体" w:cs="宋体"/>
          <w:color w:val="auto"/>
          <w:sz w:val="22"/>
          <w:highlight w:val="none"/>
          <w:lang w:val="zh-CN"/>
        </w:rPr>
      </w:pPr>
      <w:r>
        <w:rPr>
          <w:rFonts w:hint="eastAsia" w:ascii="宋体" w:hAnsi="宋体" w:cs="宋体"/>
          <w:color w:val="auto"/>
          <w:sz w:val="22"/>
          <w:highlight w:val="none"/>
          <w:lang w:val="zh-CN"/>
        </w:rPr>
        <w:t>供应商名称：</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（盖章）</w:t>
      </w:r>
    </w:p>
    <w:p w14:paraId="6DAEC063">
      <w:pPr>
        <w:adjustRightInd w:val="0"/>
        <w:spacing w:line="360" w:lineRule="auto"/>
        <w:ind w:firstLine="220" w:firstLineChars="100"/>
        <w:rPr>
          <w:rFonts w:ascii="宋体" w:hAnsi="宋体" w:cs="宋体"/>
          <w:color w:val="auto"/>
          <w:sz w:val="22"/>
          <w:highlight w:val="none"/>
          <w:lang w:val="zh-CN"/>
        </w:rPr>
      </w:pPr>
      <w:r>
        <w:rPr>
          <w:rFonts w:hint="eastAsia" w:ascii="宋体" w:hAnsi="宋体" w:cs="宋体"/>
          <w:color w:val="auto"/>
          <w:sz w:val="22"/>
          <w:highlight w:val="none"/>
          <w:lang w:val="zh-CN"/>
        </w:rPr>
        <w:t>说明：</w:t>
      </w:r>
    </w:p>
    <w:p w14:paraId="7B7F4E60">
      <w:pPr>
        <w:adjustRightInd w:val="0"/>
        <w:spacing w:line="360" w:lineRule="auto"/>
        <w:ind w:firstLine="433" w:firstLineChars="196"/>
        <w:rPr>
          <w:rFonts w:ascii="宋体" w:hAnsi="宋体" w:cs="宋体"/>
          <w:b/>
          <w:color w:val="auto"/>
          <w:sz w:val="22"/>
          <w:highlight w:val="none"/>
          <w:lang w:val="zh-CN"/>
        </w:rPr>
      </w:pPr>
      <w:r>
        <w:rPr>
          <w:rFonts w:hint="eastAsia" w:ascii="宋体" w:hAnsi="宋体" w:cs="宋体"/>
          <w:b/>
          <w:color w:val="auto"/>
          <w:sz w:val="22"/>
          <w:highlight w:val="none"/>
          <w:lang w:val="zh-CN"/>
        </w:rPr>
        <w:t>1、</w:t>
      </w:r>
      <w:r>
        <w:rPr>
          <w:rFonts w:hint="eastAsia" w:ascii="宋体" w:hAnsi="宋体" w:cs="宋体"/>
          <w:b/>
          <w:color w:val="auto"/>
          <w:sz w:val="22"/>
          <w:highlight w:val="none"/>
        </w:rPr>
        <w:t>供应商</w:t>
      </w:r>
      <w:r>
        <w:rPr>
          <w:rFonts w:hint="eastAsia" w:ascii="宋体" w:hAnsi="宋体" w:cs="宋体"/>
          <w:b/>
          <w:color w:val="auto"/>
          <w:sz w:val="22"/>
          <w:highlight w:val="none"/>
          <w:lang w:val="zh-CN"/>
        </w:rPr>
        <w:t>应逐一说明投标服务技术参数和偏离情况，如直接拷贝</w:t>
      </w:r>
      <w:r>
        <w:rPr>
          <w:rFonts w:hint="eastAsia" w:ascii="宋体" w:hAnsi="宋体" w:cs="宋体"/>
          <w:b/>
          <w:color w:val="auto"/>
          <w:sz w:val="22"/>
          <w:highlight w:val="none"/>
        </w:rPr>
        <w:t>招标</w:t>
      </w:r>
      <w:r>
        <w:rPr>
          <w:rFonts w:hint="eastAsia" w:ascii="宋体" w:hAnsi="宋体" w:cs="宋体"/>
          <w:b/>
          <w:color w:val="auto"/>
          <w:sz w:val="22"/>
          <w:highlight w:val="none"/>
          <w:lang w:val="zh-CN"/>
        </w:rPr>
        <w:t>文件技术要求的按照无效投标处理；</w:t>
      </w:r>
    </w:p>
    <w:p w14:paraId="72B29332">
      <w:pPr>
        <w:adjustRightInd w:val="0"/>
        <w:spacing w:line="360" w:lineRule="auto"/>
        <w:ind w:firstLine="330" w:firstLineChars="150"/>
        <w:rPr>
          <w:rFonts w:ascii="宋体" w:hAnsi="宋体" w:cs="宋体"/>
          <w:color w:val="auto"/>
          <w:sz w:val="22"/>
          <w:highlight w:val="none"/>
          <w:lang w:val="zh-CN"/>
        </w:rPr>
      </w:pPr>
      <w:r>
        <w:rPr>
          <w:rFonts w:hint="eastAsia" w:ascii="宋体" w:hAnsi="宋体" w:cs="宋体"/>
          <w:color w:val="auto"/>
          <w:sz w:val="22"/>
          <w:highlight w:val="none"/>
          <w:lang w:val="zh-CN"/>
        </w:rPr>
        <w:t>2、如果行数不够，请自行增加。</w:t>
      </w:r>
    </w:p>
    <w:p w14:paraId="25760AB9">
      <w:pPr>
        <w:adjustRightInd w:val="0"/>
        <w:spacing w:line="360" w:lineRule="auto"/>
        <w:rPr>
          <w:rFonts w:ascii="宋体" w:hAnsi="宋体" w:cs="宋体"/>
          <w:color w:val="auto"/>
          <w:sz w:val="22"/>
          <w:highlight w:val="none"/>
          <w:lang w:val="zh-CN"/>
        </w:rPr>
      </w:pPr>
    </w:p>
    <w:p w14:paraId="07FDE09D">
      <w:pPr>
        <w:adjustRightInd w:val="0"/>
        <w:spacing w:line="360" w:lineRule="auto"/>
        <w:rPr>
          <w:rFonts w:ascii="宋体" w:hAnsi="宋体" w:cs="宋体"/>
          <w:color w:val="auto"/>
          <w:sz w:val="22"/>
          <w:highlight w:val="none"/>
          <w:lang w:val="zh-CN"/>
        </w:rPr>
      </w:pPr>
    </w:p>
    <w:p w14:paraId="3A182808">
      <w:pPr>
        <w:adjustRightInd w:val="0"/>
        <w:spacing w:line="360" w:lineRule="auto"/>
        <w:rPr>
          <w:rFonts w:ascii="宋体" w:hAnsi="宋体" w:cs="宋体"/>
          <w:b/>
          <w:color w:val="auto"/>
          <w:sz w:val="22"/>
          <w:highlight w:val="none"/>
          <w:lang w:val="zh-CN"/>
        </w:rPr>
      </w:pPr>
    </w:p>
    <w:p w14:paraId="015B8CF0">
      <w:pPr>
        <w:autoSpaceDE w:val="0"/>
        <w:autoSpaceDN w:val="0"/>
        <w:adjustRightInd w:val="0"/>
        <w:spacing w:line="360" w:lineRule="auto"/>
        <w:rPr>
          <w:rFonts w:ascii="宋体" w:hAnsi="宋体"/>
          <w:color w:val="auto"/>
          <w:szCs w:val="21"/>
          <w:highlight w:val="none"/>
          <w:lang w:val="zh-CN"/>
        </w:rPr>
      </w:pPr>
      <w:r>
        <w:rPr>
          <w:rFonts w:hint="eastAsia" w:ascii="宋体" w:hAnsi="宋体" w:cs="宋体"/>
          <w:b/>
          <w:color w:val="auto"/>
          <w:szCs w:val="21"/>
          <w:highlight w:val="none"/>
          <w:lang w:val="zh-CN"/>
        </w:rPr>
        <w:t>目录七、</w:t>
      </w:r>
      <w:r>
        <w:rPr>
          <w:rFonts w:hint="eastAsia" w:ascii="宋体" w:hAnsi="宋体" w:cs="宋体"/>
          <w:b/>
          <w:color w:val="auto"/>
          <w:szCs w:val="21"/>
          <w:highlight w:val="none"/>
        </w:rPr>
        <w:t>服务</w:t>
      </w:r>
      <w:r>
        <w:rPr>
          <w:rFonts w:ascii="宋体" w:hAnsi="宋体" w:cs="宋体"/>
          <w:b/>
          <w:color w:val="auto"/>
          <w:szCs w:val="21"/>
          <w:highlight w:val="none"/>
          <w:lang w:val="zh-CN"/>
        </w:rPr>
        <w:t>方案</w:t>
      </w:r>
    </w:p>
    <w:p w14:paraId="687D6310">
      <w:pPr>
        <w:adjustRightInd w:val="0"/>
        <w:spacing w:line="360" w:lineRule="auto"/>
        <w:rPr>
          <w:rFonts w:ascii="宋体" w:hAnsi="宋体" w:cs="宋体"/>
          <w:b/>
          <w:color w:val="auto"/>
          <w:sz w:val="32"/>
          <w:szCs w:val="32"/>
          <w:highlight w:val="none"/>
          <w:lang w:val="zh-CN"/>
        </w:rPr>
      </w:pPr>
      <w:r>
        <w:rPr>
          <w:rFonts w:hint="eastAsia" w:ascii="宋体" w:hAnsi="宋体" w:cs="宋体"/>
          <w:b/>
          <w:color w:val="auto"/>
          <w:szCs w:val="21"/>
          <w:highlight w:val="none"/>
          <w:lang w:val="zh-CN"/>
        </w:rPr>
        <w:t>（格式自拟）</w:t>
      </w:r>
    </w:p>
    <w:p w14:paraId="51F1D069">
      <w:pPr>
        <w:adjustRightInd w:val="0"/>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rPr>
        <w:t>服务</w:t>
      </w:r>
      <w:r>
        <w:rPr>
          <w:rFonts w:hint="eastAsia" w:ascii="宋体" w:hAnsi="宋体" w:cs="宋体"/>
          <w:b/>
          <w:bCs/>
          <w:color w:val="auto"/>
          <w:sz w:val="36"/>
          <w:szCs w:val="36"/>
          <w:highlight w:val="none"/>
          <w:lang w:val="zh-CN"/>
        </w:rPr>
        <w:t>方案</w:t>
      </w:r>
    </w:p>
    <w:p w14:paraId="1CF08DB1">
      <w:pPr>
        <w:adjustRightInd w:val="0"/>
        <w:spacing w:line="360" w:lineRule="auto"/>
        <w:jc w:val="center"/>
        <w:rPr>
          <w:rFonts w:ascii="宋体" w:hAnsi="宋体" w:cs="宋体"/>
          <w:b/>
          <w:color w:val="auto"/>
          <w:highlight w:val="none"/>
          <w:lang w:val="zh-CN"/>
        </w:rPr>
      </w:pPr>
      <w:r>
        <w:rPr>
          <w:rFonts w:hint="eastAsia" w:ascii="宋体" w:hAnsi="宋体" w:cs="宋体"/>
          <w:b/>
          <w:color w:val="auto"/>
          <w:highlight w:val="none"/>
          <w:lang w:val="zh-CN"/>
        </w:rPr>
        <w:t>（</w:t>
      </w:r>
      <w:r>
        <w:rPr>
          <w:rFonts w:hint="eastAsia" w:ascii="宋体" w:hAnsi="宋体" w:cs="宋体"/>
          <w:b/>
          <w:bCs/>
          <w:color w:val="auto"/>
          <w:szCs w:val="21"/>
          <w:highlight w:val="none"/>
        </w:rPr>
        <w:t>供应商根据招标文件要求自行填写</w:t>
      </w:r>
      <w:r>
        <w:rPr>
          <w:rFonts w:hint="eastAsia" w:ascii="宋体" w:hAnsi="宋体" w:cs="宋体"/>
          <w:b/>
          <w:color w:val="auto"/>
          <w:highlight w:val="none"/>
          <w:lang w:val="zh-CN"/>
        </w:rPr>
        <w:t>）</w:t>
      </w:r>
    </w:p>
    <w:p w14:paraId="4740EEDD">
      <w:pPr>
        <w:adjustRightInd w:val="0"/>
        <w:spacing w:line="360" w:lineRule="auto"/>
        <w:rPr>
          <w:rFonts w:ascii="宋体" w:hAnsi="宋体" w:cs="宋体"/>
          <w:b/>
          <w:color w:val="auto"/>
          <w:szCs w:val="21"/>
          <w:highlight w:val="none"/>
          <w:lang w:val="zh-CN"/>
        </w:rPr>
      </w:pPr>
    </w:p>
    <w:p w14:paraId="6DEBB22B">
      <w:pPr>
        <w:adjustRightInd w:val="0"/>
        <w:spacing w:line="360" w:lineRule="auto"/>
        <w:rPr>
          <w:rFonts w:ascii="宋体" w:hAnsi="宋体" w:cs="宋体"/>
          <w:b/>
          <w:color w:val="auto"/>
          <w:highlight w:val="none"/>
        </w:rPr>
      </w:pPr>
    </w:p>
    <w:p w14:paraId="64FA83CE">
      <w:pPr>
        <w:adjustRightInd w:val="0"/>
        <w:spacing w:line="360" w:lineRule="auto"/>
        <w:rPr>
          <w:rFonts w:ascii="宋体" w:hAnsi="宋体" w:cs="宋体"/>
          <w:b/>
          <w:color w:val="auto"/>
          <w:highlight w:val="none"/>
        </w:rPr>
      </w:pPr>
    </w:p>
    <w:p w14:paraId="0496CFB1">
      <w:pPr>
        <w:adjustRightInd w:val="0"/>
        <w:spacing w:line="360" w:lineRule="auto"/>
        <w:rPr>
          <w:rFonts w:ascii="宋体" w:hAnsi="宋体" w:cs="宋体"/>
          <w:b/>
          <w:color w:val="auto"/>
          <w:highlight w:val="none"/>
        </w:rPr>
      </w:pPr>
    </w:p>
    <w:p w14:paraId="5498BA3C">
      <w:pPr>
        <w:adjustRightInd w:val="0"/>
        <w:spacing w:line="360" w:lineRule="auto"/>
        <w:rPr>
          <w:rFonts w:ascii="宋体" w:hAnsi="宋体" w:cs="宋体"/>
          <w:b/>
          <w:color w:val="auto"/>
          <w:highlight w:val="none"/>
        </w:rPr>
      </w:pPr>
      <w:r>
        <w:rPr>
          <w:rFonts w:hint="eastAsia" w:ascii="宋体" w:hAnsi="宋体" w:cs="宋体"/>
          <w:b/>
          <w:color w:val="auto"/>
          <w:highlight w:val="none"/>
        </w:rPr>
        <w:t>目录八、人员配置表（格式自拟）</w:t>
      </w:r>
    </w:p>
    <w:p w14:paraId="3B2B1E6D">
      <w:pPr>
        <w:adjustRightInd w:val="0"/>
        <w:spacing w:line="360" w:lineRule="auto"/>
        <w:rPr>
          <w:rFonts w:ascii="宋体" w:hAnsi="宋体" w:cs="宋体"/>
          <w:b/>
          <w:color w:val="auto"/>
          <w:highlight w:val="none"/>
        </w:rPr>
      </w:pPr>
      <w:r>
        <w:rPr>
          <w:rFonts w:hint="eastAsia" w:ascii="宋体" w:hAnsi="宋体" w:cs="宋体"/>
          <w:b/>
          <w:color w:val="auto"/>
          <w:highlight w:val="none"/>
        </w:rPr>
        <w:t>供应商认为需要提供的其他证明文件及材料（若有）</w:t>
      </w:r>
    </w:p>
    <w:p w14:paraId="3401D5AB">
      <w:pPr>
        <w:spacing w:line="360" w:lineRule="auto"/>
        <w:rPr>
          <w:rFonts w:ascii="宋体" w:hAnsi="宋体" w:cs="宋体"/>
          <w:color w:val="auto"/>
          <w:sz w:val="36"/>
          <w:szCs w:val="36"/>
          <w:highlight w:val="none"/>
        </w:rPr>
      </w:pPr>
    </w:p>
    <w:p w14:paraId="3AAFACAD">
      <w:pPr>
        <w:spacing w:line="360" w:lineRule="auto"/>
        <w:rPr>
          <w:rFonts w:ascii="宋体" w:hAnsi="宋体" w:cs="宋体"/>
          <w:b/>
          <w:color w:val="auto"/>
          <w:highlight w:val="none"/>
        </w:rPr>
      </w:pPr>
    </w:p>
    <w:p w14:paraId="1B423815">
      <w:pPr>
        <w:spacing w:line="360" w:lineRule="auto"/>
        <w:jc w:val="center"/>
        <w:rPr>
          <w:rFonts w:ascii="宋体" w:hAnsi="宋体" w:cs="宋体"/>
          <w:b/>
          <w:bCs/>
          <w:color w:val="auto"/>
          <w:sz w:val="36"/>
          <w:szCs w:val="36"/>
          <w:highlight w:val="none"/>
          <w:lang w:val="zh-CN"/>
        </w:rPr>
      </w:pPr>
    </w:p>
    <w:p w14:paraId="6103E38B">
      <w:pPr>
        <w:rPr>
          <w:rFonts w:ascii="宋体" w:hAnsi="宋体" w:cs="宋体"/>
          <w:b/>
          <w:bCs/>
          <w:color w:val="auto"/>
          <w:sz w:val="36"/>
          <w:szCs w:val="36"/>
          <w:highlight w:val="none"/>
          <w:lang w:val="zh-CN"/>
        </w:rPr>
      </w:pPr>
      <w:r>
        <w:rPr>
          <w:rFonts w:ascii="宋体" w:hAnsi="宋体" w:cs="宋体"/>
          <w:b/>
          <w:bCs/>
          <w:color w:val="auto"/>
          <w:sz w:val="36"/>
          <w:szCs w:val="36"/>
          <w:highlight w:val="none"/>
          <w:lang w:val="zh-CN"/>
        </w:rPr>
        <w:br w:type="page"/>
      </w:r>
    </w:p>
    <w:p w14:paraId="43DF1B1E">
      <w:pPr>
        <w:spacing w:line="360" w:lineRule="auto"/>
        <w:jc w:val="center"/>
        <w:rPr>
          <w:rFonts w:ascii="宋体" w:hAnsi="宋体" w:cs="宋体"/>
          <w:b/>
          <w:color w:val="auto"/>
          <w:highlight w:val="none"/>
        </w:rPr>
      </w:pPr>
      <w:r>
        <w:rPr>
          <w:rFonts w:hint="eastAsia" w:ascii="宋体" w:hAnsi="宋体" w:cs="宋体"/>
          <w:b/>
          <w:bCs/>
          <w:color w:val="auto"/>
          <w:sz w:val="36"/>
          <w:szCs w:val="36"/>
          <w:highlight w:val="none"/>
          <w:lang w:val="zh-CN"/>
        </w:rPr>
        <w:t xml:space="preserve">第七章 </w:t>
      </w:r>
      <w:r>
        <w:rPr>
          <w:rFonts w:hint="eastAsia" w:ascii="宋体" w:hAnsi="宋体" w:cs="宋体"/>
          <w:b/>
          <w:bCs/>
          <w:color w:val="auto"/>
          <w:sz w:val="36"/>
          <w:szCs w:val="36"/>
          <w:highlight w:val="none"/>
        </w:rPr>
        <w:t xml:space="preserve"> 附件</w:t>
      </w:r>
    </w:p>
    <w:p w14:paraId="60A85BAE">
      <w:pPr>
        <w:spacing w:line="360" w:lineRule="auto"/>
        <w:rPr>
          <w:rFonts w:ascii="宋体" w:hAnsi="宋体" w:cs="宋体"/>
          <w:b/>
          <w:color w:val="auto"/>
          <w:highlight w:val="none"/>
        </w:rPr>
      </w:pPr>
      <w:r>
        <w:rPr>
          <w:rFonts w:hint="eastAsia" w:ascii="宋体" w:hAnsi="宋体" w:cs="宋体"/>
          <w:b/>
          <w:color w:val="auto"/>
          <w:highlight w:val="none"/>
        </w:rPr>
        <w:t>附件一、中小企业声明函格式</w:t>
      </w:r>
    </w:p>
    <w:p w14:paraId="73BECFEE">
      <w:pPr>
        <w:spacing w:line="360" w:lineRule="auto"/>
        <w:jc w:val="center"/>
        <w:rPr>
          <w:rFonts w:ascii="宋体" w:hAnsi="宋体" w:cs="宋体"/>
          <w:color w:val="auto"/>
          <w:sz w:val="36"/>
          <w:szCs w:val="36"/>
          <w:highlight w:val="none"/>
        </w:rPr>
      </w:pPr>
      <w:r>
        <w:rPr>
          <w:rFonts w:hint="eastAsia" w:ascii="宋体" w:hAnsi="宋体" w:cs="宋体"/>
          <w:b/>
          <w:bCs/>
          <w:color w:val="auto"/>
          <w:sz w:val="36"/>
          <w:szCs w:val="36"/>
          <w:highlight w:val="none"/>
        </w:rPr>
        <w:t>中小企业声明函</w:t>
      </w:r>
    </w:p>
    <w:p w14:paraId="4280EF5D">
      <w:pPr>
        <w:spacing w:line="360" w:lineRule="auto"/>
        <w:ind w:firstLine="420"/>
        <w:rPr>
          <w:rFonts w:ascii="宋体" w:hAnsi="宋体" w:cs="宋体"/>
          <w:color w:val="auto"/>
          <w:sz w:val="22"/>
          <w:highlight w:val="none"/>
        </w:rPr>
      </w:pPr>
      <w:r>
        <w:rPr>
          <w:rFonts w:hint="eastAsia" w:ascii="宋体" w:hAnsi="宋体" w:cs="宋体"/>
          <w:color w:val="auto"/>
          <w:sz w:val="22"/>
          <w:highlight w:val="none"/>
        </w:rPr>
        <w:t>本公司（联合体）郑重声明：</w:t>
      </w:r>
    </w:p>
    <w:p w14:paraId="2016A503">
      <w:pPr>
        <w:spacing w:line="360" w:lineRule="auto"/>
        <w:ind w:firstLine="880" w:firstLineChars="400"/>
        <w:rPr>
          <w:rFonts w:ascii="宋体" w:hAnsi="宋体" w:cs="宋体"/>
          <w:color w:val="auto"/>
          <w:sz w:val="22"/>
          <w:highlight w:val="none"/>
        </w:rPr>
      </w:pPr>
      <w:r>
        <w:rPr>
          <w:rFonts w:hint="eastAsia" w:ascii="宋体" w:hAnsi="宋体" w:cs="宋体"/>
          <w:color w:val="auto"/>
          <w:sz w:val="22"/>
          <w:highlight w:val="none"/>
        </w:rPr>
        <w:t xml:space="preserve">根据《政府采购促进中小企业发展管理办法》（财库【2020】46 号）的规定，本公司（联合体）参加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（采购人单位名称）的</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（项目名称）采购活动，提供的货物全部由符合政策要求的中小企业制造。相关企业（含联合体中的中小企业、签订分包意向协议的中小企业）的具体情况如下： </w:t>
      </w:r>
    </w:p>
    <w:p w14:paraId="142484C0">
      <w:pPr>
        <w:widowControl w:val="0"/>
        <w:numPr>
          <w:ilvl w:val="0"/>
          <w:numId w:val="4"/>
        </w:numPr>
        <w:spacing w:line="360" w:lineRule="auto"/>
        <w:ind w:firstLine="840"/>
        <w:jc w:val="both"/>
        <w:rPr>
          <w:rFonts w:ascii="宋体" w:hAnsi="宋体" w:cs="宋体"/>
          <w:color w:val="auto"/>
          <w:sz w:val="22"/>
          <w:highlight w:val="non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（标的名称），属于（采购文件中明确的所属行业）；制造商为</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（企业名称），从业人员</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万元，属于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（中型企业、小型企业、微型企业）； </w:t>
      </w:r>
    </w:p>
    <w:p w14:paraId="0AF88CD7">
      <w:pPr>
        <w:widowControl w:val="0"/>
        <w:numPr>
          <w:ilvl w:val="0"/>
          <w:numId w:val="4"/>
        </w:numPr>
        <w:spacing w:line="360" w:lineRule="auto"/>
        <w:ind w:firstLine="840"/>
        <w:jc w:val="both"/>
        <w:rPr>
          <w:rFonts w:ascii="宋体" w:hAnsi="宋体" w:cs="宋体"/>
          <w:color w:val="auto"/>
          <w:sz w:val="22"/>
          <w:highlight w:val="non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（标的名称），属于（采购文件中明确的所属行业）；制造商为</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（企业名称），从业人员</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万元，属于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（中型企业、小型企业、微型企 业）； </w:t>
      </w:r>
    </w:p>
    <w:p w14:paraId="663A6194">
      <w:pPr>
        <w:spacing w:line="360" w:lineRule="auto"/>
        <w:ind w:left="630"/>
        <w:rPr>
          <w:rFonts w:ascii="宋体" w:hAnsi="宋体" w:cs="宋体"/>
          <w:color w:val="auto"/>
          <w:sz w:val="22"/>
          <w:highlight w:val="none"/>
        </w:rPr>
      </w:pPr>
      <w:r>
        <w:rPr>
          <w:rFonts w:hint="eastAsia" w:ascii="宋体" w:hAnsi="宋体" w:cs="宋体"/>
          <w:color w:val="auto"/>
          <w:sz w:val="22"/>
          <w:highlight w:val="none"/>
        </w:rPr>
        <w:t xml:space="preserve">。。。。。。 </w:t>
      </w:r>
    </w:p>
    <w:p w14:paraId="74D84B99">
      <w:pPr>
        <w:spacing w:line="360" w:lineRule="auto"/>
        <w:ind w:left="630"/>
        <w:jc w:val="right"/>
        <w:rPr>
          <w:rFonts w:ascii="宋体" w:hAnsi="宋体" w:cs="宋体"/>
          <w:color w:val="auto"/>
          <w:sz w:val="22"/>
          <w:highlight w:val="none"/>
        </w:rPr>
      </w:pPr>
      <w:r>
        <w:rPr>
          <w:rFonts w:hint="eastAsia" w:ascii="宋体" w:hAnsi="宋体" w:cs="宋体"/>
          <w:color w:val="auto"/>
          <w:sz w:val="22"/>
          <w:highlight w:val="none"/>
        </w:rPr>
        <w:t xml:space="preserve">以上企业，不属于大企业的分支机构，不存在控股股东为大企业的情形，也不存在与大企业的负责人为同一人的情形。 本企业对上述声明内容的真实性负责。如有虚假，将依法承担相应责任。 </w:t>
      </w:r>
    </w:p>
    <w:p w14:paraId="2B8319D2">
      <w:pPr>
        <w:spacing w:line="360" w:lineRule="auto"/>
        <w:rPr>
          <w:rFonts w:ascii="宋体" w:hAnsi="宋体" w:cs="宋体"/>
          <w:color w:val="auto"/>
          <w:sz w:val="22"/>
          <w:highlight w:val="none"/>
        </w:rPr>
      </w:pPr>
    </w:p>
    <w:p w14:paraId="2480EDBC">
      <w:pPr>
        <w:spacing w:line="360" w:lineRule="auto"/>
        <w:rPr>
          <w:rFonts w:ascii="宋体" w:hAnsi="宋体" w:cs="宋体"/>
          <w:color w:val="auto"/>
          <w:sz w:val="22"/>
          <w:highlight w:val="none"/>
        </w:rPr>
      </w:pPr>
    </w:p>
    <w:p w14:paraId="64364285">
      <w:pPr>
        <w:spacing w:line="360" w:lineRule="auto"/>
        <w:ind w:firstLine="4400" w:firstLineChars="2000"/>
        <w:jc w:val="right"/>
        <w:rPr>
          <w:rFonts w:ascii="宋体" w:hAnsi="宋体" w:cs="宋体"/>
          <w:color w:val="auto"/>
          <w:sz w:val="22"/>
          <w:highlight w:val="none"/>
        </w:rPr>
      </w:pPr>
      <w:r>
        <w:rPr>
          <w:rFonts w:hint="eastAsia" w:ascii="宋体" w:hAnsi="宋体" w:cs="宋体"/>
          <w:color w:val="auto"/>
          <w:sz w:val="22"/>
          <w:highlight w:val="none"/>
          <w:lang w:val="zh-CN"/>
        </w:rPr>
        <w:t>供应商名称：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（盖章）</w:t>
      </w:r>
    </w:p>
    <w:p w14:paraId="350B1542">
      <w:pPr>
        <w:spacing w:line="360" w:lineRule="auto"/>
        <w:ind w:firstLine="4400" w:firstLineChars="2000"/>
        <w:jc w:val="right"/>
        <w:rPr>
          <w:rFonts w:ascii="宋体" w:hAnsi="宋体" w:cs="宋体"/>
          <w:color w:val="auto"/>
          <w:sz w:val="22"/>
          <w:highlight w:val="none"/>
        </w:rPr>
      </w:pPr>
      <w:r>
        <w:rPr>
          <w:rFonts w:hint="eastAsia" w:ascii="宋体" w:hAnsi="宋体" w:cs="宋体"/>
          <w:color w:val="auto"/>
          <w:sz w:val="22"/>
          <w:highlight w:val="none"/>
        </w:rPr>
        <w:t xml:space="preserve">日期：      年    月    日 </w:t>
      </w:r>
    </w:p>
    <w:p w14:paraId="5E14EA5E">
      <w:pPr>
        <w:spacing w:line="360" w:lineRule="auto"/>
        <w:rPr>
          <w:rFonts w:ascii="宋体" w:hAnsi="宋体" w:cs="宋体"/>
          <w:b/>
          <w:color w:val="auto"/>
          <w:sz w:val="22"/>
          <w:highlight w:val="none"/>
        </w:rPr>
      </w:pPr>
    </w:p>
    <w:p w14:paraId="10F06703">
      <w:pPr>
        <w:spacing w:line="360" w:lineRule="auto"/>
        <w:rPr>
          <w:rFonts w:ascii="宋体" w:hAnsi="宋体" w:cs="宋体"/>
          <w:b/>
          <w:color w:val="auto"/>
          <w:sz w:val="22"/>
          <w:highlight w:val="none"/>
        </w:rPr>
      </w:pPr>
    </w:p>
    <w:p w14:paraId="7DC04D18">
      <w:pPr>
        <w:spacing w:line="360" w:lineRule="auto"/>
        <w:rPr>
          <w:rFonts w:ascii="宋体" w:hAnsi="宋体" w:cs="宋体"/>
          <w:b/>
          <w:color w:val="auto"/>
          <w:sz w:val="22"/>
          <w:highlight w:val="none"/>
        </w:rPr>
      </w:pPr>
    </w:p>
    <w:p w14:paraId="2B0F96DF">
      <w:pPr>
        <w:spacing w:line="360" w:lineRule="auto"/>
        <w:rPr>
          <w:rFonts w:ascii="宋体" w:hAnsi="宋体" w:cs="宋体"/>
          <w:b/>
          <w:color w:val="auto"/>
          <w:highlight w:val="none"/>
        </w:rPr>
      </w:pPr>
    </w:p>
    <w:p w14:paraId="6A81F12B">
      <w:pPr>
        <w:spacing w:line="360" w:lineRule="auto"/>
        <w:rPr>
          <w:rFonts w:ascii="宋体" w:hAnsi="宋体" w:cs="宋体"/>
          <w:b/>
          <w:color w:val="auto"/>
          <w:highlight w:val="none"/>
        </w:rPr>
      </w:pPr>
    </w:p>
    <w:p w14:paraId="1B9899BF">
      <w:pPr>
        <w:spacing w:line="360" w:lineRule="auto"/>
        <w:rPr>
          <w:rFonts w:ascii="宋体" w:hAnsi="宋体" w:cs="宋体"/>
          <w:b/>
          <w:color w:val="auto"/>
          <w:highlight w:val="none"/>
        </w:rPr>
      </w:pPr>
    </w:p>
    <w:p w14:paraId="7DFB4898">
      <w:pPr>
        <w:spacing w:line="360" w:lineRule="auto"/>
        <w:rPr>
          <w:rFonts w:ascii="宋体" w:hAnsi="宋体" w:cs="宋体"/>
          <w:b/>
          <w:color w:val="auto"/>
          <w:highlight w:val="none"/>
        </w:rPr>
      </w:pPr>
    </w:p>
    <w:p w14:paraId="2B0DA718">
      <w:pPr>
        <w:spacing w:line="360" w:lineRule="auto"/>
        <w:rPr>
          <w:rFonts w:ascii="宋体" w:hAnsi="宋体" w:cs="宋体"/>
          <w:b/>
          <w:color w:val="auto"/>
          <w:highlight w:val="none"/>
        </w:rPr>
      </w:pPr>
    </w:p>
    <w:p w14:paraId="7561E102">
      <w:pPr>
        <w:spacing w:line="360" w:lineRule="auto"/>
        <w:rPr>
          <w:rFonts w:ascii="宋体" w:hAnsi="宋体" w:cs="宋体"/>
          <w:b/>
          <w:color w:val="auto"/>
          <w:highlight w:val="none"/>
        </w:rPr>
      </w:pPr>
    </w:p>
    <w:p w14:paraId="7CD526D5">
      <w:pPr>
        <w:spacing w:line="360" w:lineRule="auto"/>
        <w:rPr>
          <w:rFonts w:ascii="宋体" w:hAnsi="宋体" w:cs="宋体"/>
          <w:b/>
          <w:color w:val="auto"/>
          <w:highlight w:val="none"/>
        </w:rPr>
      </w:pPr>
    </w:p>
    <w:p w14:paraId="14CD0C8B">
      <w:pPr>
        <w:spacing w:line="360" w:lineRule="auto"/>
        <w:rPr>
          <w:rFonts w:ascii="宋体" w:hAnsi="宋体" w:cs="宋体"/>
          <w:b/>
          <w:color w:val="auto"/>
          <w:highlight w:val="none"/>
        </w:rPr>
      </w:pPr>
    </w:p>
    <w:p w14:paraId="5302FA8D">
      <w:pPr>
        <w:spacing w:line="360" w:lineRule="auto"/>
        <w:rPr>
          <w:rFonts w:ascii="宋体" w:hAnsi="宋体" w:cs="宋体"/>
          <w:b/>
          <w:color w:val="auto"/>
          <w:highlight w:val="none"/>
        </w:rPr>
      </w:pPr>
    </w:p>
    <w:p w14:paraId="010030E1">
      <w:pPr>
        <w:spacing w:line="360" w:lineRule="auto"/>
        <w:rPr>
          <w:rFonts w:ascii="宋体" w:hAnsi="宋体" w:cs="宋体"/>
          <w:color w:val="auto"/>
          <w:sz w:val="24"/>
          <w:szCs w:val="24"/>
          <w:highlight w:val="none"/>
        </w:rPr>
      </w:pPr>
      <w:r>
        <w:rPr>
          <w:rFonts w:hint="eastAsia" w:ascii="宋体" w:hAnsi="宋体" w:cs="宋体"/>
          <w:b/>
          <w:color w:val="auto"/>
          <w:highlight w:val="none"/>
        </w:rPr>
        <w:t xml:space="preserve">附件二、残疾人福利性单位声明函格式 </w:t>
      </w:r>
    </w:p>
    <w:p w14:paraId="3C34623B">
      <w:pPr>
        <w:spacing w:line="360" w:lineRule="auto"/>
        <w:jc w:val="center"/>
        <w:rPr>
          <w:rFonts w:ascii="宋体" w:hAnsi="宋体" w:cs="宋体"/>
          <w:color w:val="auto"/>
          <w:sz w:val="36"/>
          <w:szCs w:val="36"/>
          <w:highlight w:val="none"/>
        </w:rPr>
      </w:pPr>
      <w:r>
        <w:rPr>
          <w:rFonts w:hint="eastAsia" w:ascii="宋体" w:hAnsi="宋体" w:cs="宋体"/>
          <w:b/>
          <w:bCs/>
          <w:color w:val="auto"/>
          <w:sz w:val="36"/>
          <w:szCs w:val="36"/>
          <w:highlight w:val="none"/>
        </w:rPr>
        <w:t>残疾人福利性单位声明函</w:t>
      </w:r>
    </w:p>
    <w:p w14:paraId="105B64EB">
      <w:pPr>
        <w:spacing w:line="360" w:lineRule="auto"/>
        <w:rPr>
          <w:rFonts w:ascii="宋体" w:hAnsi="宋体" w:cs="宋体"/>
          <w:color w:val="auto"/>
          <w:sz w:val="22"/>
          <w:highlight w:val="none"/>
        </w:rPr>
      </w:pPr>
      <w:r>
        <w:rPr>
          <w:rFonts w:hint="eastAsia" w:ascii="宋体" w:hAnsi="宋体" w:cs="宋体"/>
          <w:color w:val="auto"/>
          <w:sz w:val="22"/>
          <w:highlight w:val="none"/>
        </w:rPr>
        <w:t>本单位郑重声明：</w:t>
      </w:r>
    </w:p>
    <w:p w14:paraId="2BDB456E">
      <w:pPr>
        <w:spacing w:line="360" w:lineRule="auto"/>
        <w:ind w:firstLine="420"/>
        <w:rPr>
          <w:rFonts w:ascii="宋体" w:hAnsi="宋体" w:cs="宋体"/>
          <w:color w:val="auto"/>
          <w:sz w:val="22"/>
          <w:highlight w:val="none"/>
        </w:rPr>
      </w:pPr>
      <w:r>
        <w:rPr>
          <w:rFonts w:hint="eastAsia" w:ascii="宋体" w:hAnsi="宋体" w:cs="宋体"/>
          <w:color w:val="auto"/>
          <w:sz w:val="22"/>
          <w:highlight w:val="none"/>
        </w:rPr>
        <w:t xml:space="preserve">根据《财政部 民政部 中国残疾人联合会关于促进残疾人就业政府采购政策的通知》（财库〔2017〕 141 号）的规定，本单位为符合条件的残疾人福利 性单位，且本单位参加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（采购人单位名称）的</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（项目名称）采购活动提供本单位制造的货物（由本单位承担工程/提供服务），或者提供其他残疾人福利性单位制造的货物（不包括使用非残疾人福利性单位注册商标的货物）。 本单位对上述声明的真实性负责。如有虚假，将依法承担相应责任。</w:t>
      </w:r>
    </w:p>
    <w:p w14:paraId="0762DF37">
      <w:pPr>
        <w:pStyle w:val="24"/>
        <w:ind w:firstLine="440"/>
        <w:rPr>
          <w:rFonts w:ascii="宋体" w:hAnsi="宋体" w:eastAsia="宋体" w:cs="宋体"/>
          <w:color w:val="auto"/>
          <w:sz w:val="22"/>
          <w:highlight w:val="none"/>
        </w:rPr>
      </w:pPr>
    </w:p>
    <w:p w14:paraId="2808FAD0">
      <w:pPr>
        <w:spacing w:line="360" w:lineRule="auto"/>
        <w:jc w:val="right"/>
        <w:rPr>
          <w:rFonts w:ascii="宋体" w:hAnsi="宋体" w:cs="宋体"/>
          <w:color w:val="auto"/>
          <w:sz w:val="22"/>
          <w:highlight w:val="none"/>
        </w:rPr>
      </w:pPr>
      <w:r>
        <w:rPr>
          <w:rFonts w:hint="eastAsia" w:ascii="宋体" w:hAnsi="宋体" w:cs="宋体"/>
          <w:color w:val="auto"/>
          <w:sz w:val="22"/>
          <w:highlight w:val="none"/>
          <w:lang w:val="zh-CN"/>
        </w:rPr>
        <w:t>供应商名称：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（盖章）</w:t>
      </w:r>
    </w:p>
    <w:p w14:paraId="4302CBAB">
      <w:pPr>
        <w:spacing w:line="360" w:lineRule="auto"/>
        <w:jc w:val="right"/>
        <w:rPr>
          <w:rFonts w:ascii="宋体" w:hAnsi="宋体" w:cs="宋体"/>
          <w:color w:val="auto"/>
          <w:sz w:val="22"/>
          <w:highlight w:val="none"/>
          <w:lang w:val="zh-CN"/>
        </w:rPr>
      </w:pPr>
      <w:r>
        <w:rPr>
          <w:rFonts w:hint="eastAsia" w:ascii="宋体" w:hAnsi="宋体" w:cs="宋体"/>
          <w:color w:val="auto"/>
          <w:sz w:val="22"/>
          <w:highlight w:val="none"/>
          <w:lang w:val="zh-CN"/>
        </w:rPr>
        <w:t>日期：</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年    月    日</w:t>
      </w:r>
    </w:p>
    <w:p w14:paraId="06BD7C03">
      <w:pPr>
        <w:pStyle w:val="24"/>
        <w:rPr>
          <w:rFonts w:ascii="宋体" w:hAnsi="宋体" w:eastAsia="宋体" w:cs="宋体"/>
          <w:color w:val="auto"/>
          <w:highlight w:val="none"/>
        </w:rPr>
      </w:pPr>
    </w:p>
    <w:p w14:paraId="0A11F6D8">
      <w:pPr>
        <w:adjustRightInd w:val="0"/>
        <w:spacing w:line="360" w:lineRule="auto"/>
        <w:rPr>
          <w:rFonts w:ascii="宋体" w:hAnsi="宋体" w:cs="宋体"/>
          <w:b/>
          <w:color w:val="auto"/>
          <w:highlight w:val="none"/>
        </w:rPr>
      </w:pPr>
    </w:p>
    <w:p w14:paraId="7A116DE6">
      <w:pPr>
        <w:adjustRightInd w:val="0"/>
        <w:spacing w:line="360" w:lineRule="auto"/>
        <w:rPr>
          <w:rFonts w:ascii="宋体" w:hAnsi="宋体" w:cs="宋体"/>
          <w:b/>
          <w:color w:val="auto"/>
          <w:highlight w:val="none"/>
        </w:rPr>
      </w:pPr>
    </w:p>
    <w:p w14:paraId="55D2593F">
      <w:pPr>
        <w:adjustRightInd w:val="0"/>
        <w:spacing w:line="360" w:lineRule="auto"/>
        <w:rPr>
          <w:rFonts w:ascii="宋体" w:hAnsi="宋体" w:cs="宋体"/>
          <w:b/>
          <w:color w:val="auto"/>
          <w:highlight w:val="none"/>
        </w:rPr>
      </w:pPr>
    </w:p>
    <w:p w14:paraId="7DA75EF3">
      <w:pPr>
        <w:adjustRightInd w:val="0"/>
        <w:spacing w:line="360" w:lineRule="auto"/>
        <w:rPr>
          <w:rFonts w:ascii="宋体" w:hAnsi="宋体" w:cs="宋体"/>
          <w:b/>
          <w:color w:val="auto"/>
          <w:highlight w:val="none"/>
        </w:rPr>
      </w:pPr>
    </w:p>
    <w:p w14:paraId="595116C0">
      <w:pPr>
        <w:adjustRightInd w:val="0"/>
        <w:spacing w:line="360" w:lineRule="auto"/>
        <w:rPr>
          <w:rFonts w:ascii="宋体" w:hAnsi="宋体" w:cs="宋体"/>
          <w:b/>
          <w:color w:val="auto"/>
          <w:highlight w:val="none"/>
        </w:rPr>
      </w:pPr>
    </w:p>
    <w:p w14:paraId="18B23A37">
      <w:pPr>
        <w:adjustRightInd w:val="0"/>
        <w:spacing w:line="360" w:lineRule="auto"/>
        <w:rPr>
          <w:rFonts w:ascii="宋体" w:hAnsi="宋体" w:cs="宋体"/>
          <w:b/>
          <w:color w:val="auto"/>
          <w:highlight w:val="none"/>
        </w:rPr>
      </w:pPr>
    </w:p>
    <w:p w14:paraId="08AE2CBD">
      <w:pPr>
        <w:adjustRightInd w:val="0"/>
        <w:spacing w:line="360" w:lineRule="auto"/>
        <w:rPr>
          <w:rFonts w:ascii="宋体" w:hAnsi="宋体" w:cs="宋体"/>
          <w:b/>
          <w:color w:val="auto"/>
          <w:highlight w:val="none"/>
        </w:rPr>
      </w:pPr>
    </w:p>
    <w:p w14:paraId="26EE3F12">
      <w:pPr>
        <w:adjustRightInd w:val="0"/>
        <w:spacing w:line="360" w:lineRule="auto"/>
        <w:rPr>
          <w:rFonts w:ascii="宋体" w:hAnsi="宋体" w:cs="宋体"/>
          <w:color w:val="auto"/>
          <w:sz w:val="24"/>
          <w:szCs w:val="24"/>
          <w:highlight w:val="none"/>
        </w:rPr>
      </w:pPr>
      <w:r>
        <w:rPr>
          <w:rFonts w:hint="eastAsia" w:ascii="宋体" w:hAnsi="宋体" w:cs="宋体"/>
          <w:b/>
          <w:color w:val="auto"/>
          <w:highlight w:val="none"/>
        </w:rPr>
        <w:t>附件三、属于监狱企业的证明文件</w:t>
      </w:r>
      <w:r>
        <w:rPr>
          <w:rFonts w:hint="eastAsia" w:ascii="宋体" w:hAnsi="宋体" w:cs="宋体"/>
          <w:color w:val="auto"/>
          <w:sz w:val="24"/>
          <w:szCs w:val="24"/>
          <w:highlight w:val="none"/>
        </w:rPr>
        <w:t xml:space="preserve"> </w:t>
      </w:r>
    </w:p>
    <w:p w14:paraId="257FB02E">
      <w:pPr>
        <w:spacing w:line="360" w:lineRule="auto"/>
        <w:ind w:firstLine="420"/>
        <w:rPr>
          <w:rFonts w:ascii="宋体" w:hAnsi="宋体" w:cs="宋体"/>
          <w:color w:val="auto"/>
          <w:highlight w:val="none"/>
        </w:rPr>
      </w:pPr>
      <w:r>
        <w:rPr>
          <w:rFonts w:hint="eastAsia" w:ascii="宋体" w:hAnsi="宋体" w:cs="宋体"/>
          <w:color w:val="auto"/>
          <w:highlight w:val="none"/>
        </w:rPr>
        <w:t>提供由省级以上监狱管理局、戒毒管理局（含新疆生产建设兵团）出具的属于监狱企业的证明文件。</w:t>
      </w:r>
    </w:p>
    <w:p w14:paraId="3EE6EFAD">
      <w:pPr>
        <w:adjustRightInd w:val="0"/>
        <w:spacing w:line="240" w:lineRule="atLeast"/>
        <w:rPr>
          <w:rFonts w:ascii="宋体" w:hAnsi="宋体" w:cs="宋体"/>
          <w:b/>
          <w:color w:val="auto"/>
          <w:highlight w:val="none"/>
        </w:rPr>
      </w:pPr>
    </w:p>
    <w:p w14:paraId="50D16CDF">
      <w:pPr>
        <w:adjustRightInd w:val="0"/>
        <w:spacing w:line="240" w:lineRule="atLeast"/>
        <w:rPr>
          <w:rFonts w:ascii="宋体" w:hAnsi="宋体" w:cs="宋体"/>
          <w:b/>
          <w:color w:val="auto"/>
          <w:highlight w:val="none"/>
        </w:rPr>
      </w:pPr>
    </w:p>
    <w:p w14:paraId="65EF7BC7">
      <w:pPr>
        <w:adjustRightInd w:val="0"/>
        <w:spacing w:line="240" w:lineRule="atLeast"/>
        <w:rPr>
          <w:rFonts w:ascii="宋体" w:hAnsi="宋体" w:cs="宋体"/>
          <w:b/>
          <w:color w:val="auto"/>
          <w:highlight w:val="none"/>
        </w:rPr>
      </w:pPr>
    </w:p>
    <w:p w14:paraId="3F721E7F">
      <w:pPr>
        <w:adjustRightInd w:val="0"/>
        <w:spacing w:line="240" w:lineRule="atLeast"/>
        <w:rPr>
          <w:rFonts w:ascii="宋体" w:hAnsi="宋体" w:cs="宋体"/>
          <w:b/>
          <w:color w:val="auto"/>
          <w:highlight w:val="none"/>
        </w:rPr>
      </w:pPr>
    </w:p>
    <w:p w14:paraId="46921FFA">
      <w:pPr>
        <w:adjustRightInd w:val="0"/>
        <w:spacing w:line="240" w:lineRule="atLeast"/>
        <w:rPr>
          <w:rFonts w:ascii="宋体" w:hAnsi="宋体" w:cs="宋体"/>
          <w:b/>
          <w:color w:val="auto"/>
          <w:highlight w:val="none"/>
        </w:rPr>
      </w:pPr>
    </w:p>
    <w:p w14:paraId="044ED13E">
      <w:pPr>
        <w:adjustRightInd w:val="0"/>
        <w:spacing w:line="240" w:lineRule="atLeast"/>
        <w:rPr>
          <w:rFonts w:ascii="宋体" w:hAnsi="宋体" w:cs="宋体"/>
          <w:b/>
          <w:color w:val="auto"/>
          <w:highlight w:val="none"/>
        </w:rPr>
      </w:pPr>
    </w:p>
    <w:p w14:paraId="06A2C5DE">
      <w:pPr>
        <w:adjustRightInd w:val="0"/>
        <w:spacing w:line="240" w:lineRule="atLeast"/>
        <w:rPr>
          <w:rFonts w:ascii="宋体" w:hAnsi="宋体" w:cs="宋体"/>
          <w:b/>
          <w:color w:val="auto"/>
          <w:highlight w:val="none"/>
        </w:rPr>
      </w:pPr>
    </w:p>
    <w:p w14:paraId="38F9E79D">
      <w:pPr>
        <w:adjustRightInd w:val="0"/>
        <w:spacing w:line="240" w:lineRule="atLeast"/>
        <w:rPr>
          <w:rFonts w:ascii="宋体" w:hAnsi="宋体" w:cs="宋体"/>
          <w:b/>
          <w:color w:val="auto"/>
          <w:highlight w:val="none"/>
        </w:rPr>
      </w:pPr>
    </w:p>
    <w:p w14:paraId="1E18586D">
      <w:pPr>
        <w:adjustRightInd w:val="0"/>
        <w:spacing w:line="240" w:lineRule="atLeast"/>
        <w:rPr>
          <w:rFonts w:ascii="宋体" w:hAnsi="宋体" w:cs="宋体"/>
          <w:b/>
          <w:color w:val="auto"/>
          <w:highlight w:val="none"/>
        </w:rPr>
      </w:pPr>
    </w:p>
    <w:p w14:paraId="1852F239">
      <w:pPr>
        <w:adjustRightInd w:val="0"/>
        <w:spacing w:line="240" w:lineRule="atLeast"/>
        <w:rPr>
          <w:rFonts w:ascii="宋体" w:hAnsi="宋体" w:cs="宋体"/>
          <w:b/>
          <w:color w:val="auto"/>
          <w:highlight w:val="none"/>
        </w:rPr>
      </w:pPr>
    </w:p>
    <w:p w14:paraId="0A83CF66">
      <w:pPr>
        <w:adjustRightInd w:val="0"/>
        <w:spacing w:line="240" w:lineRule="atLeast"/>
        <w:rPr>
          <w:rFonts w:ascii="宋体" w:hAnsi="宋体" w:cs="宋体"/>
          <w:b/>
          <w:color w:val="auto"/>
          <w:highlight w:val="none"/>
        </w:rPr>
      </w:pPr>
    </w:p>
    <w:p w14:paraId="2D86A3A4">
      <w:pPr>
        <w:adjustRightInd w:val="0"/>
        <w:spacing w:line="240" w:lineRule="atLeast"/>
        <w:rPr>
          <w:rFonts w:ascii="宋体" w:hAnsi="宋体" w:cs="宋体"/>
          <w:b/>
          <w:color w:val="auto"/>
          <w:highlight w:val="none"/>
        </w:rPr>
      </w:pPr>
    </w:p>
    <w:p w14:paraId="09D8CA66">
      <w:pPr>
        <w:adjustRightInd w:val="0"/>
        <w:spacing w:line="240" w:lineRule="atLeast"/>
        <w:rPr>
          <w:rFonts w:ascii="宋体" w:hAnsi="宋体" w:cs="宋体"/>
          <w:b/>
          <w:color w:val="auto"/>
          <w:highlight w:val="none"/>
        </w:rPr>
      </w:pPr>
    </w:p>
    <w:p w14:paraId="27A37758">
      <w:pPr>
        <w:adjustRightInd w:val="0"/>
        <w:spacing w:line="240" w:lineRule="atLeast"/>
        <w:rPr>
          <w:rFonts w:ascii="宋体" w:hAnsi="宋体" w:cs="宋体"/>
          <w:b/>
          <w:color w:val="auto"/>
          <w:highlight w:val="none"/>
        </w:rPr>
      </w:pPr>
    </w:p>
    <w:p w14:paraId="59754FFD">
      <w:pPr>
        <w:adjustRightInd w:val="0"/>
        <w:spacing w:line="240" w:lineRule="atLeast"/>
        <w:rPr>
          <w:rFonts w:ascii="宋体" w:hAnsi="宋体" w:cs="宋体"/>
          <w:b/>
          <w:color w:val="auto"/>
          <w:highlight w:val="none"/>
        </w:rPr>
      </w:pPr>
      <w:r>
        <w:rPr>
          <w:rFonts w:hint="eastAsia" w:ascii="宋体" w:hAnsi="宋体" w:cs="宋体"/>
          <w:b/>
          <w:color w:val="auto"/>
          <w:highlight w:val="none"/>
        </w:rPr>
        <w:t>附件四、无重大违法记录声明格式</w:t>
      </w:r>
    </w:p>
    <w:p w14:paraId="7698A6C5">
      <w:pPr>
        <w:adjustRightInd w:val="0"/>
        <w:spacing w:line="240" w:lineRule="atLeast"/>
        <w:rPr>
          <w:rFonts w:ascii="宋体" w:hAnsi="宋体" w:cs="宋体"/>
          <w:b/>
          <w:color w:val="auto"/>
          <w:highlight w:val="none"/>
        </w:rPr>
      </w:pPr>
    </w:p>
    <w:p w14:paraId="789B80A4">
      <w:pPr>
        <w:jc w:val="center"/>
        <w:rPr>
          <w:rFonts w:ascii="宋体" w:hAnsi="宋体" w:cs="宋体"/>
          <w:color w:val="auto"/>
          <w:sz w:val="36"/>
          <w:szCs w:val="36"/>
          <w:highlight w:val="none"/>
        </w:rPr>
      </w:pPr>
      <w:r>
        <w:rPr>
          <w:rFonts w:hint="eastAsia" w:ascii="宋体" w:hAnsi="宋体" w:cs="宋体"/>
          <w:b/>
          <w:bCs/>
          <w:color w:val="auto"/>
          <w:sz w:val="36"/>
          <w:szCs w:val="36"/>
          <w:highlight w:val="none"/>
        </w:rPr>
        <w:t>无重大违法记录声明</w:t>
      </w:r>
    </w:p>
    <w:p w14:paraId="7BB9A1E4">
      <w:pPr>
        <w:spacing w:line="360" w:lineRule="auto"/>
        <w:rPr>
          <w:rFonts w:ascii="宋体" w:hAnsi="宋体" w:cs="宋体"/>
          <w:color w:val="auto"/>
          <w:highlight w:val="none"/>
        </w:rPr>
      </w:pPr>
    </w:p>
    <w:p w14:paraId="6559F77A">
      <w:pPr>
        <w:spacing w:line="360" w:lineRule="auto"/>
        <w:rPr>
          <w:rFonts w:ascii="宋体" w:hAnsi="宋体" w:cs="宋体"/>
          <w:color w:val="auto"/>
          <w:sz w:val="22"/>
          <w:highlight w:val="none"/>
        </w:rPr>
      </w:pPr>
      <w:r>
        <w:rPr>
          <w:rFonts w:hint="eastAsia" w:ascii="宋体" w:hAnsi="宋体" w:cs="宋体"/>
          <w:color w:val="auto"/>
          <w:sz w:val="22"/>
          <w:highlight w:val="none"/>
        </w:rPr>
        <w:t xml:space="preserve"> ：</w:t>
      </w:r>
    </w:p>
    <w:p w14:paraId="1A8F3E80">
      <w:pPr>
        <w:spacing w:line="360" w:lineRule="auto"/>
        <w:rPr>
          <w:rFonts w:ascii="宋体" w:hAnsi="宋体" w:cs="宋体"/>
          <w:color w:val="auto"/>
          <w:sz w:val="22"/>
          <w:highlight w:val="none"/>
        </w:rPr>
      </w:pPr>
      <w:r>
        <w:rPr>
          <w:rFonts w:hint="eastAsia" w:ascii="宋体" w:hAnsi="宋体" w:cs="宋体"/>
          <w:color w:val="auto"/>
          <w:sz w:val="22"/>
          <w:highlight w:val="none"/>
        </w:rPr>
        <w:t xml:space="preserve">    我单位</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（供应商名称）郑重声明：</w:t>
      </w:r>
    </w:p>
    <w:p w14:paraId="59BC2BAF">
      <w:pPr>
        <w:spacing w:line="360" w:lineRule="auto"/>
        <w:rPr>
          <w:rFonts w:ascii="宋体" w:hAnsi="宋体" w:cs="宋体"/>
          <w:color w:val="auto"/>
          <w:sz w:val="22"/>
          <w:highlight w:val="none"/>
        </w:rPr>
      </w:pPr>
      <w:r>
        <w:rPr>
          <w:rFonts w:hint="eastAsia" w:ascii="宋体" w:hAnsi="宋体" w:cs="宋体"/>
          <w:color w:val="auto"/>
          <w:sz w:val="22"/>
          <w:highlight w:val="none"/>
        </w:rPr>
        <w:t xml:space="preserve">    参加政府采购活动前3年内在经营活动中</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（在下划线上如实填写：有或没有）重大违法记录。</w:t>
      </w:r>
    </w:p>
    <w:p w14:paraId="6365784A">
      <w:pPr>
        <w:spacing w:line="360" w:lineRule="auto"/>
        <w:rPr>
          <w:rFonts w:ascii="宋体" w:hAnsi="宋体" w:cs="宋体"/>
          <w:color w:val="auto"/>
          <w:sz w:val="22"/>
          <w:highlight w:val="none"/>
        </w:rPr>
      </w:pPr>
      <w:r>
        <w:rPr>
          <w:rFonts w:hint="eastAsia" w:ascii="宋体" w:hAnsi="宋体" w:cs="宋体"/>
          <w:color w:val="auto"/>
          <w:sz w:val="22"/>
          <w:highlight w:val="none"/>
        </w:rPr>
        <w:t xml:space="preserve">    （说明：政府采购法第二十二条第一款第五项所称重大违法记录，是指供应商因违法经营受到刑事处罚或者责令停产停业、吊销许可证或者执照、较大数额罚款等行政处罚。）</w:t>
      </w:r>
    </w:p>
    <w:p w14:paraId="3C5F4385">
      <w:pPr>
        <w:spacing w:line="360" w:lineRule="auto"/>
        <w:rPr>
          <w:rFonts w:ascii="宋体" w:hAnsi="宋体" w:cs="宋体"/>
          <w:color w:val="auto"/>
          <w:sz w:val="22"/>
          <w:highlight w:val="none"/>
        </w:rPr>
      </w:pPr>
      <w:r>
        <w:rPr>
          <w:rFonts w:hint="eastAsia" w:ascii="宋体" w:hAnsi="宋体" w:cs="宋体"/>
          <w:color w:val="auto"/>
          <w:sz w:val="22"/>
          <w:highlight w:val="none"/>
        </w:rPr>
        <w:t xml:space="preserve">                                    </w:t>
      </w:r>
    </w:p>
    <w:p w14:paraId="467A44F1">
      <w:pPr>
        <w:spacing w:line="360" w:lineRule="auto"/>
        <w:jc w:val="right"/>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供应商名称</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（盖章）</w:t>
      </w:r>
    </w:p>
    <w:p w14:paraId="29A6F8BD">
      <w:pPr>
        <w:spacing w:line="460" w:lineRule="exact"/>
        <w:jc w:val="right"/>
        <w:rPr>
          <w:rFonts w:ascii="宋体" w:hAnsi="宋体" w:cs="宋体"/>
          <w:color w:val="auto"/>
          <w:sz w:val="22"/>
          <w:highlight w:val="none"/>
        </w:rPr>
      </w:pPr>
      <w:r>
        <w:rPr>
          <w:rFonts w:hint="eastAsia" w:ascii="宋体" w:hAnsi="宋体" w:cs="宋体"/>
          <w:bCs/>
          <w:color w:val="auto"/>
          <w:sz w:val="22"/>
          <w:highlight w:val="none"/>
        </w:rPr>
        <w:t xml:space="preserve">                                               </w:t>
      </w:r>
      <w:r>
        <w:rPr>
          <w:rFonts w:hint="eastAsia" w:ascii="宋体" w:hAnsi="宋体" w:cs="宋体"/>
          <w:color w:val="auto"/>
          <w:sz w:val="22"/>
          <w:highlight w:val="none"/>
        </w:rPr>
        <w:t>日期：        年    月    日</w:t>
      </w:r>
    </w:p>
    <w:p w14:paraId="3E1C1C60">
      <w:pPr>
        <w:spacing w:line="360" w:lineRule="auto"/>
        <w:rPr>
          <w:rFonts w:ascii="宋体" w:hAnsi="宋体" w:cs="宋体"/>
          <w:b/>
          <w:color w:val="auto"/>
          <w:highlight w:val="none"/>
        </w:rPr>
      </w:pPr>
    </w:p>
    <w:p w14:paraId="19A457C2">
      <w:pPr>
        <w:spacing w:line="360" w:lineRule="auto"/>
        <w:rPr>
          <w:rFonts w:ascii="宋体" w:hAnsi="宋体" w:cs="宋体"/>
          <w:b/>
          <w:color w:val="auto"/>
          <w:highlight w:val="none"/>
        </w:rPr>
      </w:pPr>
      <w:r>
        <w:rPr>
          <w:rFonts w:hint="eastAsia" w:ascii="宋体" w:hAnsi="宋体" w:cs="宋体"/>
          <w:b/>
          <w:color w:val="auto"/>
          <w:highlight w:val="none"/>
        </w:rPr>
        <w:t>附件五、具备履行合同所必需的设备和专业技术能力的声明格式及证明材料</w:t>
      </w:r>
    </w:p>
    <w:p w14:paraId="05FFC1CF">
      <w:pPr>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 xml:space="preserve">  </w:t>
      </w:r>
      <w:r>
        <w:rPr>
          <w:rFonts w:hint="eastAsia" w:ascii="宋体" w:hAnsi="宋体" w:cs="宋体"/>
          <w:b/>
          <w:bCs/>
          <w:color w:val="auto"/>
          <w:sz w:val="36"/>
          <w:szCs w:val="36"/>
          <w:highlight w:val="none"/>
        </w:rPr>
        <w:t>具备履行合同所必需的设备和专业技术能力的声明格式</w:t>
      </w:r>
    </w:p>
    <w:p w14:paraId="4CECBF21">
      <w:pPr>
        <w:spacing w:line="360" w:lineRule="auto"/>
        <w:rPr>
          <w:rFonts w:ascii="宋体" w:hAnsi="宋体" w:cs="宋体"/>
          <w:color w:val="auto"/>
          <w:sz w:val="22"/>
          <w:highlight w:val="none"/>
        </w:rPr>
      </w:pPr>
      <w:r>
        <w:rPr>
          <w:rFonts w:hint="eastAsia" w:ascii="宋体" w:hAnsi="宋体" w:cs="宋体"/>
          <w:color w:val="auto"/>
          <w:sz w:val="22"/>
          <w:highlight w:val="none"/>
        </w:rPr>
        <w:t xml:space="preserve"> ：</w:t>
      </w:r>
    </w:p>
    <w:p w14:paraId="6E604A81">
      <w:pPr>
        <w:spacing w:line="460" w:lineRule="exact"/>
        <w:ind w:firstLine="492"/>
        <w:rPr>
          <w:rFonts w:ascii="宋体" w:hAnsi="宋体" w:cs="宋体"/>
          <w:color w:val="auto"/>
          <w:sz w:val="22"/>
          <w:highlight w:val="none"/>
        </w:rPr>
      </w:pPr>
      <w:r>
        <w:rPr>
          <w:rFonts w:hint="eastAsia" w:ascii="宋体" w:hAnsi="宋体" w:cs="宋体"/>
          <w:color w:val="auto"/>
          <w:sz w:val="22"/>
          <w:highlight w:val="none"/>
        </w:rPr>
        <w:t>我单位                             （供应商名称）郑重声明：我公司具备履行本项采购合同所必需的设备和专业技术能力，为履行本项采购合同我单位具备如下主要设备和主要专业技术能力：</w:t>
      </w:r>
    </w:p>
    <w:p w14:paraId="3E1BF580">
      <w:pPr>
        <w:spacing w:line="460" w:lineRule="exact"/>
        <w:ind w:firstLine="492"/>
        <w:rPr>
          <w:rFonts w:ascii="宋体" w:hAnsi="宋体" w:cs="宋体"/>
          <w:color w:val="auto"/>
          <w:sz w:val="22"/>
          <w:highlight w:val="none"/>
        </w:rPr>
      </w:pPr>
      <w:r>
        <w:rPr>
          <w:rFonts w:hint="eastAsia" w:ascii="宋体" w:hAnsi="宋体" w:cs="宋体"/>
          <w:color w:val="auto"/>
          <w:sz w:val="22"/>
          <w:highlight w:val="none"/>
        </w:rPr>
        <w:t>主要设备有：                          。( 若有 )</w:t>
      </w:r>
    </w:p>
    <w:p w14:paraId="74301FC1">
      <w:pPr>
        <w:spacing w:line="460" w:lineRule="exact"/>
        <w:ind w:firstLine="492"/>
        <w:rPr>
          <w:rFonts w:ascii="宋体" w:hAnsi="宋体" w:cs="宋体"/>
          <w:color w:val="auto"/>
          <w:sz w:val="22"/>
          <w:highlight w:val="none"/>
        </w:rPr>
      </w:pPr>
      <w:r>
        <w:rPr>
          <w:rFonts w:hint="eastAsia" w:ascii="宋体" w:hAnsi="宋体" w:cs="宋体"/>
          <w:color w:val="auto"/>
          <w:sz w:val="22"/>
          <w:highlight w:val="none"/>
        </w:rPr>
        <w:t>主要专业技术能力有：                  。( 若有 )</w:t>
      </w:r>
    </w:p>
    <w:p w14:paraId="4EC3C2EE">
      <w:pPr>
        <w:spacing w:line="360" w:lineRule="auto"/>
        <w:rPr>
          <w:rFonts w:ascii="宋体" w:hAnsi="宋体" w:cs="宋体"/>
          <w:color w:val="auto"/>
          <w:sz w:val="22"/>
          <w:highlight w:val="none"/>
        </w:rPr>
      </w:pPr>
      <w:r>
        <w:rPr>
          <w:rFonts w:hint="eastAsia" w:ascii="宋体" w:hAnsi="宋体" w:cs="宋体"/>
          <w:color w:val="auto"/>
          <w:sz w:val="22"/>
          <w:highlight w:val="none"/>
        </w:rPr>
        <w:t xml:space="preserve">                                      </w:t>
      </w:r>
    </w:p>
    <w:p w14:paraId="0AB815A9">
      <w:pPr>
        <w:spacing w:line="360" w:lineRule="auto"/>
        <w:rPr>
          <w:rFonts w:ascii="宋体" w:hAnsi="宋体" w:cs="宋体"/>
          <w:color w:val="auto"/>
          <w:sz w:val="22"/>
          <w:highlight w:val="none"/>
        </w:rPr>
      </w:pPr>
    </w:p>
    <w:p w14:paraId="1B66E573">
      <w:pPr>
        <w:spacing w:line="360" w:lineRule="auto"/>
        <w:jc w:val="right"/>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供应商名称</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（盖章）</w:t>
      </w:r>
    </w:p>
    <w:p w14:paraId="51CFF1A3">
      <w:pPr>
        <w:spacing w:line="460" w:lineRule="exact"/>
        <w:jc w:val="right"/>
        <w:rPr>
          <w:rFonts w:ascii="宋体" w:hAnsi="宋体" w:cs="宋体"/>
          <w:color w:val="auto"/>
          <w:highlight w:val="none"/>
        </w:rPr>
      </w:pPr>
      <w:r>
        <w:rPr>
          <w:rFonts w:hint="eastAsia" w:ascii="宋体" w:hAnsi="宋体" w:cs="宋体"/>
          <w:bCs/>
          <w:color w:val="auto"/>
          <w:sz w:val="24"/>
          <w:highlight w:val="none"/>
        </w:rPr>
        <w:t xml:space="preserve">                                               </w:t>
      </w:r>
      <w:r>
        <w:rPr>
          <w:rFonts w:hint="eastAsia" w:ascii="宋体" w:hAnsi="宋体" w:cs="宋体"/>
          <w:color w:val="auto"/>
          <w:highlight w:val="none"/>
        </w:rPr>
        <w:t>日期：        年    月    日</w:t>
      </w:r>
    </w:p>
    <w:p w14:paraId="5A1AB4C3">
      <w:pPr>
        <w:spacing w:line="360" w:lineRule="auto"/>
        <w:rPr>
          <w:rFonts w:ascii="宋体" w:hAnsi="宋体" w:cs="宋体"/>
          <w:b/>
          <w:color w:val="auto"/>
          <w:highlight w:val="none"/>
        </w:rPr>
      </w:pPr>
    </w:p>
    <w:p w14:paraId="62F65DC2">
      <w:pPr>
        <w:spacing w:line="360" w:lineRule="auto"/>
        <w:rPr>
          <w:rFonts w:ascii="宋体" w:hAnsi="宋体" w:cs="宋体"/>
          <w:b/>
          <w:color w:val="auto"/>
          <w:highlight w:val="none"/>
        </w:rPr>
      </w:pPr>
    </w:p>
    <w:p w14:paraId="63D873A1">
      <w:pPr>
        <w:spacing w:line="360" w:lineRule="auto"/>
        <w:rPr>
          <w:rFonts w:ascii="宋体" w:hAnsi="宋体" w:cs="宋体"/>
          <w:b/>
          <w:color w:val="auto"/>
          <w:highlight w:val="none"/>
        </w:rPr>
      </w:pPr>
      <w:r>
        <w:rPr>
          <w:rFonts w:hint="eastAsia" w:ascii="宋体" w:hAnsi="宋体" w:cs="宋体"/>
          <w:b/>
          <w:color w:val="auto"/>
          <w:highlight w:val="none"/>
        </w:rPr>
        <w:t>附件六、南京市政府采购供应商信用记录表暨信用承诺书</w:t>
      </w:r>
    </w:p>
    <w:p w14:paraId="4A8A80A4">
      <w:pPr>
        <w:pStyle w:val="23"/>
        <w:wordWrap w:val="0"/>
        <w:ind w:firstLine="320"/>
        <w:jc w:val="right"/>
        <w:rPr>
          <w:rFonts w:ascii="宋体" w:hAnsi="宋体"/>
          <w:color w:val="auto"/>
          <w:sz w:val="32"/>
          <w:szCs w:val="32"/>
          <w:highlight w:val="none"/>
        </w:rPr>
      </w:pPr>
    </w:p>
    <w:p w14:paraId="4604095A">
      <w:pPr>
        <w:spacing w:line="360" w:lineRule="auto"/>
        <w:rPr>
          <w:rFonts w:ascii="宋体" w:hAnsi="宋体" w:eastAsia="宋体" w:cs="仿宋"/>
          <w:b/>
          <w:color w:val="auto"/>
          <w:sz w:val="28"/>
          <w:szCs w:val="28"/>
          <w:highlight w:val="none"/>
        </w:rPr>
      </w:pPr>
      <w:r>
        <w:rPr>
          <w:rFonts w:hint="eastAsia" w:ascii="宋体" w:hAnsi="宋体" w:eastAsia="宋体" w:cs="仿宋"/>
          <w:b/>
          <w:color w:val="auto"/>
          <w:sz w:val="28"/>
          <w:szCs w:val="28"/>
          <w:highlight w:val="none"/>
        </w:rPr>
        <w:t>南京市政府采购供应商信用记录表暨信用承诺书（网站打印签字盖章）</w:t>
      </w:r>
      <w:bookmarkEnd w:id="36"/>
    </w:p>
    <w:sectPr>
      <w:pgSz w:w="11906" w:h="16838"/>
      <w:pgMar w:top="1134" w:right="1701" w:bottom="1134" w:left="1701" w:header="709" w:footer="709"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08CEA"/>
    <w:multiLevelType w:val="singleLevel"/>
    <w:tmpl w:val="C4A08CEA"/>
    <w:lvl w:ilvl="0" w:tentative="0">
      <w:start w:val="4"/>
      <w:numFmt w:val="decimal"/>
      <w:lvlText w:val="%1."/>
      <w:lvlJc w:val="left"/>
      <w:pPr>
        <w:tabs>
          <w:tab w:val="left" w:pos="64"/>
        </w:tabs>
      </w:pPr>
    </w:lvl>
  </w:abstractNum>
  <w:abstractNum w:abstractNumId="1">
    <w:nsid w:val="F798B849"/>
    <w:multiLevelType w:val="singleLevel"/>
    <w:tmpl w:val="F798B849"/>
    <w:lvl w:ilvl="0" w:tentative="0">
      <w:start w:val="2"/>
      <w:numFmt w:val="chineseCounting"/>
      <w:suff w:val="nothing"/>
      <w:lvlText w:val="（%1）"/>
      <w:lvlJc w:val="left"/>
      <w:rPr>
        <w:rFonts w:hint="eastAsia"/>
      </w:rPr>
    </w:lvl>
  </w:abstractNum>
  <w:abstractNum w:abstractNumId="2">
    <w:nsid w:val="03D62ECE"/>
    <w:multiLevelType w:val="multilevel"/>
    <w:tmpl w:val="03D62ECE"/>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3C5414E9"/>
    <w:multiLevelType w:val="singleLevel"/>
    <w:tmpl w:val="3C5414E9"/>
    <w:lvl w:ilvl="0" w:tentative="0">
      <w:start w:val="1"/>
      <w:numFmt w:val="decimal"/>
      <w:suff w:val="space"/>
      <w:lvlText w:val="%1、"/>
      <w:lvlJc w:val="left"/>
      <w:pPr>
        <w:ind w:left="-21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9"/>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2"/>
  </w:compat>
  <w:rsids>
    <w:rsidRoot w:val="002D137F"/>
    <w:rsid w:val="000E1BD1"/>
    <w:rsid w:val="000F1C7C"/>
    <w:rsid w:val="00161A4A"/>
    <w:rsid w:val="001C1130"/>
    <w:rsid w:val="00274692"/>
    <w:rsid w:val="002D137F"/>
    <w:rsid w:val="00336847"/>
    <w:rsid w:val="00370AAB"/>
    <w:rsid w:val="00394480"/>
    <w:rsid w:val="0056316D"/>
    <w:rsid w:val="005A01D8"/>
    <w:rsid w:val="006078BE"/>
    <w:rsid w:val="006478C3"/>
    <w:rsid w:val="006A4243"/>
    <w:rsid w:val="006C3A3E"/>
    <w:rsid w:val="006D1C83"/>
    <w:rsid w:val="007468EF"/>
    <w:rsid w:val="00966CC5"/>
    <w:rsid w:val="009D60DF"/>
    <w:rsid w:val="00A25218"/>
    <w:rsid w:val="00A34995"/>
    <w:rsid w:val="00A7066B"/>
    <w:rsid w:val="00AD5A24"/>
    <w:rsid w:val="00B71259"/>
    <w:rsid w:val="00C17157"/>
    <w:rsid w:val="00C31232"/>
    <w:rsid w:val="00C86812"/>
    <w:rsid w:val="00CD181C"/>
    <w:rsid w:val="00CD3E34"/>
    <w:rsid w:val="00CF0EDE"/>
    <w:rsid w:val="00D02511"/>
    <w:rsid w:val="00D10A1A"/>
    <w:rsid w:val="00DA1ACC"/>
    <w:rsid w:val="00DD6E28"/>
    <w:rsid w:val="00E67FC7"/>
    <w:rsid w:val="00F37C12"/>
    <w:rsid w:val="024C00CD"/>
    <w:rsid w:val="02BD0857"/>
    <w:rsid w:val="03246D18"/>
    <w:rsid w:val="07730874"/>
    <w:rsid w:val="09AD69CA"/>
    <w:rsid w:val="0CA041F5"/>
    <w:rsid w:val="0D584ACF"/>
    <w:rsid w:val="0E2A700A"/>
    <w:rsid w:val="12764EE7"/>
    <w:rsid w:val="130001DF"/>
    <w:rsid w:val="17E11C5B"/>
    <w:rsid w:val="1D74500E"/>
    <w:rsid w:val="1DD737EE"/>
    <w:rsid w:val="1E664D00"/>
    <w:rsid w:val="1FCF7439"/>
    <w:rsid w:val="20DD4FF7"/>
    <w:rsid w:val="2394258D"/>
    <w:rsid w:val="27D81F97"/>
    <w:rsid w:val="2A1C2CB5"/>
    <w:rsid w:val="2A583C4F"/>
    <w:rsid w:val="2A750617"/>
    <w:rsid w:val="2F041F69"/>
    <w:rsid w:val="2FBF1095"/>
    <w:rsid w:val="300A5A72"/>
    <w:rsid w:val="39534219"/>
    <w:rsid w:val="3C2E0626"/>
    <w:rsid w:val="3C6F1D18"/>
    <w:rsid w:val="3F1A6F0B"/>
    <w:rsid w:val="416D6009"/>
    <w:rsid w:val="42EF1169"/>
    <w:rsid w:val="49B62248"/>
    <w:rsid w:val="4AEE78FE"/>
    <w:rsid w:val="510C4347"/>
    <w:rsid w:val="512B2795"/>
    <w:rsid w:val="5299285F"/>
    <w:rsid w:val="53430A03"/>
    <w:rsid w:val="546C7D1B"/>
    <w:rsid w:val="546D471F"/>
    <w:rsid w:val="561C7447"/>
    <w:rsid w:val="56E542AB"/>
    <w:rsid w:val="58244F2D"/>
    <w:rsid w:val="58ED52CF"/>
    <w:rsid w:val="59232E69"/>
    <w:rsid w:val="5B470078"/>
    <w:rsid w:val="5D1E583C"/>
    <w:rsid w:val="5FAA3D39"/>
    <w:rsid w:val="601D5BCF"/>
    <w:rsid w:val="604E0BAF"/>
    <w:rsid w:val="644F5459"/>
    <w:rsid w:val="64A733C5"/>
    <w:rsid w:val="66AF1F7E"/>
    <w:rsid w:val="6A771266"/>
    <w:rsid w:val="6C530F01"/>
    <w:rsid w:val="6ED4617C"/>
    <w:rsid w:val="70BB2A36"/>
    <w:rsid w:val="70C60851"/>
    <w:rsid w:val="7150636D"/>
    <w:rsid w:val="72FF44EF"/>
    <w:rsid w:val="73515A0E"/>
    <w:rsid w:val="759A2AA2"/>
    <w:rsid w:val="7A9D1530"/>
    <w:rsid w:val="7B6475E5"/>
    <w:rsid w:val="7C662CBA"/>
    <w:rsid w:val="7CCE39C8"/>
    <w:rsid w:val="7E3C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lang w:val="en-US" w:eastAsia="zh-CN" w:bidi="ar-SA"/>
    </w:rPr>
  </w:style>
  <w:style w:type="paragraph" w:styleId="2">
    <w:name w:val="heading 3"/>
    <w:basedOn w:val="1"/>
    <w:next w:val="3"/>
    <w:link w:val="232"/>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rPr>
  </w:style>
  <w:style w:type="paragraph" w:styleId="4">
    <w:name w:val="heading 4"/>
    <w:basedOn w:val="1"/>
    <w:next w:val="1"/>
    <w:link w:val="23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pPr>
    <w:rPr>
      <w:b/>
      <w:sz w:val="24"/>
    </w:rPr>
  </w:style>
  <w:style w:type="paragraph" w:styleId="5">
    <w:name w:val="toc 7"/>
    <w:next w:val="1"/>
    <w:unhideWhenUsed/>
    <w:qFormat/>
    <w:uiPriority w:val="39"/>
    <w:pPr>
      <w:spacing w:after="57"/>
      <w:ind w:left="1701"/>
    </w:pPr>
    <w:rPr>
      <w:rFonts w:asciiTheme="minorHAnsi" w:hAnsiTheme="minorHAnsi" w:eastAsiaTheme="minorEastAsia" w:cstheme="minorBidi"/>
      <w:sz w:val="21"/>
      <w:szCs w:val="22"/>
      <w:lang w:val="en-US" w:eastAsia="zh-CN" w:bidi="ar-SA"/>
    </w:rPr>
  </w:style>
  <w:style w:type="paragraph" w:styleId="6">
    <w:name w:val="Body Text"/>
    <w:basedOn w:val="1"/>
    <w:link w:val="238"/>
    <w:unhideWhenUsed/>
    <w:qFormat/>
    <w:uiPriority w:val="99"/>
    <w:pPr>
      <w:jc w:val="center"/>
    </w:pPr>
    <w:rPr>
      <w:rFonts w:eastAsia="幼圆"/>
      <w:b/>
      <w:bCs/>
      <w:sz w:val="44"/>
    </w:rPr>
  </w:style>
  <w:style w:type="paragraph" w:styleId="7">
    <w:name w:val="Body Text Indent"/>
    <w:basedOn w:val="1"/>
    <w:link w:val="240"/>
    <w:semiHidden/>
    <w:unhideWhenUsed/>
    <w:qFormat/>
    <w:uiPriority w:val="99"/>
    <w:pPr>
      <w:spacing w:after="120"/>
      <w:ind w:left="420" w:leftChars="200"/>
    </w:pPr>
  </w:style>
  <w:style w:type="paragraph" w:styleId="8">
    <w:name w:val="toc 5"/>
    <w:next w:val="1"/>
    <w:unhideWhenUsed/>
    <w:qFormat/>
    <w:uiPriority w:val="39"/>
    <w:pPr>
      <w:spacing w:after="57"/>
      <w:ind w:left="1134"/>
    </w:pPr>
    <w:rPr>
      <w:rFonts w:asciiTheme="minorHAnsi" w:hAnsiTheme="minorHAnsi" w:eastAsiaTheme="minorEastAsia" w:cstheme="minorBidi"/>
      <w:sz w:val="21"/>
      <w:szCs w:val="22"/>
      <w:lang w:val="en-US" w:eastAsia="zh-CN" w:bidi="ar-SA"/>
    </w:rPr>
  </w:style>
  <w:style w:type="paragraph" w:styleId="9">
    <w:name w:val="toc 3"/>
    <w:next w:val="1"/>
    <w:unhideWhenUsed/>
    <w:qFormat/>
    <w:uiPriority w:val="39"/>
    <w:pPr>
      <w:spacing w:after="57"/>
      <w:ind w:left="567"/>
    </w:pPr>
    <w:rPr>
      <w:rFonts w:asciiTheme="minorHAnsi" w:hAnsiTheme="minorHAnsi" w:eastAsiaTheme="minorEastAsia" w:cstheme="minorBidi"/>
      <w:sz w:val="21"/>
      <w:szCs w:val="22"/>
      <w:lang w:val="en-US" w:eastAsia="zh-CN" w:bidi="ar-SA"/>
    </w:rPr>
  </w:style>
  <w:style w:type="paragraph" w:styleId="10">
    <w:name w:val="toc 8"/>
    <w:next w:val="1"/>
    <w:unhideWhenUsed/>
    <w:qFormat/>
    <w:uiPriority w:val="39"/>
    <w:pPr>
      <w:spacing w:after="57"/>
      <w:ind w:left="1984"/>
    </w:pPr>
    <w:rPr>
      <w:rFonts w:asciiTheme="minorHAnsi" w:hAnsiTheme="minorHAnsi" w:eastAsiaTheme="minorEastAsia" w:cstheme="minorBidi"/>
      <w:sz w:val="21"/>
      <w:szCs w:val="22"/>
      <w:lang w:val="en-US" w:eastAsia="zh-CN" w:bidi="ar-SA"/>
    </w:rPr>
  </w:style>
  <w:style w:type="paragraph" w:styleId="11">
    <w:name w:val="endnote text"/>
    <w:link w:val="227"/>
    <w:semiHidden/>
    <w:unhideWhenUsed/>
    <w:qFormat/>
    <w:uiPriority w:val="99"/>
    <w:rPr>
      <w:rFonts w:asciiTheme="minorHAnsi" w:hAnsiTheme="minorHAnsi" w:eastAsiaTheme="minorEastAsia" w:cstheme="minorBidi"/>
      <w:szCs w:val="22"/>
      <w:lang w:val="en-US" w:eastAsia="zh-CN" w:bidi="ar-SA"/>
    </w:rPr>
  </w:style>
  <w:style w:type="paragraph" w:styleId="12">
    <w:name w:val="footer"/>
    <w:basedOn w:val="1"/>
    <w:link w:val="231"/>
    <w:semiHidden/>
    <w:unhideWhenUsed/>
    <w:qFormat/>
    <w:uiPriority w:val="99"/>
    <w:pPr>
      <w:tabs>
        <w:tab w:val="center" w:pos="4153"/>
        <w:tab w:val="right" w:pos="8306"/>
      </w:tabs>
      <w:snapToGrid w:val="0"/>
    </w:pPr>
    <w:rPr>
      <w:sz w:val="18"/>
      <w:szCs w:val="18"/>
    </w:rPr>
  </w:style>
  <w:style w:type="paragraph" w:styleId="13">
    <w:name w:val="header"/>
    <w:basedOn w:val="1"/>
    <w:link w:val="230"/>
    <w:semiHidden/>
    <w:unhideWhenUsed/>
    <w:uiPriority w:val="99"/>
    <w:pPr>
      <w:pBdr>
        <w:bottom w:val="single" w:color="auto" w:sz="6" w:space="1"/>
      </w:pBdr>
      <w:tabs>
        <w:tab w:val="center" w:pos="4153"/>
        <w:tab w:val="right" w:pos="8306"/>
      </w:tabs>
      <w:snapToGrid w:val="0"/>
      <w:jc w:val="center"/>
    </w:pPr>
    <w:rPr>
      <w:sz w:val="18"/>
      <w:szCs w:val="18"/>
    </w:rPr>
  </w:style>
  <w:style w:type="paragraph" w:styleId="14">
    <w:name w:val="toc 1"/>
    <w:next w:val="1"/>
    <w:unhideWhenUsed/>
    <w:qFormat/>
    <w:uiPriority w:val="39"/>
    <w:pPr>
      <w:spacing w:after="57"/>
    </w:pPr>
    <w:rPr>
      <w:rFonts w:asciiTheme="minorHAnsi" w:hAnsiTheme="minorHAnsi" w:eastAsiaTheme="minorEastAsia" w:cstheme="minorBidi"/>
      <w:sz w:val="21"/>
      <w:szCs w:val="22"/>
      <w:lang w:val="en-US" w:eastAsia="zh-CN" w:bidi="ar-SA"/>
    </w:rPr>
  </w:style>
  <w:style w:type="paragraph" w:styleId="15">
    <w:name w:val="toc 4"/>
    <w:next w:val="1"/>
    <w:unhideWhenUsed/>
    <w:qFormat/>
    <w:uiPriority w:val="39"/>
    <w:pPr>
      <w:spacing w:after="57"/>
      <w:ind w:left="850"/>
    </w:pPr>
    <w:rPr>
      <w:rFonts w:asciiTheme="minorHAnsi" w:hAnsiTheme="minorHAnsi" w:eastAsiaTheme="minorEastAsia" w:cstheme="minorBidi"/>
      <w:sz w:val="21"/>
      <w:szCs w:val="22"/>
      <w:lang w:val="en-US" w:eastAsia="zh-CN" w:bidi="ar-SA"/>
    </w:rPr>
  </w:style>
  <w:style w:type="paragraph" w:styleId="16">
    <w:name w:val="Subtitle"/>
    <w:link w:val="93"/>
    <w:qFormat/>
    <w:uiPriority w:val="11"/>
    <w:pPr>
      <w:spacing w:before="200" w:after="200"/>
    </w:pPr>
    <w:rPr>
      <w:rFonts w:asciiTheme="minorHAnsi" w:hAnsiTheme="minorHAnsi" w:eastAsiaTheme="minorEastAsia" w:cstheme="minorBidi"/>
      <w:sz w:val="24"/>
      <w:szCs w:val="24"/>
      <w:lang w:val="en-US" w:eastAsia="zh-CN" w:bidi="ar-SA"/>
    </w:rPr>
  </w:style>
  <w:style w:type="paragraph" w:styleId="17">
    <w:name w:val="footnote text"/>
    <w:link w:val="226"/>
    <w:semiHidden/>
    <w:unhideWhenUsed/>
    <w:qFormat/>
    <w:uiPriority w:val="99"/>
    <w:pPr>
      <w:spacing w:after="40"/>
    </w:pPr>
    <w:rPr>
      <w:rFonts w:asciiTheme="minorHAnsi" w:hAnsiTheme="minorHAnsi" w:eastAsiaTheme="minorEastAsia" w:cstheme="minorBidi"/>
      <w:sz w:val="18"/>
      <w:szCs w:val="22"/>
      <w:lang w:val="en-US" w:eastAsia="zh-CN" w:bidi="ar-SA"/>
    </w:rPr>
  </w:style>
  <w:style w:type="paragraph" w:styleId="18">
    <w:name w:val="toc 6"/>
    <w:next w:val="1"/>
    <w:unhideWhenUsed/>
    <w:qFormat/>
    <w:uiPriority w:val="39"/>
    <w:pPr>
      <w:spacing w:after="57"/>
      <w:ind w:left="1417"/>
    </w:pPr>
    <w:rPr>
      <w:rFonts w:asciiTheme="minorHAnsi" w:hAnsiTheme="minorHAnsi" w:eastAsiaTheme="minorEastAsia" w:cstheme="minorBidi"/>
      <w:sz w:val="21"/>
      <w:szCs w:val="22"/>
      <w:lang w:val="en-US" w:eastAsia="zh-CN" w:bidi="ar-SA"/>
    </w:rPr>
  </w:style>
  <w:style w:type="paragraph" w:styleId="19">
    <w:name w:val="table of figures"/>
    <w:next w:val="1"/>
    <w:unhideWhenUsed/>
    <w:qFormat/>
    <w:uiPriority w:val="99"/>
    <w:rPr>
      <w:rFonts w:asciiTheme="minorHAnsi" w:hAnsiTheme="minorHAnsi" w:eastAsiaTheme="minorEastAsia" w:cstheme="minorBidi"/>
      <w:sz w:val="21"/>
      <w:szCs w:val="22"/>
      <w:lang w:val="en-US" w:eastAsia="zh-CN" w:bidi="ar-SA"/>
    </w:rPr>
  </w:style>
  <w:style w:type="paragraph" w:styleId="20">
    <w:name w:val="toc 2"/>
    <w:next w:val="1"/>
    <w:unhideWhenUsed/>
    <w:qFormat/>
    <w:uiPriority w:val="39"/>
    <w:pPr>
      <w:spacing w:after="57"/>
      <w:ind w:left="283"/>
    </w:pPr>
    <w:rPr>
      <w:rFonts w:asciiTheme="minorHAnsi" w:hAnsiTheme="minorHAnsi" w:eastAsiaTheme="minorEastAsia" w:cstheme="minorBidi"/>
      <w:sz w:val="21"/>
      <w:szCs w:val="22"/>
      <w:lang w:val="en-US" w:eastAsia="zh-CN" w:bidi="ar-SA"/>
    </w:rPr>
  </w:style>
  <w:style w:type="paragraph" w:styleId="21">
    <w:name w:val="toc 9"/>
    <w:next w:val="1"/>
    <w:unhideWhenUsed/>
    <w:qFormat/>
    <w:uiPriority w:val="39"/>
    <w:pPr>
      <w:spacing w:after="57"/>
      <w:ind w:left="2268"/>
    </w:pPr>
    <w:rPr>
      <w:rFonts w:asciiTheme="minorHAnsi" w:hAnsiTheme="minorHAnsi" w:eastAsiaTheme="minorEastAsia" w:cstheme="minorBidi"/>
      <w:sz w:val="21"/>
      <w:szCs w:val="22"/>
      <w:lang w:val="en-US" w:eastAsia="zh-CN" w:bidi="ar-SA"/>
    </w:rPr>
  </w:style>
  <w:style w:type="paragraph" w:styleId="22">
    <w:name w:val="Title"/>
    <w:link w:val="92"/>
    <w:qFormat/>
    <w:uiPriority w:val="10"/>
    <w:pPr>
      <w:spacing w:before="300" w:after="200"/>
      <w:contextualSpacing/>
    </w:pPr>
    <w:rPr>
      <w:rFonts w:asciiTheme="minorHAnsi" w:hAnsiTheme="minorHAnsi" w:eastAsiaTheme="minorEastAsia" w:cstheme="minorBidi"/>
      <w:sz w:val="48"/>
      <w:szCs w:val="48"/>
      <w:lang w:val="en-US" w:eastAsia="zh-CN" w:bidi="ar-SA"/>
    </w:rPr>
  </w:style>
  <w:style w:type="paragraph" w:styleId="23">
    <w:name w:val="Body Text First Indent"/>
    <w:basedOn w:val="6"/>
    <w:link w:val="239"/>
    <w:semiHidden/>
    <w:unhideWhenUsed/>
    <w:qFormat/>
    <w:uiPriority w:val="99"/>
    <w:pPr>
      <w:spacing w:after="120"/>
      <w:ind w:firstLine="420" w:firstLineChars="100"/>
      <w:jc w:val="left"/>
    </w:pPr>
    <w:rPr>
      <w:rFonts w:eastAsiaTheme="minorEastAsia"/>
      <w:b w:val="0"/>
      <w:bCs w:val="0"/>
      <w:sz w:val="21"/>
    </w:rPr>
  </w:style>
  <w:style w:type="paragraph" w:styleId="24">
    <w:name w:val="Body Text First Indent 2"/>
    <w:basedOn w:val="7"/>
    <w:link w:val="241"/>
    <w:semiHidden/>
    <w:unhideWhenUsed/>
    <w:qFormat/>
    <w:uiPriority w:val="99"/>
    <w:pPr>
      <w:ind w:firstLine="420" w:firstLineChars="200"/>
    </w:pPr>
  </w:style>
  <w:style w:type="table" w:styleId="2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endnote reference"/>
    <w:semiHidden/>
    <w:unhideWhenUsed/>
    <w:qFormat/>
    <w:uiPriority w:val="99"/>
    <w:rPr>
      <w:vertAlign w:val="superscript"/>
    </w:rPr>
  </w:style>
  <w:style w:type="character" w:styleId="29">
    <w:name w:val="FollowedHyperlink"/>
    <w:qFormat/>
    <w:uiPriority w:val="0"/>
    <w:rPr>
      <w:color w:val="800080"/>
      <w:u w:val="single"/>
    </w:rPr>
  </w:style>
  <w:style w:type="character" w:styleId="30">
    <w:name w:val="Hyperlink"/>
    <w:basedOn w:val="27"/>
    <w:unhideWhenUsed/>
    <w:qFormat/>
    <w:uiPriority w:val="99"/>
    <w:rPr>
      <w:color w:val="0000FF" w:themeColor="hyperlink"/>
      <w:u w:val="single"/>
    </w:rPr>
  </w:style>
  <w:style w:type="character" w:styleId="31">
    <w:name w:val="footnote reference"/>
    <w:unhideWhenUsed/>
    <w:qFormat/>
    <w:uiPriority w:val="99"/>
    <w:rPr>
      <w:vertAlign w:val="superscript"/>
    </w:rPr>
  </w:style>
  <w:style w:type="character" w:customStyle="1" w:styleId="32">
    <w:name w:val="Heading 1 Char"/>
    <w:basedOn w:val="27"/>
    <w:uiPriority w:val="9"/>
    <w:rPr>
      <w:rFonts w:ascii="Arial" w:hAnsi="Arial" w:eastAsia="Arial" w:cs="Arial"/>
      <w:sz w:val="40"/>
      <w:szCs w:val="40"/>
    </w:rPr>
  </w:style>
  <w:style w:type="character" w:customStyle="1" w:styleId="33">
    <w:name w:val="Heading 2 Char"/>
    <w:basedOn w:val="27"/>
    <w:qFormat/>
    <w:uiPriority w:val="9"/>
    <w:rPr>
      <w:rFonts w:ascii="Arial" w:hAnsi="Arial" w:eastAsia="Arial" w:cs="Arial"/>
      <w:sz w:val="34"/>
    </w:rPr>
  </w:style>
  <w:style w:type="character" w:customStyle="1" w:styleId="34">
    <w:name w:val="Heading 3 Char"/>
    <w:basedOn w:val="27"/>
    <w:qFormat/>
    <w:uiPriority w:val="9"/>
    <w:rPr>
      <w:rFonts w:ascii="Arial" w:hAnsi="Arial" w:eastAsia="Arial" w:cs="Arial"/>
      <w:sz w:val="30"/>
      <w:szCs w:val="30"/>
    </w:rPr>
  </w:style>
  <w:style w:type="character" w:customStyle="1" w:styleId="35">
    <w:name w:val="Heading 4 Char"/>
    <w:basedOn w:val="27"/>
    <w:qFormat/>
    <w:uiPriority w:val="9"/>
    <w:rPr>
      <w:rFonts w:ascii="Arial" w:hAnsi="Arial" w:eastAsia="Arial" w:cs="Arial"/>
      <w:b/>
      <w:bCs/>
      <w:sz w:val="26"/>
      <w:szCs w:val="26"/>
    </w:rPr>
  </w:style>
  <w:style w:type="character" w:customStyle="1" w:styleId="36">
    <w:name w:val="Heading 5 Char"/>
    <w:basedOn w:val="27"/>
    <w:uiPriority w:val="9"/>
    <w:rPr>
      <w:rFonts w:ascii="Arial" w:hAnsi="Arial" w:eastAsia="Arial" w:cs="Arial"/>
      <w:b/>
      <w:bCs/>
      <w:sz w:val="24"/>
      <w:szCs w:val="24"/>
    </w:rPr>
  </w:style>
  <w:style w:type="character" w:customStyle="1" w:styleId="37">
    <w:name w:val="Heading 6 Char"/>
    <w:basedOn w:val="27"/>
    <w:qFormat/>
    <w:uiPriority w:val="9"/>
    <w:rPr>
      <w:rFonts w:ascii="Arial" w:hAnsi="Arial" w:eastAsia="Arial" w:cs="Arial"/>
      <w:b/>
      <w:bCs/>
      <w:sz w:val="22"/>
      <w:szCs w:val="22"/>
    </w:rPr>
  </w:style>
  <w:style w:type="character" w:customStyle="1" w:styleId="38">
    <w:name w:val="Heading 7 Char"/>
    <w:basedOn w:val="27"/>
    <w:qFormat/>
    <w:uiPriority w:val="9"/>
    <w:rPr>
      <w:rFonts w:ascii="Arial" w:hAnsi="Arial" w:eastAsia="Arial" w:cs="Arial"/>
      <w:b/>
      <w:bCs/>
      <w:i/>
      <w:iCs/>
      <w:sz w:val="22"/>
      <w:szCs w:val="22"/>
    </w:rPr>
  </w:style>
  <w:style w:type="character" w:customStyle="1" w:styleId="39">
    <w:name w:val="Heading 8 Char"/>
    <w:basedOn w:val="27"/>
    <w:uiPriority w:val="9"/>
    <w:rPr>
      <w:rFonts w:ascii="Arial" w:hAnsi="Arial" w:eastAsia="Arial" w:cs="Arial"/>
      <w:i/>
      <w:iCs/>
      <w:sz w:val="22"/>
      <w:szCs w:val="22"/>
    </w:rPr>
  </w:style>
  <w:style w:type="character" w:customStyle="1" w:styleId="40">
    <w:name w:val="Heading 9 Char"/>
    <w:basedOn w:val="27"/>
    <w:qFormat/>
    <w:uiPriority w:val="9"/>
    <w:rPr>
      <w:rFonts w:ascii="Arial" w:hAnsi="Arial" w:eastAsia="Arial" w:cs="Arial"/>
      <w:i/>
      <w:iCs/>
      <w:sz w:val="21"/>
      <w:szCs w:val="21"/>
    </w:rPr>
  </w:style>
  <w:style w:type="character" w:customStyle="1" w:styleId="41">
    <w:name w:val="Title Char"/>
    <w:basedOn w:val="27"/>
    <w:qFormat/>
    <w:uiPriority w:val="10"/>
    <w:rPr>
      <w:sz w:val="48"/>
      <w:szCs w:val="48"/>
    </w:rPr>
  </w:style>
  <w:style w:type="character" w:customStyle="1" w:styleId="42">
    <w:name w:val="Subtitle Char"/>
    <w:basedOn w:val="27"/>
    <w:qFormat/>
    <w:uiPriority w:val="11"/>
    <w:rPr>
      <w:sz w:val="24"/>
      <w:szCs w:val="24"/>
    </w:rPr>
  </w:style>
  <w:style w:type="character" w:customStyle="1" w:styleId="43">
    <w:name w:val="Quote Char"/>
    <w:qFormat/>
    <w:uiPriority w:val="29"/>
    <w:rPr>
      <w:i/>
    </w:rPr>
  </w:style>
  <w:style w:type="character" w:customStyle="1" w:styleId="44">
    <w:name w:val="Intense Quote Char"/>
    <w:uiPriority w:val="30"/>
    <w:rPr>
      <w:i/>
    </w:rPr>
  </w:style>
  <w:style w:type="character" w:customStyle="1" w:styleId="45">
    <w:name w:val="Header Char"/>
    <w:basedOn w:val="27"/>
    <w:qFormat/>
    <w:uiPriority w:val="99"/>
  </w:style>
  <w:style w:type="character" w:customStyle="1" w:styleId="46">
    <w:name w:val="Caption Char"/>
    <w:qFormat/>
    <w:uiPriority w:val="99"/>
  </w:style>
  <w:style w:type="table" w:customStyle="1" w:styleId="47">
    <w:name w:val="Plain Table 1"/>
    <w:basedOn w:val="25"/>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8">
    <w:name w:val="Plain Table 2"/>
    <w:basedOn w:val="25"/>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9">
    <w:name w:val="Plain Table 3"/>
    <w:basedOn w:val="25"/>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0">
    <w:name w:val="Plain Table 4"/>
    <w:basedOn w:val="25"/>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1">
    <w:name w:val="Plain Table 5"/>
    <w:basedOn w:val="25"/>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2">
    <w:name w:val="Grid Table 1 Light"/>
    <w:basedOn w:val="25"/>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3">
    <w:name w:val="Grid Table 2"/>
    <w:basedOn w:val="25"/>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4">
    <w:name w:val="Grid Table 3"/>
    <w:basedOn w:val="25"/>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5">
    <w:name w:val="Grid Table 4"/>
    <w:basedOn w:val="25"/>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6">
    <w:name w:val="Grid Table 5 Dark"/>
    <w:basedOn w:val="2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57">
    <w:name w:val="Grid Table 6 Colorful"/>
    <w:basedOn w:val="25"/>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58">
    <w:name w:val="Grid Table 7 Colorful"/>
    <w:basedOn w:val="25"/>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59">
    <w:name w:val="List Table 1 Light"/>
    <w:basedOn w:val="25"/>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0">
    <w:name w:val="List Table 2"/>
    <w:basedOn w:val="25"/>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1">
    <w:name w:val="List Table 3"/>
    <w:basedOn w:val="25"/>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2">
    <w:name w:val="List Table 4"/>
    <w:basedOn w:val="25"/>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3">
    <w:name w:val="List Table 5 Dark"/>
    <w:basedOn w:val="25"/>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64">
    <w:name w:val="List Table 6 Colorful"/>
    <w:basedOn w:val="25"/>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65">
    <w:name w:val="List Table 7 Colorful"/>
    <w:basedOn w:val="25"/>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character" w:customStyle="1" w:styleId="66">
    <w:name w:val="Footnote Text Char"/>
    <w:qFormat/>
    <w:uiPriority w:val="99"/>
    <w:rPr>
      <w:sz w:val="18"/>
    </w:rPr>
  </w:style>
  <w:style w:type="character" w:customStyle="1" w:styleId="67">
    <w:name w:val="Endnote Text Char"/>
    <w:qFormat/>
    <w:uiPriority w:val="99"/>
    <w:rPr>
      <w:sz w:val="20"/>
    </w:rPr>
  </w:style>
  <w:style w:type="paragraph" w:customStyle="1" w:styleId="68">
    <w:name w:val="TOC 标题1"/>
    <w:unhideWhenUsed/>
    <w:qFormat/>
    <w:uiPriority w:val="39"/>
    <w:rPr>
      <w:rFonts w:ascii="Times New Roman" w:hAnsi="Times New Roman" w:eastAsia="宋体" w:cs="Times New Roman"/>
      <w:lang w:val="en-US" w:eastAsia="zh-CN" w:bidi="ar-SA"/>
    </w:rPr>
  </w:style>
  <w:style w:type="paragraph" w:customStyle="1" w:styleId="69">
    <w:name w:val="Heading 1"/>
    <w:next w:val="1"/>
    <w:link w:val="81"/>
    <w:qFormat/>
    <w:uiPriority w:val="9"/>
    <w:pPr>
      <w:keepNext/>
      <w:keepLines/>
      <w:spacing w:before="480" w:after="200"/>
      <w:outlineLvl w:val="0"/>
    </w:pPr>
    <w:rPr>
      <w:rFonts w:ascii="Arial" w:hAnsi="Arial" w:eastAsia="Arial" w:cs="Arial"/>
      <w:sz w:val="40"/>
      <w:szCs w:val="40"/>
      <w:lang w:val="en-US" w:eastAsia="zh-CN" w:bidi="ar-SA"/>
    </w:rPr>
  </w:style>
  <w:style w:type="paragraph" w:customStyle="1" w:styleId="70">
    <w:name w:val="Heading 2"/>
    <w:next w:val="1"/>
    <w:link w:val="82"/>
    <w:unhideWhenUsed/>
    <w:qFormat/>
    <w:uiPriority w:val="9"/>
    <w:pPr>
      <w:keepNext/>
      <w:keepLines/>
      <w:spacing w:before="360" w:after="200"/>
      <w:outlineLvl w:val="1"/>
    </w:pPr>
    <w:rPr>
      <w:rFonts w:ascii="Arial" w:hAnsi="Arial" w:eastAsia="Arial" w:cs="Arial"/>
      <w:sz w:val="34"/>
      <w:szCs w:val="22"/>
      <w:lang w:val="en-US" w:eastAsia="zh-CN" w:bidi="ar-SA"/>
    </w:rPr>
  </w:style>
  <w:style w:type="paragraph" w:customStyle="1" w:styleId="71">
    <w:name w:val="Heading 3"/>
    <w:next w:val="1"/>
    <w:link w:val="83"/>
    <w:unhideWhenUsed/>
    <w:qFormat/>
    <w:uiPriority w:val="9"/>
    <w:pPr>
      <w:keepNext/>
      <w:keepLines/>
      <w:spacing w:before="320" w:after="200"/>
      <w:outlineLvl w:val="2"/>
    </w:pPr>
    <w:rPr>
      <w:rFonts w:ascii="Arial" w:hAnsi="Arial" w:eastAsia="Arial" w:cs="Arial"/>
      <w:sz w:val="30"/>
      <w:szCs w:val="30"/>
      <w:lang w:val="en-US" w:eastAsia="zh-CN" w:bidi="ar-SA"/>
    </w:rPr>
  </w:style>
  <w:style w:type="paragraph" w:customStyle="1" w:styleId="72">
    <w:name w:val="Heading 4"/>
    <w:basedOn w:val="1"/>
    <w:next w:val="1"/>
    <w:link w:val="84"/>
    <w:unhideWhenUsed/>
    <w:qFormat/>
    <w:uiPriority w:val="9"/>
    <w:pPr>
      <w:keepNext/>
      <w:keepLines/>
      <w:spacing w:before="320" w:after="200"/>
      <w:outlineLvl w:val="3"/>
    </w:pPr>
    <w:rPr>
      <w:rFonts w:ascii="Arial" w:hAnsi="Arial" w:eastAsia="Arial" w:cs="Arial"/>
      <w:b/>
      <w:bCs/>
      <w:sz w:val="26"/>
      <w:szCs w:val="26"/>
    </w:rPr>
  </w:style>
  <w:style w:type="paragraph" w:customStyle="1" w:styleId="73">
    <w:name w:val="Heading 5"/>
    <w:next w:val="1"/>
    <w:link w:val="85"/>
    <w:unhideWhenUsed/>
    <w:qFormat/>
    <w:uiPriority w:val="9"/>
    <w:pPr>
      <w:keepNext/>
      <w:keepLines/>
      <w:spacing w:before="320" w:after="200"/>
      <w:outlineLvl w:val="4"/>
    </w:pPr>
    <w:rPr>
      <w:rFonts w:ascii="Arial" w:hAnsi="Arial" w:eastAsia="Arial" w:cs="Arial"/>
      <w:b/>
      <w:bCs/>
      <w:sz w:val="24"/>
      <w:szCs w:val="24"/>
      <w:lang w:val="en-US" w:eastAsia="zh-CN" w:bidi="ar-SA"/>
    </w:rPr>
  </w:style>
  <w:style w:type="paragraph" w:customStyle="1" w:styleId="74">
    <w:name w:val="Heading 6"/>
    <w:next w:val="1"/>
    <w:link w:val="86"/>
    <w:unhideWhenUsed/>
    <w:qFormat/>
    <w:uiPriority w:val="9"/>
    <w:pPr>
      <w:keepNext/>
      <w:keepLines/>
      <w:spacing w:before="320" w:after="200"/>
      <w:outlineLvl w:val="5"/>
    </w:pPr>
    <w:rPr>
      <w:rFonts w:ascii="Arial" w:hAnsi="Arial" w:eastAsia="Arial" w:cs="Arial"/>
      <w:b/>
      <w:bCs/>
      <w:sz w:val="22"/>
      <w:szCs w:val="22"/>
      <w:lang w:val="en-US" w:eastAsia="zh-CN" w:bidi="ar-SA"/>
    </w:rPr>
  </w:style>
  <w:style w:type="paragraph" w:customStyle="1" w:styleId="75">
    <w:name w:val="Heading 7"/>
    <w:next w:val="1"/>
    <w:link w:val="87"/>
    <w:unhideWhenUsed/>
    <w:qFormat/>
    <w:uiPriority w:val="9"/>
    <w:pPr>
      <w:keepNext/>
      <w:keepLines/>
      <w:spacing w:before="320" w:after="200"/>
      <w:outlineLvl w:val="6"/>
    </w:pPr>
    <w:rPr>
      <w:rFonts w:ascii="Arial" w:hAnsi="Arial" w:eastAsia="Arial" w:cs="Arial"/>
      <w:b/>
      <w:bCs/>
      <w:i/>
      <w:iCs/>
      <w:sz w:val="22"/>
      <w:szCs w:val="22"/>
      <w:lang w:val="en-US" w:eastAsia="zh-CN" w:bidi="ar-SA"/>
    </w:rPr>
  </w:style>
  <w:style w:type="paragraph" w:customStyle="1" w:styleId="76">
    <w:name w:val="Heading 8"/>
    <w:next w:val="1"/>
    <w:link w:val="88"/>
    <w:unhideWhenUsed/>
    <w:qFormat/>
    <w:uiPriority w:val="9"/>
    <w:pPr>
      <w:keepNext/>
      <w:keepLines/>
      <w:spacing w:before="320" w:after="200"/>
      <w:outlineLvl w:val="7"/>
    </w:pPr>
    <w:rPr>
      <w:rFonts w:ascii="Arial" w:hAnsi="Arial" w:eastAsia="Arial" w:cs="Arial"/>
      <w:i/>
      <w:iCs/>
      <w:sz w:val="22"/>
      <w:szCs w:val="22"/>
      <w:lang w:val="en-US" w:eastAsia="zh-CN" w:bidi="ar-SA"/>
    </w:rPr>
  </w:style>
  <w:style w:type="paragraph" w:customStyle="1" w:styleId="77">
    <w:name w:val="Heading 9"/>
    <w:next w:val="1"/>
    <w:link w:val="89"/>
    <w:unhideWhenUsed/>
    <w:qFormat/>
    <w:uiPriority w:val="9"/>
    <w:pPr>
      <w:keepNext/>
      <w:keepLines/>
      <w:spacing w:before="320" w:after="200"/>
      <w:outlineLvl w:val="8"/>
    </w:pPr>
    <w:rPr>
      <w:rFonts w:ascii="Arial" w:hAnsi="Arial" w:eastAsia="Arial" w:cs="Arial"/>
      <w:i/>
      <w:iCs/>
      <w:sz w:val="21"/>
      <w:szCs w:val="21"/>
      <w:lang w:val="en-US" w:eastAsia="zh-CN" w:bidi="ar-SA"/>
    </w:rPr>
  </w:style>
  <w:style w:type="paragraph" w:customStyle="1" w:styleId="78">
    <w:name w:val="Caption"/>
    <w:next w:val="1"/>
    <w:semiHidden/>
    <w:unhideWhenUsed/>
    <w:qFormat/>
    <w:uiPriority w:val="35"/>
    <w:pPr>
      <w:spacing w:line="276" w:lineRule="auto"/>
    </w:pPr>
    <w:rPr>
      <w:rFonts w:asciiTheme="minorHAnsi" w:hAnsiTheme="minorHAnsi" w:eastAsiaTheme="minorEastAsia" w:cstheme="minorBidi"/>
      <w:b/>
      <w:bCs/>
      <w:color w:val="4F81BD" w:themeColor="accent1"/>
      <w:sz w:val="18"/>
      <w:szCs w:val="18"/>
      <w:lang w:val="en-US" w:eastAsia="zh-CN" w:bidi="ar-SA"/>
    </w:rPr>
  </w:style>
  <w:style w:type="paragraph" w:customStyle="1" w:styleId="79">
    <w:name w:val="Footer"/>
    <w:link w:val="100"/>
    <w:unhideWhenUsed/>
    <w:qFormat/>
    <w:uiPriority w:val="99"/>
    <w:pPr>
      <w:tabs>
        <w:tab w:val="center" w:pos="7143"/>
        <w:tab w:val="right" w:pos="14287"/>
      </w:tabs>
    </w:pPr>
    <w:rPr>
      <w:rFonts w:asciiTheme="minorHAnsi" w:hAnsiTheme="minorHAnsi" w:eastAsiaTheme="minorEastAsia" w:cstheme="minorBidi"/>
      <w:sz w:val="21"/>
      <w:szCs w:val="22"/>
      <w:lang w:val="en-US" w:eastAsia="zh-CN" w:bidi="ar-SA"/>
    </w:rPr>
  </w:style>
  <w:style w:type="paragraph" w:customStyle="1" w:styleId="80">
    <w:name w:val="Header"/>
    <w:link w:val="98"/>
    <w:unhideWhenUsed/>
    <w:qFormat/>
    <w:uiPriority w:val="99"/>
    <w:pPr>
      <w:tabs>
        <w:tab w:val="center" w:pos="7143"/>
        <w:tab w:val="right" w:pos="14287"/>
      </w:tabs>
    </w:pPr>
    <w:rPr>
      <w:rFonts w:asciiTheme="minorHAnsi" w:hAnsiTheme="minorHAnsi" w:eastAsiaTheme="minorEastAsia" w:cstheme="minorBidi"/>
      <w:sz w:val="21"/>
      <w:szCs w:val="22"/>
      <w:lang w:val="en-US" w:eastAsia="zh-CN" w:bidi="ar-SA"/>
    </w:rPr>
  </w:style>
  <w:style w:type="character" w:customStyle="1" w:styleId="81">
    <w:name w:val="标题 1 字符"/>
    <w:link w:val="69"/>
    <w:qFormat/>
    <w:uiPriority w:val="9"/>
    <w:rPr>
      <w:rFonts w:ascii="Arial" w:hAnsi="Arial" w:eastAsia="Arial" w:cs="Arial"/>
      <w:sz w:val="40"/>
      <w:szCs w:val="40"/>
    </w:rPr>
  </w:style>
  <w:style w:type="character" w:customStyle="1" w:styleId="82">
    <w:name w:val="标题 2 字符"/>
    <w:link w:val="70"/>
    <w:qFormat/>
    <w:uiPriority w:val="9"/>
    <w:rPr>
      <w:rFonts w:ascii="Arial" w:hAnsi="Arial" w:eastAsia="Arial" w:cs="Arial"/>
      <w:sz w:val="34"/>
    </w:rPr>
  </w:style>
  <w:style w:type="character" w:customStyle="1" w:styleId="83">
    <w:name w:val="标题 3 字符"/>
    <w:link w:val="71"/>
    <w:qFormat/>
    <w:uiPriority w:val="9"/>
    <w:rPr>
      <w:rFonts w:ascii="Arial" w:hAnsi="Arial" w:eastAsia="Arial" w:cs="Arial"/>
      <w:sz w:val="30"/>
      <w:szCs w:val="30"/>
    </w:rPr>
  </w:style>
  <w:style w:type="character" w:customStyle="1" w:styleId="84">
    <w:name w:val="标题 4 字符"/>
    <w:link w:val="72"/>
    <w:qFormat/>
    <w:uiPriority w:val="9"/>
    <w:rPr>
      <w:rFonts w:ascii="Arial" w:hAnsi="Arial" w:eastAsia="Arial" w:cs="Arial"/>
      <w:b/>
      <w:bCs/>
      <w:sz w:val="26"/>
      <w:szCs w:val="26"/>
    </w:rPr>
  </w:style>
  <w:style w:type="character" w:customStyle="1" w:styleId="85">
    <w:name w:val="标题 5 字符"/>
    <w:link w:val="73"/>
    <w:qFormat/>
    <w:uiPriority w:val="9"/>
    <w:rPr>
      <w:rFonts w:ascii="Arial" w:hAnsi="Arial" w:eastAsia="Arial" w:cs="Arial"/>
      <w:b/>
      <w:bCs/>
      <w:sz w:val="24"/>
      <w:szCs w:val="24"/>
    </w:rPr>
  </w:style>
  <w:style w:type="character" w:customStyle="1" w:styleId="86">
    <w:name w:val="标题 6 字符"/>
    <w:link w:val="74"/>
    <w:qFormat/>
    <w:uiPriority w:val="9"/>
    <w:rPr>
      <w:rFonts w:ascii="Arial" w:hAnsi="Arial" w:eastAsia="Arial" w:cs="Arial"/>
      <w:b/>
      <w:bCs/>
      <w:sz w:val="22"/>
      <w:szCs w:val="22"/>
    </w:rPr>
  </w:style>
  <w:style w:type="character" w:customStyle="1" w:styleId="87">
    <w:name w:val="标题 7 字符"/>
    <w:link w:val="75"/>
    <w:qFormat/>
    <w:uiPriority w:val="9"/>
    <w:rPr>
      <w:rFonts w:ascii="Arial" w:hAnsi="Arial" w:eastAsia="Arial" w:cs="Arial"/>
      <w:b/>
      <w:bCs/>
      <w:i/>
      <w:iCs/>
      <w:sz w:val="22"/>
      <w:szCs w:val="22"/>
    </w:rPr>
  </w:style>
  <w:style w:type="character" w:customStyle="1" w:styleId="88">
    <w:name w:val="标题 8 字符"/>
    <w:link w:val="76"/>
    <w:qFormat/>
    <w:uiPriority w:val="9"/>
    <w:rPr>
      <w:rFonts w:ascii="Arial" w:hAnsi="Arial" w:eastAsia="Arial" w:cs="Arial"/>
      <w:i/>
      <w:iCs/>
      <w:sz w:val="22"/>
      <w:szCs w:val="22"/>
    </w:rPr>
  </w:style>
  <w:style w:type="character" w:customStyle="1" w:styleId="89">
    <w:name w:val="标题 9 字符"/>
    <w:link w:val="77"/>
    <w:qFormat/>
    <w:uiPriority w:val="9"/>
    <w:rPr>
      <w:rFonts w:ascii="Arial" w:hAnsi="Arial" w:eastAsia="Arial" w:cs="Arial"/>
      <w:i/>
      <w:iCs/>
      <w:sz w:val="21"/>
      <w:szCs w:val="21"/>
    </w:rPr>
  </w:style>
  <w:style w:type="paragraph" w:styleId="90">
    <w:name w:val="List Paragraph"/>
    <w:basedOn w:val="1"/>
    <w:qFormat/>
    <w:uiPriority w:val="34"/>
    <w:pPr>
      <w:ind w:left="720"/>
      <w:contextualSpacing/>
    </w:pPr>
  </w:style>
  <w:style w:type="paragraph" w:styleId="91">
    <w:name w:val="No Spacing"/>
    <w:qFormat/>
    <w:uiPriority w:val="1"/>
    <w:rPr>
      <w:rFonts w:asciiTheme="minorHAnsi" w:hAnsiTheme="minorHAnsi" w:eastAsiaTheme="minorEastAsia" w:cstheme="minorBidi"/>
      <w:sz w:val="21"/>
      <w:szCs w:val="22"/>
      <w:lang w:val="en-US" w:eastAsia="zh-CN" w:bidi="ar-SA"/>
    </w:rPr>
  </w:style>
  <w:style w:type="character" w:customStyle="1" w:styleId="92">
    <w:name w:val="标题 Char"/>
    <w:link w:val="22"/>
    <w:qFormat/>
    <w:uiPriority w:val="10"/>
    <w:rPr>
      <w:sz w:val="48"/>
      <w:szCs w:val="48"/>
    </w:rPr>
  </w:style>
  <w:style w:type="character" w:customStyle="1" w:styleId="93">
    <w:name w:val="副标题 Char"/>
    <w:link w:val="16"/>
    <w:qFormat/>
    <w:uiPriority w:val="11"/>
    <w:rPr>
      <w:sz w:val="24"/>
      <w:szCs w:val="24"/>
    </w:rPr>
  </w:style>
  <w:style w:type="paragraph" w:styleId="94">
    <w:name w:val="Quote"/>
    <w:link w:val="95"/>
    <w:qFormat/>
    <w:uiPriority w:val="29"/>
    <w:pPr>
      <w:ind w:left="720" w:right="720"/>
    </w:pPr>
    <w:rPr>
      <w:rFonts w:asciiTheme="minorHAnsi" w:hAnsiTheme="minorHAnsi" w:eastAsiaTheme="minorEastAsia" w:cstheme="minorBidi"/>
      <w:i/>
      <w:sz w:val="21"/>
      <w:szCs w:val="22"/>
      <w:lang w:val="en-US" w:eastAsia="zh-CN" w:bidi="ar-SA"/>
    </w:rPr>
  </w:style>
  <w:style w:type="character" w:customStyle="1" w:styleId="95">
    <w:name w:val="引用 Char"/>
    <w:link w:val="94"/>
    <w:qFormat/>
    <w:uiPriority w:val="29"/>
    <w:rPr>
      <w:i/>
    </w:rPr>
  </w:style>
  <w:style w:type="paragraph" w:styleId="96">
    <w:name w:val="Intense Quote"/>
    <w:link w:val="9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Theme="minorHAnsi" w:hAnsiTheme="minorHAnsi" w:eastAsiaTheme="minorEastAsia" w:cstheme="minorBidi"/>
      <w:i/>
      <w:sz w:val="21"/>
      <w:szCs w:val="22"/>
      <w:lang w:val="en-US" w:eastAsia="zh-CN" w:bidi="ar-SA"/>
    </w:rPr>
  </w:style>
  <w:style w:type="character" w:customStyle="1" w:styleId="97">
    <w:name w:val="明显引用 Char"/>
    <w:link w:val="96"/>
    <w:qFormat/>
    <w:uiPriority w:val="30"/>
    <w:rPr>
      <w:i/>
    </w:rPr>
  </w:style>
  <w:style w:type="character" w:customStyle="1" w:styleId="98">
    <w:name w:val="页眉 字符"/>
    <w:link w:val="80"/>
    <w:qFormat/>
    <w:uiPriority w:val="99"/>
  </w:style>
  <w:style w:type="character" w:customStyle="1" w:styleId="99">
    <w:name w:val="Footer Char"/>
    <w:qFormat/>
    <w:uiPriority w:val="99"/>
  </w:style>
  <w:style w:type="character" w:customStyle="1" w:styleId="100">
    <w:name w:val="页脚 字符"/>
    <w:link w:val="79"/>
    <w:qFormat/>
    <w:uiPriority w:val="99"/>
  </w:style>
  <w:style w:type="table" w:customStyle="1" w:styleId="101">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02">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3">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4">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5">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6">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7">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8">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09">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10">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11">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12">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13">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14">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5">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6">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7">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8">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9">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0">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1">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2">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23">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4">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5">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6">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7">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8">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9">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30">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31">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32">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33">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34">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35">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6">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37">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38">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39">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40">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41">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42">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7E7E7E" w:themeColor="text1" w:themeTint="80"/>
      </w:rPr>
      <w:tcPr>
        <w:tcBorders>
          <w:bottom w:val="single" w:color="7E7E7E" w:themeColor="text1" w:themeTint="80" w:sz="12" w:space="0"/>
        </w:tcBorders>
      </w:tcPr>
    </w:tblStylePr>
    <w:tblStylePr w:type="lastRow">
      <w:rPr>
        <w:b/>
        <w:color w:val="7E7E7E" w:themeColor="text1" w:themeTint="80"/>
      </w:rPr>
    </w:tblStylePr>
    <w:tblStylePr w:type="firstCol">
      <w:rPr>
        <w:b/>
        <w:color w:val="7E7E7E" w:themeColor="text1" w:themeTint="80"/>
      </w:rPr>
    </w:tblStylePr>
    <w:tblStylePr w:type="lastCol">
      <w:rPr>
        <w:b/>
        <w:color w:val="7E7E7E" w:themeColor="text1"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Tint="80"/>
        <w:sz w:val="22"/>
      </w:rPr>
      <w:tcPr>
        <w:shd w:val="clear" w:color="CACACA" w:themeColor="text1" w:themeTint="34" w:fill="CACACA" w:themeFill="text1" w:themeFillTint="34"/>
      </w:tcPr>
    </w:tblStylePr>
    <w:tblStylePr w:type="band2Horz">
      <w:rPr>
        <w:rFonts w:ascii="Arial" w:hAnsi="Arial"/>
        <w:color w:val="7E7E7E" w:themeColor="text1" w:themeTint="80"/>
        <w:sz w:val="22"/>
      </w:rPr>
    </w:tblStylePr>
  </w:style>
  <w:style w:type="table" w:customStyle="1" w:styleId="143">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6BFDD" w:themeColor="accent1" w:themeTint="80"/>
      </w:rPr>
      <w:tcPr>
        <w:tcBorders>
          <w:bottom w:val="single" w:color="A6BFDD" w:themeColor="accent1" w:themeTint="80" w:sz="12" w:space="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Tint="80"/>
        <w:sz w:val="22"/>
      </w:rPr>
      <w:tcPr>
        <w:shd w:val="clear" w:color="DBE5F1" w:themeColor="accent1" w:themeTint="34" w:fill="DBE5F1" w:themeFill="accent1" w:themeFillTint="34"/>
      </w:tcPr>
    </w:tblStylePr>
    <w:tblStylePr w:type="band2Horz">
      <w:rPr>
        <w:rFonts w:ascii="Arial" w:hAnsi="Arial"/>
        <w:color w:val="A6BFDD" w:themeColor="accent1" w:themeTint="80"/>
        <w:sz w:val="22"/>
      </w:rPr>
    </w:tblStylePr>
  </w:style>
  <w:style w:type="table" w:customStyle="1" w:styleId="144">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99896" w:themeColor="accent2" w:themeTint="96"/>
      </w:rPr>
      <w:tcPr>
        <w:tcBorders>
          <w:bottom w:val="single" w:color="D99795" w:themeColor="accent2" w:themeTint="97" w:sz="12" w:space="0"/>
        </w:tcBorders>
      </w:tcPr>
    </w:tblStylePr>
    <w:tblStylePr w:type="lastRow">
      <w:rPr>
        <w:b/>
        <w:color w:val="D99896" w:themeColor="accent2" w:themeTint="96"/>
      </w:rPr>
    </w:tblStylePr>
    <w:tblStylePr w:type="firstCol">
      <w:rPr>
        <w:b/>
        <w:color w:val="D99896" w:themeColor="accent2" w:themeTint="96"/>
      </w:rPr>
    </w:tblStylePr>
    <w:tblStylePr w:type="lastCol">
      <w:rPr>
        <w:b/>
        <w:color w:val="D99896" w:themeColor="accent2" w:themeTint="96"/>
      </w:rPr>
    </w:tblStylePr>
    <w:tblStylePr w:type="band1Vert">
      <w:tcPr>
        <w:shd w:val="clear" w:color="F2DCDC" w:themeColor="accent2" w:themeTint="32" w:fill="F2DCDC" w:themeFill="accent2" w:themeFillTint="32"/>
      </w:tcPr>
    </w:tblStylePr>
    <w:tblStylePr w:type="band1Horz">
      <w:rPr>
        <w:rFonts w:ascii="Arial" w:hAnsi="Arial"/>
        <w:color w:val="D99896" w:themeColor="accent2" w:themeTint="96"/>
        <w:sz w:val="22"/>
      </w:rPr>
      <w:tcPr>
        <w:shd w:val="clear" w:color="F2DCDC" w:themeColor="accent2" w:themeTint="32" w:fill="F2DCDC" w:themeFill="accent2" w:themeFillTint="32"/>
      </w:tcPr>
    </w:tblStylePr>
    <w:tblStylePr w:type="band2Horz">
      <w:rPr>
        <w:rFonts w:ascii="Arial" w:hAnsi="Arial"/>
        <w:color w:val="D99896" w:themeColor="accent2" w:themeTint="96"/>
        <w:sz w:val="22"/>
      </w:rPr>
    </w:tblStylePr>
  </w:style>
  <w:style w:type="table" w:customStyle="1" w:styleId="145">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rPr>
      <w:tcPr>
        <w:tcBorders>
          <w:bottom w:val="single" w:color="9BBB59" w:themeColor="accent3" w:themeTint="FE" w:sz="12" w:space="0"/>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rPr>
      <w:tcPr>
        <w:shd w:val="clear" w:color="EAF1DD" w:themeColor="accent3" w:themeTint="34" w:fill="EAF1DD" w:themeFill="accent3" w:themeFillTint="34"/>
      </w:tcPr>
    </w:tblStylePr>
    <w:tblStylePr w:type="band2Horz">
      <w:rPr>
        <w:rFonts w:ascii="Arial" w:hAnsi="Arial"/>
        <w:color w:val="9BBB59" w:themeColor="accent3"/>
        <w:sz w:val="22"/>
      </w:rPr>
    </w:tblStylePr>
  </w:style>
  <w:style w:type="table" w:customStyle="1" w:styleId="146">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2A1C7" w:themeColor="accent4" w:themeTint="99"/>
      </w:rPr>
      <w:tcPr>
        <w:tcBorders>
          <w:bottom w:val="single" w:color="B2A1C6" w:themeColor="accent4" w:themeTint="9A" w:sz="12" w:space="0"/>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cPr>
        <w:shd w:val="clear" w:color="E5DFEC" w:themeColor="accent4" w:themeTint="34" w:fill="E5DFEC" w:themeFill="accent4" w:themeFillTint="34"/>
      </w:tcPr>
    </w:tblStylePr>
    <w:tblStylePr w:type="band1Horz">
      <w:rPr>
        <w:rFonts w:ascii="Arial" w:hAnsi="Arial"/>
        <w:color w:val="B2A1C7" w:themeColor="accent4" w:themeTint="99"/>
        <w:sz w:val="22"/>
      </w:r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147">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678" w:themeColor="accent5" w:themeShade="94"/>
      </w:rPr>
      <w:tcPr>
        <w:tcBorders>
          <w:bottom w:val="single" w:color="4BACC6" w:themeColor="accent5" w:sz="12" w:space="0"/>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678" w:themeColor="accent5" w:themeShade="94"/>
        <w:sz w:val="22"/>
      </w:r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148">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678" w:themeColor="accent5" w:themeShade="94"/>
      </w:rPr>
      <w:tcPr>
        <w:tcBorders>
          <w:bottom w:val="single" w:color="F79646" w:themeColor="accent6" w:sz="12" w:space="0"/>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678" w:themeColor="accent5" w:themeShade="94"/>
        <w:sz w:val="22"/>
      </w:rPr>
      <w:tcPr>
        <w:shd w:val="clear" w:color="FDE9D9" w:themeColor="accent6" w:themeTint="34" w:fill="FDE9D9" w:themeFill="accent6" w:themeFillTint="34"/>
      </w:tcPr>
    </w:tblStylePr>
    <w:tblStylePr w:type="band2Horz">
      <w:rPr>
        <w:rFonts w:ascii="Arial" w:hAnsi="Arial"/>
        <w:color w:val="266678" w:themeColor="accent5" w:themeShade="94"/>
        <w:sz w:val="22"/>
      </w:rPr>
    </w:tblStylePr>
  </w:style>
  <w:style w:type="table" w:customStyle="1" w:styleId="149">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7E7E7E" w:themeColor="text1"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Tint="80"/>
        <w:sz w:val="22"/>
      </w:rPr>
      <w:tcPr>
        <w:shd w:val="clear" w:color="F1F1F1" w:themeColor="text1" w:themeTint="0D" w:fill="F1F1F1" w:themeFill="text1" w:themeFillTint="0D"/>
      </w:tcPr>
    </w:tblStylePr>
    <w:tblStylePr w:type="band2Horz">
      <w:rPr>
        <w:rFonts w:ascii="Arial" w:hAnsi="Arial"/>
        <w:color w:val="7E7E7E" w:themeColor="text1" w:themeTint="80"/>
        <w:sz w:val="22"/>
      </w:rPr>
    </w:tblStylePr>
  </w:style>
  <w:style w:type="table" w:customStyle="1" w:styleId="150">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6BFDD" w:themeColor="accent1"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Tint="80"/>
        <w:sz w:val="22"/>
      </w:rPr>
      <w:tcPr>
        <w:shd w:val="clear" w:color="DBE5F1" w:themeColor="accent1" w:themeTint="34" w:fill="DBE5F1" w:themeFill="accent1" w:themeFillTint="34"/>
      </w:tcPr>
    </w:tblStylePr>
    <w:tblStylePr w:type="band2Horz">
      <w:rPr>
        <w:rFonts w:ascii="Arial" w:hAnsi="Arial"/>
        <w:color w:val="A6BFDD" w:themeColor="accent1" w:themeTint="80"/>
        <w:sz w:val="22"/>
      </w:rPr>
    </w:tblStylePr>
  </w:style>
  <w:style w:type="table" w:customStyle="1" w:styleId="151">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99896" w:themeColor="accent2" w:themeTint="96"/>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896" w:themeColor="accent2" w:themeTint="96"/>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896" w:themeColor="accent2" w:themeTint="96"/>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896" w:themeColor="accent2" w:themeTint="96"/>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896" w:themeColor="accent2" w:themeTint="96"/>
        <w:sz w:val="22"/>
      </w:rPr>
      <w:tcPr>
        <w:shd w:val="clear" w:color="F2DCDC" w:themeColor="accent2" w:themeTint="32" w:fill="F2DCDC" w:themeFill="accent2" w:themeFillTint="32"/>
      </w:tcPr>
    </w:tblStylePr>
    <w:tblStylePr w:type="band2Horz">
      <w:rPr>
        <w:rFonts w:ascii="Arial" w:hAnsi="Arial"/>
        <w:color w:val="D99896" w:themeColor="accent2" w:themeTint="96"/>
        <w:sz w:val="22"/>
      </w:rPr>
    </w:tblStylePr>
  </w:style>
  <w:style w:type="table" w:customStyle="1" w:styleId="152">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rPr>
      <w:tcPr>
        <w:shd w:val="clear" w:color="EAF1DD" w:themeColor="accent3" w:themeTint="34" w:fill="EAF1DD" w:themeFill="accent3" w:themeFillTint="34"/>
      </w:tcPr>
    </w:tblStylePr>
    <w:tblStylePr w:type="band2Horz">
      <w:rPr>
        <w:rFonts w:ascii="Arial" w:hAnsi="Arial"/>
        <w:color w:val="9BBB59" w:themeColor="accent3"/>
        <w:sz w:val="22"/>
      </w:rPr>
    </w:tblStylePr>
  </w:style>
  <w:style w:type="table" w:customStyle="1" w:styleId="153">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2A1C7" w:themeColor="accent4" w:themeTint="99"/>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7" w:themeColor="accent4" w:themeTint="99"/>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7" w:themeColor="accent4" w:themeTint="99"/>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7" w:themeColor="accent4" w:themeTint="99"/>
        <w:sz w:val="22"/>
      </w:r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154">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6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6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6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678" w:themeColor="accent5" w:themeShade="94"/>
        <w:sz w:val="22"/>
      </w:r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155">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307"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307"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307"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307" w:themeColor="accent6" w:themeShade="94"/>
        <w:sz w:val="22"/>
      </w:rPr>
      <w:tcPr>
        <w:shd w:val="clear" w:color="FDE9D9" w:themeColor="accent6" w:themeTint="34" w:fill="FDE9D9" w:themeFill="accent6" w:themeFillTint="34"/>
      </w:tcPr>
    </w:tblStylePr>
    <w:tblStylePr w:type="band2Horz">
      <w:rPr>
        <w:rFonts w:ascii="Arial" w:hAnsi="Arial"/>
        <w:color w:val="B05307" w:themeColor="accent6" w:themeShade="94"/>
        <w:sz w:val="22"/>
      </w:rPr>
    </w:tblStylePr>
  </w:style>
  <w:style w:type="table" w:customStyle="1" w:styleId="156">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7">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58">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59">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60">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61">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62">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63">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4">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5">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6">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7">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8">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9">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70">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71">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72">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73">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74">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75">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76">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77">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8">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79">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80">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81">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82">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83">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84">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5">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86">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87">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88">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89">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90">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91">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92">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A71" w:themeColor="accent1" w:themeShade="94"/>
      </w:rPr>
      <w:tcPr>
        <w:tcBorders>
          <w:bottom w:val="single" w:color="4F81BD" w:themeColor="accent1" w:sz="4" w:space="0"/>
        </w:tcBorders>
      </w:tcPr>
    </w:tblStylePr>
    <w:tblStylePr w:type="lastRow">
      <w:rPr>
        <w:b/>
        <w:color w:val="2A4A71" w:themeColor="accent1" w:themeShade="94"/>
      </w:rPr>
      <w:tcPr>
        <w:tcBorders>
          <w:top w:val="single" w:color="4F81BD" w:themeColor="accent1" w:sz="4" w:space="0"/>
        </w:tcBorders>
      </w:tcPr>
    </w:tblStylePr>
    <w:tblStylePr w:type="firstCol">
      <w:rPr>
        <w:b/>
        <w:color w:val="2A4A71" w:themeColor="accent1" w:themeShade="94"/>
      </w:rPr>
    </w:tblStylePr>
    <w:tblStylePr w:type="lastCol">
      <w:rPr>
        <w:b/>
        <w:color w:val="2A4A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4"/>
        <w:sz w:val="22"/>
      </w:rPr>
      <w:tcPr>
        <w:shd w:val="clear" w:color="D2DFEE" w:themeColor="accent1" w:themeTint="40" w:fill="D2DFEE" w:themeFill="accent1" w:themeFillTint="40"/>
      </w:tcPr>
    </w:tblStylePr>
    <w:tblStylePr w:type="band2Horz">
      <w:rPr>
        <w:rFonts w:ascii="Arial" w:hAnsi="Arial"/>
        <w:color w:val="2A4A71" w:themeColor="accent1" w:themeShade="94"/>
        <w:sz w:val="22"/>
      </w:rPr>
    </w:tblStylePr>
  </w:style>
  <w:style w:type="table" w:customStyle="1" w:styleId="193">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99896" w:themeColor="accent2" w:themeTint="96"/>
      </w:rPr>
      <w:tcPr>
        <w:tcBorders>
          <w:bottom w:val="single" w:color="D99795" w:themeColor="accent2" w:themeTint="97" w:sz="4" w:space="0"/>
        </w:tcBorders>
      </w:tcPr>
    </w:tblStylePr>
    <w:tblStylePr w:type="lastRow">
      <w:rPr>
        <w:b/>
        <w:color w:val="D99896" w:themeColor="accent2" w:themeTint="96"/>
      </w:rPr>
      <w:tcPr>
        <w:tcBorders>
          <w:top w:val="single" w:color="D99795" w:themeColor="accent2" w:themeTint="97" w:sz="4" w:space="0"/>
        </w:tcBorders>
      </w:tcPr>
    </w:tblStylePr>
    <w:tblStylePr w:type="firstCol">
      <w:rPr>
        <w:b/>
        <w:color w:val="D99896" w:themeColor="accent2" w:themeTint="96"/>
      </w:rPr>
    </w:tblStylePr>
    <w:tblStylePr w:type="lastCol">
      <w:rPr>
        <w:b/>
        <w:color w:val="D99896" w:themeColor="accent2" w:themeTint="96"/>
      </w:rPr>
    </w:tblStylePr>
    <w:tblStylePr w:type="band1Vert">
      <w:tcPr>
        <w:shd w:val="clear" w:color="EFD3D2" w:themeColor="accent2" w:themeTint="40" w:fill="EFD3D2" w:themeFill="accent2" w:themeFillTint="40"/>
      </w:tcPr>
    </w:tblStylePr>
    <w:tblStylePr w:type="band1Horz">
      <w:rPr>
        <w:rFonts w:ascii="Arial" w:hAnsi="Arial"/>
        <w:color w:val="D99896" w:themeColor="accent2" w:themeTint="96"/>
        <w:sz w:val="22"/>
      </w:rPr>
      <w:tcPr>
        <w:shd w:val="clear" w:color="EFD3D2" w:themeColor="accent2" w:themeTint="40" w:fill="EFD3D2" w:themeFill="accent2" w:themeFillTint="40"/>
      </w:tcPr>
    </w:tblStylePr>
    <w:tblStylePr w:type="band2Horz">
      <w:rPr>
        <w:rFonts w:ascii="Arial" w:hAnsi="Arial"/>
        <w:color w:val="D99896" w:themeColor="accent2" w:themeTint="96"/>
        <w:sz w:val="22"/>
      </w:rPr>
    </w:tblStylePr>
  </w:style>
  <w:style w:type="table" w:customStyle="1" w:styleId="194">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2D69B" w:themeColor="accent3" w:themeTint="99"/>
      </w:rPr>
      <w:tcPr>
        <w:tcBorders>
          <w:bottom w:val="single" w:color="C3D69C" w:themeColor="accent3" w:themeTint="98" w:sz="4" w:space="0"/>
        </w:tcBorders>
      </w:tcPr>
    </w:tblStylePr>
    <w:tblStylePr w:type="lastRow">
      <w:rPr>
        <w:b/>
        <w:color w:val="C2D69B" w:themeColor="accent3" w:themeTint="99"/>
      </w:rPr>
      <w:tcPr>
        <w:tcBorders>
          <w:top w:val="single" w:color="C3D69C" w:themeColor="accent3" w:themeTint="98" w:sz="4" w:space="0"/>
        </w:tcBorders>
      </w:tcPr>
    </w:tblStylePr>
    <w:tblStylePr w:type="firstCol">
      <w:rPr>
        <w:b/>
        <w:color w:val="C2D69B" w:themeColor="accent3" w:themeTint="99"/>
      </w:rPr>
    </w:tblStylePr>
    <w:tblStylePr w:type="lastCol">
      <w:rPr>
        <w:b/>
        <w:color w:val="C2D69B" w:themeColor="accent3" w:themeTint="99"/>
      </w:rPr>
    </w:tblStylePr>
    <w:tblStylePr w:type="band1Vert">
      <w:tcPr>
        <w:shd w:val="clear" w:color="E5EDD5" w:themeColor="accent3" w:themeTint="40" w:fill="E5EDD5" w:themeFill="accent3" w:themeFillTint="40"/>
      </w:tcPr>
    </w:tblStylePr>
    <w:tblStylePr w:type="band1Horz">
      <w:rPr>
        <w:rFonts w:ascii="Arial" w:hAnsi="Arial"/>
        <w:color w:val="C2D69B" w:themeColor="accent3" w:themeTint="99"/>
        <w:sz w:val="22"/>
      </w:rPr>
      <w:tcPr>
        <w:shd w:val="clear" w:color="E5EDD5" w:themeColor="accent3" w:themeTint="40" w:fill="E5EDD5" w:themeFill="accent3" w:themeFillTint="40"/>
      </w:tcPr>
    </w:tblStylePr>
    <w:tblStylePr w:type="band2Horz">
      <w:rPr>
        <w:rFonts w:ascii="Arial" w:hAnsi="Arial"/>
        <w:color w:val="C2D69B" w:themeColor="accent3" w:themeTint="99"/>
        <w:sz w:val="22"/>
      </w:rPr>
    </w:tblStylePr>
  </w:style>
  <w:style w:type="table" w:customStyle="1" w:styleId="195">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2A1C7" w:themeColor="accent4" w:themeTint="99"/>
      </w:rPr>
      <w:tcPr>
        <w:tcBorders>
          <w:bottom w:val="single" w:color="B2A1C6" w:themeColor="accent4" w:themeTint="9A" w:sz="4" w:space="0"/>
        </w:tcBorders>
      </w:tcPr>
    </w:tblStylePr>
    <w:tblStylePr w:type="lastRow">
      <w:rPr>
        <w:b/>
        <w:color w:val="B2A1C7" w:themeColor="accent4" w:themeTint="99"/>
      </w:rPr>
      <w:tcPr>
        <w:tcBorders>
          <w:top w:val="single" w:color="B2A1C6" w:themeColor="accent4" w:themeTint="9A" w:sz="4" w:space="0"/>
        </w:tcBorders>
      </w:tcPr>
    </w:tblStylePr>
    <w:tblStylePr w:type="firstCol">
      <w:rPr>
        <w:b/>
        <w:color w:val="B2A1C7" w:themeColor="accent4" w:themeTint="99"/>
      </w:rPr>
    </w:tblStylePr>
    <w:tblStylePr w:type="lastCol">
      <w:rPr>
        <w:b/>
        <w:color w:val="B2A1C7" w:themeColor="accent4" w:themeTint="99"/>
      </w:rPr>
    </w:tblStylePr>
    <w:tblStylePr w:type="band1Vert">
      <w:tcPr>
        <w:shd w:val="clear" w:color="DFD8E7" w:themeColor="accent4" w:themeTint="40" w:fill="DFD8E7" w:themeFill="accent4" w:themeFillTint="40"/>
      </w:tcPr>
    </w:tblStylePr>
    <w:tblStylePr w:type="band1Horz">
      <w:rPr>
        <w:rFonts w:ascii="Arial" w:hAnsi="Arial"/>
        <w:color w:val="B2A1C7" w:themeColor="accent4" w:themeTint="99"/>
        <w:sz w:val="22"/>
      </w:r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196">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2CDDC" w:themeColor="accent5" w:themeTint="99"/>
      </w:rPr>
      <w:tcPr>
        <w:tcBorders>
          <w:bottom w:val="single" w:color="92CCDC" w:themeColor="accent5" w:themeTint="9A" w:sz="4" w:space="0"/>
        </w:tcBorders>
      </w:tcPr>
    </w:tblStylePr>
    <w:tblStylePr w:type="lastRow">
      <w:rPr>
        <w:b/>
        <w:color w:val="92CDDC" w:themeColor="accent5" w:themeTint="99"/>
      </w:rPr>
      <w:tcPr>
        <w:tcBorders>
          <w:top w:val="single" w:color="92CCDC" w:themeColor="accent5" w:themeTint="9A" w:sz="4" w:space="0"/>
        </w:tcBorders>
      </w:tcPr>
    </w:tblStylePr>
    <w:tblStylePr w:type="firstCol">
      <w:rPr>
        <w:b/>
        <w:color w:val="92CDDC" w:themeColor="accent5" w:themeTint="99"/>
      </w:rPr>
    </w:tblStylePr>
    <w:tblStylePr w:type="lastCol">
      <w:rPr>
        <w:b/>
        <w:color w:val="92CDDC" w:themeColor="accent5" w:themeTint="99"/>
      </w:rPr>
    </w:tblStylePr>
    <w:tblStylePr w:type="band1Vert">
      <w:tcPr>
        <w:shd w:val="clear" w:color="D1EAF0" w:themeColor="accent5" w:themeTint="40" w:fill="D1EAF0" w:themeFill="accent5" w:themeFillTint="40"/>
      </w:tcPr>
    </w:tblStylePr>
    <w:tblStylePr w:type="band1Horz">
      <w:rPr>
        <w:rFonts w:ascii="Arial" w:hAnsi="Arial"/>
        <w:color w:val="92CDDC" w:themeColor="accent5" w:themeTint="99"/>
        <w:sz w:val="22"/>
      </w:r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197">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BF8F" w:themeColor="accent6" w:themeTint="99"/>
      </w:rPr>
      <w:tcPr>
        <w:tcBorders>
          <w:bottom w:val="single" w:color="FAC090" w:themeColor="accent6" w:themeTint="98" w:sz="4" w:space="0"/>
        </w:tcBorders>
      </w:tcPr>
    </w:tblStylePr>
    <w:tblStylePr w:type="lastRow">
      <w:rPr>
        <w:b/>
        <w:color w:val="FABF8F" w:themeColor="accent6" w:themeTint="99"/>
      </w:rPr>
      <w:tcPr>
        <w:tcBorders>
          <w:top w:val="single" w:color="FAC090" w:themeColor="accent6" w:themeTint="98" w:sz="4" w:space="0"/>
        </w:tcBorders>
      </w:tcPr>
    </w:tblStylePr>
    <w:tblStylePr w:type="firstCol">
      <w:rPr>
        <w:b/>
        <w:color w:val="FABF8F" w:themeColor="accent6" w:themeTint="99"/>
      </w:rPr>
    </w:tblStylePr>
    <w:tblStylePr w:type="lastCol">
      <w:rPr>
        <w:b/>
        <w:color w:val="FABF8F" w:themeColor="accent6" w:themeTint="99"/>
      </w:rPr>
    </w:tblStylePr>
    <w:tblStylePr w:type="band1Vert">
      <w:tcPr>
        <w:shd w:val="clear" w:color="FCE4D0" w:themeColor="accent6" w:themeTint="40" w:fill="FCE4D0" w:themeFill="accent6" w:themeFillTint="40"/>
      </w:tcPr>
    </w:tblStylePr>
    <w:tblStylePr w:type="band1Horz">
      <w:rPr>
        <w:rFonts w:ascii="Arial" w:hAnsi="Arial"/>
        <w:color w:val="FABF8F" w:themeColor="accent6" w:themeTint="99"/>
        <w:sz w:val="22"/>
      </w:rPr>
      <w:tcPr>
        <w:shd w:val="clear" w:color="FCE4D0" w:themeColor="accent6" w:themeTint="40" w:fill="FCE4D0" w:themeFill="accent6" w:themeFillTint="40"/>
      </w:tcPr>
    </w:tblStylePr>
    <w:tblStylePr w:type="band2Horz">
      <w:rPr>
        <w:rFonts w:ascii="Arial" w:hAnsi="Arial"/>
        <w:color w:val="FABF8F" w:themeColor="accent6" w:themeTint="99"/>
        <w:sz w:val="22"/>
      </w:rPr>
    </w:tblStylePr>
  </w:style>
  <w:style w:type="table" w:customStyle="1" w:styleId="198">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7E7E7E" w:themeColor="text1"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Tint="80"/>
        <w:sz w:val="22"/>
      </w:rPr>
      <w:tcPr>
        <w:shd w:val="clear" w:color="BEBEBE" w:themeColor="text1" w:themeTint="40" w:fill="BEBEBE" w:themeFill="text1" w:themeFillTint="40"/>
      </w:tcPr>
    </w:tblStylePr>
    <w:tblStylePr w:type="band2Horz">
      <w:rPr>
        <w:rFonts w:ascii="Arial" w:hAnsi="Arial"/>
        <w:color w:val="7E7E7E" w:themeColor="text1" w:themeTint="80"/>
        <w:sz w:val="22"/>
      </w:rPr>
    </w:tblStylePr>
  </w:style>
  <w:style w:type="table" w:customStyle="1" w:styleId="199">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A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A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A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4"/>
        <w:sz w:val="22"/>
      </w:rPr>
      <w:tcPr>
        <w:shd w:val="clear" w:color="D2DFEE" w:themeColor="accent1" w:themeTint="40" w:fill="D2DFEE" w:themeFill="accent1" w:themeFillTint="40"/>
      </w:tcPr>
    </w:tblStylePr>
    <w:tblStylePr w:type="band2Horz">
      <w:rPr>
        <w:rFonts w:ascii="Arial" w:hAnsi="Arial"/>
        <w:color w:val="2A4A71" w:themeColor="accent1" w:themeShade="94"/>
        <w:sz w:val="22"/>
      </w:rPr>
    </w:tblStylePr>
  </w:style>
  <w:style w:type="table" w:customStyle="1" w:styleId="200">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99896" w:themeColor="accent2" w:themeTint="96"/>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896" w:themeColor="accent2" w:themeTint="96"/>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896" w:themeColor="accent2" w:themeTint="96"/>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896" w:themeColor="accent2" w:themeTint="96"/>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896" w:themeColor="accent2" w:themeTint="96"/>
        <w:sz w:val="22"/>
      </w:rPr>
      <w:tcPr>
        <w:shd w:val="clear" w:color="EFD3D2" w:themeColor="accent2" w:themeTint="40" w:fill="EFD3D2" w:themeFill="accent2" w:themeFillTint="40"/>
      </w:tcPr>
    </w:tblStylePr>
    <w:tblStylePr w:type="band2Horz">
      <w:rPr>
        <w:rFonts w:ascii="Arial" w:hAnsi="Arial"/>
        <w:color w:val="D99896" w:themeColor="accent2" w:themeTint="96"/>
        <w:sz w:val="22"/>
      </w:rPr>
    </w:tblStylePr>
  </w:style>
  <w:style w:type="table" w:customStyle="1" w:styleId="201">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2D69B" w:themeColor="accent3" w:themeTint="99"/>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2D69B" w:themeColor="accent3" w:themeTint="99"/>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2D69B" w:themeColor="accent3" w:themeTint="99"/>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2D69B" w:themeColor="accent3" w:themeTint="99"/>
        <w:sz w:val="22"/>
      </w:rPr>
      <w:tcPr>
        <w:shd w:val="clear" w:color="E5EDD5" w:themeColor="accent3" w:themeTint="40" w:fill="E5EDD5" w:themeFill="accent3" w:themeFillTint="40"/>
      </w:tcPr>
    </w:tblStylePr>
    <w:tblStylePr w:type="band2Horz">
      <w:rPr>
        <w:rFonts w:ascii="Arial" w:hAnsi="Arial"/>
        <w:color w:val="C2D69B" w:themeColor="accent3" w:themeTint="99"/>
        <w:sz w:val="22"/>
      </w:rPr>
    </w:tblStylePr>
  </w:style>
  <w:style w:type="table" w:customStyle="1" w:styleId="202">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2A1C7" w:themeColor="accent4" w:themeTint="99"/>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7" w:themeColor="accent4" w:themeTint="99"/>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7" w:themeColor="accent4" w:themeTint="99"/>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7" w:themeColor="accent4" w:themeTint="99"/>
        <w:sz w:val="22"/>
      </w:r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203">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2CDDC" w:themeColor="accent5" w:themeTint="99"/>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DDC" w:themeColor="accent5" w:themeTint="99"/>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DDC" w:themeColor="accent5" w:themeTint="99"/>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DDC" w:themeColor="accent5" w:themeTint="99"/>
        <w:sz w:val="22"/>
      </w:r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204">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BF8F" w:themeColor="accent6" w:themeTint="99"/>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BF8F" w:themeColor="accent6" w:themeTint="99"/>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BF8F" w:themeColor="accent6" w:themeTint="99"/>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BF8F" w:themeColor="accent6" w:themeTint="99"/>
        <w:sz w:val="22"/>
      </w:rPr>
      <w:tcPr>
        <w:shd w:val="clear" w:color="FCE4D0" w:themeColor="accent6" w:themeTint="40" w:fill="FCE4D0" w:themeFill="accent6" w:themeFillTint="40"/>
      </w:tcPr>
    </w:tblStylePr>
    <w:tblStylePr w:type="band2Horz">
      <w:rPr>
        <w:rFonts w:ascii="Arial" w:hAnsi="Arial"/>
        <w:color w:val="FABF8F" w:themeColor="accent6" w:themeTint="99"/>
        <w:sz w:val="22"/>
      </w:rPr>
    </w:tblStylePr>
  </w:style>
  <w:style w:type="table" w:customStyle="1" w:styleId="205">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6">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7">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8">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9">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0">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1">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2">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3">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14">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15">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16">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7">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8">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9">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20">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21">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22">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23">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24">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25">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26">
    <w:name w:val="脚注文本 Char"/>
    <w:link w:val="17"/>
    <w:qFormat/>
    <w:uiPriority w:val="99"/>
    <w:rPr>
      <w:sz w:val="18"/>
    </w:rPr>
  </w:style>
  <w:style w:type="character" w:customStyle="1" w:styleId="227">
    <w:name w:val="尾注文本 Char"/>
    <w:link w:val="11"/>
    <w:qFormat/>
    <w:uiPriority w:val="99"/>
    <w:rPr>
      <w:sz w:val="20"/>
    </w:rPr>
  </w:style>
  <w:style w:type="paragraph" w:customStyle="1" w:styleId="228">
    <w:name w:val="TOC 标题11"/>
    <w:unhideWhenUsed/>
    <w:qFormat/>
    <w:uiPriority w:val="39"/>
    <w:rPr>
      <w:rFonts w:asciiTheme="minorHAnsi" w:hAnsiTheme="minorHAnsi" w:eastAsiaTheme="minorEastAsia" w:cstheme="minorBidi"/>
      <w:sz w:val="21"/>
      <w:szCs w:val="22"/>
      <w:lang w:val="en-US" w:eastAsia="zh-CN" w:bidi="ar-SA"/>
    </w:rPr>
  </w:style>
  <w:style w:type="paragraph" w:customStyle="1" w:styleId="229">
    <w:name w:val="Table Paragraph"/>
    <w:basedOn w:val="1"/>
    <w:qFormat/>
    <w:uiPriority w:val="1"/>
    <w:rPr>
      <w:rFonts w:ascii="Calibri" w:hAnsi="Calibri"/>
      <w:sz w:val="22"/>
      <w:lang w:eastAsia="en-US"/>
    </w:rPr>
  </w:style>
  <w:style w:type="character" w:customStyle="1" w:styleId="230">
    <w:name w:val="页眉 Char"/>
    <w:basedOn w:val="27"/>
    <w:link w:val="13"/>
    <w:semiHidden/>
    <w:qFormat/>
    <w:uiPriority w:val="99"/>
    <w:rPr>
      <w:rFonts w:asciiTheme="minorHAnsi" w:hAnsiTheme="minorHAnsi" w:eastAsiaTheme="minorEastAsia" w:cstheme="minorBidi"/>
      <w:sz w:val="18"/>
      <w:szCs w:val="18"/>
    </w:rPr>
  </w:style>
  <w:style w:type="character" w:customStyle="1" w:styleId="231">
    <w:name w:val="页脚 Char"/>
    <w:basedOn w:val="27"/>
    <w:link w:val="12"/>
    <w:semiHidden/>
    <w:qFormat/>
    <w:uiPriority w:val="99"/>
    <w:rPr>
      <w:rFonts w:asciiTheme="minorHAnsi" w:hAnsiTheme="minorHAnsi" w:eastAsiaTheme="minorEastAsia" w:cstheme="minorBidi"/>
      <w:sz w:val="18"/>
      <w:szCs w:val="18"/>
    </w:rPr>
  </w:style>
  <w:style w:type="character" w:customStyle="1" w:styleId="232">
    <w:name w:val="标题 3 Char"/>
    <w:basedOn w:val="27"/>
    <w:link w:val="2"/>
    <w:qFormat/>
    <w:uiPriority w:val="0"/>
    <w:rPr>
      <w:b/>
      <w:bCs/>
      <w:kern w:val="2"/>
      <w:sz w:val="32"/>
      <w:szCs w:val="32"/>
    </w:rPr>
  </w:style>
  <w:style w:type="character" w:customStyle="1" w:styleId="233">
    <w:name w:val="标题 4 Char"/>
    <w:basedOn w:val="27"/>
    <w:link w:val="4"/>
    <w:semiHidden/>
    <w:qFormat/>
    <w:uiPriority w:val="9"/>
    <w:rPr>
      <w:rFonts w:asciiTheme="majorHAnsi" w:hAnsiTheme="majorHAnsi" w:eastAsiaTheme="majorEastAsia" w:cstheme="majorBidi"/>
      <w:b/>
      <w:bCs/>
      <w:sz w:val="28"/>
      <w:szCs w:val="28"/>
    </w:rPr>
  </w:style>
  <w:style w:type="paragraph" w:customStyle="1" w:styleId="234">
    <w:name w:val="一级条标题"/>
    <w:basedOn w:val="1"/>
    <w:next w:val="1"/>
    <w:qFormat/>
    <w:uiPriority w:val="0"/>
    <w:pPr>
      <w:tabs>
        <w:tab w:val="left" w:pos="810"/>
        <w:tab w:val="left" w:pos="907"/>
        <w:tab w:val="left" w:pos="1265"/>
      </w:tabs>
      <w:spacing w:beforeLines="50" w:afterLines="50"/>
      <w:ind w:left="907" w:hanging="907"/>
      <w:jc w:val="both"/>
      <w:outlineLvl w:val="2"/>
    </w:pPr>
    <w:rPr>
      <w:rFonts w:ascii="Times New Roman" w:hAnsi="宋体" w:eastAsia="黑体" w:cs="Times New Roman"/>
      <w:sz w:val="20"/>
      <w:szCs w:val="20"/>
    </w:rPr>
  </w:style>
  <w:style w:type="paragraph" w:customStyle="1" w:styleId="235">
    <w:name w:val="列出段落2"/>
    <w:basedOn w:val="1"/>
    <w:qFormat/>
    <w:uiPriority w:val="0"/>
    <w:pPr>
      <w:ind w:left="720"/>
    </w:pPr>
    <w:rPr>
      <w:rFonts w:ascii="Arial" w:hAnsi="Arial" w:eastAsia="黑体" w:cs="Arial"/>
      <w:sz w:val="24"/>
      <w:szCs w:val="24"/>
      <w:lang w:eastAsia="en-US"/>
    </w:rPr>
  </w:style>
  <w:style w:type="paragraph" w:customStyle="1" w:styleId="236">
    <w:name w:val="正文（文本）"/>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237">
    <w:name w:val="首行缩进"/>
    <w:basedOn w:val="1"/>
    <w:qFormat/>
    <w:uiPriority w:val="0"/>
    <w:pPr>
      <w:widowControl w:val="0"/>
      <w:ind w:firstLine="480" w:firstLineChars="200"/>
      <w:jc w:val="both"/>
    </w:pPr>
    <w:rPr>
      <w:rFonts w:ascii="Calibri" w:hAnsi="Calibri" w:eastAsia="Calibri" w:cs="宋体"/>
      <w:sz w:val="20"/>
      <w:szCs w:val="20"/>
      <w:lang w:val="zh-CN"/>
    </w:rPr>
  </w:style>
  <w:style w:type="character" w:customStyle="1" w:styleId="238">
    <w:name w:val="正文文本 Char"/>
    <w:basedOn w:val="27"/>
    <w:link w:val="6"/>
    <w:qFormat/>
    <w:uiPriority w:val="99"/>
    <w:rPr>
      <w:rFonts w:eastAsia="幼圆" w:asciiTheme="minorHAnsi" w:hAnsiTheme="minorHAnsi" w:cstheme="minorBidi"/>
      <w:b/>
      <w:bCs/>
      <w:sz w:val="44"/>
      <w:szCs w:val="22"/>
    </w:rPr>
  </w:style>
  <w:style w:type="character" w:customStyle="1" w:styleId="239">
    <w:name w:val="正文首行缩进 Char"/>
    <w:basedOn w:val="238"/>
    <w:link w:val="23"/>
    <w:qFormat/>
    <w:uiPriority w:val="0"/>
  </w:style>
  <w:style w:type="character" w:customStyle="1" w:styleId="240">
    <w:name w:val="正文文本缩进 Char"/>
    <w:basedOn w:val="27"/>
    <w:link w:val="7"/>
    <w:semiHidden/>
    <w:qFormat/>
    <w:uiPriority w:val="99"/>
    <w:rPr>
      <w:rFonts w:asciiTheme="minorHAnsi" w:hAnsiTheme="minorHAnsi" w:eastAsiaTheme="minorEastAsia" w:cstheme="minorBidi"/>
      <w:sz w:val="21"/>
      <w:szCs w:val="22"/>
    </w:rPr>
  </w:style>
  <w:style w:type="character" w:customStyle="1" w:styleId="241">
    <w:name w:val="正文首行缩进 2 Char"/>
    <w:basedOn w:val="240"/>
    <w:link w:val="24"/>
    <w:semiHidden/>
    <w:qFormat/>
    <w:uiPriority w:val="99"/>
  </w:style>
  <w:style w:type="paragraph" w:customStyle="1" w:styleId="24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3">
    <w:name w:val="font21"/>
    <w:basedOn w:val="27"/>
    <w:qFormat/>
    <w:uiPriority w:val="0"/>
    <w:rPr>
      <w:rFonts w:hint="eastAsia" w:ascii="宋体" w:hAnsi="宋体" w:eastAsia="宋体" w:cs="宋体"/>
      <w:color w:val="FF0000"/>
      <w:sz w:val="21"/>
      <w:szCs w:val="21"/>
      <w:u w:val="none"/>
    </w:rPr>
  </w:style>
  <w:style w:type="character" w:customStyle="1" w:styleId="244">
    <w:name w:val="font31"/>
    <w:basedOn w:val="27"/>
    <w:qFormat/>
    <w:uiPriority w:val="0"/>
    <w:rPr>
      <w:rFonts w:hint="eastAsia" w:ascii="宋体" w:hAnsi="宋体" w:eastAsia="宋体" w:cs="宋体"/>
      <w:color w:val="000000"/>
      <w:sz w:val="22"/>
      <w:szCs w:val="22"/>
      <w:u w:val="none"/>
    </w:rPr>
  </w:style>
  <w:style w:type="character" w:customStyle="1" w:styleId="245">
    <w:name w:val="font51"/>
    <w:basedOn w:val="27"/>
    <w:qFormat/>
    <w:uiPriority w:val="0"/>
    <w:rPr>
      <w:rFonts w:hint="eastAsia" w:ascii="宋体" w:hAnsi="宋体" w:eastAsia="宋体"/>
      <w:color w:val="000000"/>
      <w:sz w:val="20"/>
      <w:szCs w:val="20"/>
      <w:u w:val="none"/>
    </w:rPr>
  </w:style>
  <w:style w:type="character" w:customStyle="1" w:styleId="246">
    <w:name w:val="font81"/>
    <w:basedOn w:val="2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A8197-FD84-4C10-A297-B95CE7D9144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45</Pages>
  <Words>14043</Words>
  <Characters>14893</Characters>
  <Lines>210</Lines>
  <Paragraphs>59</Paragraphs>
  <TotalTime>57</TotalTime>
  <ScaleCrop>false</ScaleCrop>
  <LinksUpToDate>false</LinksUpToDate>
  <CharactersWithSpaces>15004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2025-10-14T14:14:00Z</dcterms:created>
  <dc:creator>Apache POI</dc:creator>
  <cp:lastModifiedBy>Lenovo</cp:lastModifiedBy>
  <dcterms:modified xsi:type="dcterms:W3CDTF">2025-10-30T09:22:36Z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eyJoZGlkIjoiMTI5MzY3YTY0NDJkMjY5ZDEzNzFlYzA4NjhkMjY3YWYifQ==</vt:lpwstr>
  </property>
  <property fmtid="{D5CDD505-2E9C-101B-9397-08002B2CF9AE}" pid="3" name="KSOProductBuildVer">
    <vt:lpwstr>2052-12.1.0.23542</vt:lpwstr>
  </property>
  <property fmtid="{D5CDD505-2E9C-101B-9397-08002B2CF9AE}" pid="4" name="ICV">
    <vt:lpwstr>0C67F3084B9246079179EFF87B574042</vt:lpwstr>
  </property>
</Properties>
</file>